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D03" w:rsidRDefault="00022D03">
      <w:bookmarkStart w:id="0" w:name="_GoBack"/>
      <w:bookmarkEnd w:id="0"/>
    </w:p>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tbl>
      <w:tblPr>
        <w:tblW w:w="10089" w:type="dxa"/>
        <w:tblLook w:val="01E0" w:firstRow="1" w:lastRow="1" w:firstColumn="1" w:lastColumn="1" w:noHBand="0" w:noVBand="0"/>
      </w:tblPr>
      <w:tblGrid>
        <w:gridCol w:w="10089"/>
      </w:tblGrid>
      <w:tr w:rsidR="00022D03" w:rsidRPr="00022D03" w:rsidTr="0024702C">
        <w:tc>
          <w:tcPr>
            <w:tcW w:w="10089" w:type="dxa"/>
          </w:tcPr>
          <w:p w:rsidR="00022D03" w:rsidRPr="0038303E" w:rsidRDefault="00022D03" w:rsidP="0024702C">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17.3pt" o:ole="">
                  <v:imagedata r:id="rId8" o:title=""/>
                </v:shape>
                <o:OLEObject Type="Embed" ProgID="Equation.3" ShapeID="_x0000_i1025" DrawAspect="Content" ObjectID="_1511604814" r:id="rId9"/>
              </w:object>
            </w:r>
          </w:p>
          <w:p w:rsidR="00022D03" w:rsidRPr="0038303E" w:rsidRDefault="00022D03" w:rsidP="00CA3B52">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sidR="00520578">
              <w:rPr>
                <w:rFonts w:ascii="Tahoma" w:hAnsi="Tahoma" w:cs="Tahoma"/>
                <w:b/>
                <w:bCs/>
                <w:iCs/>
                <w:color w:val="509141"/>
                <w:sz w:val="36"/>
                <w:szCs w:val="36"/>
                <w:lang w:val="en-US"/>
              </w:rPr>
              <w:t>2012-</w:t>
            </w:r>
            <w:r w:rsidR="00CA3B52">
              <w:rPr>
                <w:rFonts w:ascii="Tahoma" w:hAnsi="Tahoma" w:cs="Tahoma"/>
                <w:b/>
                <w:bCs/>
                <w:iCs/>
                <w:color w:val="509141"/>
                <w:sz w:val="36"/>
                <w:szCs w:val="36"/>
                <w:lang w:val="en-US"/>
              </w:rPr>
              <w:t>4</w:t>
            </w:r>
          </w:p>
          <w:p w:rsidR="00022D03" w:rsidRPr="0038303E" w:rsidRDefault="00022D03" w:rsidP="00CA3B52">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520578">
              <w:rPr>
                <w:rFonts w:ascii="Tahoma" w:hAnsi="Tahoma" w:cs="Tahoma"/>
                <w:b/>
                <w:bCs/>
                <w:iCs/>
                <w:color w:val="509141"/>
                <w:szCs w:val="24"/>
                <w:lang w:val="en-US"/>
              </w:rPr>
              <w:t>0</w:t>
            </w:r>
            <w:r w:rsidR="00CA3B52">
              <w:rPr>
                <w:rFonts w:ascii="Tahoma" w:hAnsi="Tahoma" w:cs="Tahoma"/>
                <w:b/>
                <w:bCs/>
                <w:iCs/>
                <w:color w:val="509141"/>
                <w:szCs w:val="24"/>
                <w:lang w:val="en-US"/>
              </w:rPr>
              <w:t>6</w:t>
            </w:r>
            <w:r w:rsidRPr="0038303E">
              <w:rPr>
                <w:rFonts w:ascii="Tahoma" w:hAnsi="Tahoma" w:cs="Tahoma"/>
                <w:b/>
                <w:bCs/>
                <w:iCs/>
                <w:color w:val="509141"/>
                <w:szCs w:val="24"/>
                <w:lang w:val="en-US"/>
              </w:rPr>
              <w:t>/</w:t>
            </w:r>
            <w:r w:rsidR="00520578">
              <w:rPr>
                <w:rFonts w:ascii="Tahoma" w:hAnsi="Tahoma" w:cs="Tahoma"/>
                <w:b/>
                <w:bCs/>
                <w:iCs/>
                <w:color w:val="509141"/>
                <w:szCs w:val="24"/>
                <w:lang w:val="en-US"/>
              </w:rPr>
              <w:t>201</w:t>
            </w:r>
            <w:r w:rsidR="00CA3B52">
              <w:rPr>
                <w:rFonts w:ascii="Tahoma" w:hAnsi="Tahoma" w:cs="Tahoma"/>
                <w:b/>
                <w:bCs/>
                <w:iCs/>
                <w:color w:val="509141"/>
                <w:szCs w:val="24"/>
                <w:lang w:val="en-US"/>
              </w:rPr>
              <w:t>4</w:t>
            </w:r>
            <w:r w:rsidRPr="0038303E">
              <w:rPr>
                <w:rFonts w:ascii="Tahoma" w:hAnsi="Tahoma" w:cs="Tahoma"/>
                <w:b/>
                <w:bCs/>
                <w:iCs/>
                <w:color w:val="509141"/>
                <w:szCs w:val="24"/>
                <w:lang w:val="en-US"/>
              </w:rPr>
              <w:t>)</w:t>
            </w:r>
          </w:p>
        </w:tc>
      </w:tr>
      <w:tr w:rsidR="00022D03" w:rsidRPr="0038303E" w:rsidTr="0024702C">
        <w:tc>
          <w:tcPr>
            <w:tcW w:w="10089" w:type="dxa"/>
          </w:tcPr>
          <w:p w:rsidR="00022D03" w:rsidRPr="00B21000" w:rsidRDefault="00022D03" w:rsidP="0024702C">
            <w:pPr>
              <w:spacing w:before="80" w:line="500" w:lineRule="exact"/>
              <w:jc w:val="right"/>
              <w:rPr>
                <w:rFonts w:ascii="Tahoma" w:hAnsi="Tahoma" w:cs="Tahoma"/>
                <w:b/>
                <w:bCs/>
                <w:iCs/>
                <w:color w:val="509141"/>
                <w:sz w:val="44"/>
                <w:szCs w:val="44"/>
                <w:lang w:val="en-US"/>
              </w:rPr>
            </w:pPr>
          </w:p>
          <w:p w:rsidR="00022D03" w:rsidRPr="00B21000" w:rsidRDefault="00520578" w:rsidP="0024702C">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Economic aspects of spectrum management</w:t>
            </w:r>
          </w:p>
          <w:p w:rsidR="00022D03" w:rsidRPr="00B21000" w:rsidRDefault="00022D03" w:rsidP="0024702C">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022D03" w:rsidRPr="0038303E" w:rsidTr="0024702C">
        <w:tc>
          <w:tcPr>
            <w:tcW w:w="10089" w:type="dxa"/>
          </w:tcPr>
          <w:p w:rsidR="00022D03" w:rsidRPr="0038303E" w:rsidRDefault="00022D03" w:rsidP="0024702C">
            <w:pPr>
              <w:spacing w:before="80" w:line="280" w:lineRule="exact"/>
              <w:ind w:right="640"/>
              <w:rPr>
                <w:rFonts w:ascii="Tahoma" w:hAnsi="Tahoma" w:cs="Tahoma"/>
                <w:b/>
                <w:bCs/>
                <w:iCs/>
                <w:color w:val="243285"/>
                <w:sz w:val="32"/>
                <w:szCs w:val="32"/>
                <w:lang w:val="en-US"/>
              </w:rPr>
            </w:pPr>
          </w:p>
          <w:p w:rsidR="00022D03" w:rsidRPr="0038303E" w:rsidRDefault="00022D03" w:rsidP="0024702C">
            <w:pPr>
              <w:spacing w:before="80" w:line="280" w:lineRule="exact"/>
              <w:ind w:right="640"/>
              <w:rPr>
                <w:rFonts w:ascii="Tahoma" w:hAnsi="Tahoma" w:cs="Tahoma"/>
                <w:b/>
                <w:bCs/>
                <w:iCs/>
                <w:color w:val="243285"/>
                <w:sz w:val="32"/>
                <w:szCs w:val="32"/>
                <w:lang w:val="en-US"/>
              </w:rPr>
            </w:pPr>
          </w:p>
          <w:p w:rsidR="00022D03" w:rsidRPr="0038303E" w:rsidRDefault="00022D03" w:rsidP="0024702C">
            <w:pPr>
              <w:spacing w:before="80" w:line="280" w:lineRule="exact"/>
              <w:ind w:right="640"/>
              <w:rPr>
                <w:rFonts w:ascii="Tahoma" w:hAnsi="Tahoma" w:cs="Tahoma"/>
                <w:b/>
                <w:bCs/>
                <w:iCs/>
                <w:color w:val="243285"/>
                <w:sz w:val="32"/>
                <w:szCs w:val="32"/>
                <w:lang w:val="en-US"/>
              </w:rPr>
            </w:pPr>
          </w:p>
          <w:p w:rsidR="00022D03" w:rsidRPr="0038303E" w:rsidRDefault="00022D03" w:rsidP="0024702C">
            <w:pPr>
              <w:spacing w:before="80" w:after="180" w:line="360" w:lineRule="exact"/>
              <w:jc w:val="right"/>
              <w:rPr>
                <w:rFonts w:ascii="Tahoma" w:hAnsi="Tahoma" w:cs="Tahoma"/>
                <w:b/>
                <w:bCs/>
                <w:iCs/>
                <w:color w:val="243285"/>
                <w:sz w:val="36"/>
                <w:szCs w:val="36"/>
                <w:lang w:val="en-US"/>
              </w:rPr>
            </w:pPr>
          </w:p>
          <w:p w:rsidR="00022D03" w:rsidRPr="0038303E" w:rsidRDefault="00022D03" w:rsidP="0024702C">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022D03" w:rsidRPr="0038303E" w:rsidRDefault="00022D03" w:rsidP="0024702C">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rPr>
          <w:rFonts w:ascii="Palatino Linotype" w:hAnsi="Palatino Linotype"/>
          <w:lang w:val="en-US"/>
        </w:rPr>
        <w:sectPr w:rsidR="00022D03" w:rsidSect="008A10D5">
          <w:headerReference w:type="even" r:id="rId10"/>
          <w:headerReference w:type="default" r:id="rId11"/>
          <w:headerReference w:type="first" r:id="rId12"/>
          <w:pgSz w:w="11907" w:h="16834" w:code="9"/>
          <w:pgMar w:top="1089" w:right="1089" w:bottom="284" w:left="1089" w:header="567" w:footer="284" w:gutter="0"/>
          <w:paperSrc w:first="15" w:other="15"/>
          <w:cols w:space="720"/>
        </w:sectPr>
      </w:pPr>
    </w:p>
    <w:p w:rsidR="00022D03" w:rsidRDefault="00022D03" w:rsidP="0024702C">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022D03" w:rsidRDefault="00022D03" w:rsidP="0024702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22D03" w:rsidRDefault="00022D03" w:rsidP="0024702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22D03" w:rsidRDefault="00022D03" w:rsidP="0024702C">
      <w:pPr>
        <w:pStyle w:val="Heading1"/>
        <w:spacing w:before="400"/>
        <w:jc w:val="center"/>
        <w:rPr>
          <w:szCs w:val="24"/>
          <w:lang w:val="en-US"/>
        </w:rPr>
      </w:pPr>
    </w:p>
    <w:p w:rsidR="00022D03" w:rsidRDefault="00022D03" w:rsidP="0024702C">
      <w:pPr>
        <w:pStyle w:val="Heading1"/>
        <w:spacing w:before="540"/>
        <w:jc w:val="center"/>
        <w:rPr>
          <w:szCs w:val="24"/>
          <w:lang w:val="en-US"/>
        </w:rPr>
      </w:pPr>
      <w:bookmarkStart w:id="2" w:name="_Toc289868738"/>
      <w:bookmarkStart w:id="3" w:name="_Toc289868899"/>
      <w:bookmarkStart w:id="4" w:name="_Toc289932206"/>
      <w:bookmarkStart w:id="5" w:name="_Toc289933253"/>
      <w:bookmarkStart w:id="6" w:name="_Toc291852816"/>
      <w:r>
        <w:rPr>
          <w:szCs w:val="24"/>
          <w:lang w:val="en-US"/>
        </w:rPr>
        <w:t>Policy on Intellectual Property Right (IPR)</w:t>
      </w:r>
      <w:bookmarkEnd w:id="2"/>
      <w:bookmarkEnd w:id="3"/>
      <w:bookmarkEnd w:id="4"/>
      <w:bookmarkEnd w:id="5"/>
      <w:bookmarkEnd w:id="6"/>
    </w:p>
    <w:p w:rsidR="00022D03" w:rsidRDefault="00022D03" w:rsidP="0024702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022D03" w:rsidRDefault="00022D03" w:rsidP="0024702C">
      <w:pPr>
        <w:jc w:val="center"/>
        <w:rPr>
          <w:sz w:val="22"/>
          <w:lang w:val="en-US"/>
        </w:rPr>
      </w:pPr>
    </w:p>
    <w:p w:rsidR="00022D03" w:rsidRDefault="00022D03" w:rsidP="0024702C">
      <w:pPr>
        <w:jc w:val="center"/>
        <w:rPr>
          <w:sz w:val="22"/>
          <w:lang w:val="en-US"/>
        </w:rPr>
      </w:pPr>
    </w:p>
    <w:p w:rsidR="00022D03" w:rsidRDefault="00022D03" w:rsidP="0024702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22D03" w:rsidRPr="00F65451">
        <w:tc>
          <w:tcPr>
            <w:tcW w:w="9360" w:type="dxa"/>
            <w:gridSpan w:val="2"/>
            <w:tcBorders>
              <w:top w:val="single" w:sz="12" w:space="0" w:color="000080"/>
              <w:left w:val="single" w:sz="12" w:space="0" w:color="000080"/>
              <w:bottom w:val="nil"/>
              <w:right w:val="single" w:sz="12" w:space="0" w:color="000080"/>
            </w:tcBorders>
          </w:tcPr>
          <w:p w:rsidR="00022D03" w:rsidRPr="00C7761D" w:rsidRDefault="00022D03" w:rsidP="0024702C">
            <w:pPr>
              <w:pStyle w:val="ChapNo"/>
              <w:spacing w:before="240"/>
              <w:rPr>
                <w:sz w:val="22"/>
                <w:szCs w:val="22"/>
                <w:lang w:val="en-US"/>
              </w:rPr>
            </w:pPr>
            <w:bookmarkStart w:id="7" w:name="_Toc289868739"/>
            <w:bookmarkStart w:id="8" w:name="_Toc289868900"/>
            <w:bookmarkStart w:id="9" w:name="_Toc289932207"/>
            <w:bookmarkStart w:id="10" w:name="_Toc289933254"/>
            <w:bookmarkStart w:id="11" w:name="_Toc291852817"/>
            <w:r w:rsidRPr="00C7761D">
              <w:rPr>
                <w:sz w:val="22"/>
                <w:szCs w:val="22"/>
                <w:lang w:val="en-US"/>
              </w:rPr>
              <w:t>Series of ITU-R Reports</w:t>
            </w:r>
            <w:bookmarkEnd w:id="7"/>
            <w:bookmarkEnd w:id="8"/>
            <w:bookmarkEnd w:id="9"/>
            <w:bookmarkEnd w:id="10"/>
            <w:bookmarkEnd w:id="11"/>
            <w:r w:rsidRPr="00C7761D">
              <w:rPr>
                <w:sz w:val="22"/>
                <w:szCs w:val="22"/>
                <w:lang w:val="en-US"/>
              </w:rPr>
              <w:t xml:space="preserve"> </w:t>
            </w:r>
          </w:p>
          <w:p w:rsidR="00022D03" w:rsidRDefault="00022D0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022D03" w:rsidTr="0024702C">
        <w:tc>
          <w:tcPr>
            <w:tcW w:w="1140" w:type="dxa"/>
            <w:tcBorders>
              <w:top w:val="nil"/>
              <w:left w:val="single" w:sz="12" w:space="0" w:color="000080"/>
              <w:bottom w:val="nil"/>
              <w:right w:val="nil"/>
            </w:tcBorders>
          </w:tcPr>
          <w:p w:rsidR="00022D03" w:rsidRDefault="00022D03">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022D03" w:rsidRDefault="00022D0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022D03" w:rsidTr="0024702C">
        <w:tc>
          <w:tcPr>
            <w:tcW w:w="1140" w:type="dxa"/>
            <w:tcBorders>
              <w:top w:val="nil"/>
              <w:left w:val="single" w:sz="12" w:space="0" w:color="000080"/>
              <w:bottom w:val="nil"/>
              <w:right w:val="nil"/>
            </w:tcBorders>
            <w:shd w:val="clear" w:color="auto" w:fill="auto"/>
          </w:tcPr>
          <w:p w:rsidR="00022D03" w:rsidRPr="006F2B77" w:rsidRDefault="00022D03">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022D03" w:rsidRPr="006F2B77" w:rsidRDefault="00022D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022D03" w:rsidRPr="00F65451" w:rsidTr="0024702C">
        <w:tc>
          <w:tcPr>
            <w:tcW w:w="1140" w:type="dxa"/>
            <w:tcBorders>
              <w:top w:val="nil"/>
              <w:left w:val="single" w:sz="12" w:space="0" w:color="000080"/>
              <w:bottom w:val="nil"/>
              <w:right w:val="nil"/>
            </w:tcBorders>
          </w:tcPr>
          <w:p w:rsidR="00022D03" w:rsidRDefault="00022D03">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022D03" w:rsidRDefault="00022D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022D03" w:rsidRPr="00D55B55" w:rsidTr="0024702C">
        <w:tc>
          <w:tcPr>
            <w:tcW w:w="1140" w:type="dxa"/>
            <w:tcBorders>
              <w:top w:val="nil"/>
              <w:left w:val="single" w:sz="12" w:space="0" w:color="000080"/>
              <w:bottom w:val="nil"/>
              <w:right w:val="nil"/>
            </w:tcBorders>
            <w:shd w:val="clear" w:color="auto" w:fill="auto"/>
          </w:tcPr>
          <w:p w:rsidR="00022D03" w:rsidRPr="00D55B55" w:rsidRDefault="00022D03">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022D03" w:rsidRPr="00D55B55" w:rsidRDefault="00022D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022D03" w:rsidRPr="00BD3F5C" w:rsidTr="0024702C">
        <w:tc>
          <w:tcPr>
            <w:tcW w:w="1140" w:type="dxa"/>
            <w:tcBorders>
              <w:top w:val="nil"/>
              <w:left w:val="single" w:sz="12" w:space="0" w:color="000080"/>
              <w:bottom w:val="nil"/>
              <w:right w:val="nil"/>
            </w:tcBorders>
            <w:shd w:val="clear" w:color="auto" w:fill="auto"/>
          </w:tcPr>
          <w:p w:rsidR="00022D03" w:rsidRPr="00BD3F5C" w:rsidRDefault="00022D03">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022D03" w:rsidRPr="00BD3F5C" w:rsidRDefault="00022D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022D03" w:rsidRPr="00D069F2" w:rsidTr="0024702C">
        <w:tc>
          <w:tcPr>
            <w:tcW w:w="1140" w:type="dxa"/>
            <w:tcBorders>
              <w:top w:val="nil"/>
              <w:left w:val="single" w:sz="12" w:space="0" w:color="000080"/>
              <w:bottom w:val="nil"/>
              <w:right w:val="nil"/>
            </w:tcBorders>
            <w:shd w:val="clear" w:color="auto" w:fill="auto"/>
          </w:tcPr>
          <w:p w:rsidR="00022D03" w:rsidRPr="00D069F2" w:rsidRDefault="00022D03">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022D03" w:rsidRPr="00D069F2" w:rsidRDefault="00022D0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022D03" w:rsidRPr="008D3D8D" w:rsidTr="0024702C">
        <w:tc>
          <w:tcPr>
            <w:tcW w:w="1140" w:type="dxa"/>
            <w:tcBorders>
              <w:top w:val="nil"/>
              <w:left w:val="single" w:sz="12" w:space="0" w:color="000080"/>
              <w:bottom w:val="nil"/>
              <w:right w:val="nil"/>
            </w:tcBorders>
            <w:shd w:val="clear" w:color="auto" w:fill="auto"/>
          </w:tcPr>
          <w:p w:rsidR="00022D03" w:rsidRPr="008D3D8D" w:rsidRDefault="00022D03">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022D03" w:rsidRPr="008D3D8D" w:rsidRDefault="00022D0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022D03" w:rsidRPr="002D77AF" w:rsidTr="0024702C">
        <w:tc>
          <w:tcPr>
            <w:tcW w:w="1140" w:type="dxa"/>
            <w:tcBorders>
              <w:top w:val="nil"/>
              <w:left w:val="single" w:sz="12" w:space="0" w:color="000080"/>
              <w:bottom w:val="nil"/>
              <w:right w:val="nil"/>
            </w:tcBorders>
            <w:shd w:val="clear" w:color="auto" w:fill="auto"/>
          </w:tcPr>
          <w:p w:rsidR="00022D03" w:rsidRPr="002D77AF" w:rsidRDefault="00022D03">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022D03" w:rsidRPr="002D77AF" w:rsidRDefault="00022D03">
            <w:pPr>
              <w:spacing w:before="30" w:after="30"/>
              <w:jc w:val="left"/>
              <w:rPr>
                <w:sz w:val="20"/>
                <w:lang w:val="fr-CH"/>
              </w:rPr>
            </w:pPr>
            <w:r w:rsidRPr="002D77AF">
              <w:rPr>
                <w:sz w:val="20"/>
                <w:lang w:val="fr-CH"/>
              </w:rPr>
              <w:t>Radiowave propagation</w:t>
            </w:r>
          </w:p>
        </w:tc>
      </w:tr>
      <w:tr w:rsidR="00022D03" w:rsidRPr="003B4EE8" w:rsidTr="0024702C">
        <w:tc>
          <w:tcPr>
            <w:tcW w:w="1140" w:type="dxa"/>
            <w:tcBorders>
              <w:top w:val="nil"/>
              <w:left w:val="single" w:sz="12" w:space="0" w:color="000080"/>
              <w:bottom w:val="nil"/>
              <w:right w:val="nil"/>
            </w:tcBorders>
            <w:shd w:val="clear" w:color="auto" w:fill="auto"/>
          </w:tcPr>
          <w:p w:rsidR="00022D03" w:rsidRPr="003B4EE8" w:rsidRDefault="00022D03">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022D03" w:rsidRPr="003B4EE8" w:rsidRDefault="00022D0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022D03" w:rsidRPr="00CB1116" w:rsidTr="0024702C">
        <w:tc>
          <w:tcPr>
            <w:tcW w:w="1140" w:type="dxa"/>
            <w:tcBorders>
              <w:top w:val="nil"/>
              <w:left w:val="single" w:sz="12" w:space="0" w:color="000080"/>
              <w:bottom w:val="nil"/>
              <w:right w:val="nil"/>
            </w:tcBorders>
            <w:shd w:val="clear" w:color="auto" w:fill="auto"/>
          </w:tcPr>
          <w:p w:rsidR="00022D03" w:rsidRPr="00CB1116" w:rsidRDefault="00022D03">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022D03" w:rsidRPr="00CB1116" w:rsidRDefault="00022D0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022D03" w:rsidRPr="00C114A7" w:rsidTr="0024702C">
        <w:tc>
          <w:tcPr>
            <w:tcW w:w="1140" w:type="dxa"/>
            <w:tcBorders>
              <w:top w:val="nil"/>
              <w:left w:val="single" w:sz="12" w:space="0" w:color="000080"/>
              <w:bottom w:val="nil"/>
              <w:right w:val="nil"/>
            </w:tcBorders>
            <w:shd w:val="clear" w:color="auto" w:fill="auto"/>
          </w:tcPr>
          <w:p w:rsidR="00022D03" w:rsidRPr="00C114A7" w:rsidRDefault="00022D03">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022D03" w:rsidRPr="00C114A7" w:rsidRDefault="00022D03">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022D03" w:rsidRPr="00B135F6" w:rsidTr="0024702C">
        <w:tc>
          <w:tcPr>
            <w:tcW w:w="1140" w:type="dxa"/>
            <w:tcBorders>
              <w:top w:val="nil"/>
              <w:left w:val="single" w:sz="12" w:space="0" w:color="000080"/>
              <w:bottom w:val="nil"/>
              <w:right w:val="nil"/>
            </w:tcBorders>
            <w:shd w:val="clear" w:color="auto" w:fill="auto"/>
          </w:tcPr>
          <w:p w:rsidR="00022D03" w:rsidRPr="00B135F6" w:rsidRDefault="00022D03">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022D03" w:rsidRPr="00B135F6" w:rsidRDefault="00022D03">
            <w:pPr>
              <w:spacing w:before="30" w:after="30"/>
              <w:jc w:val="left"/>
              <w:rPr>
                <w:sz w:val="20"/>
                <w:lang w:val="en-US"/>
              </w:rPr>
            </w:pPr>
            <w:r w:rsidRPr="00B135F6">
              <w:rPr>
                <w:sz w:val="20"/>
                <w:lang w:val="en-US"/>
              </w:rPr>
              <w:t>Space applications and meteorology</w:t>
            </w:r>
          </w:p>
        </w:tc>
      </w:tr>
      <w:tr w:rsidR="00022D03" w:rsidRPr="00F65451" w:rsidTr="0024702C">
        <w:tc>
          <w:tcPr>
            <w:tcW w:w="1140" w:type="dxa"/>
            <w:tcBorders>
              <w:top w:val="nil"/>
              <w:left w:val="single" w:sz="12" w:space="0" w:color="000080"/>
              <w:bottom w:val="nil"/>
              <w:right w:val="nil"/>
            </w:tcBorders>
            <w:shd w:val="clear" w:color="auto" w:fill="auto"/>
          </w:tcPr>
          <w:p w:rsidR="00022D03" w:rsidRPr="0006030B" w:rsidRDefault="00022D03">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022D03" w:rsidRPr="0006030B" w:rsidRDefault="00022D03">
            <w:pPr>
              <w:spacing w:before="30" w:after="30"/>
              <w:jc w:val="left"/>
              <w:rPr>
                <w:sz w:val="20"/>
                <w:lang w:val="en-US"/>
              </w:rPr>
            </w:pPr>
            <w:r w:rsidRPr="0006030B">
              <w:rPr>
                <w:sz w:val="20"/>
                <w:lang w:val="en-US"/>
              </w:rPr>
              <w:t>Frequency sharing and coordination between fixed-satellite and fixed service systems</w:t>
            </w:r>
          </w:p>
        </w:tc>
      </w:tr>
      <w:tr w:rsidR="00022D03" w:rsidRPr="0006030B" w:rsidTr="0024702C">
        <w:tc>
          <w:tcPr>
            <w:tcW w:w="1140" w:type="dxa"/>
            <w:tcBorders>
              <w:top w:val="nil"/>
              <w:left w:val="single" w:sz="12" w:space="0" w:color="000080"/>
              <w:bottom w:val="single" w:sz="12" w:space="0" w:color="000080"/>
              <w:right w:val="nil"/>
            </w:tcBorders>
            <w:shd w:val="clear" w:color="auto" w:fill="F3F3F3"/>
          </w:tcPr>
          <w:p w:rsidR="00022D03" w:rsidRPr="0006030B" w:rsidRDefault="00022D03">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022D03" w:rsidRPr="0006030B" w:rsidRDefault="00022D03" w:rsidP="0024702C">
            <w:pPr>
              <w:spacing w:before="30" w:after="180"/>
              <w:jc w:val="left"/>
              <w:rPr>
                <w:b/>
                <w:bCs/>
                <w:color w:val="000080"/>
                <w:sz w:val="20"/>
                <w:lang w:val="en-US"/>
              </w:rPr>
            </w:pPr>
            <w:r w:rsidRPr="0006030B">
              <w:rPr>
                <w:b/>
                <w:bCs/>
                <w:color w:val="000080"/>
                <w:sz w:val="20"/>
                <w:lang w:val="en-US"/>
              </w:rPr>
              <w:t>Spectrum management</w:t>
            </w:r>
          </w:p>
        </w:tc>
      </w:tr>
    </w:tbl>
    <w:p w:rsidR="00022D03" w:rsidRDefault="00022D03" w:rsidP="0024702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22D03">
        <w:tc>
          <w:tcPr>
            <w:tcW w:w="720" w:type="dxa"/>
          </w:tcPr>
          <w:p w:rsidR="00022D03" w:rsidRDefault="00022D03">
            <w:pPr>
              <w:jc w:val="center"/>
              <w:rPr>
                <w:sz w:val="22"/>
                <w:lang w:val="en-US"/>
              </w:rPr>
            </w:pPr>
          </w:p>
        </w:tc>
      </w:tr>
    </w:tbl>
    <w:p w:rsidR="00022D03" w:rsidRDefault="00022D03" w:rsidP="0024702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022D03" w:rsidRPr="00F65451" w:rsidTr="0024702C">
        <w:tc>
          <w:tcPr>
            <w:tcW w:w="9360" w:type="dxa"/>
            <w:tcBorders>
              <w:top w:val="single" w:sz="12" w:space="0" w:color="000080"/>
              <w:left w:val="single" w:sz="12" w:space="0" w:color="000080"/>
              <w:bottom w:val="single" w:sz="12" w:space="0" w:color="000080"/>
              <w:right w:val="single" w:sz="12" w:space="0" w:color="000080"/>
            </w:tcBorders>
          </w:tcPr>
          <w:p w:rsidR="00022D03" w:rsidRPr="0038303E" w:rsidRDefault="00022D03" w:rsidP="0024702C">
            <w:pPr>
              <w:spacing w:after="120"/>
              <w:jc w:val="left"/>
              <w:rPr>
                <w:b/>
                <w:bCs/>
                <w:sz w:val="20"/>
                <w:lang w:val="en-US"/>
              </w:rPr>
            </w:pPr>
            <w:r w:rsidRPr="0038303E">
              <w:rPr>
                <w:b/>
                <w:bCs/>
                <w:i/>
                <w:iCs/>
                <w:sz w:val="20"/>
                <w:lang w:val="en-US"/>
              </w:rPr>
              <w:t>Note</w:t>
            </w:r>
            <w:r w:rsidRPr="0038303E">
              <w:rPr>
                <w:i/>
                <w:iCs/>
                <w:sz w:val="20"/>
                <w:lang w:val="en-US"/>
              </w:rPr>
              <w:t xml:space="preserve">: This ITU-R Report was approved in English by the Study Group under the </w:t>
            </w:r>
            <w:r w:rsidR="008D5B54">
              <w:rPr>
                <w:i/>
                <w:iCs/>
                <w:sz w:val="20"/>
                <w:lang w:val="en-US"/>
              </w:rPr>
              <w:t xml:space="preserve">procedure detailed </w:t>
            </w:r>
            <w:r w:rsidR="008D5B54">
              <w:rPr>
                <w:i/>
                <w:iCs/>
                <w:sz w:val="20"/>
                <w:lang w:val="en-US"/>
              </w:rPr>
              <w:br/>
            </w:r>
            <w:r w:rsidRPr="0038303E">
              <w:rPr>
                <w:i/>
                <w:iCs/>
                <w:sz w:val="20"/>
                <w:lang w:val="en-US"/>
              </w:rPr>
              <w:t>in Resolution  ITU-R 1.</w:t>
            </w:r>
          </w:p>
        </w:tc>
      </w:tr>
    </w:tbl>
    <w:p w:rsidR="00022D03" w:rsidRDefault="00022D03" w:rsidP="0024702C">
      <w:pPr>
        <w:spacing w:before="0"/>
        <w:jc w:val="center"/>
        <w:rPr>
          <w:sz w:val="22"/>
          <w:lang w:val="en-US"/>
        </w:rPr>
      </w:pPr>
    </w:p>
    <w:p w:rsidR="00022D03" w:rsidRDefault="00022D03" w:rsidP="0024702C">
      <w:pPr>
        <w:spacing w:before="0"/>
        <w:jc w:val="center"/>
        <w:rPr>
          <w:sz w:val="22"/>
          <w:lang w:val="en-US"/>
        </w:rPr>
      </w:pPr>
    </w:p>
    <w:p w:rsidR="00022D03" w:rsidRDefault="00022D03" w:rsidP="0024702C">
      <w:pPr>
        <w:spacing w:before="0"/>
        <w:jc w:val="right"/>
        <w:rPr>
          <w:i/>
          <w:iCs/>
          <w:sz w:val="20"/>
          <w:lang w:val="en-US"/>
        </w:rPr>
      </w:pPr>
      <w:r>
        <w:rPr>
          <w:i/>
          <w:iCs/>
          <w:sz w:val="20"/>
          <w:lang w:val="en-US"/>
        </w:rPr>
        <w:t>Electronic Publication</w:t>
      </w:r>
    </w:p>
    <w:p w:rsidR="00022D03" w:rsidRDefault="00022D03" w:rsidP="008D5B54">
      <w:pPr>
        <w:spacing w:before="0"/>
        <w:jc w:val="right"/>
        <w:rPr>
          <w:sz w:val="20"/>
          <w:lang w:val="en-US"/>
        </w:rPr>
      </w:pPr>
      <w:r>
        <w:rPr>
          <w:sz w:val="20"/>
          <w:lang w:val="en-US"/>
        </w:rPr>
        <w:t>Geneva, 201</w:t>
      </w:r>
      <w:r w:rsidR="008D5B54">
        <w:rPr>
          <w:sz w:val="20"/>
          <w:lang w:val="en-US"/>
        </w:rPr>
        <w:t>4</w:t>
      </w:r>
    </w:p>
    <w:p w:rsidR="00022D03" w:rsidRDefault="00022D03" w:rsidP="008D5B54">
      <w:pPr>
        <w:jc w:val="center"/>
        <w:rPr>
          <w:sz w:val="20"/>
          <w:lang w:val="en-US"/>
        </w:rPr>
      </w:pPr>
      <w:r>
        <w:rPr>
          <w:sz w:val="20"/>
          <w:lang w:val="en-US"/>
        </w:rPr>
        <w:sym w:font="Symbol" w:char="00E3"/>
      </w:r>
      <w:r>
        <w:rPr>
          <w:sz w:val="20"/>
          <w:lang w:val="en-US"/>
        </w:rPr>
        <w:t xml:space="preserve"> ITU </w:t>
      </w:r>
      <w:bookmarkStart w:id="12" w:name="iiannee"/>
      <w:bookmarkEnd w:id="12"/>
      <w:r>
        <w:rPr>
          <w:sz w:val="20"/>
          <w:lang w:val="en-US"/>
        </w:rPr>
        <w:t>201</w:t>
      </w:r>
      <w:r w:rsidR="008D5B54">
        <w:rPr>
          <w:sz w:val="20"/>
          <w:lang w:val="en-US"/>
        </w:rPr>
        <w:t>4</w:t>
      </w:r>
    </w:p>
    <w:p w:rsidR="00022D03" w:rsidRDefault="00022D03" w:rsidP="0024702C">
      <w:pPr>
        <w:rPr>
          <w:sz w:val="18"/>
          <w:szCs w:val="18"/>
          <w:lang w:val="en-US"/>
        </w:rPr>
      </w:pPr>
      <w:r>
        <w:rPr>
          <w:sz w:val="18"/>
          <w:szCs w:val="18"/>
          <w:lang w:val="en-US"/>
        </w:rPr>
        <w:t>All rights reserved. No part of this publication may be reproduced, by any means whatsoever, without written permission of ITU.</w:t>
      </w:r>
    </w:p>
    <w:p w:rsidR="00A6735C" w:rsidRDefault="00A6735C" w:rsidP="00A6735C">
      <w:pPr>
        <w:tabs>
          <w:tab w:val="clear" w:pos="794"/>
          <w:tab w:val="clear" w:pos="1191"/>
          <w:tab w:val="clear" w:pos="1588"/>
          <w:tab w:val="clear" w:pos="1985"/>
        </w:tabs>
        <w:overflowPunct/>
        <w:autoSpaceDE/>
        <w:autoSpaceDN/>
        <w:adjustRightInd/>
        <w:spacing w:before="0"/>
        <w:jc w:val="left"/>
        <w:rPr>
          <w:i/>
          <w:sz w:val="20"/>
          <w:lang w:val="en-US"/>
        </w:rPr>
        <w:sectPr w:rsidR="00A6735C">
          <w:pgSz w:w="11907" w:h="16834"/>
          <w:pgMar w:top="1418" w:right="1134" w:bottom="1134" w:left="1134" w:header="720" w:footer="482" w:gutter="0"/>
          <w:paperSrc w:first="15" w:other="15"/>
          <w:pgNumType w:fmt="lowerRoman" w:start="2"/>
          <w:cols w:space="720"/>
        </w:sectPr>
      </w:pPr>
    </w:p>
    <w:p w:rsidR="009231D7" w:rsidRDefault="009231D7" w:rsidP="005C1150">
      <w:pPr>
        <w:pStyle w:val="RepNo"/>
        <w:spacing w:before="0"/>
        <w:rPr>
          <w:lang w:val="en-US"/>
        </w:rPr>
      </w:pPr>
      <w:r>
        <w:rPr>
          <w:lang w:val="en-US"/>
        </w:rPr>
        <w:lastRenderedPageBreak/>
        <w:t xml:space="preserve">REPORT  </w:t>
      </w:r>
      <w:r w:rsidRPr="00A6585A">
        <w:rPr>
          <w:rStyle w:val="href"/>
          <w:lang w:val="en-US"/>
        </w:rPr>
        <w:t>ITU-R  SM.2012-</w:t>
      </w:r>
      <w:r w:rsidR="00CA3B52">
        <w:rPr>
          <w:rStyle w:val="href"/>
          <w:lang w:val="en-US"/>
        </w:rPr>
        <w:t>4</w:t>
      </w:r>
    </w:p>
    <w:p w:rsidR="009231D7" w:rsidRDefault="00E1473C" w:rsidP="005C1150">
      <w:pPr>
        <w:pStyle w:val="Reptitle"/>
        <w:rPr>
          <w:caps/>
          <w:lang w:val="en-US"/>
        </w:rPr>
      </w:pPr>
      <w:r>
        <w:rPr>
          <w:lang w:val="en-US"/>
        </w:rPr>
        <w:t xml:space="preserve">Economic aspects of spectrum </w:t>
      </w:r>
      <w:r w:rsidR="004A4E59">
        <w:rPr>
          <w:lang w:val="en-US"/>
        </w:rPr>
        <w:t>management</w:t>
      </w:r>
    </w:p>
    <w:p w:rsidR="009231D7" w:rsidRDefault="009231D7" w:rsidP="005C1150">
      <w:pPr>
        <w:pStyle w:val="Repdate"/>
        <w:rPr>
          <w:lang w:val="en-US"/>
        </w:rPr>
      </w:pPr>
      <w:r>
        <w:rPr>
          <w:lang w:val="en-US"/>
        </w:rPr>
        <w:t>(1997-2000-2004-2010</w:t>
      </w:r>
      <w:r w:rsidR="00CA3B52">
        <w:rPr>
          <w:lang w:val="en-US"/>
        </w:rPr>
        <w:t>-2014</w:t>
      </w:r>
      <w:r>
        <w:rPr>
          <w:lang w:val="en-US"/>
        </w:rPr>
        <w:t>)</w:t>
      </w:r>
    </w:p>
    <w:p w:rsidR="009231D7" w:rsidRDefault="009231D7" w:rsidP="009231D7">
      <w:pPr>
        <w:rPr>
          <w:lang w:val="en-US"/>
        </w:rPr>
      </w:pPr>
    </w:p>
    <w:p w:rsidR="009231D7" w:rsidRPr="004A4E59" w:rsidRDefault="009231D7" w:rsidP="009231D7">
      <w:pPr>
        <w:jc w:val="center"/>
        <w:rPr>
          <w:b/>
          <w:lang w:val="en-US"/>
        </w:rPr>
      </w:pPr>
      <w:r w:rsidRPr="004A4E59">
        <w:rPr>
          <w:b/>
          <w:lang w:val="en-US"/>
        </w:rPr>
        <w:t>TABLE  OF  CONTENTS</w:t>
      </w:r>
    </w:p>
    <w:p w:rsidR="00C60633" w:rsidRDefault="009231D7" w:rsidP="00C60633">
      <w:pPr>
        <w:pStyle w:val="toc0"/>
        <w:ind w:right="992"/>
        <w:rPr>
          <w:lang w:val="en-US"/>
        </w:rPr>
      </w:pPr>
      <w:r w:rsidRPr="004A4E59">
        <w:rPr>
          <w:lang w:val="en-US"/>
        </w:rPr>
        <w:tab/>
        <w:t>Page</w:t>
      </w:r>
    </w:p>
    <w:p w:rsidR="00E30119" w:rsidRPr="00E30119" w:rsidRDefault="00E30119" w:rsidP="00E30119">
      <w:pPr>
        <w:pStyle w:val="TOC1"/>
        <w:rPr>
          <w:rFonts w:asciiTheme="minorHAnsi" w:eastAsiaTheme="minorEastAsia" w:hAnsiTheme="minorHAnsi" w:cstheme="minorBidi"/>
          <w:noProof/>
          <w:sz w:val="22"/>
          <w:szCs w:val="22"/>
          <w:lang w:eastAsia="zh-CN"/>
        </w:rPr>
      </w:pPr>
      <w:r w:rsidRPr="00E30119">
        <w:rPr>
          <w:rStyle w:val="Hyperlink"/>
          <w:noProof/>
          <w:color w:val="auto"/>
          <w:u w:val="none"/>
        </w:rPr>
        <w:t>Scope</w:t>
      </w:r>
      <w:r w:rsidRPr="00E30119">
        <w:rPr>
          <w:noProof/>
          <w:webHidden/>
        </w:rPr>
        <w:tab/>
      </w:r>
      <w:r w:rsidRPr="00E30119">
        <w:rPr>
          <w:noProof/>
          <w:webHidden/>
        </w:rPr>
        <w:tab/>
        <w:t>9</w:t>
      </w:r>
    </w:p>
    <w:p w:rsidR="00E30119" w:rsidRPr="00E30119" w:rsidRDefault="00E30119" w:rsidP="00E30119">
      <w:pPr>
        <w:pStyle w:val="TOC1"/>
        <w:rPr>
          <w:rFonts w:asciiTheme="minorHAnsi" w:eastAsiaTheme="minorEastAsia" w:hAnsiTheme="minorHAnsi" w:cstheme="minorBidi"/>
          <w:noProof/>
          <w:sz w:val="22"/>
          <w:szCs w:val="22"/>
          <w:lang w:eastAsia="zh-CN"/>
        </w:rPr>
      </w:pPr>
      <w:r w:rsidRPr="00E30119">
        <w:rPr>
          <w:rStyle w:val="Hyperlink"/>
          <w:noProof/>
          <w:color w:val="auto"/>
          <w:u w:val="none"/>
        </w:rPr>
        <w:t>CHAPTER 1 – Introduction to economic considerations</w:t>
      </w:r>
      <w:r w:rsidRPr="00E30119">
        <w:rPr>
          <w:rStyle w:val="Hyperlink"/>
          <w:noProof/>
          <w:color w:val="auto"/>
          <w:u w:val="none"/>
        </w:rPr>
        <w:tab/>
      </w:r>
      <w:r>
        <w:rPr>
          <w:rStyle w:val="Hyperlink"/>
          <w:noProof/>
          <w:color w:val="auto"/>
          <w:u w:val="none"/>
        </w:rPr>
        <w:tab/>
      </w:r>
      <w:r w:rsidRPr="00E30119">
        <w:rPr>
          <w:noProof/>
          <w:webHidden/>
        </w:rPr>
        <w:t>10</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1.1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Need for spectrum economic approach</w:t>
      </w:r>
      <w:r w:rsidRPr="00E30119">
        <w:rPr>
          <w:noProof/>
          <w:webHidden/>
        </w:rPr>
        <w:tab/>
      </w:r>
      <w:r>
        <w:rPr>
          <w:noProof/>
          <w:webHidden/>
        </w:rPr>
        <w:tab/>
      </w:r>
      <w:r w:rsidRPr="00E30119">
        <w:rPr>
          <w:noProof/>
          <w:webHidden/>
        </w:rPr>
        <w:t>10</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1.2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Requirements for national spectrum management</w:t>
      </w:r>
      <w:r w:rsidRPr="00E30119">
        <w:rPr>
          <w:noProof/>
          <w:webHidden/>
        </w:rPr>
        <w:tab/>
      </w:r>
      <w:r>
        <w:rPr>
          <w:noProof/>
          <w:webHidden/>
        </w:rPr>
        <w:tab/>
      </w:r>
      <w:r w:rsidRPr="00E30119">
        <w:rPr>
          <w:noProof/>
          <w:webHidden/>
        </w:rPr>
        <w:t>10</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1.3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Goals and objectives</w:t>
      </w:r>
      <w:r w:rsidRPr="00E30119">
        <w:rPr>
          <w:noProof/>
          <w:webHidden/>
        </w:rPr>
        <w:tab/>
      </w:r>
      <w:r>
        <w:rPr>
          <w:noProof/>
          <w:webHidden/>
        </w:rPr>
        <w:tab/>
      </w:r>
      <w:r w:rsidRPr="00E30119">
        <w:rPr>
          <w:noProof/>
          <w:webHidden/>
        </w:rPr>
        <w:t>11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1.3.1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Radiocommunications law</w:t>
      </w:r>
      <w:r w:rsidRPr="00E30119">
        <w:rPr>
          <w:noProof/>
          <w:webHidden/>
        </w:rPr>
        <w:tab/>
      </w:r>
      <w:r>
        <w:rPr>
          <w:noProof/>
          <w:webHidden/>
        </w:rPr>
        <w:tab/>
      </w:r>
      <w:r w:rsidRPr="00E30119">
        <w:rPr>
          <w:noProof/>
          <w:webHidden/>
        </w:rPr>
        <w:t>11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1.3.2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National allocation tables</w:t>
      </w:r>
      <w:r w:rsidRPr="00E30119">
        <w:rPr>
          <w:noProof/>
          <w:webHidden/>
        </w:rPr>
        <w:tab/>
      </w:r>
      <w:r>
        <w:rPr>
          <w:noProof/>
          <w:webHidden/>
        </w:rPr>
        <w:tab/>
      </w:r>
      <w:r w:rsidRPr="00E30119">
        <w:rPr>
          <w:noProof/>
          <w:webHidden/>
        </w:rPr>
        <w:t>11</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1.4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Structure and coordination</w:t>
      </w:r>
      <w:r w:rsidRPr="00E30119">
        <w:rPr>
          <w:noProof/>
          <w:webHidden/>
        </w:rPr>
        <w:tab/>
      </w:r>
      <w:r>
        <w:rPr>
          <w:noProof/>
          <w:webHidden/>
        </w:rPr>
        <w:tab/>
      </w:r>
      <w:r w:rsidRPr="00E30119">
        <w:rPr>
          <w:noProof/>
          <w:webHidden/>
        </w:rPr>
        <w:t>11</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1.5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Functional responsibilities</w:t>
      </w:r>
      <w:r w:rsidRPr="00E30119">
        <w:rPr>
          <w:noProof/>
          <w:webHidden/>
        </w:rPr>
        <w:tab/>
      </w:r>
      <w:r>
        <w:rPr>
          <w:noProof/>
          <w:webHidden/>
        </w:rPr>
        <w:tab/>
      </w:r>
      <w:r w:rsidRPr="00E30119">
        <w:rPr>
          <w:noProof/>
          <w:webHidden/>
        </w:rPr>
        <w:t>11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1.5.1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Spectrum management policy and planning/allocation of spectrum</w:t>
      </w:r>
      <w:r w:rsidRPr="00E30119">
        <w:rPr>
          <w:noProof/>
          <w:webHidden/>
        </w:rPr>
        <w:tab/>
      </w:r>
      <w:r>
        <w:rPr>
          <w:noProof/>
          <w:webHidden/>
        </w:rPr>
        <w:tab/>
      </w:r>
      <w:r w:rsidRPr="00E30119">
        <w:rPr>
          <w:noProof/>
          <w:webHidden/>
        </w:rPr>
        <w:t>12</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1.5.2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Frequency assignment and licensing</w:t>
      </w:r>
      <w:r w:rsidRPr="00E30119">
        <w:rPr>
          <w:noProof/>
          <w:webHidden/>
        </w:rPr>
        <w:tab/>
      </w:r>
      <w:r>
        <w:rPr>
          <w:noProof/>
          <w:webHidden/>
        </w:rPr>
        <w:tab/>
      </w:r>
      <w:r w:rsidRPr="00E30119">
        <w:rPr>
          <w:noProof/>
          <w:webHidden/>
        </w:rPr>
        <w:t>12</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1.5.3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International cooperation</w:t>
      </w:r>
      <w:r w:rsidRPr="00E30119">
        <w:rPr>
          <w:noProof/>
          <w:webHidden/>
        </w:rPr>
        <w:tab/>
      </w:r>
      <w:r>
        <w:rPr>
          <w:noProof/>
          <w:webHidden/>
        </w:rPr>
        <w:tab/>
      </w:r>
      <w:r w:rsidRPr="00E30119">
        <w:rPr>
          <w:noProof/>
          <w:webHidden/>
        </w:rPr>
        <w:t>12</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1.5.4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Liaison and consultation</w:t>
      </w:r>
      <w:r w:rsidRPr="00E30119">
        <w:rPr>
          <w:noProof/>
          <w:webHidden/>
        </w:rPr>
        <w:tab/>
      </w:r>
      <w:r>
        <w:rPr>
          <w:noProof/>
          <w:webHidden/>
        </w:rPr>
        <w:tab/>
      </w:r>
      <w:r w:rsidRPr="00E30119">
        <w:rPr>
          <w:noProof/>
          <w:webHidden/>
        </w:rPr>
        <w:t>12</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1.5.5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Spectrum engineering support</w:t>
      </w:r>
      <w:r w:rsidRPr="00E30119">
        <w:rPr>
          <w:noProof/>
          <w:webHidden/>
        </w:rPr>
        <w:tab/>
      </w:r>
      <w:r>
        <w:rPr>
          <w:noProof/>
          <w:webHidden/>
        </w:rPr>
        <w:tab/>
      </w:r>
      <w:r w:rsidRPr="00E30119">
        <w:rPr>
          <w:noProof/>
          <w:webHidden/>
        </w:rPr>
        <w:t>12</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1.5.6</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Computer support</w:t>
      </w:r>
      <w:r w:rsidRPr="00E30119">
        <w:rPr>
          <w:noProof/>
          <w:webHidden/>
        </w:rPr>
        <w:tab/>
      </w:r>
      <w:r>
        <w:rPr>
          <w:noProof/>
          <w:webHidden/>
        </w:rPr>
        <w:tab/>
      </w:r>
      <w:r w:rsidRPr="00E30119">
        <w:rPr>
          <w:noProof/>
          <w:webHidden/>
        </w:rPr>
        <w:t>13</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1.6</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Performance of spectrum management functions</w:t>
      </w:r>
      <w:r w:rsidRPr="00E30119">
        <w:rPr>
          <w:noProof/>
          <w:webHidden/>
        </w:rPr>
        <w:tab/>
      </w:r>
      <w:r>
        <w:rPr>
          <w:noProof/>
          <w:webHidden/>
        </w:rPr>
        <w:tab/>
      </w:r>
      <w:r w:rsidRPr="00E30119">
        <w:rPr>
          <w:noProof/>
          <w:webHidden/>
        </w:rPr>
        <w:t>13</w:t>
      </w:r>
    </w:p>
    <w:p w:rsidR="00E30119" w:rsidRPr="00E30119" w:rsidRDefault="00E30119">
      <w:pPr>
        <w:pStyle w:val="TOC1"/>
        <w:rPr>
          <w:rFonts w:asciiTheme="minorHAnsi" w:eastAsiaTheme="minorEastAsia" w:hAnsiTheme="minorHAnsi" w:cstheme="minorBidi"/>
          <w:noProof/>
          <w:sz w:val="22"/>
          <w:szCs w:val="22"/>
          <w:lang w:eastAsia="zh-CN"/>
        </w:rPr>
      </w:pPr>
      <w:r w:rsidRPr="00E30119">
        <w:rPr>
          <w:rStyle w:val="Hyperlink"/>
          <w:noProof/>
          <w:color w:val="auto"/>
          <w:u w:val="none"/>
        </w:rPr>
        <w:t>CHAPTER 2 – Strategies for spectrum financing mechanisms</w:t>
      </w:r>
      <w:r w:rsidRPr="00E30119">
        <w:rPr>
          <w:noProof/>
          <w:webHidden/>
        </w:rPr>
        <w:tab/>
      </w:r>
      <w:r>
        <w:rPr>
          <w:noProof/>
          <w:webHidden/>
        </w:rPr>
        <w:tab/>
      </w:r>
      <w:r w:rsidRPr="00E30119">
        <w:rPr>
          <w:noProof/>
          <w:webHidden/>
        </w:rPr>
        <w:t>13</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2.1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Background</w:t>
      </w:r>
      <w:r w:rsidRPr="00E30119">
        <w:rPr>
          <w:noProof/>
          <w:webHidden/>
        </w:rPr>
        <w:tab/>
      </w:r>
      <w:r>
        <w:rPr>
          <w:noProof/>
          <w:webHidden/>
        </w:rPr>
        <w:tab/>
      </w:r>
      <w:r w:rsidRPr="00E30119">
        <w:rPr>
          <w:noProof/>
          <w:webHidden/>
        </w:rPr>
        <w:t>13</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2.2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Basic principles for financing national spectrum management</w:t>
      </w:r>
      <w:r w:rsidRPr="00E30119">
        <w:rPr>
          <w:noProof/>
          <w:webHidden/>
        </w:rPr>
        <w:tab/>
      </w:r>
      <w:r>
        <w:rPr>
          <w:noProof/>
          <w:webHidden/>
        </w:rPr>
        <w:tab/>
      </w:r>
      <w:r w:rsidRPr="00E30119">
        <w:rPr>
          <w:noProof/>
          <w:webHidden/>
        </w:rPr>
        <w:t>13</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2.2.1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Legal principles</w:t>
      </w:r>
      <w:r w:rsidRPr="00E30119">
        <w:rPr>
          <w:noProof/>
          <w:webHidden/>
        </w:rPr>
        <w:tab/>
      </w:r>
      <w:r>
        <w:rPr>
          <w:noProof/>
          <w:webHidden/>
        </w:rPr>
        <w:tab/>
      </w:r>
      <w:r w:rsidRPr="00E30119">
        <w:rPr>
          <w:noProof/>
          <w:webHidden/>
        </w:rPr>
        <w:t>13</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 xml:space="preserve">2.2.2 </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Economic principles</w:t>
      </w:r>
      <w:r w:rsidRPr="00E30119">
        <w:rPr>
          <w:noProof/>
          <w:webHidden/>
        </w:rPr>
        <w:tab/>
      </w:r>
      <w:r>
        <w:rPr>
          <w:noProof/>
          <w:webHidden/>
        </w:rPr>
        <w:tab/>
      </w:r>
      <w:r w:rsidRPr="00E30119">
        <w:rPr>
          <w:noProof/>
          <w:webHidden/>
        </w:rPr>
        <w:t>14</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2.2.3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Reality principles</w:t>
      </w:r>
      <w:r w:rsidRPr="00E30119">
        <w:rPr>
          <w:noProof/>
          <w:webHidden/>
        </w:rPr>
        <w:tab/>
      </w:r>
      <w:r>
        <w:rPr>
          <w:noProof/>
          <w:webHidden/>
        </w:rPr>
        <w:tab/>
      </w:r>
      <w:r w:rsidRPr="00E30119">
        <w:rPr>
          <w:noProof/>
          <w:webHidden/>
        </w:rPr>
        <w:t>14</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2.2.4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Approaches by different administrations</w:t>
      </w:r>
      <w:r w:rsidRPr="00E30119">
        <w:rPr>
          <w:noProof/>
          <w:webHidden/>
        </w:rPr>
        <w:tab/>
      </w:r>
      <w:r>
        <w:rPr>
          <w:noProof/>
          <w:webHidden/>
        </w:rPr>
        <w:tab/>
      </w:r>
      <w:r w:rsidRPr="00E30119">
        <w:rPr>
          <w:noProof/>
          <w:webHidden/>
        </w:rPr>
        <w:t>15</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2.2.5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Advantages and disadvantages of these approaches</w:t>
      </w:r>
      <w:r w:rsidRPr="00E30119">
        <w:rPr>
          <w:noProof/>
          <w:webHidden/>
        </w:rPr>
        <w:tab/>
      </w:r>
      <w:r>
        <w:rPr>
          <w:noProof/>
          <w:webHidden/>
        </w:rPr>
        <w:tab/>
      </w:r>
      <w:r w:rsidRPr="00E30119">
        <w:rPr>
          <w:noProof/>
          <w:webHidden/>
        </w:rPr>
        <w:t>15</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2.3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Economic approaches used to promote efficient national spectrum management</w:t>
      </w:r>
      <w:r w:rsidRPr="00E30119">
        <w:rPr>
          <w:noProof/>
          <w:webHidden/>
        </w:rPr>
        <w:tab/>
      </w:r>
      <w:r>
        <w:rPr>
          <w:noProof/>
          <w:webHidden/>
        </w:rPr>
        <w:tab/>
      </w:r>
      <w:r w:rsidRPr="00E30119">
        <w:rPr>
          <w:noProof/>
          <w:webHidden/>
        </w:rPr>
        <w:t>16</w:t>
      </w:r>
    </w:p>
    <w:p w:rsidR="00E30119" w:rsidRDefault="00E30119" w:rsidP="00E30119">
      <w:pPr>
        <w:pStyle w:val="toc0"/>
        <w:keepNext/>
        <w:keepLines/>
        <w:ind w:right="992"/>
        <w:rPr>
          <w:lang w:val="en-US"/>
        </w:rPr>
      </w:pPr>
      <w:r w:rsidRPr="004A4E59">
        <w:rPr>
          <w:lang w:val="en-US"/>
        </w:rPr>
        <w:lastRenderedPageBreak/>
        <w:tab/>
        <w:t>Page</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2.3.1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Spectrum assignment methods</w:t>
      </w:r>
      <w:r w:rsidRPr="00E30119">
        <w:rPr>
          <w:noProof/>
          <w:webHidden/>
        </w:rPr>
        <w:tab/>
      </w:r>
      <w:r>
        <w:rPr>
          <w:noProof/>
          <w:webHidden/>
        </w:rPr>
        <w:tab/>
      </w:r>
      <w:r w:rsidRPr="00E30119">
        <w:rPr>
          <w:noProof/>
          <w:webHidden/>
        </w:rPr>
        <w:t>17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2.3.2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Transferable and flexible spectrum rights</w:t>
      </w:r>
      <w:r w:rsidRPr="00E30119">
        <w:rPr>
          <w:noProof/>
          <w:webHidden/>
        </w:rPr>
        <w:tab/>
      </w:r>
      <w:r>
        <w:rPr>
          <w:noProof/>
          <w:webHidden/>
        </w:rPr>
        <w:tab/>
      </w:r>
      <w:r w:rsidRPr="00E30119">
        <w:rPr>
          <w:noProof/>
          <w:webHidden/>
        </w:rPr>
        <w:t>18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2.3.3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Advantages and disadvantages of auctions and transferable spectrum rights</w:t>
      </w:r>
      <w:r w:rsidRPr="00E30119">
        <w:rPr>
          <w:noProof/>
          <w:webHidden/>
        </w:rPr>
        <w:tab/>
      </w:r>
      <w:r>
        <w:rPr>
          <w:noProof/>
          <w:webHidden/>
        </w:rPr>
        <w:tab/>
      </w:r>
      <w:r w:rsidRPr="00E30119">
        <w:rPr>
          <w:noProof/>
          <w:webHidden/>
        </w:rPr>
        <w:t>19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2.3.4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Licence fees</w:t>
      </w:r>
      <w:r w:rsidRPr="00E30119">
        <w:rPr>
          <w:noProof/>
          <w:webHidden/>
        </w:rPr>
        <w:tab/>
      </w:r>
      <w:r>
        <w:rPr>
          <w:noProof/>
          <w:webHidden/>
        </w:rPr>
        <w:tab/>
      </w:r>
      <w:r w:rsidRPr="00E30119">
        <w:rPr>
          <w:noProof/>
          <w:webHidden/>
        </w:rPr>
        <w:t>20</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2.3.5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Advantages and disadvantages of fee approaches</w:t>
      </w:r>
      <w:r w:rsidRPr="00E30119">
        <w:rPr>
          <w:noProof/>
          <w:webHidden/>
        </w:rPr>
        <w:tab/>
      </w:r>
      <w:r>
        <w:rPr>
          <w:noProof/>
          <w:webHidden/>
        </w:rPr>
        <w:tab/>
      </w:r>
      <w:r w:rsidRPr="00E30119">
        <w:rPr>
          <w:noProof/>
          <w:webHidden/>
        </w:rPr>
        <w:t>24</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2.4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Factors that could affect various economic approaches</w:t>
      </w:r>
      <w:r w:rsidRPr="00E30119">
        <w:rPr>
          <w:noProof/>
          <w:webHidden/>
        </w:rPr>
        <w:tab/>
      </w:r>
      <w:r>
        <w:rPr>
          <w:noProof/>
          <w:webHidden/>
        </w:rPr>
        <w:tab/>
      </w:r>
      <w:r w:rsidRPr="00E30119">
        <w:rPr>
          <w:noProof/>
          <w:webHidden/>
        </w:rPr>
        <w:t>26</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2.4.1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Auctions</w:t>
      </w:r>
      <w:r w:rsidRPr="00E30119">
        <w:rPr>
          <w:noProof/>
          <w:webHidden/>
        </w:rPr>
        <w:tab/>
      </w:r>
      <w:r>
        <w:rPr>
          <w:noProof/>
          <w:webHidden/>
        </w:rPr>
        <w:tab/>
      </w:r>
      <w:r w:rsidRPr="00E30119">
        <w:rPr>
          <w:noProof/>
          <w:webHidden/>
        </w:rPr>
        <w:t>27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2.4.2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Transferable property rights</w:t>
      </w:r>
      <w:r w:rsidRPr="00E30119">
        <w:rPr>
          <w:noProof/>
          <w:webHidden/>
        </w:rPr>
        <w:tab/>
      </w:r>
      <w:r>
        <w:rPr>
          <w:noProof/>
          <w:webHidden/>
        </w:rPr>
        <w:tab/>
      </w:r>
      <w:r w:rsidRPr="00E30119">
        <w:rPr>
          <w:noProof/>
          <w:webHidden/>
        </w:rPr>
        <w:t>28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2.4.3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Licence fees</w:t>
      </w:r>
      <w:r w:rsidRPr="00E30119">
        <w:rPr>
          <w:noProof/>
          <w:webHidden/>
        </w:rPr>
        <w:tab/>
      </w:r>
      <w:r>
        <w:rPr>
          <w:noProof/>
          <w:webHidden/>
        </w:rPr>
        <w:tab/>
      </w:r>
      <w:r w:rsidRPr="00E30119">
        <w:rPr>
          <w:noProof/>
          <w:webHidden/>
        </w:rPr>
        <w:t>28</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2.5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Managing a change in spectrum management funding</w:t>
      </w:r>
      <w:r w:rsidRPr="00E30119">
        <w:rPr>
          <w:noProof/>
          <w:webHidden/>
        </w:rPr>
        <w:tab/>
      </w:r>
      <w:r>
        <w:rPr>
          <w:noProof/>
          <w:webHidden/>
        </w:rPr>
        <w:tab/>
      </w:r>
      <w:r w:rsidRPr="00E30119">
        <w:rPr>
          <w:noProof/>
          <w:webHidden/>
        </w:rPr>
        <w:t>29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2.5.1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Legal</w:t>
      </w:r>
      <w:r w:rsidRPr="00E30119">
        <w:rPr>
          <w:noProof/>
          <w:webHidden/>
        </w:rPr>
        <w:tab/>
      </w:r>
      <w:r>
        <w:rPr>
          <w:noProof/>
          <w:webHidden/>
        </w:rPr>
        <w:tab/>
      </w:r>
      <w:r w:rsidRPr="00E30119">
        <w:rPr>
          <w:noProof/>
          <w:webHidden/>
        </w:rPr>
        <w:t>29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2.5.2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International obligations</w:t>
      </w:r>
      <w:r w:rsidRPr="00E30119">
        <w:rPr>
          <w:noProof/>
          <w:webHidden/>
        </w:rPr>
        <w:tab/>
      </w:r>
      <w:r>
        <w:rPr>
          <w:noProof/>
          <w:webHidden/>
        </w:rPr>
        <w:tab/>
      </w:r>
      <w:r w:rsidRPr="00E30119">
        <w:rPr>
          <w:noProof/>
          <w:webHidden/>
        </w:rPr>
        <w:t>29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2.5.3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Funding implications</w:t>
      </w:r>
      <w:r w:rsidRPr="00E30119">
        <w:rPr>
          <w:noProof/>
          <w:webHidden/>
        </w:rPr>
        <w:tab/>
      </w:r>
      <w:r>
        <w:rPr>
          <w:noProof/>
          <w:webHidden/>
        </w:rPr>
        <w:tab/>
      </w:r>
      <w:r w:rsidRPr="00E30119">
        <w:rPr>
          <w:noProof/>
          <w:webHidden/>
        </w:rPr>
        <w:t>30</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2.6</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Summary</w:t>
      </w:r>
      <w:r w:rsidRPr="00E30119">
        <w:rPr>
          <w:noProof/>
          <w:webHidden/>
        </w:rPr>
        <w:tab/>
      </w:r>
      <w:r>
        <w:rPr>
          <w:noProof/>
          <w:webHidden/>
        </w:rPr>
        <w:tab/>
      </w:r>
      <w:r w:rsidRPr="00E30119">
        <w:rPr>
          <w:noProof/>
          <w:webHidden/>
        </w:rPr>
        <w:t>30</w:t>
      </w:r>
    </w:p>
    <w:p w:rsidR="00E30119" w:rsidRPr="00E30119" w:rsidRDefault="00E30119">
      <w:pPr>
        <w:pStyle w:val="TOC1"/>
        <w:rPr>
          <w:rFonts w:asciiTheme="minorHAnsi" w:eastAsiaTheme="minorEastAsia" w:hAnsiTheme="minorHAnsi" w:cstheme="minorBidi"/>
          <w:noProof/>
          <w:sz w:val="22"/>
          <w:szCs w:val="22"/>
          <w:lang w:eastAsia="zh-CN"/>
        </w:rPr>
      </w:pPr>
      <w:r w:rsidRPr="00E30119">
        <w:rPr>
          <w:rStyle w:val="Hyperlink"/>
          <w:noProof/>
          <w:color w:val="auto"/>
          <w:u w:val="none"/>
        </w:rPr>
        <w:t>CHAPTER 3 – Assessment of the benefits of using the radio spectrum</w:t>
      </w:r>
      <w:r w:rsidRPr="00E30119">
        <w:rPr>
          <w:noProof/>
          <w:webHidden/>
        </w:rPr>
        <w:tab/>
      </w:r>
      <w:r>
        <w:rPr>
          <w:noProof/>
          <w:webHidden/>
        </w:rPr>
        <w:tab/>
      </w:r>
      <w:r w:rsidRPr="00E30119">
        <w:rPr>
          <w:noProof/>
          <w:webHidden/>
        </w:rPr>
        <w:t>30</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3.1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Background</w:t>
      </w:r>
      <w:r w:rsidRPr="00E30119">
        <w:rPr>
          <w:noProof/>
          <w:webHidden/>
        </w:rPr>
        <w:tab/>
      </w:r>
      <w:r>
        <w:rPr>
          <w:noProof/>
          <w:webHidden/>
        </w:rPr>
        <w:tab/>
      </w:r>
      <w:r w:rsidRPr="00E30119">
        <w:rPr>
          <w:noProof/>
          <w:webHidden/>
        </w:rPr>
        <w:t>30</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3.2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Methods of assessing the spectrum’s economic benefits</w:t>
      </w:r>
      <w:r w:rsidRPr="00E30119">
        <w:rPr>
          <w:noProof/>
          <w:webHidden/>
        </w:rPr>
        <w:tab/>
      </w:r>
      <w:r>
        <w:rPr>
          <w:noProof/>
          <w:webHidden/>
        </w:rPr>
        <w:tab/>
      </w:r>
      <w:r w:rsidRPr="00E30119">
        <w:rPr>
          <w:noProof/>
          <w:webHidden/>
        </w:rPr>
        <w:t>31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3.2.1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GDP and employment</w:t>
      </w:r>
      <w:r w:rsidRPr="00E30119">
        <w:rPr>
          <w:noProof/>
          <w:webHidden/>
        </w:rPr>
        <w:tab/>
      </w:r>
      <w:r>
        <w:rPr>
          <w:noProof/>
          <w:webHidden/>
        </w:rPr>
        <w:tab/>
      </w:r>
      <w:r w:rsidRPr="00E30119">
        <w:rPr>
          <w:noProof/>
          <w:webHidden/>
        </w:rPr>
        <w:t>31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3.2.2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Consumer and producer surplus</w:t>
      </w:r>
      <w:r w:rsidRPr="00E30119">
        <w:rPr>
          <w:noProof/>
          <w:webHidden/>
        </w:rPr>
        <w:tab/>
      </w:r>
      <w:r>
        <w:rPr>
          <w:noProof/>
          <w:webHidden/>
        </w:rPr>
        <w:tab/>
      </w:r>
      <w:r w:rsidRPr="00E30119">
        <w:rPr>
          <w:noProof/>
          <w:webHidden/>
        </w:rPr>
        <w:t>34</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3.2.3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The link between economic and social benefits</w:t>
      </w:r>
      <w:r w:rsidRPr="00E30119">
        <w:rPr>
          <w:noProof/>
          <w:webHidden/>
        </w:rPr>
        <w:tab/>
      </w:r>
      <w:r>
        <w:rPr>
          <w:noProof/>
          <w:webHidden/>
        </w:rPr>
        <w:tab/>
      </w:r>
      <w:r w:rsidRPr="00E30119">
        <w:rPr>
          <w:noProof/>
          <w:webHidden/>
        </w:rPr>
        <w:t>35</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3.2.4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Comparison of the methods for quantifying economic benefits</w:t>
      </w:r>
      <w:r w:rsidRPr="00E30119">
        <w:rPr>
          <w:noProof/>
          <w:webHidden/>
        </w:rPr>
        <w:tab/>
      </w:r>
      <w:r>
        <w:rPr>
          <w:noProof/>
          <w:webHidden/>
        </w:rPr>
        <w:tab/>
      </w:r>
      <w:r w:rsidRPr="00E30119">
        <w:rPr>
          <w:noProof/>
          <w:webHidden/>
        </w:rPr>
        <w:t>35</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3.3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Potential uses for economic assessment</w:t>
      </w:r>
      <w:r w:rsidRPr="00E30119">
        <w:rPr>
          <w:noProof/>
          <w:webHidden/>
        </w:rPr>
        <w:tab/>
      </w:r>
      <w:r>
        <w:rPr>
          <w:noProof/>
          <w:webHidden/>
        </w:rPr>
        <w:tab/>
      </w:r>
      <w:r w:rsidRPr="00E30119">
        <w:rPr>
          <w:noProof/>
          <w:webHidden/>
        </w:rPr>
        <w:t>37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3.3.1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Applications for funding spectrum management activities</w:t>
      </w:r>
      <w:r w:rsidRPr="00E30119">
        <w:rPr>
          <w:noProof/>
          <w:webHidden/>
        </w:rPr>
        <w:tab/>
      </w:r>
      <w:r>
        <w:rPr>
          <w:noProof/>
          <w:webHidden/>
        </w:rPr>
        <w:tab/>
      </w:r>
      <w:r w:rsidRPr="00E30119">
        <w:rPr>
          <w:noProof/>
          <w:webHidden/>
        </w:rPr>
        <w:t>37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3.3.2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National frequency assignment decisions</w:t>
      </w:r>
      <w:r w:rsidRPr="00E30119">
        <w:rPr>
          <w:noProof/>
          <w:webHidden/>
        </w:rPr>
        <w:tab/>
      </w:r>
      <w:r>
        <w:rPr>
          <w:noProof/>
          <w:webHidden/>
        </w:rPr>
        <w:tab/>
      </w:r>
      <w:r w:rsidRPr="00E30119">
        <w:rPr>
          <w:noProof/>
          <w:webHidden/>
        </w:rPr>
        <w:t>37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3.3.3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Changes in spectrum management national legislation</w:t>
      </w:r>
      <w:r w:rsidRPr="00E30119">
        <w:rPr>
          <w:noProof/>
          <w:webHidden/>
        </w:rPr>
        <w:tab/>
      </w:r>
      <w:r>
        <w:rPr>
          <w:noProof/>
          <w:webHidden/>
        </w:rPr>
        <w:tab/>
      </w:r>
      <w:r w:rsidRPr="00E30119">
        <w:rPr>
          <w:noProof/>
          <w:webHidden/>
        </w:rPr>
        <w:t>38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3.3.4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Support to the spectrum manager on the operation of auctions</w:t>
      </w:r>
      <w:r w:rsidRPr="00E30119">
        <w:rPr>
          <w:noProof/>
          <w:webHidden/>
        </w:rPr>
        <w:tab/>
      </w:r>
      <w:r>
        <w:rPr>
          <w:noProof/>
          <w:webHidden/>
        </w:rPr>
        <w:tab/>
      </w:r>
      <w:r w:rsidRPr="00E30119">
        <w:rPr>
          <w:noProof/>
          <w:webHidden/>
        </w:rPr>
        <w:t>38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3.3.5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Using economic assessment to monitor economic performance over time</w:t>
      </w:r>
      <w:r w:rsidRPr="00E30119">
        <w:rPr>
          <w:noProof/>
          <w:webHidden/>
        </w:rPr>
        <w:tab/>
      </w:r>
      <w:r>
        <w:rPr>
          <w:noProof/>
          <w:webHidden/>
        </w:rPr>
        <w:tab/>
      </w:r>
      <w:r w:rsidRPr="00E30119">
        <w:rPr>
          <w:noProof/>
          <w:webHidden/>
        </w:rPr>
        <w:t>38</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3.4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Factors affecting benefits</w:t>
      </w:r>
      <w:r w:rsidRPr="00E30119">
        <w:rPr>
          <w:noProof/>
          <w:webHidden/>
        </w:rPr>
        <w:tab/>
      </w:r>
      <w:r>
        <w:rPr>
          <w:noProof/>
          <w:webHidden/>
        </w:rPr>
        <w:tab/>
      </w:r>
      <w:r w:rsidRPr="00E30119">
        <w:rPr>
          <w:noProof/>
          <w:webHidden/>
        </w:rPr>
        <w:t>39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3.4.1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Frequency availability</w:t>
      </w:r>
      <w:r w:rsidRPr="00E30119">
        <w:rPr>
          <w:noProof/>
          <w:webHidden/>
        </w:rPr>
        <w:tab/>
      </w:r>
      <w:r>
        <w:rPr>
          <w:noProof/>
          <w:webHidden/>
        </w:rPr>
        <w:tab/>
      </w:r>
      <w:r w:rsidRPr="00E30119">
        <w:rPr>
          <w:noProof/>
          <w:webHidden/>
        </w:rPr>
        <w:t>39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3.4.2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Demand</w:t>
      </w:r>
      <w:r w:rsidRPr="00E30119">
        <w:rPr>
          <w:noProof/>
          <w:webHidden/>
        </w:rPr>
        <w:tab/>
      </w:r>
      <w:r>
        <w:rPr>
          <w:noProof/>
          <w:webHidden/>
        </w:rPr>
        <w:tab/>
      </w:r>
      <w:r w:rsidRPr="00E30119">
        <w:rPr>
          <w:noProof/>
          <w:webHidden/>
        </w:rPr>
        <w:t>40</w:t>
      </w:r>
    </w:p>
    <w:p w:rsidR="00E30119" w:rsidRDefault="00E30119" w:rsidP="00E30119">
      <w:pPr>
        <w:pStyle w:val="toc0"/>
        <w:keepNext/>
        <w:keepLines/>
        <w:ind w:right="992"/>
        <w:rPr>
          <w:lang w:val="en-US"/>
        </w:rPr>
      </w:pPr>
      <w:r w:rsidRPr="004A4E59">
        <w:rPr>
          <w:lang w:val="en-US"/>
        </w:rPr>
        <w:lastRenderedPageBreak/>
        <w:tab/>
        <w:t>Page</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3.4.3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The country’s geography</w:t>
      </w:r>
      <w:r w:rsidRPr="00E30119">
        <w:rPr>
          <w:noProof/>
          <w:webHidden/>
        </w:rPr>
        <w:tab/>
      </w:r>
      <w:r>
        <w:rPr>
          <w:noProof/>
          <w:webHidden/>
        </w:rPr>
        <w:tab/>
      </w:r>
      <w:r w:rsidRPr="00E30119">
        <w:rPr>
          <w:noProof/>
          <w:webHidden/>
        </w:rPr>
        <w:t>40</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3.4.4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Variation from country to country</w:t>
      </w:r>
      <w:r w:rsidRPr="00E30119">
        <w:rPr>
          <w:noProof/>
          <w:webHidden/>
        </w:rPr>
        <w:tab/>
      </w:r>
      <w:r>
        <w:rPr>
          <w:noProof/>
          <w:webHidden/>
        </w:rPr>
        <w:tab/>
      </w:r>
      <w:r w:rsidRPr="00E30119">
        <w:rPr>
          <w:noProof/>
          <w:webHidden/>
        </w:rPr>
        <w:t>41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3.4.5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lang w:eastAsia="fr-FR"/>
        </w:rPr>
        <w:t>Factors which may be taken into account in an international comparison of fee levels</w:t>
      </w:r>
      <w:r w:rsidRPr="00E30119">
        <w:rPr>
          <w:noProof/>
          <w:webHidden/>
        </w:rPr>
        <w:tab/>
      </w:r>
      <w:r>
        <w:rPr>
          <w:noProof/>
          <w:webHidden/>
        </w:rPr>
        <w:tab/>
      </w:r>
      <w:r w:rsidRPr="00E30119">
        <w:rPr>
          <w:noProof/>
          <w:webHidden/>
        </w:rPr>
        <w:t>41</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3.5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Summary</w:t>
      </w:r>
      <w:r w:rsidRPr="00E30119">
        <w:rPr>
          <w:noProof/>
          <w:webHidden/>
        </w:rPr>
        <w:tab/>
      </w:r>
      <w:r>
        <w:rPr>
          <w:noProof/>
          <w:webHidden/>
        </w:rPr>
        <w:tab/>
      </w:r>
      <w:r w:rsidRPr="00E30119">
        <w:rPr>
          <w:noProof/>
          <w:webHidden/>
        </w:rPr>
        <w:t>45</w:t>
      </w:r>
    </w:p>
    <w:p w:rsidR="00E30119" w:rsidRPr="00E30119" w:rsidRDefault="00E30119">
      <w:pPr>
        <w:pStyle w:val="TOC1"/>
        <w:rPr>
          <w:rFonts w:asciiTheme="minorHAnsi" w:eastAsiaTheme="minorEastAsia" w:hAnsiTheme="minorHAnsi" w:cstheme="minorBidi"/>
          <w:noProof/>
          <w:sz w:val="22"/>
          <w:szCs w:val="22"/>
          <w:lang w:eastAsia="zh-CN"/>
        </w:rPr>
      </w:pPr>
      <w:r w:rsidRPr="00E30119">
        <w:rPr>
          <w:rStyle w:val="Hyperlink"/>
          <w:noProof/>
          <w:color w:val="auto"/>
          <w:u w:val="none"/>
        </w:rPr>
        <w:t>CHAPTER 4 – Guidelines on methodologies for the establishment of spectrum fees  formula and system</w:t>
      </w:r>
      <w:r w:rsidRPr="00E30119">
        <w:rPr>
          <w:noProof/>
          <w:webHidden/>
        </w:rPr>
        <w:tab/>
      </w:r>
      <w:r>
        <w:rPr>
          <w:noProof/>
          <w:webHidden/>
        </w:rPr>
        <w:tab/>
      </w:r>
      <w:r w:rsidRPr="00E30119">
        <w:rPr>
          <w:noProof/>
          <w:webHidden/>
        </w:rPr>
        <w:t>45</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4.1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Formula development</w:t>
      </w:r>
      <w:r w:rsidRPr="00E30119">
        <w:rPr>
          <w:noProof/>
          <w:webHidden/>
        </w:rPr>
        <w:tab/>
      </w:r>
      <w:r>
        <w:rPr>
          <w:noProof/>
          <w:webHidden/>
        </w:rPr>
        <w:tab/>
      </w:r>
      <w:r w:rsidRPr="00E30119">
        <w:rPr>
          <w:noProof/>
          <w:webHidden/>
        </w:rPr>
        <w:t>45</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4.2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Guidelines for the establishment of administrative fees (or administrative charges)</w:t>
      </w:r>
      <w:r w:rsidRPr="00E30119">
        <w:rPr>
          <w:noProof/>
          <w:webHidden/>
        </w:rPr>
        <w:tab/>
      </w:r>
      <w:r>
        <w:rPr>
          <w:noProof/>
          <w:webHidden/>
        </w:rPr>
        <w:tab/>
      </w:r>
      <w:r w:rsidRPr="00E30119">
        <w:rPr>
          <w:noProof/>
          <w:webHidden/>
        </w:rPr>
        <w:t>45</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4.2.1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Observations and general approaches</w:t>
      </w:r>
      <w:r w:rsidRPr="00E30119">
        <w:rPr>
          <w:noProof/>
          <w:webHidden/>
        </w:rPr>
        <w:tab/>
      </w:r>
      <w:r>
        <w:rPr>
          <w:noProof/>
          <w:webHidden/>
        </w:rPr>
        <w:tab/>
      </w:r>
      <w:r w:rsidRPr="00E30119">
        <w:rPr>
          <w:noProof/>
          <w:webHidden/>
        </w:rPr>
        <w:t>45</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4.2.2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Rule for the allocation of administrative costs – Example 1</w:t>
      </w:r>
      <w:r w:rsidRPr="00E30119">
        <w:rPr>
          <w:noProof/>
          <w:webHidden/>
        </w:rPr>
        <w:tab/>
      </w:r>
      <w:r>
        <w:rPr>
          <w:noProof/>
          <w:webHidden/>
        </w:rPr>
        <w:tab/>
      </w:r>
      <w:r w:rsidRPr="00E30119">
        <w:rPr>
          <w:noProof/>
          <w:webHidden/>
        </w:rPr>
        <w:t>46</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4.2.3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Rule for the allocation of administrative costs – Example 2</w:t>
      </w:r>
      <w:r w:rsidRPr="00E30119">
        <w:rPr>
          <w:noProof/>
          <w:webHidden/>
        </w:rPr>
        <w:tab/>
      </w:r>
      <w:r>
        <w:rPr>
          <w:noProof/>
          <w:webHidden/>
        </w:rPr>
        <w:tab/>
      </w:r>
      <w:r w:rsidRPr="00E30119">
        <w:rPr>
          <w:noProof/>
          <w:webHidden/>
        </w:rPr>
        <w:t>46</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4.3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Guidelines for the establishment of spectrum fees</w:t>
      </w:r>
      <w:r w:rsidRPr="00E30119">
        <w:rPr>
          <w:noProof/>
          <w:webHidden/>
        </w:rPr>
        <w:tab/>
      </w:r>
      <w:r>
        <w:rPr>
          <w:noProof/>
          <w:webHidden/>
        </w:rPr>
        <w:tab/>
      </w:r>
      <w:r w:rsidRPr="00E30119">
        <w:rPr>
          <w:noProof/>
          <w:webHidden/>
        </w:rPr>
        <w:t>47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4.3.1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Defining the goals of the spectrum fees</w:t>
      </w:r>
      <w:r w:rsidRPr="00E30119">
        <w:rPr>
          <w:noProof/>
          <w:webHidden/>
        </w:rPr>
        <w:tab/>
      </w:r>
      <w:r>
        <w:rPr>
          <w:noProof/>
          <w:webHidden/>
        </w:rPr>
        <w:tab/>
      </w:r>
      <w:r w:rsidRPr="00E30119">
        <w:rPr>
          <w:noProof/>
          <w:webHidden/>
        </w:rPr>
        <w:t>47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4.3.2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Demand assessment for the spectrum</w:t>
      </w:r>
      <w:r w:rsidRPr="00E30119">
        <w:rPr>
          <w:noProof/>
          <w:webHidden/>
        </w:rPr>
        <w:tab/>
      </w:r>
      <w:r>
        <w:rPr>
          <w:noProof/>
          <w:webHidden/>
        </w:rPr>
        <w:tab/>
      </w:r>
      <w:r w:rsidRPr="00E30119">
        <w:rPr>
          <w:noProof/>
          <w:webHidden/>
        </w:rPr>
        <w:t>47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4.3.3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Cost assessment for the spectrum</w:t>
      </w:r>
      <w:r w:rsidRPr="00E30119">
        <w:rPr>
          <w:noProof/>
          <w:webHidden/>
        </w:rPr>
        <w:tab/>
      </w:r>
      <w:r>
        <w:rPr>
          <w:noProof/>
          <w:webHidden/>
        </w:rPr>
        <w:tab/>
      </w:r>
      <w:r w:rsidRPr="00E30119">
        <w:rPr>
          <w:noProof/>
          <w:webHidden/>
        </w:rPr>
        <w:t>47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4.3.4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Choosing the fees approach</w:t>
      </w:r>
      <w:r w:rsidRPr="00E30119">
        <w:rPr>
          <w:noProof/>
          <w:webHidden/>
        </w:rPr>
        <w:tab/>
      </w:r>
      <w:r>
        <w:rPr>
          <w:noProof/>
          <w:webHidden/>
        </w:rPr>
        <w:tab/>
      </w:r>
      <w:r w:rsidRPr="00E30119">
        <w:rPr>
          <w:noProof/>
          <w:webHidden/>
        </w:rPr>
        <w:t>47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4.3.5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Determining the fees</w:t>
      </w:r>
      <w:r w:rsidRPr="00E30119">
        <w:rPr>
          <w:noProof/>
          <w:webHidden/>
        </w:rPr>
        <w:tab/>
      </w:r>
      <w:r>
        <w:rPr>
          <w:noProof/>
          <w:webHidden/>
        </w:rPr>
        <w:tab/>
      </w:r>
      <w:r w:rsidRPr="00E30119">
        <w:rPr>
          <w:noProof/>
          <w:webHidden/>
        </w:rPr>
        <w:t>48</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4.4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Examples of formulas for fee calculation</w:t>
      </w:r>
      <w:r w:rsidRPr="00E30119">
        <w:rPr>
          <w:noProof/>
          <w:webHidden/>
        </w:rPr>
        <w:tab/>
      </w:r>
      <w:r>
        <w:rPr>
          <w:noProof/>
          <w:webHidden/>
        </w:rPr>
        <w:tab/>
      </w:r>
      <w:r w:rsidRPr="00E30119">
        <w:rPr>
          <w:noProof/>
          <w:webHidden/>
        </w:rPr>
        <w:t>48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4.4.1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Notations and definitions of coefficients</w:t>
      </w:r>
      <w:r w:rsidRPr="00E30119">
        <w:rPr>
          <w:noProof/>
          <w:webHidden/>
        </w:rPr>
        <w:tab/>
      </w:r>
      <w:r>
        <w:rPr>
          <w:noProof/>
          <w:webHidden/>
        </w:rPr>
        <w:tab/>
      </w:r>
      <w:r w:rsidRPr="00E30119">
        <w:rPr>
          <w:noProof/>
          <w:webHidden/>
        </w:rPr>
        <w:t>48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 xml:space="preserve">4.4.2 </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Fee applied to a point-to-point fixed-service assignment</w:t>
      </w:r>
      <w:r w:rsidRPr="00E30119">
        <w:rPr>
          <w:noProof/>
          <w:webHidden/>
        </w:rPr>
        <w:tab/>
      </w:r>
      <w:r>
        <w:rPr>
          <w:noProof/>
          <w:webHidden/>
        </w:rPr>
        <w:tab/>
      </w:r>
      <w:r w:rsidRPr="00E30119">
        <w:rPr>
          <w:noProof/>
          <w:webHidden/>
        </w:rPr>
        <w:t>48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 xml:space="preserve">4.4.3 </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Fee applied to a point-to-point fixed-service allotment</w:t>
      </w:r>
      <w:r w:rsidRPr="00E30119">
        <w:rPr>
          <w:noProof/>
          <w:webHidden/>
        </w:rPr>
        <w:tab/>
      </w:r>
      <w:r>
        <w:rPr>
          <w:noProof/>
          <w:webHidden/>
        </w:rPr>
        <w:tab/>
      </w:r>
      <w:r w:rsidRPr="00E30119">
        <w:rPr>
          <w:noProof/>
          <w:webHidden/>
        </w:rPr>
        <w:t>48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4.4.4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Fee applied to a wireless local loop allotment in the fixed service</w:t>
      </w:r>
      <w:r w:rsidRPr="00E30119">
        <w:rPr>
          <w:noProof/>
          <w:webHidden/>
        </w:rPr>
        <w:tab/>
      </w:r>
      <w:r>
        <w:rPr>
          <w:noProof/>
          <w:webHidden/>
        </w:rPr>
        <w:tab/>
      </w:r>
      <w:r w:rsidRPr="00E30119">
        <w:rPr>
          <w:noProof/>
          <w:webHidden/>
        </w:rPr>
        <w:t>48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4.4.5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Fee applied to an assignment to an earth station in the fixed or mobile-satellite service</w:t>
      </w:r>
      <w:r w:rsidRPr="00E30119">
        <w:rPr>
          <w:noProof/>
          <w:webHidden/>
        </w:rPr>
        <w:tab/>
      </w:r>
      <w:r>
        <w:rPr>
          <w:noProof/>
          <w:webHidden/>
        </w:rPr>
        <w:tab/>
      </w:r>
      <w:r w:rsidRPr="00E30119">
        <w:rPr>
          <w:noProof/>
          <w:webHidden/>
        </w:rPr>
        <w:t>49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4.4.6</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Fee applied to an allotment in the fixed or mobile-satellite service</w:t>
      </w:r>
      <w:r w:rsidRPr="00E30119">
        <w:rPr>
          <w:noProof/>
          <w:webHidden/>
        </w:rPr>
        <w:tab/>
      </w:r>
      <w:r>
        <w:rPr>
          <w:noProof/>
          <w:webHidden/>
        </w:rPr>
        <w:tab/>
      </w:r>
      <w:r w:rsidRPr="00E30119">
        <w:rPr>
          <w:noProof/>
          <w:webHidden/>
        </w:rPr>
        <w:t>49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4.4.7</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Fee applied to an assignment for private networks in the mobile service</w:t>
      </w:r>
      <w:r w:rsidRPr="00E30119">
        <w:rPr>
          <w:noProof/>
          <w:webHidden/>
        </w:rPr>
        <w:tab/>
      </w:r>
      <w:r>
        <w:rPr>
          <w:noProof/>
          <w:webHidden/>
        </w:rPr>
        <w:tab/>
      </w:r>
      <w:r w:rsidRPr="00E30119">
        <w:rPr>
          <w:noProof/>
          <w:webHidden/>
        </w:rPr>
        <w:t>49</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4.5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Spectrum fees for frequencies used in the provision or marketing of services intended for a</w:t>
      </w:r>
      <w:r w:rsidRPr="00E30119">
        <w:rPr>
          <w:rStyle w:val="Hyperlink"/>
          <w:bCs/>
          <w:noProof/>
          <w:color w:val="auto"/>
          <w:u w:val="none"/>
        </w:rPr>
        <w:t xml:space="preserve"> </w:t>
      </w:r>
      <w:r w:rsidRPr="00E30119">
        <w:rPr>
          <w:rStyle w:val="Hyperlink"/>
          <w:noProof/>
          <w:color w:val="auto"/>
          <w:u w:val="none"/>
        </w:rPr>
        <w:t>consumer market</w:t>
      </w:r>
      <w:r w:rsidRPr="00E30119">
        <w:rPr>
          <w:noProof/>
          <w:webHidden/>
        </w:rPr>
        <w:tab/>
      </w:r>
      <w:r>
        <w:rPr>
          <w:noProof/>
          <w:webHidden/>
        </w:rPr>
        <w:tab/>
      </w:r>
      <w:r w:rsidRPr="00E30119">
        <w:rPr>
          <w:noProof/>
          <w:webHidden/>
        </w:rPr>
        <w:t>49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4.5.1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Observations and general approaches</w:t>
      </w:r>
      <w:r w:rsidRPr="00E30119">
        <w:rPr>
          <w:noProof/>
          <w:webHidden/>
        </w:rPr>
        <w:tab/>
      </w:r>
      <w:r>
        <w:rPr>
          <w:noProof/>
          <w:webHidden/>
        </w:rPr>
        <w:tab/>
      </w:r>
      <w:r w:rsidRPr="00E30119">
        <w:rPr>
          <w:noProof/>
          <w:webHidden/>
        </w:rPr>
        <w:t>49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4.5.2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Example of fees applied to the 2G mobile service</w:t>
      </w:r>
      <w:r w:rsidRPr="00E30119">
        <w:rPr>
          <w:noProof/>
          <w:webHidden/>
        </w:rPr>
        <w:tab/>
      </w:r>
      <w:r>
        <w:rPr>
          <w:noProof/>
          <w:webHidden/>
        </w:rPr>
        <w:tab/>
      </w:r>
      <w:r w:rsidRPr="00E30119">
        <w:rPr>
          <w:noProof/>
          <w:webHidden/>
        </w:rPr>
        <w:t>49</w:t>
      </w:r>
    </w:p>
    <w:p w:rsidR="00E30119" w:rsidRDefault="00E30119" w:rsidP="00E30119">
      <w:pPr>
        <w:pStyle w:val="toc0"/>
        <w:keepNext/>
        <w:keepLines/>
        <w:ind w:right="992"/>
        <w:rPr>
          <w:lang w:val="en-US"/>
        </w:rPr>
      </w:pPr>
      <w:r w:rsidRPr="004A4E59">
        <w:rPr>
          <w:lang w:val="en-US"/>
        </w:rPr>
        <w:lastRenderedPageBreak/>
        <w:tab/>
        <w:t>Page</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4.5.3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Example of fees applied to the 3G mobile service</w:t>
      </w:r>
      <w:r w:rsidRPr="00E30119">
        <w:rPr>
          <w:noProof/>
          <w:webHidden/>
        </w:rPr>
        <w:tab/>
      </w:r>
      <w:r>
        <w:rPr>
          <w:noProof/>
          <w:webHidden/>
        </w:rPr>
        <w:tab/>
      </w:r>
      <w:r w:rsidRPr="00E30119">
        <w:rPr>
          <w:noProof/>
          <w:webHidden/>
        </w:rPr>
        <w:t>49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4.5.4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Another example of fees applied to the fixed wireless local loop service</w:t>
      </w:r>
      <w:r w:rsidRPr="00E30119">
        <w:rPr>
          <w:noProof/>
          <w:webHidden/>
        </w:rPr>
        <w:tab/>
      </w:r>
      <w:r>
        <w:rPr>
          <w:noProof/>
          <w:webHidden/>
        </w:rPr>
        <w:tab/>
      </w:r>
      <w:r w:rsidRPr="00E30119">
        <w:rPr>
          <w:noProof/>
          <w:webHidden/>
        </w:rPr>
        <w:t>50</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 xml:space="preserve">4.5.5 </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Example of fees applied to a television programme producer</w:t>
      </w:r>
      <w:r w:rsidRPr="00E30119">
        <w:rPr>
          <w:noProof/>
          <w:webHidden/>
        </w:rPr>
        <w:tab/>
      </w:r>
      <w:r>
        <w:rPr>
          <w:noProof/>
          <w:webHidden/>
        </w:rPr>
        <w:tab/>
      </w:r>
      <w:r w:rsidRPr="00E30119">
        <w:rPr>
          <w:noProof/>
          <w:webHidden/>
        </w:rPr>
        <w:t>50</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4.6</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An analytical model for calculating license fees on the basis of specified incentives that are designed to promote efficient spectrum use</w:t>
      </w:r>
      <w:r w:rsidRPr="00E30119">
        <w:rPr>
          <w:noProof/>
          <w:webHidden/>
        </w:rPr>
        <w:tab/>
      </w:r>
      <w:r>
        <w:rPr>
          <w:noProof/>
          <w:webHidden/>
        </w:rPr>
        <w:tab/>
      </w:r>
      <w:r w:rsidRPr="00E30119">
        <w:rPr>
          <w:noProof/>
          <w:webHidden/>
        </w:rPr>
        <w:t>50</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4.6.1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General purpose of the model</w:t>
      </w:r>
      <w:r w:rsidRPr="00E30119">
        <w:rPr>
          <w:noProof/>
          <w:webHidden/>
        </w:rPr>
        <w:tab/>
      </w:r>
      <w:r>
        <w:rPr>
          <w:noProof/>
          <w:webHidden/>
        </w:rPr>
        <w:tab/>
      </w:r>
      <w:r w:rsidRPr="00E30119">
        <w:rPr>
          <w:noProof/>
          <w:webHidden/>
        </w:rPr>
        <w:t>51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4.6.2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Steps in the model formulation</w:t>
      </w:r>
      <w:r w:rsidRPr="00E30119">
        <w:rPr>
          <w:noProof/>
          <w:webHidden/>
        </w:rPr>
        <w:tab/>
      </w:r>
      <w:r>
        <w:rPr>
          <w:noProof/>
          <w:webHidden/>
        </w:rPr>
        <w:tab/>
      </w:r>
      <w:r w:rsidRPr="00E30119">
        <w:rPr>
          <w:noProof/>
          <w:webHidden/>
        </w:rPr>
        <w:t>52</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4.6.3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General principles for the model development</w:t>
      </w:r>
      <w:r w:rsidRPr="00E30119">
        <w:rPr>
          <w:noProof/>
          <w:webHidden/>
        </w:rPr>
        <w:tab/>
      </w:r>
      <w:r>
        <w:rPr>
          <w:noProof/>
          <w:webHidden/>
        </w:rPr>
        <w:tab/>
      </w:r>
      <w:r w:rsidRPr="00E30119">
        <w:rPr>
          <w:noProof/>
          <w:webHidden/>
        </w:rPr>
        <w:t>52</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4.6.4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Expenditures and income of a state concerning spectrum management</w:t>
      </w:r>
      <w:r w:rsidRPr="00E30119">
        <w:rPr>
          <w:noProof/>
          <w:webHidden/>
        </w:rPr>
        <w:tab/>
      </w:r>
      <w:r>
        <w:rPr>
          <w:noProof/>
          <w:webHidden/>
        </w:rPr>
        <w:tab/>
      </w:r>
      <w:r w:rsidRPr="00E30119">
        <w:rPr>
          <w:noProof/>
          <w:webHidden/>
        </w:rPr>
        <w:t>53</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4.6.5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Determination of the used spectral resource value</w:t>
      </w:r>
      <w:r w:rsidRPr="00E30119">
        <w:rPr>
          <w:noProof/>
          <w:webHidden/>
        </w:rPr>
        <w:tab/>
      </w:r>
      <w:r>
        <w:rPr>
          <w:noProof/>
          <w:webHidden/>
        </w:rPr>
        <w:tab/>
      </w:r>
      <w:r w:rsidRPr="00E30119">
        <w:rPr>
          <w:noProof/>
          <w:webHidden/>
        </w:rPr>
        <w:t>54</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4.6.6</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Determination of a time resource used by an emission</w:t>
      </w:r>
      <w:r w:rsidRPr="00E30119">
        <w:rPr>
          <w:noProof/>
          <w:webHidden/>
        </w:rPr>
        <w:tab/>
      </w:r>
      <w:r>
        <w:rPr>
          <w:noProof/>
          <w:webHidden/>
        </w:rPr>
        <w:tab/>
      </w:r>
      <w:r w:rsidRPr="00E30119">
        <w:rPr>
          <w:noProof/>
          <w:webHidden/>
        </w:rPr>
        <w:t>55</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4.6.7</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Determination of a territorial resource used by an emission</w:t>
      </w:r>
      <w:r w:rsidRPr="00E30119">
        <w:rPr>
          <w:noProof/>
          <w:webHidden/>
        </w:rPr>
        <w:tab/>
      </w:r>
      <w:r>
        <w:rPr>
          <w:noProof/>
          <w:webHidden/>
        </w:rPr>
        <w:tab/>
      </w:r>
      <w:r w:rsidRPr="00E30119">
        <w:rPr>
          <w:noProof/>
          <w:webHidden/>
        </w:rPr>
        <w:t>55</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4.6.8</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Determination of a frequency resource used by an emission</w:t>
      </w:r>
      <w:r w:rsidRPr="00E30119">
        <w:rPr>
          <w:noProof/>
          <w:webHidden/>
        </w:rPr>
        <w:tab/>
      </w:r>
      <w:r>
        <w:rPr>
          <w:noProof/>
          <w:webHidden/>
        </w:rPr>
        <w:tab/>
      </w:r>
      <w:r w:rsidRPr="00E30119">
        <w:rPr>
          <w:noProof/>
          <w:webHidden/>
        </w:rPr>
        <w:t>56</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4.6.9</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Determination of weighting coefficients</w:t>
      </w:r>
      <w:r w:rsidRPr="00E30119">
        <w:rPr>
          <w:noProof/>
          <w:webHidden/>
        </w:rPr>
        <w:tab/>
      </w:r>
      <w:r>
        <w:rPr>
          <w:noProof/>
          <w:webHidden/>
        </w:rPr>
        <w:tab/>
      </w:r>
      <w:r w:rsidRPr="00E30119">
        <w:rPr>
          <w:noProof/>
          <w:webHidden/>
        </w:rPr>
        <w:t>57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rFonts w:eastAsia="SimSun"/>
          <w:noProof/>
          <w:color w:val="auto"/>
          <w:u w:val="none"/>
          <w:lang w:eastAsia="zh-CN"/>
        </w:rPr>
        <w:t>4.6.10</w:t>
      </w:r>
      <w:r w:rsidRPr="00E30119">
        <w:rPr>
          <w:rFonts w:asciiTheme="minorHAnsi" w:eastAsiaTheme="minorEastAsia" w:hAnsiTheme="minorHAnsi" w:cstheme="minorBidi"/>
          <w:noProof/>
          <w:sz w:val="22"/>
          <w:szCs w:val="22"/>
          <w:lang w:eastAsia="zh-CN"/>
        </w:rPr>
        <w:tab/>
      </w:r>
      <w:r w:rsidRPr="00E30119">
        <w:rPr>
          <w:rStyle w:val="Hyperlink"/>
          <w:rFonts w:eastAsia="SimSun"/>
          <w:noProof/>
          <w:color w:val="auto"/>
          <w:u w:val="none"/>
          <w:lang w:eastAsia="zh-CN"/>
        </w:rPr>
        <w:t>Determination of the whole value of the used spectral resource</w:t>
      </w:r>
      <w:r w:rsidRPr="00E30119">
        <w:rPr>
          <w:noProof/>
          <w:webHidden/>
        </w:rPr>
        <w:tab/>
      </w:r>
      <w:r>
        <w:rPr>
          <w:noProof/>
          <w:webHidden/>
        </w:rPr>
        <w:tab/>
      </w:r>
      <w:r w:rsidRPr="00E30119">
        <w:rPr>
          <w:noProof/>
          <w:webHidden/>
        </w:rPr>
        <w:t>58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rFonts w:eastAsia="SimSun"/>
          <w:noProof/>
          <w:color w:val="auto"/>
          <w:u w:val="none"/>
          <w:lang w:eastAsia="zh-CN"/>
        </w:rPr>
        <w:t>4.6.11</w:t>
      </w:r>
      <w:r w:rsidRPr="00E30119">
        <w:rPr>
          <w:rFonts w:asciiTheme="minorHAnsi" w:eastAsiaTheme="minorEastAsia" w:hAnsiTheme="minorHAnsi" w:cstheme="minorBidi"/>
          <w:noProof/>
          <w:sz w:val="22"/>
          <w:szCs w:val="22"/>
          <w:lang w:eastAsia="zh-CN"/>
        </w:rPr>
        <w:tab/>
      </w:r>
      <w:r w:rsidRPr="00E30119">
        <w:rPr>
          <w:rStyle w:val="Hyperlink"/>
          <w:rFonts w:eastAsia="SimSun"/>
          <w:noProof/>
          <w:color w:val="auto"/>
          <w:u w:val="none"/>
          <w:lang w:eastAsia="zh-CN"/>
        </w:rPr>
        <w:t>Price for the qualified unit of the used spectral resource</w:t>
      </w:r>
      <w:r w:rsidRPr="00E30119">
        <w:rPr>
          <w:noProof/>
          <w:webHidden/>
        </w:rPr>
        <w:tab/>
      </w:r>
      <w:r>
        <w:rPr>
          <w:noProof/>
          <w:webHidden/>
        </w:rPr>
        <w:tab/>
      </w:r>
      <w:r w:rsidRPr="00E30119">
        <w:rPr>
          <w:noProof/>
          <w:webHidden/>
        </w:rPr>
        <w:t>59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rFonts w:eastAsia="SimSun"/>
          <w:noProof/>
          <w:color w:val="auto"/>
          <w:u w:val="none"/>
          <w:lang w:eastAsia="zh-CN"/>
        </w:rPr>
        <w:t>4.6.12</w:t>
      </w:r>
      <w:r w:rsidRPr="00E30119">
        <w:rPr>
          <w:rFonts w:asciiTheme="minorHAnsi" w:eastAsiaTheme="minorEastAsia" w:hAnsiTheme="minorHAnsi" w:cstheme="minorBidi"/>
          <w:noProof/>
          <w:sz w:val="22"/>
          <w:szCs w:val="22"/>
          <w:lang w:eastAsia="zh-CN"/>
        </w:rPr>
        <w:tab/>
      </w:r>
      <w:r w:rsidRPr="00E30119">
        <w:rPr>
          <w:rStyle w:val="Hyperlink"/>
          <w:rFonts w:eastAsia="SimSun"/>
          <w:noProof/>
          <w:color w:val="auto"/>
          <w:u w:val="none"/>
          <w:lang w:eastAsia="zh-CN"/>
        </w:rPr>
        <w:t>Annual fees for particular frequency assignment</w:t>
      </w:r>
      <w:r w:rsidRPr="00E30119">
        <w:rPr>
          <w:noProof/>
          <w:webHidden/>
        </w:rPr>
        <w:tab/>
      </w:r>
      <w:r>
        <w:rPr>
          <w:noProof/>
          <w:webHidden/>
        </w:rPr>
        <w:tab/>
      </w:r>
      <w:r w:rsidRPr="00E30119">
        <w:rPr>
          <w:noProof/>
          <w:webHidden/>
        </w:rPr>
        <w:t>59</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4.7</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Procedures and examples of used spectral resource calculations in application to different radio services</w:t>
      </w:r>
      <w:r w:rsidRPr="00E30119">
        <w:rPr>
          <w:noProof/>
          <w:webHidden/>
        </w:rPr>
        <w:tab/>
      </w:r>
      <w:r>
        <w:rPr>
          <w:noProof/>
          <w:webHidden/>
        </w:rPr>
        <w:tab/>
      </w:r>
      <w:r w:rsidRPr="00E30119">
        <w:rPr>
          <w:noProof/>
          <w:webHidden/>
        </w:rPr>
        <w:t>59</w:t>
      </w:r>
    </w:p>
    <w:p w:rsidR="00E30119" w:rsidRPr="00E30119" w:rsidRDefault="00E30119" w:rsidP="002D6684">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4.7.1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VHF/UHF sound and TV radio broadcasting calculation procedures</w:t>
      </w:r>
      <w:r w:rsidR="002D6684">
        <w:rPr>
          <w:rStyle w:val="Hyperlink"/>
          <w:noProof/>
          <w:color w:val="auto"/>
          <w:u w:val="none"/>
        </w:rPr>
        <w:t xml:space="preserve"> .</w:t>
      </w:r>
      <w:r w:rsidRPr="00E30119">
        <w:rPr>
          <w:noProof/>
          <w:webHidden/>
        </w:rPr>
        <w:tab/>
      </w:r>
      <w:r>
        <w:rPr>
          <w:noProof/>
          <w:webHidden/>
        </w:rPr>
        <w:tab/>
      </w:r>
      <w:r w:rsidRPr="00E30119">
        <w:rPr>
          <w:noProof/>
          <w:webHidden/>
        </w:rPr>
        <w:t>60</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4.7.2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Example of calculations</w:t>
      </w:r>
      <w:r w:rsidRPr="00E30119">
        <w:rPr>
          <w:noProof/>
          <w:webHidden/>
        </w:rPr>
        <w:tab/>
      </w:r>
      <w:r w:rsidR="002D6684">
        <w:rPr>
          <w:noProof/>
          <w:webHidden/>
        </w:rPr>
        <w:tab/>
      </w:r>
      <w:r w:rsidRPr="00E30119">
        <w:rPr>
          <w:noProof/>
          <w:webHidden/>
        </w:rPr>
        <w:t>71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4.7.3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LF-HF sound broadcasting</w:t>
      </w:r>
      <w:r w:rsidRPr="00E30119">
        <w:rPr>
          <w:noProof/>
          <w:webHidden/>
        </w:rPr>
        <w:tab/>
      </w:r>
      <w:r w:rsidR="002D6684">
        <w:rPr>
          <w:noProof/>
          <w:webHidden/>
        </w:rPr>
        <w:tab/>
      </w:r>
      <w:r w:rsidRPr="00E30119">
        <w:rPr>
          <w:noProof/>
          <w:webHidden/>
        </w:rPr>
        <w:t>72</w:t>
      </w:r>
    </w:p>
    <w:p w:rsidR="00E30119" w:rsidRPr="002D6684" w:rsidRDefault="00E30119">
      <w:pPr>
        <w:pStyle w:val="TOC3"/>
        <w:rPr>
          <w:rFonts w:asciiTheme="minorHAnsi" w:eastAsiaTheme="minorEastAsia" w:hAnsiTheme="minorHAnsi" w:cstheme="minorBidi"/>
          <w:noProof/>
          <w:sz w:val="22"/>
          <w:szCs w:val="22"/>
          <w:lang w:eastAsia="zh-CN"/>
        </w:rPr>
      </w:pPr>
      <w:r w:rsidRPr="002D6684">
        <w:rPr>
          <w:rStyle w:val="Hyperlink"/>
          <w:noProof/>
          <w:color w:val="auto"/>
          <w:u w:val="none"/>
        </w:rPr>
        <w:t>4.7.4</w:t>
      </w:r>
      <w:r w:rsidRPr="002D6684">
        <w:rPr>
          <w:rFonts w:asciiTheme="minorHAnsi" w:eastAsiaTheme="minorEastAsia" w:hAnsiTheme="minorHAnsi" w:cstheme="minorBidi"/>
          <w:noProof/>
          <w:sz w:val="22"/>
          <w:szCs w:val="22"/>
          <w:lang w:eastAsia="zh-CN"/>
        </w:rPr>
        <w:tab/>
      </w:r>
      <w:r w:rsidRPr="002D6684">
        <w:rPr>
          <w:rStyle w:val="Hyperlink"/>
          <w:noProof/>
          <w:color w:val="auto"/>
          <w:u w:val="none"/>
        </w:rPr>
        <w:t>Mobile radio services</w:t>
      </w:r>
      <w:r w:rsidRPr="002D6684">
        <w:rPr>
          <w:noProof/>
          <w:webHidden/>
        </w:rPr>
        <w:tab/>
      </w:r>
      <w:r w:rsidR="002D6684">
        <w:rPr>
          <w:noProof/>
          <w:webHidden/>
        </w:rPr>
        <w:tab/>
      </w:r>
      <w:r w:rsidRPr="002D6684">
        <w:rPr>
          <w:noProof/>
          <w:webHidden/>
        </w:rPr>
        <w:t>72</w:t>
      </w:r>
    </w:p>
    <w:p w:rsidR="00E30119" w:rsidRPr="002D6684" w:rsidRDefault="00E30119">
      <w:pPr>
        <w:pStyle w:val="TOC3"/>
        <w:rPr>
          <w:rFonts w:asciiTheme="minorHAnsi" w:eastAsiaTheme="minorEastAsia" w:hAnsiTheme="minorHAnsi" w:cstheme="minorBidi"/>
          <w:noProof/>
          <w:sz w:val="22"/>
          <w:szCs w:val="22"/>
          <w:lang w:eastAsia="zh-CN"/>
        </w:rPr>
      </w:pPr>
      <w:r w:rsidRPr="002D6684">
        <w:rPr>
          <w:rStyle w:val="Hyperlink"/>
          <w:noProof/>
          <w:color w:val="auto"/>
          <w:u w:val="none"/>
        </w:rPr>
        <w:t>4.7.5</w:t>
      </w:r>
      <w:r w:rsidRPr="002D6684">
        <w:rPr>
          <w:rFonts w:asciiTheme="minorHAnsi" w:eastAsiaTheme="minorEastAsia" w:hAnsiTheme="minorHAnsi" w:cstheme="minorBidi"/>
          <w:noProof/>
          <w:sz w:val="22"/>
          <w:szCs w:val="22"/>
          <w:lang w:eastAsia="zh-CN"/>
        </w:rPr>
        <w:tab/>
      </w:r>
      <w:r w:rsidRPr="002D6684">
        <w:rPr>
          <w:rStyle w:val="Hyperlink"/>
          <w:noProof/>
          <w:color w:val="auto"/>
          <w:u w:val="none"/>
        </w:rPr>
        <w:t>Maritime mobile radio service</w:t>
      </w:r>
      <w:r w:rsidRPr="002D6684">
        <w:rPr>
          <w:noProof/>
          <w:webHidden/>
        </w:rPr>
        <w:tab/>
      </w:r>
      <w:r w:rsidR="002D6684">
        <w:rPr>
          <w:noProof/>
          <w:webHidden/>
        </w:rPr>
        <w:tab/>
      </w:r>
      <w:r w:rsidRPr="002D6684">
        <w:rPr>
          <w:noProof/>
          <w:webHidden/>
        </w:rPr>
        <w:t>77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rFonts w:eastAsia="SimSun"/>
          <w:noProof/>
          <w:color w:val="auto"/>
          <w:u w:val="none"/>
          <w:lang w:eastAsia="zh-CN"/>
        </w:rPr>
        <w:t>4.7.6</w:t>
      </w:r>
      <w:r w:rsidRPr="00E30119">
        <w:rPr>
          <w:rFonts w:asciiTheme="minorHAnsi" w:eastAsiaTheme="minorEastAsia" w:hAnsiTheme="minorHAnsi" w:cstheme="minorBidi"/>
          <w:noProof/>
          <w:sz w:val="22"/>
          <w:szCs w:val="22"/>
          <w:lang w:eastAsia="zh-CN"/>
        </w:rPr>
        <w:tab/>
      </w:r>
      <w:r w:rsidRPr="00E30119">
        <w:rPr>
          <w:rStyle w:val="Hyperlink"/>
          <w:rFonts w:eastAsia="SimSun"/>
          <w:noProof/>
          <w:color w:val="auto"/>
          <w:u w:val="none"/>
          <w:lang w:eastAsia="zh-CN"/>
        </w:rPr>
        <w:t>Aeronautical mobile, radionavigation and radiolocation services</w:t>
      </w:r>
      <w:r w:rsidRPr="00E30119">
        <w:rPr>
          <w:noProof/>
          <w:webHidden/>
        </w:rPr>
        <w:tab/>
      </w:r>
      <w:r w:rsidR="002D6684">
        <w:rPr>
          <w:noProof/>
          <w:webHidden/>
        </w:rPr>
        <w:tab/>
      </w:r>
      <w:r w:rsidRPr="00E30119">
        <w:rPr>
          <w:noProof/>
          <w:webHidden/>
        </w:rPr>
        <w:t>81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rFonts w:eastAsia="SimSun"/>
          <w:noProof/>
          <w:color w:val="auto"/>
          <w:u w:val="none"/>
          <w:lang w:eastAsia="zh-CN"/>
        </w:rPr>
        <w:t>4.7.7</w:t>
      </w:r>
      <w:r w:rsidRPr="00E30119">
        <w:rPr>
          <w:rFonts w:asciiTheme="minorHAnsi" w:eastAsiaTheme="minorEastAsia" w:hAnsiTheme="minorHAnsi" w:cstheme="minorBidi"/>
          <w:noProof/>
          <w:sz w:val="22"/>
          <w:szCs w:val="22"/>
          <w:lang w:eastAsia="zh-CN"/>
        </w:rPr>
        <w:tab/>
      </w:r>
      <w:r w:rsidRPr="00E30119">
        <w:rPr>
          <w:rStyle w:val="Hyperlink"/>
          <w:rFonts w:eastAsia="SimSun"/>
          <w:noProof/>
          <w:color w:val="auto"/>
          <w:u w:val="none"/>
          <w:lang w:eastAsia="zh-CN"/>
        </w:rPr>
        <w:t>Examples of calculations</w:t>
      </w:r>
      <w:r w:rsidRPr="00E30119">
        <w:rPr>
          <w:noProof/>
          <w:webHidden/>
        </w:rPr>
        <w:tab/>
      </w:r>
      <w:r w:rsidR="002D6684">
        <w:rPr>
          <w:noProof/>
          <w:webHidden/>
        </w:rPr>
        <w:tab/>
      </w:r>
      <w:r w:rsidRPr="00E30119">
        <w:rPr>
          <w:noProof/>
          <w:webHidden/>
        </w:rPr>
        <w:t>81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4.7.8</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Earth stations of satellite communications</w:t>
      </w:r>
      <w:r w:rsidRPr="00E30119">
        <w:rPr>
          <w:noProof/>
          <w:webHidden/>
        </w:rPr>
        <w:tab/>
      </w:r>
      <w:r w:rsidR="002D6684">
        <w:rPr>
          <w:noProof/>
          <w:webHidden/>
        </w:rPr>
        <w:tab/>
      </w:r>
      <w:r w:rsidRPr="00E30119">
        <w:rPr>
          <w:noProof/>
          <w:webHidden/>
        </w:rPr>
        <w:t>85</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4.8</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Guidelines on applying new fees system</w:t>
      </w:r>
      <w:r w:rsidRPr="00E30119">
        <w:rPr>
          <w:noProof/>
          <w:webHidden/>
        </w:rPr>
        <w:tab/>
      </w:r>
      <w:r w:rsidR="002D6684">
        <w:rPr>
          <w:noProof/>
          <w:webHidden/>
        </w:rPr>
        <w:tab/>
      </w:r>
      <w:r w:rsidRPr="00E30119">
        <w:rPr>
          <w:noProof/>
          <w:webHidden/>
        </w:rPr>
        <w:t>87</w:t>
      </w:r>
    </w:p>
    <w:p w:rsidR="00E30119" w:rsidRPr="00E30119" w:rsidRDefault="00E30119">
      <w:pPr>
        <w:pStyle w:val="TOC1"/>
        <w:rPr>
          <w:rFonts w:asciiTheme="minorHAnsi" w:eastAsiaTheme="minorEastAsia" w:hAnsiTheme="minorHAnsi" w:cstheme="minorBidi"/>
          <w:noProof/>
          <w:sz w:val="22"/>
          <w:szCs w:val="22"/>
          <w:lang w:eastAsia="zh-CN"/>
        </w:rPr>
      </w:pPr>
      <w:r w:rsidRPr="00E30119">
        <w:rPr>
          <w:rStyle w:val="Hyperlink"/>
          <w:noProof/>
          <w:color w:val="auto"/>
          <w:u w:val="none"/>
        </w:rPr>
        <w:t>CHAPTER 5 – Administration’s experience regarding the economic aspects of spectrum management</w:t>
      </w:r>
      <w:r w:rsidRPr="00E30119">
        <w:rPr>
          <w:noProof/>
          <w:webHidden/>
        </w:rPr>
        <w:tab/>
      </w:r>
      <w:r w:rsidR="002D6684">
        <w:rPr>
          <w:noProof/>
          <w:webHidden/>
        </w:rPr>
        <w:tab/>
      </w:r>
      <w:r w:rsidRPr="00E30119">
        <w:rPr>
          <w:noProof/>
          <w:webHidden/>
        </w:rPr>
        <w:t>88</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5.1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Experience with auctions and transferable property rights</w:t>
      </w:r>
      <w:r w:rsidRPr="00E30119">
        <w:rPr>
          <w:noProof/>
          <w:webHidden/>
        </w:rPr>
        <w:tab/>
      </w:r>
      <w:r w:rsidR="002D6684">
        <w:rPr>
          <w:noProof/>
          <w:webHidden/>
        </w:rPr>
        <w:tab/>
      </w:r>
      <w:r w:rsidRPr="00E30119">
        <w:rPr>
          <w:noProof/>
          <w:webHidden/>
        </w:rPr>
        <w:t>88</w:t>
      </w:r>
    </w:p>
    <w:p w:rsidR="002D6684" w:rsidRDefault="002D6684" w:rsidP="002D6684">
      <w:pPr>
        <w:pStyle w:val="toc0"/>
        <w:keepNext/>
        <w:keepLines/>
        <w:ind w:right="992"/>
        <w:rPr>
          <w:lang w:val="en-US"/>
        </w:rPr>
      </w:pPr>
      <w:r w:rsidRPr="004A4E59">
        <w:rPr>
          <w:lang w:val="en-US"/>
        </w:rPr>
        <w:lastRenderedPageBreak/>
        <w:tab/>
        <w:t>Page</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5.1.1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Australia</w:t>
      </w:r>
      <w:r w:rsidRPr="00E30119">
        <w:rPr>
          <w:noProof/>
          <w:webHidden/>
        </w:rPr>
        <w:tab/>
      </w:r>
      <w:r w:rsidR="002D6684">
        <w:rPr>
          <w:noProof/>
          <w:webHidden/>
        </w:rPr>
        <w:tab/>
      </w:r>
      <w:r w:rsidRPr="00E30119">
        <w:rPr>
          <w:noProof/>
          <w:webHidden/>
        </w:rPr>
        <w:t>88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5.1.2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Canada</w:t>
      </w:r>
      <w:r w:rsidRPr="00E30119">
        <w:rPr>
          <w:noProof/>
          <w:webHidden/>
        </w:rPr>
        <w:tab/>
      </w:r>
      <w:r w:rsidR="002D6684">
        <w:rPr>
          <w:noProof/>
          <w:webHidden/>
        </w:rPr>
        <w:tab/>
      </w:r>
      <w:r w:rsidRPr="00E30119">
        <w:rPr>
          <w:noProof/>
          <w:webHidden/>
        </w:rPr>
        <w:t>89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5.1.3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The Russian Federation’s experience with auctions</w:t>
      </w:r>
      <w:r w:rsidRPr="00E30119">
        <w:rPr>
          <w:noProof/>
          <w:webHidden/>
        </w:rPr>
        <w:tab/>
      </w:r>
      <w:r w:rsidR="002D6684">
        <w:rPr>
          <w:noProof/>
          <w:webHidden/>
        </w:rPr>
        <w:tab/>
      </w:r>
      <w:r w:rsidRPr="00E30119">
        <w:rPr>
          <w:noProof/>
          <w:webHidden/>
        </w:rPr>
        <w:t>90</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5.1.4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New Zealand</w:t>
      </w:r>
      <w:r w:rsidRPr="00E30119">
        <w:rPr>
          <w:noProof/>
          <w:webHidden/>
        </w:rPr>
        <w:tab/>
      </w:r>
      <w:r w:rsidR="002D6684">
        <w:rPr>
          <w:noProof/>
          <w:webHidden/>
        </w:rPr>
        <w:tab/>
      </w:r>
      <w:r w:rsidRPr="00E30119">
        <w:rPr>
          <w:noProof/>
          <w:webHidden/>
        </w:rPr>
        <w:t>102</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5.1.5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United States of America</w:t>
      </w:r>
      <w:r w:rsidRPr="00E30119">
        <w:rPr>
          <w:noProof/>
          <w:webHidden/>
        </w:rPr>
        <w:tab/>
      </w:r>
      <w:r w:rsidR="002D6684">
        <w:rPr>
          <w:noProof/>
          <w:webHidden/>
        </w:rPr>
        <w:tab/>
      </w:r>
      <w:r w:rsidRPr="00E30119">
        <w:rPr>
          <w:noProof/>
          <w:webHidden/>
        </w:rPr>
        <w:t>103</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5.2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Experience with fees</w:t>
      </w:r>
      <w:r w:rsidRPr="00E30119">
        <w:rPr>
          <w:noProof/>
          <w:webHidden/>
        </w:rPr>
        <w:tab/>
      </w:r>
      <w:r w:rsidR="002D6684">
        <w:rPr>
          <w:noProof/>
          <w:webHidden/>
        </w:rPr>
        <w:tab/>
      </w:r>
      <w:r w:rsidRPr="00E30119">
        <w:rPr>
          <w:noProof/>
          <w:webHidden/>
        </w:rPr>
        <w:t>107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Australia’s experience with licence fees</w:t>
      </w:r>
      <w:r w:rsidRPr="00E30119">
        <w:rPr>
          <w:noProof/>
          <w:webHidden/>
        </w:rPr>
        <w:tab/>
      </w:r>
      <w:r w:rsidR="002D6684">
        <w:rPr>
          <w:noProof/>
          <w:webHidden/>
        </w:rPr>
        <w:tab/>
      </w:r>
      <w:r w:rsidRPr="00E30119">
        <w:rPr>
          <w:noProof/>
          <w:webHidden/>
        </w:rPr>
        <w:t>107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Canada’s experience with licence fees</w:t>
      </w:r>
      <w:r w:rsidRPr="00E30119">
        <w:rPr>
          <w:noProof/>
          <w:webHidden/>
        </w:rPr>
        <w:tab/>
      </w:r>
      <w:r w:rsidR="002D6684">
        <w:rPr>
          <w:noProof/>
          <w:webHidden/>
        </w:rPr>
        <w:tab/>
      </w:r>
      <w:r w:rsidRPr="00E30119">
        <w:rPr>
          <w:noProof/>
          <w:webHidden/>
        </w:rPr>
        <w:t>107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China’s experience with licence fees</w:t>
      </w:r>
      <w:r w:rsidRPr="00E30119">
        <w:rPr>
          <w:noProof/>
          <w:webHidden/>
        </w:rPr>
        <w:tab/>
      </w:r>
      <w:r w:rsidR="002D6684">
        <w:rPr>
          <w:noProof/>
          <w:webHidden/>
        </w:rPr>
        <w:tab/>
      </w:r>
      <w:r w:rsidRPr="00E30119">
        <w:rPr>
          <w:noProof/>
          <w:webHidden/>
        </w:rPr>
        <w:t>108</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Germany’s experience with spectrum usage fees</w:t>
      </w:r>
      <w:r w:rsidRPr="00E30119">
        <w:rPr>
          <w:noProof/>
          <w:webHidden/>
        </w:rPr>
        <w:tab/>
      </w:r>
      <w:r w:rsidR="002D6684">
        <w:rPr>
          <w:noProof/>
          <w:webHidden/>
        </w:rPr>
        <w:tab/>
      </w:r>
      <w:r w:rsidRPr="00E30119">
        <w:rPr>
          <w:noProof/>
          <w:webHidden/>
        </w:rPr>
        <w:t>109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Israel’s experience with licence fees</w:t>
      </w:r>
      <w:r w:rsidRPr="00E30119">
        <w:rPr>
          <w:noProof/>
          <w:webHidden/>
        </w:rPr>
        <w:tab/>
      </w:r>
      <w:r w:rsidR="002D6684">
        <w:rPr>
          <w:noProof/>
          <w:webHidden/>
        </w:rPr>
        <w:tab/>
      </w:r>
      <w:r w:rsidRPr="00E30119">
        <w:rPr>
          <w:noProof/>
          <w:webHidden/>
        </w:rPr>
        <w:t>111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5.2.6</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Experience of the Kyrgyz Republic on application of licence fees</w:t>
      </w:r>
      <w:r w:rsidRPr="00E30119">
        <w:rPr>
          <w:noProof/>
          <w:webHidden/>
        </w:rPr>
        <w:tab/>
      </w:r>
      <w:r w:rsidR="002D6684">
        <w:rPr>
          <w:noProof/>
          <w:webHidden/>
        </w:rPr>
        <w:tab/>
      </w:r>
      <w:r w:rsidRPr="00E30119">
        <w:rPr>
          <w:noProof/>
          <w:webHidden/>
        </w:rPr>
        <w:t>112</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5.2.7</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The Russian Federation’s experience with licence fees</w:t>
      </w:r>
      <w:r w:rsidRPr="00E30119">
        <w:rPr>
          <w:noProof/>
          <w:webHidden/>
        </w:rPr>
        <w:tab/>
      </w:r>
      <w:r w:rsidR="002D6684">
        <w:rPr>
          <w:noProof/>
          <w:webHidden/>
        </w:rPr>
        <w:tab/>
      </w:r>
      <w:r w:rsidRPr="00E30119">
        <w:rPr>
          <w:noProof/>
          <w:webHidden/>
        </w:rPr>
        <w:t>120</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5.2.8</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The United Kingdom’s experience with licence fees</w:t>
      </w:r>
      <w:r w:rsidRPr="00E30119">
        <w:rPr>
          <w:noProof/>
          <w:webHidden/>
        </w:rPr>
        <w:tab/>
      </w:r>
      <w:r w:rsidR="002D6684">
        <w:rPr>
          <w:noProof/>
          <w:webHidden/>
        </w:rPr>
        <w:tab/>
      </w:r>
      <w:r w:rsidRPr="00E30119">
        <w:rPr>
          <w:noProof/>
          <w:webHidden/>
        </w:rPr>
        <w:t>120</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5.2.9</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United States of America’s experience with licence fees</w:t>
      </w:r>
      <w:r w:rsidRPr="00E30119">
        <w:rPr>
          <w:noProof/>
          <w:webHidden/>
        </w:rPr>
        <w:tab/>
      </w:r>
      <w:r w:rsidR="002D6684">
        <w:rPr>
          <w:noProof/>
          <w:webHidden/>
        </w:rPr>
        <w:tab/>
      </w:r>
      <w:r w:rsidRPr="00E30119">
        <w:rPr>
          <w:noProof/>
          <w:webHidden/>
        </w:rPr>
        <w:t>121</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5.2.10</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Brazil’s experience with spectrum fees</w:t>
      </w:r>
      <w:r w:rsidRPr="00E30119">
        <w:rPr>
          <w:noProof/>
          <w:webHidden/>
        </w:rPr>
        <w:tab/>
      </w:r>
      <w:r w:rsidR="002D6684">
        <w:rPr>
          <w:noProof/>
          <w:webHidden/>
        </w:rPr>
        <w:tab/>
      </w:r>
      <w:r w:rsidRPr="00E30119">
        <w:rPr>
          <w:noProof/>
          <w:webHidden/>
        </w:rPr>
        <w:t>126</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5.2.11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Experience with spectrum fees – Republic of Korea</w:t>
      </w:r>
      <w:r w:rsidRPr="00E30119">
        <w:rPr>
          <w:noProof/>
          <w:webHidden/>
        </w:rPr>
        <w:tab/>
      </w:r>
      <w:r w:rsidR="002D6684">
        <w:rPr>
          <w:noProof/>
          <w:webHidden/>
        </w:rPr>
        <w:tab/>
      </w:r>
      <w:r w:rsidRPr="00E30119">
        <w:rPr>
          <w:noProof/>
          <w:webHidden/>
        </w:rPr>
        <w:t>129</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5.3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Experience with using alternative resources</w:t>
      </w:r>
      <w:r w:rsidRPr="00E30119">
        <w:rPr>
          <w:noProof/>
          <w:webHidden/>
        </w:rPr>
        <w:tab/>
      </w:r>
      <w:r w:rsidR="002D6684">
        <w:rPr>
          <w:noProof/>
          <w:webHidden/>
        </w:rPr>
        <w:tab/>
      </w:r>
      <w:r w:rsidRPr="00E30119">
        <w:rPr>
          <w:noProof/>
          <w:webHidden/>
        </w:rPr>
        <w:t>135</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5.3.1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Canada</w:t>
      </w:r>
      <w:r w:rsidRPr="00E30119">
        <w:rPr>
          <w:noProof/>
          <w:webHidden/>
        </w:rPr>
        <w:tab/>
      </w:r>
      <w:r w:rsidR="002D6684">
        <w:rPr>
          <w:noProof/>
          <w:webHidden/>
        </w:rPr>
        <w:tab/>
      </w:r>
      <w:r w:rsidRPr="00E30119">
        <w:rPr>
          <w:noProof/>
          <w:webHidden/>
        </w:rPr>
        <w:t>135</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5.3.2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Germany</w:t>
      </w:r>
      <w:r w:rsidRPr="00E30119">
        <w:rPr>
          <w:noProof/>
          <w:webHidden/>
        </w:rPr>
        <w:tab/>
      </w:r>
      <w:r w:rsidR="002D6684">
        <w:rPr>
          <w:noProof/>
          <w:webHidden/>
        </w:rPr>
        <w:tab/>
      </w:r>
      <w:r w:rsidRPr="00E30119">
        <w:rPr>
          <w:noProof/>
          <w:webHidden/>
        </w:rPr>
        <w:t>136</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5.3.3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Israel</w:t>
      </w:r>
      <w:r w:rsidRPr="00E30119">
        <w:rPr>
          <w:noProof/>
          <w:webHidden/>
        </w:rPr>
        <w:tab/>
      </w:r>
      <w:r w:rsidR="002D6684">
        <w:rPr>
          <w:noProof/>
          <w:webHidden/>
        </w:rPr>
        <w:tab/>
      </w:r>
      <w:r w:rsidRPr="00E30119">
        <w:rPr>
          <w:noProof/>
          <w:webHidden/>
        </w:rPr>
        <w:t>136</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5.3.4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Russian Federation</w:t>
      </w:r>
      <w:r w:rsidRPr="00E30119">
        <w:rPr>
          <w:noProof/>
          <w:webHidden/>
        </w:rPr>
        <w:tab/>
      </w:r>
      <w:r w:rsidR="002D6684">
        <w:rPr>
          <w:noProof/>
          <w:webHidden/>
        </w:rPr>
        <w:tab/>
      </w:r>
      <w:r w:rsidRPr="00E30119">
        <w:rPr>
          <w:noProof/>
          <w:webHidden/>
        </w:rPr>
        <w:t>136</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5.3.5</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United States of America</w:t>
      </w:r>
      <w:r w:rsidRPr="00E30119">
        <w:rPr>
          <w:noProof/>
          <w:webHidden/>
        </w:rPr>
        <w:tab/>
      </w:r>
      <w:r w:rsidR="002D6684">
        <w:rPr>
          <w:noProof/>
          <w:webHidden/>
        </w:rPr>
        <w:tab/>
      </w:r>
      <w:r w:rsidRPr="00E30119">
        <w:rPr>
          <w:noProof/>
          <w:webHidden/>
        </w:rPr>
        <w:t>137</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5.3.6</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China’s experience with alternative resources</w:t>
      </w:r>
      <w:r w:rsidRPr="00E30119">
        <w:rPr>
          <w:noProof/>
          <w:webHidden/>
        </w:rPr>
        <w:tab/>
      </w:r>
      <w:r w:rsidR="002D6684">
        <w:rPr>
          <w:noProof/>
          <w:webHidden/>
        </w:rPr>
        <w:tab/>
      </w:r>
      <w:r w:rsidRPr="00E30119">
        <w:rPr>
          <w:noProof/>
          <w:webHidden/>
        </w:rPr>
        <w:t>138</w:t>
      </w:r>
    </w:p>
    <w:p w:rsidR="00E30119" w:rsidRPr="00E30119" w:rsidRDefault="00E30119">
      <w:pPr>
        <w:pStyle w:val="TOC2"/>
        <w:rPr>
          <w:rFonts w:asciiTheme="minorHAnsi" w:eastAsiaTheme="minorEastAsia" w:hAnsiTheme="minorHAnsi" w:cstheme="minorBidi"/>
          <w:noProof/>
          <w:sz w:val="22"/>
          <w:szCs w:val="22"/>
          <w:lang w:eastAsia="zh-CN"/>
        </w:rPr>
      </w:pPr>
      <w:r w:rsidRPr="00E30119">
        <w:rPr>
          <w:rStyle w:val="Hyperlink"/>
          <w:noProof/>
          <w:color w:val="auto"/>
          <w:u w:val="none"/>
        </w:rPr>
        <w:t>5.4</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Other experiences</w:t>
      </w:r>
      <w:r w:rsidRPr="00E30119">
        <w:rPr>
          <w:noProof/>
          <w:webHidden/>
        </w:rPr>
        <w:tab/>
      </w:r>
      <w:r w:rsidR="002D6684">
        <w:rPr>
          <w:noProof/>
          <w:webHidden/>
        </w:rPr>
        <w:tab/>
      </w:r>
      <w:r w:rsidRPr="00E30119">
        <w:rPr>
          <w:noProof/>
          <w:webHidden/>
        </w:rPr>
        <w:t>139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5.4.1</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Amateur services</w:t>
      </w:r>
      <w:r w:rsidRPr="00E30119">
        <w:rPr>
          <w:noProof/>
          <w:webHidden/>
        </w:rPr>
        <w:tab/>
      </w:r>
      <w:r w:rsidR="002D6684">
        <w:rPr>
          <w:noProof/>
          <w:webHidden/>
        </w:rPr>
        <w:tab/>
      </w:r>
      <w:r w:rsidRPr="00E30119">
        <w:rPr>
          <w:noProof/>
          <w:webHidden/>
        </w:rPr>
        <w:t>139</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5.4.2</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Area and high density systems</w:t>
      </w:r>
      <w:r w:rsidRPr="00E30119">
        <w:rPr>
          <w:noProof/>
          <w:webHidden/>
        </w:rPr>
        <w:tab/>
      </w:r>
      <w:r w:rsidR="002D6684">
        <w:rPr>
          <w:noProof/>
          <w:webHidden/>
        </w:rPr>
        <w:tab/>
      </w:r>
      <w:r w:rsidRPr="00E30119">
        <w:rPr>
          <w:noProof/>
          <w:webHidden/>
        </w:rPr>
        <w:t>140</w:t>
      </w:r>
    </w:p>
    <w:p w:rsidR="00E30119" w:rsidRPr="00E30119" w:rsidRDefault="00E30119">
      <w:pPr>
        <w:pStyle w:val="TOC3"/>
        <w:rPr>
          <w:rFonts w:asciiTheme="minorHAnsi" w:eastAsiaTheme="minorEastAsia" w:hAnsiTheme="minorHAnsi" w:cstheme="minorBidi"/>
          <w:noProof/>
          <w:sz w:val="22"/>
          <w:szCs w:val="22"/>
          <w:lang w:eastAsia="zh-CN"/>
        </w:rPr>
      </w:pPr>
      <w:r w:rsidRPr="00E30119">
        <w:rPr>
          <w:rStyle w:val="Hyperlink"/>
          <w:noProof/>
          <w:color w:val="auto"/>
          <w:u w:val="none"/>
        </w:rPr>
        <w:t>5.4.3</w:t>
      </w:r>
      <w:r w:rsidRPr="00E30119">
        <w:rPr>
          <w:rFonts w:asciiTheme="minorHAnsi" w:eastAsiaTheme="minorEastAsia" w:hAnsiTheme="minorHAnsi" w:cstheme="minorBidi"/>
          <w:noProof/>
          <w:sz w:val="22"/>
          <w:szCs w:val="22"/>
          <w:lang w:eastAsia="zh-CN"/>
        </w:rPr>
        <w:tab/>
      </w:r>
      <w:r w:rsidRPr="00E30119">
        <w:rPr>
          <w:rStyle w:val="Hyperlink"/>
          <w:noProof/>
          <w:color w:val="auto"/>
          <w:u w:val="none"/>
        </w:rPr>
        <w:t>Space services, orbital use and spectrum fees</w:t>
      </w:r>
      <w:r w:rsidRPr="00E30119">
        <w:rPr>
          <w:noProof/>
          <w:webHidden/>
        </w:rPr>
        <w:tab/>
      </w:r>
      <w:r w:rsidR="002D6684">
        <w:rPr>
          <w:noProof/>
          <w:webHidden/>
        </w:rPr>
        <w:tab/>
      </w:r>
      <w:r w:rsidRPr="00E30119">
        <w:rPr>
          <w:noProof/>
          <w:webHidden/>
        </w:rPr>
        <w:t>140</w:t>
      </w:r>
    </w:p>
    <w:p w:rsidR="002D6684" w:rsidRDefault="002D6684" w:rsidP="002D6684">
      <w:pPr>
        <w:pStyle w:val="toc0"/>
        <w:keepNext/>
        <w:keepLines/>
        <w:ind w:right="992"/>
        <w:rPr>
          <w:lang w:val="en-US"/>
        </w:rPr>
      </w:pPr>
      <w:r w:rsidRPr="004A4E59">
        <w:rPr>
          <w:lang w:val="en-US"/>
        </w:rPr>
        <w:lastRenderedPageBreak/>
        <w:tab/>
        <w:t>Page</w:t>
      </w:r>
    </w:p>
    <w:p w:rsidR="00E30119" w:rsidRPr="00E30119" w:rsidRDefault="00E30119" w:rsidP="002D6684">
      <w:pPr>
        <w:pStyle w:val="TOC1"/>
        <w:keepNext/>
        <w:rPr>
          <w:rFonts w:asciiTheme="minorHAnsi" w:eastAsiaTheme="minorEastAsia" w:hAnsiTheme="minorHAnsi" w:cstheme="minorBidi"/>
          <w:noProof/>
          <w:sz w:val="22"/>
          <w:szCs w:val="22"/>
          <w:lang w:eastAsia="zh-CN"/>
        </w:rPr>
      </w:pPr>
      <w:r w:rsidRPr="00E30119">
        <w:rPr>
          <w:rStyle w:val="Hyperlink"/>
          <w:noProof/>
          <w:color w:val="auto"/>
          <w:u w:val="none"/>
        </w:rPr>
        <w:t>References</w:t>
      </w:r>
      <w:r w:rsidRPr="00E30119">
        <w:rPr>
          <w:noProof/>
          <w:webHidden/>
        </w:rPr>
        <w:tab/>
      </w:r>
      <w:r w:rsidR="002D6684">
        <w:rPr>
          <w:noProof/>
          <w:webHidden/>
        </w:rPr>
        <w:tab/>
      </w:r>
      <w:r w:rsidRPr="00E30119">
        <w:rPr>
          <w:noProof/>
          <w:webHidden/>
        </w:rPr>
        <w:t>140</w:t>
      </w:r>
    </w:p>
    <w:p w:rsidR="00E30119" w:rsidRPr="00E30119" w:rsidRDefault="00E30119" w:rsidP="002D6684">
      <w:pPr>
        <w:pStyle w:val="TOC1"/>
        <w:keepNext/>
        <w:rPr>
          <w:rFonts w:asciiTheme="minorHAnsi" w:eastAsiaTheme="minorEastAsia" w:hAnsiTheme="minorHAnsi" w:cstheme="minorBidi"/>
          <w:noProof/>
          <w:sz w:val="22"/>
          <w:szCs w:val="22"/>
          <w:lang w:eastAsia="zh-CN"/>
        </w:rPr>
      </w:pPr>
      <w:r w:rsidRPr="00E30119">
        <w:rPr>
          <w:rStyle w:val="Hyperlink"/>
          <w:noProof/>
          <w:color w:val="auto"/>
          <w:u w:val="none"/>
        </w:rPr>
        <w:t>GLOSSARY</w:t>
      </w:r>
      <w:r w:rsidRPr="00E30119">
        <w:rPr>
          <w:noProof/>
          <w:webHidden/>
        </w:rPr>
        <w:tab/>
      </w:r>
      <w:r w:rsidR="002D6684">
        <w:rPr>
          <w:noProof/>
          <w:webHidden/>
        </w:rPr>
        <w:tab/>
      </w:r>
      <w:r w:rsidRPr="00E30119">
        <w:rPr>
          <w:noProof/>
          <w:webHidden/>
        </w:rPr>
        <w:t>141</w:t>
      </w:r>
    </w:p>
    <w:p w:rsidR="00E30119" w:rsidRPr="00CA3B52" w:rsidRDefault="00E30119" w:rsidP="00CA3B52">
      <w:pPr>
        <w:pStyle w:val="TOC1"/>
        <w:rPr>
          <w:rFonts w:asciiTheme="minorHAnsi" w:eastAsiaTheme="minorEastAsia" w:hAnsiTheme="minorHAnsi" w:cstheme="minorBidi"/>
          <w:noProof/>
          <w:sz w:val="22"/>
          <w:szCs w:val="22"/>
          <w:lang w:eastAsia="zh-CN"/>
        </w:rPr>
      </w:pPr>
      <w:r w:rsidRPr="00E30119">
        <w:rPr>
          <w:rStyle w:val="Hyperlink"/>
          <w:noProof/>
          <w:color w:val="auto"/>
          <w:u w:val="none"/>
        </w:rPr>
        <w:t>Annex 1</w:t>
      </w:r>
      <w:r w:rsidRPr="00E30119">
        <w:rPr>
          <w:noProof/>
          <w:webHidden/>
        </w:rPr>
        <w:tab/>
      </w:r>
      <w:r w:rsidR="002D6684">
        <w:rPr>
          <w:noProof/>
          <w:webHidden/>
        </w:rPr>
        <w:tab/>
      </w:r>
      <w:r w:rsidRPr="00E30119">
        <w:rPr>
          <w:noProof/>
          <w:webHidden/>
        </w:rPr>
        <w:t>143</w:t>
      </w:r>
    </w:p>
    <w:p w:rsidR="00E961ED" w:rsidRDefault="00E961ED">
      <w:pPr>
        <w:tabs>
          <w:tab w:val="clear" w:pos="794"/>
          <w:tab w:val="clear" w:pos="1191"/>
          <w:tab w:val="clear" w:pos="1588"/>
          <w:tab w:val="clear" w:pos="1985"/>
        </w:tabs>
        <w:overflowPunct/>
        <w:autoSpaceDE/>
        <w:autoSpaceDN/>
        <w:adjustRightInd/>
        <w:spacing w:before="0"/>
        <w:jc w:val="left"/>
        <w:textAlignment w:val="auto"/>
        <w:rPr>
          <w:lang w:val="en-US"/>
        </w:rPr>
      </w:pPr>
      <w:r w:rsidRPr="00E961ED">
        <w:rPr>
          <w:lang w:val="en-US"/>
        </w:rPr>
        <w:br w:type="page"/>
      </w:r>
    </w:p>
    <w:p w:rsidR="00CA3B52" w:rsidRDefault="00CA3B52" w:rsidP="00CA3B52">
      <w:pPr>
        <w:pStyle w:val="RepNo"/>
        <w:spacing w:before="240"/>
        <w:rPr>
          <w:b/>
          <w:bCs/>
          <w:lang w:val="en-US"/>
        </w:rPr>
      </w:pPr>
    </w:p>
    <w:p w:rsidR="00CA3B52" w:rsidRPr="00A6735C" w:rsidRDefault="00CA3B52" w:rsidP="00CA3B52">
      <w:pPr>
        <w:pStyle w:val="RepNo"/>
        <w:spacing w:before="240"/>
        <w:rPr>
          <w:b/>
          <w:bCs/>
          <w:lang w:val="en-US"/>
        </w:rPr>
      </w:pPr>
      <w:r w:rsidRPr="00A6735C">
        <w:rPr>
          <w:b/>
          <w:bCs/>
          <w:lang w:val="en-US"/>
        </w:rPr>
        <w:t>PREFACE</w:t>
      </w:r>
    </w:p>
    <w:p w:rsidR="00CA3B52" w:rsidRDefault="00CA3B52" w:rsidP="00CA3B52">
      <w:pPr>
        <w:pStyle w:val="Normalaftertitle"/>
        <w:rPr>
          <w:lang w:val="en-US"/>
        </w:rPr>
      </w:pPr>
      <w:bookmarkStart w:id="13" w:name="irecnoe"/>
      <w:bookmarkEnd w:id="13"/>
    </w:p>
    <w:p w:rsidR="00CA3B52" w:rsidRDefault="00CA3B52" w:rsidP="00CA3B52">
      <w:pPr>
        <w:pStyle w:val="Normalaftertitle"/>
        <w:rPr>
          <w:lang w:val="en-US"/>
        </w:rPr>
      </w:pPr>
      <w:r w:rsidRPr="00D437A4">
        <w:rPr>
          <w:lang w:val="en-US"/>
        </w:rPr>
        <w:t>The initial version of Report ITU-R SM</w:t>
      </w:r>
      <w:r>
        <w:rPr>
          <w:lang w:val="en-US"/>
        </w:rPr>
        <w:t>.</w:t>
      </w:r>
      <w:r w:rsidRPr="00D437A4">
        <w:rPr>
          <w:lang w:val="en-US"/>
        </w:rPr>
        <w:t>2012 – Economic aspects of spectrum management</w:t>
      </w:r>
      <w:r>
        <w:rPr>
          <w:lang w:val="en-US"/>
        </w:rPr>
        <w:t>, was issued in 1998 and revised in 2001 and 2002 in order to include summaries of experiences obtained on this subject by a number of administrations.</w:t>
      </w:r>
    </w:p>
    <w:p w:rsidR="00CA3B52" w:rsidRPr="009226FA" w:rsidRDefault="00CA3B52" w:rsidP="00CA3B52">
      <w:pPr>
        <w:rPr>
          <w:lang w:val="en-US"/>
        </w:rPr>
      </w:pPr>
      <w:r w:rsidRPr="009226FA">
        <w:rPr>
          <w:lang w:val="en-US"/>
        </w:rPr>
        <w:t>As with the previous version, this new revision of the Report describes the different economic approaches for spectrum management activities based on new experiences</w:t>
      </w:r>
      <w:r>
        <w:rPr>
          <w:lang w:val="en-US"/>
        </w:rPr>
        <w:t xml:space="preserve"> of administrations</w:t>
      </w:r>
      <w:r w:rsidRPr="009226FA">
        <w:rPr>
          <w:lang w:val="en-US"/>
        </w:rPr>
        <w:t>. However, it now also includes the f</w:t>
      </w:r>
      <w:r w:rsidRPr="009226FA">
        <w:rPr>
          <w:lang w:val="en-US" w:eastAsia="fr-FR"/>
        </w:rPr>
        <w:t>actors to be taken into account in an international comparison of fee levels, as well as g</w:t>
      </w:r>
      <w:r w:rsidRPr="009226FA">
        <w:rPr>
          <w:lang w:val="en-US"/>
        </w:rPr>
        <w:t xml:space="preserve">uidelines on methodologies for the establishment of spectrum fees formula and system. It is the result of successful cooperation between ITU-R and ITU-D work on spectrum fees. </w:t>
      </w:r>
    </w:p>
    <w:p w:rsidR="00CA3B52" w:rsidRDefault="00CA3B52" w:rsidP="00CA3B52">
      <w:pPr>
        <w:rPr>
          <w:lang w:val="en-US"/>
        </w:rPr>
      </w:pPr>
      <w:r w:rsidRPr="009226FA">
        <w:rPr>
          <w:lang w:val="en-US"/>
        </w:rPr>
        <w:t>The Report is intended for the use by administrations of both developing and developed countries in formulating strategies on economic approaches to national spectrum</w:t>
      </w:r>
      <w:r>
        <w:rPr>
          <w:lang w:val="en-US"/>
        </w:rPr>
        <w:t xml:space="preserve"> management and financing this activity. In addition, the Report presents an analysis of the benefits of strategic development and the methods of technical support for national spectrum management. These approaches not only promote economic efficiency but can also promote technical and administrative efficiency.</w:t>
      </w:r>
    </w:p>
    <w:p w:rsidR="00CA3B52" w:rsidRDefault="00CA3B52" w:rsidP="00CA3B52">
      <w:pPr>
        <w:rPr>
          <w:lang w:val="en-US"/>
        </w:rPr>
      </w:pPr>
    </w:p>
    <w:p w:rsidR="00CA3B52" w:rsidRDefault="00CA3B52" w:rsidP="00CA3B52">
      <w:pPr>
        <w:rPr>
          <w:lang w:val="en-US"/>
        </w:rPr>
      </w:pPr>
    </w:p>
    <w:p w:rsidR="00CA3B52" w:rsidRDefault="00CA3B52" w:rsidP="00CA3B52">
      <w:pPr>
        <w:rPr>
          <w:lang w:val="en-US"/>
        </w:rPr>
      </w:pPr>
    </w:p>
    <w:p w:rsidR="00CA3B52" w:rsidRDefault="00CA3B52" w:rsidP="00CA3B52">
      <w:pPr>
        <w:rPr>
          <w:lang w:val="en-US"/>
        </w:rPr>
      </w:pPr>
    </w:p>
    <w:p w:rsidR="00CA3B52" w:rsidRPr="00F65451" w:rsidRDefault="00CA3B52" w:rsidP="002D1D5C">
      <w:pPr>
        <w:tabs>
          <w:tab w:val="clear" w:pos="794"/>
          <w:tab w:val="clear" w:pos="1191"/>
          <w:tab w:val="clear" w:pos="1588"/>
          <w:tab w:val="clear" w:pos="1985"/>
          <w:tab w:val="center" w:pos="6521"/>
        </w:tabs>
        <w:rPr>
          <w:lang w:val="fr-CH"/>
        </w:rPr>
      </w:pPr>
      <w:r>
        <w:rPr>
          <w:lang w:val="en-US"/>
        </w:rPr>
        <w:tab/>
      </w:r>
      <w:r w:rsidRPr="00F65451">
        <w:rPr>
          <w:lang w:val="fr-CH"/>
        </w:rPr>
        <w:t>François Rancy</w:t>
      </w:r>
      <w:r w:rsidR="002D1D5C">
        <w:rPr>
          <w:lang w:val="fr-CH"/>
        </w:rPr>
        <w:br/>
      </w:r>
      <w:r w:rsidRPr="00F65451">
        <w:rPr>
          <w:lang w:val="fr-CH"/>
        </w:rPr>
        <w:tab/>
        <w:t>Director Radiocommunication Bureau</w:t>
      </w:r>
    </w:p>
    <w:p w:rsidR="00CA3B52" w:rsidRDefault="00CA3B52" w:rsidP="00CA3B52">
      <w:pPr>
        <w:tabs>
          <w:tab w:val="clear" w:pos="794"/>
          <w:tab w:val="clear" w:pos="1191"/>
          <w:tab w:val="clear" w:pos="1588"/>
          <w:tab w:val="clear" w:pos="1985"/>
        </w:tabs>
        <w:overflowPunct/>
        <w:autoSpaceDE/>
        <w:autoSpaceDN/>
        <w:adjustRightInd/>
        <w:spacing w:before="0"/>
        <w:jc w:val="left"/>
        <w:textAlignment w:val="auto"/>
        <w:rPr>
          <w:lang w:val="fr-CH"/>
        </w:rPr>
      </w:pPr>
      <w:r w:rsidRPr="00F65451">
        <w:rPr>
          <w:lang w:val="fr-CH"/>
        </w:rPr>
        <w:br w:type="page"/>
      </w:r>
    </w:p>
    <w:p w:rsidR="00CA3B52" w:rsidRDefault="00CA3B52" w:rsidP="00CA3B52">
      <w:pPr>
        <w:pStyle w:val="RepNo"/>
        <w:rPr>
          <w:b/>
          <w:bCs/>
          <w:lang w:val="fr-CH"/>
        </w:rPr>
      </w:pPr>
      <w:bookmarkStart w:id="14" w:name="_Toc289868740"/>
    </w:p>
    <w:p w:rsidR="00CA3B52" w:rsidRPr="00F65451" w:rsidRDefault="00CA3B52" w:rsidP="00CA3B52">
      <w:pPr>
        <w:pStyle w:val="RepNo"/>
        <w:rPr>
          <w:b/>
          <w:bCs/>
          <w:lang w:val="fr-CH"/>
        </w:rPr>
      </w:pPr>
      <w:r w:rsidRPr="00F65451">
        <w:rPr>
          <w:b/>
          <w:bCs/>
          <w:lang w:val="fr-CH"/>
        </w:rPr>
        <w:t>FOREWORD</w:t>
      </w:r>
      <w:bookmarkEnd w:id="14"/>
    </w:p>
    <w:p w:rsidR="00CA3B52" w:rsidRPr="00E30119" w:rsidRDefault="00CA3B52" w:rsidP="00CA3B52">
      <w:pPr>
        <w:pStyle w:val="Normalaftertitle"/>
        <w:rPr>
          <w:lang w:val="fr-CH"/>
        </w:rPr>
      </w:pPr>
    </w:p>
    <w:p w:rsidR="00CA3B52" w:rsidRDefault="00CA3B52" w:rsidP="00CA3B52">
      <w:pPr>
        <w:pStyle w:val="Normalaftertitle"/>
        <w:rPr>
          <w:lang w:val="en-US"/>
        </w:rPr>
      </w:pPr>
      <w:r>
        <w:rPr>
          <w:lang w:val="en-US"/>
        </w:rPr>
        <w:t xml:space="preserve">As we begin the second decade of the Twenty-first Century, many nations face significant economic challenges. The potential of information and communications technology (ICT) to stimulate national economic growth, along with the present worldwide demand for wireless services, makes this a fitting time for publication of a new revision of the ITU-R Report on the economic aspects of spectrum management. </w:t>
      </w:r>
    </w:p>
    <w:p w:rsidR="00CA3B52" w:rsidRDefault="00CA3B52" w:rsidP="00CA3B52">
      <w:pPr>
        <w:rPr>
          <w:lang w:val="en-US"/>
        </w:rPr>
      </w:pPr>
      <w:r>
        <w:rPr>
          <w:lang w:val="en-US"/>
        </w:rPr>
        <w:t>ITU-R Study Group 1 was not alone in the development of this revision, as ITU-D Study Group 2 and the Joint Group on WTDC Resolution 9 also played a significant role. Study Group 1 is pleased to continue this cooperation on WTDC Resolution 9 and in other efforts providing spectrum management assistance to developing countries.</w:t>
      </w:r>
    </w:p>
    <w:p w:rsidR="00CA3B52" w:rsidRDefault="00CA3B52" w:rsidP="00CA3B52">
      <w:pPr>
        <w:rPr>
          <w:lang w:val="en-US"/>
        </w:rPr>
      </w:pPr>
      <w:r>
        <w:rPr>
          <w:lang w:val="en-US"/>
        </w:rPr>
        <w:t xml:space="preserve">Though a number of administrations contributed to the development of this revision, I would like to specifically recognize Mr. Sergey Pastukh (Russian Federation), Vice-Chairman of Study Group 1 and Chairman of Working Party 1B, and Mr. Hasan Sharif (United Arab Emirates), Chairman of the Working Party 1B Correspondence Group, for their leadership in this effort. </w:t>
      </w:r>
    </w:p>
    <w:p w:rsidR="00CA3B52" w:rsidRDefault="00CA3B52" w:rsidP="00CA3B52">
      <w:pPr>
        <w:rPr>
          <w:lang w:val="en-US"/>
        </w:rPr>
      </w:pPr>
    </w:p>
    <w:p w:rsidR="00CA3B52" w:rsidRDefault="00CA3B52" w:rsidP="00CA3B52">
      <w:pPr>
        <w:rPr>
          <w:lang w:val="en-US"/>
        </w:rPr>
      </w:pPr>
    </w:p>
    <w:p w:rsidR="00CA3B52" w:rsidRDefault="00CA3B52" w:rsidP="00CA3B52">
      <w:pPr>
        <w:rPr>
          <w:lang w:val="en-US"/>
        </w:rPr>
      </w:pPr>
    </w:p>
    <w:p w:rsidR="00CA3B52" w:rsidRDefault="00CA3B52" w:rsidP="00CA3B52">
      <w:pPr>
        <w:rPr>
          <w:lang w:val="en-US"/>
        </w:rPr>
      </w:pPr>
    </w:p>
    <w:p w:rsidR="00CA3B52" w:rsidRPr="00D437A4" w:rsidRDefault="00CA3B52" w:rsidP="002D1D5C">
      <w:pPr>
        <w:tabs>
          <w:tab w:val="clear" w:pos="794"/>
          <w:tab w:val="clear" w:pos="1191"/>
          <w:tab w:val="clear" w:pos="1588"/>
          <w:tab w:val="clear" w:pos="1985"/>
          <w:tab w:val="center" w:pos="6521"/>
        </w:tabs>
        <w:jc w:val="left"/>
        <w:rPr>
          <w:lang w:val="en-US"/>
        </w:rPr>
      </w:pPr>
      <w:r>
        <w:rPr>
          <w:lang w:val="en-US"/>
        </w:rPr>
        <w:tab/>
      </w:r>
      <w:r w:rsidRPr="009231D7">
        <w:rPr>
          <w:lang w:val="en-US"/>
        </w:rPr>
        <w:t>Robin H. Haines</w:t>
      </w:r>
      <w:r w:rsidR="002D1D5C">
        <w:rPr>
          <w:lang w:val="en-US"/>
        </w:rPr>
        <w:br/>
      </w:r>
      <w:r>
        <w:rPr>
          <w:lang w:val="en-US"/>
        </w:rPr>
        <w:tab/>
        <w:t>Chairman, Radiocommunication Study Group 1</w:t>
      </w:r>
    </w:p>
    <w:p w:rsidR="00CA3B52" w:rsidRDefault="00CA3B52" w:rsidP="00CA3B52">
      <w:pPr>
        <w:tabs>
          <w:tab w:val="clear" w:pos="794"/>
          <w:tab w:val="clear" w:pos="1191"/>
          <w:tab w:val="clear" w:pos="1588"/>
          <w:tab w:val="clear" w:pos="1985"/>
        </w:tabs>
        <w:overflowPunct/>
        <w:autoSpaceDE/>
        <w:autoSpaceDN/>
        <w:adjustRightInd/>
        <w:spacing w:before="0"/>
        <w:jc w:val="left"/>
        <w:textAlignment w:val="auto"/>
        <w:rPr>
          <w:b/>
          <w:sz w:val="22"/>
          <w:lang w:val="en-US"/>
        </w:rPr>
      </w:pPr>
      <w:r>
        <w:rPr>
          <w:lang w:val="en-US"/>
        </w:rPr>
        <w:br w:type="page"/>
      </w:r>
    </w:p>
    <w:p w:rsidR="00CA3B52" w:rsidRPr="00F65451" w:rsidRDefault="00CA3B52" w:rsidP="00991898">
      <w:pPr>
        <w:pStyle w:val="Headingb"/>
        <w:rPr>
          <w:sz w:val="22"/>
          <w:szCs w:val="22"/>
          <w:lang w:val="en-US"/>
        </w:rPr>
      </w:pPr>
      <w:bookmarkStart w:id="15" w:name="_Toc289932208"/>
      <w:r w:rsidRPr="00F65451">
        <w:rPr>
          <w:sz w:val="22"/>
          <w:szCs w:val="22"/>
          <w:lang w:val="en-US"/>
        </w:rPr>
        <w:lastRenderedPageBreak/>
        <w:t>Scope</w:t>
      </w:r>
      <w:bookmarkEnd w:id="15"/>
    </w:p>
    <w:p w:rsidR="00CA3B52" w:rsidRPr="00991898" w:rsidRDefault="00CA3B52" w:rsidP="00991898">
      <w:pPr>
        <w:rPr>
          <w:sz w:val="22"/>
          <w:szCs w:val="22"/>
          <w:lang w:val="en-US"/>
        </w:rPr>
      </w:pPr>
      <w:r w:rsidRPr="00991898">
        <w:rPr>
          <w:sz w:val="22"/>
          <w:szCs w:val="22"/>
          <w:lang w:val="en-US"/>
        </w:rPr>
        <w:t>The objective of this economic study is to respond to the following issues which are divided into three categories:</w:t>
      </w:r>
    </w:p>
    <w:p w:rsidR="00CA3B52" w:rsidRPr="006D7697" w:rsidRDefault="00CA3B52" w:rsidP="00CA3B52">
      <w:pPr>
        <w:rPr>
          <w:sz w:val="22"/>
          <w:szCs w:val="22"/>
          <w:lang w:val="en-US"/>
        </w:rPr>
      </w:pPr>
      <w:r w:rsidRPr="002937B0">
        <w:rPr>
          <w:b/>
          <w:i/>
          <w:iCs/>
          <w:sz w:val="22"/>
          <w:szCs w:val="22"/>
          <w:lang w:val="en-US"/>
        </w:rPr>
        <w:t>Category 1</w:t>
      </w:r>
      <w:r w:rsidRPr="005A3B22">
        <w:rPr>
          <w:bCs/>
          <w:sz w:val="22"/>
          <w:szCs w:val="22"/>
          <w:lang w:val="en-US"/>
        </w:rPr>
        <w:t>:</w:t>
      </w:r>
      <w:r w:rsidRPr="006D7697">
        <w:rPr>
          <w:sz w:val="22"/>
          <w:szCs w:val="22"/>
          <w:lang w:val="en-US"/>
        </w:rPr>
        <w:tab/>
      </w:r>
      <w:r>
        <w:rPr>
          <w:sz w:val="22"/>
          <w:szCs w:val="22"/>
          <w:lang w:val="en-US"/>
        </w:rPr>
        <w:t xml:space="preserve"> </w:t>
      </w:r>
      <w:r w:rsidRPr="006D7697">
        <w:rPr>
          <w:sz w:val="22"/>
          <w:szCs w:val="22"/>
          <w:lang w:val="en-US"/>
        </w:rPr>
        <w:t>Strategies for economic approaches to national spectrum management and their financing</w:t>
      </w:r>
    </w:p>
    <w:p w:rsidR="00CA3B52" w:rsidRPr="006D7697" w:rsidRDefault="00CA3B52" w:rsidP="00CA3B52">
      <w:pPr>
        <w:pStyle w:val="enumlev1"/>
        <w:rPr>
          <w:sz w:val="22"/>
          <w:szCs w:val="22"/>
          <w:lang w:val="en-US"/>
        </w:rPr>
      </w:pPr>
      <w:r w:rsidRPr="006D7697">
        <w:rPr>
          <w:bCs/>
          <w:sz w:val="22"/>
          <w:szCs w:val="22"/>
          <w:lang w:val="en-US"/>
        </w:rPr>
        <w:t>1</w:t>
      </w:r>
      <w:r>
        <w:rPr>
          <w:bCs/>
          <w:sz w:val="22"/>
          <w:szCs w:val="22"/>
          <w:lang w:val="en-US"/>
        </w:rPr>
        <w:t>.</w:t>
      </w:r>
      <w:r w:rsidRPr="006D7697">
        <w:rPr>
          <w:sz w:val="22"/>
          <w:szCs w:val="22"/>
          <w:lang w:val="en-US"/>
        </w:rPr>
        <w:tab/>
        <w:t>What are the underlying principles that have been taken into consideration by various administrations in their approaches to financing the maintenance and development of national spectrum management?</w:t>
      </w:r>
    </w:p>
    <w:p w:rsidR="00CA3B52" w:rsidRPr="006D7697" w:rsidRDefault="00CA3B52" w:rsidP="00CA3B52">
      <w:pPr>
        <w:pStyle w:val="enumlev1"/>
        <w:rPr>
          <w:sz w:val="22"/>
          <w:szCs w:val="22"/>
          <w:lang w:val="en-US"/>
        </w:rPr>
      </w:pPr>
      <w:r w:rsidRPr="006D7697">
        <w:rPr>
          <w:bCs/>
          <w:sz w:val="22"/>
          <w:szCs w:val="22"/>
          <w:lang w:val="en-US"/>
        </w:rPr>
        <w:t>2</w:t>
      </w:r>
      <w:r>
        <w:rPr>
          <w:bCs/>
          <w:sz w:val="22"/>
          <w:szCs w:val="22"/>
          <w:lang w:val="en-US"/>
        </w:rPr>
        <w:t>.</w:t>
      </w:r>
      <w:r w:rsidRPr="006D7697">
        <w:rPr>
          <w:sz w:val="22"/>
          <w:szCs w:val="22"/>
          <w:lang w:val="en-US"/>
        </w:rPr>
        <w:tab/>
        <w:t>What economic approaches have been, or are intended to be used to promote efficient national spectrum management in different frequency bands?</w:t>
      </w:r>
    </w:p>
    <w:p w:rsidR="00CA3B52" w:rsidRPr="006D7697" w:rsidRDefault="00CA3B52" w:rsidP="00CA3B52">
      <w:pPr>
        <w:pStyle w:val="enumlev1"/>
        <w:rPr>
          <w:sz w:val="22"/>
          <w:szCs w:val="22"/>
          <w:lang w:val="en-US"/>
        </w:rPr>
      </w:pPr>
      <w:r w:rsidRPr="006D7697">
        <w:rPr>
          <w:sz w:val="22"/>
          <w:szCs w:val="22"/>
          <w:lang w:val="en-US"/>
        </w:rPr>
        <w:t>3</w:t>
      </w:r>
      <w:r>
        <w:rPr>
          <w:bCs/>
          <w:sz w:val="22"/>
          <w:szCs w:val="22"/>
          <w:lang w:val="en-US"/>
        </w:rPr>
        <w:t>.</w:t>
      </w:r>
      <w:r w:rsidRPr="006D7697">
        <w:rPr>
          <w:sz w:val="22"/>
          <w:szCs w:val="22"/>
          <w:lang w:val="en-US"/>
        </w:rPr>
        <w:tab/>
        <w:t>What are the advantages and disadvantages of these various economic approaches to national spectrum management?</w:t>
      </w:r>
    </w:p>
    <w:p w:rsidR="00CA3B52" w:rsidRPr="006D7697" w:rsidRDefault="00CA3B52" w:rsidP="00CA3B52">
      <w:pPr>
        <w:pStyle w:val="enumlev1"/>
        <w:rPr>
          <w:sz w:val="22"/>
          <w:szCs w:val="22"/>
          <w:lang w:val="en-US"/>
        </w:rPr>
      </w:pPr>
      <w:r w:rsidRPr="006D7697">
        <w:rPr>
          <w:sz w:val="22"/>
          <w:szCs w:val="22"/>
          <w:lang w:val="en-US"/>
        </w:rPr>
        <w:t>4</w:t>
      </w:r>
      <w:r>
        <w:rPr>
          <w:bCs/>
          <w:sz w:val="22"/>
          <w:szCs w:val="22"/>
          <w:lang w:val="en-US"/>
        </w:rPr>
        <w:t>.</w:t>
      </w:r>
      <w:r w:rsidRPr="006D7697">
        <w:rPr>
          <w:sz w:val="22"/>
          <w:szCs w:val="22"/>
          <w:lang w:val="en-US"/>
        </w:rPr>
        <w:tab/>
        <w:t>What are the factors (e.g. geographical, topographical, infrastructural, social, legal) that could affect these approaches and how would they vary with the use of radio in a country and the level of that country’s development?</w:t>
      </w:r>
    </w:p>
    <w:p w:rsidR="00CA3B52" w:rsidRPr="006D7697" w:rsidRDefault="00CA3B52" w:rsidP="00CA3B52">
      <w:pPr>
        <w:spacing w:before="80"/>
        <w:rPr>
          <w:sz w:val="22"/>
          <w:szCs w:val="22"/>
          <w:lang w:val="en-US"/>
        </w:rPr>
      </w:pPr>
      <w:r w:rsidRPr="002937B0">
        <w:rPr>
          <w:b/>
          <w:i/>
          <w:sz w:val="22"/>
          <w:szCs w:val="22"/>
          <w:lang w:val="en-US"/>
        </w:rPr>
        <w:t>Category 2</w:t>
      </w:r>
      <w:r w:rsidRPr="005A3B22">
        <w:rPr>
          <w:bCs/>
          <w:iCs/>
          <w:sz w:val="22"/>
          <w:szCs w:val="22"/>
          <w:lang w:val="en-US"/>
        </w:rPr>
        <w:t>:</w:t>
      </w:r>
      <w:r w:rsidRPr="006D7697">
        <w:rPr>
          <w:i/>
          <w:sz w:val="22"/>
          <w:szCs w:val="22"/>
          <w:lang w:val="en-US"/>
        </w:rPr>
        <w:tab/>
      </w:r>
      <w:r w:rsidRPr="006D7697">
        <w:rPr>
          <w:sz w:val="22"/>
          <w:szCs w:val="22"/>
          <w:lang w:val="en-US"/>
        </w:rPr>
        <w:t>Assessment, for spectrum planning and strategic development purposes, of the benefits arising from the use of the radio spectrum</w:t>
      </w:r>
    </w:p>
    <w:p w:rsidR="00CA3B52" w:rsidRPr="006D7697" w:rsidRDefault="00CA3B52" w:rsidP="00CA3B52">
      <w:pPr>
        <w:pStyle w:val="enumlev1"/>
        <w:rPr>
          <w:sz w:val="22"/>
          <w:szCs w:val="22"/>
          <w:lang w:val="en-US"/>
        </w:rPr>
      </w:pPr>
      <w:r w:rsidRPr="006D7697">
        <w:rPr>
          <w:sz w:val="22"/>
          <w:szCs w:val="22"/>
          <w:lang w:val="en-US"/>
        </w:rPr>
        <w:t>1</w:t>
      </w:r>
      <w:r>
        <w:rPr>
          <w:bCs/>
          <w:sz w:val="22"/>
          <w:szCs w:val="22"/>
          <w:lang w:val="en-US"/>
        </w:rPr>
        <w:t>.</w:t>
      </w:r>
      <w:r w:rsidRPr="006D7697">
        <w:rPr>
          <w:sz w:val="22"/>
          <w:szCs w:val="22"/>
          <w:lang w:val="en-US"/>
        </w:rPr>
        <w:tab/>
        <w:t>What are the benefits that accrue to an administration from the use of radio within its country and how can they be quantified, allowing them to be represented in an economic form so as to enable a comparison of the benefits and costs of particular sp</w:t>
      </w:r>
      <w:r>
        <w:rPr>
          <w:sz w:val="22"/>
          <w:szCs w:val="22"/>
          <w:lang w:val="en-US"/>
        </w:rPr>
        <w:t>ectrum management options (e.g. </w:t>
      </w:r>
      <w:r w:rsidRPr="006D7697">
        <w:rPr>
          <w:sz w:val="22"/>
          <w:szCs w:val="22"/>
          <w:lang w:val="en-US"/>
        </w:rPr>
        <w:t>in terms of employment or Gross Domestic Product)?</w:t>
      </w:r>
    </w:p>
    <w:p w:rsidR="00CA3B52" w:rsidRPr="006D7697" w:rsidRDefault="00CA3B52" w:rsidP="00CA3B52">
      <w:pPr>
        <w:pStyle w:val="enumlev1"/>
        <w:rPr>
          <w:sz w:val="22"/>
          <w:szCs w:val="22"/>
          <w:lang w:val="en-US"/>
        </w:rPr>
      </w:pPr>
      <w:r w:rsidRPr="006D7697">
        <w:rPr>
          <w:sz w:val="22"/>
          <w:szCs w:val="22"/>
          <w:lang w:val="en-US"/>
        </w:rPr>
        <w:t>2</w:t>
      </w:r>
      <w:r>
        <w:rPr>
          <w:bCs/>
          <w:sz w:val="22"/>
          <w:szCs w:val="22"/>
          <w:lang w:val="en-US"/>
        </w:rPr>
        <w:t>.</w:t>
      </w:r>
      <w:r w:rsidRPr="006D7697">
        <w:rPr>
          <w:sz w:val="22"/>
          <w:szCs w:val="22"/>
          <w:lang w:val="en-US"/>
        </w:rPr>
        <w:tab/>
        <w:t>What models can be used to represent these benefits in an economic form and how can they be validated?</w:t>
      </w:r>
    </w:p>
    <w:p w:rsidR="00CA3B52" w:rsidRPr="006D7697" w:rsidRDefault="00CA3B52" w:rsidP="00CA3B52">
      <w:pPr>
        <w:pStyle w:val="enumlev1"/>
        <w:rPr>
          <w:sz w:val="22"/>
          <w:szCs w:val="22"/>
          <w:lang w:val="en-US"/>
        </w:rPr>
      </w:pPr>
      <w:r w:rsidRPr="006D7697">
        <w:rPr>
          <w:sz w:val="22"/>
          <w:szCs w:val="22"/>
          <w:lang w:val="en-US"/>
        </w:rPr>
        <w:t>3</w:t>
      </w:r>
      <w:r>
        <w:rPr>
          <w:bCs/>
          <w:sz w:val="22"/>
          <w:szCs w:val="22"/>
          <w:lang w:val="en-US"/>
        </w:rPr>
        <w:t>.</w:t>
      </w:r>
      <w:r w:rsidRPr="006D7697">
        <w:rPr>
          <w:sz w:val="22"/>
          <w:szCs w:val="22"/>
          <w:lang w:val="en-US"/>
        </w:rPr>
        <w:tab/>
        <w:t>What factors could affect the benefits accruing to an administration from the use of the radio</w:t>
      </w:r>
      <w:r w:rsidRPr="006D7697">
        <w:rPr>
          <w:sz w:val="22"/>
          <w:szCs w:val="22"/>
          <w:lang w:val="en-US"/>
        </w:rPr>
        <w:noBreakHyphen/>
        <w:t>frequency spectrum, including by national safety services?</w:t>
      </w:r>
    </w:p>
    <w:p w:rsidR="00CA3B52" w:rsidRPr="006D7697" w:rsidRDefault="00CA3B52" w:rsidP="00CA3B52">
      <w:pPr>
        <w:pStyle w:val="enumlev1"/>
        <w:rPr>
          <w:sz w:val="22"/>
          <w:szCs w:val="22"/>
          <w:lang w:val="en-US"/>
        </w:rPr>
      </w:pPr>
      <w:r w:rsidRPr="006D7697">
        <w:rPr>
          <w:sz w:val="22"/>
          <w:szCs w:val="22"/>
          <w:lang w:val="en-US"/>
        </w:rPr>
        <w:t>4</w:t>
      </w:r>
      <w:r>
        <w:rPr>
          <w:bCs/>
          <w:sz w:val="22"/>
          <w:szCs w:val="22"/>
          <w:lang w:val="en-US"/>
        </w:rPr>
        <w:t>.</w:t>
      </w:r>
      <w:r w:rsidRPr="006D7697">
        <w:rPr>
          <w:sz w:val="22"/>
          <w:szCs w:val="22"/>
          <w:lang w:val="en-US"/>
        </w:rPr>
        <w:tab/>
        <w:t>How would the factors in § 3 vary from country to country?</w:t>
      </w:r>
    </w:p>
    <w:p w:rsidR="00CA3B52" w:rsidRPr="006D7697" w:rsidRDefault="00CA3B52" w:rsidP="00CA3B52">
      <w:pPr>
        <w:spacing w:before="80"/>
        <w:rPr>
          <w:sz w:val="22"/>
          <w:szCs w:val="22"/>
          <w:lang w:val="en-US"/>
        </w:rPr>
      </w:pPr>
      <w:r w:rsidRPr="002937B0">
        <w:rPr>
          <w:b/>
          <w:i/>
          <w:iCs/>
          <w:sz w:val="22"/>
          <w:szCs w:val="22"/>
          <w:lang w:val="en-US"/>
        </w:rPr>
        <w:t>Category 3</w:t>
      </w:r>
      <w:r w:rsidRPr="005A3B22">
        <w:rPr>
          <w:bCs/>
          <w:sz w:val="22"/>
          <w:szCs w:val="22"/>
          <w:lang w:val="en-US"/>
        </w:rPr>
        <w:t>:</w:t>
      </w:r>
      <w:r w:rsidRPr="006D7697">
        <w:rPr>
          <w:sz w:val="22"/>
          <w:szCs w:val="22"/>
          <w:lang w:val="en-US"/>
        </w:rPr>
        <w:tab/>
        <w:t>Alternative methods of national spectrum management</w:t>
      </w:r>
    </w:p>
    <w:p w:rsidR="00CA3B52" w:rsidRPr="006D7697" w:rsidRDefault="00CA3B52" w:rsidP="00CA3B52">
      <w:pPr>
        <w:pStyle w:val="enumlev1"/>
        <w:rPr>
          <w:sz w:val="22"/>
          <w:szCs w:val="22"/>
          <w:lang w:val="en-US"/>
        </w:rPr>
      </w:pPr>
      <w:r w:rsidRPr="006D7697">
        <w:rPr>
          <w:bCs/>
          <w:sz w:val="22"/>
          <w:szCs w:val="22"/>
          <w:lang w:val="en-US"/>
        </w:rPr>
        <w:t>1</w:t>
      </w:r>
      <w:r>
        <w:rPr>
          <w:bCs/>
          <w:sz w:val="22"/>
          <w:szCs w:val="22"/>
          <w:lang w:val="en-US"/>
        </w:rPr>
        <w:t>.</w:t>
      </w:r>
      <w:r w:rsidRPr="006D7697">
        <w:rPr>
          <w:sz w:val="22"/>
          <w:szCs w:val="22"/>
          <w:lang w:val="en-US"/>
        </w:rPr>
        <w:tab/>
        <w:t>What are alternative spectrum management approaches including the use of non-profit making user groups and private sector spectrum management organizations?</w:t>
      </w:r>
    </w:p>
    <w:p w:rsidR="00CA3B52" w:rsidRPr="006D7697" w:rsidRDefault="00CA3B52" w:rsidP="00CA3B52">
      <w:pPr>
        <w:pStyle w:val="enumlev1"/>
        <w:rPr>
          <w:sz w:val="22"/>
          <w:szCs w:val="22"/>
          <w:lang w:val="en-US"/>
        </w:rPr>
      </w:pPr>
      <w:r w:rsidRPr="006D7697">
        <w:rPr>
          <w:sz w:val="22"/>
          <w:szCs w:val="22"/>
          <w:lang w:val="en-US"/>
        </w:rPr>
        <w:t>2</w:t>
      </w:r>
      <w:r>
        <w:rPr>
          <w:bCs/>
          <w:sz w:val="22"/>
          <w:szCs w:val="22"/>
          <w:lang w:val="en-US"/>
        </w:rPr>
        <w:t>.</w:t>
      </w:r>
      <w:r w:rsidRPr="006D7697">
        <w:rPr>
          <w:sz w:val="22"/>
          <w:szCs w:val="22"/>
          <w:lang w:val="en-US"/>
        </w:rPr>
        <w:tab/>
        <w:t>How can these approaches be categorized?</w:t>
      </w:r>
    </w:p>
    <w:p w:rsidR="00CA3B52" w:rsidRPr="006D7697" w:rsidRDefault="00CA3B52" w:rsidP="00CA3B52">
      <w:pPr>
        <w:pStyle w:val="enumlev1"/>
        <w:rPr>
          <w:sz w:val="22"/>
          <w:szCs w:val="22"/>
          <w:lang w:val="en-US"/>
        </w:rPr>
      </w:pPr>
      <w:r w:rsidRPr="006D7697">
        <w:rPr>
          <w:sz w:val="22"/>
          <w:szCs w:val="22"/>
          <w:lang w:val="en-US"/>
        </w:rPr>
        <w:t>3</w:t>
      </w:r>
      <w:r>
        <w:rPr>
          <w:bCs/>
          <w:sz w:val="22"/>
          <w:szCs w:val="22"/>
          <w:lang w:val="en-US"/>
        </w:rPr>
        <w:t>.</w:t>
      </w:r>
      <w:r w:rsidRPr="006D7697">
        <w:rPr>
          <w:sz w:val="22"/>
          <w:szCs w:val="22"/>
          <w:lang w:val="en-US"/>
        </w:rPr>
        <w:tab/>
        <w:t>Which of these alternative spectrum management approaches would be responsive to the needs of the developing countries as well as for the least developed ones?</w:t>
      </w:r>
    </w:p>
    <w:p w:rsidR="00CA3B52" w:rsidRPr="006D7697" w:rsidRDefault="00CA3B52" w:rsidP="00CA3B52">
      <w:pPr>
        <w:pStyle w:val="enumlev1"/>
        <w:rPr>
          <w:sz w:val="22"/>
          <w:szCs w:val="22"/>
          <w:lang w:val="en-US"/>
        </w:rPr>
      </w:pPr>
      <w:r w:rsidRPr="006D7697">
        <w:rPr>
          <w:sz w:val="22"/>
          <w:szCs w:val="22"/>
          <w:lang w:val="en-US"/>
        </w:rPr>
        <w:t>4</w:t>
      </w:r>
      <w:r>
        <w:rPr>
          <w:bCs/>
          <w:sz w:val="22"/>
          <w:szCs w:val="22"/>
          <w:lang w:val="en-US"/>
        </w:rPr>
        <w:t>.</w:t>
      </w:r>
      <w:r w:rsidRPr="006D7697">
        <w:rPr>
          <w:sz w:val="22"/>
          <w:szCs w:val="22"/>
          <w:lang w:val="en-US"/>
        </w:rPr>
        <w:tab/>
        <w:t>What measures, of a technical, operational and regulatory nature, would it be necessary for an administration to consider implementing when adopting one or more of these spectrum management approaches in the context of:</w:t>
      </w:r>
    </w:p>
    <w:p w:rsidR="00CA3B52" w:rsidRPr="006D7697" w:rsidRDefault="00CA3B52" w:rsidP="00CA3B52">
      <w:pPr>
        <w:pStyle w:val="enumlev2"/>
        <w:rPr>
          <w:sz w:val="22"/>
          <w:szCs w:val="22"/>
          <w:lang w:val="en-US"/>
        </w:rPr>
      </w:pPr>
      <w:r w:rsidRPr="006D7697">
        <w:rPr>
          <w:sz w:val="22"/>
          <w:szCs w:val="22"/>
          <w:lang w:val="en-US"/>
        </w:rPr>
        <w:t>–</w:t>
      </w:r>
      <w:r w:rsidRPr="006D7697">
        <w:rPr>
          <w:sz w:val="22"/>
          <w:szCs w:val="22"/>
          <w:lang w:val="en-US"/>
        </w:rPr>
        <w:tab/>
        <w:t>the country’s infrastructure;</w:t>
      </w:r>
    </w:p>
    <w:p w:rsidR="00CA3B52" w:rsidRPr="006D7697" w:rsidRDefault="00CA3B52" w:rsidP="00CA3B52">
      <w:pPr>
        <w:pStyle w:val="enumlev2"/>
        <w:spacing w:before="60"/>
        <w:rPr>
          <w:sz w:val="22"/>
          <w:szCs w:val="22"/>
          <w:lang w:val="en-US"/>
        </w:rPr>
      </w:pPr>
      <w:r w:rsidRPr="006D7697">
        <w:rPr>
          <w:sz w:val="22"/>
          <w:szCs w:val="22"/>
          <w:lang w:val="en-US"/>
        </w:rPr>
        <w:t>–</w:t>
      </w:r>
      <w:r w:rsidRPr="006D7697">
        <w:rPr>
          <w:sz w:val="22"/>
          <w:szCs w:val="22"/>
          <w:lang w:val="en-US"/>
        </w:rPr>
        <w:tab/>
        <w:t>national spectrum management;</w:t>
      </w:r>
    </w:p>
    <w:p w:rsidR="00CA3B52" w:rsidRPr="006D7697" w:rsidRDefault="00CA3B52" w:rsidP="00CA3B52">
      <w:pPr>
        <w:pStyle w:val="enumlev2"/>
        <w:spacing w:before="60"/>
        <w:rPr>
          <w:sz w:val="22"/>
          <w:szCs w:val="22"/>
          <w:lang w:val="en-US"/>
        </w:rPr>
      </w:pPr>
      <w:r w:rsidRPr="006D7697">
        <w:rPr>
          <w:sz w:val="22"/>
          <w:szCs w:val="22"/>
          <w:lang w:val="en-US"/>
        </w:rPr>
        <w:t>–</w:t>
      </w:r>
      <w:r w:rsidRPr="006D7697">
        <w:rPr>
          <w:sz w:val="22"/>
          <w:szCs w:val="22"/>
          <w:lang w:val="en-US"/>
        </w:rPr>
        <w:tab/>
        <w:t>regional and international aspects (e.g. notification, coordination, monitoring)?</w:t>
      </w:r>
    </w:p>
    <w:p w:rsidR="00CA3B52" w:rsidRPr="006D7697" w:rsidRDefault="00CA3B52" w:rsidP="00CA3B52">
      <w:pPr>
        <w:rPr>
          <w:sz w:val="22"/>
          <w:szCs w:val="22"/>
          <w:lang w:val="en-US"/>
        </w:rPr>
      </w:pPr>
      <w:r w:rsidRPr="006D7697">
        <w:rPr>
          <w:sz w:val="22"/>
          <w:szCs w:val="22"/>
          <w:lang w:val="en-US"/>
        </w:rPr>
        <w:t>Further information is likely to be submitted that is relevant to this Report and that information will be included in future revisions as appropriate.</w:t>
      </w:r>
    </w:p>
    <w:p w:rsidR="00CA3B52" w:rsidRPr="00CB6CBA" w:rsidRDefault="00CA3B52" w:rsidP="00CA3B52">
      <w:pPr>
        <w:pStyle w:val="ChapNo"/>
        <w:spacing w:before="0"/>
        <w:rPr>
          <w:lang w:val="en-US"/>
        </w:rPr>
      </w:pPr>
      <w:bookmarkStart w:id="16" w:name="_Toc459746613"/>
      <w:bookmarkStart w:id="17" w:name="_Toc459792541"/>
      <w:bookmarkStart w:id="18" w:name="_Toc459793712"/>
      <w:bookmarkStart w:id="19" w:name="_Toc459793854"/>
      <w:bookmarkStart w:id="20" w:name="_Toc459970352"/>
      <w:r w:rsidRPr="00C06C61">
        <w:rPr>
          <w:lang w:val="en-US"/>
        </w:rPr>
        <w:br w:type="page"/>
      </w:r>
      <w:bookmarkStart w:id="21" w:name="_Toc289868741"/>
      <w:bookmarkStart w:id="22" w:name="_Toc289868901"/>
      <w:bookmarkStart w:id="23" w:name="_Toc289932209"/>
      <w:bookmarkStart w:id="24" w:name="_Toc289933255"/>
      <w:bookmarkStart w:id="25" w:name="_Toc291852818"/>
      <w:r w:rsidRPr="00CB6CBA">
        <w:rPr>
          <w:lang w:val="en-US"/>
        </w:rPr>
        <w:lastRenderedPageBreak/>
        <w:t>CHAPTER 1</w:t>
      </w:r>
      <w:bookmarkEnd w:id="16"/>
      <w:bookmarkEnd w:id="17"/>
      <w:bookmarkEnd w:id="18"/>
      <w:bookmarkEnd w:id="19"/>
      <w:bookmarkEnd w:id="20"/>
      <w:bookmarkEnd w:id="21"/>
      <w:bookmarkEnd w:id="22"/>
      <w:bookmarkEnd w:id="23"/>
      <w:bookmarkEnd w:id="24"/>
      <w:bookmarkEnd w:id="25"/>
    </w:p>
    <w:p w:rsidR="00CA3B52" w:rsidRPr="00CB6CBA" w:rsidRDefault="00CA3B52" w:rsidP="00CA3B52">
      <w:pPr>
        <w:pStyle w:val="Chaptitle"/>
        <w:rPr>
          <w:lang w:val="en-US"/>
        </w:rPr>
      </w:pPr>
      <w:bookmarkStart w:id="26" w:name="_Toc459746614"/>
      <w:bookmarkStart w:id="27" w:name="_Toc459792542"/>
      <w:bookmarkStart w:id="28" w:name="_Toc459793713"/>
      <w:bookmarkStart w:id="29" w:name="_Toc459793855"/>
      <w:bookmarkStart w:id="30" w:name="_Toc459970353"/>
      <w:bookmarkStart w:id="31" w:name="_Toc289868742"/>
      <w:bookmarkStart w:id="32" w:name="_Toc289868902"/>
      <w:bookmarkStart w:id="33" w:name="_Toc289932210"/>
      <w:bookmarkStart w:id="34" w:name="_Toc289933256"/>
      <w:bookmarkStart w:id="35" w:name="_Toc291852819"/>
      <w:r w:rsidRPr="00CB6CBA">
        <w:rPr>
          <w:lang w:val="en-US"/>
        </w:rPr>
        <w:t>Introduction to economic considerations</w:t>
      </w:r>
      <w:bookmarkEnd w:id="26"/>
      <w:bookmarkEnd w:id="27"/>
      <w:bookmarkEnd w:id="28"/>
      <w:bookmarkEnd w:id="29"/>
      <w:bookmarkEnd w:id="30"/>
      <w:bookmarkEnd w:id="31"/>
      <w:bookmarkEnd w:id="32"/>
      <w:bookmarkEnd w:id="33"/>
      <w:bookmarkEnd w:id="34"/>
      <w:bookmarkEnd w:id="35"/>
    </w:p>
    <w:p w:rsidR="00CA3B52" w:rsidRPr="00CB6CBA" w:rsidRDefault="00CA3B52" w:rsidP="00CA3B52">
      <w:pPr>
        <w:pStyle w:val="Heading2"/>
        <w:rPr>
          <w:lang w:val="en-US"/>
        </w:rPr>
      </w:pPr>
      <w:bookmarkStart w:id="36" w:name="_Toc394385955"/>
      <w:bookmarkStart w:id="37" w:name="_Toc394386042"/>
      <w:bookmarkStart w:id="38" w:name="_Toc395503146"/>
      <w:bookmarkStart w:id="39" w:name="_Toc459746615"/>
      <w:bookmarkStart w:id="40" w:name="_Toc459792543"/>
      <w:bookmarkStart w:id="41" w:name="_Toc459793714"/>
      <w:bookmarkStart w:id="42" w:name="_Toc459793856"/>
      <w:bookmarkStart w:id="43" w:name="_Toc459970354"/>
      <w:bookmarkStart w:id="44" w:name="_Toc497033091"/>
      <w:bookmarkStart w:id="45" w:name="_Toc497033889"/>
      <w:bookmarkStart w:id="46" w:name="_Toc289868743"/>
      <w:bookmarkStart w:id="47" w:name="_Toc289868903"/>
      <w:bookmarkStart w:id="48" w:name="_Toc289932211"/>
      <w:bookmarkStart w:id="49" w:name="_Toc289933257"/>
      <w:bookmarkStart w:id="50" w:name="_Toc291852820"/>
      <w:bookmarkStart w:id="51" w:name="_Toc392515812"/>
      <w:r w:rsidRPr="00CB6CBA">
        <w:rPr>
          <w:lang w:val="en-US"/>
        </w:rPr>
        <w:t>1.1</w:t>
      </w:r>
      <w:r w:rsidRPr="00CB6CBA">
        <w:rPr>
          <w:lang w:val="en-US"/>
        </w:rPr>
        <w:tab/>
        <w:t>Need for spectrum economic approach</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CA3B52" w:rsidRPr="00CB6CBA" w:rsidRDefault="00CA3B52" w:rsidP="00F65451">
      <w:pPr>
        <w:rPr>
          <w:lang w:val="en-US"/>
        </w:rPr>
      </w:pPr>
      <w:r w:rsidRPr="00CB6CBA">
        <w:rPr>
          <w:lang w:val="en-US"/>
        </w:rPr>
        <w:t>The increasing use of new technologies has produced tremendous opportunities for improving the communications infrastructure of a country and the country’s economy. Further, the ongoing technological developments have opened the door to a variety of new spectrum applications. These developments, though often making spectrum use more efficient, have spurred greater interest and demand for the limited spectrum resource. Thus, the efficient and effective management of the spectrum, while crucial to making the most of the opportunities that the spectrum resource represents, grows more complex. Improved data handling capabilities and engineering analysis methods are key to accommodating the number and variety of users seeking access to the spectrum resource. If the spectrum resource is to be used efficiently and effectively, the sharing of the available spectrum has to be coordinated among users in accordance with national regulations within national boundaries and in accordance with the Radio Regulations (RR) of the International Telecommunication Union (ITU) for international use. The ability of each nation to take full advantage of the spectrum resource depends heavily on spectrum managers facilitating the implementation of radio systems, and ensuring their compatible operation. Furthermore, the imbalance between the demand for radio frequencies and the availability of spectrum keeps growing, especially in urban areas. According to economic theory, when demand exceeds supply, a price system should be implemented. As the frequency spectrum is a scarce resource, decisions concerning spectrum management should also consider the economic point of view. Therefore, to improve national spectrum management all available means including economic methods are needed.</w:t>
      </w:r>
    </w:p>
    <w:p w:rsidR="00CA3B52" w:rsidRPr="00CB6CBA" w:rsidRDefault="00CA3B52" w:rsidP="00CA3B52">
      <w:pPr>
        <w:rPr>
          <w:lang w:val="en-US"/>
        </w:rPr>
      </w:pPr>
      <w:r w:rsidRPr="00CB6CBA">
        <w:rPr>
          <w:lang w:val="en-US"/>
        </w:rPr>
        <w:t>This Report has been developed to assist administrations in the development of strategies on economic approaches to national spectrum management and their financing. In addition, the Report presents a discussion of the benefits of spectrum planning and strategic development and the methods of technical support for national spectrum management. These approaches not only promote economic efficiency but can also promote technical and administrative efficiency.</w:t>
      </w:r>
    </w:p>
    <w:p w:rsidR="00CA3B52" w:rsidRPr="00CB6CBA" w:rsidRDefault="00CA3B52" w:rsidP="00CA3B52">
      <w:pPr>
        <w:rPr>
          <w:lang w:val="en-US"/>
        </w:rPr>
      </w:pPr>
      <w:r w:rsidRPr="00CB6CBA">
        <w:rPr>
          <w:lang w:val="en-US"/>
        </w:rPr>
        <w:t>Before the economic approaches can be discussed it is first necessary to consider what is an effective spectrum management system and what areas of spectrum management can be appropriately supported by other means.</w:t>
      </w:r>
    </w:p>
    <w:p w:rsidR="00CA3B52" w:rsidRPr="00CB6CBA" w:rsidRDefault="00CA3B52" w:rsidP="00CA3B52">
      <w:pPr>
        <w:pStyle w:val="Heading2"/>
        <w:rPr>
          <w:lang w:val="en-US"/>
        </w:rPr>
      </w:pPr>
      <w:bookmarkStart w:id="52" w:name="_Toc394385956"/>
      <w:bookmarkStart w:id="53" w:name="_Toc394386043"/>
      <w:bookmarkStart w:id="54" w:name="_Toc395503147"/>
      <w:bookmarkStart w:id="55" w:name="_Toc459746616"/>
      <w:bookmarkStart w:id="56" w:name="_Toc459792544"/>
      <w:bookmarkStart w:id="57" w:name="_Toc459793715"/>
      <w:bookmarkStart w:id="58" w:name="_Toc459793857"/>
      <w:bookmarkStart w:id="59" w:name="_Toc459970355"/>
      <w:bookmarkStart w:id="60" w:name="_Toc497033092"/>
      <w:bookmarkStart w:id="61" w:name="_Toc497033890"/>
      <w:bookmarkStart w:id="62" w:name="_Toc289868744"/>
      <w:bookmarkStart w:id="63" w:name="_Toc289868904"/>
      <w:bookmarkStart w:id="64" w:name="_Toc289932212"/>
      <w:bookmarkStart w:id="65" w:name="_Toc289933258"/>
      <w:bookmarkStart w:id="66" w:name="_Toc291852821"/>
      <w:bookmarkStart w:id="67" w:name="_Toc392515813"/>
      <w:r w:rsidRPr="00CB6CBA">
        <w:rPr>
          <w:lang w:val="en-US"/>
        </w:rPr>
        <w:t>1.2</w:t>
      </w:r>
      <w:r w:rsidRPr="00CB6CBA">
        <w:rPr>
          <w:lang w:val="en-US"/>
        </w:rPr>
        <w:tab/>
        <w:t>Requirements for national spectrum management</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CA3B52" w:rsidRPr="00CB6CBA" w:rsidRDefault="00CA3B52" w:rsidP="00F65451">
      <w:pPr>
        <w:rPr>
          <w:lang w:val="en-US"/>
        </w:rPr>
      </w:pPr>
      <w:r w:rsidRPr="00CB6CBA">
        <w:rPr>
          <w:lang w:val="en-US"/>
        </w:rPr>
        <w:t>Effective management of the spectrum resource depends on a number of fundamental elements. Although no two administrations are likely to manage the spectrum in exactly the same manner, and the relative importance of these fundamental elements may be dependent on an administration’s use of the spectrum, they are essential to all approaches. For further information on spectrum management functions see the ITU Handbook on National spectrum management.</w:t>
      </w:r>
    </w:p>
    <w:p w:rsidR="00CA3B52" w:rsidRPr="00CB6CBA" w:rsidRDefault="00CA3B52" w:rsidP="00CA3B52">
      <w:pPr>
        <w:pStyle w:val="Heading2"/>
        <w:rPr>
          <w:lang w:val="en-US"/>
        </w:rPr>
      </w:pPr>
      <w:bookmarkStart w:id="68" w:name="_Toc394385957"/>
      <w:bookmarkStart w:id="69" w:name="_Toc394386044"/>
      <w:bookmarkStart w:id="70" w:name="_Toc395503148"/>
      <w:bookmarkStart w:id="71" w:name="_Toc459746617"/>
      <w:bookmarkStart w:id="72" w:name="_Toc459792545"/>
      <w:bookmarkStart w:id="73" w:name="_Toc459793716"/>
      <w:bookmarkStart w:id="74" w:name="_Toc459793858"/>
      <w:bookmarkStart w:id="75" w:name="_Toc459970356"/>
      <w:bookmarkStart w:id="76" w:name="_Toc497033093"/>
      <w:bookmarkStart w:id="77" w:name="_Toc497033891"/>
      <w:bookmarkStart w:id="78" w:name="_Toc289868745"/>
      <w:bookmarkStart w:id="79" w:name="_Toc289868905"/>
      <w:bookmarkStart w:id="80" w:name="_Toc289932213"/>
      <w:bookmarkStart w:id="81" w:name="_Toc289933259"/>
      <w:bookmarkStart w:id="82" w:name="_Toc291852822"/>
      <w:bookmarkStart w:id="83" w:name="_Toc392515814"/>
      <w:r w:rsidRPr="00CB6CBA">
        <w:rPr>
          <w:lang w:val="en-US"/>
        </w:rPr>
        <w:lastRenderedPageBreak/>
        <w:t>1.3</w:t>
      </w:r>
      <w:r w:rsidRPr="00CB6CBA">
        <w:rPr>
          <w:lang w:val="en-US"/>
        </w:rPr>
        <w:tab/>
        <w:t>Goals and objectives</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CA3B52" w:rsidRPr="00CB6CBA" w:rsidRDefault="00CA3B52" w:rsidP="00F65451">
      <w:pPr>
        <w:keepNext/>
        <w:keepLines/>
        <w:rPr>
          <w:lang w:val="en-US"/>
        </w:rPr>
      </w:pPr>
      <w:r w:rsidRPr="00CB6CBA">
        <w:rPr>
          <w:lang w:val="en-US"/>
        </w:rPr>
        <w:t>In general, the goals and objectives of the spectrum management system are to facilitate the use of the radio spectrum within the ITU Radio Regulations and in the national interest. The spectrum management system must ensure that adequate spectrum is provided over both the short and long term for public service organizations to fulfil their missions for public correspondence, for private sector business communications, and for broadcasting information to the public. Many administrations also place high priorities on spectrum for research and amateur activities.</w:t>
      </w:r>
    </w:p>
    <w:p w:rsidR="00CA3B52" w:rsidRPr="00CB6CBA" w:rsidRDefault="00CA3B52" w:rsidP="00CA3B52">
      <w:pPr>
        <w:rPr>
          <w:lang w:val="en-US"/>
        </w:rPr>
      </w:pPr>
      <w:r w:rsidRPr="00CB6CBA">
        <w:rPr>
          <w:lang w:val="en-US"/>
        </w:rPr>
        <w:t>In order to accomplish these goals, the spectrum management system must provide an orderly method for allocating frequency bands, authorizing and recording frequency use, establishing regulations and standards to govern spectrum use, resolving spectrum conflicts, and representing national interests in international fora.</w:t>
      </w:r>
    </w:p>
    <w:p w:rsidR="00CA3B52" w:rsidRPr="00CB6CBA" w:rsidRDefault="00CA3B52" w:rsidP="00CA3B52">
      <w:pPr>
        <w:pStyle w:val="Heading3"/>
        <w:rPr>
          <w:lang w:val="en-US"/>
        </w:rPr>
      </w:pPr>
      <w:bookmarkStart w:id="84" w:name="_Toc394385958"/>
      <w:bookmarkStart w:id="85" w:name="_Toc394386045"/>
      <w:bookmarkStart w:id="86" w:name="_Toc395503149"/>
      <w:bookmarkStart w:id="87" w:name="_Toc459746618"/>
      <w:bookmarkStart w:id="88" w:name="_Toc459792546"/>
      <w:bookmarkStart w:id="89" w:name="_Toc459793717"/>
      <w:bookmarkStart w:id="90" w:name="_Toc459793859"/>
      <w:bookmarkStart w:id="91" w:name="_Toc459970357"/>
      <w:bookmarkStart w:id="92" w:name="_Toc497033094"/>
      <w:bookmarkStart w:id="93" w:name="_Toc497033892"/>
      <w:bookmarkStart w:id="94" w:name="_Toc289868746"/>
      <w:bookmarkStart w:id="95" w:name="_Toc289868906"/>
      <w:bookmarkStart w:id="96" w:name="_Toc289932214"/>
      <w:bookmarkStart w:id="97" w:name="_Toc289933260"/>
      <w:bookmarkStart w:id="98" w:name="_Toc291852823"/>
      <w:bookmarkStart w:id="99" w:name="_Toc392515815"/>
      <w:r w:rsidRPr="00CB6CBA">
        <w:rPr>
          <w:lang w:val="en-US"/>
        </w:rPr>
        <w:t>1.3.1</w:t>
      </w:r>
      <w:r w:rsidRPr="00CB6CBA">
        <w:rPr>
          <w:lang w:val="en-US"/>
        </w:rPr>
        <w:tab/>
        <w:t>Radiocommunications law</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CA3B52" w:rsidRPr="00CB6CBA" w:rsidRDefault="00CA3B52" w:rsidP="00CA3B52">
      <w:pPr>
        <w:rPr>
          <w:lang w:val="en-US"/>
        </w:rPr>
      </w:pPr>
      <w:r w:rsidRPr="00CB6CBA">
        <w:rPr>
          <w:lang w:val="en-US"/>
        </w:rPr>
        <w:t>The use and regulation of radiocommunications must be covered within each nation’s laws. In areas where radiocommunications use is not extensive, and where the need for management of the spectrum may not yet be crucial, national governments must still anticipate the increase of radio use and ensure that an adequate legal structure is in place.</w:t>
      </w:r>
    </w:p>
    <w:p w:rsidR="00CA3B52" w:rsidRPr="00CB6CBA" w:rsidRDefault="00CA3B52" w:rsidP="00CA3B52">
      <w:pPr>
        <w:pStyle w:val="Heading3"/>
        <w:rPr>
          <w:lang w:val="en-US"/>
        </w:rPr>
      </w:pPr>
      <w:bookmarkStart w:id="100" w:name="_Toc394385959"/>
      <w:bookmarkStart w:id="101" w:name="_Toc394386046"/>
      <w:bookmarkStart w:id="102" w:name="_Toc395503150"/>
      <w:bookmarkStart w:id="103" w:name="_Toc459746619"/>
      <w:bookmarkStart w:id="104" w:name="_Toc459792547"/>
      <w:bookmarkStart w:id="105" w:name="_Toc459793718"/>
      <w:bookmarkStart w:id="106" w:name="_Toc459793860"/>
      <w:bookmarkStart w:id="107" w:name="_Toc459970358"/>
      <w:bookmarkStart w:id="108" w:name="_Toc497033095"/>
      <w:bookmarkStart w:id="109" w:name="_Toc497033893"/>
      <w:bookmarkStart w:id="110" w:name="_Toc289868747"/>
      <w:bookmarkStart w:id="111" w:name="_Toc289868907"/>
      <w:bookmarkStart w:id="112" w:name="_Toc289932215"/>
      <w:bookmarkStart w:id="113" w:name="_Toc289933261"/>
      <w:bookmarkStart w:id="114" w:name="_Toc291852824"/>
      <w:bookmarkStart w:id="115" w:name="_Toc392515816"/>
      <w:r w:rsidRPr="00CB6CBA">
        <w:rPr>
          <w:lang w:val="en-US"/>
        </w:rPr>
        <w:t>1.3.2</w:t>
      </w:r>
      <w:r w:rsidRPr="00CB6CBA">
        <w:rPr>
          <w:lang w:val="en-US"/>
        </w:rPr>
        <w:tab/>
        <w:t>National allocation tables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CA3B52" w:rsidRPr="00CB6CBA" w:rsidRDefault="00CA3B52" w:rsidP="00CA3B52">
      <w:pPr>
        <w:rPr>
          <w:lang w:val="en-US"/>
        </w:rPr>
      </w:pPr>
      <w:r w:rsidRPr="00CB6CBA">
        <w:rPr>
          <w:lang w:val="en-US"/>
        </w:rPr>
        <w:t>A national table of frequency allocations provides a foundation for an effective spectrum management process. It provides a general plan for spectrum use and the basic structure to ensure efficient use of the spectrum and the prevention of RF interference between services nationally and internationally.</w:t>
      </w:r>
    </w:p>
    <w:p w:rsidR="00CA3B52" w:rsidRPr="00CB6CBA" w:rsidRDefault="00CA3B52" w:rsidP="00CA3B52">
      <w:pPr>
        <w:pStyle w:val="Heading2"/>
        <w:rPr>
          <w:lang w:val="en-US"/>
        </w:rPr>
      </w:pPr>
      <w:bookmarkStart w:id="116" w:name="_Toc394385960"/>
      <w:bookmarkStart w:id="117" w:name="_Toc394386047"/>
      <w:bookmarkStart w:id="118" w:name="_Toc395503151"/>
      <w:bookmarkStart w:id="119" w:name="_Toc459746620"/>
      <w:bookmarkStart w:id="120" w:name="_Toc459792548"/>
      <w:bookmarkStart w:id="121" w:name="_Toc459793719"/>
      <w:bookmarkStart w:id="122" w:name="_Toc459793861"/>
      <w:bookmarkStart w:id="123" w:name="_Toc459970359"/>
      <w:bookmarkStart w:id="124" w:name="_Toc497033096"/>
      <w:bookmarkStart w:id="125" w:name="_Toc497033894"/>
      <w:bookmarkStart w:id="126" w:name="_Toc289868748"/>
      <w:bookmarkStart w:id="127" w:name="_Toc289868908"/>
      <w:bookmarkStart w:id="128" w:name="_Toc289932216"/>
      <w:bookmarkStart w:id="129" w:name="_Toc289933262"/>
      <w:bookmarkStart w:id="130" w:name="_Toc291852825"/>
      <w:bookmarkStart w:id="131" w:name="_Toc392515817"/>
      <w:r w:rsidRPr="00CB6CBA">
        <w:rPr>
          <w:lang w:val="en-US"/>
        </w:rPr>
        <w:t>1.4</w:t>
      </w:r>
      <w:r w:rsidRPr="00CB6CBA">
        <w:rPr>
          <w:lang w:val="en-US"/>
        </w:rPr>
        <w:tab/>
        <w:t>Structure and coordination</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CA3B52" w:rsidRPr="00CB6CBA" w:rsidRDefault="00CA3B52" w:rsidP="00CA3B52">
      <w:pPr>
        <w:rPr>
          <w:lang w:val="en-US"/>
        </w:rPr>
      </w:pPr>
      <w:r w:rsidRPr="00CB6CBA">
        <w:rPr>
          <w:lang w:val="en-US"/>
        </w:rPr>
        <w:t>Spectrum management activities may be performed by a government body or by a combination of government bodies and private sector organizations. Which government bodies or organizations are given the authority to manage the spectrum, will however, depend upon the structure of the national government itself and will vary from country to country.</w:t>
      </w:r>
    </w:p>
    <w:p w:rsidR="00CA3B52" w:rsidRPr="00CB6CBA" w:rsidRDefault="00CA3B52" w:rsidP="00CA3B52">
      <w:pPr>
        <w:pStyle w:val="Heading2"/>
        <w:rPr>
          <w:lang w:val="en-US"/>
        </w:rPr>
      </w:pPr>
      <w:bookmarkStart w:id="132" w:name="_Toc394385962"/>
      <w:bookmarkStart w:id="133" w:name="_Toc394386049"/>
      <w:bookmarkStart w:id="134" w:name="_Toc395503153"/>
      <w:bookmarkStart w:id="135" w:name="_Toc459746622"/>
      <w:bookmarkStart w:id="136" w:name="_Toc459792550"/>
      <w:bookmarkStart w:id="137" w:name="_Toc459793721"/>
      <w:bookmarkStart w:id="138" w:name="_Toc459793863"/>
      <w:bookmarkStart w:id="139" w:name="_Toc459970361"/>
      <w:bookmarkStart w:id="140" w:name="_Toc497033098"/>
      <w:bookmarkStart w:id="141" w:name="_Toc497033896"/>
      <w:bookmarkStart w:id="142" w:name="_Toc289868749"/>
      <w:bookmarkStart w:id="143" w:name="_Toc289868909"/>
      <w:bookmarkStart w:id="144" w:name="_Toc289932217"/>
      <w:bookmarkStart w:id="145" w:name="_Toc289933263"/>
      <w:bookmarkStart w:id="146" w:name="_Toc291852826"/>
      <w:bookmarkStart w:id="147" w:name="_Toc392515818"/>
      <w:r w:rsidRPr="00CB6CBA">
        <w:rPr>
          <w:lang w:val="en-US"/>
        </w:rPr>
        <w:t>1.5</w:t>
      </w:r>
      <w:r w:rsidRPr="00CB6CBA">
        <w:rPr>
          <w:lang w:val="en-US"/>
        </w:rPr>
        <w:tab/>
        <w:t>Functional responsibilities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CA3B52" w:rsidRPr="00CB6CBA" w:rsidRDefault="00CA3B52" w:rsidP="00CA3B52">
      <w:pPr>
        <w:rPr>
          <w:lang w:val="en-US"/>
        </w:rPr>
      </w:pPr>
      <w:r w:rsidRPr="00CB6CBA">
        <w:rPr>
          <w:lang w:val="en-US"/>
        </w:rPr>
        <w:t>The spectrum management structure is naturally formed around the functions that it must perform. The basic functions are:</w:t>
      </w:r>
    </w:p>
    <w:p w:rsidR="00CA3B52" w:rsidRPr="00CB6CBA" w:rsidRDefault="00CA3B52" w:rsidP="00CA3B52">
      <w:pPr>
        <w:pStyle w:val="enumlev1"/>
        <w:rPr>
          <w:lang w:val="en-US"/>
        </w:rPr>
      </w:pPr>
      <w:r w:rsidRPr="00CB6CBA">
        <w:rPr>
          <w:lang w:val="en-US"/>
        </w:rPr>
        <w:t>–</w:t>
      </w:r>
      <w:r w:rsidRPr="00CB6CBA">
        <w:rPr>
          <w:lang w:val="en-US"/>
        </w:rPr>
        <w:tab/>
        <w:t>spectrum management policy and planning/allocation of spectrum;</w:t>
      </w:r>
    </w:p>
    <w:p w:rsidR="00CA3B52" w:rsidRPr="00CB6CBA" w:rsidRDefault="00CA3B52" w:rsidP="00F65451">
      <w:pPr>
        <w:pStyle w:val="enumlev1"/>
        <w:rPr>
          <w:lang w:val="en-US"/>
        </w:rPr>
      </w:pPr>
      <w:r w:rsidRPr="00CB6CBA">
        <w:rPr>
          <w:lang w:val="en-US"/>
        </w:rPr>
        <w:t>–</w:t>
      </w:r>
      <w:r w:rsidRPr="00CB6CBA">
        <w:rPr>
          <w:lang w:val="en-US"/>
        </w:rPr>
        <w:tab/>
        <w:t>frequency assignment and licensing;</w:t>
      </w:r>
    </w:p>
    <w:p w:rsidR="00CA3B52" w:rsidRPr="00CB6CBA" w:rsidRDefault="00CA3B52" w:rsidP="00F65451">
      <w:pPr>
        <w:pStyle w:val="enumlev1"/>
        <w:rPr>
          <w:lang w:val="en-US"/>
        </w:rPr>
      </w:pPr>
      <w:r w:rsidRPr="00CB6CBA">
        <w:rPr>
          <w:lang w:val="en-US"/>
        </w:rPr>
        <w:t>–</w:t>
      </w:r>
      <w:r w:rsidRPr="00CB6CBA">
        <w:rPr>
          <w:lang w:val="en-US"/>
        </w:rPr>
        <w:tab/>
        <w:t>standards, specifications, and equipment authorization;</w:t>
      </w:r>
    </w:p>
    <w:p w:rsidR="00CA3B52" w:rsidRPr="00CB6CBA" w:rsidRDefault="00CA3B52" w:rsidP="00F65451">
      <w:pPr>
        <w:pStyle w:val="enumlev1"/>
        <w:rPr>
          <w:lang w:val="en-US"/>
        </w:rPr>
      </w:pPr>
      <w:r w:rsidRPr="00CB6CBA">
        <w:rPr>
          <w:lang w:val="en-US"/>
        </w:rPr>
        <w:t>–</w:t>
      </w:r>
      <w:r w:rsidRPr="00CB6CBA">
        <w:rPr>
          <w:lang w:val="en-US"/>
        </w:rPr>
        <w:tab/>
        <w:t>spectrum control (enforcement and monitoring);</w:t>
      </w:r>
    </w:p>
    <w:p w:rsidR="00CA3B52" w:rsidRPr="00CB6CBA" w:rsidRDefault="00CA3B52" w:rsidP="00F65451">
      <w:pPr>
        <w:pStyle w:val="enumlev1"/>
        <w:rPr>
          <w:lang w:val="en-US"/>
        </w:rPr>
      </w:pPr>
      <w:r w:rsidRPr="00CB6CBA">
        <w:rPr>
          <w:lang w:val="en-US"/>
        </w:rPr>
        <w:t>–</w:t>
      </w:r>
      <w:r w:rsidRPr="00CB6CBA">
        <w:rPr>
          <w:lang w:val="en-US"/>
        </w:rPr>
        <w:tab/>
        <w:t>international cooperation;</w:t>
      </w:r>
    </w:p>
    <w:p w:rsidR="00CA3B52" w:rsidRPr="00CB6CBA" w:rsidRDefault="00CA3B52" w:rsidP="00F65451">
      <w:pPr>
        <w:pStyle w:val="enumlev1"/>
        <w:rPr>
          <w:lang w:val="en-US"/>
        </w:rPr>
      </w:pPr>
      <w:r w:rsidRPr="00CB6CBA">
        <w:rPr>
          <w:lang w:val="en-US"/>
        </w:rPr>
        <w:t>–</w:t>
      </w:r>
      <w:r w:rsidRPr="00CB6CBA">
        <w:rPr>
          <w:lang w:val="en-US"/>
        </w:rPr>
        <w:tab/>
        <w:t>liaison and consultation;</w:t>
      </w:r>
    </w:p>
    <w:p w:rsidR="00CA3B52" w:rsidRPr="00CB6CBA" w:rsidRDefault="00CA3B52" w:rsidP="00F65451">
      <w:pPr>
        <w:pStyle w:val="enumlev1"/>
        <w:rPr>
          <w:lang w:val="en-US"/>
        </w:rPr>
      </w:pPr>
      <w:r w:rsidRPr="00CB6CBA">
        <w:rPr>
          <w:lang w:val="en-US"/>
        </w:rPr>
        <w:t>–</w:t>
      </w:r>
      <w:r w:rsidRPr="00CB6CBA">
        <w:rPr>
          <w:lang w:val="en-US"/>
        </w:rPr>
        <w:tab/>
        <w:t>spectrum engineering support;</w:t>
      </w:r>
    </w:p>
    <w:p w:rsidR="00CA3B52" w:rsidRPr="00CB6CBA" w:rsidRDefault="00CA3B52" w:rsidP="00F65451">
      <w:pPr>
        <w:pStyle w:val="enumlev1"/>
        <w:rPr>
          <w:lang w:val="en-US"/>
        </w:rPr>
      </w:pPr>
      <w:r w:rsidRPr="00CB6CBA">
        <w:rPr>
          <w:lang w:val="en-US"/>
        </w:rPr>
        <w:t>–</w:t>
      </w:r>
      <w:r w:rsidRPr="00CB6CBA">
        <w:rPr>
          <w:lang w:val="en-US"/>
        </w:rPr>
        <w:tab/>
        <w:t>computer support;</w:t>
      </w:r>
    </w:p>
    <w:p w:rsidR="00CA3B52" w:rsidRPr="00CB6CBA" w:rsidRDefault="00CA3B52" w:rsidP="00F65451">
      <w:pPr>
        <w:pStyle w:val="enumlev1"/>
        <w:rPr>
          <w:lang w:val="en-US"/>
        </w:rPr>
      </w:pPr>
      <w:r w:rsidRPr="00CB6CBA">
        <w:rPr>
          <w:lang w:val="en-US"/>
        </w:rPr>
        <w:t>–</w:t>
      </w:r>
      <w:r w:rsidRPr="00CB6CBA">
        <w:rPr>
          <w:lang w:val="en-US"/>
        </w:rPr>
        <w:tab/>
        <w:t>administrative and legal support.</w:t>
      </w:r>
    </w:p>
    <w:p w:rsidR="00CA3B52" w:rsidRPr="00CB6CBA" w:rsidRDefault="00CA3B52" w:rsidP="00CA3B52">
      <w:pPr>
        <w:rPr>
          <w:lang w:val="en-US"/>
        </w:rPr>
      </w:pPr>
      <w:r w:rsidRPr="00CB6CBA">
        <w:rPr>
          <w:lang w:val="en-US"/>
        </w:rPr>
        <w:t>Administrative and legal support functions will necessarily be a part of the spectrum management organization, but they are common to all organizations and thus it is not necessary to discuss these in relation to spectrum management.</w:t>
      </w:r>
    </w:p>
    <w:p w:rsidR="00CA3B52" w:rsidRPr="00CB6CBA" w:rsidRDefault="00CA3B52" w:rsidP="00CA3B52">
      <w:pPr>
        <w:pStyle w:val="Heading3"/>
        <w:rPr>
          <w:lang w:val="en-US"/>
        </w:rPr>
      </w:pPr>
      <w:bookmarkStart w:id="148" w:name="_Toc394385963"/>
      <w:bookmarkStart w:id="149" w:name="_Toc394386050"/>
      <w:bookmarkStart w:id="150" w:name="_Toc395503154"/>
      <w:bookmarkStart w:id="151" w:name="_Toc459746623"/>
      <w:bookmarkStart w:id="152" w:name="_Toc459792551"/>
      <w:bookmarkStart w:id="153" w:name="_Toc459793722"/>
      <w:bookmarkStart w:id="154" w:name="_Toc459793864"/>
      <w:bookmarkStart w:id="155" w:name="_Toc459970362"/>
      <w:bookmarkStart w:id="156" w:name="_Toc497033099"/>
      <w:bookmarkStart w:id="157" w:name="_Toc497033897"/>
      <w:bookmarkStart w:id="158" w:name="_Toc289868750"/>
      <w:bookmarkStart w:id="159" w:name="_Toc289868910"/>
      <w:bookmarkStart w:id="160" w:name="_Toc289932218"/>
      <w:bookmarkStart w:id="161" w:name="_Toc289933264"/>
      <w:bookmarkStart w:id="162" w:name="_Toc291852827"/>
      <w:bookmarkStart w:id="163" w:name="_Toc392515819"/>
      <w:r w:rsidRPr="00CB6CBA">
        <w:rPr>
          <w:lang w:val="en-US"/>
        </w:rPr>
        <w:lastRenderedPageBreak/>
        <w:t>1.5.1</w:t>
      </w:r>
      <w:r w:rsidRPr="00CB6CBA">
        <w:rPr>
          <w:lang w:val="en-US"/>
        </w:rPr>
        <w:tab/>
        <w:t>Spectrum management policy and planning/allocation of spectrum</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CA3B52" w:rsidRPr="00CB6CBA" w:rsidRDefault="00CA3B52" w:rsidP="00CA3B52">
      <w:pPr>
        <w:rPr>
          <w:lang w:val="en-US"/>
        </w:rPr>
      </w:pPr>
      <w:r w:rsidRPr="00CB6CBA">
        <w:rPr>
          <w:lang w:val="en-US"/>
        </w:rPr>
        <w:t>The national spectrum management organization should develop and implement policies and plans relating to the use of the radio spectrum, taking into account advances in technology as well as social, economic and political realities. National radiocommunications policy is commonly associated with regulation development because the regulations generally follow the establishment of policies and plans. Accordingly, it is often a primary function of the policy and planning unit to conduct studies to determine existing and future radiocommunications needs of the country and to develop policies to ensure the best combination of radio and wireline communications systems employed in meeting the identified needs.</w:t>
      </w:r>
    </w:p>
    <w:p w:rsidR="00CA3B52" w:rsidRPr="00CB6CBA" w:rsidRDefault="00CA3B52" w:rsidP="00CA3B52">
      <w:pPr>
        <w:rPr>
          <w:lang w:val="en-US"/>
        </w:rPr>
      </w:pPr>
      <w:r w:rsidRPr="00CB6CBA">
        <w:rPr>
          <w:lang w:val="en-US"/>
        </w:rPr>
        <w:t>The primary result of the planning and policy-making effort is the allocation of frequency bands to the various radio services. The designation of frequency bands for specific uses serves as the first step to promoting spectrum use. From allocation decisions follow further considerations such as standards, sharing criteria, channelling plans and others.</w:t>
      </w:r>
    </w:p>
    <w:p w:rsidR="00CA3B52" w:rsidRPr="00CB6CBA" w:rsidRDefault="00CA3B52" w:rsidP="00CA3B52">
      <w:pPr>
        <w:pStyle w:val="Heading3"/>
        <w:rPr>
          <w:lang w:val="en-US"/>
        </w:rPr>
      </w:pPr>
      <w:bookmarkStart w:id="164" w:name="_Toc394385964"/>
      <w:bookmarkStart w:id="165" w:name="_Toc394386051"/>
      <w:bookmarkStart w:id="166" w:name="_Toc395503155"/>
      <w:bookmarkStart w:id="167" w:name="_Toc459746624"/>
      <w:bookmarkStart w:id="168" w:name="_Toc459792552"/>
      <w:bookmarkStart w:id="169" w:name="_Toc459793723"/>
      <w:bookmarkStart w:id="170" w:name="_Toc459793865"/>
      <w:bookmarkStart w:id="171" w:name="_Toc459970363"/>
      <w:bookmarkStart w:id="172" w:name="_Toc497033100"/>
      <w:bookmarkStart w:id="173" w:name="_Toc497033898"/>
      <w:bookmarkStart w:id="174" w:name="_Toc289868751"/>
      <w:bookmarkStart w:id="175" w:name="_Toc289868911"/>
      <w:bookmarkStart w:id="176" w:name="_Toc289932219"/>
      <w:bookmarkStart w:id="177" w:name="_Toc289933265"/>
      <w:bookmarkStart w:id="178" w:name="_Toc291852828"/>
      <w:bookmarkStart w:id="179" w:name="_Toc392515820"/>
      <w:r w:rsidRPr="00CB6CBA">
        <w:rPr>
          <w:lang w:val="en-US"/>
        </w:rPr>
        <w:t>1.5.2</w:t>
      </w:r>
      <w:r w:rsidRPr="00CB6CBA">
        <w:rPr>
          <w:lang w:val="en-US"/>
        </w:rPr>
        <w:tab/>
        <w:t>Frequency assignment and licensing</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CA3B52" w:rsidRPr="00CB6CBA" w:rsidRDefault="00CA3B52" w:rsidP="00CA3B52">
      <w:pPr>
        <w:rPr>
          <w:lang w:val="en-US"/>
        </w:rPr>
      </w:pPr>
      <w:r w:rsidRPr="00CB6CBA">
        <w:rPr>
          <w:lang w:val="en-US"/>
        </w:rPr>
        <w:t>Providing or assigning frequencies represents the heart of the daily operation of the spectrum management organization. The frequency assignment unit performs, or coordinates the performance of, whatever analysis is required to select the most appropriate frequencies for radiocommunications systems. It also coordinates all proposed assignments with regard to existing assignments.</w:t>
      </w:r>
    </w:p>
    <w:p w:rsidR="00CA3B52" w:rsidRPr="00CB6CBA" w:rsidRDefault="00CA3B52" w:rsidP="00CA3B52">
      <w:pPr>
        <w:pStyle w:val="Heading3"/>
        <w:rPr>
          <w:lang w:val="en-US"/>
        </w:rPr>
      </w:pPr>
      <w:bookmarkStart w:id="180" w:name="_Toc394385967"/>
      <w:bookmarkStart w:id="181" w:name="_Toc394386054"/>
      <w:bookmarkStart w:id="182" w:name="_Toc395503158"/>
      <w:bookmarkStart w:id="183" w:name="_Toc459746629"/>
      <w:bookmarkStart w:id="184" w:name="_Toc459792557"/>
      <w:bookmarkStart w:id="185" w:name="_Toc459793728"/>
      <w:bookmarkStart w:id="186" w:name="_Toc459793870"/>
      <w:bookmarkStart w:id="187" w:name="_Toc459970366"/>
      <w:bookmarkStart w:id="188" w:name="_Toc497033105"/>
      <w:bookmarkStart w:id="189" w:name="_Toc497033903"/>
      <w:bookmarkStart w:id="190" w:name="_Toc289868752"/>
      <w:bookmarkStart w:id="191" w:name="_Toc289868912"/>
      <w:bookmarkStart w:id="192" w:name="_Toc289932220"/>
      <w:bookmarkStart w:id="193" w:name="_Toc289933266"/>
      <w:bookmarkStart w:id="194" w:name="_Toc291852829"/>
      <w:bookmarkStart w:id="195" w:name="_Toc392515821"/>
      <w:r w:rsidRPr="00CB6CBA">
        <w:rPr>
          <w:lang w:val="en-US"/>
        </w:rPr>
        <w:t>1.5.3</w:t>
      </w:r>
      <w:r w:rsidRPr="00CB6CBA">
        <w:rPr>
          <w:lang w:val="en-US"/>
        </w:rPr>
        <w:tab/>
        <w:t>International cooperation</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CA3B52" w:rsidRPr="00CB6CBA" w:rsidRDefault="00CA3B52" w:rsidP="00CA3B52">
      <w:pPr>
        <w:rPr>
          <w:lang w:val="en-US"/>
        </w:rPr>
      </w:pPr>
      <w:r w:rsidRPr="00CB6CBA">
        <w:rPr>
          <w:lang w:val="en-US"/>
        </w:rPr>
        <w:t>Radiocommunications have a significance that goes beyond the borders of each nation. Navigation equipment is standardized to allow movement throughout the world. Satellite system transmissions facilitate worldwide communications. Radio wave propagation is unhindered by political boundaries. Communications system manufactur</w:t>
      </w:r>
      <w:r w:rsidRPr="00CB6CBA">
        <w:rPr>
          <w:lang w:val="en-US"/>
        </w:rPr>
        <w:softHyphen/>
        <w:t>ers produce equipment for many markets, and the more the markets encourage commonality the simpler and less expensive the production process will be. For each of these reasons, the national spectrum manager’s ability to participate in international fora becomes significant. International activities include those within the ITU, those within other international bodies, and bilateral discussions between neighbouring countries concerned with ITU Radio Regulations.</w:t>
      </w:r>
    </w:p>
    <w:p w:rsidR="00CA3B52" w:rsidRPr="00CB6CBA" w:rsidRDefault="00CA3B52" w:rsidP="00CA3B52">
      <w:pPr>
        <w:pStyle w:val="Heading3"/>
        <w:rPr>
          <w:lang w:val="en-US"/>
        </w:rPr>
      </w:pPr>
      <w:bookmarkStart w:id="196" w:name="_Toc394385968"/>
      <w:bookmarkStart w:id="197" w:name="_Toc394386055"/>
      <w:bookmarkStart w:id="198" w:name="_Toc395503159"/>
      <w:bookmarkStart w:id="199" w:name="_Toc459746630"/>
      <w:bookmarkStart w:id="200" w:name="_Toc459792558"/>
      <w:bookmarkStart w:id="201" w:name="_Toc459793729"/>
      <w:bookmarkStart w:id="202" w:name="_Toc459793871"/>
      <w:bookmarkStart w:id="203" w:name="_Toc459970367"/>
      <w:bookmarkStart w:id="204" w:name="_Toc497033106"/>
      <w:bookmarkStart w:id="205" w:name="_Toc497033904"/>
      <w:bookmarkStart w:id="206" w:name="_Toc289868753"/>
      <w:bookmarkStart w:id="207" w:name="_Toc289868913"/>
      <w:bookmarkStart w:id="208" w:name="_Toc289932221"/>
      <w:bookmarkStart w:id="209" w:name="_Toc289933267"/>
      <w:bookmarkStart w:id="210" w:name="_Toc291852830"/>
      <w:bookmarkStart w:id="211" w:name="_Toc392515822"/>
      <w:r w:rsidRPr="00CB6CBA">
        <w:rPr>
          <w:lang w:val="en-US"/>
        </w:rPr>
        <w:t>1.5.4</w:t>
      </w:r>
      <w:r w:rsidRPr="00CB6CBA">
        <w:rPr>
          <w:lang w:val="en-US"/>
        </w:rPr>
        <w:tab/>
        <w:t>Liaison and consultation</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CA3B52" w:rsidRPr="00CB6CBA" w:rsidRDefault="00CA3B52" w:rsidP="00CA3B52">
      <w:pPr>
        <w:rPr>
          <w:lang w:val="en-US"/>
        </w:rPr>
      </w:pPr>
      <w:r w:rsidRPr="00CB6CBA">
        <w:rPr>
          <w:lang w:val="en-US"/>
        </w:rPr>
        <w:t>In order to be effective, the spectrum management organization must communicate with and consult its constituents, i.e. the radio users composed of businesses, the communications industry, government users and the general public. This includes dissemination of information on the policies, rules and practices of the administration and provides mechanisms for feedback to evaluate the results of these policies, rules and practices.</w:t>
      </w:r>
    </w:p>
    <w:p w:rsidR="00CA3B52" w:rsidRPr="00CB6CBA" w:rsidRDefault="00CA3B52" w:rsidP="00CA3B52">
      <w:pPr>
        <w:pStyle w:val="Heading3"/>
        <w:rPr>
          <w:lang w:val="en-US"/>
        </w:rPr>
      </w:pPr>
      <w:bookmarkStart w:id="212" w:name="_Toc394385969"/>
      <w:bookmarkStart w:id="213" w:name="_Toc394386056"/>
      <w:bookmarkStart w:id="214" w:name="_Toc395503160"/>
      <w:bookmarkStart w:id="215" w:name="_Toc459746631"/>
      <w:bookmarkStart w:id="216" w:name="_Toc459792559"/>
      <w:bookmarkStart w:id="217" w:name="_Toc459793730"/>
      <w:bookmarkStart w:id="218" w:name="_Toc459793872"/>
      <w:bookmarkStart w:id="219" w:name="_Toc459970368"/>
      <w:bookmarkStart w:id="220" w:name="_Toc497033107"/>
      <w:bookmarkStart w:id="221" w:name="_Toc497033905"/>
      <w:bookmarkStart w:id="222" w:name="_Toc289868754"/>
      <w:bookmarkStart w:id="223" w:name="_Toc289868914"/>
      <w:bookmarkStart w:id="224" w:name="_Toc289932222"/>
      <w:bookmarkStart w:id="225" w:name="_Toc289933268"/>
      <w:bookmarkStart w:id="226" w:name="_Toc291852831"/>
      <w:bookmarkStart w:id="227" w:name="_Toc392515823"/>
      <w:r w:rsidRPr="00CB6CBA">
        <w:rPr>
          <w:lang w:val="en-US"/>
        </w:rPr>
        <w:t>1.5.5</w:t>
      </w:r>
      <w:r w:rsidRPr="00CB6CBA">
        <w:rPr>
          <w:lang w:val="en-US"/>
        </w:rPr>
        <w:tab/>
        <w:t>Spectrum engineering support</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CA3B52" w:rsidRPr="00CB6CBA" w:rsidRDefault="00CA3B52" w:rsidP="00CA3B52">
      <w:pPr>
        <w:rPr>
          <w:lang w:val="en-US"/>
        </w:rPr>
      </w:pPr>
      <w:r w:rsidRPr="00CB6CBA">
        <w:rPr>
          <w:lang w:val="en-US"/>
        </w:rPr>
        <w:t>Since spectrum management involves decisions pertaining to a field of technology, engineering support is required to adequately evaluate the information, capabilities and choices involved. Engineering support can assist the spectrum manager in many ways. For example, interference situations can often be prevented or resolved through technical analysis. The equipment specifications and standards necessary to ensure compatibility between systems can be determined. Frequencies can be assigned using models or methods developed through engineering support. Also, the resolution of many spectrum allocation issues can be facilitated by analysis of spectrum use and future requirements.</w:t>
      </w:r>
    </w:p>
    <w:p w:rsidR="00CA3B52" w:rsidRPr="00CB6CBA" w:rsidRDefault="00CA3B52" w:rsidP="00CA3B52">
      <w:pPr>
        <w:pStyle w:val="Heading3"/>
        <w:rPr>
          <w:lang w:val="en-US"/>
        </w:rPr>
      </w:pPr>
      <w:bookmarkStart w:id="228" w:name="_Toc394385970"/>
      <w:bookmarkStart w:id="229" w:name="_Toc394386057"/>
      <w:bookmarkStart w:id="230" w:name="_Toc395503161"/>
      <w:bookmarkStart w:id="231" w:name="_Toc459746632"/>
      <w:bookmarkStart w:id="232" w:name="_Toc459792560"/>
      <w:bookmarkStart w:id="233" w:name="_Toc459793731"/>
      <w:bookmarkStart w:id="234" w:name="_Toc459793873"/>
      <w:bookmarkStart w:id="235" w:name="_Toc459970369"/>
      <w:bookmarkStart w:id="236" w:name="_Toc497033108"/>
      <w:bookmarkStart w:id="237" w:name="_Toc497033906"/>
      <w:bookmarkStart w:id="238" w:name="_Toc289868755"/>
      <w:bookmarkStart w:id="239" w:name="_Toc289868915"/>
      <w:bookmarkStart w:id="240" w:name="_Toc289932223"/>
      <w:bookmarkStart w:id="241" w:name="_Toc289933269"/>
      <w:bookmarkStart w:id="242" w:name="_Toc291852832"/>
      <w:bookmarkStart w:id="243" w:name="_Toc392515824"/>
      <w:r w:rsidRPr="00CB6CBA">
        <w:rPr>
          <w:lang w:val="en-US"/>
        </w:rPr>
        <w:lastRenderedPageBreak/>
        <w:t>1.5.6</w:t>
      </w:r>
      <w:r w:rsidRPr="00CB6CBA">
        <w:rPr>
          <w:lang w:val="en-US"/>
        </w:rPr>
        <w:tab/>
        <w:t>Computer support</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CA3B52" w:rsidRPr="00CB6CBA" w:rsidRDefault="00CA3B52" w:rsidP="00CA3B52">
      <w:pPr>
        <w:rPr>
          <w:lang w:val="en-US"/>
        </w:rPr>
      </w:pPr>
      <w:r w:rsidRPr="00CB6CBA">
        <w:rPr>
          <w:lang w:val="en-US"/>
        </w:rPr>
        <w:t>The extent to which computer support facilities are available to be used and are used by the spectrum management authority depends on the resources, priorities, and particular requirements of the country concerned. Computer support may cover licensing records to complex engineering calculations and may include the development, provision, and maintenance of support facilities for nearly all spectrum management activities, including record keeping, forecasting and financial management related to licensing.</w:t>
      </w:r>
    </w:p>
    <w:p w:rsidR="00CA3B52" w:rsidRPr="00CB6CBA" w:rsidRDefault="00CA3B52" w:rsidP="00CA3B52">
      <w:pPr>
        <w:pStyle w:val="Heading2"/>
        <w:rPr>
          <w:lang w:val="en-US"/>
        </w:rPr>
      </w:pPr>
      <w:bookmarkStart w:id="244" w:name="_Toc394385971"/>
      <w:bookmarkStart w:id="245" w:name="_Toc394386058"/>
      <w:bookmarkStart w:id="246" w:name="_Toc395503162"/>
      <w:bookmarkStart w:id="247" w:name="_Toc459746633"/>
      <w:bookmarkStart w:id="248" w:name="_Toc459792561"/>
      <w:bookmarkStart w:id="249" w:name="_Toc459793732"/>
      <w:bookmarkStart w:id="250" w:name="_Toc459793874"/>
      <w:bookmarkStart w:id="251" w:name="_Toc459970370"/>
      <w:bookmarkStart w:id="252" w:name="_Toc497033109"/>
      <w:bookmarkStart w:id="253" w:name="_Toc497033907"/>
      <w:bookmarkStart w:id="254" w:name="_Toc289868756"/>
      <w:bookmarkStart w:id="255" w:name="_Toc289868916"/>
      <w:bookmarkStart w:id="256" w:name="_Toc289932224"/>
      <w:bookmarkStart w:id="257" w:name="_Toc289933270"/>
      <w:bookmarkStart w:id="258" w:name="_Toc291852833"/>
      <w:bookmarkStart w:id="259" w:name="_Toc392515825"/>
      <w:r w:rsidRPr="00CB6CBA">
        <w:rPr>
          <w:lang w:val="en-US"/>
        </w:rPr>
        <w:t>1.6</w:t>
      </w:r>
      <w:r w:rsidRPr="00CB6CBA">
        <w:rPr>
          <w:lang w:val="en-US"/>
        </w:rPr>
        <w:tab/>
        <w:t>Performance of spectrum management function</w:t>
      </w:r>
      <w:bookmarkEnd w:id="244"/>
      <w:bookmarkEnd w:id="245"/>
      <w:r w:rsidRPr="00CB6CBA">
        <w:rPr>
          <w:lang w:val="en-US"/>
        </w:rPr>
        <w:t>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CA3B52" w:rsidRPr="00CB6CBA" w:rsidRDefault="00CA3B52" w:rsidP="00CA3B52">
      <w:pPr>
        <w:rPr>
          <w:lang w:val="en-US"/>
        </w:rPr>
      </w:pPr>
      <w:r w:rsidRPr="00CB6CBA">
        <w:rPr>
          <w:lang w:val="en-US"/>
        </w:rPr>
        <w:t>The previously described spectrum management functions need to be established in order to have an effective spectrum management system. However not every aspect of each function needs to be performed by the national spectrum management organization. The policy or overall management authority must, however, remain with the national spectrum management organizations. The following Chapters discuss the means by which spectrum management may be funded and the means by which economic approaches may improve the efficiency of spectrum use, methods of assessing the benefits of spectrum use and the use of other organizations to support and/or provide part, or all, of specific spectrum management functions.</w:t>
      </w:r>
    </w:p>
    <w:p w:rsidR="00CA3B52" w:rsidRDefault="00CA3B52" w:rsidP="00CA3B52">
      <w:pPr>
        <w:pStyle w:val="ChapNo"/>
        <w:rPr>
          <w:lang w:val="en-US"/>
        </w:rPr>
      </w:pPr>
      <w:bookmarkStart w:id="260" w:name="_Toc459746635"/>
      <w:bookmarkStart w:id="261" w:name="_Toc459792563"/>
      <w:bookmarkStart w:id="262" w:name="_Toc459793734"/>
      <w:bookmarkStart w:id="263" w:name="_Toc459793876"/>
      <w:bookmarkStart w:id="264" w:name="_Toc459970372"/>
    </w:p>
    <w:p w:rsidR="00CA3B52" w:rsidRPr="00CB6CBA" w:rsidRDefault="00CA3B52" w:rsidP="00F65451">
      <w:pPr>
        <w:pStyle w:val="ChapNo"/>
        <w:rPr>
          <w:lang w:val="en-US"/>
        </w:rPr>
      </w:pPr>
      <w:bookmarkStart w:id="265" w:name="_Toc289868757"/>
      <w:bookmarkStart w:id="266" w:name="_Toc289868917"/>
      <w:bookmarkStart w:id="267" w:name="_Toc289932225"/>
      <w:bookmarkStart w:id="268" w:name="_Toc289933271"/>
      <w:bookmarkStart w:id="269" w:name="_Toc291852834"/>
      <w:r w:rsidRPr="00CB6CBA">
        <w:rPr>
          <w:lang w:val="en-US"/>
        </w:rPr>
        <w:t>CHAPTER 2</w:t>
      </w:r>
      <w:bookmarkEnd w:id="260"/>
      <w:bookmarkEnd w:id="261"/>
      <w:bookmarkEnd w:id="262"/>
      <w:bookmarkEnd w:id="263"/>
      <w:bookmarkEnd w:id="264"/>
      <w:bookmarkEnd w:id="265"/>
      <w:bookmarkEnd w:id="266"/>
      <w:bookmarkEnd w:id="267"/>
      <w:bookmarkEnd w:id="268"/>
      <w:bookmarkEnd w:id="269"/>
    </w:p>
    <w:p w:rsidR="00CA3B52" w:rsidRPr="00CB6CBA" w:rsidRDefault="00CA3B52" w:rsidP="00CA3B52">
      <w:pPr>
        <w:pStyle w:val="Chaptitle"/>
        <w:rPr>
          <w:lang w:val="en-US"/>
        </w:rPr>
      </w:pPr>
      <w:bookmarkStart w:id="270" w:name="_Toc459746636"/>
      <w:bookmarkStart w:id="271" w:name="_Toc459792564"/>
      <w:bookmarkStart w:id="272" w:name="_Toc459793735"/>
      <w:bookmarkStart w:id="273" w:name="_Toc459793877"/>
      <w:bookmarkStart w:id="274" w:name="_Toc459970373"/>
      <w:bookmarkStart w:id="275" w:name="_Toc289868758"/>
      <w:bookmarkStart w:id="276" w:name="_Toc289868918"/>
      <w:bookmarkStart w:id="277" w:name="_Toc289932226"/>
      <w:bookmarkStart w:id="278" w:name="_Toc289933272"/>
      <w:bookmarkStart w:id="279" w:name="_Toc291852835"/>
      <w:r w:rsidRPr="00CB6CBA">
        <w:rPr>
          <w:lang w:val="en-US"/>
        </w:rPr>
        <w:t>Strategies for spectrum</w:t>
      </w:r>
      <w:r>
        <w:rPr>
          <w:lang w:val="en-US"/>
        </w:rPr>
        <w:t xml:space="preserve"> </w:t>
      </w:r>
      <w:r w:rsidRPr="00CB6CBA">
        <w:rPr>
          <w:lang w:val="en-US"/>
        </w:rPr>
        <w:t>financing</w:t>
      </w:r>
      <w:bookmarkEnd w:id="270"/>
      <w:bookmarkEnd w:id="271"/>
      <w:bookmarkEnd w:id="272"/>
      <w:bookmarkEnd w:id="273"/>
      <w:bookmarkEnd w:id="274"/>
      <w:r w:rsidRPr="00CB6CBA">
        <w:rPr>
          <w:lang w:val="en-US"/>
        </w:rPr>
        <w:t xml:space="preserve"> mechanisms</w:t>
      </w:r>
      <w:bookmarkEnd w:id="275"/>
      <w:bookmarkEnd w:id="276"/>
      <w:bookmarkEnd w:id="277"/>
      <w:bookmarkEnd w:id="278"/>
      <w:bookmarkEnd w:id="279"/>
    </w:p>
    <w:p w:rsidR="00CA3B52" w:rsidRPr="00CB6CBA" w:rsidRDefault="00CA3B52" w:rsidP="002D1D5C">
      <w:pPr>
        <w:pStyle w:val="Heading2"/>
        <w:rPr>
          <w:u w:val="single"/>
          <w:lang w:val="en-US"/>
        </w:rPr>
      </w:pPr>
      <w:bookmarkStart w:id="280" w:name="_Toc394385973"/>
      <w:bookmarkStart w:id="281" w:name="_Toc394386060"/>
      <w:bookmarkStart w:id="282" w:name="_Toc395503164"/>
      <w:bookmarkStart w:id="283" w:name="_Toc459746637"/>
      <w:bookmarkStart w:id="284" w:name="_Toc459792565"/>
      <w:bookmarkStart w:id="285" w:name="_Toc459793736"/>
      <w:bookmarkStart w:id="286" w:name="_Toc459793878"/>
      <w:bookmarkStart w:id="287" w:name="_Toc459970374"/>
      <w:bookmarkStart w:id="288" w:name="_Toc497033110"/>
      <w:bookmarkStart w:id="289" w:name="_Toc497033908"/>
      <w:bookmarkStart w:id="290" w:name="_Toc289868759"/>
      <w:bookmarkStart w:id="291" w:name="_Toc289868919"/>
      <w:bookmarkStart w:id="292" w:name="_Toc289932227"/>
      <w:bookmarkStart w:id="293" w:name="_Toc289933273"/>
      <w:bookmarkStart w:id="294" w:name="_Toc291852836"/>
      <w:bookmarkStart w:id="295" w:name="_Toc392515826"/>
      <w:r w:rsidRPr="00CB6CBA">
        <w:rPr>
          <w:lang w:val="en-US"/>
        </w:rPr>
        <w:t>2.1</w:t>
      </w:r>
      <w:r w:rsidRPr="00CB6CBA">
        <w:rPr>
          <w:lang w:val="en-US"/>
        </w:rPr>
        <w:tab/>
        <w:t>Background</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CA3B52" w:rsidRPr="00CB6CBA" w:rsidRDefault="00CA3B52" w:rsidP="00CA3B52">
      <w:pPr>
        <w:rPr>
          <w:lang w:val="en-US"/>
        </w:rPr>
      </w:pPr>
      <w:r w:rsidRPr="00CB6CBA">
        <w:rPr>
          <w:lang w:val="en-US"/>
        </w:rPr>
        <w:t xml:space="preserve">There is increasing interest in </w:t>
      </w:r>
      <w:r w:rsidRPr="006A0D69">
        <w:rPr>
          <w:lang w:val="en-US"/>
        </w:rPr>
        <w:t>economic</w:t>
      </w:r>
      <w:r w:rsidRPr="00CB6CBA">
        <w:rPr>
          <w:lang w:val="en-US"/>
        </w:rPr>
        <w:t xml:space="preserve"> approaches to national spectrum management. This Chapter of the Report addresses issues pertaining both to the principles on financing a national spectrum management program and the strategies. The objective of economic approaches must be consistent with an administration’s spectrum management goals and objectives. When implementing an economic approach, using and managing spectrum efficiently and effectively should be a top priority.</w:t>
      </w:r>
    </w:p>
    <w:p w:rsidR="00CA3B52" w:rsidRPr="00CB6CBA" w:rsidRDefault="00CA3B52" w:rsidP="00CA3B52">
      <w:pPr>
        <w:pStyle w:val="Heading2"/>
        <w:rPr>
          <w:lang w:val="en-US"/>
        </w:rPr>
      </w:pPr>
      <w:bookmarkStart w:id="296" w:name="_Toc394385974"/>
      <w:bookmarkStart w:id="297" w:name="_Toc394386061"/>
      <w:bookmarkStart w:id="298" w:name="_Toc395503165"/>
      <w:bookmarkStart w:id="299" w:name="_Toc459746638"/>
      <w:bookmarkStart w:id="300" w:name="_Toc459792566"/>
      <w:bookmarkStart w:id="301" w:name="_Toc459793737"/>
      <w:bookmarkStart w:id="302" w:name="_Toc459793879"/>
      <w:bookmarkStart w:id="303" w:name="_Toc459970375"/>
      <w:bookmarkStart w:id="304" w:name="_Toc497033111"/>
      <w:bookmarkStart w:id="305" w:name="_Toc497033909"/>
      <w:bookmarkStart w:id="306" w:name="_Toc289868760"/>
      <w:bookmarkStart w:id="307" w:name="_Toc289868920"/>
      <w:bookmarkStart w:id="308" w:name="_Toc289932228"/>
      <w:bookmarkStart w:id="309" w:name="_Toc289933274"/>
      <w:bookmarkStart w:id="310" w:name="_Toc291852837"/>
      <w:bookmarkStart w:id="311" w:name="_Toc392515827"/>
      <w:r w:rsidRPr="00CB6CBA">
        <w:rPr>
          <w:lang w:val="en-US"/>
        </w:rPr>
        <w:t>2.2</w:t>
      </w:r>
      <w:r w:rsidRPr="00CB6CBA">
        <w:rPr>
          <w:lang w:val="en-US"/>
        </w:rPr>
        <w:tab/>
        <w:t>Basic principles for financing national spectrum management</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CA3B52" w:rsidRPr="00CB6CBA" w:rsidRDefault="00CA3B52" w:rsidP="00CA3B52">
      <w:pPr>
        <w:rPr>
          <w:lang w:val="en-US"/>
        </w:rPr>
      </w:pPr>
      <w:r w:rsidRPr="00CB6CBA">
        <w:rPr>
          <w:lang w:val="en-US"/>
        </w:rPr>
        <w:t>The following principles should be adhered to when establishing any fee system.</w:t>
      </w:r>
    </w:p>
    <w:p w:rsidR="00CA3B52" w:rsidRPr="00CB6CBA" w:rsidRDefault="00CA3B52" w:rsidP="00CA3B52">
      <w:pPr>
        <w:pStyle w:val="Heading3"/>
        <w:rPr>
          <w:lang w:val="en-US"/>
        </w:rPr>
      </w:pPr>
      <w:bookmarkStart w:id="312" w:name="_Toc289868761"/>
      <w:bookmarkStart w:id="313" w:name="_Toc289868921"/>
      <w:bookmarkStart w:id="314" w:name="_Toc289932229"/>
      <w:bookmarkStart w:id="315" w:name="_Toc289933275"/>
      <w:bookmarkStart w:id="316" w:name="_Toc291852838"/>
      <w:bookmarkStart w:id="317" w:name="_Toc392515828"/>
      <w:r w:rsidRPr="00CB6CBA">
        <w:rPr>
          <w:lang w:val="en-US"/>
        </w:rPr>
        <w:t>2.2.1</w:t>
      </w:r>
      <w:r w:rsidRPr="00CB6CBA">
        <w:rPr>
          <w:lang w:val="en-US"/>
        </w:rPr>
        <w:tab/>
        <w:t>Legal principles</w:t>
      </w:r>
      <w:bookmarkEnd w:id="312"/>
      <w:bookmarkEnd w:id="313"/>
      <w:bookmarkEnd w:id="314"/>
      <w:bookmarkEnd w:id="315"/>
      <w:bookmarkEnd w:id="316"/>
      <w:bookmarkEnd w:id="317"/>
    </w:p>
    <w:p w:rsidR="00CA3B52" w:rsidRPr="00CB6CBA" w:rsidRDefault="00CA3B52" w:rsidP="00CA3B52">
      <w:pPr>
        <w:pStyle w:val="enumlev1"/>
        <w:rPr>
          <w:lang w:val="en-US"/>
        </w:rPr>
      </w:pPr>
      <w:r w:rsidRPr="00CB6CBA">
        <w:rPr>
          <w:lang w:val="en-US"/>
        </w:rPr>
        <w:t>a)</w:t>
      </w:r>
      <w:r w:rsidRPr="00CB6CBA">
        <w:rPr>
          <w:lang w:val="en-US"/>
        </w:rPr>
        <w:tab/>
        <w:t>The radio-frequency spectrum is the property of the State. Thus, any spectrum occupancy relating to non-governmental activities is considered to be private occupancy.</w:t>
      </w:r>
    </w:p>
    <w:p w:rsidR="00CA3B52" w:rsidRPr="00CB6CBA" w:rsidRDefault="00CA3B52" w:rsidP="00CA3B52">
      <w:pPr>
        <w:pStyle w:val="enumlev1"/>
        <w:rPr>
          <w:lang w:val="en-US"/>
        </w:rPr>
      </w:pPr>
      <w:r w:rsidRPr="00CB6CBA">
        <w:rPr>
          <w:lang w:val="en-US"/>
        </w:rPr>
        <w:t>b)</w:t>
      </w:r>
      <w:r w:rsidRPr="00CB6CBA">
        <w:rPr>
          <w:lang w:val="en-US"/>
        </w:rPr>
        <w:tab/>
        <w:t>Belonging as it does to the public domain of the State, the spectrum must be managed in the interests of the national community as a whole.</w:t>
      </w:r>
    </w:p>
    <w:p w:rsidR="00CA3B52" w:rsidRPr="00CB6CBA" w:rsidRDefault="00CA3B52" w:rsidP="00CA3B52">
      <w:pPr>
        <w:pStyle w:val="enumlev1"/>
        <w:rPr>
          <w:lang w:val="en-US"/>
        </w:rPr>
      </w:pPr>
      <w:r w:rsidRPr="00CB6CBA">
        <w:rPr>
          <w:lang w:val="en-US"/>
        </w:rPr>
        <w:t>c)</w:t>
      </w:r>
      <w:r w:rsidRPr="00CB6CBA">
        <w:rPr>
          <w:lang w:val="en-US"/>
        </w:rPr>
        <w:tab/>
        <w:t xml:space="preserve">As the owner of the spectrum, the State has the right to require private occupants thereof to pay </w:t>
      </w:r>
      <w:r w:rsidRPr="00CB6CBA">
        <w:rPr>
          <w:i/>
          <w:iCs/>
          <w:u w:val="single"/>
          <w:lang w:val="en-US"/>
        </w:rPr>
        <w:t>spectrum fees</w:t>
      </w:r>
      <w:r w:rsidRPr="00CB6CBA">
        <w:rPr>
          <w:lang w:val="en-US"/>
        </w:rPr>
        <w:t xml:space="preserve"> (known also as </w:t>
      </w:r>
      <w:r w:rsidRPr="00CB6CBA">
        <w:rPr>
          <w:i/>
          <w:iCs/>
          <w:lang w:val="en-US"/>
        </w:rPr>
        <w:t>spectrum occupancy fees</w:t>
      </w:r>
      <w:r w:rsidRPr="00CB6CBA">
        <w:rPr>
          <w:lang w:val="en-US"/>
        </w:rPr>
        <w:t xml:space="preserve">, </w:t>
      </w:r>
      <w:r w:rsidRPr="00CB6CBA">
        <w:rPr>
          <w:i/>
          <w:iCs/>
          <w:lang w:val="en-US"/>
        </w:rPr>
        <w:t>frequency availability fees</w:t>
      </w:r>
      <w:r w:rsidRPr="00CB6CBA">
        <w:rPr>
          <w:lang w:val="en-US"/>
        </w:rPr>
        <w:t xml:space="preserve"> or</w:t>
      </w:r>
      <w:r w:rsidRPr="00CB6CBA">
        <w:rPr>
          <w:i/>
          <w:iCs/>
          <w:lang w:val="en-US"/>
        </w:rPr>
        <w:t xml:space="preserve"> spectrum usage fees</w:t>
      </w:r>
      <w:r w:rsidRPr="00CB6CBA">
        <w:rPr>
          <w:lang w:val="en-US"/>
        </w:rPr>
        <w:t xml:space="preserve">, or simply as </w:t>
      </w:r>
      <w:r w:rsidRPr="00CB6CBA">
        <w:rPr>
          <w:i/>
          <w:iCs/>
          <w:lang w:val="en-US"/>
        </w:rPr>
        <w:t>fees</w:t>
      </w:r>
      <w:r w:rsidRPr="00CB6CBA">
        <w:rPr>
          <w:lang w:val="en-US"/>
        </w:rPr>
        <w:t xml:space="preserve"> where there is no ambiguity). </w:t>
      </w:r>
    </w:p>
    <w:p w:rsidR="00CA3B52" w:rsidRPr="00CB6CBA" w:rsidRDefault="00CA3B52" w:rsidP="002D1D5C">
      <w:pPr>
        <w:pStyle w:val="enumlev1"/>
        <w:keepNext/>
        <w:keepLines/>
        <w:rPr>
          <w:lang w:val="en-US"/>
        </w:rPr>
      </w:pPr>
      <w:r w:rsidRPr="00CB6CBA">
        <w:rPr>
          <w:lang w:val="en-US"/>
        </w:rPr>
        <w:lastRenderedPageBreak/>
        <w:t>d)</w:t>
      </w:r>
      <w:r w:rsidRPr="00CB6CBA">
        <w:rPr>
          <w:lang w:val="en-US"/>
        </w:rPr>
        <w:tab/>
        <w:t xml:space="preserve">The planning, management and monitoring of the spectrum are carried out by the State or by entities to which the State has delegated such responsibilities. Those activities, together with the corresponding equipment and investment, are essential to ensuring that the spectrum is used under satisfactory conditions. </w:t>
      </w:r>
    </w:p>
    <w:p w:rsidR="00CA3B52" w:rsidRPr="00CB6CBA" w:rsidRDefault="00CA3B52" w:rsidP="00CA3B52">
      <w:pPr>
        <w:pStyle w:val="enumlev1"/>
        <w:rPr>
          <w:lang w:val="en-US"/>
        </w:rPr>
      </w:pPr>
      <w:r w:rsidRPr="00CB6CBA">
        <w:rPr>
          <w:lang w:val="en-US"/>
        </w:rPr>
        <w:t>e)</w:t>
      </w:r>
      <w:r w:rsidRPr="00CB6CBA">
        <w:rPr>
          <w:lang w:val="en-US"/>
        </w:rPr>
        <w:tab/>
        <w:t xml:space="preserve">It is therefore lawful for the authorities to require, moreover, that private spectrum occupants also pay </w:t>
      </w:r>
      <w:r w:rsidRPr="00CB6CBA">
        <w:rPr>
          <w:i/>
          <w:iCs/>
          <w:u w:val="single"/>
          <w:lang w:val="en-US"/>
        </w:rPr>
        <w:t>administrative fees</w:t>
      </w:r>
      <w:r w:rsidRPr="00CB6CBA">
        <w:rPr>
          <w:lang w:val="en-US"/>
        </w:rPr>
        <w:t xml:space="preserve"> (known also as </w:t>
      </w:r>
      <w:r w:rsidRPr="00CB6CBA">
        <w:rPr>
          <w:i/>
          <w:iCs/>
          <w:lang w:val="en-US"/>
        </w:rPr>
        <w:t>frequency management fees</w:t>
      </w:r>
      <w:r w:rsidRPr="00CB6CBA">
        <w:rPr>
          <w:lang w:val="en-US"/>
        </w:rPr>
        <w:t xml:space="preserve"> or </w:t>
      </w:r>
      <w:r w:rsidRPr="00CB6CBA">
        <w:rPr>
          <w:i/>
          <w:iCs/>
          <w:lang w:val="en-US"/>
        </w:rPr>
        <w:t>service fees</w:t>
      </w:r>
      <w:r w:rsidRPr="00CB6CBA">
        <w:rPr>
          <w:lang w:val="en-US"/>
        </w:rPr>
        <w:t xml:space="preserve">, as well as </w:t>
      </w:r>
      <w:r w:rsidRPr="00CB6CBA">
        <w:rPr>
          <w:i/>
          <w:iCs/>
          <w:lang w:val="en-US"/>
        </w:rPr>
        <w:t>administrative charges</w:t>
      </w:r>
      <w:r w:rsidRPr="00CB6CBA">
        <w:rPr>
          <w:lang w:val="en-US"/>
        </w:rPr>
        <w:t xml:space="preserve"> or, where there is no ambiguity, simply as </w:t>
      </w:r>
      <w:r w:rsidRPr="00CB6CBA">
        <w:rPr>
          <w:i/>
          <w:iCs/>
          <w:lang w:val="en-US"/>
        </w:rPr>
        <w:t>charges</w:t>
      </w:r>
      <w:r w:rsidRPr="00CB6CBA">
        <w:rPr>
          <w:lang w:val="en-US"/>
        </w:rPr>
        <w:t xml:space="preserve">) to cover all of the costs arising out of spectrum planning, management and monitoring activities. </w:t>
      </w:r>
    </w:p>
    <w:p w:rsidR="00CA3B52" w:rsidRPr="00CB6CBA" w:rsidRDefault="00CA3B52" w:rsidP="00CA3B52">
      <w:pPr>
        <w:pStyle w:val="enumlev1"/>
        <w:rPr>
          <w:lang w:val="en-US"/>
        </w:rPr>
      </w:pPr>
      <w:r w:rsidRPr="00CB6CBA">
        <w:rPr>
          <w:lang w:val="en-US"/>
        </w:rPr>
        <w:t>f)</w:t>
      </w:r>
      <w:r w:rsidRPr="00CB6CBA">
        <w:rPr>
          <w:lang w:val="en-US"/>
        </w:rPr>
        <w:tab/>
        <w:t xml:space="preserve">The establishment of spectrum fees and administrative fees must be carried out with due respect for the rules of transparency, objectivity, proportionality and non-discrimination. Where transparency is concerned, it is particularly important that the rules governing the establishment of fees be simple and readily understandable by all concerned. </w:t>
      </w:r>
    </w:p>
    <w:p w:rsidR="00CA3B52" w:rsidRPr="00CB6CBA" w:rsidRDefault="00CA3B52" w:rsidP="00CA3B52">
      <w:pPr>
        <w:pStyle w:val="enumlev1"/>
        <w:rPr>
          <w:lang w:val="en-US"/>
        </w:rPr>
      </w:pPr>
      <w:r w:rsidRPr="00CB6CBA">
        <w:rPr>
          <w:lang w:val="en-US"/>
        </w:rPr>
        <w:t>g)</w:t>
      </w:r>
      <w:r w:rsidRPr="00CB6CBA">
        <w:rPr>
          <w:lang w:val="en-US"/>
        </w:rPr>
        <w:tab/>
        <w:t xml:space="preserve">The rules governing the establishment of fees must be relatively stable over time in order to provide spectrum occupants with the necessary visibility and legal security. </w:t>
      </w:r>
    </w:p>
    <w:p w:rsidR="00CA3B52" w:rsidRPr="00CB6CBA" w:rsidRDefault="00CA3B52" w:rsidP="00CA3B52">
      <w:pPr>
        <w:pStyle w:val="enumlev1"/>
        <w:rPr>
          <w:lang w:val="en-US"/>
        </w:rPr>
      </w:pPr>
      <w:r w:rsidRPr="00CB6CBA">
        <w:rPr>
          <w:lang w:val="en-US"/>
        </w:rPr>
        <w:t>h)</w:t>
      </w:r>
      <w:r w:rsidRPr="00CB6CBA">
        <w:rPr>
          <w:lang w:val="en-US"/>
        </w:rPr>
        <w:tab/>
        <w:t xml:space="preserve">In return for the fees they pay, users of assigned or allotted frequencies enjoy protection under the relevant provisions of the regulations in force. By contrast, users of freely accessible frequencies (used, for example, for low-range and low-power sets, WiFi, Bluetooth, amateur radio and radio-controlled models) are not protected and should therefore not be required to pay fees. A reality principle unites with this legal principle to dictate that fees should not be applied to freely accessible frequencies. </w:t>
      </w:r>
    </w:p>
    <w:p w:rsidR="00CA3B52" w:rsidRPr="00CB6CBA" w:rsidRDefault="0092229D" w:rsidP="00CA3B52">
      <w:pPr>
        <w:pStyle w:val="Heading3"/>
        <w:rPr>
          <w:lang w:val="en-US"/>
        </w:rPr>
      </w:pPr>
      <w:bookmarkStart w:id="318" w:name="_Toc289868762"/>
      <w:bookmarkStart w:id="319" w:name="_Toc289868922"/>
      <w:bookmarkStart w:id="320" w:name="_Toc289932230"/>
      <w:bookmarkStart w:id="321" w:name="_Toc289933276"/>
      <w:bookmarkStart w:id="322" w:name="_Toc291852839"/>
      <w:bookmarkStart w:id="323" w:name="_Toc392515829"/>
      <w:r>
        <w:rPr>
          <w:lang w:val="en-US"/>
        </w:rPr>
        <w:t>2.2.2</w:t>
      </w:r>
      <w:r w:rsidR="00CA3B52" w:rsidRPr="00CB6CBA">
        <w:rPr>
          <w:lang w:val="en-US"/>
        </w:rPr>
        <w:tab/>
        <w:t>Economic principles</w:t>
      </w:r>
      <w:bookmarkEnd w:id="318"/>
      <w:bookmarkEnd w:id="319"/>
      <w:bookmarkEnd w:id="320"/>
      <w:bookmarkEnd w:id="321"/>
      <w:bookmarkEnd w:id="322"/>
      <w:bookmarkEnd w:id="323"/>
    </w:p>
    <w:p w:rsidR="00CA3B52" w:rsidRPr="00CB6CBA" w:rsidRDefault="00CA3B52" w:rsidP="00CA3B52">
      <w:pPr>
        <w:pStyle w:val="enumlev1"/>
        <w:rPr>
          <w:lang w:val="en-US"/>
        </w:rPr>
      </w:pPr>
      <w:r w:rsidRPr="00CB6CBA">
        <w:rPr>
          <w:lang w:val="en-US"/>
        </w:rPr>
        <w:t>a)</w:t>
      </w:r>
      <w:r w:rsidRPr="00CB6CBA">
        <w:rPr>
          <w:lang w:val="en-US"/>
        </w:rPr>
        <w:tab/>
        <w:t xml:space="preserve">The frequency spectrum is a limited and, in some cases, scarce resource. The main objectives of the manager are to secure both optimum spectrum occupancy and effective frequency utilization. </w:t>
      </w:r>
    </w:p>
    <w:p w:rsidR="00CA3B52" w:rsidRPr="002B13C6" w:rsidRDefault="00CA3B52" w:rsidP="00CA3B52">
      <w:pPr>
        <w:pStyle w:val="enumlev1"/>
        <w:rPr>
          <w:lang w:val="en-US"/>
        </w:rPr>
      </w:pPr>
      <w:r w:rsidRPr="00CB6CBA">
        <w:rPr>
          <w:lang w:val="en-US"/>
        </w:rPr>
        <w:t>b)</w:t>
      </w:r>
      <w:r w:rsidRPr="00CB6CBA">
        <w:rPr>
          <w:lang w:val="en-US"/>
        </w:rPr>
        <w:tab/>
        <w:t xml:space="preserve">The reasons for spectrum fees and administrative fees, and the ends to which they are put, are different. That difference should thus be reflected in </w:t>
      </w:r>
      <w:r w:rsidRPr="002B13C6">
        <w:rPr>
          <w:lang w:val="en-US"/>
        </w:rPr>
        <w:t xml:space="preserve">two distinct approaches for establishing each kind of fee. </w:t>
      </w:r>
    </w:p>
    <w:p w:rsidR="00CA3B52" w:rsidRPr="00CB6CBA" w:rsidRDefault="00CA3B52" w:rsidP="00CA3B52">
      <w:pPr>
        <w:pStyle w:val="enumlev1"/>
        <w:rPr>
          <w:lang w:val="en-US"/>
        </w:rPr>
      </w:pPr>
      <w:r w:rsidRPr="00CB6CBA">
        <w:rPr>
          <w:lang w:val="en-US"/>
        </w:rPr>
        <w:t>c)</w:t>
      </w:r>
      <w:r w:rsidRPr="00CB6CBA">
        <w:rPr>
          <w:lang w:val="en-US"/>
        </w:rPr>
        <w:tab/>
        <w:t xml:space="preserve">The sole purpose of administrative fees should be to pay for the service rendered by the authorities. </w:t>
      </w:r>
    </w:p>
    <w:p w:rsidR="00CA3B52" w:rsidRPr="00CB6CBA" w:rsidRDefault="00CA3B52" w:rsidP="00CA3B52">
      <w:pPr>
        <w:pStyle w:val="enumlev1"/>
        <w:rPr>
          <w:lang w:val="en-US"/>
        </w:rPr>
      </w:pPr>
      <w:r w:rsidRPr="00CB6CBA">
        <w:rPr>
          <w:lang w:val="en-US"/>
        </w:rPr>
        <w:t>d)</w:t>
      </w:r>
      <w:r w:rsidRPr="00CB6CBA">
        <w:rPr>
          <w:lang w:val="en-US"/>
        </w:rPr>
        <w:tab/>
        <w:t>By contrast, the purpose of spectrum fees is multifaceted in that they must:</w:t>
      </w:r>
    </w:p>
    <w:p w:rsidR="00CA3B52" w:rsidRPr="00CB6CBA" w:rsidRDefault="00CA3B52" w:rsidP="00CA3B52">
      <w:pPr>
        <w:pStyle w:val="enumlev2"/>
        <w:rPr>
          <w:lang w:val="en-US"/>
        </w:rPr>
      </w:pPr>
      <w:r w:rsidRPr="00CB6CBA">
        <w:rPr>
          <w:lang w:val="en-US"/>
        </w:rPr>
        <w:t>–</w:t>
      </w:r>
      <w:r w:rsidRPr="00CB6CBA">
        <w:rPr>
          <w:lang w:val="en-US"/>
        </w:rPr>
        <w:tab/>
        <w:t>enable achievement of the budgetary objective set by the authorities;</w:t>
      </w:r>
    </w:p>
    <w:p w:rsidR="00CA3B52" w:rsidRPr="00CB6CBA" w:rsidRDefault="00CA3B52" w:rsidP="00CA3B52">
      <w:pPr>
        <w:pStyle w:val="enumlev2"/>
        <w:rPr>
          <w:lang w:val="en-US"/>
        </w:rPr>
      </w:pPr>
      <w:r w:rsidRPr="00CB6CBA">
        <w:rPr>
          <w:lang w:val="en-US"/>
        </w:rPr>
        <w:t>–</w:t>
      </w:r>
      <w:r w:rsidRPr="00CB6CBA">
        <w:rPr>
          <w:lang w:val="en-US"/>
        </w:rPr>
        <w:tab/>
        <w:t>not clash with the economic objectives of the authorities in regard to national development and the development of new services;</w:t>
      </w:r>
    </w:p>
    <w:p w:rsidR="00CA3B52" w:rsidRPr="00CB6CBA" w:rsidRDefault="00CA3B52" w:rsidP="00CA3B52">
      <w:pPr>
        <w:pStyle w:val="enumlev2"/>
        <w:rPr>
          <w:lang w:val="en-US"/>
        </w:rPr>
      </w:pPr>
      <w:r w:rsidRPr="00CB6CBA">
        <w:rPr>
          <w:lang w:val="en-US"/>
        </w:rPr>
        <w:t>–</w:t>
      </w:r>
      <w:r w:rsidRPr="00CB6CBA">
        <w:rPr>
          <w:lang w:val="en-US"/>
        </w:rPr>
        <w:tab/>
        <w:t>take account of all the benefits that occupants derive from the spectrum;</w:t>
      </w:r>
    </w:p>
    <w:p w:rsidR="00CA3B52" w:rsidRPr="00CB6CBA" w:rsidRDefault="00CA3B52" w:rsidP="00CA3B52">
      <w:pPr>
        <w:pStyle w:val="enumlev2"/>
        <w:rPr>
          <w:lang w:val="en-US"/>
        </w:rPr>
      </w:pPr>
      <w:r w:rsidRPr="00CB6CBA">
        <w:rPr>
          <w:lang w:val="en-US"/>
        </w:rPr>
        <w:t>–</w:t>
      </w:r>
      <w:r w:rsidRPr="00CB6CBA">
        <w:rPr>
          <w:lang w:val="en-US"/>
        </w:rPr>
        <w:tab/>
        <w:t>constitute a tool for spectrum management.</w:t>
      </w:r>
    </w:p>
    <w:p w:rsidR="00CA3B52" w:rsidRPr="00CB6CBA" w:rsidRDefault="00CA3B52" w:rsidP="00CA3B52">
      <w:pPr>
        <w:pStyle w:val="enumlev1"/>
        <w:rPr>
          <w:lang w:val="en-US"/>
        </w:rPr>
      </w:pPr>
      <w:r w:rsidRPr="00CB6CBA">
        <w:rPr>
          <w:lang w:val="en-US"/>
        </w:rPr>
        <w:t>e)</w:t>
      </w:r>
      <w:r w:rsidRPr="00CB6CBA">
        <w:rPr>
          <w:lang w:val="en-US"/>
        </w:rPr>
        <w:tab/>
        <w:t>Fees constitute financial resources for the State and for the spectrum manager. The level at which they are set should systematically take account of inflation and the evolving status of the spectrum manager’s budget.</w:t>
      </w:r>
    </w:p>
    <w:p w:rsidR="00CA3B52" w:rsidRPr="00CB6CBA" w:rsidRDefault="00CA3B52" w:rsidP="00CA3B52">
      <w:pPr>
        <w:pStyle w:val="Heading3"/>
        <w:rPr>
          <w:lang w:val="en-US"/>
        </w:rPr>
      </w:pPr>
      <w:bookmarkStart w:id="324" w:name="_Toc289868763"/>
      <w:bookmarkStart w:id="325" w:name="_Toc289868923"/>
      <w:bookmarkStart w:id="326" w:name="_Toc289932231"/>
      <w:bookmarkStart w:id="327" w:name="_Toc289933277"/>
      <w:bookmarkStart w:id="328" w:name="_Toc291852840"/>
      <w:bookmarkStart w:id="329" w:name="_Toc392515830"/>
      <w:r w:rsidRPr="00CB6CBA">
        <w:rPr>
          <w:lang w:val="en-US"/>
        </w:rPr>
        <w:t>2.2.3</w:t>
      </w:r>
      <w:r w:rsidRPr="00CB6CBA">
        <w:rPr>
          <w:lang w:val="en-US"/>
        </w:rPr>
        <w:tab/>
        <w:t>Reality principles</w:t>
      </w:r>
      <w:bookmarkEnd w:id="324"/>
      <w:bookmarkEnd w:id="325"/>
      <w:bookmarkEnd w:id="326"/>
      <w:bookmarkEnd w:id="327"/>
      <w:bookmarkEnd w:id="328"/>
      <w:bookmarkEnd w:id="329"/>
    </w:p>
    <w:p w:rsidR="00CA3B52" w:rsidRPr="00CB6CBA" w:rsidRDefault="00CA3B52" w:rsidP="00CA3B52">
      <w:pPr>
        <w:pStyle w:val="enumlev1"/>
        <w:rPr>
          <w:lang w:val="en-US"/>
        </w:rPr>
      </w:pPr>
      <w:r w:rsidRPr="00CB6CBA">
        <w:rPr>
          <w:lang w:val="en-US"/>
        </w:rPr>
        <w:t>a)</w:t>
      </w:r>
      <w:r w:rsidRPr="00CB6CBA">
        <w:rPr>
          <w:lang w:val="en-US"/>
        </w:rPr>
        <w:tab/>
        <w:t>Fees should not be introduced in cases where those subject to them would be hard to identify individually (for example users of freely accessible frequencies), since their collection would be uncertain and probably very limited in terms of completeness.</w:t>
      </w:r>
    </w:p>
    <w:p w:rsidR="00CA3B52" w:rsidRPr="00CB6CBA" w:rsidRDefault="00CA3B52" w:rsidP="007E085A">
      <w:pPr>
        <w:pStyle w:val="enumlev1"/>
        <w:keepNext/>
        <w:keepLines/>
        <w:rPr>
          <w:lang w:val="en-US"/>
        </w:rPr>
      </w:pPr>
      <w:r w:rsidRPr="00CB6CBA">
        <w:rPr>
          <w:lang w:val="en-US"/>
        </w:rPr>
        <w:lastRenderedPageBreak/>
        <w:t>b)</w:t>
      </w:r>
      <w:r w:rsidRPr="00CB6CBA">
        <w:rPr>
          <w:lang w:val="en-US"/>
        </w:rPr>
        <w:tab/>
        <w:t>When choosing the parameters to be used as the basis for fee calculation, those for which it is difficult or impossible in practice to verify the values declared by the users in question (e.g. height of a station antenna or number of mobile stations in a private network) should be avoided. This would reduce the opportunities for making inaccurate declarations in an attempt to reduce the amount payable.</w:t>
      </w:r>
    </w:p>
    <w:p w:rsidR="00CA3B52" w:rsidRPr="00CB6CBA" w:rsidRDefault="00CA3B52" w:rsidP="00CA3B52">
      <w:pPr>
        <w:pStyle w:val="enumlev1"/>
        <w:rPr>
          <w:lang w:val="en-US"/>
        </w:rPr>
      </w:pPr>
      <w:r w:rsidRPr="00CB6CBA">
        <w:rPr>
          <w:lang w:val="en-US"/>
        </w:rPr>
        <w:t>c)</w:t>
      </w:r>
      <w:r w:rsidRPr="00CB6CBA">
        <w:rPr>
          <w:lang w:val="en-US"/>
        </w:rPr>
        <w:tab/>
        <w:t>The establishment of a fee system should be based on a consensus among all the players, since this would make for a healthy collection rate.</w:t>
      </w:r>
    </w:p>
    <w:p w:rsidR="00CA3B52" w:rsidRPr="00CB6CBA" w:rsidRDefault="00CA3B52" w:rsidP="00CA3B52">
      <w:pPr>
        <w:pStyle w:val="Heading3"/>
        <w:rPr>
          <w:lang w:val="en-US"/>
        </w:rPr>
      </w:pPr>
      <w:bookmarkStart w:id="330" w:name="_Toc394385975"/>
      <w:bookmarkStart w:id="331" w:name="_Toc394386062"/>
      <w:bookmarkStart w:id="332" w:name="_Toc395503166"/>
      <w:bookmarkStart w:id="333" w:name="_Toc459746639"/>
      <w:bookmarkStart w:id="334" w:name="_Toc459792567"/>
      <w:bookmarkStart w:id="335" w:name="_Toc459793738"/>
      <w:bookmarkStart w:id="336" w:name="_Toc459793880"/>
      <w:bookmarkStart w:id="337" w:name="_Toc459970376"/>
      <w:bookmarkStart w:id="338" w:name="_Toc497033112"/>
      <w:bookmarkStart w:id="339" w:name="_Toc497033910"/>
      <w:bookmarkStart w:id="340" w:name="_Toc289868764"/>
      <w:bookmarkStart w:id="341" w:name="_Toc289868924"/>
      <w:bookmarkStart w:id="342" w:name="_Toc289932232"/>
      <w:bookmarkStart w:id="343" w:name="_Toc289933278"/>
      <w:bookmarkStart w:id="344" w:name="_Toc291852841"/>
      <w:bookmarkStart w:id="345" w:name="_Toc392515831"/>
      <w:r w:rsidRPr="00CB6CBA">
        <w:rPr>
          <w:lang w:val="en-US"/>
        </w:rPr>
        <w:t>2.2.4</w:t>
      </w:r>
      <w:r w:rsidRPr="00CB6CBA">
        <w:rPr>
          <w:lang w:val="en-US"/>
        </w:rPr>
        <w:tab/>
        <w:t>Approaches</w:t>
      </w:r>
      <w:bookmarkEnd w:id="330"/>
      <w:bookmarkEnd w:id="331"/>
      <w:bookmarkEnd w:id="332"/>
      <w:bookmarkEnd w:id="333"/>
      <w:bookmarkEnd w:id="334"/>
      <w:bookmarkEnd w:id="335"/>
      <w:bookmarkEnd w:id="336"/>
      <w:bookmarkEnd w:id="337"/>
      <w:bookmarkEnd w:id="338"/>
      <w:bookmarkEnd w:id="339"/>
      <w:r w:rsidRPr="00CB6CBA">
        <w:rPr>
          <w:lang w:val="en-US"/>
        </w:rPr>
        <w:t xml:space="preserve"> by different administrations</w:t>
      </w:r>
      <w:bookmarkEnd w:id="340"/>
      <w:bookmarkEnd w:id="341"/>
      <w:bookmarkEnd w:id="342"/>
      <w:bookmarkEnd w:id="343"/>
      <w:bookmarkEnd w:id="344"/>
      <w:bookmarkEnd w:id="345"/>
    </w:p>
    <w:p w:rsidR="00CA3B52" w:rsidRPr="00CB6CBA" w:rsidRDefault="00CA3B52" w:rsidP="00CA3B52">
      <w:pPr>
        <w:pStyle w:val="Heading4"/>
        <w:rPr>
          <w:lang w:val="en-US"/>
        </w:rPr>
      </w:pPr>
      <w:bookmarkStart w:id="346" w:name="_Toc459746640"/>
      <w:bookmarkStart w:id="347" w:name="_Toc459792568"/>
      <w:bookmarkStart w:id="348" w:name="_Toc459793739"/>
      <w:bookmarkStart w:id="349" w:name="_Toc459793881"/>
      <w:bookmarkStart w:id="350" w:name="_Toc497033113"/>
      <w:bookmarkStart w:id="351" w:name="_Toc497033911"/>
      <w:r w:rsidRPr="00CB6CBA">
        <w:rPr>
          <w:lang w:val="en-US"/>
        </w:rPr>
        <w:t>2.2.4.1</w:t>
      </w:r>
      <w:r w:rsidRPr="00CB6CBA">
        <w:rPr>
          <w:lang w:val="en-US"/>
        </w:rPr>
        <w:tab/>
        <w:t>Traditional national budget financing</w:t>
      </w:r>
      <w:bookmarkEnd w:id="346"/>
      <w:bookmarkEnd w:id="347"/>
      <w:bookmarkEnd w:id="348"/>
      <w:bookmarkEnd w:id="349"/>
      <w:bookmarkEnd w:id="350"/>
      <w:bookmarkEnd w:id="351"/>
    </w:p>
    <w:p w:rsidR="00CA3B52" w:rsidRPr="00CB6CBA" w:rsidRDefault="00CA3B52" w:rsidP="00CA3B52">
      <w:pPr>
        <w:rPr>
          <w:lang w:val="en-US"/>
        </w:rPr>
      </w:pPr>
      <w:r w:rsidRPr="00CB6CBA">
        <w:rPr>
          <w:lang w:val="en-US"/>
        </w:rPr>
        <w:t>Until recently, virtually all countries have funded their spectrum management programmes through a centralized national budget process. This approach simply involves allocating a portion of the administration’s annual budget to spectrum management. Generally the amount provided depends on the priorities of the national government. In many cases, the national spectrum manager provides estimates of its funding needs. The national government response, however, is limited by its total tax resources.</w:t>
      </w:r>
    </w:p>
    <w:p w:rsidR="00CA3B52" w:rsidRPr="00CB6CBA" w:rsidRDefault="00CA3B52" w:rsidP="00CA3B52">
      <w:pPr>
        <w:pStyle w:val="Heading4"/>
        <w:rPr>
          <w:lang w:val="en-US"/>
        </w:rPr>
      </w:pPr>
      <w:bookmarkStart w:id="352" w:name="_Toc459746641"/>
      <w:bookmarkStart w:id="353" w:name="_Toc459792569"/>
      <w:bookmarkStart w:id="354" w:name="_Toc459793740"/>
      <w:bookmarkStart w:id="355" w:name="_Toc459793882"/>
      <w:bookmarkStart w:id="356" w:name="_Toc497033114"/>
      <w:bookmarkStart w:id="357" w:name="_Toc497033912"/>
      <w:r w:rsidRPr="00CB6CBA">
        <w:rPr>
          <w:lang w:val="en-US"/>
        </w:rPr>
        <w:t>2.2.4.2</w:t>
      </w:r>
      <w:r w:rsidRPr="00CB6CBA">
        <w:rPr>
          <w:lang w:val="en-US"/>
        </w:rPr>
        <w:tab/>
        <w:t>Spectrum use fees</w:t>
      </w:r>
      <w:bookmarkEnd w:id="352"/>
      <w:bookmarkEnd w:id="353"/>
      <w:bookmarkEnd w:id="354"/>
      <w:bookmarkEnd w:id="355"/>
      <w:bookmarkEnd w:id="356"/>
      <w:bookmarkEnd w:id="357"/>
    </w:p>
    <w:p w:rsidR="00CA3B52" w:rsidRPr="00CB6CBA" w:rsidRDefault="00CA3B52" w:rsidP="00CA3B52">
      <w:pPr>
        <w:rPr>
          <w:lang w:val="en-US"/>
        </w:rPr>
      </w:pPr>
      <w:r w:rsidRPr="00CB6CBA">
        <w:rPr>
          <w:lang w:val="en-US"/>
        </w:rPr>
        <w:t>This approach involves charging some or all licensees for their use of the spectrum. Some countries are now funding their spectrum management programmes in whole or in part through fees. In some cases this includes financing a phased implementation of a national spectrum management programme. These fees are based either directly on spectrum use or indirectly through general administrative or regulatory charges. Fees can be established on a variety of bases and formulas for fee calculation can range from the simple to the complex.</w:t>
      </w:r>
    </w:p>
    <w:p w:rsidR="00CA3B52" w:rsidRPr="00CB6CBA" w:rsidRDefault="00CA3B52" w:rsidP="00CA3B52">
      <w:pPr>
        <w:pStyle w:val="Heading4"/>
        <w:rPr>
          <w:lang w:val="en-US"/>
        </w:rPr>
      </w:pPr>
      <w:bookmarkStart w:id="358" w:name="_Toc459746642"/>
      <w:bookmarkStart w:id="359" w:name="_Toc459792570"/>
      <w:bookmarkStart w:id="360" w:name="_Toc459793741"/>
      <w:bookmarkStart w:id="361" w:name="_Toc459793883"/>
      <w:bookmarkStart w:id="362" w:name="_Toc497033115"/>
      <w:bookmarkStart w:id="363" w:name="_Toc497033913"/>
      <w:r w:rsidRPr="00CB6CBA">
        <w:rPr>
          <w:lang w:val="en-US"/>
        </w:rPr>
        <w:t>2.2.4.3</w:t>
      </w:r>
      <w:r w:rsidRPr="00CB6CBA">
        <w:rPr>
          <w:lang w:val="en-US"/>
        </w:rPr>
        <w:tab/>
        <w:t>Auctions</w:t>
      </w:r>
      <w:bookmarkEnd w:id="358"/>
      <w:bookmarkEnd w:id="359"/>
      <w:bookmarkEnd w:id="360"/>
      <w:bookmarkEnd w:id="361"/>
      <w:bookmarkEnd w:id="362"/>
      <w:bookmarkEnd w:id="363"/>
    </w:p>
    <w:p w:rsidR="00CA3B52" w:rsidRPr="00CB6CBA" w:rsidRDefault="00CA3B52" w:rsidP="00CA3B52">
      <w:pPr>
        <w:rPr>
          <w:lang w:val="en-US"/>
        </w:rPr>
      </w:pPr>
      <w:r w:rsidRPr="00CB6CBA">
        <w:rPr>
          <w:lang w:val="en-US"/>
        </w:rPr>
        <w:t>Another way of funding spectrum management is by using a percentage of the money raised through auctions. While no country has directly funded spectrum management through auction revenues only, such revenues in some countries have vastly exceeded spectrum management costs.</w:t>
      </w:r>
    </w:p>
    <w:p w:rsidR="00CA3B52" w:rsidRPr="00CB6CBA" w:rsidRDefault="00CA3B52" w:rsidP="00CA3B52">
      <w:pPr>
        <w:pStyle w:val="Heading3"/>
        <w:rPr>
          <w:lang w:val="en-US"/>
        </w:rPr>
      </w:pPr>
      <w:bookmarkStart w:id="364" w:name="_Toc394385976"/>
      <w:bookmarkStart w:id="365" w:name="_Toc394386063"/>
      <w:bookmarkStart w:id="366" w:name="_Toc395503167"/>
      <w:bookmarkStart w:id="367" w:name="_Toc459746643"/>
      <w:bookmarkStart w:id="368" w:name="_Toc459792571"/>
      <w:bookmarkStart w:id="369" w:name="_Toc459793742"/>
      <w:bookmarkStart w:id="370" w:name="_Toc459793884"/>
      <w:bookmarkStart w:id="371" w:name="_Toc459970377"/>
      <w:bookmarkStart w:id="372" w:name="_Toc497033116"/>
      <w:bookmarkStart w:id="373" w:name="_Toc497033914"/>
      <w:bookmarkStart w:id="374" w:name="_Toc289868765"/>
      <w:bookmarkStart w:id="375" w:name="_Toc289868925"/>
      <w:bookmarkStart w:id="376" w:name="_Toc289932233"/>
      <w:bookmarkStart w:id="377" w:name="_Toc289933279"/>
      <w:bookmarkStart w:id="378" w:name="_Toc291852842"/>
      <w:bookmarkStart w:id="379" w:name="_Toc392515832"/>
      <w:r w:rsidRPr="00CB6CBA">
        <w:rPr>
          <w:lang w:val="en-US"/>
        </w:rPr>
        <w:t>2.2.5</w:t>
      </w:r>
      <w:r w:rsidRPr="00CB6CBA">
        <w:rPr>
          <w:lang w:val="en-US"/>
        </w:rPr>
        <w:tab/>
        <w:t>Advantages and disadvantages of these approaches</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rsidR="00CA3B52" w:rsidRPr="00CB6CBA" w:rsidRDefault="00CA3B52" w:rsidP="00CA3B52">
      <w:pPr>
        <w:rPr>
          <w:lang w:val="en-US"/>
        </w:rPr>
      </w:pPr>
      <w:r w:rsidRPr="00CB6CBA">
        <w:rPr>
          <w:lang w:val="en-US"/>
        </w:rPr>
        <w:t>The national budget financing approach has been used successfully in some countries for a number of years. However, it depends heavily on the administration’s recognition of the importance of radiocommunications and spectrum management. National governing bodies dealing with a host of national issues are often unfamiliar with spectrum issues or the impact of radio on the national economy. Furthermore, the national budget financing approach does not impose any immediate costs on those who directly benefit from spectrum use, but rather imposes an indirect tax on all citizens. Funding for spectrum management under this approach has often been difficult in developed countries, but may be a particular problem in developing countries, where budgetary resources are limited and where the importance of spectrum-using services to the economy may not be as evident as in developed countries.</w:t>
      </w:r>
    </w:p>
    <w:p w:rsidR="00CA3B52" w:rsidRPr="00CB6CBA" w:rsidRDefault="00CA3B52" w:rsidP="00CA3B52">
      <w:pPr>
        <w:rPr>
          <w:lang w:val="en-US"/>
        </w:rPr>
      </w:pPr>
      <w:r w:rsidRPr="00CB6CBA">
        <w:rPr>
          <w:lang w:val="en-US"/>
        </w:rPr>
        <w:t>The fee approach has also been used successfully in a number of countries, and it has the advantages of pre-determining revenues to be used for spectrum management and imposing costs on at least some entities that benefit from spectrum use. However, because fee levels can be based on a variety of considerations, such as policy direction or payment of administrative costs, determination of the levels for each type of radio use may represent a complex undertaking. Further, the use of fees to cover the cost of administrative processing may prove insufficient by itself to cover the costs of an adequate spectrum management programme. However, fee approaches that cover additional spectrum regulatory costs can be developed to fully fund spectrum management.</w:t>
      </w:r>
      <w:r>
        <w:rPr>
          <w:lang w:val="en-US"/>
        </w:rPr>
        <w:t xml:space="preserve"> </w:t>
      </w:r>
      <w:r>
        <w:rPr>
          <w:lang w:val="en-US"/>
        </w:rPr>
        <w:lastRenderedPageBreak/>
        <w:t>It </w:t>
      </w:r>
      <w:r w:rsidRPr="00CB6CBA">
        <w:rPr>
          <w:lang w:val="en-US"/>
        </w:rPr>
        <w:t>should be noted that in addition to fees charged to spectrum users, application fees could be charged for the right to participate in comparative processes, lotteries, or auctions.</w:t>
      </w:r>
    </w:p>
    <w:p w:rsidR="00CA3B52" w:rsidRPr="00CB6CBA" w:rsidRDefault="00CA3B52" w:rsidP="00CA3B52">
      <w:pPr>
        <w:rPr>
          <w:lang w:val="en-US"/>
        </w:rPr>
      </w:pPr>
      <w:r w:rsidRPr="00CB6CBA">
        <w:rPr>
          <w:lang w:val="en-US"/>
        </w:rPr>
        <w:t>Advantages of the auction approach are that it holds potential for an accurate reflection of the value of the spectrum and it imposes costs on those who directly benefit from spectrum use. However, the use of auctions may be viewed as a significant departure from normal practice. Furthermore, a disadvantage of this approach is that revenues are uncertain, and may exceed or fall short of what is needed to adequately fund spectrum management. If revenues exceed what is necessary, a portion of the revenues could be returned to the treasury, which would need to determine how this revenue will be distributed; whereas if revenues fall short, supplementary national budget or licence fee funding would have to be used to maintain all necessary spectrum management functions. Spectrum managers could attempt to ensure that revenues would be sufficient by establishing minimum bid amounts; however, if these amounts were set too high, no bids would be received. Auctions may not be suitable under certain circumstances and may need to be supplemented by other means. Auctions would not be suitable, for example, if there are no competing applicants, if a spectrum right cannot be properly defined, or if the anticipated costs of the auction exceed the anticipated revenues.</w:t>
      </w:r>
    </w:p>
    <w:p w:rsidR="00CA3B52" w:rsidRPr="00CB6CBA" w:rsidRDefault="00CA3B52" w:rsidP="00CA3B52">
      <w:pPr>
        <w:pStyle w:val="Heading2"/>
        <w:rPr>
          <w:lang w:val="en-US"/>
        </w:rPr>
      </w:pPr>
      <w:bookmarkStart w:id="380" w:name="_Toc394385977"/>
      <w:bookmarkStart w:id="381" w:name="_Toc394386064"/>
      <w:bookmarkStart w:id="382" w:name="_Toc395503168"/>
      <w:bookmarkStart w:id="383" w:name="_Toc459746644"/>
      <w:bookmarkStart w:id="384" w:name="_Toc459792572"/>
      <w:bookmarkStart w:id="385" w:name="_Toc459793743"/>
      <w:bookmarkStart w:id="386" w:name="_Toc459793885"/>
      <w:bookmarkStart w:id="387" w:name="_Toc459970378"/>
      <w:bookmarkStart w:id="388" w:name="_Toc497033117"/>
      <w:bookmarkStart w:id="389" w:name="_Toc497033915"/>
      <w:bookmarkStart w:id="390" w:name="_Toc289868766"/>
      <w:bookmarkStart w:id="391" w:name="_Toc289868926"/>
      <w:bookmarkStart w:id="392" w:name="_Toc289932234"/>
      <w:bookmarkStart w:id="393" w:name="_Toc289933280"/>
      <w:bookmarkStart w:id="394" w:name="_Toc291852843"/>
      <w:bookmarkStart w:id="395" w:name="_Toc392515833"/>
      <w:r w:rsidRPr="00CB6CBA">
        <w:rPr>
          <w:lang w:val="en-US"/>
        </w:rPr>
        <w:t>2.3</w:t>
      </w:r>
      <w:r w:rsidRPr="00CB6CBA">
        <w:rPr>
          <w:lang w:val="en-US"/>
        </w:rPr>
        <w:tab/>
        <w:t>Economic approaches used to promote efficient national spectrum management</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CA3B52" w:rsidRPr="00CB6CBA" w:rsidRDefault="00CA3B52" w:rsidP="00CA3B52">
      <w:pPr>
        <w:rPr>
          <w:lang w:val="en-US"/>
        </w:rPr>
      </w:pPr>
      <w:r w:rsidRPr="00CB6CBA">
        <w:rPr>
          <w:lang w:val="en-US"/>
        </w:rPr>
        <w:t>Economic (market-based) approaches can be used to improve national spectrum management in a variety of ways. As the term implies, these approaches promote economic efficiency; they also promote technical and administrative efficiency.</w:t>
      </w:r>
    </w:p>
    <w:p w:rsidR="00CA3B52" w:rsidRPr="00CB6CBA" w:rsidRDefault="00CA3B52" w:rsidP="00CA3B52">
      <w:pPr>
        <w:rPr>
          <w:lang w:val="en-US"/>
        </w:rPr>
      </w:pPr>
      <w:r w:rsidRPr="00CB6CBA">
        <w:rPr>
          <w:lang w:val="en-US"/>
        </w:rPr>
        <w:t>For any resource, including the spectrum, the primary economic objective is to maximize the net benefits to society that can be generated from that resource; this is what economists refer to as an economically efficient distribution of the resource. Resources are said to be efficiently distributed, and the overall benefits to society maximized, when it is impossible to redistribute so as to make at least one individual better off without making another worse off. Such a distribution of resources is referred to as the “Pareto Optimality Criterion”, in honour of its developer, Italian economist Vilfredo Pareto (1848-1923). Strict adherence to this criterion in decision-making, however, greatly restricts the options available to spectrum managers because there will always be at least one person made worse off by any decision, hence, the less restrictive “Potential Pareto Optimality Criterion” is far more feasible. This criterion states that a redistribution of resources leads to an increase in overall social welfare and therefore should take place if those that are made better off by that redistribution could, in principle, fully compensate those that are made worse off and still receive greater benefits than was the case prior to the redistribution.</w:t>
      </w:r>
    </w:p>
    <w:p w:rsidR="00CA3B52" w:rsidRPr="00CB6CBA" w:rsidRDefault="00CA3B52" w:rsidP="00CA3B52">
      <w:pPr>
        <w:rPr>
          <w:lang w:val="en-US"/>
        </w:rPr>
      </w:pPr>
      <w:r w:rsidRPr="00CB6CBA">
        <w:rPr>
          <w:lang w:val="en-US"/>
        </w:rPr>
        <w:t>A second economic objective relevant to spectrum management is resource rent capture. Economists categorize the value of a resource, be it spectrum, oil, or timber, as a “rent”. Rights or privileges to extract oil from the ground have value to companies who can sell that oil to consumers or use it to fuel their vehicles, so too does a right or privilege to use radio spectrum have value to a spectrum user who can sell wireless services (a paging company, for example) or use wireless technologies in the provision of other goods or services (a taxi company, for example). The rent accruing to a resource, including a spectrum licence, can be quantified by the price that the resource would bring in an open market. If a spectrum licensee receives for free a licence that has economic value, the licensee has captured the rent accruing to that licence.</w:t>
      </w:r>
    </w:p>
    <w:p w:rsidR="00CA3B52" w:rsidRPr="00CB6CBA" w:rsidRDefault="00CA3B52" w:rsidP="00CA3B52">
      <w:pPr>
        <w:rPr>
          <w:lang w:val="en-US"/>
        </w:rPr>
      </w:pPr>
      <w:r w:rsidRPr="00CB6CBA">
        <w:rPr>
          <w:lang w:val="en-US"/>
        </w:rPr>
        <w:t xml:space="preserve">The value of spectrum is reflected in two inherent rents: scarcity rent and differential rent. Scarcity rent exists because demand for spectrum, at least in certain bands and at certain times, exceeds supply at zero price. Differential rent exists because each frequency band possesses specific propagation characteristics that make it suitable for specific services. Having access to the most suitable frequency band could minimize the cost of implementation and optimize the performance of a radio system. Bands that are suitable for many different services using inexpensive equipment are more valuable than bands that are suitable for only one type of service using costly equipment. </w:t>
      </w:r>
      <w:r w:rsidRPr="00CB6CBA">
        <w:rPr>
          <w:lang w:val="en-US"/>
        </w:rPr>
        <w:lastRenderedPageBreak/>
        <w:t>However, even for the former bands, their non-exclusive use in a particular geographic area may dramatically reduce their value. While some shared use of spectrum may be efficient, where transmitters operate at the same time in the same area and on the same frequency, they may cause mutual harmful interference, thus reducing the band’s value in that area at that time.</w:t>
      </w:r>
    </w:p>
    <w:p w:rsidR="00CA3B52" w:rsidRPr="00CB6CBA" w:rsidRDefault="00CA3B52" w:rsidP="00CA3B52">
      <w:pPr>
        <w:rPr>
          <w:lang w:val="en-US"/>
        </w:rPr>
      </w:pPr>
      <w:r w:rsidRPr="00CB6CBA">
        <w:rPr>
          <w:lang w:val="en-US"/>
        </w:rPr>
        <w:t>In theory, both the goals of Pareto Optimality and resource rent capture can be promoted by creating a free market in spectrum. In such a market, all spectrum assignments would consist of well-defined, legal rights of possession that could be transferred, aggregated and sub</w:t>
      </w:r>
      <w:r w:rsidRPr="00CB6CBA">
        <w:rPr>
          <w:lang w:val="en-US"/>
        </w:rPr>
        <w:noBreakHyphen/>
        <w:t>divided, and used for any purpose the owner saw fit, so long as this use did not interfere with the possession rights of other spectrum users. However, preventing interference among technically different services (for example, broadcast, mobile, fixed, and satellite) in a spectrum market would require extremely complex engineering analysis, and could lead to litigation among spectrum users. Further, most spectrum managers believe that there are other reasons for imposing some limitations on a spectrum market. These include the following:</w:t>
      </w:r>
    </w:p>
    <w:p w:rsidR="00CA3B52" w:rsidRPr="00CB6CBA" w:rsidRDefault="00CA3B52" w:rsidP="00CA3B52">
      <w:pPr>
        <w:pStyle w:val="enumlev1"/>
        <w:rPr>
          <w:lang w:val="en-US"/>
        </w:rPr>
      </w:pPr>
      <w:r w:rsidRPr="00CB6CBA">
        <w:rPr>
          <w:lang w:val="en-US"/>
        </w:rPr>
        <w:t>–</w:t>
      </w:r>
      <w:r w:rsidRPr="00CB6CBA">
        <w:rPr>
          <w:lang w:val="en-US"/>
        </w:rPr>
        <w:tab/>
        <w:t>Critical government, scientific research, and other socially desirable requirements may not be adequately satisfied.</w:t>
      </w:r>
    </w:p>
    <w:p w:rsidR="00CA3B52" w:rsidRPr="00CB6CBA" w:rsidRDefault="00CA3B52" w:rsidP="00CA3B52">
      <w:pPr>
        <w:pStyle w:val="enumlev1"/>
        <w:rPr>
          <w:lang w:val="en-US"/>
        </w:rPr>
      </w:pPr>
      <w:r w:rsidRPr="00CB6CBA">
        <w:rPr>
          <w:lang w:val="en-US"/>
        </w:rPr>
        <w:t>–</w:t>
      </w:r>
      <w:r w:rsidRPr="00CB6CBA">
        <w:rPr>
          <w:lang w:val="en-US"/>
        </w:rPr>
        <w:tab/>
        <w:t>Limits on spectrum aggregation by individual users may be desirable to preclude anti</w:t>
      </w:r>
      <w:r w:rsidRPr="00CB6CBA">
        <w:rPr>
          <w:lang w:val="en-US"/>
        </w:rPr>
        <w:noBreakHyphen/>
        <w:t>competitive market dominance by rich users.</w:t>
      </w:r>
    </w:p>
    <w:p w:rsidR="00CA3B52" w:rsidRPr="00CB6CBA" w:rsidRDefault="00CA3B52" w:rsidP="00CA3B52">
      <w:pPr>
        <w:pStyle w:val="enumlev1"/>
        <w:rPr>
          <w:lang w:val="en-US"/>
        </w:rPr>
      </w:pPr>
      <w:r w:rsidRPr="00CB6CBA">
        <w:rPr>
          <w:lang w:val="en-US"/>
        </w:rPr>
        <w:t>–</w:t>
      </w:r>
      <w:r w:rsidRPr="00CB6CBA">
        <w:rPr>
          <w:lang w:val="en-US"/>
        </w:rPr>
        <w:tab/>
        <w:t>By allocating certain bands to certain uses, whether on a unilateral, national basis or a multilateral, international basis, economies of scale in equipment production may be facilitated.</w:t>
      </w:r>
    </w:p>
    <w:p w:rsidR="00CA3B52" w:rsidRPr="00CB6CBA" w:rsidRDefault="00CA3B52" w:rsidP="00CA3B52">
      <w:pPr>
        <w:pStyle w:val="enumlev1"/>
        <w:rPr>
          <w:lang w:val="en-US"/>
        </w:rPr>
      </w:pPr>
      <w:r w:rsidRPr="00CB6CBA">
        <w:rPr>
          <w:lang w:val="en-US"/>
        </w:rPr>
        <w:t>–</w:t>
      </w:r>
      <w:r w:rsidRPr="00CB6CBA">
        <w:rPr>
          <w:lang w:val="en-US"/>
        </w:rPr>
        <w:tab/>
        <w:t>Internationally allocated bands for globally mobile spectrum users such as mobile users aboard ships and aircraft help to ensure that multiple transmitters and receivers for the same communications function are not needed on board.</w:t>
      </w:r>
    </w:p>
    <w:p w:rsidR="00CA3B52" w:rsidRPr="00CB6CBA" w:rsidRDefault="00CA3B52" w:rsidP="00CA3B52">
      <w:pPr>
        <w:rPr>
          <w:lang w:val="en-US"/>
        </w:rPr>
      </w:pPr>
      <w:r w:rsidRPr="00CB6CBA">
        <w:rPr>
          <w:lang w:val="en-US"/>
        </w:rPr>
        <w:t>Accordingly, national spectrum managers worldwide have usually chosen to forego an unfettered spectrum market and have allocated frequency bands to particular uses, with varying technical restrictions. However, in the absence of a property rights system, spectrum managers may wish to consider spectrum valuations of competing groups of users </w:t>
      </w:r>
      <w:r w:rsidRPr="00CB6CBA">
        <w:rPr>
          <w:rFonts w:ascii="Symbol" w:hAnsi="Symbol"/>
          <w:lang w:val="en-US"/>
        </w:rPr>
        <w:noBreakHyphen/>
      </w:r>
      <w:r w:rsidRPr="00CB6CBA">
        <w:rPr>
          <w:rFonts w:ascii="Symbol" w:hAnsi="Symbol"/>
          <w:lang w:val="en-US"/>
        </w:rPr>
        <w:t></w:t>
      </w:r>
      <w:r w:rsidRPr="00CB6CBA">
        <w:rPr>
          <w:lang w:val="en-US"/>
        </w:rPr>
        <w:t>broadcasters versus mobile telecommunications service providers, for example. Without a spectrum market, such valuations can be done only imperfectly, but using market proxies such as estimation of service revenues and impact of the service on gross domestic product and employment can be helpful in generating data for use in making allocation and other spectrum management decisions.</w:t>
      </w:r>
    </w:p>
    <w:p w:rsidR="00CA3B52" w:rsidRPr="00CB6CBA" w:rsidRDefault="00CA3B52" w:rsidP="00CA3B52">
      <w:pPr>
        <w:pStyle w:val="Heading3"/>
        <w:rPr>
          <w:lang w:val="en-US"/>
        </w:rPr>
      </w:pPr>
      <w:bookmarkStart w:id="396" w:name="_Toc394385978"/>
      <w:bookmarkStart w:id="397" w:name="_Toc394386065"/>
      <w:bookmarkStart w:id="398" w:name="_Toc395503169"/>
      <w:bookmarkStart w:id="399" w:name="_Toc459746645"/>
      <w:bookmarkStart w:id="400" w:name="_Toc459792573"/>
      <w:bookmarkStart w:id="401" w:name="_Toc459793744"/>
      <w:bookmarkStart w:id="402" w:name="_Toc459793886"/>
      <w:bookmarkStart w:id="403" w:name="_Toc459970379"/>
      <w:bookmarkStart w:id="404" w:name="_Toc497033118"/>
      <w:bookmarkStart w:id="405" w:name="_Toc497033916"/>
      <w:bookmarkStart w:id="406" w:name="_Toc289868767"/>
      <w:bookmarkStart w:id="407" w:name="_Toc289868927"/>
      <w:bookmarkStart w:id="408" w:name="_Toc289932235"/>
      <w:bookmarkStart w:id="409" w:name="_Toc289933281"/>
      <w:bookmarkStart w:id="410" w:name="_Toc291852844"/>
      <w:bookmarkStart w:id="411" w:name="_Toc392515834"/>
      <w:r w:rsidRPr="00CB6CBA">
        <w:rPr>
          <w:lang w:val="en-US"/>
        </w:rPr>
        <w:t>2.3.1</w:t>
      </w:r>
      <w:r w:rsidRPr="00CB6CBA">
        <w:rPr>
          <w:lang w:val="en-US"/>
        </w:rPr>
        <w:tab/>
        <w:t>Spectrum assignment methods</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CA3B52" w:rsidRPr="00CB6CBA" w:rsidRDefault="00CA3B52" w:rsidP="00CA3B52">
      <w:pPr>
        <w:rPr>
          <w:lang w:val="en-US"/>
        </w:rPr>
      </w:pPr>
      <w:r w:rsidRPr="00CB6CBA">
        <w:rPr>
          <w:lang w:val="en-US"/>
        </w:rPr>
        <w:t>After spectrum is allocated to a particular use, it must be assigned to individual users. If demand for a particular frequency band in a particular geographic area is limited, there will be no necessity to resolve mutually exclusive (competing) requests for that band. Accordingly, licences may simply be assigned to applicants upon request, provided that applicants adhere to certain technical standards and regulations. However, if mutually exclusive spectrum requests exist, an assignment method must be used to choose from among competing applicants. Three methods of doing this are comparative processes (such as comparative hearings), lotteries, and auctions.</w:t>
      </w:r>
    </w:p>
    <w:p w:rsidR="00CA3B52" w:rsidRPr="00CB6CBA" w:rsidRDefault="00CA3B52" w:rsidP="00CA3B52">
      <w:pPr>
        <w:pStyle w:val="Heading4"/>
        <w:rPr>
          <w:lang w:val="en-US"/>
        </w:rPr>
      </w:pPr>
      <w:bookmarkStart w:id="412" w:name="_Toc459746646"/>
      <w:bookmarkStart w:id="413" w:name="_Toc459792574"/>
      <w:bookmarkStart w:id="414" w:name="_Toc459793745"/>
      <w:bookmarkStart w:id="415" w:name="_Toc459793887"/>
      <w:bookmarkStart w:id="416" w:name="_Toc497033119"/>
      <w:bookmarkStart w:id="417" w:name="_Toc497033917"/>
      <w:r w:rsidRPr="00CB6CBA">
        <w:rPr>
          <w:lang w:val="en-US"/>
        </w:rPr>
        <w:t>2.3.1.1</w:t>
      </w:r>
      <w:r w:rsidRPr="00CB6CBA">
        <w:rPr>
          <w:lang w:val="en-US"/>
        </w:rPr>
        <w:tab/>
        <w:t>Non-market-based assignment approaches: comparative processes and lotteries</w:t>
      </w:r>
      <w:bookmarkEnd w:id="412"/>
      <w:bookmarkEnd w:id="413"/>
      <w:bookmarkEnd w:id="414"/>
      <w:bookmarkEnd w:id="415"/>
      <w:bookmarkEnd w:id="416"/>
      <w:bookmarkEnd w:id="417"/>
    </w:p>
    <w:p w:rsidR="00CA3B52" w:rsidRPr="00CB6CBA" w:rsidRDefault="00CA3B52" w:rsidP="00CA3B52">
      <w:pPr>
        <w:rPr>
          <w:lang w:val="en-US"/>
        </w:rPr>
      </w:pPr>
      <w:r w:rsidRPr="00CB6CBA">
        <w:rPr>
          <w:lang w:val="en-US"/>
        </w:rPr>
        <w:t xml:space="preserve">In a comparative process, the qualifications of each of the competing spectrum applicants are formally compared based on established and published national criteria. (Typically, these criteria might include population to be served, quality of service, and speed </w:t>
      </w:r>
      <w:r>
        <w:rPr>
          <w:lang w:val="en-US"/>
        </w:rPr>
        <w:t>of service implementation.) The </w:t>
      </w:r>
      <w:r w:rsidRPr="00CB6CBA">
        <w:rPr>
          <w:lang w:val="en-US"/>
        </w:rPr>
        <w:t xml:space="preserve">spectrum management authority determines who is the best qualified applicant to use the spectrum and awards the licence. However, comparative processes can be very time-consuming and resource-intensive, may not assign spectrum to those who value it most highly, and may not generate any revenues unless licence fees and/or application fees are charged. Additionally, </w:t>
      </w:r>
      <w:r w:rsidRPr="00CB6CBA">
        <w:rPr>
          <w:lang w:val="en-US"/>
        </w:rPr>
        <w:lastRenderedPageBreak/>
        <w:t>comparative processes are often decided on the basis of minor differences among applicants, and may cause the decision to be contested by unsuccessful applicants.</w:t>
      </w:r>
    </w:p>
    <w:p w:rsidR="00CA3B52" w:rsidRPr="00CB6CBA" w:rsidRDefault="00CA3B52" w:rsidP="00CA3B52">
      <w:pPr>
        <w:rPr>
          <w:lang w:val="en-US"/>
        </w:rPr>
      </w:pPr>
      <w:r w:rsidRPr="00CB6CBA">
        <w:rPr>
          <w:lang w:val="en-US"/>
        </w:rPr>
        <w:t>In a lottery, licensees are selected at random from among all competing spectrum applicants. Lotteries can decrease some aspects of the administrative burden entailed in comparative hearings, such as legal expenses, but may create a different kind of administrative burden by encouraging more applications to be filed. Additionally, lotteries do not assign spectrum to those who value it most highly, except by chance, lead to significant transaction costs, and again generate no revenues, unless fees are attached to the licence assigned by lottery or an entry fee to participate in the lottery is charged. Rather, lottery winners in many cases transfer their spectrum rights to other parties, thus capturing the resource rents for themselves. Thus lotteries, without significant application fees or other measures that guarantee the applicant’s intent to provide radio services, tend to encourage speculation.</w:t>
      </w:r>
    </w:p>
    <w:p w:rsidR="00CA3B52" w:rsidRPr="00CB6CBA" w:rsidRDefault="00CA3B52" w:rsidP="00CA3B52">
      <w:pPr>
        <w:rPr>
          <w:lang w:val="en-US"/>
        </w:rPr>
      </w:pPr>
      <w:r w:rsidRPr="00CB6CBA">
        <w:rPr>
          <w:lang w:val="en-US"/>
        </w:rPr>
        <w:t>While comparative processes and lotteries are not market-based assignment methods, market forces can be brought to bear after the spectrum has been assigned through the establishment of a secondary market (see § 2.3.2).</w:t>
      </w:r>
    </w:p>
    <w:p w:rsidR="00CA3B52" w:rsidRPr="00CB6CBA" w:rsidRDefault="00CA3B52" w:rsidP="00CA3B52">
      <w:pPr>
        <w:pStyle w:val="Heading4"/>
        <w:rPr>
          <w:lang w:val="en-US"/>
        </w:rPr>
      </w:pPr>
      <w:bookmarkStart w:id="418" w:name="_Toc459746647"/>
      <w:bookmarkStart w:id="419" w:name="_Toc459792575"/>
      <w:bookmarkStart w:id="420" w:name="_Toc459793746"/>
      <w:bookmarkStart w:id="421" w:name="_Toc459793888"/>
      <w:bookmarkStart w:id="422" w:name="_Toc497033120"/>
      <w:bookmarkStart w:id="423" w:name="_Toc497033918"/>
      <w:r w:rsidRPr="00CB6CBA">
        <w:rPr>
          <w:lang w:val="en-US"/>
        </w:rPr>
        <w:t>2.3.1.2</w:t>
      </w:r>
      <w:r w:rsidRPr="00CB6CBA">
        <w:rPr>
          <w:lang w:val="en-US"/>
        </w:rPr>
        <w:tab/>
        <w:t>Market-based assignment approach: auctions</w:t>
      </w:r>
      <w:bookmarkEnd w:id="418"/>
      <w:bookmarkEnd w:id="419"/>
      <w:bookmarkEnd w:id="420"/>
      <w:bookmarkEnd w:id="421"/>
      <w:bookmarkEnd w:id="422"/>
      <w:bookmarkEnd w:id="423"/>
    </w:p>
    <w:p w:rsidR="00CA3B52" w:rsidRPr="00CB6CBA" w:rsidRDefault="00CA3B52" w:rsidP="00CA3B52">
      <w:pPr>
        <w:rPr>
          <w:lang w:val="en-US"/>
        </w:rPr>
      </w:pPr>
      <w:r w:rsidRPr="00CB6CBA">
        <w:rPr>
          <w:lang w:val="en-US"/>
        </w:rPr>
        <w:t>In an auction, licences are awarded by bidding among competing spectrum applicants. Auctions award licences to those who value them most highly while simultaneously generating revenues for the spectrum authority. However, as is the case with an unrestricted spectrum market, auctions may raise competitive concerns if not combined with an active competition policy and limits on how much spectrum an entity may purchase. Market forces do not ensure economic efficiency or maximize consumer welfare in markets that are not competitive because a dominant service provider or group of providers have market power. Additionally, auctions may fail to adequately provide certain socially desirable services or distribute licences to certain groups, such as small businesses (if that is an objective). However, “bidding credits” (discounts) and installment payments to selected entities may alleviate these problems. In fact, entities that would have little chance to win in a comparative process or a lottery may be successful in an auction if bidding credits are significant and if installment payments permit licence costs to be paid over a number of years.</w:t>
      </w:r>
    </w:p>
    <w:p w:rsidR="00CA3B52" w:rsidRPr="00CB6CBA" w:rsidRDefault="00CA3B52" w:rsidP="00CA3B52">
      <w:pPr>
        <w:rPr>
          <w:lang w:val="en-US"/>
        </w:rPr>
      </w:pPr>
      <w:r w:rsidRPr="00CB6CBA">
        <w:rPr>
          <w:lang w:val="en-US"/>
        </w:rPr>
        <w:t>Auctions and lotteries may significantly decrease the administrative costs and time associated with the spectrum assignment process and therefore improve overall administrative efficiency in contrast to comparative processes.</w:t>
      </w:r>
    </w:p>
    <w:p w:rsidR="00CA3B52" w:rsidRPr="00CB6CBA" w:rsidRDefault="00CA3B52" w:rsidP="00CA3B52">
      <w:pPr>
        <w:pStyle w:val="Heading3"/>
        <w:rPr>
          <w:lang w:val="en-US"/>
        </w:rPr>
      </w:pPr>
      <w:bookmarkStart w:id="424" w:name="_Toc394385979"/>
      <w:bookmarkStart w:id="425" w:name="_Toc394386066"/>
      <w:bookmarkStart w:id="426" w:name="_Toc395503170"/>
      <w:bookmarkStart w:id="427" w:name="_Toc459746648"/>
      <w:bookmarkStart w:id="428" w:name="_Toc459792576"/>
      <w:bookmarkStart w:id="429" w:name="_Toc459793747"/>
      <w:bookmarkStart w:id="430" w:name="_Toc459793889"/>
      <w:bookmarkStart w:id="431" w:name="_Toc459970380"/>
      <w:bookmarkStart w:id="432" w:name="_Toc497033121"/>
      <w:bookmarkStart w:id="433" w:name="_Toc497033919"/>
      <w:bookmarkStart w:id="434" w:name="_Toc289868768"/>
      <w:bookmarkStart w:id="435" w:name="_Toc289868928"/>
      <w:bookmarkStart w:id="436" w:name="_Toc289932236"/>
      <w:bookmarkStart w:id="437" w:name="_Toc289933282"/>
      <w:bookmarkStart w:id="438" w:name="_Toc291852845"/>
      <w:bookmarkStart w:id="439" w:name="_Toc392515835"/>
      <w:r w:rsidRPr="00CB6CBA">
        <w:rPr>
          <w:lang w:val="en-US"/>
        </w:rPr>
        <w:t>2.3.2</w:t>
      </w:r>
      <w:r w:rsidRPr="00CB6CBA">
        <w:rPr>
          <w:lang w:val="en-US"/>
        </w:rPr>
        <w:tab/>
        <w:t>Transferable and flexible spectrum rights</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rsidR="00CA3B52" w:rsidRPr="00CB6CBA" w:rsidRDefault="00CA3B52" w:rsidP="00CA3B52">
      <w:pPr>
        <w:rPr>
          <w:lang w:val="en-US"/>
        </w:rPr>
      </w:pPr>
      <w:r w:rsidRPr="00CB6CBA">
        <w:rPr>
          <w:lang w:val="en-US"/>
        </w:rPr>
        <w:t>While auctions are the assignment mechanism best suited to providing an initial economically efficient distribution of the spectrum resource, they will not ensure that spectrum continues to be used in an economically efficient manner in the future. As with other resources, economists recommend that spectrum users be allowed to transfer their spectrum rights (whether assigned by auction or some other assignment mechanism) and that spectrum users have a high degree of flexibility in the choice of the consumer services that they provide with their spectrum.</w:t>
      </w:r>
    </w:p>
    <w:p w:rsidR="00CA3B52" w:rsidRPr="00CB6CBA" w:rsidRDefault="00CA3B52" w:rsidP="00CA3B52">
      <w:pPr>
        <w:rPr>
          <w:lang w:val="en-US"/>
        </w:rPr>
      </w:pPr>
      <w:r w:rsidRPr="00CB6CBA">
        <w:rPr>
          <w:lang w:val="en-US"/>
        </w:rPr>
        <w:t>The least restrictive form of transferable property rights permits unlimited technical flexibility without regard to an allocation structure, provided that harmful interference is not caused outside the assigned band. This system, if applied to all frequency bands, would result in an unfettered spectrum market. However, as discussed in § 2.3, a totally free market spectrum approach has not been implemented by any country.</w:t>
      </w:r>
    </w:p>
    <w:p w:rsidR="00CA3B52" w:rsidRPr="00CB6CBA" w:rsidRDefault="00CA3B52" w:rsidP="00CA3B52">
      <w:pPr>
        <w:rPr>
          <w:lang w:val="en-US"/>
        </w:rPr>
      </w:pPr>
      <w:r w:rsidRPr="00CB6CBA">
        <w:rPr>
          <w:lang w:val="en-US"/>
        </w:rPr>
        <w:t xml:space="preserve">The most restrictive form of property rights permits transferability only within the confines of a given allocation and only within strictly defined technical parameters. This system has the advantages of ensuring that the entity within the allocated service who values a particular frequency </w:t>
      </w:r>
      <w:r w:rsidRPr="00CB6CBA">
        <w:rPr>
          <w:lang w:val="en-US"/>
        </w:rPr>
        <w:lastRenderedPageBreak/>
        <w:t>assignment the most will be able to use that assignment, while minimizing the possibility of interference. However, by restricting technical flexibility to ensure interference control, economic efficiency may also be significantly reduced. Further, if property rights are simply vested in incumbent licensees, any resource rent accruing to a particular frequency assignment is captured by the incumbent, rather than the spectrum management authority, unless the rents have been captured initially via an auction or through licence fees.</w:t>
      </w:r>
    </w:p>
    <w:p w:rsidR="00CA3B52" w:rsidRPr="00CB6CBA" w:rsidRDefault="00CA3B52" w:rsidP="00CA3B52">
      <w:pPr>
        <w:rPr>
          <w:lang w:val="en-US"/>
        </w:rPr>
      </w:pPr>
      <w:r w:rsidRPr="00CB6CBA">
        <w:rPr>
          <w:lang w:val="en-US"/>
        </w:rPr>
        <w:t>The middle course with respect to property rights, and the approach used in some bands by New Zealand, the United States of America, and Australia, is to specify emission rights within a given allocation, which may be broadly defined, for example, broadcasting or mobile radio. This approach can lead to an increase in economic efficiency both because licensees are allowed to adjust their use of inputs in accordance with cost and demand considerations; e.g. a mobile radio provider may be able to satisfy increased demand by using a different modulation technique, and because licensees may freely transfer their frequency rights in whole or in part to entities that value those rights more highly. Hence a tradable spectrum rights system provides licensees with the full incentive to use their spectrum in a technically efficient manner. However, a disadvantage of this approach is that it may increase the potential for harmful interference among licensees because technical inputs are not specified. Specifying licensees’ emission rights rather than specifying what inputs licensees must use places a heavier interference control burden on licensees. However, licensees can be allowed to negotiate their emission rights; e.g., one licensee may agree to accept additional interference in exchange for monetary compensation. Dependent upon how often disputes requiring resolution by the spectrum management authority or the courts arise, permitting such negotiations may prove advantageous or disadvantageous.</w:t>
      </w:r>
    </w:p>
    <w:p w:rsidR="00CA3B52" w:rsidRPr="00CB6CBA" w:rsidRDefault="00CA3B52" w:rsidP="00CA3B52">
      <w:pPr>
        <w:pStyle w:val="Heading3"/>
        <w:rPr>
          <w:lang w:val="en-US"/>
        </w:rPr>
      </w:pPr>
      <w:bookmarkStart w:id="440" w:name="_Toc394385980"/>
      <w:bookmarkStart w:id="441" w:name="_Toc394386067"/>
      <w:bookmarkStart w:id="442" w:name="_Toc395503171"/>
      <w:bookmarkStart w:id="443" w:name="_Toc459746649"/>
      <w:bookmarkStart w:id="444" w:name="_Toc459792577"/>
      <w:bookmarkStart w:id="445" w:name="_Toc459793748"/>
      <w:bookmarkStart w:id="446" w:name="_Toc459793890"/>
      <w:bookmarkStart w:id="447" w:name="_Toc459970381"/>
      <w:bookmarkStart w:id="448" w:name="_Toc497033122"/>
      <w:bookmarkStart w:id="449" w:name="_Toc497033920"/>
      <w:bookmarkStart w:id="450" w:name="_Toc289868769"/>
      <w:bookmarkStart w:id="451" w:name="_Toc289868929"/>
      <w:bookmarkStart w:id="452" w:name="_Toc289932237"/>
      <w:bookmarkStart w:id="453" w:name="_Toc289933283"/>
      <w:bookmarkStart w:id="454" w:name="_Toc291852846"/>
      <w:bookmarkStart w:id="455" w:name="_Toc392515836"/>
      <w:r w:rsidRPr="00CB6CBA">
        <w:rPr>
          <w:lang w:val="en-US"/>
        </w:rPr>
        <w:t>2.3.3</w:t>
      </w:r>
      <w:r w:rsidRPr="00CB6CBA">
        <w:rPr>
          <w:lang w:val="en-US"/>
        </w:rPr>
        <w:tab/>
        <w:t>Advantages and disadvantages of auctions and transferable spectrum rights</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rsidR="00CA3B52" w:rsidRPr="00CB6CBA" w:rsidRDefault="00CA3B52" w:rsidP="00CA3B52">
      <w:pPr>
        <w:rPr>
          <w:lang w:val="en-US"/>
        </w:rPr>
      </w:pPr>
      <w:r w:rsidRPr="00CB6CBA">
        <w:rPr>
          <w:lang w:val="en-US"/>
        </w:rPr>
        <w:t>Auctions have the advantages of awarding licences to those who value them most highly, while simultaneously generating revenues. When auctions are used to assign licences within a given allocation structure, licences are awarded to those who value them the most only within the confines of the allocation structure. For example, if a particular block of spectrum in a particular area is valued most highly by broadcasters but is allocated to mobile radio, revenues and the economic benefits generated from that spectrum will be less than if broadcasters were allowed to participate in the auction. Broadening the range of uses permitted under an auctioned licence also allows spectrum to be used for those services most in demand. However, broadly defining services has the potential disadvantage of increasing the cost of interference coordination between licensees in adjacent spectrum and areas. These arguments regarding allocation structure apply equally to a system of transferable spectrum rights after the initial spectrum assignment.</w:t>
      </w:r>
    </w:p>
    <w:p w:rsidR="00CA3B52" w:rsidRPr="00CB6CBA" w:rsidRDefault="00CA3B52" w:rsidP="00CA3B52">
      <w:pPr>
        <w:rPr>
          <w:lang w:val="en-US"/>
        </w:rPr>
      </w:pPr>
      <w:r w:rsidRPr="00CB6CBA">
        <w:rPr>
          <w:lang w:val="en-US"/>
        </w:rPr>
        <w:t>Other expected benefits associated with auctions may be fairness, transparency, objectiveness, and the speed with which licenses can be awarded. Auctions can reduce the opportunities for favouritism and corruption in the competition for spectrum, promote investment, and promote technological advancement.</w:t>
      </w:r>
    </w:p>
    <w:p w:rsidR="00CA3B52" w:rsidRPr="00CB6CBA" w:rsidRDefault="00CA3B52" w:rsidP="00CA3B52">
      <w:pPr>
        <w:rPr>
          <w:lang w:val="en-US"/>
        </w:rPr>
      </w:pPr>
      <w:r w:rsidRPr="00CB6CBA">
        <w:rPr>
          <w:lang w:val="en-US"/>
        </w:rPr>
        <w:t>However, in order to promote competition, it may be necessary to impose additional safeguards, for auctioned services. For example, in some situations some or all of the potential bidders may be dominant service providers who are endeavouring to strengthen their monopoly or oligopoly (limited number of competitors) positions. Restrictions on eligibility to participate in an auction or limits on the amount of spectrum that any entity may win can alleviate this problem, although this may limit the number of participants.</w:t>
      </w:r>
    </w:p>
    <w:p w:rsidR="00CA3B52" w:rsidRPr="00CB6CBA" w:rsidRDefault="00CA3B52" w:rsidP="00CA3B52">
      <w:pPr>
        <w:rPr>
          <w:lang w:val="en-US"/>
        </w:rPr>
      </w:pPr>
      <w:r w:rsidRPr="00CB6CBA">
        <w:rPr>
          <w:lang w:val="en-US"/>
        </w:rPr>
        <w:t xml:space="preserve">Finally, auctions may be inefficient or impractical for certain services or situations. One case is where there is no competition for spectrum. This could occur, for example, with fixed microwave systems where there are many individual links with narrow beamwidths and very exact locations. A second case is where, providers of socially desirable spectrum-using services such as national </w:t>
      </w:r>
      <w:r w:rsidRPr="00CB6CBA">
        <w:rPr>
          <w:lang w:val="en-US"/>
        </w:rPr>
        <w:lastRenderedPageBreak/>
        <w:t>defence or scientific research may have difficulties in placing a financial value on spectrum which could lead to those services being under-provided to society if all providers of spectrum-using services faced auctions. While ideally these services could be funded to allow participation in spectrum auctions, the prospect of this happening in any country in the near future appears to be remote. Finally, if auctions to license global or regional satellite systems were held in multiple countries, it is likely that potential service providers would have to expend significant resources simply to participate in each auction, and such a cumbersome process could lead to delays in implementing new and innovative services. In addition, sequential auctions would create significant uncertainty for potential service providers because such providers would be unsure that they would win auctions in all countries in which they wish to provide service. If this uncertainty were sufficiently severe, it could impede the provision and the development of international satellite systems under current ITU Radio Regulations.</w:t>
      </w:r>
    </w:p>
    <w:p w:rsidR="00CA3B52" w:rsidRPr="00CB6CBA" w:rsidRDefault="00CA3B52" w:rsidP="00CA3B52">
      <w:pPr>
        <w:pStyle w:val="Heading3"/>
        <w:rPr>
          <w:lang w:val="en-US"/>
        </w:rPr>
      </w:pPr>
      <w:bookmarkStart w:id="456" w:name="_Toc394385982"/>
      <w:bookmarkStart w:id="457" w:name="_Toc394386069"/>
      <w:bookmarkStart w:id="458" w:name="_Toc395503173"/>
      <w:bookmarkStart w:id="459" w:name="_Toc459746650"/>
      <w:bookmarkStart w:id="460" w:name="_Toc459792578"/>
      <w:bookmarkStart w:id="461" w:name="_Toc459793749"/>
      <w:bookmarkStart w:id="462" w:name="_Toc459793891"/>
      <w:bookmarkStart w:id="463" w:name="_Toc459970382"/>
      <w:bookmarkStart w:id="464" w:name="_Toc497033123"/>
      <w:bookmarkStart w:id="465" w:name="_Toc497033921"/>
      <w:bookmarkStart w:id="466" w:name="_Toc289868770"/>
      <w:bookmarkStart w:id="467" w:name="_Toc289868930"/>
      <w:bookmarkStart w:id="468" w:name="_Toc289932238"/>
      <w:bookmarkStart w:id="469" w:name="_Toc289933284"/>
      <w:bookmarkStart w:id="470" w:name="_Toc291852847"/>
      <w:bookmarkStart w:id="471" w:name="_Toc392515837"/>
      <w:r w:rsidRPr="00CB6CBA">
        <w:rPr>
          <w:lang w:val="en-US"/>
        </w:rPr>
        <w:t>2.3.4</w:t>
      </w:r>
      <w:r w:rsidRPr="00CB6CBA">
        <w:rPr>
          <w:lang w:val="en-US"/>
        </w:rPr>
        <w:tab/>
        <w:t>Licence fees</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rsidR="00CA3B52" w:rsidRPr="00CB6CBA" w:rsidRDefault="00CA3B52" w:rsidP="00CA3B52">
      <w:pPr>
        <w:rPr>
          <w:b/>
          <w:lang w:val="en-US"/>
        </w:rPr>
      </w:pPr>
      <w:r w:rsidRPr="00CB6CBA">
        <w:rPr>
          <w:lang w:val="en-US"/>
        </w:rPr>
        <w:t>Licence fees represent another way which can be used to achieve some of the spectrum manager’s goals and objectives.</w:t>
      </w:r>
    </w:p>
    <w:p w:rsidR="00CA3B52" w:rsidRPr="00CB6CBA" w:rsidRDefault="00CA3B52" w:rsidP="00CA3B52">
      <w:pPr>
        <w:rPr>
          <w:lang w:val="en-US"/>
        </w:rPr>
      </w:pPr>
      <w:r w:rsidRPr="00CB6CBA">
        <w:rPr>
          <w:lang w:val="en-US"/>
        </w:rPr>
        <w:t>Revenues may be generated and at least some of the resource rent that may exist for use of a particular frequency band in a particular area may be captured by establishing licence fees. (In some administrations fees may cover concessions, authorizations or permissions.) Further, a simple fee structure, such as charging for the direct cost of processing licence applications or charging for the amount of spectrum used, may receive public support because it appears equitable. In addition to auctions, licence fees can also encourage radiocommunications users to make an economically rational choice regarding spectrum use.</w:t>
      </w:r>
    </w:p>
    <w:p w:rsidR="00CA3B52" w:rsidRPr="00CB6CBA" w:rsidRDefault="00CA3B52" w:rsidP="00CA3B52">
      <w:pPr>
        <w:rPr>
          <w:lang w:val="en-US"/>
        </w:rPr>
      </w:pPr>
      <w:r w:rsidRPr="00CB6CBA">
        <w:rPr>
          <w:lang w:val="en-US"/>
        </w:rPr>
        <w:t>Licence fees range in complexity from a simple table by service, to a charge per frequency per station for each service, to complex formulas involving a number of variables. Most countries do not charge government entities for spectrum use, and many also do not charge for other public interest uses, such as by non-profit organizations; however, Australia, Canada, and the United Kingdom, among other countries, do charge government entities.</w:t>
      </w:r>
    </w:p>
    <w:p w:rsidR="00CA3B52" w:rsidRPr="00CB6CBA" w:rsidRDefault="00CA3B52" w:rsidP="00CA3B52">
      <w:pPr>
        <w:rPr>
          <w:lang w:val="en-US"/>
        </w:rPr>
      </w:pPr>
      <w:r w:rsidRPr="00CB6CBA">
        <w:rPr>
          <w:lang w:val="en-US"/>
        </w:rPr>
        <w:t>Licence fees can be efficiently implemented using the following principles:</w:t>
      </w:r>
    </w:p>
    <w:p w:rsidR="00CA3B52" w:rsidRPr="00CB6CBA" w:rsidRDefault="00CA3B52" w:rsidP="00CA3B52">
      <w:pPr>
        <w:pStyle w:val="enumlev1"/>
        <w:rPr>
          <w:lang w:val="en-US"/>
        </w:rPr>
      </w:pPr>
      <w:r w:rsidRPr="00CB6CBA">
        <w:rPr>
          <w:lang w:val="en-US"/>
        </w:rPr>
        <w:t>–</w:t>
      </w:r>
      <w:r w:rsidRPr="00CB6CBA">
        <w:rPr>
          <w:lang w:val="en-US"/>
        </w:rPr>
        <w:tab/>
        <w:t>Decisions and changes related to fee collection should be undertaken in an open manner through consultation with users and industry.</w:t>
      </w:r>
    </w:p>
    <w:p w:rsidR="00CA3B52" w:rsidRPr="00CB6CBA" w:rsidRDefault="00CA3B52" w:rsidP="00CA3B52">
      <w:pPr>
        <w:pStyle w:val="enumlev1"/>
        <w:rPr>
          <w:lang w:val="en-US"/>
        </w:rPr>
      </w:pPr>
      <w:r w:rsidRPr="00CB6CBA">
        <w:rPr>
          <w:lang w:val="en-US"/>
        </w:rPr>
        <w:t>–</w:t>
      </w:r>
      <w:r w:rsidRPr="00CB6CBA">
        <w:rPr>
          <w:lang w:val="en-US"/>
        </w:rPr>
        <w:tab/>
        <w:t>Fees should take into consideration, to the maximum extent possible, the value of the spectrum.</w:t>
      </w:r>
    </w:p>
    <w:p w:rsidR="00CA3B52" w:rsidRPr="00CB6CBA" w:rsidRDefault="00CA3B52" w:rsidP="00CA3B52">
      <w:pPr>
        <w:pStyle w:val="enumlev1"/>
        <w:rPr>
          <w:lang w:val="en-US"/>
        </w:rPr>
      </w:pPr>
      <w:r w:rsidRPr="00CB6CBA">
        <w:rPr>
          <w:lang w:val="en-US"/>
        </w:rPr>
        <w:t>–</w:t>
      </w:r>
      <w:r w:rsidRPr="00CB6CBA">
        <w:rPr>
          <w:lang w:val="en-US"/>
        </w:rPr>
        <w:tab/>
        <w:t>Fee mechanisms should be easy to understand and implement.</w:t>
      </w:r>
    </w:p>
    <w:p w:rsidR="00CA3B52" w:rsidRPr="00CB6CBA" w:rsidRDefault="00CA3B52" w:rsidP="00CA3B52">
      <w:pPr>
        <w:pStyle w:val="enumlev1"/>
        <w:rPr>
          <w:lang w:val="en-US"/>
        </w:rPr>
      </w:pPr>
      <w:r w:rsidRPr="00CB6CBA">
        <w:rPr>
          <w:lang w:val="en-US"/>
        </w:rPr>
        <w:t>–</w:t>
      </w:r>
      <w:r w:rsidRPr="00CB6CBA">
        <w:rPr>
          <w:lang w:val="en-US"/>
        </w:rPr>
        <w:tab/>
        <w:t>Fees should not be an impediment to innovation and use of new radio technologies, or to competition.</w:t>
      </w:r>
    </w:p>
    <w:p w:rsidR="00CA3B52" w:rsidRPr="00CB6CBA" w:rsidRDefault="00CA3B52" w:rsidP="00CA3B52">
      <w:pPr>
        <w:pStyle w:val="enumlev1"/>
        <w:rPr>
          <w:lang w:val="en-US"/>
        </w:rPr>
      </w:pPr>
      <w:r w:rsidRPr="00CB6CBA">
        <w:rPr>
          <w:lang w:val="en-US"/>
        </w:rPr>
        <w:t>–</w:t>
      </w:r>
      <w:r w:rsidRPr="00CB6CBA">
        <w:rPr>
          <w:lang w:val="en-US"/>
        </w:rPr>
        <w:tab/>
        <w:t>Fees should support the attainment of the spectrum manager’s national goals and objectives.</w:t>
      </w:r>
    </w:p>
    <w:p w:rsidR="00CA3B52" w:rsidRPr="00CB6CBA" w:rsidRDefault="00CA3B52" w:rsidP="00CA3B52">
      <w:pPr>
        <w:rPr>
          <w:lang w:val="en-US"/>
        </w:rPr>
      </w:pPr>
      <w:r w:rsidRPr="00CB6CBA">
        <w:rPr>
          <w:lang w:val="en-US"/>
        </w:rPr>
        <w:t>The basic types of fees are those based on the spectrum management costs for processing licence applications, revenues derived from licensee’</w:t>
      </w:r>
      <w:r>
        <w:rPr>
          <w:lang w:val="en-US"/>
        </w:rPr>
        <w:t>s</w:t>
      </w:r>
      <w:r w:rsidRPr="00CB6CBA">
        <w:rPr>
          <w:lang w:val="en-US"/>
        </w:rPr>
        <w:t xml:space="preserve"> use of the frequency spectrum, and incentive fee formulas. Spectrum management fees are based on direct costs incurred by spectrum managers in processing applications, and may also reflect indirect spectrum management costs; i.e., overhead costs. In order for national spectrum management to be conducted, resources are needed to cover the full range of spectrum management functions (see Chapter 1). As stated in § 2.2.4.2, fees may be a source of this funding. With this intent, fees can be linked to specific spectrum management activity, the overall annual funding requirement or to other spectrum management objectives. These fees can be charged for the initial application and for application renewals. Fees can also be charged annually in order to maintain the spectrum management activity since spectrum users continue to </w:t>
      </w:r>
      <w:r w:rsidRPr="00CB6CBA">
        <w:rPr>
          <w:lang w:val="en-US"/>
        </w:rPr>
        <w:lastRenderedPageBreak/>
        <w:t>benefit from the activity of the national spectrum manager through monitoring, database maintenance, ITU representation, etc. even after their applications have been approved. Individual licensees are generally grouped into licence categories for the purpose of setting fees. Revenue-based fees are proportional to the gross income the licensees generate from use of the spectrum. Incentive fee formulas take into account the value of the spectrum.</w:t>
      </w:r>
    </w:p>
    <w:p w:rsidR="00CA3B52" w:rsidRPr="00CB6CBA" w:rsidRDefault="00CA3B52" w:rsidP="00CA3B52">
      <w:pPr>
        <w:rPr>
          <w:lang w:val="en-US"/>
        </w:rPr>
      </w:pPr>
      <w:r w:rsidRPr="00CB6CBA">
        <w:rPr>
          <w:lang w:val="en-US"/>
        </w:rPr>
        <w:t>Another option is to charge fees based on the “opportunity cost” of spectrum use. In an auction, the bidder with the highest willingness to pay will win, with a bid that is just above the valuation of the bidder with the second highest willingness to pay. This second highest valuation represents the best alternative use, or opportunity cost, of the auctioned item. Therefore, in a situation in which the spectrum management authority must set spectrum fees administratively, an economically efficient distribution can be ensured if the fee is set equal to this opportunity cost/market value. However, to calculate the opportunity cost accurately, a market must be simulated to determine spectrum users’ willingness to pay. To do this with absolute precision is extremely difficult, nonetheless an approxi</w:t>
      </w:r>
      <w:r w:rsidRPr="00CB6CBA">
        <w:rPr>
          <w:lang w:val="en-US"/>
        </w:rPr>
        <w:softHyphen/>
        <w:t>mation can be obtained which may make this a practical option.</w:t>
      </w:r>
    </w:p>
    <w:p w:rsidR="00CA3B52" w:rsidRPr="00CB6CBA" w:rsidRDefault="00CA3B52" w:rsidP="00CA3B52">
      <w:pPr>
        <w:rPr>
          <w:lang w:val="en-US"/>
        </w:rPr>
      </w:pPr>
      <w:r w:rsidRPr="00CB6CBA">
        <w:rPr>
          <w:lang w:val="en-US"/>
        </w:rPr>
        <w:t>It should also be noted that in some instances administrations may charge fees on the basis of individual equipment or frequencies, while in other cases a single fee for the use of a block of frequencies will be charged. The latter approach may provide improvements in administrative efficiency.</w:t>
      </w:r>
    </w:p>
    <w:p w:rsidR="00CA3B52" w:rsidRPr="00CB6CBA" w:rsidRDefault="00CA3B52" w:rsidP="00CA3B52">
      <w:pPr>
        <w:pStyle w:val="Heading4"/>
        <w:rPr>
          <w:lang w:val="en-US"/>
        </w:rPr>
      </w:pPr>
      <w:bookmarkStart w:id="472" w:name="_Toc456491667"/>
      <w:bookmarkStart w:id="473" w:name="_Toc456492111"/>
      <w:bookmarkStart w:id="474" w:name="_Toc456492151"/>
      <w:bookmarkStart w:id="475" w:name="_Toc458355735"/>
      <w:bookmarkStart w:id="476" w:name="_Toc459746651"/>
      <w:bookmarkStart w:id="477" w:name="_Toc459792579"/>
      <w:bookmarkStart w:id="478" w:name="_Toc459793750"/>
      <w:bookmarkStart w:id="479" w:name="_Toc459793892"/>
      <w:bookmarkStart w:id="480" w:name="_Toc497033124"/>
      <w:bookmarkStart w:id="481" w:name="_Toc497033922"/>
      <w:r w:rsidRPr="00CB6CBA">
        <w:rPr>
          <w:lang w:val="en-US"/>
        </w:rPr>
        <w:t>2.3.4.1</w:t>
      </w:r>
      <w:r w:rsidRPr="00CB6CBA">
        <w:rPr>
          <w:lang w:val="en-US"/>
        </w:rPr>
        <w:tab/>
        <w:t>Fees based on spectrum management costs</w:t>
      </w:r>
      <w:bookmarkEnd w:id="472"/>
      <w:bookmarkEnd w:id="473"/>
      <w:bookmarkEnd w:id="474"/>
      <w:bookmarkEnd w:id="475"/>
      <w:bookmarkEnd w:id="476"/>
      <w:bookmarkEnd w:id="477"/>
      <w:bookmarkEnd w:id="478"/>
      <w:bookmarkEnd w:id="479"/>
      <w:bookmarkEnd w:id="480"/>
      <w:bookmarkEnd w:id="481"/>
    </w:p>
    <w:p w:rsidR="00CA3B52" w:rsidRPr="00CB6CBA" w:rsidRDefault="00CA3B52" w:rsidP="00CA3B52">
      <w:pPr>
        <w:rPr>
          <w:lang w:val="en-US"/>
        </w:rPr>
      </w:pPr>
      <w:r w:rsidRPr="00CB6CBA">
        <w:rPr>
          <w:lang w:val="en-US"/>
        </w:rPr>
        <w:t>Fees based on spectrum management costs depend on two separate elements: the range of spectrum management authority’s functions included in the overall costs and the method used to determine the fees for an individual licensee. A spectrum management authority’s costs can be broadly divided into two areas: direct and indirect costs. The specific spectrum management functions associated with each category may vary according to the administration.</w:t>
      </w:r>
    </w:p>
    <w:p w:rsidR="00CA3B52" w:rsidRPr="00CB6CBA" w:rsidRDefault="00CA3B52" w:rsidP="00CA3B52">
      <w:pPr>
        <w:pStyle w:val="Heading5"/>
        <w:rPr>
          <w:lang w:val="en-US"/>
        </w:rPr>
      </w:pPr>
      <w:r w:rsidRPr="00CB6CBA">
        <w:rPr>
          <w:lang w:val="en-US"/>
        </w:rPr>
        <w:t>2.3.4.1.1</w:t>
      </w:r>
      <w:r w:rsidRPr="00CB6CBA">
        <w:rPr>
          <w:lang w:val="en-US"/>
        </w:rPr>
        <w:tab/>
        <w:t>Direct costs</w:t>
      </w:r>
    </w:p>
    <w:p w:rsidR="00CA3B52" w:rsidRPr="00CB6CBA" w:rsidRDefault="00CA3B52" w:rsidP="00CA3B52">
      <w:pPr>
        <w:rPr>
          <w:lang w:val="en-US"/>
        </w:rPr>
      </w:pPr>
      <w:r w:rsidRPr="00CB6CBA">
        <w:rPr>
          <w:lang w:val="en-US"/>
        </w:rPr>
        <w:t>The immediate and identifiable cost of issuing licences for specific applications. For example, they include: the cost of staff time in the frequency assignment process, site clearance, interference analysis when it can be directly associated with a particular class of service – keeping the public news and entertainment channels clear, ITU and regional international consultation that is specific to an identifiable group of users. In some frequency bands and for some services, or if the equipment is located near neighbouring countries, the direct costs will include the cost of relevant international consultation.</w:t>
      </w:r>
    </w:p>
    <w:p w:rsidR="00CA3B52" w:rsidRPr="00CB6CBA" w:rsidRDefault="00CA3B52" w:rsidP="00CA3B52">
      <w:pPr>
        <w:pStyle w:val="Heading5"/>
        <w:rPr>
          <w:lang w:val="en-US"/>
        </w:rPr>
      </w:pPr>
      <w:r w:rsidRPr="00CB6CBA">
        <w:rPr>
          <w:lang w:val="en-US"/>
        </w:rPr>
        <w:t>2.3.4.1.2</w:t>
      </w:r>
      <w:r w:rsidRPr="00CB6CBA">
        <w:rPr>
          <w:rFonts w:ascii="Symbol" w:hAnsi="Symbol"/>
          <w:lang w:val="en-US"/>
        </w:rPr>
        <w:tab/>
      </w:r>
      <w:r w:rsidRPr="00CB6CBA">
        <w:rPr>
          <w:lang w:val="en-US"/>
        </w:rPr>
        <w:t>Indirect costs</w:t>
      </w:r>
    </w:p>
    <w:p w:rsidR="00CA3B52" w:rsidRPr="00CB6CBA" w:rsidRDefault="00CA3B52" w:rsidP="00CA3B52">
      <w:pPr>
        <w:rPr>
          <w:lang w:val="en-US"/>
        </w:rPr>
      </w:pPr>
      <w:r w:rsidRPr="00CB6CBA">
        <w:rPr>
          <w:lang w:val="en-US"/>
        </w:rPr>
        <w:t>The cost of the spectrum management functions (see Note 1) used to support the administration’s frequency assignment process and the overhead of operating the administration’s spectrum management procedures. They represent costs that cannot be identified as attributable to specific services or licensees such as general international consultation, for example with the ITU and regional groups, propagation research covering many frequency bands and services, general spectrum monitoring, interference investigations arising from the complaints of rightful users and the cost of support staff and equipment.</w:t>
      </w:r>
    </w:p>
    <w:p w:rsidR="00CA3B52" w:rsidRPr="00CB6CBA" w:rsidRDefault="00CA3B52" w:rsidP="00CA3B52">
      <w:pPr>
        <w:rPr>
          <w:lang w:val="en-US"/>
        </w:rPr>
      </w:pPr>
      <w:r w:rsidRPr="00CB6CBA">
        <w:rPr>
          <w:lang w:val="en-US"/>
        </w:rPr>
        <w:t>In some administrations the definition of direct costs is very restrictive and is limited to the costs incurred for each individual licence applicant. Some administrations may not make any charge for indirect costs.</w:t>
      </w:r>
    </w:p>
    <w:p w:rsidR="00CA3B52" w:rsidRPr="00CB6CBA" w:rsidRDefault="00CA3B52" w:rsidP="00CA3B52">
      <w:pPr>
        <w:rPr>
          <w:lang w:val="en-US"/>
        </w:rPr>
      </w:pPr>
      <w:r w:rsidRPr="00CB6CBA">
        <w:rPr>
          <w:lang w:val="en-US"/>
        </w:rPr>
        <w:t xml:space="preserve">The methods used to determine fees from spectrum management costs range from the simplistic method of dividing the total costs by the number of licensees to the more complex “cost recovery”. Cost recovery is used to apportion the costs of spectrum management functions to the licensee </w:t>
      </w:r>
      <w:r w:rsidRPr="00CB6CBA">
        <w:rPr>
          <w:lang w:val="en-US"/>
        </w:rPr>
        <w:lastRenderedPageBreak/>
        <w:t>according to the costs incurred in issuing the licence and the associated frequency assignment process (for example: frequency assignment, site clearance, coordination) including any other necessary spectrum management functions. The licence fees are usually structured on the principle of recovering the costs directly and indirectly attributable to a specific licence category. In some countries the accounts are audited, by a national auditor, to ensure the costs, on which the licence fees are based, are appropriate and justifiable.</w:t>
      </w:r>
    </w:p>
    <w:p w:rsidR="00CA3B52" w:rsidRPr="00CB6CBA" w:rsidRDefault="00CA3B52" w:rsidP="00CA3B52">
      <w:pPr>
        <w:rPr>
          <w:lang w:val="en-US"/>
        </w:rPr>
      </w:pPr>
      <w:r w:rsidRPr="00CB6CBA">
        <w:rPr>
          <w:lang w:val="en-US"/>
        </w:rPr>
        <w:t>The exact definition and operation of “cost recovery” varies according to national spectrum management, legislative and constitutional requirements. These requirements may have an impact on the implementation of cost recovery in each country and affect how the costs and fees are justified. There are several reasons for these differences:</w:t>
      </w:r>
    </w:p>
    <w:p w:rsidR="00CA3B52" w:rsidRPr="00CB6CBA" w:rsidRDefault="00CA3B52" w:rsidP="00CA3B52">
      <w:pPr>
        <w:pStyle w:val="enumlev1"/>
        <w:rPr>
          <w:lang w:val="en-US"/>
        </w:rPr>
      </w:pPr>
      <w:r w:rsidRPr="00CB6CBA">
        <w:rPr>
          <w:lang w:val="en-US"/>
        </w:rPr>
        <w:t>a)</w:t>
      </w:r>
      <w:r w:rsidRPr="00CB6CBA">
        <w:rPr>
          <w:lang w:val="en-US"/>
        </w:rPr>
        <w:tab/>
        <w:t>In some countries a distinction is made between the administration’s total income matching or simply approximating its costs. In the former case the administration is not permitted to subsidize or overcharge the licensee, with any excess having to be repaid. In the latter case it is recognized that fees are based on an estimate of the expected costs, and therefore the income may exceed or not reach the administration’s actual costs. It is to be noted that in those countries using the latter system, strict audit control may still be applied.</w:t>
      </w:r>
    </w:p>
    <w:p w:rsidR="00CA3B52" w:rsidRPr="00CB6CBA" w:rsidRDefault="00CA3B52" w:rsidP="00CA3B52">
      <w:pPr>
        <w:pStyle w:val="enumlev1"/>
        <w:rPr>
          <w:lang w:val="en-US"/>
        </w:rPr>
      </w:pPr>
      <w:r w:rsidRPr="00CB6CBA">
        <w:rPr>
          <w:lang w:val="en-US"/>
        </w:rPr>
        <w:t>b)</w:t>
      </w:r>
      <w:r w:rsidRPr="00CB6CBA">
        <w:rPr>
          <w:lang w:val="en-US"/>
        </w:rPr>
        <w:tab/>
        <w:t>The fees set for cost recovery may be based on the work performed on an individual licence or the average for that licence category.</w:t>
      </w:r>
    </w:p>
    <w:p w:rsidR="00CA3B52" w:rsidRPr="00CB6CBA" w:rsidRDefault="00CA3B52" w:rsidP="00CA3B52">
      <w:pPr>
        <w:pStyle w:val="enumlev1"/>
        <w:rPr>
          <w:lang w:val="en-US"/>
        </w:rPr>
      </w:pPr>
      <w:r w:rsidRPr="00CB6CBA">
        <w:rPr>
          <w:lang w:val="en-US"/>
        </w:rPr>
        <w:t>c)</w:t>
      </w:r>
      <w:r w:rsidRPr="00CB6CBA">
        <w:rPr>
          <w:lang w:val="en-US"/>
        </w:rPr>
        <w:tab/>
        <w:t>The complexity of the frequency assignment process and the number of spectrum management functions that need to be performed to issue a licence may vary due to:</w:t>
      </w:r>
    </w:p>
    <w:p w:rsidR="00CA3B52" w:rsidRPr="00CB6CBA" w:rsidRDefault="00CA3B52" w:rsidP="00CA3B52">
      <w:pPr>
        <w:pStyle w:val="enumlev2"/>
        <w:rPr>
          <w:lang w:val="en-US"/>
        </w:rPr>
      </w:pPr>
      <w:r w:rsidRPr="00CB6CBA">
        <w:rPr>
          <w:lang w:val="en-US"/>
        </w:rPr>
        <w:t>–</w:t>
      </w:r>
      <w:r w:rsidRPr="00CB6CBA">
        <w:rPr>
          <w:lang w:val="en-US"/>
        </w:rPr>
        <w:tab/>
        <w:t>national characteristics – for example the number of users, geographic features requiring the use of a detailed topographic database;</w:t>
      </w:r>
    </w:p>
    <w:p w:rsidR="00CA3B52" w:rsidRPr="00CB6CBA" w:rsidRDefault="00CA3B52" w:rsidP="00CA3B52">
      <w:pPr>
        <w:pStyle w:val="enumlev2"/>
        <w:rPr>
          <w:lang w:val="en-US"/>
        </w:rPr>
      </w:pPr>
      <w:r w:rsidRPr="00CB6CBA">
        <w:rPr>
          <w:lang w:val="en-US"/>
        </w:rPr>
        <w:t>–</w:t>
      </w:r>
      <w:r w:rsidRPr="00CB6CBA">
        <w:rPr>
          <w:lang w:val="en-US"/>
        </w:rPr>
        <w:tab/>
        <w:t>international requirements – for example bilateral or multilateral treaties, footnotes in the Radio Regulations.</w:t>
      </w:r>
    </w:p>
    <w:p w:rsidR="00CA3B52" w:rsidRPr="00CB6CBA" w:rsidRDefault="00CA3B52" w:rsidP="00CA3B52">
      <w:pPr>
        <w:pStyle w:val="enumlev1"/>
        <w:rPr>
          <w:lang w:val="en-US"/>
        </w:rPr>
      </w:pPr>
      <w:r w:rsidRPr="00CB6CBA">
        <w:rPr>
          <w:lang w:val="en-US"/>
        </w:rPr>
        <w:t>d)</w:t>
      </w:r>
      <w:r w:rsidRPr="00CB6CBA">
        <w:rPr>
          <w:lang w:val="en-US"/>
        </w:rPr>
        <w:tab/>
        <w:t>How the costs of the individual spectrum management functions are attributed to a particular licence category may be different due to:</w:t>
      </w:r>
    </w:p>
    <w:p w:rsidR="00CA3B52" w:rsidRPr="00CB6CBA" w:rsidRDefault="00CA3B52" w:rsidP="00CA3B52">
      <w:pPr>
        <w:pStyle w:val="enumlev2"/>
        <w:rPr>
          <w:lang w:val="en-US"/>
        </w:rPr>
      </w:pPr>
      <w:r w:rsidRPr="00CB6CBA">
        <w:rPr>
          <w:lang w:val="en-US"/>
        </w:rPr>
        <w:t>–</w:t>
      </w:r>
      <w:r w:rsidRPr="00CB6CBA">
        <w:rPr>
          <w:lang w:val="en-US"/>
        </w:rPr>
        <w:tab/>
        <w:t>the government’s interpretation of whether the cost should be the responsibility of the licensee, should attract a fixed fee or should be the responsibility of the State (paid from the national budget) – for example, some administrations consider monitoring is the responsibility of the state;</w:t>
      </w:r>
    </w:p>
    <w:p w:rsidR="00CA3B52" w:rsidRPr="00CB6CBA" w:rsidRDefault="00CA3B52" w:rsidP="00CA3B52">
      <w:pPr>
        <w:pStyle w:val="enumlev2"/>
        <w:rPr>
          <w:lang w:val="en-US"/>
        </w:rPr>
      </w:pPr>
      <w:r w:rsidRPr="00CB6CBA">
        <w:rPr>
          <w:lang w:val="en-US"/>
        </w:rPr>
        <w:t>–</w:t>
      </w:r>
      <w:r w:rsidRPr="00CB6CBA">
        <w:rPr>
          <w:lang w:val="en-US"/>
        </w:rPr>
        <w:tab/>
        <w:t>their allocation between direct and indirect costs.</w:t>
      </w:r>
    </w:p>
    <w:p w:rsidR="00CA3B52" w:rsidRPr="00CB6CBA" w:rsidRDefault="00CA3B52" w:rsidP="00CA3B52">
      <w:pPr>
        <w:rPr>
          <w:lang w:val="en-US"/>
        </w:rPr>
      </w:pPr>
      <w:r w:rsidRPr="00CB6CBA">
        <w:rPr>
          <w:lang w:val="en-US"/>
        </w:rPr>
        <w:t>All of these factors will affect the composition of the licence fee and the mechanisms an administration puts in place to monitor its income and costs.</w:t>
      </w:r>
    </w:p>
    <w:p w:rsidR="00CA3B52" w:rsidRPr="005F07FC" w:rsidRDefault="00CA3B52" w:rsidP="00CA3B52">
      <w:pPr>
        <w:pStyle w:val="Note"/>
        <w:rPr>
          <w:lang w:val="en-US"/>
        </w:rPr>
      </w:pPr>
      <w:r w:rsidRPr="005F07FC">
        <w:rPr>
          <w:lang w:val="en-US"/>
        </w:rPr>
        <w:t>NOTE 1 – There are activities associated with the management of the spectrum that some administrations consider to be separate from their licensing costs. These activities typically relate to approval processes not directly related to frequency assignment. In these cases the administrations tend to make a separate charge and this is usually based on a simple fee that does not recover the cost of the function. These miscellaneous spectrum management fees may include a type approval, test laboratory accreditation, EMC fees and charges, installation inspection, examination certificates (radio amateurs, maritime examinations, etc.).</w:t>
      </w:r>
    </w:p>
    <w:p w:rsidR="00CA3B52" w:rsidRPr="00CB6CBA" w:rsidRDefault="00CA3B52" w:rsidP="00CA3B52">
      <w:pPr>
        <w:pStyle w:val="Heading4"/>
        <w:rPr>
          <w:lang w:val="en-US"/>
        </w:rPr>
      </w:pPr>
      <w:bookmarkStart w:id="482" w:name="_Toc456491668"/>
      <w:bookmarkStart w:id="483" w:name="_Toc456492112"/>
      <w:bookmarkStart w:id="484" w:name="_Toc456492152"/>
      <w:bookmarkStart w:id="485" w:name="_Toc458355736"/>
      <w:bookmarkStart w:id="486" w:name="_Toc459746652"/>
      <w:bookmarkStart w:id="487" w:name="_Toc459792580"/>
      <w:bookmarkStart w:id="488" w:name="_Toc459793751"/>
      <w:bookmarkStart w:id="489" w:name="_Toc459793893"/>
      <w:bookmarkStart w:id="490" w:name="_Toc497033125"/>
      <w:bookmarkStart w:id="491" w:name="_Toc497033923"/>
      <w:r w:rsidRPr="00CB6CBA">
        <w:rPr>
          <w:lang w:val="en-US"/>
        </w:rPr>
        <w:t>2.3.4.2</w:t>
      </w:r>
      <w:r w:rsidRPr="00CB6CBA">
        <w:rPr>
          <w:lang w:val="en-US"/>
        </w:rPr>
        <w:tab/>
        <w:t>Fees based on user’</w:t>
      </w:r>
      <w:r>
        <w:rPr>
          <w:lang w:val="en-US"/>
        </w:rPr>
        <w:t>s</w:t>
      </w:r>
      <w:r w:rsidRPr="00CB6CBA">
        <w:rPr>
          <w:lang w:val="en-US"/>
        </w:rPr>
        <w:t xml:space="preserve"> </w:t>
      </w:r>
      <w:bookmarkEnd w:id="482"/>
      <w:bookmarkEnd w:id="483"/>
      <w:bookmarkEnd w:id="484"/>
      <w:bookmarkEnd w:id="485"/>
      <w:r w:rsidRPr="00CB6CBA">
        <w:rPr>
          <w:lang w:val="en-US"/>
        </w:rPr>
        <w:t>gross income</w:t>
      </w:r>
      <w:bookmarkEnd w:id="486"/>
      <w:bookmarkEnd w:id="487"/>
      <w:bookmarkEnd w:id="488"/>
      <w:bookmarkEnd w:id="489"/>
      <w:bookmarkEnd w:id="490"/>
      <w:bookmarkEnd w:id="491"/>
    </w:p>
    <w:p w:rsidR="00CA3B52" w:rsidRPr="00CB6CBA" w:rsidRDefault="00CA3B52" w:rsidP="00CA3B52">
      <w:pPr>
        <w:rPr>
          <w:lang w:val="en-US"/>
        </w:rPr>
      </w:pPr>
      <w:r w:rsidRPr="00CB6CBA">
        <w:rPr>
          <w:lang w:val="en-US"/>
        </w:rPr>
        <w:t>A fee can be charged based on a percentage of the gross income of a company. The value of the gross income used in the fee calculation must be directly related to the company’s use of the spectrum to avoid difficulty in the accounting and auditing processes.</w:t>
      </w:r>
    </w:p>
    <w:p w:rsidR="00CA3B52" w:rsidRPr="00CB6CBA" w:rsidRDefault="00CA3B52" w:rsidP="007E085A">
      <w:pPr>
        <w:pStyle w:val="Heading4"/>
        <w:rPr>
          <w:lang w:val="en-US"/>
        </w:rPr>
      </w:pPr>
      <w:bookmarkStart w:id="492" w:name="_Toc456491669"/>
      <w:bookmarkStart w:id="493" w:name="_Toc456492113"/>
      <w:bookmarkStart w:id="494" w:name="_Toc456492153"/>
      <w:bookmarkStart w:id="495" w:name="_Toc458355737"/>
      <w:bookmarkStart w:id="496" w:name="_Toc459746653"/>
      <w:bookmarkStart w:id="497" w:name="_Toc459792581"/>
      <w:bookmarkStart w:id="498" w:name="_Toc459793752"/>
      <w:bookmarkStart w:id="499" w:name="_Toc459793894"/>
      <w:bookmarkStart w:id="500" w:name="_Toc497033126"/>
      <w:bookmarkStart w:id="501" w:name="_Toc497033924"/>
      <w:r w:rsidRPr="00CB6CBA">
        <w:rPr>
          <w:lang w:val="en-US"/>
        </w:rPr>
        <w:lastRenderedPageBreak/>
        <w:t>2.3.4.3</w:t>
      </w:r>
      <w:r w:rsidRPr="00CB6CBA">
        <w:rPr>
          <w:lang w:val="en-US"/>
        </w:rPr>
        <w:tab/>
        <w:t>Incentive fees</w:t>
      </w:r>
      <w:bookmarkEnd w:id="492"/>
      <w:bookmarkEnd w:id="493"/>
      <w:bookmarkEnd w:id="494"/>
      <w:bookmarkEnd w:id="495"/>
      <w:bookmarkEnd w:id="496"/>
      <w:bookmarkEnd w:id="497"/>
      <w:bookmarkEnd w:id="498"/>
      <w:bookmarkEnd w:id="499"/>
      <w:bookmarkEnd w:id="500"/>
      <w:bookmarkEnd w:id="501"/>
    </w:p>
    <w:p w:rsidR="00CA3B52" w:rsidRPr="00CB6CBA" w:rsidRDefault="00CA3B52" w:rsidP="007E085A">
      <w:pPr>
        <w:keepNext/>
        <w:keepLines/>
        <w:rPr>
          <w:lang w:val="en-US"/>
        </w:rPr>
      </w:pPr>
      <w:r w:rsidRPr="00CB6CBA">
        <w:rPr>
          <w:lang w:val="en-US"/>
        </w:rPr>
        <w:t>An incentive fee attempts to use price to achieve spectrum management objectives and hence to provide some incentive to use the spectrum efficiently. Various elements of spectrum usage may be taken into consideration in the development of an approach or a formula (e.g. population density, bandwidth, frequency band, coverage area, exclusivity, power) and different formulae may be required for different frequency bands and services. Developing an incentive fee formula may not be a simple task if it is to accurately reflect the variation in spectrum usage across a country. Incentive fees may not be suitable for all services.</w:t>
      </w:r>
    </w:p>
    <w:p w:rsidR="00CA3B52" w:rsidRPr="00CB6CBA" w:rsidRDefault="00CA3B52" w:rsidP="00CA3B52">
      <w:pPr>
        <w:pStyle w:val="Heading4"/>
        <w:rPr>
          <w:lang w:val="en-US"/>
        </w:rPr>
      </w:pPr>
      <w:bookmarkStart w:id="502" w:name="_Toc456491670"/>
      <w:bookmarkStart w:id="503" w:name="_Toc456492114"/>
      <w:bookmarkStart w:id="504" w:name="_Toc456492154"/>
      <w:bookmarkStart w:id="505" w:name="_Toc458355738"/>
      <w:bookmarkStart w:id="506" w:name="_Toc459746654"/>
      <w:bookmarkStart w:id="507" w:name="_Toc459792582"/>
      <w:bookmarkStart w:id="508" w:name="_Toc459793753"/>
      <w:bookmarkStart w:id="509" w:name="_Toc459793895"/>
      <w:bookmarkStart w:id="510" w:name="_Toc497033127"/>
      <w:bookmarkStart w:id="511" w:name="_Toc497033925"/>
      <w:r w:rsidRPr="00CB6CBA">
        <w:rPr>
          <w:lang w:val="en-US"/>
        </w:rPr>
        <w:t>2.3.4.4</w:t>
      </w:r>
      <w:r w:rsidRPr="00CB6CBA">
        <w:rPr>
          <w:lang w:val="en-US"/>
        </w:rPr>
        <w:tab/>
        <w:t>Opportunity cost fees</w:t>
      </w:r>
      <w:bookmarkEnd w:id="502"/>
      <w:bookmarkEnd w:id="503"/>
      <w:bookmarkEnd w:id="504"/>
      <w:bookmarkEnd w:id="505"/>
      <w:bookmarkEnd w:id="506"/>
      <w:bookmarkEnd w:id="507"/>
      <w:bookmarkEnd w:id="508"/>
      <w:bookmarkEnd w:id="509"/>
      <w:bookmarkEnd w:id="510"/>
      <w:bookmarkEnd w:id="511"/>
    </w:p>
    <w:p w:rsidR="00CA3B52" w:rsidRPr="00CB6CBA" w:rsidRDefault="00CA3B52" w:rsidP="00CA3B52">
      <w:pPr>
        <w:rPr>
          <w:lang w:val="en-US"/>
        </w:rPr>
      </w:pPr>
      <w:r w:rsidRPr="00CB6CBA">
        <w:rPr>
          <w:lang w:val="en-US"/>
        </w:rPr>
        <w:t>Opportunity cost is defined as the value of something in its best alternative use. In the case of spectrum, it means the alternative value that is foregone when a section of frequency spectrum is assigned to a particular user. An opportunity cost fee tries to simulate the market value of the spectrum. This process may require financial analysis, estimations of demand or market studies to achieve a valuation, and considerable expertise.</w:t>
      </w:r>
    </w:p>
    <w:p w:rsidR="00CA3B52" w:rsidRPr="00CB6CBA" w:rsidRDefault="00CA3B52" w:rsidP="00CA3B52">
      <w:pPr>
        <w:pStyle w:val="Heading4"/>
        <w:rPr>
          <w:lang w:val="en-US"/>
        </w:rPr>
      </w:pPr>
      <w:bookmarkStart w:id="512" w:name="_Toc456491671"/>
      <w:bookmarkStart w:id="513" w:name="_Toc456492115"/>
      <w:bookmarkStart w:id="514" w:name="_Toc456492155"/>
      <w:bookmarkStart w:id="515" w:name="_Toc458355739"/>
      <w:bookmarkStart w:id="516" w:name="_Toc459746655"/>
      <w:bookmarkStart w:id="517" w:name="_Toc459792583"/>
      <w:bookmarkStart w:id="518" w:name="_Toc459793754"/>
      <w:bookmarkStart w:id="519" w:name="_Toc459793896"/>
      <w:bookmarkStart w:id="520" w:name="_Toc497033128"/>
      <w:bookmarkStart w:id="521" w:name="_Toc497033926"/>
      <w:r w:rsidRPr="00CB6CBA">
        <w:rPr>
          <w:lang w:val="en-US"/>
        </w:rPr>
        <w:t>2.3.4.5</w:t>
      </w:r>
      <w:r w:rsidRPr="00CB6CBA">
        <w:rPr>
          <w:lang w:val="en-US"/>
        </w:rPr>
        <w:tab/>
        <w:t>Fee calculation example</w:t>
      </w:r>
      <w:bookmarkEnd w:id="512"/>
      <w:bookmarkEnd w:id="513"/>
      <w:bookmarkEnd w:id="514"/>
      <w:bookmarkEnd w:id="515"/>
      <w:bookmarkEnd w:id="516"/>
      <w:bookmarkEnd w:id="517"/>
      <w:bookmarkEnd w:id="518"/>
      <w:bookmarkEnd w:id="519"/>
      <w:r w:rsidRPr="00CB6CBA">
        <w:rPr>
          <w:lang w:val="en-US"/>
        </w:rPr>
        <w:t>s</w:t>
      </w:r>
      <w:bookmarkEnd w:id="520"/>
      <w:bookmarkEnd w:id="521"/>
    </w:p>
    <w:p w:rsidR="00CA3B52" w:rsidRPr="00CB6CBA" w:rsidRDefault="00CA3B52" w:rsidP="00CA3B52">
      <w:pPr>
        <w:rPr>
          <w:lang w:val="en-US"/>
        </w:rPr>
      </w:pPr>
      <w:r w:rsidRPr="00CB6CBA">
        <w:rPr>
          <w:lang w:val="en-US"/>
        </w:rPr>
        <w:t>Fees based on spectrum management costs may be represented by the general functional forms:</w:t>
      </w:r>
    </w:p>
    <w:p w:rsidR="00CA3B52" w:rsidRPr="007E1DE1" w:rsidRDefault="00CA3B52" w:rsidP="00481587">
      <w:pPr>
        <w:pStyle w:val="Equation"/>
        <w:rPr>
          <w:lang w:val="it-IT"/>
        </w:rPr>
      </w:pPr>
      <w:r w:rsidRPr="00CB6CBA">
        <w:rPr>
          <w:lang w:val="en-US"/>
        </w:rPr>
        <w:tab/>
      </w:r>
      <w:r w:rsidRPr="00CB6CBA">
        <w:rPr>
          <w:lang w:val="en-US"/>
        </w:rPr>
        <w:tab/>
      </w:r>
      <w:r w:rsidRPr="007E1DE1">
        <w:rPr>
          <w:lang w:val="it-IT"/>
        </w:rPr>
        <w:t xml:space="preserve">F  </w:t>
      </w:r>
      <w:r w:rsidRPr="00CB6CBA">
        <w:rPr>
          <w:rFonts w:ascii="Symbol" w:hAnsi="Symbol"/>
          <w:lang w:val="en-US"/>
        </w:rPr>
        <w:t></w:t>
      </w:r>
      <w:r w:rsidRPr="007E1DE1">
        <w:rPr>
          <w:lang w:val="it-IT"/>
        </w:rPr>
        <w:t xml:space="preserve">  Di</w:t>
      </w:r>
      <w:r w:rsidRPr="007E1DE1">
        <w:rPr>
          <w:lang w:val="it-IT"/>
        </w:rPr>
        <w:tab/>
        <w:t>(1)</w:t>
      </w:r>
    </w:p>
    <w:p w:rsidR="00CA3B52" w:rsidRDefault="00CA3B52" w:rsidP="00F65451">
      <w:pPr>
        <w:pStyle w:val="Equation"/>
        <w:rPr>
          <w:lang w:val="it-IT"/>
        </w:rPr>
      </w:pPr>
      <w:r w:rsidRPr="007E1DE1">
        <w:rPr>
          <w:lang w:val="it-IT"/>
        </w:rPr>
        <w:tab/>
        <w:t xml:space="preserve">F  </w:t>
      </w:r>
      <w:r w:rsidRPr="00CB6CBA">
        <w:rPr>
          <w:rFonts w:ascii="Symbol" w:hAnsi="Symbol"/>
          <w:lang w:val="en-US"/>
        </w:rPr>
        <w:t></w:t>
      </w:r>
      <w:r w:rsidRPr="007E1DE1">
        <w:rPr>
          <w:lang w:val="it-IT"/>
        </w:rPr>
        <w:t xml:space="preserve">  f(Di, LiI)</w:t>
      </w:r>
      <w:r w:rsidRPr="007E1DE1">
        <w:rPr>
          <w:lang w:val="it-IT"/>
        </w:rPr>
        <w:tab/>
        <w:t>(2)</w:t>
      </w:r>
    </w:p>
    <w:p w:rsidR="00CA3B52" w:rsidRPr="0094767C" w:rsidRDefault="00CA3B52" w:rsidP="00CA3B52">
      <w:pPr>
        <w:rPr>
          <w:lang w:val="it-IT"/>
        </w:rPr>
      </w:pPr>
      <w:r w:rsidRPr="00CB6CBA">
        <w:rPr>
          <w:lang w:val="en-US"/>
        </w:rPr>
        <w:t>where:</w:t>
      </w:r>
    </w:p>
    <w:p w:rsidR="00CA3B52" w:rsidRPr="00CB6CBA" w:rsidRDefault="00CA3B52" w:rsidP="00CA3B52">
      <w:pPr>
        <w:pStyle w:val="Equationlegend"/>
      </w:pPr>
      <w:r w:rsidRPr="00CB6CBA">
        <w:tab/>
        <w:t>F:</w:t>
      </w:r>
      <w:r w:rsidRPr="00CB6CBA">
        <w:tab/>
        <w:t>fee charged to licensee</w:t>
      </w:r>
    </w:p>
    <w:p w:rsidR="00CA3B52" w:rsidRPr="00CB6CBA" w:rsidRDefault="00CA3B52" w:rsidP="00CA3B52">
      <w:pPr>
        <w:pStyle w:val="Equationlegend"/>
      </w:pPr>
      <w:r w:rsidRPr="00CB6CBA">
        <w:tab/>
        <w:t>Di:</w:t>
      </w:r>
      <w:r w:rsidRPr="00CB6CBA">
        <w:tab/>
        <w:t xml:space="preserve"> direct administrative costs of processing licensee’s application</w:t>
      </w:r>
    </w:p>
    <w:p w:rsidR="00CA3B52" w:rsidRPr="00CB6CBA" w:rsidRDefault="00CA3B52" w:rsidP="00CA3B52">
      <w:pPr>
        <w:pStyle w:val="Equationlegend"/>
      </w:pPr>
      <w:r w:rsidRPr="00CB6CBA">
        <w:tab/>
        <w:t>Li:</w:t>
      </w:r>
      <w:r w:rsidRPr="00CB6CBA">
        <w:tab/>
        <w:t>licensee’s proportion of indirect administrative costs</w:t>
      </w:r>
    </w:p>
    <w:p w:rsidR="00CA3B52" w:rsidRPr="00CB6CBA" w:rsidRDefault="00CA3B52" w:rsidP="00CA3B52">
      <w:pPr>
        <w:pStyle w:val="Equationlegend"/>
        <w:rPr>
          <w:b/>
        </w:rPr>
      </w:pPr>
      <w:r w:rsidRPr="00CB6CBA">
        <w:tab/>
        <w:t>I:</w:t>
      </w:r>
      <w:r w:rsidRPr="00CB6CBA">
        <w:tab/>
        <w:t>total indirect administrative costs.</w:t>
      </w:r>
    </w:p>
    <w:p w:rsidR="00CA3B52" w:rsidRPr="0094767C" w:rsidRDefault="00CA3B52" w:rsidP="00CA3B52">
      <w:pPr>
        <w:rPr>
          <w:b/>
          <w:lang w:val="en-US"/>
        </w:rPr>
      </w:pPr>
      <w:r w:rsidRPr="0094767C">
        <w:rPr>
          <w:lang w:val="en-US"/>
        </w:rPr>
        <w:t>Fees based on user revenues may be represented by the general functional form:</w:t>
      </w:r>
    </w:p>
    <w:p w:rsidR="00CA3B52" w:rsidRDefault="00CA3B52" w:rsidP="00F65451">
      <w:pPr>
        <w:pStyle w:val="Equation"/>
        <w:rPr>
          <w:lang w:val="en-US"/>
        </w:rPr>
      </w:pPr>
      <w:r w:rsidRPr="00CB6CBA">
        <w:rPr>
          <w:lang w:val="en-US"/>
        </w:rPr>
        <w:tab/>
        <w:t xml:space="preserve">F  </w:t>
      </w:r>
      <w:r w:rsidRPr="00CB6CBA">
        <w:rPr>
          <w:rFonts w:ascii="Symbol" w:hAnsi="Symbol"/>
          <w:lang w:val="en-US"/>
        </w:rPr>
        <w:t></w:t>
      </w:r>
      <w:r w:rsidRPr="00CB6CBA">
        <w:rPr>
          <w:lang w:val="en-US"/>
        </w:rPr>
        <w:t xml:space="preserve">  f(a, G)</w:t>
      </w:r>
      <w:r w:rsidRPr="00CB6CBA">
        <w:rPr>
          <w:lang w:val="en-US"/>
        </w:rPr>
        <w:tab/>
        <w:t>(3)</w:t>
      </w:r>
    </w:p>
    <w:p w:rsidR="00CA3B52" w:rsidRDefault="00CA3B52" w:rsidP="00CA3B52">
      <w:pPr>
        <w:rPr>
          <w:lang w:val="en-US"/>
        </w:rPr>
      </w:pPr>
      <w:r w:rsidRPr="00CB6CBA">
        <w:rPr>
          <w:lang w:val="en-US"/>
        </w:rPr>
        <w:t>where:</w:t>
      </w:r>
    </w:p>
    <w:p w:rsidR="00CA3B52" w:rsidRPr="00CB6CBA" w:rsidRDefault="00CA3B52" w:rsidP="00CA3B52">
      <w:pPr>
        <w:pStyle w:val="Equationlegend"/>
      </w:pPr>
      <w:r w:rsidRPr="00CB6CBA">
        <w:tab/>
        <w:t xml:space="preserve">F: </w:t>
      </w:r>
      <w:r w:rsidRPr="00CB6CBA">
        <w:tab/>
        <w:t>fee charged to user</w:t>
      </w:r>
    </w:p>
    <w:p w:rsidR="00CA3B52" w:rsidRPr="00CB6CBA" w:rsidRDefault="00CA3B52" w:rsidP="00CA3B52">
      <w:pPr>
        <w:pStyle w:val="Equationlegend"/>
      </w:pPr>
      <w:r w:rsidRPr="00CB6CBA">
        <w:tab/>
        <w:t xml:space="preserve">a: </w:t>
      </w:r>
      <w:r w:rsidRPr="00CB6CBA">
        <w:tab/>
        <w:t>proportionate fee established by regulatory agency</w:t>
      </w:r>
    </w:p>
    <w:p w:rsidR="00CA3B52" w:rsidRPr="00CB6CBA" w:rsidRDefault="00CA3B52" w:rsidP="00CA3B52">
      <w:pPr>
        <w:pStyle w:val="Equationlegend"/>
      </w:pPr>
      <w:r w:rsidRPr="00CB6CBA">
        <w:tab/>
        <w:t>G:</w:t>
      </w:r>
      <w:r w:rsidRPr="00CB6CBA">
        <w:tab/>
        <w:t>user gross income</w:t>
      </w:r>
    </w:p>
    <w:p w:rsidR="00CA3B52" w:rsidRPr="00E30119" w:rsidRDefault="00CA3B52" w:rsidP="00CA3B52">
      <w:pPr>
        <w:rPr>
          <w:lang w:val="en-US"/>
        </w:rPr>
      </w:pPr>
      <w:r w:rsidRPr="00E30119">
        <w:rPr>
          <w:lang w:val="en-US"/>
        </w:rPr>
        <w:t>Incentive fee formulas may be represented by the general functional form:</w:t>
      </w:r>
    </w:p>
    <w:p w:rsidR="00CA3B52" w:rsidRDefault="00CA3B52" w:rsidP="00F65451">
      <w:pPr>
        <w:pStyle w:val="Equation"/>
        <w:rPr>
          <w:lang w:val="pt-BR"/>
        </w:rPr>
      </w:pPr>
      <w:r>
        <w:rPr>
          <w:lang w:val="pt-BR"/>
        </w:rPr>
        <w:tab/>
      </w:r>
      <w:r w:rsidRPr="007E1DE1">
        <w:rPr>
          <w:lang w:val="pt-BR"/>
        </w:rPr>
        <w:t xml:space="preserve">F  </w:t>
      </w:r>
      <w:r w:rsidRPr="00CB6CBA">
        <w:rPr>
          <w:rFonts w:ascii="Symbol" w:hAnsi="Symbol"/>
          <w:lang w:val="en-US"/>
        </w:rPr>
        <w:t></w:t>
      </w:r>
      <w:r w:rsidRPr="007E1DE1">
        <w:rPr>
          <w:lang w:val="pt-BR"/>
        </w:rPr>
        <w:t xml:space="preserve">  f(B, C, S, E, </w:t>
      </w:r>
      <w:r w:rsidRPr="007E1DE1">
        <w:rPr>
          <w:i/>
          <w:iCs/>
          <w:lang w:val="pt-BR"/>
        </w:rPr>
        <w:t>F</w:t>
      </w:r>
      <w:r w:rsidRPr="0092229D">
        <w:rPr>
          <w:i/>
          <w:iCs/>
          <w:vertAlign w:val="subscript"/>
          <w:lang w:val="pt-BR"/>
        </w:rPr>
        <w:t>R</w:t>
      </w:r>
      <w:r w:rsidRPr="007E1DE1">
        <w:rPr>
          <w:lang w:val="pt-BR"/>
        </w:rPr>
        <w:t xml:space="preserve">, </w:t>
      </w:r>
      <w:r w:rsidRPr="007E1DE1">
        <w:rPr>
          <w:i/>
          <w:iCs/>
          <w:lang w:val="pt-BR"/>
        </w:rPr>
        <w:t>F</w:t>
      </w:r>
      <w:r w:rsidRPr="0092229D">
        <w:rPr>
          <w:i/>
          <w:iCs/>
          <w:vertAlign w:val="subscript"/>
          <w:lang w:val="pt-BR"/>
        </w:rPr>
        <w:t>C</w:t>
      </w:r>
      <w:r w:rsidRPr="007E1DE1">
        <w:rPr>
          <w:lang w:val="pt-BR"/>
        </w:rPr>
        <w:t>)</w:t>
      </w:r>
      <w:r w:rsidRPr="007E1DE1">
        <w:rPr>
          <w:lang w:val="pt-BR"/>
        </w:rPr>
        <w:tab/>
        <w:t>(4)</w:t>
      </w:r>
    </w:p>
    <w:p w:rsidR="00CA3B52" w:rsidRDefault="00CA3B52" w:rsidP="00CA3B52">
      <w:pPr>
        <w:rPr>
          <w:lang w:val="en-US"/>
        </w:rPr>
      </w:pPr>
    </w:p>
    <w:p w:rsidR="00CA3B52" w:rsidRPr="002937B0" w:rsidRDefault="00CA3B52" w:rsidP="00CA3B52">
      <w:pPr>
        <w:keepNext/>
        <w:keepLines/>
        <w:rPr>
          <w:lang w:val="pt-BR"/>
        </w:rPr>
      </w:pPr>
      <w:r w:rsidRPr="00CB6CBA">
        <w:rPr>
          <w:lang w:val="en-US"/>
        </w:rPr>
        <w:t>where:</w:t>
      </w:r>
    </w:p>
    <w:p w:rsidR="00CA3B52" w:rsidRPr="00CB6CBA" w:rsidRDefault="00CA3B52" w:rsidP="00F65451">
      <w:pPr>
        <w:pStyle w:val="Equationlegend"/>
        <w:keepNext/>
        <w:keepLines/>
      </w:pPr>
      <w:r>
        <w:tab/>
        <w:t>F:</w:t>
      </w:r>
      <w:r w:rsidRPr="00CB6CBA">
        <w:tab/>
        <w:t>fee charged to licensee</w:t>
      </w:r>
    </w:p>
    <w:p w:rsidR="00CA3B52" w:rsidRPr="00CB6CBA" w:rsidRDefault="00CA3B52" w:rsidP="00F65451">
      <w:pPr>
        <w:pStyle w:val="Equationlegend"/>
        <w:keepNext/>
        <w:keepLines/>
      </w:pPr>
      <w:r w:rsidRPr="00CB6CBA">
        <w:tab/>
        <w:t>B:</w:t>
      </w:r>
      <w:r w:rsidRPr="00CB6CBA">
        <w:tab/>
        <w:t>bandwidth</w:t>
      </w:r>
    </w:p>
    <w:p w:rsidR="00CA3B52" w:rsidRPr="00CB6CBA" w:rsidRDefault="00CA3B52" w:rsidP="00F65451">
      <w:pPr>
        <w:pStyle w:val="Equationlegend"/>
      </w:pPr>
      <w:r w:rsidRPr="00CB6CBA">
        <w:tab/>
        <w:t>C:</w:t>
      </w:r>
      <w:r w:rsidRPr="00CB6CBA">
        <w:tab/>
        <w:t>coverage area</w:t>
      </w:r>
    </w:p>
    <w:p w:rsidR="00CA3B52" w:rsidRPr="00CB6CBA" w:rsidRDefault="00CA3B52" w:rsidP="00F65451">
      <w:pPr>
        <w:pStyle w:val="Equationlegend"/>
        <w:rPr>
          <w:b/>
        </w:rPr>
      </w:pPr>
      <w:r w:rsidRPr="00CB6CBA">
        <w:tab/>
        <w:t>S:</w:t>
      </w:r>
      <w:r w:rsidRPr="00CB6CBA">
        <w:tab/>
        <w:t>site location</w:t>
      </w:r>
    </w:p>
    <w:p w:rsidR="00CA3B52" w:rsidRDefault="00CA3B52" w:rsidP="00F65451">
      <w:pPr>
        <w:pStyle w:val="Equationlegend"/>
      </w:pPr>
      <w:r>
        <w:tab/>
      </w:r>
      <w:r w:rsidRPr="00CB6CBA">
        <w:t>E:</w:t>
      </w:r>
      <w:r w:rsidRPr="00CB6CBA">
        <w:tab/>
        <w:t>exclusivity of use</w:t>
      </w:r>
    </w:p>
    <w:p w:rsidR="00CA3B52" w:rsidRDefault="00CA3B52" w:rsidP="00CA3B52">
      <w:pPr>
        <w:pStyle w:val="Equationlegend"/>
      </w:pPr>
      <w:r>
        <w:rPr>
          <w:i/>
          <w:iCs/>
          <w:lang w:val="pt-BR"/>
        </w:rPr>
        <w:tab/>
      </w:r>
      <w:r w:rsidRPr="005F07FC">
        <w:rPr>
          <w:i/>
          <w:iCs/>
          <w:lang w:val="pt-BR"/>
        </w:rPr>
        <w:t>F</w:t>
      </w:r>
      <w:r w:rsidRPr="005F07FC">
        <w:rPr>
          <w:i/>
          <w:iCs/>
          <w:position w:val="-4"/>
          <w:sz w:val="18"/>
          <w:lang w:val="pt-BR"/>
        </w:rPr>
        <w:t>R</w:t>
      </w:r>
      <w:r w:rsidRPr="005F07FC">
        <w:t>:</w:t>
      </w:r>
      <w:r w:rsidRPr="005F07FC">
        <w:tab/>
        <w:t>frequency</w:t>
      </w:r>
    </w:p>
    <w:p w:rsidR="00CA3B52" w:rsidRPr="005F07FC" w:rsidRDefault="00CA3B52" w:rsidP="00CA3B52">
      <w:pPr>
        <w:pStyle w:val="Equationlegend"/>
      </w:pPr>
      <w:r w:rsidRPr="005F07FC">
        <w:tab/>
      </w:r>
      <w:r w:rsidRPr="005F07FC">
        <w:rPr>
          <w:i/>
          <w:iCs/>
        </w:rPr>
        <w:t>F</w:t>
      </w:r>
      <w:r w:rsidRPr="005F07FC">
        <w:rPr>
          <w:i/>
          <w:iCs/>
          <w:vertAlign w:val="subscript"/>
        </w:rPr>
        <w:t>C</w:t>
      </w:r>
      <w:r>
        <w:t xml:space="preserve"> </w:t>
      </w:r>
      <w:r w:rsidRPr="005F07FC">
        <w:t>:</w:t>
      </w:r>
      <w:r w:rsidRPr="005F07FC">
        <w:tab/>
        <w:t>administration’s financial coefficient</w:t>
      </w:r>
      <w:r>
        <w:t>.</w:t>
      </w:r>
    </w:p>
    <w:p w:rsidR="00CA3B52" w:rsidRPr="00CB6CBA" w:rsidRDefault="00CA3B52" w:rsidP="00CA3B52">
      <w:pPr>
        <w:rPr>
          <w:lang w:val="en-US"/>
        </w:rPr>
      </w:pPr>
      <w:r w:rsidRPr="00CB6CBA">
        <w:rPr>
          <w:lang w:val="en-US"/>
        </w:rPr>
        <w:lastRenderedPageBreak/>
        <w:t>Opportunity cost fee formulas may also be used. Such fee formulas will resemble incentive fee formulas. However, in this case the administration’s financial coefficient (</w:t>
      </w:r>
      <w:r w:rsidRPr="00CB6CBA">
        <w:rPr>
          <w:i/>
          <w:iCs/>
          <w:lang w:val="en-US"/>
        </w:rPr>
        <w:t>F</w:t>
      </w:r>
      <w:r w:rsidRPr="00CB6CBA">
        <w:rPr>
          <w:i/>
          <w:iCs/>
          <w:position w:val="-4"/>
          <w:sz w:val="16"/>
          <w:lang w:val="en-US"/>
        </w:rPr>
        <w:t>C</w:t>
      </w:r>
      <w:r w:rsidRPr="00CB6CBA">
        <w:rPr>
          <w:lang w:val="en-US"/>
        </w:rPr>
        <w:t>) will be set so as to make the fee approximate the market value of the spectrum.</w:t>
      </w:r>
    </w:p>
    <w:p w:rsidR="00CA3B52" w:rsidRPr="00CB6CBA" w:rsidRDefault="00CA3B52" w:rsidP="00CA3B52">
      <w:pPr>
        <w:rPr>
          <w:b/>
          <w:lang w:val="en-US"/>
        </w:rPr>
      </w:pPr>
      <w:r w:rsidRPr="00CB6CBA">
        <w:rPr>
          <w:lang w:val="en-US"/>
        </w:rPr>
        <w:t>A number of the above formulas and those presented in other ITU documents contain an arbitrary factor which is set by the administration. Use of this arbitrary factor means the resultant fee is itself an arbitrary value. A number of countries have implemented or are considering the implementation of fee models based on the various general functional forms described above. In countries developing incentive fee or opportunity cost fee models, it has been recognized that this is a complex and difficult undertaking and some administrations are holding public consultations prior to implementation.</w:t>
      </w:r>
    </w:p>
    <w:p w:rsidR="00CA3B52" w:rsidRPr="00CB6CBA" w:rsidRDefault="00CA3B52" w:rsidP="00CA3B52">
      <w:pPr>
        <w:pStyle w:val="Heading3"/>
        <w:rPr>
          <w:lang w:val="en-US"/>
        </w:rPr>
      </w:pPr>
      <w:bookmarkStart w:id="522" w:name="_Toc394385983"/>
      <w:bookmarkStart w:id="523" w:name="_Toc394386070"/>
      <w:bookmarkStart w:id="524" w:name="_Toc395503174"/>
      <w:bookmarkStart w:id="525" w:name="_Toc459746656"/>
      <w:bookmarkStart w:id="526" w:name="_Toc459792584"/>
      <w:bookmarkStart w:id="527" w:name="_Toc459793755"/>
      <w:bookmarkStart w:id="528" w:name="_Toc459793897"/>
      <w:bookmarkStart w:id="529" w:name="_Toc459970383"/>
      <w:bookmarkStart w:id="530" w:name="_Toc497033129"/>
      <w:bookmarkStart w:id="531" w:name="_Toc497033927"/>
      <w:bookmarkStart w:id="532" w:name="_Toc289868771"/>
      <w:bookmarkStart w:id="533" w:name="_Toc289868931"/>
      <w:bookmarkStart w:id="534" w:name="_Toc289932239"/>
      <w:bookmarkStart w:id="535" w:name="_Toc289933285"/>
      <w:bookmarkStart w:id="536" w:name="_Toc291852848"/>
      <w:bookmarkStart w:id="537" w:name="_Toc392515838"/>
      <w:r w:rsidRPr="00CB6CBA">
        <w:rPr>
          <w:lang w:val="en-US"/>
        </w:rPr>
        <w:t>2.3.5</w:t>
      </w:r>
      <w:r w:rsidRPr="00CB6CBA">
        <w:rPr>
          <w:lang w:val="en-US"/>
        </w:rPr>
        <w:tab/>
        <w:t>Advantages and disadvantages of fee approaches</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rsidR="00CA3B52" w:rsidRPr="00CB6CBA" w:rsidRDefault="00CA3B52" w:rsidP="00CA3B52">
      <w:pPr>
        <w:rPr>
          <w:lang w:val="en-US"/>
        </w:rPr>
      </w:pPr>
      <w:r w:rsidRPr="00CB6CBA">
        <w:rPr>
          <w:lang w:val="en-US"/>
        </w:rPr>
        <w:t>In terms of their effect on economic efficiency, spectrum fees are an improvement on awarding licences at no charge, provided that fees are not set higher than the market value. If they are set higher, spectrum will not be fully utilized. In fact, if fees are set above the willingness to pay of all potential users, spectrum will go unused and generate no benefits to society. On the other hand, if fees are set lower than the market value, economic efficiency will be improved even though excess demand will remain for the spectrum, and revenues to the spectrum management authority will be below the market valuation. Detrimental consequences of setting fees too low are that spectrum potentially could be used wastefully and that spectrum congestion may increase.</w:t>
      </w:r>
    </w:p>
    <w:p w:rsidR="00CA3B52" w:rsidRPr="00CB6CBA" w:rsidRDefault="00CA3B52" w:rsidP="00CA3B52">
      <w:pPr>
        <w:rPr>
          <w:lang w:val="en-US"/>
        </w:rPr>
      </w:pPr>
      <w:r w:rsidRPr="00CB6CBA">
        <w:rPr>
          <w:lang w:val="en-US"/>
        </w:rPr>
        <w:t>For example, assume that there is a service provider who uses two blocks of spectrum and pays a below the market value fee of $100 per block, or $200 in total. Assume also that by purchasing more spectrally efficient equipment for $150, the same service could be provided using only one spectrum block. The rational service provider will see that the second alternative has a higher total cost of $250 ($150 for the new equipment and $100 for the single spectrum block) and thus will not choose it. If, however, the true market value of the spectrum of, say, $175 per block is now charged, then the service provider will choose to buy the new equipment and keep one spectrum block for a total cost of $325, as opposed to a total cost of $350 for keeping the old equipment and both spectrum blocks. Now that this spectrum block has been released, another party can use it, meaning that the public is now receiving the benefits of two services via the same amount of spectrum that used to provide only one service.</w:t>
      </w:r>
    </w:p>
    <w:p w:rsidR="00CA3B52" w:rsidRPr="00CB6CBA" w:rsidRDefault="00CA3B52" w:rsidP="00CA3B52">
      <w:pPr>
        <w:rPr>
          <w:lang w:val="en-US"/>
        </w:rPr>
      </w:pPr>
      <w:r w:rsidRPr="00CB6CBA">
        <w:rPr>
          <w:lang w:val="en-US"/>
        </w:rPr>
        <w:t>A similar problem created by fees that are below market value is the potential for services to wastefully use spectrum. For example, some services, such as the delivery of television programming, can be provided by either wired or wireless means. Other services, such as mobile telephony, can be provided only via the radio spectrum. When all resources (spectrum, fibre optic cable, copper wire, etc.) are priced at market rates, service providers will choose the combination of these inputs that is consistent with an economically efficient distribution. However, if spectrum is priced at a level below its market value, then service providers (such as the distributors of television programming) who have the option of using either wired or wireless infrastructure in their activities will be inclined to use more spectrum and less of the various available spectrum alternatives. The greater amount of spectrum used by television results in less being available for other services, such as mobile telephony, meaning that the total number of services available to the public has decreased – obviously, an inefficient outcome.</w:t>
      </w:r>
    </w:p>
    <w:p w:rsidR="00CA3B52" w:rsidRPr="00CB6CBA" w:rsidRDefault="00CA3B52" w:rsidP="00CA3B52">
      <w:pPr>
        <w:rPr>
          <w:lang w:val="en-US"/>
        </w:rPr>
      </w:pPr>
      <w:r w:rsidRPr="00CB6CBA">
        <w:rPr>
          <w:lang w:val="en-US"/>
        </w:rPr>
        <w:t>Formulae can be useful in setting licence fees, but must be tailored to the individual circumstances of the country. Development of formulae requires considerable effort on the part of the administration and spectrum users. In order to operate correctly, a formula must be designed to achieve a specific purpose within an explicit set of operational conditions. These conditions depend on particular aspects of the country including its geographical structure (e.g.</w:t>
      </w:r>
      <w:r>
        <w:rPr>
          <w:lang w:val="en-US"/>
        </w:rPr>
        <w:t> </w:t>
      </w:r>
      <w:r w:rsidRPr="00CB6CBA">
        <w:rPr>
          <w:lang w:val="en-US"/>
        </w:rPr>
        <w:t xml:space="preserve">terrain, size, latitude), its radiocommunications infrastructure, the potential demand for services, and the degree of </w:t>
      </w:r>
      <w:r w:rsidRPr="00CB6CBA">
        <w:rPr>
          <w:lang w:val="en-US"/>
        </w:rPr>
        <w:lastRenderedPageBreak/>
        <w:t>coordination required with neighbours. Hence the applicability of any formulae, other than the most basic, is often limited to a specific administration, a particular service and even a limited number of frequency bands. Existing formula can be reused, but will invariably require modification. This process requires an understanding of the purpose and conditions behind the formula’s original development as well as the details of its proposed implementation.</w:t>
      </w:r>
    </w:p>
    <w:p w:rsidR="00CA3B52" w:rsidRPr="00CB6CBA" w:rsidRDefault="00CA3B52" w:rsidP="00CA3B52">
      <w:pPr>
        <w:pStyle w:val="Heading4"/>
        <w:rPr>
          <w:u w:val="single"/>
          <w:lang w:val="en-US"/>
        </w:rPr>
      </w:pPr>
      <w:bookmarkStart w:id="538" w:name="_Toc391269590"/>
      <w:bookmarkStart w:id="539" w:name="_Toc459746657"/>
      <w:bookmarkStart w:id="540" w:name="_Toc459792585"/>
      <w:bookmarkStart w:id="541" w:name="_Toc459793756"/>
      <w:bookmarkStart w:id="542" w:name="_Toc459793898"/>
      <w:bookmarkStart w:id="543" w:name="_Toc497033130"/>
      <w:bookmarkStart w:id="544" w:name="_Toc497033928"/>
      <w:r w:rsidRPr="00CB6CBA">
        <w:rPr>
          <w:lang w:val="en-US"/>
        </w:rPr>
        <w:t>2.3.5.1</w:t>
      </w:r>
      <w:r w:rsidRPr="00CB6CBA">
        <w:rPr>
          <w:lang w:val="en-US"/>
        </w:rPr>
        <w:tab/>
        <w:t>Fees based on spectrum management costs</w:t>
      </w:r>
      <w:bookmarkEnd w:id="538"/>
      <w:bookmarkEnd w:id="539"/>
      <w:bookmarkEnd w:id="540"/>
      <w:bookmarkEnd w:id="541"/>
      <w:bookmarkEnd w:id="542"/>
      <w:bookmarkEnd w:id="543"/>
      <w:bookmarkEnd w:id="544"/>
    </w:p>
    <w:p w:rsidR="00CA3B52" w:rsidRPr="00CB6CBA" w:rsidRDefault="00CA3B52" w:rsidP="00CA3B52">
      <w:pPr>
        <w:rPr>
          <w:lang w:val="en-US"/>
        </w:rPr>
      </w:pPr>
      <w:r w:rsidRPr="00CB6CBA">
        <w:rPr>
          <w:lang w:val="en-US"/>
        </w:rPr>
        <w:t>This approach has the advantages of raising revenues for the spectrum management authority and ensuring that licensees will pay at least some nominal amount for their spectrum use, while eliminating those would-be licensees who place insufficient value on their use to pay even those nominal fees. However, a major disadvantage of this approach is that there is a disconnection between the level of the fee and the value of the spectrum used. For example, one licensee may use a spectrum band in a relatively unpopulated area and pay the same fee as a second user who uses the identical band in a heavily populated area, even though the latter band has far greater value. Because of this disconnection between fees and spectrum value, such fees do little to promote the efficient use of the spectrum. In some areas and frequency bands in which the spectrum has little value, fees can inhibit any use of the spectrum, producing an inefficient outcome. More typically, however, cost based fees are far less than the value of the spectrum, and therefore promote efficient use of the spectrum to only a minimal extent. Low fees can be a particular problem in countries that have a high inflation rate because fees generally are updated only every few years, and therefore may lag well behind the general price level. However, this problem can be alleviated if the political authority conveys to spectrum managers the ability to update fees as often as needed to reflect general price trends in the economy.</w:t>
      </w:r>
    </w:p>
    <w:p w:rsidR="00CA3B52" w:rsidRPr="00CB6CBA" w:rsidRDefault="00CA3B52" w:rsidP="00CA3B52">
      <w:pPr>
        <w:rPr>
          <w:lang w:val="en-US"/>
        </w:rPr>
      </w:pPr>
      <w:r w:rsidRPr="00CB6CBA">
        <w:rPr>
          <w:lang w:val="en-US"/>
        </w:rPr>
        <w:t>This approach could be used in the long run if scarcity of spectrum gradually reduces. In such case, fees can be used to cover the costs of administration spectrum management and to secure protection against interference</w:t>
      </w:r>
      <w:r w:rsidRPr="00CB6CBA">
        <w:rPr>
          <w:rStyle w:val="FootnoteReference"/>
          <w:lang w:val="en-US"/>
        </w:rPr>
        <w:footnoteReference w:id="1"/>
      </w:r>
      <w:r w:rsidRPr="00CB6CBA">
        <w:rPr>
          <w:lang w:val="en-US"/>
        </w:rPr>
        <w:t>.</w:t>
      </w:r>
    </w:p>
    <w:p w:rsidR="00CA3B52" w:rsidRPr="00CB6CBA" w:rsidRDefault="00CA3B52" w:rsidP="00CA3B52">
      <w:pPr>
        <w:pStyle w:val="Heading4"/>
        <w:rPr>
          <w:lang w:val="en-US"/>
        </w:rPr>
      </w:pPr>
      <w:bookmarkStart w:id="545" w:name="_Toc497033131"/>
      <w:bookmarkStart w:id="546" w:name="_Toc391269591"/>
      <w:bookmarkStart w:id="547" w:name="_Toc459746658"/>
      <w:bookmarkStart w:id="548" w:name="_Toc459792586"/>
      <w:bookmarkStart w:id="549" w:name="_Toc459793757"/>
      <w:bookmarkStart w:id="550" w:name="_Toc459793899"/>
      <w:bookmarkStart w:id="551" w:name="_Toc497033929"/>
      <w:r w:rsidRPr="00CB6CBA">
        <w:rPr>
          <w:lang w:val="en-US"/>
        </w:rPr>
        <w:t>2.3.5.2</w:t>
      </w:r>
      <w:r w:rsidRPr="00CB6CBA">
        <w:rPr>
          <w:lang w:val="en-US"/>
        </w:rPr>
        <w:tab/>
        <w:t>Fees based on user’s gross income</w:t>
      </w:r>
      <w:bookmarkEnd w:id="545"/>
      <w:bookmarkEnd w:id="546"/>
      <w:bookmarkEnd w:id="547"/>
      <w:bookmarkEnd w:id="548"/>
      <w:bookmarkEnd w:id="549"/>
      <w:bookmarkEnd w:id="550"/>
      <w:bookmarkEnd w:id="551"/>
    </w:p>
    <w:p w:rsidR="00CA3B52" w:rsidRPr="00CB6CBA" w:rsidRDefault="00CA3B52" w:rsidP="00CA3B52">
      <w:pPr>
        <w:rPr>
          <w:lang w:val="en-US"/>
        </w:rPr>
      </w:pPr>
      <w:r w:rsidRPr="00CB6CBA">
        <w:rPr>
          <w:lang w:val="en-US"/>
        </w:rPr>
        <w:t>Establishing a fee based on a certain percentage of gross income related to spectrum use can generate significant revenues for the spectrum management authority for certain services. For example, a television broadcaster with annual revenues of $500 million would pay an annual fee of $500 000 if the fee were just 0.1% of revenues. Further, this type of fee generates more revenue for the spectrum management authority as the licensee’s gross income increases, which could be viewed as both efficient and equitable. However, there are three m</w:t>
      </w:r>
      <w:r>
        <w:rPr>
          <w:lang w:val="en-US"/>
        </w:rPr>
        <w:t>ajor problems with this type of </w:t>
      </w:r>
      <w:r w:rsidRPr="00CB6CBA">
        <w:rPr>
          <w:lang w:val="en-US"/>
        </w:rPr>
        <w:t>fee.</w:t>
      </w:r>
    </w:p>
    <w:p w:rsidR="00CA3B52" w:rsidRPr="00CB6CBA" w:rsidRDefault="00CA3B52" w:rsidP="00CA3B52">
      <w:pPr>
        <w:rPr>
          <w:lang w:val="en-US"/>
        </w:rPr>
      </w:pPr>
      <w:r w:rsidRPr="00CB6CBA">
        <w:rPr>
          <w:lang w:val="en-US"/>
        </w:rPr>
        <w:t>First, it can apply only to users having a gross income directly linked to spectrum use and not to those users whose gross income results only indirectly from spectrum exploitation – as determining gross income may be difficult due to the complexity of company accounting and in addition determining how much of a users gross income is directly linked to spectrum use is virtually impossible, e.g., how much of a public utilities or telephone companies gross income can be attributed to their use of microwave links in portions of their fixed network.</w:t>
      </w:r>
    </w:p>
    <w:p w:rsidR="00CA3B52" w:rsidRPr="00CB6CBA" w:rsidRDefault="00CA3B52" w:rsidP="00CA3B52">
      <w:pPr>
        <w:rPr>
          <w:lang w:val="en-US"/>
        </w:rPr>
      </w:pPr>
      <w:r w:rsidRPr="00CB6CBA">
        <w:rPr>
          <w:lang w:val="en-US"/>
        </w:rPr>
        <w:t>Second, such a fee does not necessarily promote efficient spectrum use or equitable treatment of licensees because a user’s gross income is not directly related to the value of the spectrum. For example, two broadcasters may have an identical gross income, but one may be reaping substantial profits, while the second may be reaping no such profits, and indeed may even be operating at a loss.</w:t>
      </w:r>
    </w:p>
    <w:p w:rsidR="00CA3B52" w:rsidRPr="00CB6CBA" w:rsidRDefault="00CA3B52" w:rsidP="00CA3B52">
      <w:pPr>
        <w:rPr>
          <w:lang w:val="en-US"/>
        </w:rPr>
      </w:pPr>
      <w:r w:rsidRPr="00CB6CBA">
        <w:rPr>
          <w:lang w:val="en-US"/>
        </w:rPr>
        <w:lastRenderedPageBreak/>
        <w:t>Third, it may suppress spectrum usage, reduce the growth in services, impair innovation and spectrum efficiency, and have an adverse effect on international competitiveness.</w:t>
      </w:r>
    </w:p>
    <w:p w:rsidR="00CA3B52" w:rsidRPr="00CB6CBA" w:rsidRDefault="00CA3B52" w:rsidP="00CA3B52">
      <w:pPr>
        <w:pStyle w:val="Heading4"/>
        <w:rPr>
          <w:lang w:val="en-US"/>
        </w:rPr>
      </w:pPr>
      <w:bookmarkStart w:id="552" w:name="_Toc391269592"/>
      <w:bookmarkStart w:id="553" w:name="_Toc459746659"/>
      <w:bookmarkStart w:id="554" w:name="_Toc459792587"/>
      <w:bookmarkStart w:id="555" w:name="_Toc459793758"/>
      <w:bookmarkStart w:id="556" w:name="_Toc459793900"/>
      <w:bookmarkStart w:id="557" w:name="_Toc497033132"/>
      <w:bookmarkStart w:id="558" w:name="_Toc497033930"/>
      <w:r w:rsidRPr="00CB6CBA">
        <w:rPr>
          <w:lang w:val="en-US"/>
        </w:rPr>
        <w:t>2.3.5.3</w:t>
      </w:r>
      <w:r w:rsidRPr="00CB6CBA">
        <w:rPr>
          <w:lang w:val="en-US"/>
        </w:rPr>
        <w:tab/>
        <w:t>Incentive fee formulas</w:t>
      </w:r>
      <w:bookmarkEnd w:id="552"/>
      <w:bookmarkEnd w:id="553"/>
      <w:bookmarkEnd w:id="554"/>
      <w:bookmarkEnd w:id="555"/>
      <w:bookmarkEnd w:id="556"/>
      <w:bookmarkEnd w:id="557"/>
      <w:bookmarkEnd w:id="558"/>
    </w:p>
    <w:p w:rsidR="00CA3B52" w:rsidRPr="00CB6CBA" w:rsidRDefault="00CA3B52" w:rsidP="00CA3B52">
      <w:pPr>
        <w:rPr>
          <w:lang w:val="en-US"/>
        </w:rPr>
      </w:pPr>
      <w:r w:rsidRPr="00CB6CBA">
        <w:rPr>
          <w:lang w:val="en-US"/>
        </w:rPr>
        <w:t>Incentive fee formulas have the advantage of representing to some extent the scarcity and differential rents of the spectrum. By taking into account factors such as population, area, bandwidth used, and the frequency band such formulas may approximate the market value. However, the disadvantage of such fees is that no formula, however complex, can take into account all the variations of the market-place. This requires that considerable care is exercised in setting licence fees in order to avoid a large discrepancy between the fee and the market value. For this reason an incentive fee formula may need to be linked to a market valuation in order to be used effectively.</w:t>
      </w:r>
    </w:p>
    <w:p w:rsidR="00CA3B52" w:rsidRPr="00CB6CBA" w:rsidRDefault="00CA3B52" w:rsidP="00CA3B52">
      <w:pPr>
        <w:rPr>
          <w:lang w:val="en-US"/>
        </w:rPr>
      </w:pPr>
      <w:r w:rsidRPr="00CB6CBA">
        <w:rPr>
          <w:lang w:val="en-US"/>
        </w:rPr>
        <w:t>For some services, technical factors preclude a reduction in bandwidth and therefore incentive fees based on bandwidth would be inappropriate; for example, radar services.</w:t>
      </w:r>
    </w:p>
    <w:p w:rsidR="00CA3B52" w:rsidRPr="00CB6CBA" w:rsidRDefault="00CA3B52" w:rsidP="00CA3B52">
      <w:pPr>
        <w:pStyle w:val="Heading4"/>
        <w:rPr>
          <w:lang w:val="en-US"/>
        </w:rPr>
      </w:pPr>
      <w:bookmarkStart w:id="559" w:name="_Toc391269593"/>
      <w:bookmarkStart w:id="560" w:name="_Toc459746660"/>
      <w:bookmarkStart w:id="561" w:name="_Toc459792588"/>
      <w:bookmarkStart w:id="562" w:name="_Toc459793759"/>
      <w:bookmarkStart w:id="563" w:name="_Toc459793901"/>
      <w:bookmarkStart w:id="564" w:name="_Toc497033133"/>
      <w:bookmarkStart w:id="565" w:name="_Toc497033931"/>
      <w:r w:rsidRPr="00CB6CBA">
        <w:rPr>
          <w:lang w:val="en-US"/>
        </w:rPr>
        <w:t>2.3.5.4</w:t>
      </w:r>
      <w:r w:rsidRPr="00CB6CBA">
        <w:rPr>
          <w:lang w:val="en-US"/>
        </w:rPr>
        <w:tab/>
        <w:t>Opportunity cost fee formulas</w:t>
      </w:r>
      <w:bookmarkEnd w:id="559"/>
      <w:bookmarkEnd w:id="560"/>
      <w:bookmarkEnd w:id="561"/>
      <w:bookmarkEnd w:id="562"/>
      <w:bookmarkEnd w:id="563"/>
      <w:bookmarkEnd w:id="564"/>
      <w:bookmarkEnd w:id="565"/>
    </w:p>
    <w:p w:rsidR="00CA3B52" w:rsidRPr="00CB6CBA" w:rsidRDefault="00CA3B52" w:rsidP="00CA3B52">
      <w:pPr>
        <w:rPr>
          <w:lang w:val="en-US"/>
        </w:rPr>
      </w:pPr>
      <w:r w:rsidRPr="00CB6CBA">
        <w:rPr>
          <w:lang w:val="en-US"/>
        </w:rPr>
        <w:t>Opportunity cost fee formulas have the advantage of being directly targeted at the desirable goal of simulating the market value, – thus encouraging consideration of alternative means of communication and the return, by existing users, of surplus spectrum. However, just as it is extremely difficult to establish an incentive fee formula that accounts for all relevant variables that influence the price of spectrum in a particular location, so too it is extremely difficult to accurately simulate an auction and the effort required to complete the analysis may exceed the costs of an auction. Such a simulation depends upon evaluating individual consumer decisions and somehow integrating this information into a usable model. Financial studies or extrapolations based on prior secondary market transactions may be useful to some extent, but simulating the market will always remain very much an imperfect exercise, e.g., the three US broadband PCS auctions produced results strikingly different than what had been forecast by almost all analysts. Nonetheless, such methods may have advantages over cost-based alternatives in terms of managing the spectrum to balance supply and demand and maximizing economic welfare where an auction is impracticable or illegal.</w:t>
      </w:r>
    </w:p>
    <w:p w:rsidR="00CA3B52" w:rsidRPr="00CB6CBA" w:rsidRDefault="00CA3B52" w:rsidP="00CA3B52">
      <w:pPr>
        <w:pStyle w:val="Heading2"/>
        <w:rPr>
          <w:lang w:val="en-US"/>
        </w:rPr>
      </w:pPr>
      <w:bookmarkStart w:id="566" w:name="_Toc497033134"/>
      <w:bookmarkStart w:id="567" w:name="_Toc497033932"/>
      <w:bookmarkStart w:id="568" w:name="_Toc289868772"/>
      <w:bookmarkStart w:id="569" w:name="_Toc289868932"/>
      <w:bookmarkStart w:id="570" w:name="_Toc289932240"/>
      <w:bookmarkStart w:id="571" w:name="_Toc289933286"/>
      <w:bookmarkStart w:id="572" w:name="_Toc291852849"/>
      <w:bookmarkStart w:id="573" w:name="_Toc392515839"/>
      <w:r w:rsidRPr="00CB6CBA">
        <w:rPr>
          <w:lang w:val="en-US"/>
        </w:rPr>
        <w:t>2.4</w:t>
      </w:r>
      <w:r w:rsidRPr="00CB6CBA">
        <w:rPr>
          <w:lang w:val="en-US"/>
        </w:rPr>
        <w:tab/>
        <w:t>Factors that could affect various economic approaches</w:t>
      </w:r>
      <w:bookmarkEnd w:id="566"/>
      <w:bookmarkEnd w:id="567"/>
      <w:bookmarkEnd w:id="568"/>
      <w:bookmarkEnd w:id="569"/>
      <w:bookmarkEnd w:id="570"/>
      <w:bookmarkEnd w:id="571"/>
      <w:bookmarkEnd w:id="572"/>
      <w:bookmarkEnd w:id="573"/>
    </w:p>
    <w:p w:rsidR="00CA3B52" w:rsidRPr="00CB6CBA" w:rsidRDefault="00CA3B52" w:rsidP="00CA3B52">
      <w:pPr>
        <w:rPr>
          <w:lang w:val="en-US"/>
        </w:rPr>
      </w:pPr>
      <w:r w:rsidRPr="00CB6CBA">
        <w:rPr>
          <w:lang w:val="en-US"/>
        </w:rPr>
        <w:t>There are a number of factors which could affect both the need and the ability of different administrations to implement the economic approaches to spectrum management discussed above. Various legal, socio</w:t>
      </w:r>
      <w:r w:rsidRPr="00CB6CBA">
        <w:rPr>
          <w:lang w:val="en-US"/>
        </w:rPr>
        <w:noBreakHyphen/>
        <w:t>economic, and technical infrastructure considerations will all have an impact with respect to spectrum auctions, transferable property rights, and licence fee regimes.</w:t>
      </w:r>
    </w:p>
    <w:p w:rsidR="00CA3B52" w:rsidRPr="00CB6CBA" w:rsidRDefault="00CA3B52" w:rsidP="00CA3B52">
      <w:pPr>
        <w:pStyle w:val="Heading3"/>
        <w:rPr>
          <w:lang w:val="en-US"/>
        </w:rPr>
      </w:pPr>
      <w:bookmarkStart w:id="574" w:name="_Toc394385986"/>
      <w:bookmarkStart w:id="575" w:name="_Toc394386073"/>
      <w:bookmarkStart w:id="576" w:name="_Toc395503177"/>
      <w:bookmarkStart w:id="577" w:name="_Toc459746662"/>
      <w:bookmarkStart w:id="578" w:name="_Toc459792590"/>
      <w:bookmarkStart w:id="579" w:name="_Toc459793761"/>
      <w:bookmarkStart w:id="580" w:name="_Toc459793903"/>
      <w:bookmarkStart w:id="581" w:name="_Toc459970385"/>
      <w:bookmarkStart w:id="582" w:name="_Toc497033135"/>
      <w:bookmarkStart w:id="583" w:name="_Toc497033933"/>
      <w:bookmarkStart w:id="584" w:name="_Toc289868773"/>
      <w:bookmarkStart w:id="585" w:name="_Toc289868933"/>
      <w:bookmarkStart w:id="586" w:name="_Toc289932241"/>
      <w:bookmarkStart w:id="587" w:name="_Toc289933287"/>
      <w:bookmarkStart w:id="588" w:name="_Toc291852850"/>
      <w:bookmarkStart w:id="589" w:name="_Toc392515840"/>
      <w:r w:rsidRPr="00CB6CBA">
        <w:rPr>
          <w:lang w:val="en-US"/>
        </w:rPr>
        <w:t>2.4.1</w:t>
      </w:r>
      <w:r w:rsidRPr="00CB6CBA">
        <w:rPr>
          <w:lang w:val="en-US"/>
        </w:rPr>
        <w:tab/>
        <w:t>Auctions</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rsidR="00CA3B52" w:rsidRPr="00CB6CBA" w:rsidRDefault="00CA3B52" w:rsidP="00CA3B52">
      <w:pPr>
        <w:pStyle w:val="Heading4"/>
        <w:rPr>
          <w:lang w:val="en-US"/>
        </w:rPr>
      </w:pPr>
      <w:bookmarkStart w:id="590" w:name="_Toc459746663"/>
      <w:bookmarkStart w:id="591" w:name="_Toc459792591"/>
      <w:bookmarkStart w:id="592" w:name="_Toc459793762"/>
      <w:bookmarkStart w:id="593" w:name="_Toc459793904"/>
      <w:bookmarkStart w:id="594" w:name="_Toc497033136"/>
      <w:bookmarkStart w:id="595" w:name="_Toc497033934"/>
      <w:r w:rsidRPr="00CB6CBA">
        <w:rPr>
          <w:lang w:val="en-US"/>
        </w:rPr>
        <w:t>2.4.1.1</w:t>
      </w:r>
      <w:r w:rsidRPr="00CB6CBA">
        <w:rPr>
          <w:lang w:val="en-US"/>
        </w:rPr>
        <w:tab/>
        <w:t>Applicability of auctions</w:t>
      </w:r>
      <w:bookmarkEnd w:id="590"/>
      <w:bookmarkEnd w:id="591"/>
      <w:bookmarkEnd w:id="592"/>
      <w:bookmarkEnd w:id="593"/>
      <w:bookmarkEnd w:id="594"/>
      <w:bookmarkEnd w:id="595"/>
    </w:p>
    <w:p w:rsidR="00CA3B52" w:rsidRPr="00CB6CBA" w:rsidRDefault="00CA3B52" w:rsidP="00CA3B52">
      <w:pPr>
        <w:rPr>
          <w:lang w:val="en-US"/>
        </w:rPr>
      </w:pPr>
      <w:r w:rsidRPr="00CB6CBA">
        <w:rPr>
          <w:lang w:val="en-US"/>
        </w:rPr>
        <w:t>As discussed previously, there are several potential advantages to using auctions as a method of spectrum assignment. However, different countries will likely also have a number of spectrum management objectives which auctions by themselves may not adequately address. Often such objectives can be met through the use of other policy instruments (regulations, licence conditions, standards, etc.) which are fully compatible with spectrum auctioning, but each administration will have to consider its priorities and decide on the overall appropriateness of auctions in light of the various objectives it wishes to achieve. Should an administration decide to utilize auctions, it should be aware that, generally, the greater the number of regulations, conditions, or restrictions put on the use of spectrum to be auctioned, the lower will be the auction revenue, hence, administrations may wish to consider the trade</w:t>
      </w:r>
      <w:r w:rsidRPr="00CB6CBA">
        <w:rPr>
          <w:lang w:val="en-US"/>
        </w:rPr>
        <w:noBreakHyphen/>
        <w:t xml:space="preserve">offs involved, depending on their priorities. On a related note, </w:t>
      </w:r>
      <w:r w:rsidRPr="00CB6CBA">
        <w:rPr>
          <w:lang w:val="en-US"/>
        </w:rPr>
        <w:lastRenderedPageBreak/>
        <w:t>administrations could choose to restrict spectrum supply, which would generally lead to higher auction revenues; however, there is a trade-off here as well in that a restricted supply of spectrum will lead to a narrower range of consumer services, higher consumer prices, and an overall decrease in economic efficiency.</w:t>
      </w:r>
    </w:p>
    <w:p w:rsidR="00CA3B52" w:rsidRPr="00CB6CBA" w:rsidRDefault="00CA3B52" w:rsidP="00CA3B52">
      <w:pPr>
        <w:rPr>
          <w:lang w:val="en-US"/>
        </w:rPr>
      </w:pPr>
      <w:r w:rsidRPr="00CB6CBA">
        <w:rPr>
          <w:lang w:val="en-US"/>
        </w:rPr>
        <w:t>While it may seem obvious, it is also worth noting that auctions by definition are applicable only in those circumstances where the demand for spectrum exceeds the available supply. Depending on any particular country’s level of economic development, the level of its communications infrastructure development, its investment climate, and any foreign ownership or trade restrictions it may impose with regard to the provision of spectrum-based services (among other factors), the possibility exists that an administration may receive insufficient interest to make an auction necessary for some spectrum.</w:t>
      </w:r>
    </w:p>
    <w:p w:rsidR="00CA3B52" w:rsidRPr="00CB6CBA" w:rsidRDefault="00CA3B52" w:rsidP="00CA3B52">
      <w:pPr>
        <w:rPr>
          <w:lang w:val="en-US"/>
        </w:rPr>
      </w:pPr>
      <w:r w:rsidRPr="00CB6CBA">
        <w:rPr>
          <w:lang w:val="en-US"/>
        </w:rPr>
        <w:t>Generally speaking, the higher the level of economic and communications infrastructure development, the more favourable the investment climate; and the lower the foreign ownership barriers and trade barriers, the greater will be the demand for access to spectrum, leading to more vigorous competition in an auction and presumably higher revenues for the government.</w:t>
      </w:r>
    </w:p>
    <w:p w:rsidR="00CA3B52" w:rsidRPr="00CB6CBA" w:rsidRDefault="00CA3B52" w:rsidP="00CA3B52">
      <w:pPr>
        <w:rPr>
          <w:lang w:val="en-US"/>
        </w:rPr>
      </w:pPr>
      <w:r w:rsidRPr="00CB6CBA">
        <w:rPr>
          <w:lang w:val="en-US"/>
        </w:rPr>
        <w:t>Auctions are a market based mechanism and a fundamental requirement for the proper functioning of any market is a solid legal underpinning. This means, first of all, that the political authority must authorize the use of auctions for specified services. Second, for an auction to perform optimally, the nature of the right being auctioned (geographic coverage, available bandwidth, tenure of licence, etc.) as well as the accompanying responsibilities (licence conditions, service restrictions, equipment standards, etc.) should be specified as precisely as possible. As well, there should be certainty that the government is both willing and able to act as necessary to ensure that licensees are able to exercise the rights or privileges granted to them while at the same time meeting the responsibilities required of them. Any uncertainty surrounding such factors as the length of tenure of the licence being auctioned will create confusion and may result in lower bids.</w:t>
      </w:r>
    </w:p>
    <w:p w:rsidR="00CA3B52" w:rsidRPr="00CB6CBA" w:rsidRDefault="00CA3B52" w:rsidP="00CA3B52">
      <w:pPr>
        <w:rPr>
          <w:lang w:val="en-US"/>
        </w:rPr>
      </w:pPr>
      <w:r w:rsidRPr="00CB6CBA">
        <w:rPr>
          <w:lang w:val="en-US"/>
        </w:rPr>
        <w:t>Before entering a spectrum auction, for example, bidders will wish to know what degree of protection from harmful interference they can expect with the spectrum to be auctioned, as well as the steps they will be expected to take to avoid causing harmful interference to others. They will also wish to be assured that the government will enforce this interference protection regime.</w:t>
      </w:r>
    </w:p>
    <w:p w:rsidR="00CA3B52" w:rsidRPr="00CB6CBA" w:rsidRDefault="00CA3B52" w:rsidP="00CA3B52">
      <w:pPr>
        <w:rPr>
          <w:lang w:val="en-US"/>
        </w:rPr>
      </w:pPr>
      <w:r w:rsidRPr="00CB6CBA">
        <w:rPr>
          <w:lang w:val="en-US"/>
        </w:rPr>
        <w:t>The quality of an administration’s licence/licensee database, its spectrum monitoring capability, and its ability to impose meaningful penalties on those who cause harmful interference to others all impact the government’s ability to protect the rights or privileges of spectrum users and hence have an impact on the ability to conduct successful spectrum auctions.</w:t>
      </w:r>
    </w:p>
    <w:p w:rsidR="00CA3B52" w:rsidRPr="00CB6CBA" w:rsidRDefault="00CA3B52" w:rsidP="00CA3B52">
      <w:pPr>
        <w:pStyle w:val="Heading4"/>
        <w:rPr>
          <w:lang w:val="en-US"/>
        </w:rPr>
      </w:pPr>
      <w:bookmarkStart w:id="596" w:name="_Toc459746664"/>
      <w:bookmarkStart w:id="597" w:name="_Toc459792592"/>
      <w:bookmarkStart w:id="598" w:name="_Toc459793763"/>
      <w:bookmarkStart w:id="599" w:name="_Toc459793905"/>
      <w:bookmarkStart w:id="600" w:name="_Toc497033137"/>
      <w:bookmarkStart w:id="601" w:name="_Toc497033935"/>
      <w:r w:rsidRPr="00CB6CBA">
        <w:rPr>
          <w:lang w:val="en-US"/>
        </w:rPr>
        <w:t>2.4.1.2</w:t>
      </w:r>
      <w:r w:rsidRPr="00CB6CBA">
        <w:rPr>
          <w:lang w:val="en-US"/>
        </w:rPr>
        <w:tab/>
        <w:t>Pre</w:t>
      </w:r>
      <w:r w:rsidRPr="00CB6CBA">
        <w:rPr>
          <w:lang w:val="en-US"/>
        </w:rPr>
        <w:noBreakHyphen/>
        <w:t>auction requirements</w:t>
      </w:r>
      <w:bookmarkEnd w:id="596"/>
      <w:bookmarkEnd w:id="597"/>
      <w:bookmarkEnd w:id="598"/>
      <w:bookmarkEnd w:id="599"/>
      <w:bookmarkEnd w:id="600"/>
      <w:bookmarkEnd w:id="601"/>
    </w:p>
    <w:p w:rsidR="00CA3B52" w:rsidRPr="00CB6CBA" w:rsidRDefault="00CA3B52" w:rsidP="00CA3B52">
      <w:pPr>
        <w:rPr>
          <w:lang w:val="en-US"/>
        </w:rPr>
      </w:pPr>
      <w:r w:rsidRPr="00CB6CBA">
        <w:rPr>
          <w:lang w:val="en-US"/>
        </w:rPr>
        <w:t>It is desirable that all the rights and responsibilities accompanying the spectrum to be auctioned are specified prior to the auction; otherwise, bidders will face high degrees of uncertainty which will significantly compromise their abilities to bid rationally, greatly increasing the chances of an unsuccessful auction. This means, of course, that administrations seeking to use auctions must be able, both legally and politically, to establish licence definitions, terms, conditions, and policies before knowing who the licensees will be.</w:t>
      </w:r>
    </w:p>
    <w:p w:rsidR="00CA3B52" w:rsidRPr="00CB6CBA" w:rsidRDefault="00CA3B52" w:rsidP="00CA3B52">
      <w:pPr>
        <w:rPr>
          <w:lang w:val="en-US"/>
        </w:rPr>
      </w:pPr>
      <w:r w:rsidRPr="00CB6CBA">
        <w:rPr>
          <w:lang w:val="en-US"/>
        </w:rPr>
        <w:t>Similarly, the rules and procedures of an auction should be known and clearly understood by all participants prior to the auction’s commencement. Great advances in auction theory, and in its practical application, have been made in recent years. Any administration planning to implement spectrum auctions would be well advised to consult the growing body of literature on this subject and to review the experiences of spectrum auction “pioneers” such as New Zealand, the United States of America, and Australia, to learn both from their successes and from some of the problems that have been encountered with respect to auction design and operation.</w:t>
      </w:r>
    </w:p>
    <w:p w:rsidR="00CA3B52" w:rsidRPr="00CB6CBA" w:rsidRDefault="00CA3B52" w:rsidP="00CA3B52">
      <w:pPr>
        <w:rPr>
          <w:lang w:val="en-US"/>
        </w:rPr>
      </w:pPr>
      <w:r w:rsidRPr="00CB6CBA">
        <w:rPr>
          <w:lang w:val="en-US"/>
        </w:rPr>
        <w:lastRenderedPageBreak/>
        <w:t>Depending on the complexity of the auction in question, an automated auction system may be desirable. Thus, certain technical infrastructure may be required to hold an auction. As well, education and training for both spectrum managers and potential bidders may be required to ensure a sufficient level of “auction literacy”.</w:t>
      </w:r>
    </w:p>
    <w:p w:rsidR="00CA3B52" w:rsidRPr="00CB6CBA" w:rsidRDefault="00CA3B52" w:rsidP="00CA3B52">
      <w:pPr>
        <w:pStyle w:val="Heading4"/>
        <w:rPr>
          <w:lang w:val="en-US"/>
        </w:rPr>
      </w:pPr>
      <w:bookmarkStart w:id="602" w:name="_Toc459746665"/>
      <w:bookmarkStart w:id="603" w:name="_Toc459792593"/>
      <w:bookmarkStart w:id="604" w:name="_Toc459793764"/>
      <w:bookmarkStart w:id="605" w:name="_Toc459793906"/>
      <w:bookmarkStart w:id="606" w:name="_Toc497033138"/>
      <w:bookmarkStart w:id="607" w:name="_Toc497033936"/>
      <w:r w:rsidRPr="00CB6CBA">
        <w:rPr>
          <w:lang w:val="en-US"/>
        </w:rPr>
        <w:t>2.4.1.3</w:t>
      </w:r>
      <w:r w:rsidRPr="00CB6CBA">
        <w:rPr>
          <w:lang w:val="en-US"/>
        </w:rPr>
        <w:tab/>
        <w:t>Competition policy</w:t>
      </w:r>
      <w:bookmarkEnd w:id="602"/>
      <w:bookmarkEnd w:id="603"/>
      <w:bookmarkEnd w:id="604"/>
      <w:bookmarkEnd w:id="605"/>
      <w:bookmarkEnd w:id="606"/>
      <w:bookmarkEnd w:id="607"/>
    </w:p>
    <w:p w:rsidR="00CA3B52" w:rsidRPr="00CB6CBA" w:rsidRDefault="00CA3B52" w:rsidP="00CA3B52">
      <w:pPr>
        <w:rPr>
          <w:lang w:val="en-US"/>
        </w:rPr>
      </w:pPr>
      <w:r w:rsidRPr="00CB6CBA">
        <w:rPr>
          <w:lang w:val="en-US"/>
        </w:rPr>
        <w:t>Depending on a given administration’s stance towards competition in spectrum-based services, it may be particularly important that the possibility of market dominance is considered. Existing competition policies, as well as proposed licence conditions and auction rules and procedures, should be reviewed to ensure that an unacceptable auction outcome is avoided.</w:t>
      </w:r>
    </w:p>
    <w:p w:rsidR="00CA3B52" w:rsidRPr="00CB6CBA" w:rsidRDefault="00CA3B52" w:rsidP="00CA3B52">
      <w:pPr>
        <w:pStyle w:val="Heading3"/>
        <w:rPr>
          <w:lang w:val="en-US"/>
        </w:rPr>
      </w:pPr>
      <w:bookmarkStart w:id="608" w:name="_Toc394385987"/>
      <w:bookmarkStart w:id="609" w:name="_Toc394386074"/>
      <w:bookmarkStart w:id="610" w:name="_Toc395503178"/>
      <w:bookmarkStart w:id="611" w:name="_Toc459746666"/>
      <w:bookmarkStart w:id="612" w:name="_Toc459792594"/>
      <w:bookmarkStart w:id="613" w:name="_Toc459793765"/>
      <w:bookmarkStart w:id="614" w:name="_Toc459793907"/>
      <w:bookmarkStart w:id="615" w:name="_Toc459970386"/>
      <w:bookmarkStart w:id="616" w:name="_Toc497033139"/>
      <w:bookmarkStart w:id="617" w:name="_Toc497033937"/>
      <w:bookmarkStart w:id="618" w:name="_Toc289868774"/>
      <w:bookmarkStart w:id="619" w:name="_Toc289868934"/>
      <w:bookmarkStart w:id="620" w:name="_Toc289932242"/>
      <w:bookmarkStart w:id="621" w:name="_Toc289933288"/>
      <w:bookmarkStart w:id="622" w:name="_Toc291852851"/>
      <w:bookmarkStart w:id="623" w:name="_Toc392515841"/>
      <w:r w:rsidRPr="00CB6CBA">
        <w:rPr>
          <w:lang w:val="en-US"/>
        </w:rPr>
        <w:t>2.4.2</w:t>
      </w:r>
      <w:r w:rsidRPr="00CB6CBA">
        <w:rPr>
          <w:lang w:val="en-US"/>
        </w:rPr>
        <w:tab/>
        <w:t>Transferable property rights</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rsidR="00CA3B52" w:rsidRPr="00CB6CBA" w:rsidRDefault="00CA3B52" w:rsidP="00CA3B52">
      <w:pPr>
        <w:rPr>
          <w:lang w:val="en-US"/>
        </w:rPr>
      </w:pPr>
      <w:r w:rsidRPr="00CB6CBA">
        <w:rPr>
          <w:lang w:val="en-US"/>
        </w:rPr>
        <w:t>As with spectrum auctioning, the legal framework which underlies the ability of markets to function effectively, the clear specification by spectrum managers of rules and policies, and the legal and policy stance with respect to competition are all critical to how well a transferable spectrum property rights regime will work.</w:t>
      </w:r>
    </w:p>
    <w:p w:rsidR="00CA3B52" w:rsidRPr="00CB6CBA" w:rsidRDefault="00CA3B52" w:rsidP="00CA3B52">
      <w:pPr>
        <w:rPr>
          <w:lang w:val="en-US"/>
        </w:rPr>
      </w:pPr>
      <w:r w:rsidRPr="00CB6CBA">
        <w:rPr>
          <w:lang w:val="en-US"/>
        </w:rPr>
        <w:t>An administration considering the implementation of such a regime will wish to ensure that it has the wherewithal to continue to enforce applicable licence conditions, standards, and regulations once spectrum has been transferred from an original licensee to another party. The ability of an administration to maintain an accurate licence/licensee database is important in this regard, so a certain degree of administrative and/or technical infrastructure would appear necessary for a transferable property rights regime to be successfully implemented. This need is amplified if the administration intends to allow licensees to transfer their licences not only in whole, but also in part, that is to say, to allow licence divisibility.</w:t>
      </w:r>
    </w:p>
    <w:p w:rsidR="00CA3B52" w:rsidRPr="00CB6CBA" w:rsidRDefault="00CA3B52" w:rsidP="00CA3B52">
      <w:pPr>
        <w:pStyle w:val="Heading3"/>
        <w:rPr>
          <w:lang w:val="en-US"/>
        </w:rPr>
      </w:pPr>
      <w:bookmarkStart w:id="624" w:name="_Toc394385988"/>
      <w:bookmarkStart w:id="625" w:name="_Toc394386075"/>
      <w:bookmarkStart w:id="626" w:name="_Toc395503179"/>
      <w:bookmarkStart w:id="627" w:name="_Toc459746667"/>
      <w:bookmarkStart w:id="628" w:name="_Toc459792595"/>
      <w:bookmarkStart w:id="629" w:name="_Toc459793766"/>
      <w:bookmarkStart w:id="630" w:name="_Toc459793908"/>
      <w:bookmarkStart w:id="631" w:name="_Toc459970387"/>
      <w:bookmarkStart w:id="632" w:name="_Toc497033140"/>
      <w:bookmarkStart w:id="633" w:name="_Toc497033938"/>
      <w:bookmarkStart w:id="634" w:name="_Toc289868775"/>
      <w:bookmarkStart w:id="635" w:name="_Toc289868935"/>
      <w:bookmarkStart w:id="636" w:name="_Toc289932243"/>
      <w:bookmarkStart w:id="637" w:name="_Toc289933289"/>
      <w:bookmarkStart w:id="638" w:name="_Toc291852852"/>
      <w:bookmarkStart w:id="639" w:name="_Toc392515842"/>
      <w:r w:rsidRPr="00CB6CBA">
        <w:rPr>
          <w:lang w:val="en-US"/>
        </w:rPr>
        <w:t>2.4.3</w:t>
      </w:r>
      <w:r w:rsidRPr="00CB6CBA">
        <w:rPr>
          <w:lang w:val="en-US"/>
        </w:rPr>
        <w:tab/>
        <w:t>Licence fees</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rsidR="00CA3B52" w:rsidRPr="00CB6CBA" w:rsidRDefault="00CA3B52" w:rsidP="00CA3B52">
      <w:pPr>
        <w:rPr>
          <w:lang w:val="en-US"/>
        </w:rPr>
      </w:pPr>
      <w:r w:rsidRPr="00CB6CBA">
        <w:rPr>
          <w:lang w:val="en-US"/>
        </w:rPr>
        <w:t>The applicability of various licence fee regimes may vary among different countries. Countries with more developed economies and communications infrastructures may, for example, be more inclined to pursue such goals as:</w:t>
      </w:r>
    </w:p>
    <w:p w:rsidR="00CA3B52" w:rsidRPr="00CB6CBA" w:rsidRDefault="00CA3B52" w:rsidP="00CA3B52">
      <w:pPr>
        <w:pStyle w:val="enumlev1"/>
        <w:rPr>
          <w:lang w:val="en-US"/>
        </w:rPr>
      </w:pPr>
      <w:r w:rsidRPr="00CB6CBA">
        <w:rPr>
          <w:lang w:val="en-US"/>
        </w:rPr>
        <w:t>–</w:t>
      </w:r>
      <w:r w:rsidRPr="00CB6CBA">
        <w:rPr>
          <w:lang w:val="en-US"/>
        </w:rPr>
        <w:tab/>
        <w:t>ensuring that the total payments made by spectrum users, through fees and/or auction proceeds, are greater than or equal to the total costs of spectrum management so as to avoid the subsidization of spectrum users from the general treasury;</w:t>
      </w:r>
    </w:p>
    <w:p w:rsidR="00CA3B52" w:rsidRPr="00CB6CBA" w:rsidRDefault="00CA3B52" w:rsidP="00CA3B52">
      <w:pPr>
        <w:pStyle w:val="enumlev1"/>
        <w:rPr>
          <w:lang w:val="en-US"/>
        </w:rPr>
      </w:pPr>
      <w:r w:rsidRPr="00CB6CBA">
        <w:rPr>
          <w:lang w:val="en-US"/>
        </w:rPr>
        <w:t>–</w:t>
      </w:r>
      <w:r w:rsidRPr="00CB6CBA">
        <w:rPr>
          <w:lang w:val="en-US"/>
        </w:rPr>
        <w:tab/>
        <w:t>having fees approximate the market value of the spectrum resource to promote efficie</w:t>
      </w:r>
      <w:r>
        <w:rPr>
          <w:lang w:val="en-US"/>
        </w:rPr>
        <w:t>nt use; and/or</w:t>
      </w:r>
    </w:p>
    <w:p w:rsidR="00CA3B52" w:rsidRPr="00CB6CBA" w:rsidRDefault="00CA3B52" w:rsidP="00CA3B52">
      <w:pPr>
        <w:pStyle w:val="enumlev1"/>
        <w:rPr>
          <w:lang w:val="en-US"/>
        </w:rPr>
      </w:pPr>
      <w:r w:rsidRPr="00CB6CBA">
        <w:rPr>
          <w:lang w:val="en-US"/>
        </w:rPr>
        <w:t>–</w:t>
      </w:r>
      <w:r w:rsidRPr="00CB6CBA">
        <w:rPr>
          <w:lang w:val="en-US"/>
        </w:rPr>
        <w:tab/>
        <w:t>capturing any economic rents that the spectrum resource may generate.</w:t>
      </w:r>
    </w:p>
    <w:p w:rsidR="00CA3B52" w:rsidRPr="00CB6CBA" w:rsidRDefault="00CA3B52" w:rsidP="00CA3B52">
      <w:pPr>
        <w:rPr>
          <w:lang w:val="en-US"/>
        </w:rPr>
      </w:pPr>
      <w:r w:rsidRPr="00CB6CBA">
        <w:rPr>
          <w:lang w:val="en-US"/>
        </w:rPr>
        <w:t>Countries with less developed economies may choose to pursue these same goals, or alternatively they might see fit to implicitly subsidize spectrum users through low licence fees if they feel that this will further other policy objectives.</w:t>
      </w:r>
    </w:p>
    <w:p w:rsidR="00CA3B52" w:rsidRPr="00CB6CBA" w:rsidRDefault="00CA3B52" w:rsidP="00CA3B52">
      <w:pPr>
        <w:rPr>
          <w:lang w:val="en-US"/>
        </w:rPr>
      </w:pPr>
      <w:r w:rsidRPr="00CB6CBA">
        <w:rPr>
          <w:lang w:val="en-US"/>
        </w:rPr>
        <w:t>With reference to the different types of licence fee regimes discussed previously, incentive and/or opportunity cost-based fees have certain requirements for successful implementation. These types of fees are generally based on notions such as “spectrum consumed” or “the economic value of spectrum”, which are not always easy to practically define or estimate. Reliable automated licence/licensee databases and other informatics tools such as geographic information software may be necessary to perform the calculations imbedded in the fee model. Administrations wishing to reflect market values in their licence fees will need to consider to what extent the licences they grant resemble “market properties”. Any attempt to extract fees which in actuality are beyond the value of the associated spectrum may have negative economic consequences such as stifling investment, limiting service penetration, or raising consumer prices.</w:t>
      </w:r>
    </w:p>
    <w:p w:rsidR="00CA3B52" w:rsidRPr="00CB6CBA" w:rsidRDefault="00CA3B52" w:rsidP="00CA3B52">
      <w:pPr>
        <w:rPr>
          <w:lang w:val="en-US"/>
        </w:rPr>
      </w:pPr>
      <w:r w:rsidRPr="00CB6CBA">
        <w:rPr>
          <w:lang w:val="en-US"/>
        </w:rPr>
        <w:lastRenderedPageBreak/>
        <w:t>Finally, in countries that have not previously charged fees, it is essential that spectrum managers have the legal authority in their communications law to charge for spectrum use.</w:t>
      </w:r>
    </w:p>
    <w:p w:rsidR="00CA3B52" w:rsidRPr="00CB6CBA" w:rsidRDefault="00CA3B52" w:rsidP="00CA3B52">
      <w:pPr>
        <w:pStyle w:val="Heading2"/>
        <w:rPr>
          <w:lang w:val="en-US"/>
        </w:rPr>
      </w:pPr>
      <w:bookmarkStart w:id="640" w:name="_Toc400523524"/>
      <w:bookmarkStart w:id="641" w:name="_Toc403126962"/>
      <w:bookmarkStart w:id="642" w:name="_Toc403127174"/>
      <w:bookmarkStart w:id="643" w:name="_Toc403794338"/>
      <w:bookmarkStart w:id="644" w:name="_Toc403794756"/>
      <w:bookmarkStart w:id="645" w:name="_Toc405043911"/>
      <w:bookmarkStart w:id="646" w:name="_Toc405044148"/>
      <w:bookmarkStart w:id="647" w:name="_Toc405175978"/>
      <w:bookmarkStart w:id="648" w:name="_Toc409770190"/>
      <w:bookmarkStart w:id="649" w:name="_Toc423234793"/>
      <w:bookmarkStart w:id="650" w:name="_Toc423240978"/>
      <w:bookmarkStart w:id="651" w:name="_Toc423241806"/>
      <w:bookmarkStart w:id="652" w:name="_Toc423242114"/>
      <w:bookmarkStart w:id="653" w:name="_Toc423242254"/>
      <w:bookmarkStart w:id="654" w:name="_Toc423938026"/>
      <w:bookmarkStart w:id="655" w:name="_Toc425918239"/>
      <w:bookmarkStart w:id="656" w:name="_Toc456491512"/>
      <w:bookmarkStart w:id="657" w:name="_Toc456491685"/>
      <w:bookmarkStart w:id="658" w:name="_Toc456492129"/>
      <w:bookmarkStart w:id="659" w:name="_Toc456492170"/>
      <w:bookmarkStart w:id="660" w:name="_Toc458355754"/>
      <w:bookmarkStart w:id="661" w:name="_Toc459792596"/>
      <w:bookmarkStart w:id="662" w:name="_Toc459793767"/>
      <w:bookmarkStart w:id="663" w:name="_Toc459793909"/>
      <w:bookmarkStart w:id="664" w:name="_Toc459970388"/>
      <w:bookmarkStart w:id="665" w:name="_Toc497033141"/>
      <w:bookmarkStart w:id="666" w:name="_Toc497033939"/>
      <w:bookmarkStart w:id="667" w:name="_Toc289868776"/>
      <w:bookmarkStart w:id="668" w:name="_Toc289868936"/>
      <w:bookmarkStart w:id="669" w:name="_Toc289932244"/>
      <w:bookmarkStart w:id="670" w:name="_Toc289933290"/>
      <w:bookmarkStart w:id="671" w:name="_Toc291852853"/>
      <w:bookmarkStart w:id="672" w:name="_Toc392515843"/>
      <w:bookmarkStart w:id="673" w:name="_Toc394385989"/>
      <w:bookmarkStart w:id="674" w:name="_Toc394386076"/>
      <w:bookmarkStart w:id="675" w:name="_Toc395503180"/>
      <w:r w:rsidRPr="00CB6CBA">
        <w:rPr>
          <w:lang w:val="en-US"/>
        </w:rPr>
        <w:t>2.5</w:t>
      </w:r>
      <w:r w:rsidRPr="00CB6CBA">
        <w:rPr>
          <w:lang w:val="en-US"/>
        </w:rPr>
        <w:tab/>
        <w:t>Managing a change in spectrum management funding</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rsidR="00CA3B52" w:rsidRPr="00CB6CBA" w:rsidRDefault="00CA3B52" w:rsidP="00CA3B52">
      <w:pPr>
        <w:rPr>
          <w:lang w:val="en-US"/>
        </w:rPr>
      </w:pPr>
      <w:r w:rsidRPr="00CB6CBA">
        <w:rPr>
          <w:lang w:val="en-US"/>
        </w:rPr>
        <w:t>Use of radio has been identified as providing a number of benefits (see Chapter 3). Whether the level of economic benefits from the use of radio grows or diminishes depends on the spectrum being used efficiently and managed effectively. As implementation of spectrum pricing, or spectrum rights, can have a significant impact on spectrum management processes it is advisable that change should be managed due to the potential implications for the economy, the licensing process, industry and radio users.</w:t>
      </w:r>
    </w:p>
    <w:p w:rsidR="00CA3B52" w:rsidRPr="00CB6CBA" w:rsidRDefault="00CA3B52" w:rsidP="00CA3B52">
      <w:pPr>
        <w:rPr>
          <w:lang w:val="en-US"/>
        </w:rPr>
      </w:pPr>
      <w:r w:rsidRPr="00CB6CBA">
        <w:rPr>
          <w:lang w:val="en-US"/>
        </w:rPr>
        <w:t>The issues that a spectrum management authority needs to consider related to these changes are likely to vary from administration to administration and the precise spectrum pricing procedure will differ, but they can be grouped into a small number of categories.</w:t>
      </w:r>
    </w:p>
    <w:p w:rsidR="00CA3B52" w:rsidRPr="00CB6CBA" w:rsidRDefault="00CA3B52" w:rsidP="00CA3B52">
      <w:pPr>
        <w:pStyle w:val="Heading3"/>
        <w:rPr>
          <w:lang w:val="en-US"/>
        </w:rPr>
      </w:pPr>
      <w:bookmarkStart w:id="676" w:name="_Toc405043914"/>
      <w:bookmarkStart w:id="677" w:name="_Toc405044151"/>
      <w:bookmarkStart w:id="678" w:name="_Toc405175981"/>
      <w:bookmarkStart w:id="679" w:name="_Toc409770193"/>
      <w:bookmarkStart w:id="680" w:name="_Toc423234796"/>
      <w:bookmarkStart w:id="681" w:name="_Toc423240981"/>
      <w:bookmarkStart w:id="682" w:name="_Toc423241809"/>
      <w:bookmarkStart w:id="683" w:name="_Toc423242117"/>
      <w:bookmarkStart w:id="684" w:name="_Toc423242257"/>
      <w:bookmarkStart w:id="685" w:name="_Toc423938029"/>
      <w:bookmarkStart w:id="686" w:name="_Toc425918242"/>
      <w:bookmarkStart w:id="687" w:name="_Toc456491514"/>
      <w:bookmarkStart w:id="688" w:name="_Toc456491687"/>
      <w:bookmarkStart w:id="689" w:name="_Toc456492131"/>
      <w:bookmarkStart w:id="690" w:name="_Toc456492172"/>
      <w:bookmarkStart w:id="691" w:name="_Toc458355756"/>
      <w:bookmarkStart w:id="692" w:name="_Toc459792597"/>
      <w:bookmarkStart w:id="693" w:name="_Toc497033142"/>
      <w:bookmarkStart w:id="694" w:name="_Toc497033940"/>
      <w:bookmarkStart w:id="695" w:name="_Toc289868777"/>
      <w:bookmarkStart w:id="696" w:name="_Toc289868937"/>
      <w:bookmarkStart w:id="697" w:name="_Toc289932245"/>
      <w:bookmarkStart w:id="698" w:name="_Toc289933291"/>
      <w:bookmarkStart w:id="699" w:name="_Toc291852854"/>
      <w:bookmarkStart w:id="700" w:name="_Toc392515844"/>
      <w:r w:rsidRPr="00CB6CBA">
        <w:rPr>
          <w:lang w:val="en-US"/>
        </w:rPr>
        <w:t>2.5.1</w:t>
      </w:r>
      <w:r w:rsidRPr="00CB6CBA">
        <w:rPr>
          <w:lang w:val="en-US"/>
        </w:rPr>
        <w:tab/>
        <w:t>Legal</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rsidR="00CA3B52" w:rsidRPr="00CB6CBA" w:rsidRDefault="00CA3B52" w:rsidP="00CA3B52">
      <w:pPr>
        <w:rPr>
          <w:b/>
          <w:lang w:val="en-US"/>
        </w:rPr>
      </w:pPr>
      <w:r w:rsidRPr="00CB6CBA">
        <w:rPr>
          <w:lang w:val="en-US"/>
        </w:rPr>
        <w:t>Whether or not an administration needs to develop new legislation to introduce spectrum pricing, it is essential that the administration ensures that its existing legislation is effective. If the administration plans to introduce auctions, transferable spectrum rights, or a secondary market, it is also essential that the administration has appropriate competition legislation in place. If effective competition legislation and any organizations required to implement it have not been created prior to the launch of spectrum pricing, th</w:t>
      </w:r>
      <w:bookmarkStart w:id="701" w:name="_Toc405175982"/>
      <w:bookmarkStart w:id="702" w:name="_Toc409770194"/>
      <w:bookmarkStart w:id="703" w:name="_Toc423234797"/>
      <w:bookmarkStart w:id="704" w:name="_Toc423240982"/>
      <w:bookmarkStart w:id="705" w:name="_Toc423241810"/>
      <w:bookmarkStart w:id="706" w:name="_Toc423242118"/>
      <w:bookmarkStart w:id="707" w:name="_Toc423242258"/>
      <w:bookmarkStart w:id="708" w:name="_Toc423938030"/>
      <w:bookmarkStart w:id="709" w:name="_Toc425918243"/>
      <w:bookmarkStart w:id="710" w:name="_Toc456491515"/>
      <w:bookmarkStart w:id="711" w:name="_Toc456491688"/>
      <w:bookmarkStart w:id="712" w:name="_Toc456492132"/>
      <w:bookmarkStart w:id="713" w:name="_Toc456492173"/>
      <w:bookmarkStart w:id="714" w:name="_Toc458355757"/>
      <w:bookmarkStart w:id="715" w:name="_Toc459792598"/>
      <w:r w:rsidRPr="00CB6CBA">
        <w:rPr>
          <w:lang w:val="en-US"/>
        </w:rPr>
        <w:t>is could inhibit its operation.</w:t>
      </w:r>
    </w:p>
    <w:p w:rsidR="00CA3B52" w:rsidRPr="00CB6CBA" w:rsidRDefault="00CA3B52" w:rsidP="00CA3B52">
      <w:pPr>
        <w:pStyle w:val="Heading3"/>
        <w:rPr>
          <w:lang w:val="en-US"/>
        </w:rPr>
      </w:pPr>
      <w:bookmarkStart w:id="716" w:name="_Toc497033143"/>
      <w:bookmarkStart w:id="717" w:name="_Toc497033941"/>
      <w:bookmarkStart w:id="718" w:name="_Toc289868778"/>
      <w:bookmarkStart w:id="719" w:name="_Toc289868938"/>
      <w:bookmarkStart w:id="720" w:name="_Toc289932246"/>
      <w:bookmarkStart w:id="721" w:name="_Toc289933292"/>
      <w:bookmarkStart w:id="722" w:name="_Toc291852855"/>
      <w:bookmarkStart w:id="723" w:name="_Toc392515845"/>
      <w:r w:rsidRPr="00CB6CBA">
        <w:rPr>
          <w:lang w:val="en-US"/>
        </w:rPr>
        <w:t>2.5.2</w:t>
      </w:r>
      <w:r w:rsidRPr="00CB6CBA">
        <w:rPr>
          <w:lang w:val="en-US"/>
        </w:rPr>
        <w:tab/>
        <w:t>International obligations</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rsidR="00CA3B52" w:rsidRPr="00CB6CBA" w:rsidRDefault="00CA3B52" w:rsidP="00CA3B52">
      <w:pPr>
        <w:rPr>
          <w:lang w:val="en-US"/>
        </w:rPr>
      </w:pPr>
      <w:r w:rsidRPr="00CB6CBA">
        <w:rPr>
          <w:lang w:val="en-US"/>
        </w:rPr>
        <w:t xml:space="preserve">Where an administration introduces spectrum pricing and particularly transferable spectrum rights, it is important that it should retain responsibility for the country’s international obligations. However, the administration may need to consider establishing a mechanism for representing the users’ views in the relevant international fora, especially if the user is permitted to take on any of the management responsibilities for their spectrum that normally may be associated with the administration (see Chapter 4). In most countries these mechanisms may already exist, whether they would need modification to reflect different levels of spectrum management responsibility between users may depend on the national spectrum management process structure </w:t>
      </w:r>
      <w:bookmarkStart w:id="724" w:name="_Toc405043915"/>
      <w:bookmarkStart w:id="725" w:name="_Toc405044152"/>
      <w:bookmarkStart w:id="726" w:name="_Toc405175983"/>
      <w:bookmarkStart w:id="727" w:name="_Toc409770195"/>
      <w:bookmarkStart w:id="728" w:name="_Toc423234798"/>
      <w:bookmarkStart w:id="729" w:name="_Toc423240983"/>
      <w:bookmarkStart w:id="730" w:name="_Toc423241811"/>
      <w:bookmarkStart w:id="731" w:name="_Toc423242119"/>
      <w:bookmarkStart w:id="732" w:name="_Toc423242259"/>
      <w:bookmarkStart w:id="733" w:name="_Toc423938031"/>
      <w:bookmarkStart w:id="734" w:name="_Toc425918244"/>
      <w:bookmarkStart w:id="735" w:name="_Toc456491516"/>
      <w:bookmarkStart w:id="736" w:name="_Toc456491689"/>
      <w:bookmarkStart w:id="737" w:name="_Toc456492133"/>
      <w:bookmarkStart w:id="738" w:name="_Toc456492174"/>
      <w:bookmarkStart w:id="739" w:name="_Toc458355758"/>
      <w:bookmarkStart w:id="740" w:name="_Toc459792599"/>
      <w:r w:rsidRPr="00CB6CBA">
        <w:rPr>
          <w:lang w:val="en-US"/>
        </w:rPr>
        <w:t>and organization.</w:t>
      </w:r>
    </w:p>
    <w:p w:rsidR="00CA3B52" w:rsidRPr="00CB6CBA" w:rsidRDefault="00CA3B52" w:rsidP="00CA3B52">
      <w:pPr>
        <w:pStyle w:val="Heading3"/>
        <w:rPr>
          <w:lang w:val="en-US"/>
        </w:rPr>
      </w:pPr>
      <w:bookmarkStart w:id="741" w:name="_Toc405043916"/>
      <w:bookmarkStart w:id="742" w:name="_Toc405044153"/>
      <w:bookmarkStart w:id="743" w:name="_Toc405175984"/>
      <w:bookmarkStart w:id="744" w:name="_Toc409770196"/>
      <w:bookmarkStart w:id="745" w:name="_Toc423234799"/>
      <w:bookmarkStart w:id="746" w:name="_Toc423240984"/>
      <w:bookmarkStart w:id="747" w:name="_Toc423241812"/>
      <w:bookmarkStart w:id="748" w:name="_Toc423242120"/>
      <w:bookmarkStart w:id="749" w:name="_Toc423242260"/>
      <w:bookmarkStart w:id="750" w:name="_Toc423938032"/>
      <w:bookmarkStart w:id="751" w:name="_Toc425918245"/>
      <w:bookmarkStart w:id="752" w:name="_Toc456491517"/>
      <w:bookmarkStart w:id="753" w:name="_Toc456491690"/>
      <w:bookmarkStart w:id="754" w:name="_Toc456492134"/>
      <w:bookmarkStart w:id="755" w:name="_Toc456492175"/>
      <w:bookmarkStart w:id="756" w:name="_Toc458355759"/>
      <w:bookmarkStart w:id="757" w:name="_Toc459792600"/>
      <w:bookmarkStart w:id="758" w:name="_Toc497033145"/>
      <w:bookmarkStart w:id="759" w:name="_Toc497033943"/>
      <w:bookmarkStart w:id="760" w:name="_Toc289868779"/>
      <w:bookmarkStart w:id="761" w:name="_Toc289868939"/>
      <w:bookmarkStart w:id="762" w:name="_Toc289932247"/>
      <w:bookmarkStart w:id="763" w:name="_Toc289933293"/>
      <w:bookmarkStart w:id="764" w:name="_Toc291852856"/>
      <w:bookmarkStart w:id="765" w:name="_Toc392515846"/>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rsidRPr="00CB6CBA">
        <w:rPr>
          <w:lang w:val="en-US"/>
        </w:rPr>
        <w:t>2.5.</w:t>
      </w:r>
      <w:r>
        <w:rPr>
          <w:lang w:val="en-US"/>
        </w:rPr>
        <w:t>3</w:t>
      </w:r>
      <w:r w:rsidRPr="00CB6CBA">
        <w:rPr>
          <w:lang w:val="en-US"/>
        </w:rPr>
        <w:tab/>
        <w:t>Funding implications</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rsidR="00CA3B52" w:rsidRPr="00CB6CBA" w:rsidRDefault="00CA3B52" w:rsidP="00CA3B52">
      <w:pPr>
        <w:rPr>
          <w:lang w:val="en-US"/>
        </w:rPr>
      </w:pPr>
      <w:r w:rsidRPr="00CB6CBA">
        <w:rPr>
          <w:lang w:val="en-US"/>
        </w:rPr>
        <w:t>Administrations that have previously operated a “cost-recovery” system, or been dependent on fees for funding their spectrum management operations, need to consider the implications for their overall income arising from a change in spectrum management funding mechanisms, such as:</w:t>
      </w:r>
    </w:p>
    <w:p w:rsidR="00CA3B52" w:rsidRPr="00CB6CBA" w:rsidRDefault="00CA3B52" w:rsidP="00CA3B52">
      <w:pPr>
        <w:pStyle w:val="enumlev1"/>
        <w:rPr>
          <w:lang w:val="en-US"/>
        </w:rPr>
      </w:pPr>
      <w:r w:rsidRPr="00CB6CBA">
        <w:rPr>
          <w:lang w:val="en-US"/>
        </w:rPr>
        <w:t>–</w:t>
      </w:r>
      <w:r w:rsidRPr="00CB6CBA">
        <w:rPr>
          <w:lang w:val="en-US"/>
        </w:rPr>
        <w:tab/>
        <w:t>auctions may be held only periodically, since at certain times there may not be suitable spectrum to be auctioned;</w:t>
      </w:r>
    </w:p>
    <w:p w:rsidR="00CA3B52" w:rsidRPr="00CB6CBA" w:rsidRDefault="00CA3B52" w:rsidP="00CA3B52">
      <w:pPr>
        <w:pStyle w:val="enumlev1"/>
        <w:rPr>
          <w:lang w:val="en-US"/>
        </w:rPr>
      </w:pPr>
      <w:r w:rsidRPr="00CB6CBA">
        <w:rPr>
          <w:lang w:val="en-US"/>
        </w:rPr>
        <w:t>–</w:t>
      </w:r>
      <w:r w:rsidRPr="00CB6CBA">
        <w:rPr>
          <w:lang w:val="en-US"/>
        </w:rPr>
        <w:tab/>
        <w:t>incentive pricing is intended to relieve congestion, not to increase the levels of the administration’s funding.</w:t>
      </w:r>
    </w:p>
    <w:p w:rsidR="00CA3B52" w:rsidRPr="00CB6CBA" w:rsidRDefault="00CA3B52" w:rsidP="00CA3B52">
      <w:pPr>
        <w:rPr>
          <w:lang w:val="en-US"/>
        </w:rPr>
      </w:pPr>
      <w:r w:rsidRPr="00CB6CBA">
        <w:rPr>
          <w:lang w:val="en-US"/>
        </w:rPr>
        <w:t>In the short term funding levels may increase, but as the spectrum pricing mechanisms take effect the levels of funding may fluctuate with time and adjustments to the level of supply and demand.</w:t>
      </w:r>
    </w:p>
    <w:p w:rsidR="00CA3B52" w:rsidRPr="00CB6CBA" w:rsidRDefault="00CA3B52" w:rsidP="00CA3B52">
      <w:pPr>
        <w:pStyle w:val="Heading2"/>
        <w:rPr>
          <w:lang w:val="en-US"/>
        </w:rPr>
      </w:pPr>
      <w:bookmarkStart w:id="766" w:name="_Toc456491518"/>
      <w:bookmarkStart w:id="767" w:name="_Toc456491691"/>
      <w:bookmarkStart w:id="768" w:name="_Toc456492135"/>
      <w:bookmarkStart w:id="769" w:name="_Toc456492176"/>
      <w:bookmarkStart w:id="770" w:name="_Toc458355760"/>
      <w:bookmarkStart w:id="771" w:name="_Toc459792601"/>
      <w:bookmarkStart w:id="772" w:name="_Toc459793768"/>
      <w:bookmarkStart w:id="773" w:name="_Toc459793910"/>
      <w:bookmarkStart w:id="774" w:name="_Toc459970389"/>
      <w:bookmarkStart w:id="775" w:name="_Toc497033146"/>
      <w:bookmarkStart w:id="776" w:name="_Toc497033944"/>
      <w:bookmarkStart w:id="777" w:name="_Toc289868780"/>
      <w:bookmarkStart w:id="778" w:name="_Toc289868940"/>
      <w:bookmarkStart w:id="779" w:name="_Toc289932248"/>
      <w:bookmarkStart w:id="780" w:name="_Toc289933294"/>
      <w:bookmarkStart w:id="781" w:name="_Toc291852857"/>
      <w:bookmarkStart w:id="782" w:name="_Toc392515847"/>
      <w:r w:rsidRPr="00CB6CBA">
        <w:rPr>
          <w:lang w:val="en-US"/>
        </w:rPr>
        <w:t>2.6</w:t>
      </w:r>
      <w:r w:rsidRPr="00CB6CBA">
        <w:rPr>
          <w:lang w:val="en-US"/>
        </w:rPr>
        <w:tab/>
        <w:t>Summary</w:t>
      </w:r>
      <w:bookmarkEnd w:id="673"/>
      <w:bookmarkEnd w:id="674"/>
      <w:bookmarkEnd w:id="67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rsidR="00CA3B52" w:rsidRPr="00CB6CBA" w:rsidRDefault="00CA3B52" w:rsidP="00CA3B52">
      <w:pPr>
        <w:rPr>
          <w:lang w:val="en-US"/>
        </w:rPr>
      </w:pPr>
      <w:r w:rsidRPr="00CB6CBA">
        <w:rPr>
          <w:lang w:val="en-US"/>
        </w:rPr>
        <w:t xml:space="preserve">In view of increasing worldwide demand for radio services, economic approaches to national spectrum management are becoming essential. These approaches promote economic, technical, and administrative efficiency, and can also help fund national spectrum management programmes that can ensure that radio services are able to operate on a non-interference basis. While a free market in </w:t>
      </w:r>
      <w:r w:rsidRPr="00CB6CBA">
        <w:rPr>
          <w:lang w:val="en-US"/>
        </w:rPr>
        <w:lastRenderedPageBreak/>
        <w:t>spectrum does not appear feasible due to technical, economic, and social considerations; auctions, transferable and flexible spectrum rights, and well-designed fees can enable a number of the benefits of a market approach to be realized. Auctions appear best-designed to promote efficient use of spectrum when there are competing applicants for the same frequency assignment, and transferable and flexible spectrum rights ensure that an assignment will continue to be used efficiently after the auction has taken place. However, auctions may not be appropriate for services in which there is limited competition for spectrum assignments, for socially desirable services such as national defence, and for international services such as satellite services. For some of these services, fees may be appropriate. Fees can promote efficient use of the spectrum provided that they incorporate the correct economic incentives and are not set so low as to be negligible in the eyes of spectrum users or so high as to exceed what a market would set, in which case spectrum will sit idle and generate no benefits.</w:t>
      </w:r>
    </w:p>
    <w:p w:rsidR="00CA3B52" w:rsidRPr="00CB6CBA" w:rsidRDefault="00CA3B52" w:rsidP="00CA3B52">
      <w:pPr>
        <w:rPr>
          <w:lang w:val="en-US"/>
        </w:rPr>
      </w:pPr>
      <w:r w:rsidRPr="00CB6CBA">
        <w:rPr>
          <w:lang w:val="en-US"/>
        </w:rPr>
        <w:t>Through spectrum pricing national spectrum managers can develop a variety of economic tools to promote more efficient spectrum use. If properly applied, these tools can help encourage investment in radio services, leading to growth of the telecommunications sector and benefiting the entire economy.</w:t>
      </w:r>
    </w:p>
    <w:p w:rsidR="00CA3B52" w:rsidRDefault="00CA3B52" w:rsidP="00CA3B52">
      <w:pPr>
        <w:rPr>
          <w:lang w:val="en-US"/>
        </w:rPr>
      </w:pPr>
      <w:bookmarkStart w:id="783" w:name="_Toc459746669"/>
      <w:bookmarkStart w:id="784" w:name="_Toc459792602"/>
      <w:bookmarkStart w:id="785" w:name="_Toc459793769"/>
      <w:bookmarkStart w:id="786" w:name="_Toc459793911"/>
      <w:bookmarkStart w:id="787" w:name="_Toc459970390"/>
    </w:p>
    <w:p w:rsidR="00CA3B52" w:rsidRPr="00CB6CBA" w:rsidRDefault="00CA3B52" w:rsidP="00F65451">
      <w:pPr>
        <w:pStyle w:val="ChapNo"/>
        <w:rPr>
          <w:lang w:val="en-US"/>
        </w:rPr>
      </w:pPr>
      <w:bookmarkStart w:id="788" w:name="_Toc289868781"/>
      <w:bookmarkStart w:id="789" w:name="_Toc289868941"/>
      <w:bookmarkStart w:id="790" w:name="_Toc289932249"/>
      <w:bookmarkStart w:id="791" w:name="_Toc289933295"/>
      <w:bookmarkStart w:id="792" w:name="_Toc291852858"/>
      <w:r w:rsidRPr="00CB6CBA">
        <w:rPr>
          <w:lang w:val="en-US"/>
        </w:rPr>
        <w:t>CHAPTER 3</w:t>
      </w:r>
      <w:bookmarkEnd w:id="783"/>
      <w:bookmarkEnd w:id="784"/>
      <w:bookmarkEnd w:id="785"/>
      <w:bookmarkEnd w:id="786"/>
      <w:bookmarkEnd w:id="787"/>
      <w:bookmarkEnd w:id="788"/>
      <w:bookmarkEnd w:id="789"/>
      <w:bookmarkEnd w:id="790"/>
      <w:bookmarkEnd w:id="791"/>
      <w:bookmarkEnd w:id="792"/>
    </w:p>
    <w:p w:rsidR="00CA3B52" w:rsidRPr="00CB6CBA" w:rsidRDefault="00CA3B52" w:rsidP="00CA3B52">
      <w:pPr>
        <w:pStyle w:val="Chaptitle"/>
        <w:rPr>
          <w:lang w:val="en-US"/>
        </w:rPr>
      </w:pPr>
      <w:bookmarkStart w:id="793" w:name="_Toc459746670"/>
      <w:bookmarkStart w:id="794" w:name="_Toc459792603"/>
      <w:bookmarkStart w:id="795" w:name="_Toc459793770"/>
      <w:bookmarkStart w:id="796" w:name="_Toc459793912"/>
      <w:bookmarkStart w:id="797" w:name="_Toc459970391"/>
      <w:bookmarkStart w:id="798" w:name="_Toc289868782"/>
      <w:bookmarkStart w:id="799" w:name="_Toc289868942"/>
      <w:bookmarkStart w:id="800" w:name="_Toc289932250"/>
      <w:bookmarkStart w:id="801" w:name="_Toc289933296"/>
      <w:bookmarkStart w:id="802" w:name="_Toc291852859"/>
      <w:r w:rsidRPr="00CB6CBA">
        <w:rPr>
          <w:lang w:val="en-US"/>
        </w:rPr>
        <w:t>Assessment of the benefits of using the radio spectrum</w:t>
      </w:r>
      <w:bookmarkEnd w:id="793"/>
      <w:bookmarkEnd w:id="794"/>
      <w:bookmarkEnd w:id="795"/>
      <w:bookmarkEnd w:id="796"/>
      <w:bookmarkEnd w:id="797"/>
      <w:bookmarkEnd w:id="798"/>
      <w:bookmarkEnd w:id="799"/>
      <w:bookmarkEnd w:id="800"/>
      <w:bookmarkEnd w:id="801"/>
      <w:bookmarkEnd w:id="802"/>
    </w:p>
    <w:p w:rsidR="00CA3B52" w:rsidRPr="00CB6CBA" w:rsidRDefault="00CA3B52" w:rsidP="00F65451">
      <w:pPr>
        <w:pStyle w:val="Heading2"/>
        <w:rPr>
          <w:lang w:val="en-US"/>
        </w:rPr>
      </w:pPr>
      <w:bookmarkStart w:id="803" w:name="_Toc394385990"/>
      <w:bookmarkStart w:id="804" w:name="_Toc394386077"/>
      <w:bookmarkStart w:id="805" w:name="_Toc395503181"/>
      <w:bookmarkStart w:id="806" w:name="_Toc459746671"/>
      <w:bookmarkStart w:id="807" w:name="_Toc459792604"/>
      <w:bookmarkStart w:id="808" w:name="_Toc459793771"/>
      <w:bookmarkStart w:id="809" w:name="_Toc459793913"/>
      <w:bookmarkStart w:id="810" w:name="_Toc459970392"/>
      <w:bookmarkStart w:id="811" w:name="_Toc497033147"/>
      <w:bookmarkStart w:id="812" w:name="_Toc497033945"/>
      <w:bookmarkStart w:id="813" w:name="_Toc289868783"/>
      <w:bookmarkStart w:id="814" w:name="_Toc289868943"/>
      <w:bookmarkStart w:id="815" w:name="_Toc289932251"/>
      <w:bookmarkStart w:id="816" w:name="_Toc289933297"/>
      <w:bookmarkStart w:id="817" w:name="_Toc291852860"/>
      <w:bookmarkStart w:id="818" w:name="_Toc392515848"/>
      <w:r w:rsidRPr="00CB6CBA">
        <w:rPr>
          <w:lang w:val="en-US"/>
        </w:rPr>
        <w:t>3.1</w:t>
      </w:r>
      <w:r w:rsidRPr="00CB6CBA">
        <w:rPr>
          <w:lang w:val="en-US"/>
        </w:rPr>
        <w:tab/>
        <w:t>Background</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rsidR="00CA3B52" w:rsidRPr="00CB6CBA" w:rsidRDefault="00CA3B52" w:rsidP="00CA3B52">
      <w:pPr>
        <w:rPr>
          <w:lang w:val="en-US"/>
        </w:rPr>
      </w:pPr>
      <w:r w:rsidRPr="00CB6CBA">
        <w:rPr>
          <w:lang w:val="en-US"/>
        </w:rPr>
        <w:t>Effective management of the radio spectrum is required to ensure spectrum access for new services (see Note 1)</w:t>
      </w:r>
      <w:r w:rsidRPr="00CB6CBA">
        <w:rPr>
          <w:vertAlign w:val="superscript"/>
          <w:lang w:val="en-US"/>
        </w:rPr>
        <w:t xml:space="preserve"> </w:t>
      </w:r>
      <w:r w:rsidRPr="00CB6CBA">
        <w:rPr>
          <w:lang w:val="en-US"/>
        </w:rPr>
        <w:t>and technologies, growth in existing services and avoidance of interference between users. Funding for this task will be dependent on the competing claims of all government activities. The extent of radio usage within a country will influence the particular functions performed by the spectrum management authority. As radio usage increases, so does the requirement for spectrum management. Assessment of the economic benefits (see Note 2) arising from the use of the radio spectrum is useful in making spectrum planning decisions. If quantification of these benefits is required for spectrum planning and strategic development then suitable methodologies must be identified. This Chapter, which is based on a report from the UK, provides a comparison of two methods to quantify the economic benefits and examines the factors that may affect this value.</w:t>
      </w:r>
    </w:p>
    <w:p w:rsidR="00CA3B52" w:rsidRPr="005F07FC" w:rsidRDefault="00CA3B52" w:rsidP="00CA3B52">
      <w:pPr>
        <w:pStyle w:val="Note"/>
        <w:rPr>
          <w:lang w:val="en-US"/>
        </w:rPr>
      </w:pPr>
      <w:r w:rsidRPr="005F07FC">
        <w:rPr>
          <w:lang w:val="en-US"/>
        </w:rPr>
        <w:t>NOTE 1 – In this Report the use of the word “service” with a non-capitalized “s” means an end-user service (e.g. cellular radio) and not a Radiocommunication Service.</w:t>
      </w:r>
    </w:p>
    <w:p w:rsidR="00CA3B52" w:rsidRPr="005F07FC" w:rsidRDefault="00CA3B52" w:rsidP="00CA3B52">
      <w:pPr>
        <w:pStyle w:val="Note"/>
        <w:rPr>
          <w:lang w:val="en-US"/>
        </w:rPr>
      </w:pPr>
      <w:r w:rsidRPr="005F07FC">
        <w:rPr>
          <w:lang w:val="en-US"/>
        </w:rPr>
        <w:t>NOTE 2 – Here the term “benefits” is not used in its standard economic sense.</w:t>
      </w:r>
    </w:p>
    <w:p w:rsidR="00CA3B52" w:rsidRPr="00CB6CBA" w:rsidRDefault="00CA3B52" w:rsidP="00CA3B52">
      <w:pPr>
        <w:pStyle w:val="Heading2"/>
        <w:rPr>
          <w:lang w:val="en-US"/>
        </w:rPr>
      </w:pPr>
      <w:bookmarkStart w:id="819" w:name="_Toc394385991"/>
      <w:bookmarkStart w:id="820" w:name="_Toc394386078"/>
      <w:bookmarkStart w:id="821" w:name="_Toc395503182"/>
      <w:bookmarkStart w:id="822" w:name="_Toc459746672"/>
      <w:bookmarkStart w:id="823" w:name="_Toc459792605"/>
      <w:bookmarkStart w:id="824" w:name="_Toc459793772"/>
      <w:bookmarkStart w:id="825" w:name="_Toc459793914"/>
      <w:bookmarkStart w:id="826" w:name="_Toc459970393"/>
      <w:bookmarkStart w:id="827" w:name="_Toc497033148"/>
      <w:bookmarkStart w:id="828" w:name="_Toc497033946"/>
      <w:bookmarkStart w:id="829" w:name="_Toc289868784"/>
      <w:bookmarkStart w:id="830" w:name="_Toc289868944"/>
      <w:bookmarkStart w:id="831" w:name="_Toc289932252"/>
      <w:bookmarkStart w:id="832" w:name="_Toc289933298"/>
      <w:bookmarkStart w:id="833" w:name="_Toc291852861"/>
      <w:bookmarkStart w:id="834" w:name="_Toc392515849"/>
      <w:r w:rsidRPr="00CB6CBA">
        <w:rPr>
          <w:lang w:val="en-US"/>
        </w:rPr>
        <w:t>3.2</w:t>
      </w:r>
      <w:r w:rsidRPr="00CB6CBA">
        <w:rPr>
          <w:lang w:val="en-US"/>
        </w:rPr>
        <w:tab/>
        <w:t>Methods of assessing the spectrum’s economic benefits</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rsidR="00CA3B52" w:rsidRPr="00CB6CBA" w:rsidRDefault="00CA3B52" w:rsidP="00CA3B52">
      <w:pPr>
        <w:rPr>
          <w:lang w:val="en-US"/>
        </w:rPr>
      </w:pPr>
      <w:r w:rsidRPr="00CB6CBA">
        <w:rPr>
          <w:lang w:val="en-US"/>
        </w:rPr>
        <w:t>Economic benefits are generally recognized to accrue from the expansion of manufacturing capability, or the creation of new radio industries and services. They also arise from the impact radio services have on generating improvements in the performance of a business. These improvements may include: increased productivity, increased exports, reduced operating costs and increased employment. Improvements in the performance of a business are not only found where radio forms part of the core business (e.g. a telecommunications service provider, radio equipment manufacturer), but also where it is used as a way to support the core business (e.g. a water supply company using telemetry and telecommand to remote reservoirs, a taxi company using mobile radio to pass passenger details to taxis).</w:t>
      </w:r>
    </w:p>
    <w:p w:rsidR="00CA3B52" w:rsidRPr="00CB6CBA" w:rsidRDefault="00CA3B52" w:rsidP="00CA3B52">
      <w:pPr>
        <w:rPr>
          <w:lang w:val="en-US"/>
        </w:rPr>
      </w:pPr>
      <w:r w:rsidRPr="00CB6CBA">
        <w:rPr>
          <w:lang w:val="en-US"/>
        </w:rPr>
        <w:lastRenderedPageBreak/>
        <w:t xml:space="preserve">Two methods used for quantifying economic benefits have been identified in the Report </w:t>
      </w:r>
      <w:r w:rsidRPr="005C1652">
        <w:rPr>
          <w:lang w:val="en-US"/>
        </w:rPr>
        <w:t>–</w:t>
      </w:r>
      <w:r>
        <w:rPr>
          <w:lang w:val="en-US"/>
        </w:rPr>
        <w:t xml:space="preserve"> T</w:t>
      </w:r>
      <w:r w:rsidRPr="00CB6CBA">
        <w:rPr>
          <w:lang w:val="en-US"/>
        </w:rPr>
        <w:t>he Economic impact of the Use of Radio in the UK</w:t>
      </w:r>
      <w:r w:rsidRPr="00CB6CBA">
        <w:rPr>
          <w:rStyle w:val="FootnoteReference"/>
          <w:lang w:val="en-US"/>
        </w:rPr>
        <w:footnoteReference w:id="2"/>
      </w:r>
      <w:r>
        <w:rPr>
          <w:lang w:val="en-US"/>
        </w:rPr>
        <w:t>,</w:t>
      </w:r>
      <w:r w:rsidRPr="00CB6CBA">
        <w:rPr>
          <w:lang w:val="en-US"/>
        </w:rPr>
        <w:t xml:space="preserve"> published in 1995 and subsequently updated with last update in March 2006. The methods calculate the contribution of radio use to the economy using:</w:t>
      </w:r>
    </w:p>
    <w:p w:rsidR="00CA3B52" w:rsidRPr="00CB6CBA" w:rsidRDefault="00CA3B52" w:rsidP="00CA3B52">
      <w:pPr>
        <w:pStyle w:val="enumlev1"/>
        <w:rPr>
          <w:lang w:val="en-US"/>
        </w:rPr>
      </w:pPr>
      <w:r w:rsidRPr="00CB6CBA">
        <w:rPr>
          <w:lang w:val="en-US"/>
        </w:rPr>
        <w:t>–</w:t>
      </w:r>
      <w:r w:rsidRPr="00CB6CBA">
        <w:rPr>
          <w:lang w:val="en-US"/>
        </w:rPr>
        <w:tab/>
        <w:t>gross domestic product (GDP) and employment;</w:t>
      </w:r>
    </w:p>
    <w:p w:rsidR="00CA3B52" w:rsidRPr="00CB6CBA" w:rsidRDefault="00CA3B52" w:rsidP="00CA3B52">
      <w:pPr>
        <w:pStyle w:val="enumlev1"/>
        <w:rPr>
          <w:lang w:val="en-US"/>
        </w:rPr>
      </w:pPr>
      <w:r w:rsidRPr="00CB6CBA">
        <w:rPr>
          <w:lang w:val="en-US"/>
        </w:rPr>
        <w:t>–</w:t>
      </w:r>
      <w:r w:rsidRPr="00CB6CBA">
        <w:rPr>
          <w:lang w:val="en-US"/>
        </w:rPr>
        <w:tab/>
        <w:t>consumer and producer surplus.</w:t>
      </w:r>
    </w:p>
    <w:p w:rsidR="00CA3B52" w:rsidRPr="00CB6CBA" w:rsidRDefault="00CA3B52" w:rsidP="00CA3B52">
      <w:pPr>
        <w:rPr>
          <w:lang w:val="en-US"/>
        </w:rPr>
      </w:pPr>
      <w:r w:rsidRPr="00CB6CBA">
        <w:rPr>
          <w:lang w:val="en-US"/>
        </w:rPr>
        <w:t>These methods may be used to estimate the economic benefits arising from the provision of a single end-user service, or each service’s economic benefits can be added together to provide the total economic benefits arising from radio in a country. Both methods and their relative merits are presented in the following sections. Although in this Report measurement of employment is linked to the measurement of GDP, it is really a complementary measurement that could be equally applied to the measurement of consumer surplus.</w:t>
      </w:r>
    </w:p>
    <w:p w:rsidR="00CA3B52" w:rsidRPr="00CB6CBA" w:rsidRDefault="00CA3B52" w:rsidP="00CA3B52">
      <w:pPr>
        <w:pStyle w:val="Heading3"/>
        <w:rPr>
          <w:lang w:val="en-US"/>
        </w:rPr>
      </w:pPr>
      <w:bookmarkStart w:id="835" w:name="_Toc394385992"/>
      <w:bookmarkStart w:id="836" w:name="_Toc394386079"/>
      <w:bookmarkStart w:id="837" w:name="_Toc395503183"/>
      <w:bookmarkStart w:id="838" w:name="_Toc459746673"/>
      <w:bookmarkStart w:id="839" w:name="_Toc459792606"/>
      <w:bookmarkStart w:id="840" w:name="_Toc459793773"/>
      <w:bookmarkStart w:id="841" w:name="_Toc459793915"/>
      <w:bookmarkStart w:id="842" w:name="_Toc459970394"/>
      <w:bookmarkStart w:id="843" w:name="_Toc497033149"/>
      <w:bookmarkStart w:id="844" w:name="_Toc497033947"/>
      <w:bookmarkStart w:id="845" w:name="_Toc289868785"/>
      <w:bookmarkStart w:id="846" w:name="_Toc289868945"/>
      <w:bookmarkStart w:id="847" w:name="_Toc289932253"/>
      <w:bookmarkStart w:id="848" w:name="_Toc289933299"/>
      <w:bookmarkStart w:id="849" w:name="_Toc291852862"/>
      <w:bookmarkStart w:id="850" w:name="_Toc392515850"/>
      <w:r w:rsidRPr="00CB6CBA">
        <w:rPr>
          <w:lang w:val="en-US"/>
        </w:rPr>
        <w:t>3.2.1</w:t>
      </w:r>
      <w:r w:rsidRPr="00CB6CBA">
        <w:rPr>
          <w:lang w:val="en-US"/>
        </w:rPr>
        <w:tab/>
        <w:t>GDP and employment</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rsidR="00CA3B52" w:rsidRPr="00CB6CBA" w:rsidRDefault="00CA3B52" w:rsidP="00CA3B52">
      <w:pPr>
        <w:rPr>
          <w:lang w:val="en-US"/>
        </w:rPr>
      </w:pPr>
      <w:r w:rsidRPr="00CB6CBA">
        <w:rPr>
          <w:lang w:val="en-US"/>
        </w:rPr>
        <w:t>The use of the GDP method to estimate the economic benefits is based on the contribution radio makes to all business activity within a country. The contribution to GDP will be equal to the product of the price of a good or service, and the number that are sold. The expenditure of the resulting wages and profits provides a further increase (multiplier effects) in both GDP and employment which can be added to these figures.</w:t>
      </w:r>
    </w:p>
    <w:p w:rsidR="00CA3B52" w:rsidRPr="00CB6CBA" w:rsidRDefault="00CA3B52" w:rsidP="00CA3B52">
      <w:pPr>
        <w:rPr>
          <w:lang w:val="en-US"/>
        </w:rPr>
      </w:pPr>
      <w:r w:rsidRPr="00CB6CBA">
        <w:rPr>
          <w:lang w:val="en-US"/>
        </w:rPr>
        <w:t>In practice GDP and employment contributions may enter the economy at a number of different points that are determined by the operation of the particular service. Typically for a service which is sold to an end user (e.g. broadcasting), contributions will occur in:</w:t>
      </w:r>
    </w:p>
    <w:p w:rsidR="00CA3B52" w:rsidRPr="00CB6CBA" w:rsidRDefault="00CA3B52" w:rsidP="00CA3B52">
      <w:pPr>
        <w:pStyle w:val="enumlev1"/>
        <w:rPr>
          <w:lang w:val="en-US"/>
        </w:rPr>
      </w:pPr>
      <w:r w:rsidRPr="00CB6CBA">
        <w:rPr>
          <w:lang w:val="en-US"/>
        </w:rPr>
        <w:t>–</w:t>
      </w:r>
      <w:r w:rsidRPr="00CB6CBA">
        <w:rPr>
          <w:lang w:val="en-US"/>
        </w:rPr>
        <w:tab/>
        <w:t>the business providing the radio service (company A). This contribution to the economy is known as the direct effect of the use of radio. When the whole of the business of “company A” is based on the radio service (e.g. broadcasting), determining the required information is relatively straightforward. When the radio service provides only part of the business (e.g. private mobile radio (PMR)) it can be more difficult;</w:t>
      </w:r>
    </w:p>
    <w:p w:rsidR="00CA3B52" w:rsidRPr="00CB6CBA" w:rsidRDefault="00CA3B52" w:rsidP="00CA3B52">
      <w:pPr>
        <w:pStyle w:val="enumlev1"/>
        <w:rPr>
          <w:lang w:val="en-US"/>
        </w:rPr>
      </w:pPr>
      <w:r w:rsidRPr="00CB6CBA">
        <w:rPr>
          <w:lang w:val="en-US"/>
        </w:rPr>
        <w:t>–</w:t>
      </w:r>
      <w:r w:rsidRPr="00CB6CBA">
        <w:rPr>
          <w:lang w:val="en-US"/>
        </w:rPr>
        <w:tab/>
        <w:t>businesses manufacturing equipment purchased by “company A”, or supplying other services (e.g. cleaning services, recruitment services, information technology support, market research) in support of “company A’s” operations, these indirect contributions to the economy are called backward linkages;</w:t>
      </w:r>
    </w:p>
    <w:p w:rsidR="00CA3B52" w:rsidRPr="00CB6CBA" w:rsidRDefault="00CA3B52" w:rsidP="00CA3B52">
      <w:pPr>
        <w:pStyle w:val="enumlev1"/>
        <w:rPr>
          <w:lang w:val="en-US"/>
        </w:rPr>
      </w:pPr>
      <w:r w:rsidRPr="00CB6CBA">
        <w:rPr>
          <w:lang w:val="en-US"/>
        </w:rPr>
        <w:t>–</w:t>
      </w:r>
      <w:r w:rsidRPr="00CB6CBA">
        <w:rPr>
          <w:lang w:val="en-US"/>
        </w:rPr>
        <w:tab/>
        <w:t>businesses manufacturing equipment for users of “company A’s” service, or distributing and retailing “company A’s” services, these indirect contributions to the economy are called forward linkages. These services need not be related to radio, e.g. airlines use aeronautical mobile but their services that are retailed relate to passenger and freight traffic.</w:t>
      </w:r>
    </w:p>
    <w:p w:rsidR="00CA3B52" w:rsidRPr="00CB6CBA" w:rsidRDefault="00CA3B52" w:rsidP="00CA3B52">
      <w:pPr>
        <w:rPr>
          <w:lang w:val="en-US"/>
        </w:rPr>
      </w:pPr>
      <w:r w:rsidRPr="00CB6CBA">
        <w:rPr>
          <w:lang w:val="en-US"/>
        </w:rPr>
        <w:t>In the case of a radio service provided by the end user, as in PMR, the direct effect and backward linkage would be the same. However, there is no forward linkage because the contributing elements are incorporated within the direct effect.</w:t>
      </w:r>
    </w:p>
    <w:p w:rsidR="00CA3B52" w:rsidRPr="00CB6CBA" w:rsidRDefault="00CA3B52" w:rsidP="00CA3B52">
      <w:pPr>
        <w:rPr>
          <w:lang w:val="en-US"/>
        </w:rPr>
      </w:pPr>
      <w:r w:rsidRPr="00CB6CBA">
        <w:rPr>
          <w:lang w:val="en-US"/>
        </w:rPr>
        <w:t xml:space="preserve">The contribution to GDP and employment from the service or services will be equal to the sum of the direct effect, the forward and backward linkages. This value will depend on the amount of capital equipment and materials originating within, and the level of profits retained in, a country. In practice all countries will import some of the capital equipment and materials used and this will reduce the GDP contribution. However, even in the worst-case scenario where all capital equipment </w:t>
      </w:r>
      <w:r w:rsidRPr="00CB6CBA">
        <w:rPr>
          <w:lang w:val="en-US"/>
        </w:rPr>
        <w:lastRenderedPageBreak/>
        <w:t>and materials are imported (unlikely because of the impracticalities of importing all raw materials and the increase in overhead costs) there will still be a positive contribution to GDP and employment through salaries, supplies to users of the equipment, distribution and retailing.</w:t>
      </w:r>
    </w:p>
    <w:p w:rsidR="00CA3B52" w:rsidRPr="00CB6CBA" w:rsidRDefault="00CA3B52" w:rsidP="00CA3B52">
      <w:pPr>
        <w:pStyle w:val="Heading4"/>
        <w:rPr>
          <w:lang w:val="en-US"/>
        </w:rPr>
      </w:pPr>
      <w:bookmarkStart w:id="851" w:name="_Toc459746674"/>
      <w:bookmarkStart w:id="852" w:name="_Toc459792607"/>
      <w:bookmarkStart w:id="853" w:name="_Toc459793774"/>
      <w:bookmarkStart w:id="854" w:name="_Toc459793916"/>
      <w:bookmarkStart w:id="855" w:name="_Toc497033150"/>
      <w:bookmarkStart w:id="856" w:name="_Toc497033948"/>
      <w:r w:rsidRPr="00CB6CBA">
        <w:rPr>
          <w:lang w:val="en-US"/>
        </w:rPr>
        <w:t>3.2.1.1</w:t>
      </w:r>
      <w:r w:rsidRPr="00CB6CBA">
        <w:rPr>
          <w:lang w:val="en-US"/>
        </w:rPr>
        <w:tab/>
        <w:t>Factors modifying the combined GDP and employment values</w:t>
      </w:r>
      <w:bookmarkEnd w:id="851"/>
      <w:bookmarkEnd w:id="852"/>
      <w:bookmarkEnd w:id="853"/>
      <w:bookmarkEnd w:id="854"/>
      <w:bookmarkEnd w:id="855"/>
      <w:bookmarkEnd w:id="856"/>
    </w:p>
    <w:p w:rsidR="00CA3B52" w:rsidRPr="00CB6CBA" w:rsidRDefault="00CA3B52" w:rsidP="00CA3B52">
      <w:pPr>
        <w:rPr>
          <w:lang w:val="en-US"/>
        </w:rPr>
      </w:pPr>
      <w:r w:rsidRPr="00CB6CBA">
        <w:rPr>
          <w:lang w:val="en-US"/>
        </w:rPr>
        <w:t>In all cases, the combined GDP and employment figures resulting from radio’s contribution towards the economy has to be revised downwards because of the impact of “displacement effects”. These are based on the principle there will always be an alternative to the existing use, e.g. if aircraft did not exist, then the shipping and railway industries would expand. These effects equate to the following scenarios:</w:t>
      </w:r>
    </w:p>
    <w:p w:rsidR="00CA3B52" w:rsidRPr="00CB6CBA" w:rsidRDefault="00CA3B52" w:rsidP="00CA3B52">
      <w:pPr>
        <w:pStyle w:val="enumlev1"/>
        <w:rPr>
          <w:lang w:val="en-US"/>
        </w:rPr>
      </w:pPr>
      <w:r w:rsidRPr="00CB6CBA">
        <w:rPr>
          <w:lang w:val="en-US"/>
        </w:rPr>
        <w:t>–</w:t>
      </w:r>
      <w:r w:rsidRPr="00CB6CBA">
        <w:rPr>
          <w:lang w:val="en-US"/>
        </w:rPr>
        <w:tab/>
        <w:t>radio may be a substitute for another non-radio service, e.g. cable;</w:t>
      </w:r>
    </w:p>
    <w:p w:rsidR="00CA3B52" w:rsidRPr="00CB6CBA" w:rsidRDefault="00CA3B52" w:rsidP="00CA3B52">
      <w:pPr>
        <w:pStyle w:val="enumlev1"/>
        <w:rPr>
          <w:lang w:val="en-US"/>
        </w:rPr>
      </w:pPr>
      <w:r w:rsidRPr="00CB6CBA">
        <w:rPr>
          <w:lang w:val="en-US"/>
        </w:rPr>
        <w:t>–</w:t>
      </w:r>
      <w:r w:rsidRPr="00CB6CBA">
        <w:rPr>
          <w:lang w:val="en-US"/>
        </w:rPr>
        <w:tab/>
        <w:t>if radio did not exist the resources used in its development would be employed in other parts of the economy.</w:t>
      </w:r>
    </w:p>
    <w:p w:rsidR="00CA3B52" w:rsidRPr="00CB6CBA" w:rsidRDefault="00CA3B52" w:rsidP="00CA3B52">
      <w:pPr>
        <w:rPr>
          <w:lang w:val="en-US"/>
        </w:rPr>
      </w:pPr>
      <w:r w:rsidRPr="00CB6CBA">
        <w:rPr>
          <w:lang w:val="en-US"/>
        </w:rPr>
        <w:t>Allowance can be made in the calculations for the impact of relative changes in GDP and employment arising from a substitute service. However, the latter case for the wider economic displacement is more of a problem. Although the theory that all resources are completely mobile has some validity, there are disagreements on the limitations to this theory and validation is hampered by a lack of substantive information.</w:t>
      </w:r>
    </w:p>
    <w:p w:rsidR="00CA3B52" w:rsidRPr="00CB6CBA" w:rsidRDefault="00CA3B52" w:rsidP="00CA3B52">
      <w:pPr>
        <w:rPr>
          <w:lang w:val="en-US"/>
        </w:rPr>
      </w:pPr>
      <w:r w:rsidRPr="00CB6CBA">
        <w:rPr>
          <w:lang w:val="en-US"/>
        </w:rPr>
        <w:t xml:space="preserve">Once the GDP and employment figures have been adjusted to take into account the displacement effects, the impact of “multiplier effects” can be considered. Multiplier effects arise from the impact of wages and profits, generated in all businesses associated with the use of radio, as they spread through the rest of a country’s economy and in the process create further income and employment. They are a function of a country’s economic structure and may be different values for assessment of GDP and employment. In the United Kingdom, the Report </w:t>
      </w:r>
      <w:r>
        <w:rPr>
          <w:lang w:val="en-US"/>
        </w:rPr>
        <w:t xml:space="preserve">– </w:t>
      </w:r>
      <w:r w:rsidRPr="00CB6CBA">
        <w:rPr>
          <w:lang w:val="en-US"/>
        </w:rPr>
        <w:t>The Economic impact of the Use of Radio in the UK</w:t>
      </w:r>
      <w:r>
        <w:rPr>
          <w:lang w:val="en-US"/>
        </w:rPr>
        <w:t>,</w:t>
      </w:r>
      <w:r w:rsidRPr="00CB6CBA">
        <w:rPr>
          <w:lang w:val="en-US"/>
        </w:rPr>
        <w:t xml:space="preserve"> estimated that the “multiplier effect” allowing for imports was approximately 1.4 times for income and slightly more for employment.</w:t>
      </w:r>
    </w:p>
    <w:p w:rsidR="00CA3B52" w:rsidRPr="00CB6CBA" w:rsidRDefault="00CA3B52" w:rsidP="00CA3B52">
      <w:pPr>
        <w:keepNext/>
        <w:keepLines/>
        <w:rPr>
          <w:lang w:val="en-US"/>
        </w:rPr>
      </w:pPr>
      <w:r>
        <w:rPr>
          <w:lang w:val="en-US"/>
        </w:rPr>
        <w:t>Hence,</w:t>
      </w:r>
    </w:p>
    <w:p w:rsidR="00CA3B52" w:rsidRPr="00CB6CBA" w:rsidRDefault="00CA3B52" w:rsidP="00CA3B52">
      <w:pPr>
        <w:pStyle w:val="Equation"/>
        <w:keepNext/>
        <w:keepLines/>
        <w:rPr>
          <w:lang w:val="en-US"/>
        </w:rPr>
      </w:pPr>
      <w:r w:rsidRPr="00CB6CBA">
        <w:rPr>
          <w:lang w:val="en-US"/>
        </w:rPr>
        <w:t xml:space="preserve">The total contribution to GDP and employment for a service </w:t>
      </w:r>
      <w:r w:rsidRPr="00CB6CBA">
        <w:rPr>
          <w:rFonts w:ascii="Symbol" w:hAnsi="Symbol"/>
          <w:lang w:val="en-US"/>
        </w:rPr>
        <w:t></w:t>
      </w:r>
      <w:r w:rsidRPr="00CB6CBA">
        <w:rPr>
          <w:lang w:val="en-US"/>
        </w:rPr>
        <w:t xml:space="preserve"> (DE </w:t>
      </w:r>
      <w:r w:rsidRPr="00CB6CBA">
        <w:rPr>
          <w:rFonts w:ascii="Symbol" w:hAnsi="Symbol"/>
          <w:lang w:val="en-US"/>
        </w:rPr>
        <w:t></w:t>
      </w:r>
      <w:r w:rsidRPr="00CB6CBA">
        <w:rPr>
          <w:lang w:val="en-US"/>
        </w:rPr>
        <w:t> FL </w:t>
      </w:r>
      <w:r w:rsidRPr="00CB6CBA">
        <w:rPr>
          <w:rFonts w:ascii="Symbol" w:hAnsi="Symbol"/>
          <w:lang w:val="en-US"/>
        </w:rPr>
        <w:t></w:t>
      </w:r>
      <w:r w:rsidRPr="00CB6CBA">
        <w:rPr>
          <w:lang w:val="en-US"/>
        </w:rPr>
        <w:t xml:space="preserve"> BL – DPE) </w:t>
      </w:r>
      <w:r w:rsidRPr="00CB6CBA">
        <w:rPr>
          <w:rFonts w:ascii="Symbol" w:hAnsi="Symbol"/>
          <w:lang w:val="en-US"/>
        </w:rPr>
        <w:t></w:t>
      </w:r>
      <w:r w:rsidRPr="00CB6CBA">
        <w:rPr>
          <w:lang w:val="en-US"/>
        </w:rPr>
        <w:t> MPE</w:t>
      </w:r>
      <w:r>
        <w:rPr>
          <w:lang w:val="en-US"/>
        </w:rPr>
        <w:tab/>
      </w:r>
      <w:r w:rsidRPr="00CB6CBA">
        <w:rPr>
          <w:lang w:val="en-US"/>
        </w:rPr>
        <w:t>(5)</w:t>
      </w:r>
    </w:p>
    <w:p w:rsidR="00CA3B52" w:rsidRPr="00CB6CBA" w:rsidRDefault="00CA3B52" w:rsidP="00CA3B52">
      <w:pPr>
        <w:keepNext/>
        <w:keepLines/>
        <w:rPr>
          <w:lang w:val="en-US"/>
        </w:rPr>
      </w:pPr>
      <w:r w:rsidRPr="00CB6CBA">
        <w:rPr>
          <w:lang w:val="en-US"/>
        </w:rPr>
        <w:t xml:space="preserve">Where: DE </w:t>
      </w:r>
      <w:r w:rsidRPr="00CB6CBA">
        <w:rPr>
          <w:rFonts w:ascii="Symbol" w:hAnsi="Symbol"/>
          <w:lang w:val="en-US"/>
        </w:rPr>
        <w:t></w:t>
      </w:r>
      <w:r w:rsidRPr="00CB6CBA">
        <w:rPr>
          <w:lang w:val="en-US"/>
        </w:rPr>
        <w:t xml:space="preserve"> direct effect; FL = forward linkage; BL = backward linkage; DPE = displacement effects; MPE = multiplier effects.</w:t>
      </w:r>
    </w:p>
    <w:p w:rsidR="00CA3B52" w:rsidRPr="00CB6CBA" w:rsidRDefault="00CA3B52" w:rsidP="00CA3B52">
      <w:pPr>
        <w:rPr>
          <w:lang w:val="en-US"/>
        </w:rPr>
      </w:pPr>
      <w:r w:rsidRPr="00CB6CBA">
        <w:rPr>
          <w:szCs w:val="24"/>
          <w:lang w:val="en-US" w:eastAsia="zh-CN"/>
        </w:rPr>
        <w:t>The 2006 UK report uses company turnover data to compute direct effects, and then use the Input</w:t>
      </w:r>
      <w:r>
        <w:rPr>
          <w:szCs w:val="24"/>
          <w:lang w:val="en-US" w:eastAsia="zh-CN"/>
        </w:rPr>
        <w:noBreakHyphen/>
      </w:r>
      <w:r w:rsidRPr="00CB6CBA">
        <w:rPr>
          <w:szCs w:val="24"/>
          <w:lang w:val="en-US" w:eastAsia="zh-CN"/>
        </w:rPr>
        <w:t xml:space="preserve">Output tables to calculate multiplier effects. An alternative methodology could have been to calculate the value added by these firms, rather than use their turnover figures. However, preference is given to turnover, as it is better suited to computing multiplier effects and is consistent with the previous (1995) study which estimated the GDP effect of radio spectrum use. To compute direct GDP and employment effects, identify firms for whom radio spectrum contributes substantially to turnover, i.e. firms that are small scale users of spectrum are not included. The reason for this is that it is very difficult to break down, for each firm, how much of the turnover and employment arises due to the use of radio spectrum compared with other inputs. </w:t>
      </w:r>
      <w:r w:rsidRPr="00CB6CBA">
        <w:rPr>
          <w:lang w:val="en-US"/>
        </w:rPr>
        <w:t>The total economic benefits arising from radio in a country would be equal to the summation of all of the total contributions arising from each service.</w:t>
      </w:r>
    </w:p>
    <w:p w:rsidR="00CA3B52" w:rsidRPr="00CB6CBA" w:rsidRDefault="00CA3B52" w:rsidP="00CA3B52">
      <w:pPr>
        <w:rPr>
          <w:szCs w:val="24"/>
          <w:lang w:val="en-US"/>
        </w:rPr>
      </w:pPr>
      <w:r w:rsidRPr="00CB6CBA">
        <w:rPr>
          <w:color w:val="000000"/>
          <w:szCs w:val="24"/>
          <w:lang w:val="en-US" w:eastAsia="zh-CN"/>
        </w:rPr>
        <w:t xml:space="preserve">Two types of GDP and employment effects arise from direct employment and turnover: linkage effects and induced effects. Linkage effects refer to the jobs created in the supply or distribution chain. An example would be jobs in a mobile handset manufacturing firm which provides the physical equipment to cellular phone providers. The jobs of those employed in the manufacturing firm will be directly affected if there is a change in demand from the cellular phone provider. The second effect is the induced employment or the income multiplier effect that arises due to </w:t>
      </w:r>
      <w:r w:rsidRPr="00CB6CBA">
        <w:rPr>
          <w:color w:val="000000"/>
          <w:szCs w:val="24"/>
          <w:lang w:val="en-US" w:eastAsia="zh-CN"/>
        </w:rPr>
        <w:lastRenderedPageBreak/>
        <w:t xml:space="preserve">expenditure of the incomes that employees in the radio spectrum using sector earn. This additional expenditure creates further jobs as the money is spent on goods and services – a ripple effect. The method that we consider to be the most suitable for assessing sector level change is to use multipliers derived from Input-Output tables. Input-Output tables provide a complete picture of the flows of products and services within an economy for </w:t>
      </w:r>
      <w:r w:rsidRPr="00CB6CBA">
        <w:rPr>
          <w:i/>
          <w:iCs/>
          <w:color w:val="000000"/>
          <w:szCs w:val="24"/>
          <w:lang w:val="en-US" w:eastAsia="zh-CN"/>
        </w:rPr>
        <w:t xml:space="preserve">all </w:t>
      </w:r>
      <w:r w:rsidRPr="00CB6CBA">
        <w:rPr>
          <w:color w:val="000000"/>
          <w:szCs w:val="24"/>
          <w:lang w:val="en-US" w:eastAsia="zh-CN"/>
        </w:rPr>
        <w:t xml:space="preserve">sectors in an economy. Specifically, the tables detail the flows between various industries and also between industries and the final demand sector. Such linkages can then be used to estimate the extent to which any given industry contributes to the various final demand sectors. The main concept behind the multiplier is the recognition that the various sectors that make up an economy are interdependent. One can manipulate the Input-Output table to estimate different types of multipliers depending on whether there is an interest in output, employment or income effects. The constituent component of the multipliers is the Leontief Inverse matrix. This is derived from the symmetric industry-by-industry use matrix and shows how much of each industry’s output is required, in terms of direct and indirect requirements, to produce one unit of a given industry’s output. The output </w:t>
      </w:r>
      <w:r w:rsidRPr="00D8694B">
        <w:rPr>
          <w:i/>
          <w:iCs/>
          <w:szCs w:val="24"/>
          <w:lang w:val="en-US" w:eastAsia="zh-CN"/>
        </w:rPr>
        <w:t xml:space="preserve">GDP Effects </w:t>
      </w:r>
      <w:r w:rsidRPr="00D8694B">
        <w:rPr>
          <w:iCs/>
          <w:szCs w:val="24"/>
          <w:lang w:val="en-US" w:eastAsia="zh-CN"/>
        </w:rPr>
        <w:t xml:space="preserve">can be derived </w:t>
      </w:r>
      <w:r w:rsidRPr="00CB6CBA">
        <w:rPr>
          <w:color w:val="000000"/>
          <w:szCs w:val="24"/>
          <w:lang w:val="en-US" w:eastAsia="zh-CN"/>
        </w:rPr>
        <w:t>from the Leontief inverse tables, and then use industry level output-employment ratios to determine employment effects. The estimates of employment and income thus derived are for gross employment rather than net new employment, i.e. the figures are over-estimated as they do not adjust for factors of production which might have been displaced from other productive uses. There</w:t>
      </w:r>
      <w:r>
        <w:rPr>
          <w:color w:val="000000"/>
          <w:szCs w:val="24"/>
          <w:lang w:val="en-US" w:eastAsia="zh-CN"/>
        </w:rPr>
        <w:t xml:space="preserve"> </w:t>
      </w:r>
      <w:r w:rsidRPr="00CB6CBA">
        <w:rPr>
          <w:color w:val="000000"/>
          <w:szCs w:val="24"/>
          <w:lang w:val="en-US" w:eastAsia="zh-CN"/>
        </w:rPr>
        <w:t xml:space="preserve">is a range of beliefs regarding displacement effects, with a Treasury view that there are no net effects in the economy of the employment and output of a single firm or project. This view stems from the idea that, if a particular firm did not exist, others would have arisen in its place in the long run. Still, other studies have attempted to measure specific short-run displacement effects and these can be used to provide benchmark figures. </w:t>
      </w:r>
    </w:p>
    <w:p w:rsidR="00CA3B52" w:rsidRPr="00CB6CBA" w:rsidRDefault="00CA3B52" w:rsidP="00CA3B52">
      <w:pPr>
        <w:pStyle w:val="Heading3"/>
        <w:rPr>
          <w:lang w:val="en-US"/>
        </w:rPr>
      </w:pPr>
      <w:bookmarkStart w:id="857" w:name="_Toc394385993"/>
      <w:bookmarkStart w:id="858" w:name="_Toc394386080"/>
      <w:bookmarkStart w:id="859" w:name="_Toc395503184"/>
      <w:bookmarkStart w:id="860" w:name="_Toc459746675"/>
      <w:bookmarkStart w:id="861" w:name="_Toc459792608"/>
      <w:bookmarkStart w:id="862" w:name="_Toc459793775"/>
      <w:bookmarkStart w:id="863" w:name="_Toc459793917"/>
      <w:bookmarkStart w:id="864" w:name="_Toc459970395"/>
      <w:bookmarkStart w:id="865" w:name="_Toc497033151"/>
      <w:bookmarkStart w:id="866" w:name="_Toc497033949"/>
      <w:bookmarkStart w:id="867" w:name="_Toc289868786"/>
      <w:bookmarkStart w:id="868" w:name="_Toc289868946"/>
      <w:bookmarkStart w:id="869" w:name="_Toc289932254"/>
      <w:bookmarkStart w:id="870" w:name="_Toc289933300"/>
      <w:bookmarkStart w:id="871" w:name="_Toc291852863"/>
      <w:bookmarkStart w:id="872" w:name="_Toc392515851"/>
      <w:r w:rsidRPr="00CB6CBA">
        <w:rPr>
          <w:lang w:val="en-US"/>
        </w:rPr>
        <w:t>3.2.2</w:t>
      </w:r>
      <w:r w:rsidRPr="00CB6CBA">
        <w:rPr>
          <w:lang w:val="en-US"/>
        </w:rPr>
        <w:tab/>
        <w:t>Consumer and producer surplus</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rsidR="00CA3B52" w:rsidRPr="00CB6CBA" w:rsidRDefault="00CA3B52" w:rsidP="00CA3B52">
      <w:pPr>
        <w:keepNext/>
        <w:keepLines/>
        <w:rPr>
          <w:lang w:val="en-US"/>
        </w:rPr>
      </w:pPr>
      <w:r w:rsidRPr="00CB6CBA">
        <w:rPr>
          <w:lang w:val="en-US"/>
        </w:rPr>
        <w:t xml:space="preserve">Consumer surplus is a measure of the difference between what a customer is willing to pay and the actual price of the product. </w:t>
      </w:r>
      <w:r w:rsidRPr="00CB6CBA">
        <w:rPr>
          <w:lang w:val="en-US" w:eastAsia="zh-CN"/>
        </w:rPr>
        <w:t>Consumer surplus was formally explained by Alfred Marshall in his Principles of Economics. It can be defined as the excess utility (or surplus) above the price actually paid. In Marshall’s words: “the price which a person pays for a thing can never exceed and seldom comes up to that which he would be willing to pay rather than go without it: so that the satisfaction which he gets from its purchase generally exceeds that which he gives up in paying away its price; and he thus derives from the purchase a surplus satisfaction. The excess of the price which he would be willing to pay rather than go without the thing, over that which he actually does pay, is the economic measure of this surplus satisfaction.”</w:t>
      </w:r>
    </w:p>
    <w:p w:rsidR="00CA3B52" w:rsidRPr="00CB6CBA" w:rsidRDefault="00CA3B52" w:rsidP="00CA3B52">
      <w:pPr>
        <w:rPr>
          <w:lang w:val="en-US"/>
        </w:rPr>
      </w:pPr>
      <w:r w:rsidRPr="00CB6CBA">
        <w:rPr>
          <w:lang w:val="en-US"/>
        </w:rPr>
        <w:t>To determine the consumer surplus for a service it is necessary to estimate its demand curve – a plot of the item price (y-axis) against the quantity sold (x-axis). The consumer surplus is then equal to the area between a horizontal line at the item price from zero to the quantity purchased and the demand curve. To estimate the demand curve it is important to have historical information on the service that covers several years. This information is not always available. If the service is new then there will be no historical information. Without sufficient data it is extremely difficult to estimate the demand curve and if the demand curve cannot be estimated then the consumer surplus cannot be calculated.</w:t>
      </w:r>
    </w:p>
    <w:p w:rsidR="00CA3B52" w:rsidRPr="00CB6CBA" w:rsidRDefault="00CA3B52" w:rsidP="00CA3B52">
      <w:pPr>
        <w:rPr>
          <w:lang w:val="en-US"/>
        </w:rPr>
      </w:pPr>
      <w:r w:rsidRPr="00CB6CBA">
        <w:rPr>
          <w:lang w:val="en-US"/>
        </w:rPr>
        <w:t xml:space="preserve">Producer surplus is the difference between what a producer actually earns and the amount it needs to earn to continue in business. </w:t>
      </w:r>
      <w:r w:rsidRPr="00CB6CBA">
        <w:rPr>
          <w:lang w:val="en-US" w:eastAsia="zh-CN"/>
        </w:rPr>
        <w:t xml:space="preserve">Producer surplus is related to the consumer surplus. It can be defined as the revenue received by a supplier of any particular good or service over the minimum amount he would be willing to accept to maintain the same level of supply. </w:t>
      </w:r>
      <w:r w:rsidRPr="00CB6CBA">
        <w:rPr>
          <w:lang w:val="en-US"/>
        </w:rPr>
        <w:t>To determine the correct value of producer surplus, the performance of the business needs to be monitored over a substantial part of its lifetime. In practice this is difficult to achieve as it requires consistent historical data for established businesses and accurate estimates of future performance for new businesses.</w:t>
      </w:r>
    </w:p>
    <w:p w:rsidR="00CA3B52" w:rsidRPr="00CB6CBA" w:rsidRDefault="00CA3B52" w:rsidP="00CA3B52">
      <w:pPr>
        <w:rPr>
          <w:lang w:val="en-US"/>
        </w:rPr>
      </w:pPr>
      <w:r w:rsidRPr="00CB6CBA">
        <w:rPr>
          <w:lang w:val="en-US"/>
        </w:rPr>
        <w:lastRenderedPageBreak/>
        <w:t>The total surplus arising from the use of radio would be equal to the summation of the consumer and producer surplus for each service.</w:t>
      </w:r>
    </w:p>
    <w:p w:rsidR="00CA3B52" w:rsidRDefault="00CA3B52" w:rsidP="00CA3B52">
      <w:pPr>
        <w:rPr>
          <w:lang w:val="en-US"/>
        </w:rPr>
      </w:pPr>
      <w:r w:rsidRPr="00CB6CBA">
        <w:rPr>
          <w:lang w:val="en-US"/>
        </w:rPr>
        <w:t>Consumer and producer surplus are presented graphically in the Fig. 1. The price of the item (p</w:t>
      </w:r>
      <w:r w:rsidRPr="00CB6CBA">
        <w:rPr>
          <w:vertAlign w:val="subscript"/>
          <w:lang w:val="en-US"/>
        </w:rPr>
        <w:t>x</w:t>
      </w:r>
      <w:r w:rsidRPr="00CB6CBA">
        <w:rPr>
          <w:lang w:val="en-US"/>
        </w:rPr>
        <w:t>) and the quantity (q</w:t>
      </w:r>
      <w:r w:rsidRPr="00CB6CBA">
        <w:rPr>
          <w:vertAlign w:val="subscript"/>
          <w:lang w:val="en-US"/>
        </w:rPr>
        <w:t>x</w:t>
      </w:r>
      <w:r w:rsidRPr="00CB6CBA">
        <w:rPr>
          <w:lang w:val="en-US"/>
        </w:rPr>
        <w:t>) of the item sold at price p</w:t>
      </w:r>
      <w:r w:rsidRPr="00CB6CBA">
        <w:rPr>
          <w:vertAlign w:val="subscript"/>
          <w:lang w:val="en-US"/>
        </w:rPr>
        <w:t>x</w:t>
      </w:r>
      <w:r w:rsidRPr="00CB6CBA">
        <w:rPr>
          <w:lang w:val="en-US"/>
        </w:rPr>
        <w:t xml:space="preserve"> are shown on their respective axes. Consumer surplus (CS) is shown as the area between the demand curve and the price level (triangle p</w:t>
      </w:r>
      <w:r w:rsidRPr="00CB6CBA">
        <w:rPr>
          <w:vertAlign w:val="subscript"/>
          <w:lang w:val="en-US"/>
        </w:rPr>
        <w:t>x</w:t>
      </w:r>
      <w:r w:rsidRPr="00CB6CBA">
        <w:rPr>
          <w:lang w:val="en-US"/>
        </w:rPr>
        <w:t>-x-d</w:t>
      </w:r>
      <w:r w:rsidRPr="00CB6CBA">
        <w:rPr>
          <w:vertAlign w:val="subscript"/>
          <w:lang w:val="en-US"/>
        </w:rPr>
        <w:t>i</w:t>
      </w:r>
      <w:r w:rsidRPr="00CB6CBA">
        <w:rPr>
          <w:lang w:val="en-US"/>
        </w:rPr>
        <w:t xml:space="preserve">). Producer surplus (PS) is shown as the area between the supply curve and the price level </w:t>
      </w:r>
      <w:r>
        <w:rPr>
          <w:lang w:val="en-US"/>
        </w:rPr>
        <w:br/>
      </w:r>
      <w:r w:rsidRPr="00CB6CBA">
        <w:rPr>
          <w:lang w:val="en-US"/>
        </w:rPr>
        <w:t>(triangle p</w:t>
      </w:r>
      <w:r w:rsidRPr="00CB6CBA">
        <w:rPr>
          <w:vertAlign w:val="subscript"/>
          <w:lang w:val="en-US"/>
        </w:rPr>
        <w:t>x</w:t>
      </w:r>
      <w:r w:rsidRPr="00CB6CBA">
        <w:rPr>
          <w:lang w:val="en-US"/>
        </w:rPr>
        <w:t>-x-s</w:t>
      </w:r>
      <w:r w:rsidRPr="00CB6CBA">
        <w:rPr>
          <w:vertAlign w:val="subscript"/>
          <w:lang w:val="en-US"/>
        </w:rPr>
        <w:t>i</w:t>
      </w:r>
      <w:r w:rsidRPr="00CB6CBA">
        <w:rPr>
          <w:lang w:val="en-US"/>
        </w:rPr>
        <w:t>).</w:t>
      </w:r>
    </w:p>
    <w:p w:rsidR="00CA3B52" w:rsidRDefault="00CA3B52" w:rsidP="00CA3B52">
      <w:pPr>
        <w:pStyle w:val="FigureNo"/>
        <w:rPr>
          <w:lang w:val="en-US"/>
        </w:rPr>
      </w:pPr>
      <w:r>
        <w:rPr>
          <w:lang w:val="en-US"/>
        </w:rPr>
        <w:t>FIGURE 1</w:t>
      </w:r>
    </w:p>
    <w:p w:rsidR="00CA3B52" w:rsidRPr="00FB1C90" w:rsidRDefault="00CA3B52" w:rsidP="00CA3B52">
      <w:pPr>
        <w:pStyle w:val="Figuretitle"/>
        <w:rPr>
          <w:lang w:val="en-US"/>
        </w:rPr>
      </w:pPr>
      <w:r>
        <w:rPr>
          <w:lang w:val="en-US"/>
        </w:rPr>
        <w:t>Consumer and producer surplus</w:t>
      </w:r>
    </w:p>
    <w:p w:rsidR="00CA3B52" w:rsidRPr="00CB6CBA" w:rsidRDefault="00CA3B52" w:rsidP="00CA3B52">
      <w:pPr>
        <w:pStyle w:val="Figure"/>
        <w:rPr>
          <w:lang w:val="en-US"/>
        </w:rPr>
      </w:pPr>
      <w:r>
        <w:rPr>
          <w:lang w:val="en-US"/>
        </w:rPr>
        <w:object w:dxaOrig="6410" w:dyaOrig="7079">
          <v:shape id="_x0000_i1026" type="#_x0000_t75" style="width:321.2pt;height:353.45pt" o:ole="">
            <v:imagedata r:id="rId15" o:title=""/>
          </v:shape>
          <o:OLEObject Type="Embed" ProgID="CorelDRAW.Graphic.14" ShapeID="_x0000_i1026" DrawAspect="Content" ObjectID="_1511604815" r:id="rId16"/>
        </w:object>
      </w:r>
    </w:p>
    <w:p w:rsidR="00CA3B52" w:rsidRPr="00CB6CBA" w:rsidRDefault="00CA3B52" w:rsidP="00CA3B52">
      <w:pPr>
        <w:rPr>
          <w:lang w:val="en-US"/>
        </w:rPr>
      </w:pPr>
      <w:bookmarkStart w:id="873" w:name="_Toc394385994"/>
      <w:bookmarkStart w:id="874" w:name="_Toc394386081"/>
      <w:bookmarkStart w:id="875" w:name="_Toc395503185"/>
      <w:bookmarkStart w:id="876" w:name="_Toc459746676"/>
      <w:bookmarkStart w:id="877" w:name="_Toc459792609"/>
      <w:bookmarkStart w:id="878" w:name="_Toc459793776"/>
      <w:bookmarkStart w:id="879" w:name="_Toc459793918"/>
      <w:bookmarkStart w:id="880" w:name="_Toc459970396"/>
      <w:bookmarkStart w:id="881" w:name="_Toc497033152"/>
      <w:bookmarkStart w:id="882" w:name="_Toc497033950"/>
    </w:p>
    <w:p w:rsidR="00CA3B52" w:rsidRPr="00CB6CBA" w:rsidRDefault="00CA3B52" w:rsidP="00CA3B52">
      <w:pPr>
        <w:pStyle w:val="Heading3"/>
        <w:rPr>
          <w:lang w:val="en-US"/>
        </w:rPr>
      </w:pPr>
      <w:bookmarkStart w:id="883" w:name="_Toc289868787"/>
      <w:bookmarkStart w:id="884" w:name="_Toc289868947"/>
      <w:bookmarkStart w:id="885" w:name="_Toc289932255"/>
      <w:bookmarkStart w:id="886" w:name="_Toc289933301"/>
      <w:bookmarkStart w:id="887" w:name="_Toc291852864"/>
      <w:bookmarkStart w:id="888" w:name="_Toc392515852"/>
      <w:r w:rsidRPr="00CB6CBA">
        <w:rPr>
          <w:lang w:val="en-US"/>
        </w:rPr>
        <w:t>3.2.3</w:t>
      </w:r>
      <w:r w:rsidRPr="00CB6CBA">
        <w:rPr>
          <w:lang w:val="en-US"/>
        </w:rPr>
        <w:tab/>
        <w:t>The link between economic and social benefits</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rsidR="00CA3B52" w:rsidRPr="00CB6CBA" w:rsidRDefault="00CA3B52" w:rsidP="00CA3B52">
      <w:pPr>
        <w:rPr>
          <w:lang w:val="en-US"/>
        </w:rPr>
      </w:pPr>
      <w:r w:rsidRPr="00CB6CBA">
        <w:rPr>
          <w:lang w:val="en-US"/>
        </w:rPr>
        <w:t>Some uses of the radio spectrum generate economic benefits but do not directly generate revenues. The economic benefits that the use of spectrum generates in such activities however, are not readily apparent. No clear or easily measurable financial values generally exist to directly quantify the magnitude of these benefits. Hence it may be assumed that economic analysis cannot account for these social benefits and can only account for such factors as the revenues and profits received by firms. This is not the case. A proper economic analysis considers benefits that do not directly generate revenues.</w:t>
      </w:r>
    </w:p>
    <w:p w:rsidR="00CA3B52" w:rsidRPr="00CB6CBA" w:rsidRDefault="00CA3B52" w:rsidP="007E085A">
      <w:pPr>
        <w:keepNext/>
        <w:rPr>
          <w:lang w:val="en-US"/>
        </w:rPr>
      </w:pPr>
      <w:r w:rsidRPr="00CB6CBA">
        <w:rPr>
          <w:lang w:val="en-US"/>
        </w:rPr>
        <w:lastRenderedPageBreak/>
        <w:t>Examples of services providing social benefits include:</w:t>
      </w:r>
    </w:p>
    <w:p w:rsidR="00CA3B52" w:rsidRPr="00CB6CBA" w:rsidRDefault="00CA3B52" w:rsidP="007E085A">
      <w:pPr>
        <w:pStyle w:val="enumlev1"/>
        <w:keepNext/>
        <w:rPr>
          <w:lang w:val="en-US"/>
        </w:rPr>
      </w:pPr>
      <w:r w:rsidRPr="00CB6CBA">
        <w:rPr>
          <w:lang w:val="en-US"/>
        </w:rPr>
        <w:t>–</w:t>
      </w:r>
      <w:r w:rsidRPr="00CB6CBA">
        <w:rPr>
          <w:lang w:val="en-US"/>
        </w:rPr>
        <w:tab/>
        <w:t>broadcasting – providing education, training, news and recreation;</w:t>
      </w:r>
    </w:p>
    <w:p w:rsidR="00CA3B52" w:rsidRPr="00CB6CBA" w:rsidRDefault="00CA3B52" w:rsidP="00CA3B52">
      <w:pPr>
        <w:pStyle w:val="enumlev1"/>
        <w:rPr>
          <w:lang w:val="en-US"/>
        </w:rPr>
      </w:pPr>
      <w:r w:rsidRPr="00CB6CBA">
        <w:rPr>
          <w:lang w:val="en-US"/>
        </w:rPr>
        <w:t>–</w:t>
      </w:r>
      <w:r w:rsidRPr="00CB6CBA">
        <w:rPr>
          <w:lang w:val="en-US"/>
        </w:rPr>
        <w:tab/>
        <w:t>emergency services – providing a link to the police, accident and rescue services including disaster control facilities;</w:t>
      </w:r>
    </w:p>
    <w:p w:rsidR="00CA3B52" w:rsidRPr="00CB6CBA" w:rsidRDefault="00CA3B52" w:rsidP="00CA3B52">
      <w:pPr>
        <w:pStyle w:val="enumlev1"/>
        <w:rPr>
          <w:lang w:val="en-US"/>
        </w:rPr>
      </w:pPr>
      <w:r w:rsidRPr="00CB6CBA">
        <w:rPr>
          <w:lang w:val="en-US"/>
        </w:rPr>
        <w:t>–</w:t>
      </w:r>
      <w:r w:rsidRPr="00CB6CBA">
        <w:rPr>
          <w:lang w:val="en-US"/>
        </w:rPr>
        <w:tab/>
        <w:t>personal services – home health care/nursing, home security for the elderly;</w:t>
      </w:r>
    </w:p>
    <w:p w:rsidR="00CA3B52" w:rsidRPr="00CB6CBA" w:rsidRDefault="00CA3B52" w:rsidP="00CA3B52">
      <w:pPr>
        <w:pStyle w:val="enumlev1"/>
        <w:rPr>
          <w:lang w:val="en-US"/>
        </w:rPr>
      </w:pPr>
      <w:r w:rsidRPr="00CB6CBA">
        <w:rPr>
          <w:lang w:val="en-US"/>
        </w:rPr>
        <w:t>–</w:t>
      </w:r>
      <w:r w:rsidRPr="00CB6CBA">
        <w:rPr>
          <w:lang w:val="en-US"/>
        </w:rPr>
        <w:tab/>
        <w:t>research – meteorology, radio astronomy.</w:t>
      </w:r>
    </w:p>
    <w:p w:rsidR="00CA3B52" w:rsidRPr="00CB6CBA" w:rsidRDefault="00CA3B52" w:rsidP="00CA3B52">
      <w:pPr>
        <w:pStyle w:val="Heading3"/>
        <w:rPr>
          <w:lang w:val="en-US"/>
        </w:rPr>
      </w:pPr>
      <w:bookmarkStart w:id="889" w:name="_Toc394385995"/>
      <w:bookmarkStart w:id="890" w:name="_Toc394386082"/>
      <w:bookmarkStart w:id="891" w:name="_Toc395503186"/>
      <w:bookmarkStart w:id="892" w:name="_Toc459746677"/>
      <w:bookmarkStart w:id="893" w:name="_Toc459792610"/>
      <w:bookmarkStart w:id="894" w:name="_Toc459793777"/>
      <w:bookmarkStart w:id="895" w:name="_Toc459793919"/>
      <w:bookmarkStart w:id="896" w:name="_Toc459970397"/>
      <w:bookmarkStart w:id="897" w:name="_Toc497033153"/>
      <w:bookmarkStart w:id="898" w:name="_Toc497033951"/>
      <w:bookmarkStart w:id="899" w:name="_Toc289868788"/>
      <w:bookmarkStart w:id="900" w:name="_Toc289868948"/>
      <w:bookmarkStart w:id="901" w:name="_Toc289932256"/>
      <w:bookmarkStart w:id="902" w:name="_Toc289933302"/>
      <w:bookmarkStart w:id="903" w:name="_Toc291852865"/>
      <w:bookmarkStart w:id="904" w:name="_Toc392515853"/>
      <w:r w:rsidRPr="00CB6CBA">
        <w:rPr>
          <w:lang w:val="en-US"/>
        </w:rPr>
        <w:t>3.2.4</w:t>
      </w:r>
      <w:r w:rsidRPr="00CB6CBA">
        <w:rPr>
          <w:lang w:val="en-US"/>
        </w:rPr>
        <w:tab/>
        <w:t>Comparison of the methods for quantifying economic benefits</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rsidR="00CA3B52" w:rsidRPr="00CB6CBA" w:rsidRDefault="00CA3B52" w:rsidP="00CA3B52">
      <w:pPr>
        <w:rPr>
          <w:lang w:val="en-US"/>
        </w:rPr>
      </w:pPr>
      <w:r w:rsidRPr="00CB6CBA">
        <w:rPr>
          <w:lang w:val="en-US"/>
        </w:rPr>
        <w:t>Both methods produce an estimate of the contribution of radio to the economy of a country, but are based on different assumptions for treatment of the wider economic displacement. GDP and employment do not take account of the wider economic displacement. Consumer and producer surplus take full account of wider economic displacement. In addition, the two methods measure different aspects of the impact of radio usage on the economy of a country. GDP measures what has been paid and consumer surplus measures what consumers would be willing to pay. Both methods include producer surplus. Accordingly, the results cannot be added together.</w:t>
      </w:r>
    </w:p>
    <w:p w:rsidR="00CA3B52" w:rsidRPr="00CB6CBA" w:rsidRDefault="00CA3B52" w:rsidP="00CA3B52">
      <w:pPr>
        <w:rPr>
          <w:lang w:val="en-US"/>
        </w:rPr>
      </w:pPr>
      <w:r w:rsidRPr="00CB6CBA">
        <w:rPr>
          <w:lang w:val="en-US"/>
        </w:rPr>
        <w:t>Although both methods can be used, and are used in the United Kingdom, for showing the spectrum’s overall value to a country, it may be appropriate to select a method based on the application. GDP is better for assessing the value of multiple uses of radio within a country, or for comparison between individual uses/services, whereas consumer surplus provides more detailed information that may be used, for example, in determining licence fees or reserve auction prices. Comparison of the methods usually centres on the theoretical validity of the arguments and assumptions on which the particular methodology is based. However, it may be more realistic to review the methods based on the difficulty in obtaining data for analysis and the ease of comparison of the results with other economic data.</w:t>
      </w:r>
    </w:p>
    <w:p w:rsidR="00CA3B52" w:rsidRPr="00CB6CBA" w:rsidRDefault="00CA3B52" w:rsidP="00CA3B52">
      <w:pPr>
        <w:pStyle w:val="Heading4"/>
        <w:rPr>
          <w:lang w:val="en-US"/>
        </w:rPr>
      </w:pPr>
      <w:bookmarkStart w:id="905" w:name="_Toc459746678"/>
      <w:bookmarkStart w:id="906" w:name="_Toc459792611"/>
      <w:bookmarkStart w:id="907" w:name="_Toc459793778"/>
      <w:bookmarkStart w:id="908" w:name="_Toc459793920"/>
      <w:bookmarkStart w:id="909" w:name="_Toc497033154"/>
      <w:bookmarkStart w:id="910" w:name="_Toc497033952"/>
      <w:r w:rsidRPr="00CB6CBA">
        <w:rPr>
          <w:lang w:val="en-US"/>
        </w:rPr>
        <w:t>3.2.4.1</w:t>
      </w:r>
      <w:r w:rsidRPr="00CB6CBA">
        <w:rPr>
          <w:lang w:val="en-US"/>
        </w:rPr>
        <w:tab/>
        <w:t>Advantages and disadvantages of the GDP method</w:t>
      </w:r>
      <w:bookmarkEnd w:id="905"/>
      <w:bookmarkEnd w:id="906"/>
      <w:bookmarkEnd w:id="907"/>
      <w:bookmarkEnd w:id="908"/>
      <w:bookmarkEnd w:id="909"/>
      <w:bookmarkEnd w:id="910"/>
    </w:p>
    <w:p w:rsidR="00CA3B52" w:rsidRPr="00CB6CBA" w:rsidRDefault="00CA3B52" w:rsidP="00CA3B52">
      <w:pPr>
        <w:rPr>
          <w:lang w:val="en-US"/>
        </w:rPr>
      </w:pPr>
      <w:r w:rsidRPr="00CB6CBA">
        <w:rPr>
          <w:lang w:val="en-US"/>
        </w:rPr>
        <w:t>The advantage of the GDP method is that it shows the collective impact of those involved in the radio using sector and provision of intermediate goods to that sector. The information required for the calculations is available in companies’ financial reports and is easy to understand and compare with other areas of the economy which are represented in the same form. This enables funding (or investment) decisions to be compared using the same measures.</w:t>
      </w:r>
    </w:p>
    <w:p w:rsidR="00CA3B52" w:rsidRPr="00CB6CBA" w:rsidRDefault="00CA3B52" w:rsidP="00CA3B52">
      <w:pPr>
        <w:rPr>
          <w:lang w:val="en-US"/>
        </w:rPr>
      </w:pPr>
      <w:r w:rsidRPr="00CB6CBA">
        <w:rPr>
          <w:lang w:val="en-US"/>
        </w:rPr>
        <w:t>The disadvantage of the GDP method is that it does not take proper account of the wider displacement effects and these may be considerable in a diverse and flexible economy. In the extreme, if all displacement effects are taken into consideration, the net benefit of the use of radio to the economy would simply equal the improvement in efficiency that radio provides. However, this approach assumes that the resources currently provided for radio can be easily diverted into other areas of the economy. This is not necessarily correct. Furthermore, the estimated contribution in GDP and employment may not include consequential improvements in associated businesses arising from improvements in their efficiency (e.g.</w:t>
      </w:r>
      <w:r>
        <w:rPr>
          <w:lang w:val="en-US"/>
        </w:rPr>
        <w:t>,</w:t>
      </w:r>
      <w:r w:rsidRPr="00CB6CBA">
        <w:rPr>
          <w:lang w:val="en-US"/>
        </w:rPr>
        <w:t xml:space="preserve"> cellular telephone user’s improved access to their business and clients) and may therefore lead to a more conservative estimate of GDP. The extent to which this occurs will be dependent on the relationship between the use of radio and the original business (e.g.</w:t>
      </w:r>
      <w:r>
        <w:rPr>
          <w:lang w:val="en-US"/>
        </w:rPr>
        <w:t>,</w:t>
      </w:r>
      <w:r w:rsidRPr="00CB6CBA">
        <w:rPr>
          <w:lang w:val="en-US"/>
        </w:rPr>
        <w:t xml:space="preserve"> is it a manufacturer of radio equipment, a service provider, a business using radio) and the type of service (e.g.</w:t>
      </w:r>
      <w:r>
        <w:rPr>
          <w:lang w:val="en-US"/>
        </w:rPr>
        <w:t>,</w:t>
      </w:r>
      <w:r w:rsidRPr="00CB6CBA">
        <w:rPr>
          <w:lang w:val="en-US"/>
        </w:rPr>
        <w:t xml:space="preserve"> broadcasting, fixed links, PMR).</w:t>
      </w:r>
    </w:p>
    <w:p w:rsidR="00CA3B52" w:rsidRPr="00CB6CBA" w:rsidRDefault="00CA3B52" w:rsidP="00CA3B52">
      <w:pPr>
        <w:pStyle w:val="Heading4"/>
        <w:rPr>
          <w:lang w:val="en-US"/>
        </w:rPr>
      </w:pPr>
      <w:bookmarkStart w:id="911" w:name="_Toc459746679"/>
      <w:bookmarkStart w:id="912" w:name="_Toc459792612"/>
      <w:bookmarkStart w:id="913" w:name="_Toc459793779"/>
      <w:bookmarkStart w:id="914" w:name="_Toc459793921"/>
      <w:bookmarkStart w:id="915" w:name="_Toc497033155"/>
      <w:bookmarkStart w:id="916" w:name="_Toc497033953"/>
      <w:r w:rsidRPr="00CB6CBA">
        <w:rPr>
          <w:lang w:val="en-US"/>
        </w:rPr>
        <w:t>3.2.4.2</w:t>
      </w:r>
      <w:r w:rsidRPr="00CB6CBA">
        <w:rPr>
          <w:lang w:val="en-US"/>
        </w:rPr>
        <w:tab/>
        <w:t>Advantages and disadvantages of consumer and producer surplus method</w:t>
      </w:r>
      <w:bookmarkEnd w:id="911"/>
      <w:bookmarkEnd w:id="912"/>
      <w:bookmarkEnd w:id="913"/>
      <w:bookmarkEnd w:id="914"/>
      <w:bookmarkEnd w:id="915"/>
      <w:bookmarkEnd w:id="916"/>
    </w:p>
    <w:p w:rsidR="00CA3B52" w:rsidRPr="00CB6CBA" w:rsidRDefault="00CA3B52" w:rsidP="00CA3B52">
      <w:pPr>
        <w:rPr>
          <w:lang w:val="en-US"/>
        </w:rPr>
      </w:pPr>
      <w:r w:rsidRPr="00CB6CBA">
        <w:rPr>
          <w:lang w:val="en-US"/>
        </w:rPr>
        <w:t>The advantage of the consumer and producer surplus method is that it accounts for the impact of the wider displacement effects, indicating the benefits of providing a service by radio against the best non-radio alternative to be shown. In addition, the demand and supply curves can be useful for displaying the costs and benefits of a particular use of radio.</w:t>
      </w:r>
    </w:p>
    <w:p w:rsidR="00CA3B52" w:rsidRPr="00CB6CBA" w:rsidRDefault="00CA3B52" w:rsidP="00CA3B52">
      <w:pPr>
        <w:rPr>
          <w:lang w:val="en-US"/>
        </w:rPr>
      </w:pPr>
      <w:r w:rsidRPr="00CB6CBA">
        <w:rPr>
          <w:lang w:val="en-US"/>
        </w:rPr>
        <w:lastRenderedPageBreak/>
        <w:t>The disadvantage of the consumer and producer surplus method is that the demand curve can be difficult and time consuming to determine. A separate demand curve has to be produced for each service studied and this can be onerous if the aim is to measure the consumer and producer surplus for all radio services across the entire economy. If the demand curve cannot be produced, then alternative methods based on different assumptions have to be used and these may distort the results. Finally, consumer surplus is not easily comparable with GDP.</w:t>
      </w:r>
    </w:p>
    <w:p w:rsidR="00CA3B52" w:rsidRPr="00CB6CBA" w:rsidRDefault="00CA3B52" w:rsidP="00CA3B52">
      <w:pPr>
        <w:pStyle w:val="Heading2"/>
        <w:rPr>
          <w:lang w:val="en-US"/>
        </w:rPr>
      </w:pPr>
      <w:bookmarkStart w:id="917" w:name="_Toc394385996"/>
      <w:bookmarkStart w:id="918" w:name="_Toc394386083"/>
      <w:bookmarkStart w:id="919" w:name="_Toc395503187"/>
      <w:bookmarkStart w:id="920" w:name="_Toc459746680"/>
      <w:bookmarkStart w:id="921" w:name="_Toc459792613"/>
      <w:bookmarkStart w:id="922" w:name="_Toc459793780"/>
      <w:bookmarkStart w:id="923" w:name="_Toc459793922"/>
      <w:bookmarkStart w:id="924" w:name="_Toc459970398"/>
      <w:bookmarkStart w:id="925" w:name="_Toc497033156"/>
      <w:bookmarkStart w:id="926" w:name="_Toc497033954"/>
      <w:bookmarkStart w:id="927" w:name="_Toc289868789"/>
      <w:bookmarkStart w:id="928" w:name="_Toc289868949"/>
      <w:bookmarkStart w:id="929" w:name="_Toc289932257"/>
      <w:bookmarkStart w:id="930" w:name="_Toc289933303"/>
      <w:bookmarkStart w:id="931" w:name="_Toc291852866"/>
      <w:bookmarkStart w:id="932" w:name="_Toc392515854"/>
      <w:r w:rsidRPr="00CB6CBA">
        <w:rPr>
          <w:lang w:val="en-US"/>
        </w:rPr>
        <w:t>3.3</w:t>
      </w:r>
      <w:r w:rsidRPr="00CB6CBA">
        <w:rPr>
          <w:lang w:val="en-US"/>
        </w:rPr>
        <w:tab/>
        <w:t>Potential uses for economic assessment</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rsidR="00CA3B52" w:rsidRPr="00CB6CBA" w:rsidRDefault="00CA3B52" w:rsidP="00CA3B52">
      <w:pPr>
        <w:rPr>
          <w:lang w:val="en-US"/>
        </w:rPr>
      </w:pPr>
      <w:r w:rsidRPr="00CB6CBA">
        <w:rPr>
          <w:lang w:val="en-US"/>
        </w:rPr>
        <w:t>In recent years changes in radiocommunications technology together with the increasing tendency for shorter development cycles, have increased the pressure on spectrum managers for quicker decisions on who and which technology should have access to the spectrum. In addition to these changes in radiocommunications technology, further pressure has been added by the liberalization of telecommunications which has resulted in a growing demand for radio spectrum access. The increasing demand for spectrum access, combined with spectrum managers’ difficulty in predicting which of several competing technologies and uses, will be successful and should therefore have access to the spectrum, is making the spectrum management process increasingly complex and time consuming. This can discourage investment, which can be especially detrimental when delays in providing spectrum access can make the difference between the success or failure of a new service. In addition, as demand has increased, the recurring spectrum management issues of achieving efficient spectral use and finding spectrum for the new services needed by society are becoming increasingly difficult to resolve for a number of countries. At the same time, governments’ awareness of the overall burden of rising public spending on the economy has tightened control on funding for all government activities.</w:t>
      </w:r>
    </w:p>
    <w:p w:rsidR="00CA3B52" w:rsidRPr="00CB6CBA" w:rsidRDefault="00CA3B52" w:rsidP="00CA3B52">
      <w:pPr>
        <w:rPr>
          <w:lang w:val="en-US"/>
        </w:rPr>
      </w:pPr>
      <w:r w:rsidRPr="00CB6CBA">
        <w:rPr>
          <w:lang w:val="en-US"/>
        </w:rPr>
        <w:t>Management of the radio spectrum has traditionally been based on regulation of this finite resource. However, due to the pressures on spectrum management and particularly where difficulty in providing sufficient spectrum is limiting or distorting competition, or where it is inhibiting development of the radio spectrum resource, several administrations have moved away from a strict regulatory approach and are either using, or are considering using, economic factors as part of their approach to spectrum management.</w:t>
      </w:r>
    </w:p>
    <w:p w:rsidR="00CA3B52" w:rsidRPr="00CB6CBA" w:rsidRDefault="00CA3B52" w:rsidP="00CA3B52">
      <w:pPr>
        <w:pStyle w:val="Heading3"/>
        <w:rPr>
          <w:lang w:val="en-US"/>
        </w:rPr>
      </w:pPr>
      <w:bookmarkStart w:id="933" w:name="_Toc394385997"/>
      <w:bookmarkStart w:id="934" w:name="_Toc394386084"/>
      <w:bookmarkStart w:id="935" w:name="_Toc395503188"/>
      <w:bookmarkStart w:id="936" w:name="_Toc459746681"/>
      <w:bookmarkStart w:id="937" w:name="_Toc459792614"/>
      <w:bookmarkStart w:id="938" w:name="_Toc459793781"/>
      <w:bookmarkStart w:id="939" w:name="_Toc459793923"/>
      <w:bookmarkStart w:id="940" w:name="_Toc459970399"/>
      <w:bookmarkStart w:id="941" w:name="_Toc497033157"/>
      <w:bookmarkStart w:id="942" w:name="_Toc497033955"/>
      <w:bookmarkStart w:id="943" w:name="_Toc289868790"/>
      <w:bookmarkStart w:id="944" w:name="_Toc289868950"/>
      <w:bookmarkStart w:id="945" w:name="_Toc289932258"/>
      <w:bookmarkStart w:id="946" w:name="_Toc289933304"/>
      <w:bookmarkStart w:id="947" w:name="_Toc291852867"/>
      <w:bookmarkStart w:id="948" w:name="_Toc392515855"/>
      <w:r w:rsidRPr="00CB6CBA">
        <w:rPr>
          <w:lang w:val="en-US"/>
        </w:rPr>
        <w:t>3.3.1</w:t>
      </w:r>
      <w:r w:rsidRPr="00CB6CBA">
        <w:rPr>
          <w:lang w:val="en-US"/>
        </w:rPr>
        <w:tab/>
        <w:t>Applications for funding spectrum management activities</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rsidR="00CA3B52" w:rsidRPr="00CB6CBA" w:rsidRDefault="00CA3B52" w:rsidP="00CA3B52">
      <w:pPr>
        <w:rPr>
          <w:lang w:val="en-US"/>
        </w:rPr>
      </w:pPr>
      <w:r w:rsidRPr="00CB6CBA">
        <w:rPr>
          <w:lang w:val="en-US"/>
        </w:rPr>
        <w:t>Assessment of the economic benefits arising from the use of radio enables spectrum managers to demonstrate to the government that radiocommunications is not a self-contained industry, but is interwoven with other areas of a country’s economy. Representation in economic form allows radio’s contribution to the economy to be put in context with other areas of the economy. It also helps show the connection between spectrum management and radio’s benefit to the economy.</w:t>
      </w:r>
    </w:p>
    <w:p w:rsidR="00CA3B52" w:rsidRPr="00CB6CBA" w:rsidRDefault="00CA3B52" w:rsidP="00CA3B52">
      <w:pPr>
        <w:pStyle w:val="Heading3"/>
        <w:rPr>
          <w:lang w:val="en-US"/>
        </w:rPr>
      </w:pPr>
      <w:bookmarkStart w:id="949" w:name="_Toc394385998"/>
      <w:bookmarkStart w:id="950" w:name="_Toc394386085"/>
      <w:bookmarkStart w:id="951" w:name="_Toc395503189"/>
      <w:bookmarkStart w:id="952" w:name="_Toc459746682"/>
      <w:bookmarkStart w:id="953" w:name="_Toc459792615"/>
      <w:bookmarkStart w:id="954" w:name="_Toc459793782"/>
      <w:bookmarkStart w:id="955" w:name="_Toc459793924"/>
      <w:bookmarkStart w:id="956" w:name="_Toc459970400"/>
      <w:bookmarkStart w:id="957" w:name="_Toc497033158"/>
      <w:bookmarkStart w:id="958" w:name="_Toc497033956"/>
      <w:bookmarkStart w:id="959" w:name="_Toc289868791"/>
      <w:bookmarkStart w:id="960" w:name="_Toc289868951"/>
      <w:bookmarkStart w:id="961" w:name="_Toc289932259"/>
      <w:bookmarkStart w:id="962" w:name="_Toc289933305"/>
      <w:bookmarkStart w:id="963" w:name="_Toc291852868"/>
      <w:bookmarkStart w:id="964" w:name="_Toc392515856"/>
      <w:r w:rsidRPr="00CB6CBA">
        <w:rPr>
          <w:lang w:val="en-US"/>
        </w:rPr>
        <w:t>3.3.2</w:t>
      </w:r>
      <w:r w:rsidRPr="00CB6CBA">
        <w:rPr>
          <w:lang w:val="en-US"/>
        </w:rPr>
        <w:tab/>
        <w:t>National frequency assignment decisions</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rsidR="00CA3B52" w:rsidRPr="00CB6CBA" w:rsidRDefault="00CA3B52" w:rsidP="00CA3B52">
      <w:pPr>
        <w:rPr>
          <w:lang w:val="en-US"/>
        </w:rPr>
      </w:pPr>
      <w:r w:rsidRPr="00CB6CBA">
        <w:rPr>
          <w:lang w:val="en-US"/>
        </w:rPr>
        <w:t>Knowledge of the economic and social benefits that competing uses and the manner in which they are provided give spectrum managers information, in addition to the standard technical and operational assessments, that could be used to help make assignment decisions and maximize the economic benefits from the utilization of the radio spectrum.</w:t>
      </w:r>
    </w:p>
    <w:p w:rsidR="00CA3B52" w:rsidRPr="00CB6CBA" w:rsidRDefault="00CA3B52" w:rsidP="00CA3B52">
      <w:pPr>
        <w:rPr>
          <w:lang w:val="en-US"/>
        </w:rPr>
      </w:pPr>
      <w:r w:rsidRPr="00CB6CBA">
        <w:rPr>
          <w:lang w:val="en-US"/>
        </w:rPr>
        <w:t>Economic benefits analysis can be used in a number of ways. It can show the impact of delays in introducing a new service, the relative benefits of different types of service, the economic benefits of introducing more spectrally efficient technology and the benefits from reassigning a frequency band to a new service or technology.</w:t>
      </w:r>
    </w:p>
    <w:p w:rsidR="00CA3B52" w:rsidRDefault="00CA3B52" w:rsidP="00CA3B52">
      <w:pPr>
        <w:rPr>
          <w:lang w:val="en-US"/>
        </w:rPr>
      </w:pPr>
      <w:r w:rsidRPr="00CB6CBA">
        <w:rPr>
          <w:lang w:val="en-US"/>
        </w:rPr>
        <w:t xml:space="preserve">Technical and operational factors are obviously essential in any assignment decision, for without efficient use of the spectrum, economic benefits cannot be maximized. For some assignment decisions cultural/social aspects may be another factor. However, economic benefits analysis also </w:t>
      </w:r>
      <w:r w:rsidRPr="00CB6CBA">
        <w:rPr>
          <w:lang w:val="en-US"/>
        </w:rPr>
        <w:lastRenderedPageBreak/>
        <w:t xml:space="preserve">has a role to play in determining assignment decisions, as failure to give due weight to economic benefits in spectrum management decisions could impose substantial costs on the economy. </w:t>
      </w:r>
    </w:p>
    <w:p w:rsidR="00CA3B52" w:rsidRPr="00CB6CBA" w:rsidRDefault="00CA3B52" w:rsidP="00CA3B52">
      <w:pPr>
        <w:rPr>
          <w:lang w:val="en-US"/>
        </w:rPr>
      </w:pPr>
      <w:r w:rsidRPr="00CB6CBA">
        <w:rPr>
          <w:lang w:val="en-US"/>
        </w:rPr>
        <w:t>The main advantage therefore of applying economic benefits analysis to assignment decisions, whether nationally or possibly internationally, is that it provides an analytical tool for optimizing the economic contribution made by radio. At present, perceptions of methodological difficulties may have meant that less emphasis is placed on benefits analysis than is warranted. As this Report shows, techniques are now available to estimate the economic benefits so that they can be taken into account.</w:t>
      </w:r>
    </w:p>
    <w:p w:rsidR="00CA3B52" w:rsidRPr="00CB6CBA" w:rsidRDefault="00CA3B52" w:rsidP="00CA3B52">
      <w:pPr>
        <w:pStyle w:val="Heading3"/>
        <w:rPr>
          <w:lang w:val="en-US"/>
        </w:rPr>
      </w:pPr>
      <w:bookmarkStart w:id="965" w:name="_Toc394385999"/>
      <w:bookmarkStart w:id="966" w:name="_Toc394386086"/>
      <w:bookmarkStart w:id="967" w:name="_Toc395503190"/>
      <w:bookmarkStart w:id="968" w:name="_Toc459746683"/>
      <w:bookmarkStart w:id="969" w:name="_Toc459792616"/>
      <w:bookmarkStart w:id="970" w:name="_Toc459793783"/>
      <w:bookmarkStart w:id="971" w:name="_Toc459793925"/>
      <w:bookmarkStart w:id="972" w:name="_Toc459970401"/>
      <w:bookmarkStart w:id="973" w:name="_Toc497033159"/>
      <w:bookmarkStart w:id="974" w:name="_Toc497033957"/>
      <w:bookmarkStart w:id="975" w:name="_Toc289868792"/>
      <w:bookmarkStart w:id="976" w:name="_Toc289868952"/>
      <w:bookmarkStart w:id="977" w:name="_Toc289932260"/>
      <w:bookmarkStart w:id="978" w:name="_Toc289933306"/>
      <w:bookmarkStart w:id="979" w:name="_Toc291852869"/>
      <w:bookmarkStart w:id="980" w:name="_Toc392515857"/>
      <w:r w:rsidRPr="00CB6CBA">
        <w:rPr>
          <w:lang w:val="en-US"/>
        </w:rPr>
        <w:t>3.3.3</w:t>
      </w:r>
      <w:r w:rsidRPr="00CB6CBA">
        <w:rPr>
          <w:lang w:val="en-US"/>
        </w:rPr>
        <w:tab/>
        <w:t>Changes in spectrum management national legislation</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rsidR="00CA3B52" w:rsidRPr="00CB6CBA" w:rsidRDefault="00CA3B52" w:rsidP="00CA3B52">
      <w:pPr>
        <w:rPr>
          <w:lang w:val="en-US"/>
        </w:rPr>
      </w:pPr>
      <w:r w:rsidRPr="00CB6CBA">
        <w:rPr>
          <w:lang w:val="en-US"/>
        </w:rPr>
        <w:t>For most administrations the provision of spectrum management is defined by legislation. This may limit changes in the way spectrum management can be provided, the way licences are issued and the type of support the spectrum management authority can receive from non-government organizations. Providing governments with justification for a change to legislation frequently requires assessment of the cost of implementation and the benefits the users and government will receive.</w:t>
      </w:r>
    </w:p>
    <w:p w:rsidR="00CA3B52" w:rsidRPr="00CB6CBA" w:rsidRDefault="00CA3B52" w:rsidP="00CA3B52">
      <w:pPr>
        <w:rPr>
          <w:lang w:val="en-US"/>
        </w:rPr>
      </w:pPr>
      <w:r w:rsidRPr="00CB6CBA">
        <w:rPr>
          <w:lang w:val="en-US"/>
        </w:rPr>
        <w:t>Economic analysis enables the economic benefits from using radio to be put in context with other areas of the economy and possibly an estimate of the consequential change in economic benefits arising from the proposed change in legislation to be provided. This information can provide governments with more information on the impact of the proposed legislation and the importance of the legislative changes relative to both spectrum management and the wider economy. Hence it can be used in the determination of timescales for introduction of the proposed changes to the legislature.</w:t>
      </w:r>
    </w:p>
    <w:p w:rsidR="00CA3B52" w:rsidRPr="00CB6CBA" w:rsidRDefault="00CA3B52" w:rsidP="00CA3B52">
      <w:pPr>
        <w:pStyle w:val="Heading3"/>
        <w:rPr>
          <w:lang w:val="en-US"/>
        </w:rPr>
      </w:pPr>
      <w:bookmarkStart w:id="981" w:name="_Toc394386000"/>
      <w:bookmarkStart w:id="982" w:name="_Toc394386087"/>
      <w:bookmarkStart w:id="983" w:name="_Toc395503191"/>
      <w:bookmarkStart w:id="984" w:name="_Toc459746684"/>
      <w:bookmarkStart w:id="985" w:name="_Toc459792617"/>
      <w:bookmarkStart w:id="986" w:name="_Toc459793784"/>
      <w:bookmarkStart w:id="987" w:name="_Toc459793926"/>
      <w:bookmarkStart w:id="988" w:name="_Toc459970402"/>
      <w:bookmarkStart w:id="989" w:name="_Toc497033160"/>
      <w:bookmarkStart w:id="990" w:name="_Toc497033958"/>
      <w:bookmarkStart w:id="991" w:name="_Toc289868793"/>
      <w:bookmarkStart w:id="992" w:name="_Toc289868953"/>
      <w:bookmarkStart w:id="993" w:name="_Toc289932261"/>
      <w:bookmarkStart w:id="994" w:name="_Toc289933307"/>
      <w:bookmarkStart w:id="995" w:name="_Toc291852870"/>
      <w:bookmarkStart w:id="996" w:name="_Toc392515858"/>
      <w:r w:rsidRPr="00CB6CBA">
        <w:rPr>
          <w:lang w:val="en-US"/>
        </w:rPr>
        <w:t>3.3.4</w:t>
      </w:r>
      <w:r w:rsidRPr="00CB6CBA">
        <w:rPr>
          <w:lang w:val="en-US"/>
        </w:rPr>
        <w:tab/>
        <w:t>Support to the spectrum manager on the operation of auctions</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rsidR="00CA3B52" w:rsidRPr="00CB6CBA" w:rsidRDefault="00CA3B52" w:rsidP="00CA3B52">
      <w:pPr>
        <w:rPr>
          <w:lang w:val="en-US"/>
        </w:rPr>
      </w:pPr>
      <w:r w:rsidRPr="00CB6CBA">
        <w:rPr>
          <w:lang w:val="en-US"/>
        </w:rPr>
        <w:t>Auctions are widely acknowledged to be the best method for determining the value of the spectrum (see Chapter 2 for a full explanation of auctions). However, the success of auctions can be affected by a number of different parameters. These include administrative limitations on auctions, administrative limitations on the operation of the new service or frequency assignment, and technical limitations imposed on the new service or frequency assignment. This last case may include issues of interference from another national or international radio source, coverage area, etc.</w:t>
      </w:r>
    </w:p>
    <w:p w:rsidR="00CA3B52" w:rsidRPr="00CB6CBA" w:rsidRDefault="00CA3B52" w:rsidP="00CA3B52">
      <w:pPr>
        <w:rPr>
          <w:lang w:val="en-US"/>
        </w:rPr>
      </w:pPr>
      <w:r w:rsidRPr="00CB6CBA">
        <w:rPr>
          <w:lang w:val="en-US"/>
        </w:rPr>
        <w:t>Economic analysis can be used to provide an initial assessment of the value of the frequency assignment. This may be used to determine if there will be sufficient competition for the spectrum, to support spectrum managers in their evaluation of bidders business plans, or to provide a reserve price for the auction.</w:t>
      </w:r>
    </w:p>
    <w:p w:rsidR="00CA3B52" w:rsidRPr="00CB6CBA" w:rsidRDefault="00CA3B52" w:rsidP="00CA3B52">
      <w:pPr>
        <w:rPr>
          <w:lang w:val="en-US"/>
        </w:rPr>
      </w:pPr>
      <w:r w:rsidRPr="00CB6CBA">
        <w:rPr>
          <w:lang w:val="en-US"/>
        </w:rPr>
        <w:t>A reserve price is a threshold value placed on a commodity by the owner that if not exceeded during the bidding process prevents the highest bidder winning the auction without the owner’s further consent. The reserve price is usually based on a percentage of the valuation of the item and is provided by either the auction house, or an expert in the field. Reserve prices are commonly used in many forms of auction, especially antiques and art.</w:t>
      </w:r>
    </w:p>
    <w:p w:rsidR="00CA3B52" w:rsidRPr="00CB6CBA" w:rsidRDefault="00CA3B52" w:rsidP="00CA3B52">
      <w:pPr>
        <w:pStyle w:val="Heading3"/>
        <w:rPr>
          <w:lang w:val="en-US"/>
        </w:rPr>
      </w:pPr>
      <w:bookmarkStart w:id="997" w:name="_Toc394386001"/>
      <w:bookmarkStart w:id="998" w:name="_Toc394386088"/>
      <w:bookmarkStart w:id="999" w:name="_Toc395503192"/>
      <w:bookmarkStart w:id="1000" w:name="_Toc459746685"/>
      <w:bookmarkStart w:id="1001" w:name="_Toc459792618"/>
      <w:bookmarkStart w:id="1002" w:name="_Toc459793785"/>
      <w:bookmarkStart w:id="1003" w:name="_Toc459793927"/>
      <w:bookmarkStart w:id="1004" w:name="_Toc459970403"/>
      <w:bookmarkStart w:id="1005" w:name="_Toc497033161"/>
      <w:bookmarkStart w:id="1006" w:name="_Toc497033959"/>
      <w:bookmarkStart w:id="1007" w:name="_Toc289868794"/>
      <w:bookmarkStart w:id="1008" w:name="_Toc289868954"/>
      <w:bookmarkStart w:id="1009" w:name="_Toc289932262"/>
      <w:bookmarkStart w:id="1010" w:name="_Toc289933308"/>
      <w:bookmarkStart w:id="1011" w:name="_Toc291852871"/>
      <w:bookmarkStart w:id="1012" w:name="_Toc392515859"/>
      <w:r w:rsidRPr="00CB6CBA">
        <w:rPr>
          <w:lang w:val="en-US"/>
        </w:rPr>
        <w:t>3.3.5</w:t>
      </w:r>
      <w:r w:rsidRPr="00CB6CBA">
        <w:rPr>
          <w:lang w:val="en-US"/>
        </w:rPr>
        <w:tab/>
        <w:t>Using economic assessment to monitor economic performance over time</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rsidR="00CA3B52" w:rsidRPr="00CB6CBA" w:rsidRDefault="00CA3B52" w:rsidP="00CA3B52">
      <w:pPr>
        <w:rPr>
          <w:lang w:val="en-US"/>
        </w:rPr>
      </w:pPr>
      <w:r w:rsidRPr="00CB6CBA">
        <w:rPr>
          <w:lang w:val="en-US"/>
        </w:rPr>
        <w:t>Assessment at periodic intervals of the economic benefits from the use of radio can be used to provide information on the economic performance of radio usage over of time. Monitoring this performance provides a better picture of the radio spectrum’s condition than a single assessment and can be used with licensing data to show trends and developments in spectrum use. This information may be linked to spectrum management decisions, (e.g.</w:t>
      </w:r>
      <w:r>
        <w:rPr>
          <w:lang w:val="en-US"/>
        </w:rPr>
        <w:t>,</w:t>
      </w:r>
      <w:r w:rsidRPr="00CB6CBA">
        <w:rPr>
          <w:lang w:val="en-US"/>
        </w:rPr>
        <w:t xml:space="preserve"> frequency assignments, changes in licensing conditions, introduction of new services) so that the impact of spectrum </w:t>
      </w:r>
      <w:r w:rsidRPr="00CB6CBA">
        <w:rPr>
          <w:lang w:val="en-US"/>
        </w:rPr>
        <w:lastRenderedPageBreak/>
        <w:t>management decisions may be evaluated and their application modified as necessary. In this way any detrimental impact on users can be rectified, and ineffective decisions reviewed or revoked.</w:t>
      </w:r>
    </w:p>
    <w:p w:rsidR="00CA3B52" w:rsidRPr="00CB6CBA" w:rsidRDefault="00CA3B52" w:rsidP="00CA3B52">
      <w:pPr>
        <w:rPr>
          <w:lang w:val="en-US"/>
        </w:rPr>
      </w:pPr>
      <w:r w:rsidRPr="00CB6CBA">
        <w:rPr>
          <w:lang w:val="en-US"/>
        </w:rPr>
        <w:t>For example, in the United Kingdom a follow-up study to the 1993/1994 economic Report has shown that radio’s contribution to GDP has increased by 11% per annum compared to the 3% for the rest of the economy and employment increased over the two-year period by 1</w:t>
      </w:r>
      <w:r w:rsidRPr="00CB6CBA">
        <w:rPr>
          <w:rFonts w:ascii="Tms Rmn" w:hAnsi="Tms Rmn"/>
          <w:sz w:val="12"/>
          <w:lang w:val="en-US"/>
        </w:rPr>
        <w:t> </w:t>
      </w:r>
      <w:r w:rsidRPr="00CB6CBA">
        <w:rPr>
          <w:lang w:val="en-US"/>
        </w:rPr>
        <w:t>000 jobs a week. Employment (see Note 1) due to the use of radio has increased by 110</w:t>
      </w:r>
      <w:r w:rsidRPr="00CB6CBA">
        <w:rPr>
          <w:rFonts w:ascii="Tms Rmn" w:hAnsi="Tms Rmn"/>
          <w:sz w:val="12"/>
          <w:lang w:val="en-US"/>
        </w:rPr>
        <w:t> </w:t>
      </w:r>
      <w:r w:rsidRPr="00CB6CBA">
        <w:rPr>
          <w:lang w:val="en-US"/>
        </w:rPr>
        <w:t>000 to 410</w:t>
      </w:r>
      <w:r w:rsidRPr="00CB6CBA">
        <w:rPr>
          <w:rFonts w:ascii="Tms Rmn" w:hAnsi="Tms Rmn"/>
          <w:sz w:val="12"/>
          <w:lang w:val="en-US"/>
        </w:rPr>
        <w:t> </w:t>
      </w:r>
      <w:r w:rsidRPr="00CB6CBA">
        <w:rPr>
          <w:lang w:val="en-US"/>
        </w:rPr>
        <w:t>000 an approximate increase of 36%. Although this increase is perhaps exaggerated by an under</w:t>
      </w:r>
      <w:r w:rsidRPr="00CB6CBA">
        <w:rPr>
          <w:lang w:val="en-US"/>
        </w:rPr>
        <w:softHyphen/>
        <w:t>estimation of the employment figures in the previous study, it compares favourably with an increase of 485</w:t>
      </w:r>
      <w:r w:rsidRPr="00CB6CBA">
        <w:rPr>
          <w:rFonts w:ascii="Tms Rmn" w:hAnsi="Tms Rmn"/>
          <w:sz w:val="12"/>
          <w:lang w:val="en-US"/>
        </w:rPr>
        <w:t> </w:t>
      </w:r>
      <w:r w:rsidRPr="00CB6CBA">
        <w:rPr>
          <w:lang w:val="en-US"/>
        </w:rPr>
        <w:t>000 for the total economy over the same period. This study of economic performance will in future be repeated bi-annually.</w:t>
      </w:r>
    </w:p>
    <w:p w:rsidR="00CA3B52" w:rsidRPr="00810531" w:rsidRDefault="00CA3B52" w:rsidP="00CA3B52">
      <w:pPr>
        <w:pStyle w:val="Note"/>
        <w:rPr>
          <w:lang w:val="en-US"/>
        </w:rPr>
      </w:pPr>
      <w:bookmarkStart w:id="1013" w:name="_Toc394386002"/>
      <w:bookmarkStart w:id="1014" w:name="_Toc394386089"/>
      <w:bookmarkStart w:id="1015" w:name="_Toc395503193"/>
      <w:bookmarkStart w:id="1016" w:name="_Toc459746686"/>
      <w:bookmarkStart w:id="1017" w:name="_Toc459792619"/>
      <w:bookmarkStart w:id="1018" w:name="_Toc459793786"/>
      <w:bookmarkStart w:id="1019" w:name="_Toc459793928"/>
      <w:bookmarkStart w:id="1020" w:name="_Toc459970404"/>
      <w:bookmarkStart w:id="1021" w:name="_Toc497033162"/>
      <w:bookmarkStart w:id="1022" w:name="_Toc497033960"/>
      <w:r w:rsidRPr="00810531">
        <w:rPr>
          <w:lang w:val="en-US"/>
        </w:rPr>
        <w:t>NOTE 1 – Employment due to the use of radio includes industries, or services, which use radio, but in which radio is not the primary product, e.g. taxi companies.</w:t>
      </w:r>
    </w:p>
    <w:p w:rsidR="00CA3B52" w:rsidRPr="00CB6CBA" w:rsidRDefault="00CA3B52" w:rsidP="00CA3B52">
      <w:pPr>
        <w:pStyle w:val="Heading2"/>
        <w:rPr>
          <w:lang w:val="en-US"/>
        </w:rPr>
      </w:pPr>
      <w:bookmarkStart w:id="1023" w:name="_Toc289868795"/>
      <w:bookmarkStart w:id="1024" w:name="_Toc289868955"/>
      <w:bookmarkStart w:id="1025" w:name="_Toc289932263"/>
      <w:bookmarkStart w:id="1026" w:name="_Toc289933309"/>
      <w:bookmarkStart w:id="1027" w:name="_Toc291852872"/>
      <w:bookmarkStart w:id="1028" w:name="_Toc392515860"/>
      <w:r w:rsidRPr="00CB6CBA">
        <w:rPr>
          <w:lang w:val="en-US"/>
        </w:rPr>
        <w:t>3.4</w:t>
      </w:r>
      <w:r w:rsidRPr="00CB6CBA">
        <w:rPr>
          <w:lang w:val="en-US"/>
        </w:rPr>
        <w:tab/>
        <w:t>Factors affecting benefits</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rsidR="00CA3B52" w:rsidRPr="00CB6CBA" w:rsidRDefault="00CA3B52" w:rsidP="00CA3B52">
      <w:pPr>
        <w:rPr>
          <w:lang w:val="en-US"/>
        </w:rPr>
      </w:pPr>
      <w:r w:rsidRPr="00CB6CBA">
        <w:rPr>
          <w:lang w:val="en-US"/>
        </w:rPr>
        <w:t>This section examines a series of factors affecting the economic benefits that arise from the use of radio. It does not seek to quantify their impact; rather its purpose is to explain how these factors impact the national radiocommunications infrastructure, which in turn affects the value of economic benefits.</w:t>
      </w:r>
    </w:p>
    <w:p w:rsidR="00CA3B52" w:rsidRPr="00CB6CBA" w:rsidRDefault="00CA3B52" w:rsidP="00CA3B52">
      <w:pPr>
        <w:rPr>
          <w:lang w:val="en-US"/>
        </w:rPr>
      </w:pPr>
      <w:r w:rsidRPr="00CB6CBA">
        <w:rPr>
          <w:lang w:val="en-US"/>
        </w:rPr>
        <w:t>The radiocommunications infrastructure is the combination of all existing radio systems operating in a country, the frequency allocations, individual frequency assignments, any necessary coordination agreements and the spare capacity in the spectrum that can be used by the existing radio technology.</w:t>
      </w:r>
    </w:p>
    <w:p w:rsidR="00CA3B52" w:rsidRPr="00CB6CBA" w:rsidRDefault="00CA3B52" w:rsidP="00CA3B52">
      <w:pPr>
        <w:rPr>
          <w:lang w:val="en-US"/>
        </w:rPr>
      </w:pPr>
      <w:r w:rsidRPr="00CB6CBA">
        <w:rPr>
          <w:lang w:val="en-US"/>
        </w:rPr>
        <w:t>The benefits arising from the use of radio increase with the level of investment, increased usage and the introduction of new services and technologies. However the larger the investments and the more heavily developed the spectrum becomes, the less flexibility exists for introducing new services in the same band. Providing a balance between the contradictory requirements of increasing the use of the spectrum and retaining sufficient spectrum to meet future demand is an increasingly difficult problem, particularly in the lower frequency bands, and becomes more difficult as demand for spectrum access increases. The following sections review some of the information that characterizes the infrastructure. It should be noted that they apply equally to the entire country and its regions.</w:t>
      </w:r>
    </w:p>
    <w:p w:rsidR="00CA3B52" w:rsidRPr="00CB6CBA" w:rsidRDefault="00CA3B52" w:rsidP="00CA3B52">
      <w:pPr>
        <w:pStyle w:val="Heading3"/>
        <w:rPr>
          <w:lang w:val="en-US"/>
        </w:rPr>
      </w:pPr>
      <w:bookmarkStart w:id="1029" w:name="_Toc394386003"/>
      <w:bookmarkStart w:id="1030" w:name="_Toc394386090"/>
      <w:bookmarkStart w:id="1031" w:name="_Toc395503194"/>
      <w:bookmarkStart w:id="1032" w:name="_Toc459746687"/>
      <w:bookmarkStart w:id="1033" w:name="_Toc459792620"/>
      <w:bookmarkStart w:id="1034" w:name="_Toc459793787"/>
      <w:bookmarkStart w:id="1035" w:name="_Toc459793929"/>
      <w:bookmarkStart w:id="1036" w:name="_Toc459970405"/>
      <w:bookmarkStart w:id="1037" w:name="_Toc497033163"/>
      <w:bookmarkStart w:id="1038" w:name="_Toc497033961"/>
      <w:bookmarkStart w:id="1039" w:name="_Toc289868796"/>
      <w:bookmarkStart w:id="1040" w:name="_Toc289868956"/>
      <w:bookmarkStart w:id="1041" w:name="_Toc289932264"/>
      <w:bookmarkStart w:id="1042" w:name="_Toc289933310"/>
      <w:bookmarkStart w:id="1043" w:name="_Toc291852873"/>
      <w:bookmarkStart w:id="1044" w:name="_Toc392515861"/>
      <w:r w:rsidRPr="00CB6CBA">
        <w:rPr>
          <w:lang w:val="en-US"/>
        </w:rPr>
        <w:t>3.4.1</w:t>
      </w:r>
      <w:r w:rsidRPr="00CB6CBA">
        <w:rPr>
          <w:lang w:val="en-US"/>
        </w:rPr>
        <w:tab/>
        <w:t>Frequency availability</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rsidR="00CA3B52" w:rsidRPr="00CB6CBA" w:rsidRDefault="00CA3B52" w:rsidP="00CA3B52">
      <w:pPr>
        <w:rPr>
          <w:lang w:val="en-US"/>
        </w:rPr>
      </w:pPr>
      <w:r w:rsidRPr="00CB6CBA">
        <w:rPr>
          <w:lang w:val="en-US"/>
        </w:rPr>
        <w:t>The ability of administrations to make frequencies available for use is a major factor in determining the economic benefits they can achieve. Availability of specific frequencies or frequency bands may affect the cost of implementing new radio systems, radio system viability and the number of users that can be accommodated. The more users that a frequency can accommodate, within agreed performance limits, the greater will be the potential economic benefits.</w:t>
      </w:r>
    </w:p>
    <w:p w:rsidR="00CA3B52" w:rsidRPr="00CB6CBA" w:rsidRDefault="00CA3B52" w:rsidP="00CA3B52">
      <w:pPr>
        <w:rPr>
          <w:lang w:val="en-US"/>
        </w:rPr>
      </w:pPr>
      <w:r w:rsidRPr="00CB6CBA">
        <w:rPr>
          <w:lang w:val="en-US"/>
        </w:rPr>
        <w:t>Frequency availability is closely linked with coverage area and required bandwidth. The larger the coverage area the lower the frequency reuse in a given area. The wider the required channel bandwidth, the fewer channels can be fitted into a particular frequency band and the more spectrum denied to other users or uses. Coverage area is determined by many factors, e.g. transmitter power, antenna height, antenna pattern. Reducing the coverage area with improved antenna patterns or site shielding will increase frequency availability. By reducing the coverage area, the area denied to other users by those transmissions is also reduced.</w:t>
      </w:r>
    </w:p>
    <w:p w:rsidR="00CA3B52" w:rsidRPr="00810531" w:rsidRDefault="00CA3B52" w:rsidP="00CA3B52">
      <w:pPr>
        <w:pStyle w:val="Note"/>
        <w:rPr>
          <w:lang w:val="en-US"/>
        </w:rPr>
      </w:pPr>
      <w:r w:rsidRPr="00810531">
        <w:rPr>
          <w:lang w:val="en-US"/>
        </w:rPr>
        <w:t>NOTE 1 – The area denied to other users is normally larger than the coverage area.</w:t>
      </w:r>
    </w:p>
    <w:p w:rsidR="00CA3B52" w:rsidRPr="00CB6CBA" w:rsidRDefault="00CA3B52" w:rsidP="00CA3B52">
      <w:pPr>
        <w:pStyle w:val="Heading4"/>
        <w:rPr>
          <w:lang w:val="en-US"/>
        </w:rPr>
      </w:pPr>
      <w:bookmarkStart w:id="1045" w:name="_Toc459746688"/>
      <w:bookmarkStart w:id="1046" w:name="_Toc459792621"/>
      <w:bookmarkStart w:id="1047" w:name="_Toc459793788"/>
      <w:bookmarkStart w:id="1048" w:name="_Toc459793930"/>
      <w:bookmarkStart w:id="1049" w:name="_Toc497033164"/>
      <w:bookmarkStart w:id="1050" w:name="_Toc497033962"/>
      <w:r w:rsidRPr="00CB6CBA">
        <w:rPr>
          <w:lang w:val="en-US"/>
        </w:rPr>
        <w:lastRenderedPageBreak/>
        <w:t>3.4.1.1</w:t>
      </w:r>
      <w:r w:rsidRPr="00CB6CBA">
        <w:rPr>
          <w:lang w:val="en-US"/>
        </w:rPr>
        <w:tab/>
        <w:t>Suitability</w:t>
      </w:r>
      <w:bookmarkEnd w:id="1045"/>
      <w:bookmarkEnd w:id="1046"/>
      <w:bookmarkEnd w:id="1047"/>
      <w:bookmarkEnd w:id="1048"/>
      <w:bookmarkEnd w:id="1049"/>
      <w:bookmarkEnd w:id="1050"/>
    </w:p>
    <w:p w:rsidR="00CA3B52" w:rsidRPr="00CB6CBA" w:rsidRDefault="00CA3B52" w:rsidP="00CA3B52">
      <w:pPr>
        <w:rPr>
          <w:lang w:val="en-US"/>
        </w:rPr>
      </w:pPr>
      <w:r w:rsidRPr="00CB6CBA">
        <w:rPr>
          <w:lang w:val="en-US"/>
        </w:rPr>
        <w:t>Providing spectrum for a new service is not necessarily a question of finding a vacant block of frequencies. Apart from the variation in cost of equipment between different frequency bands, and the impact of propagation considerations, both of which may determine whether it is economically viable to operate a particular service, there are some services and applications that have a requirement for a particular frequency band. For example: temperature profiling and climatic monitoring have a specific need for the oxygen absorption lines around 60 GHz, whilst international broadcasting needs HF; neither of these services could make use of the other’s frequencies. In</w:t>
      </w:r>
      <w:r>
        <w:rPr>
          <w:lang w:val="en-US"/>
        </w:rPr>
        <w:t> </w:t>
      </w:r>
      <w:r w:rsidRPr="00CB6CBA">
        <w:rPr>
          <w:lang w:val="en-US"/>
        </w:rPr>
        <w:t>addition, the frequency band selected for a service may affect the structure of the system, cost of implementation and operation. Selecting the right frequency band will therefore determine the viability and hence the benefits the new service can provide.</w:t>
      </w:r>
    </w:p>
    <w:p w:rsidR="00CA3B52" w:rsidRPr="00CB6CBA" w:rsidRDefault="00CA3B52" w:rsidP="00CA3B52">
      <w:pPr>
        <w:pStyle w:val="Heading3"/>
        <w:rPr>
          <w:lang w:val="en-US"/>
        </w:rPr>
      </w:pPr>
      <w:bookmarkStart w:id="1051" w:name="_Toc394386004"/>
      <w:bookmarkStart w:id="1052" w:name="_Toc394386091"/>
      <w:bookmarkStart w:id="1053" w:name="_Toc395503195"/>
      <w:bookmarkStart w:id="1054" w:name="_Toc459746689"/>
      <w:bookmarkStart w:id="1055" w:name="_Toc459792622"/>
      <w:bookmarkStart w:id="1056" w:name="_Toc459793789"/>
      <w:bookmarkStart w:id="1057" w:name="_Toc459793931"/>
      <w:bookmarkStart w:id="1058" w:name="_Toc459970406"/>
      <w:bookmarkStart w:id="1059" w:name="_Toc497033165"/>
      <w:bookmarkStart w:id="1060" w:name="_Toc497033963"/>
      <w:bookmarkStart w:id="1061" w:name="_Toc289868797"/>
      <w:bookmarkStart w:id="1062" w:name="_Toc289868957"/>
      <w:bookmarkStart w:id="1063" w:name="_Toc289932265"/>
      <w:bookmarkStart w:id="1064" w:name="_Toc289933311"/>
      <w:bookmarkStart w:id="1065" w:name="_Toc291852874"/>
      <w:bookmarkStart w:id="1066" w:name="_Toc392515862"/>
      <w:r w:rsidRPr="00CB6CBA">
        <w:rPr>
          <w:lang w:val="en-US"/>
        </w:rPr>
        <w:t>3.4.2</w:t>
      </w:r>
      <w:r w:rsidRPr="00CB6CBA">
        <w:rPr>
          <w:lang w:val="en-US"/>
        </w:rPr>
        <w:tab/>
        <w:t>Demand</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rsidR="00CA3B52" w:rsidRPr="00CB6CBA" w:rsidRDefault="00CA3B52" w:rsidP="00CA3B52">
      <w:pPr>
        <w:rPr>
          <w:lang w:val="en-US"/>
        </w:rPr>
      </w:pPr>
      <w:r w:rsidRPr="00CB6CBA">
        <w:rPr>
          <w:lang w:val="en-US"/>
        </w:rPr>
        <w:t>A country’s population and industry provide the demand for radio services. The viability of introducing services on a commercial basis (i.e. not State funded) throughout a country will depend on the level of that demand, unless there are specific requirements placed on the service provider (e.g. in the United Kingdom, some broadcasters and telephone service providers are obliged to provide universal coverage for certain services). The level of demand in a country is therefore probably the most important element in determining radio usage and together with the country’s geography, determines the shape of the radiocommunications infrastructure.</w:t>
      </w:r>
    </w:p>
    <w:p w:rsidR="00CA3B52" w:rsidRPr="00CB6CBA" w:rsidRDefault="00CA3B52" w:rsidP="00CA3B52">
      <w:pPr>
        <w:rPr>
          <w:lang w:val="en-US"/>
        </w:rPr>
      </w:pPr>
      <w:r w:rsidRPr="00CB6CBA">
        <w:rPr>
          <w:lang w:val="en-US"/>
        </w:rPr>
        <w:t>A large population will normally provide the demand for the introduction of a wide variety of radio services, although it may not guarantee their viability. Although most communications are based on population centres, or areas of employment, that demand can also occur in relatively uninhabited areas e.g. major transport routes are not necessarily in major population centres. However it can normally be assumed that the greatest demand will occur in areas with the greatest population density and/or the highest economic activity. Conversely the lower the population density the lower the level of demand and the less competition the market will be able to support. This may lead to less variety and consequently higher costs for a particular service.</w:t>
      </w:r>
    </w:p>
    <w:p w:rsidR="00CA3B52" w:rsidRPr="00CB6CBA" w:rsidRDefault="00CA3B52" w:rsidP="00CA3B52">
      <w:pPr>
        <w:pStyle w:val="Heading3"/>
        <w:rPr>
          <w:lang w:val="en-US"/>
        </w:rPr>
      </w:pPr>
      <w:bookmarkStart w:id="1067" w:name="_Toc394386005"/>
      <w:bookmarkStart w:id="1068" w:name="_Toc394386092"/>
      <w:bookmarkStart w:id="1069" w:name="_Toc395503196"/>
      <w:bookmarkStart w:id="1070" w:name="_Toc459746690"/>
      <w:bookmarkStart w:id="1071" w:name="_Toc459792623"/>
      <w:bookmarkStart w:id="1072" w:name="_Toc459793790"/>
      <w:bookmarkStart w:id="1073" w:name="_Toc459793932"/>
      <w:bookmarkStart w:id="1074" w:name="_Toc459970407"/>
      <w:bookmarkStart w:id="1075" w:name="_Toc497033166"/>
      <w:bookmarkStart w:id="1076" w:name="_Toc497033964"/>
      <w:bookmarkStart w:id="1077" w:name="_Toc289868798"/>
      <w:bookmarkStart w:id="1078" w:name="_Toc289868958"/>
      <w:bookmarkStart w:id="1079" w:name="_Toc289932266"/>
      <w:bookmarkStart w:id="1080" w:name="_Toc289933312"/>
      <w:bookmarkStart w:id="1081" w:name="_Toc291852875"/>
      <w:bookmarkStart w:id="1082" w:name="_Toc392515863"/>
      <w:r w:rsidRPr="00CB6CBA">
        <w:rPr>
          <w:lang w:val="en-US"/>
        </w:rPr>
        <w:t>3.4.3</w:t>
      </w:r>
      <w:r w:rsidRPr="00CB6CBA">
        <w:rPr>
          <w:lang w:val="en-US"/>
        </w:rPr>
        <w:tab/>
        <w:t>The country’s geography</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rsidR="00CA3B52" w:rsidRPr="00CB6CBA" w:rsidRDefault="00CA3B52" w:rsidP="00CA3B52">
      <w:pPr>
        <w:rPr>
          <w:lang w:val="en-US"/>
        </w:rPr>
      </w:pPr>
      <w:r w:rsidRPr="00CB6CBA">
        <w:rPr>
          <w:lang w:val="en-US"/>
        </w:rPr>
        <w:t>The geography of the country covers a number of separate items that can affect the benefits arising from the use of radio. These include the country’s size, its geographic shape, terrain structure, the number of countries within coordination distance and their radiocommunications infrastructure.</w:t>
      </w:r>
    </w:p>
    <w:p w:rsidR="00CA3B52" w:rsidRPr="00CB6CBA" w:rsidRDefault="00CA3B52" w:rsidP="00CA3B52">
      <w:pPr>
        <w:rPr>
          <w:lang w:val="en-US"/>
        </w:rPr>
      </w:pPr>
      <w:r w:rsidRPr="00CB6CBA">
        <w:rPr>
          <w:lang w:val="en-US"/>
        </w:rPr>
        <w:t>Broadly this translates into: countries with many close neighbours are more likely to have to coordinate the majority of their radio systems and may therefore be more likely to fit their radiocommunications infrastructure around that of their neighbours. The more developed the neighbouring countries’ infrastructure the greater the difficulty there is likely to be in introducing new services. This may not be a big problem as countries with low population densities generally have smaller populations and hence make less demands on the spectrum. At the other end of the scale large countries have greater freedom to plan services above certain frequency bands without the need to resort to coordination. This freedom is increased if they have few neighbours. Those countries with no neighbours within the coordination distance for a specific frequency benefit from the fact that they have unrestricted access to this frequency everywhere within their borders.</w:t>
      </w:r>
    </w:p>
    <w:p w:rsidR="00CA3B52" w:rsidRPr="00CB6CBA" w:rsidRDefault="00CA3B52" w:rsidP="00CA3B52">
      <w:pPr>
        <w:rPr>
          <w:lang w:val="en-US"/>
        </w:rPr>
      </w:pPr>
      <w:r w:rsidRPr="00CB6CBA">
        <w:rPr>
          <w:lang w:val="en-US"/>
        </w:rPr>
        <w:t>For the purpose of this Report, terrain structure includes mountain regions, dense woodland and desert. When combined with the other elements of the country’s geography and the population characteristics the terrain structure helps to determine which frequency bands may be the most appropriate for a particular service.</w:t>
      </w:r>
    </w:p>
    <w:p w:rsidR="00CA3B52" w:rsidRPr="00CB6CBA" w:rsidRDefault="00CA3B52" w:rsidP="00CA3B52">
      <w:pPr>
        <w:pStyle w:val="Heading4"/>
        <w:rPr>
          <w:lang w:val="en-US"/>
        </w:rPr>
      </w:pPr>
      <w:bookmarkStart w:id="1083" w:name="_Toc459746691"/>
      <w:bookmarkStart w:id="1084" w:name="_Toc459792624"/>
      <w:bookmarkStart w:id="1085" w:name="_Toc459793791"/>
      <w:bookmarkStart w:id="1086" w:name="_Toc459793933"/>
      <w:bookmarkStart w:id="1087" w:name="_Toc497033167"/>
      <w:bookmarkStart w:id="1088" w:name="_Toc497033965"/>
      <w:r w:rsidRPr="00CB6CBA">
        <w:rPr>
          <w:lang w:val="en-US"/>
        </w:rPr>
        <w:lastRenderedPageBreak/>
        <w:t>3.4.3.1</w:t>
      </w:r>
      <w:r w:rsidRPr="00CB6CBA">
        <w:rPr>
          <w:lang w:val="en-US"/>
        </w:rPr>
        <w:tab/>
        <w:t>Regional variations and spectrum congestion</w:t>
      </w:r>
      <w:bookmarkEnd w:id="1083"/>
      <w:bookmarkEnd w:id="1084"/>
      <w:bookmarkEnd w:id="1085"/>
      <w:bookmarkEnd w:id="1086"/>
      <w:bookmarkEnd w:id="1087"/>
      <w:bookmarkEnd w:id="1088"/>
    </w:p>
    <w:p w:rsidR="00CA3B52" w:rsidRPr="00CB6CBA" w:rsidRDefault="00CA3B52" w:rsidP="00CA3B52">
      <w:pPr>
        <w:rPr>
          <w:lang w:val="en-US"/>
        </w:rPr>
      </w:pPr>
      <w:r w:rsidRPr="00CB6CBA">
        <w:rPr>
          <w:lang w:val="en-US"/>
        </w:rPr>
        <w:t>A country’s geography and demand distribution can combine to provide a variation in the level of frequency availability across a country. The distribution of a country’s population equally across a country is extremely unlikely and the population tends to group in a number of population centres of varying sizes. In practice this grouping is beneficial to the provision of radio services; however, there comes a point where the level of demand can be disproportionate to the area in which it arises and this can cause frequency availability problems and eventually spectrum congestion. Spectrum congestion is a major problem for spectrum managers and cited by many administrations as one of the major factors in their consideration of moving to a spectrum pricing structure. The following example shows the impact of regional variations on spectrum demand.</w:t>
      </w:r>
    </w:p>
    <w:p w:rsidR="00CA3B52" w:rsidRPr="00CB6CBA" w:rsidRDefault="00CA3B52" w:rsidP="00CA3B52">
      <w:pPr>
        <w:rPr>
          <w:lang w:val="en-US"/>
        </w:rPr>
      </w:pPr>
      <w:r w:rsidRPr="00CB6CBA">
        <w:rPr>
          <w:lang w:val="en-US"/>
        </w:rPr>
        <w:t>In the United Kingdom some 25% of the population live in about 7% of the total land area, an area that includes two of the world’s busiest airports and is bounded by the world’s busiest shipping lane. This concentration of the population and industry creates high demand for all types of service (e.g. mobile, fixed, broadcasting, satellite, radionavigation) whilst at the same time placing considerable restraints on frequency reuse because of the short distance separation. In addition, despite being an island, the United Kingdom’s close proximity to neighbouring countries requires coordination in many frequency bands and places further limits on frequency availability. Public mobile telephone services have increased dramatically with increasing competition from new telecommunication operators, but the roll out of services is based on major centres of population and the prime road and rail links that connect them. Consequently there is a shortage of spectrum in some parts of the United Kingdom whilst in other areas this is not a problem. In areas like the South East of England there is congestion in many bands and a general shortage of available spectrum below 25 GHz. In particular below 3 GHz there is a problem with spectrum availability for mobile services. The United Kingdom is therefore putting considerable effort into opening up the frequency bands above 30 GHz.</w:t>
      </w:r>
    </w:p>
    <w:p w:rsidR="00CA3B52" w:rsidRPr="00CB6CBA" w:rsidRDefault="00CA3B52" w:rsidP="00CA3B52">
      <w:pPr>
        <w:pStyle w:val="Heading3"/>
        <w:rPr>
          <w:lang w:val="en-US"/>
        </w:rPr>
      </w:pPr>
      <w:bookmarkStart w:id="1089" w:name="_Toc394386006"/>
      <w:bookmarkStart w:id="1090" w:name="_Toc394386093"/>
      <w:bookmarkStart w:id="1091" w:name="_Toc395503197"/>
      <w:bookmarkStart w:id="1092" w:name="_Toc459746692"/>
      <w:bookmarkStart w:id="1093" w:name="_Toc459792625"/>
      <w:bookmarkStart w:id="1094" w:name="_Toc459793792"/>
      <w:bookmarkStart w:id="1095" w:name="_Toc459793934"/>
      <w:bookmarkStart w:id="1096" w:name="_Toc459970408"/>
      <w:bookmarkStart w:id="1097" w:name="_Toc497033168"/>
      <w:bookmarkStart w:id="1098" w:name="_Toc497033966"/>
      <w:bookmarkStart w:id="1099" w:name="_Toc289868799"/>
      <w:bookmarkStart w:id="1100" w:name="_Toc289868959"/>
      <w:bookmarkStart w:id="1101" w:name="_Toc289932267"/>
      <w:bookmarkStart w:id="1102" w:name="_Toc289933313"/>
      <w:bookmarkStart w:id="1103" w:name="_Toc291852876"/>
      <w:bookmarkStart w:id="1104" w:name="_Toc392515864"/>
      <w:r w:rsidRPr="00CB6CBA">
        <w:rPr>
          <w:lang w:val="en-US"/>
        </w:rPr>
        <w:t>3.4.4</w:t>
      </w:r>
      <w:r w:rsidRPr="00CB6CBA">
        <w:rPr>
          <w:lang w:val="en-US"/>
        </w:rPr>
        <w:tab/>
        <w:t>Variation from country to country</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rsidR="00CA3B52" w:rsidRPr="00CB6CBA" w:rsidRDefault="00CA3B52" w:rsidP="00CA3B52">
      <w:pPr>
        <w:rPr>
          <w:lang w:val="en-US"/>
        </w:rPr>
      </w:pPr>
      <w:r w:rsidRPr="00CB6CBA">
        <w:rPr>
          <w:lang w:val="en-US"/>
        </w:rPr>
        <w:t>The variation between countries is similar to the variation within a country except that it is generally on a larger scale but with some modifications and additional factors.</w:t>
      </w:r>
    </w:p>
    <w:p w:rsidR="00CA3B52" w:rsidRPr="00CB6CBA" w:rsidRDefault="00CA3B52" w:rsidP="00CA3B52">
      <w:pPr>
        <w:pStyle w:val="Heading4"/>
        <w:rPr>
          <w:lang w:val="en-US"/>
        </w:rPr>
      </w:pPr>
      <w:bookmarkStart w:id="1105" w:name="_Toc459746693"/>
      <w:bookmarkStart w:id="1106" w:name="_Toc459792626"/>
      <w:bookmarkStart w:id="1107" w:name="_Toc459793793"/>
      <w:bookmarkStart w:id="1108" w:name="_Toc459793935"/>
      <w:bookmarkStart w:id="1109" w:name="_Toc497033169"/>
      <w:bookmarkStart w:id="1110" w:name="_Toc497033967"/>
      <w:r w:rsidRPr="00CB6CBA">
        <w:rPr>
          <w:lang w:val="en-US"/>
        </w:rPr>
        <w:t>3.4.4.1</w:t>
      </w:r>
      <w:r w:rsidRPr="00CB6CBA">
        <w:rPr>
          <w:lang w:val="en-US"/>
        </w:rPr>
        <w:tab/>
        <w:t>Frequency allocation</w:t>
      </w:r>
      <w:bookmarkEnd w:id="1105"/>
      <w:bookmarkEnd w:id="1106"/>
      <w:bookmarkEnd w:id="1107"/>
      <w:bookmarkEnd w:id="1108"/>
      <w:bookmarkEnd w:id="1109"/>
      <w:bookmarkEnd w:id="1110"/>
    </w:p>
    <w:p w:rsidR="00CA3B52" w:rsidRPr="00CB6CBA" w:rsidRDefault="00CA3B52" w:rsidP="00CA3B52">
      <w:pPr>
        <w:rPr>
          <w:lang w:val="en-US"/>
        </w:rPr>
      </w:pPr>
      <w:r w:rsidRPr="00CB6CBA">
        <w:rPr>
          <w:lang w:val="en-US"/>
        </w:rPr>
        <w:t>Probably the most fundamental difference between countries will be in the allocation of frequencies to services. This may arise through different allocations to countries between ITU Regions, footnotes in RR Article</w:t>
      </w:r>
      <w:r w:rsidRPr="00810531">
        <w:rPr>
          <w:lang w:val="en-US"/>
        </w:rPr>
        <w:t xml:space="preserve"> 5</w:t>
      </w:r>
      <w:r w:rsidRPr="00CB6CBA">
        <w:rPr>
          <w:lang w:val="en-US"/>
        </w:rPr>
        <w:t xml:space="preserve"> and individual differences from RR Article </w:t>
      </w:r>
      <w:r w:rsidRPr="00810531">
        <w:rPr>
          <w:lang w:val="en-US"/>
        </w:rPr>
        <w:t>5</w:t>
      </w:r>
      <w:r w:rsidRPr="00CB6CBA">
        <w:rPr>
          <w:lang w:val="en-US"/>
        </w:rPr>
        <w:t xml:space="preserve"> that have been coordinated between countries. These differences between countries may affect both Primary and Secondary allocations. These changes will primarily affect frequency availability and be subject to coordination agreements between individual countries.</w:t>
      </w:r>
    </w:p>
    <w:p w:rsidR="00CA3B52" w:rsidRPr="00CB6CBA" w:rsidRDefault="00CA3B52" w:rsidP="00CA3B52">
      <w:pPr>
        <w:pStyle w:val="Heading4"/>
        <w:rPr>
          <w:lang w:val="en-US"/>
        </w:rPr>
      </w:pPr>
      <w:bookmarkStart w:id="1111" w:name="_Toc459746694"/>
      <w:bookmarkStart w:id="1112" w:name="_Toc459792627"/>
      <w:bookmarkStart w:id="1113" w:name="_Toc459793794"/>
      <w:bookmarkStart w:id="1114" w:name="_Toc459793936"/>
      <w:bookmarkStart w:id="1115" w:name="_Toc497033170"/>
      <w:bookmarkStart w:id="1116" w:name="_Toc497033968"/>
      <w:r w:rsidRPr="00CB6CBA">
        <w:rPr>
          <w:lang w:val="en-US"/>
        </w:rPr>
        <w:t>3.4.4.2</w:t>
      </w:r>
      <w:r w:rsidRPr="00CB6CBA">
        <w:rPr>
          <w:lang w:val="en-US"/>
        </w:rPr>
        <w:tab/>
        <w:t>Regulatory approach and planning criteria</w:t>
      </w:r>
      <w:bookmarkEnd w:id="1111"/>
      <w:bookmarkEnd w:id="1112"/>
      <w:bookmarkEnd w:id="1113"/>
      <w:bookmarkEnd w:id="1114"/>
      <w:bookmarkEnd w:id="1115"/>
      <w:bookmarkEnd w:id="1116"/>
    </w:p>
    <w:p w:rsidR="00CA3B52" w:rsidRPr="00CB6CBA" w:rsidRDefault="00CA3B52" w:rsidP="00CA3B52">
      <w:pPr>
        <w:rPr>
          <w:lang w:val="en-US"/>
        </w:rPr>
      </w:pPr>
      <w:r w:rsidRPr="00CB6CBA">
        <w:rPr>
          <w:lang w:val="en-US"/>
        </w:rPr>
        <w:t>The spectrum management authorities may be subject to different legislative requirements and as a consequence have a different regulatory approach. In addition there are a number of factors that would normally be expected to vary between countries. These are spectrum management objectives, aims, frequency planning criteria, and operational requirements.</w:t>
      </w:r>
    </w:p>
    <w:p w:rsidR="00CA3B52" w:rsidRPr="00CB6CBA" w:rsidRDefault="00CA3B52" w:rsidP="00CA3B52">
      <w:pPr>
        <w:pStyle w:val="Heading3"/>
        <w:rPr>
          <w:lang w:val="en-US" w:eastAsia="fr-FR"/>
        </w:rPr>
      </w:pPr>
      <w:bookmarkStart w:id="1117" w:name="_Toc289868800"/>
      <w:bookmarkStart w:id="1118" w:name="_Toc289868960"/>
      <w:bookmarkStart w:id="1119" w:name="_Toc289932268"/>
      <w:bookmarkStart w:id="1120" w:name="_Toc289933314"/>
      <w:bookmarkStart w:id="1121" w:name="_Toc291852877"/>
      <w:bookmarkStart w:id="1122" w:name="_Toc392515865"/>
      <w:bookmarkStart w:id="1123" w:name="_Toc394386007"/>
      <w:bookmarkStart w:id="1124" w:name="_Toc394386094"/>
      <w:bookmarkStart w:id="1125" w:name="_Toc395503198"/>
      <w:bookmarkStart w:id="1126" w:name="_Toc459746695"/>
      <w:bookmarkStart w:id="1127" w:name="_Toc459792628"/>
      <w:bookmarkStart w:id="1128" w:name="_Toc459793795"/>
      <w:bookmarkStart w:id="1129" w:name="_Toc459793937"/>
      <w:bookmarkStart w:id="1130" w:name="_Toc459970409"/>
      <w:bookmarkStart w:id="1131" w:name="_Toc497033171"/>
      <w:bookmarkStart w:id="1132" w:name="_Toc497033969"/>
      <w:r w:rsidRPr="00CB6CBA">
        <w:rPr>
          <w:lang w:val="en-US"/>
        </w:rPr>
        <w:t>3.4.5</w:t>
      </w:r>
      <w:r w:rsidRPr="00CB6CBA">
        <w:rPr>
          <w:lang w:val="en-US"/>
        </w:rPr>
        <w:tab/>
      </w:r>
      <w:r w:rsidRPr="00CB6CBA">
        <w:rPr>
          <w:lang w:val="en-US" w:eastAsia="fr-FR"/>
        </w:rPr>
        <w:t>Factors which may be taken into account in an international comparison of fee levels</w:t>
      </w:r>
      <w:bookmarkEnd w:id="1117"/>
      <w:bookmarkEnd w:id="1118"/>
      <w:bookmarkEnd w:id="1119"/>
      <w:bookmarkEnd w:id="1120"/>
      <w:bookmarkEnd w:id="1121"/>
      <w:bookmarkEnd w:id="1122"/>
    </w:p>
    <w:p w:rsidR="00CA3B52" w:rsidRPr="00CB6CBA" w:rsidRDefault="00CA3B52" w:rsidP="00CA3B52">
      <w:pPr>
        <w:rPr>
          <w:lang w:val="en-US" w:eastAsia="fr-FR"/>
        </w:rPr>
      </w:pPr>
      <w:r w:rsidRPr="00CB6CBA">
        <w:rPr>
          <w:lang w:val="en-US" w:eastAsia="fr-FR"/>
        </w:rPr>
        <w:t>The Spectrum Fees database contains details of the fees applied in a number of countries. In this connection, the question arises as to which fee levels to select and whether they can be used directly without modification or, “all other things being equal”, with an appropriate transposition prior to application.</w:t>
      </w:r>
    </w:p>
    <w:p w:rsidR="00CA3B52" w:rsidRPr="00CB6CBA" w:rsidRDefault="00CA3B52" w:rsidP="00CA3B52">
      <w:pPr>
        <w:rPr>
          <w:lang w:val="en-US" w:eastAsia="fr-FR"/>
        </w:rPr>
      </w:pPr>
      <w:r w:rsidRPr="00CB6CBA">
        <w:rPr>
          <w:lang w:val="en-US" w:eastAsia="fr-FR"/>
        </w:rPr>
        <w:lastRenderedPageBreak/>
        <w:t>In replying to this question, there is a need to conduct an analysis of the economic conditions surrounding licensed operations and, on the basis of that analysis, to draw up a (non-exhaustive) list of factors to be taken into account prior to transposing the fees applied by one of the countries in the database to another country.</w:t>
      </w:r>
    </w:p>
    <w:p w:rsidR="00CA3B52" w:rsidRPr="00CB6CBA" w:rsidRDefault="00CA3B52" w:rsidP="00CA3B52">
      <w:pPr>
        <w:rPr>
          <w:lang w:val="en-US" w:eastAsia="fr-FR"/>
        </w:rPr>
      </w:pPr>
      <w:r w:rsidRPr="00CB6CBA">
        <w:rPr>
          <w:lang w:val="en-US" w:eastAsia="fr-FR"/>
        </w:rPr>
        <w:t>We shall confine ourselves to looking at the case of those fees that are set administratively and applied to telecommunication operators having been authorized to use frequencies (i.e. licensed operators).</w:t>
      </w:r>
    </w:p>
    <w:p w:rsidR="00CA3B52" w:rsidRPr="00CB6CBA" w:rsidRDefault="00CA3B52" w:rsidP="00CA3B52">
      <w:pPr>
        <w:rPr>
          <w:lang w:val="en-US" w:eastAsia="fr-FR"/>
        </w:rPr>
      </w:pPr>
      <w:r w:rsidRPr="00CB6CBA">
        <w:rPr>
          <w:lang w:val="en-US" w:eastAsia="fr-FR"/>
        </w:rPr>
        <w:t>Some of the aforementioned factors may be taken as criteria for comparing the economic conditions under which licensed operations are conducted in the countries in question. This comparison should enable the administrations concerned to identify how to effect the transposition on an economic basis.</w:t>
      </w:r>
    </w:p>
    <w:p w:rsidR="00CA3B52" w:rsidRPr="00CB6CBA" w:rsidRDefault="00CA3B52" w:rsidP="00CA3B52">
      <w:pPr>
        <w:pStyle w:val="Heading4"/>
        <w:rPr>
          <w:bCs/>
          <w:lang w:val="en-US" w:eastAsia="fr-FR"/>
        </w:rPr>
      </w:pPr>
      <w:r w:rsidRPr="00CB6CBA">
        <w:rPr>
          <w:bCs/>
          <w:lang w:val="en-US" w:eastAsia="fr-FR"/>
        </w:rPr>
        <w:t>3.4.5.1</w:t>
      </w:r>
      <w:r w:rsidRPr="00CB6CBA">
        <w:rPr>
          <w:lang w:val="en-US" w:eastAsia="fr-FR"/>
        </w:rPr>
        <w:tab/>
        <w:t>Grounds for fees and their economic impact</w:t>
      </w:r>
    </w:p>
    <w:p w:rsidR="00CA3B52" w:rsidRPr="00CB6CBA" w:rsidRDefault="00CA3B52" w:rsidP="00CA3B52">
      <w:pPr>
        <w:rPr>
          <w:lang w:val="en-US" w:eastAsia="fr-FR"/>
        </w:rPr>
      </w:pPr>
      <w:r w:rsidRPr="00CB6CBA">
        <w:rPr>
          <w:lang w:val="en-US" w:eastAsia="fr-FR"/>
        </w:rPr>
        <w:t>In most countries the radio-frequency spectrum lies in the State's public domain, and its use for commercial purposes constitutes private occupancy within that domain.</w:t>
      </w:r>
    </w:p>
    <w:p w:rsidR="00CA3B52" w:rsidRPr="00CB6CBA" w:rsidRDefault="00CA3B52" w:rsidP="00CA3B52">
      <w:pPr>
        <w:rPr>
          <w:lang w:val="en-US" w:eastAsia="fr-FR"/>
        </w:rPr>
      </w:pPr>
      <w:r w:rsidRPr="00CB6CBA">
        <w:rPr>
          <w:lang w:val="en-US" w:eastAsia="fr-FR"/>
        </w:rPr>
        <w:t>Such occupancy is therefore normally subject to the payment:</w:t>
      </w:r>
    </w:p>
    <w:p w:rsidR="00CA3B52" w:rsidRPr="00CB6CBA" w:rsidRDefault="00CA3B52" w:rsidP="00CA3B52">
      <w:pPr>
        <w:pStyle w:val="enumlev1"/>
        <w:rPr>
          <w:lang w:val="en-US" w:eastAsia="fr-FR"/>
        </w:rPr>
      </w:pPr>
      <w:r w:rsidRPr="00CB6CBA">
        <w:rPr>
          <w:lang w:val="en-US" w:eastAsia="fr-FR"/>
        </w:rPr>
        <w:t xml:space="preserve">– </w:t>
      </w:r>
      <w:r w:rsidRPr="00CB6CBA">
        <w:rPr>
          <w:lang w:val="en-US" w:eastAsia="fr-FR"/>
        </w:rPr>
        <w:tab/>
        <w:t>on the one hand, of a management fee calculated to cover the administrative costs of spectrum management (in the broad sense of the term, i.e. planning, domestic management and monitoring);</w:t>
      </w:r>
    </w:p>
    <w:p w:rsidR="00CA3B52" w:rsidRPr="00CB6CBA" w:rsidRDefault="00CA3B52" w:rsidP="00CA3B52">
      <w:pPr>
        <w:pStyle w:val="enumlev1"/>
        <w:rPr>
          <w:lang w:val="en-US" w:eastAsia="fr-FR"/>
        </w:rPr>
      </w:pPr>
      <w:r w:rsidRPr="00CB6CBA">
        <w:rPr>
          <w:lang w:val="en-US" w:eastAsia="fr-FR"/>
        </w:rPr>
        <w:t xml:space="preserve">– </w:t>
      </w:r>
      <w:r w:rsidRPr="00CB6CBA">
        <w:rPr>
          <w:lang w:val="en-US" w:eastAsia="fr-FR"/>
        </w:rPr>
        <w:tab/>
        <w:t>on the other hand, of a fee for provision of the frequencies, which must be in proportion to the benefits derived therefore by the recipient.</w:t>
      </w:r>
    </w:p>
    <w:p w:rsidR="00CA3B52" w:rsidRPr="00CB6CBA" w:rsidRDefault="00CA3B52" w:rsidP="00CA3B52">
      <w:pPr>
        <w:rPr>
          <w:lang w:val="en-US" w:eastAsia="fr-FR"/>
        </w:rPr>
      </w:pPr>
      <w:r w:rsidRPr="00CB6CBA">
        <w:rPr>
          <w:lang w:val="en-US" w:eastAsia="fr-FR"/>
        </w:rPr>
        <w:t>The benefits derived by a telecommunication operator from its spectrum occupancy may be evaluated by considering, among other things, its net operating result. From this standpoint, the fees associated with frequency usage and applied to an operator should thus be in relation to its net operating result.</w:t>
      </w:r>
    </w:p>
    <w:p w:rsidR="00CA3B52" w:rsidRPr="00CB6CBA" w:rsidRDefault="00CA3B52" w:rsidP="00CA3B52">
      <w:pPr>
        <w:rPr>
          <w:lang w:val="en-US" w:eastAsia="fr-FR"/>
        </w:rPr>
      </w:pPr>
      <w:r w:rsidRPr="00CB6CBA">
        <w:rPr>
          <w:lang w:val="en-US" w:eastAsia="fr-FR"/>
        </w:rPr>
        <w:t>From the economic and accounting standpoint, operators experience frequency usage fees as a tying up of resources and/or an operational cost which thus reduces their net operating result by a corresponding amount.</w:t>
      </w:r>
    </w:p>
    <w:p w:rsidR="00CA3B52" w:rsidRPr="00CB6CBA" w:rsidRDefault="00CA3B52" w:rsidP="00CA3B52">
      <w:pPr>
        <w:rPr>
          <w:lang w:val="en-US" w:eastAsia="fr-FR"/>
        </w:rPr>
      </w:pPr>
      <w:r w:rsidRPr="00CB6CBA">
        <w:rPr>
          <w:lang w:val="en-US" w:eastAsia="fr-FR"/>
        </w:rPr>
        <w:t>This is why, although the application of frequency usage fees is a legitimate approach, those fees must not be set too high in order not to discourage initiatives and hamper the development of new services. In any event, the level of the fees cannot exceed operator</w:t>
      </w:r>
      <w:r w:rsidRPr="00CB6CBA">
        <w:rPr>
          <w:lang w:val="en-US"/>
        </w:rPr>
        <w:t>’</w:t>
      </w:r>
      <w:r w:rsidRPr="00CB6CBA">
        <w:rPr>
          <w:lang w:val="en-US" w:eastAsia="fr-FR"/>
        </w:rPr>
        <w:t>s propensity to pay.</w:t>
      </w:r>
    </w:p>
    <w:p w:rsidR="00CA3B52" w:rsidRPr="00CB6CBA" w:rsidRDefault="00CA3B52" w:rsidP="00CA3B52">
      <w:pPr>
        <w:pStyle w:val="Heading4"/>
        <w:rPr>
          <w:bCs/>
          <w:lang w:val="en-US" w:eastAsia="fr-FR"/>
        </w:rPr>
      </w:pPr>
      <w:r w:rsidRPr="00CB6CBA">
        <w:rPr>
          <w:bCs/>
          <w:lang w:val="en-US" w:eastAsia="fr-FR"/>
        </w:rPr>
        <w:t>3.4.5.2</w:t>
      </w:r>
      <w:r w:rsidRPr="00CB6CBA">
        <w:rPr>
          <w:bCs/>
          <w:lang w:val="en-US" w:eastAsia="fr-FR"/>
        </w:rPr>
        <w:tab/>
      </w:r>
      <w:r w:rsidRPr="00CB6CBA">
        <w:rPr>
          <w:lang w:val="en-US" w:eastAsia="fr-FR"/>
        </w:rPr>
        <w:t>Economic conditions surrounding licensed operations</w:t>
      </w:r>
    </w:p>
    <w:p w:rsidR="00CA3B52" w:rsidRPr="00CB6CBA" w:rsidRDefault="00CA3B52" w:rsidP="00CA3B52">
      <w:pPr>
        <w:rPr>
          <w:lang w:val="en-US" w:eastAsia="fr-FR"/>
        </w:rPr>
      </w:pPr>
      <w:r w:rsidRPr="00CB6CBA">
        <w:rPr>
          <w:lang w:val="en-US" w:eastAsia="fr-FR"/>
        </w:rPr>
        <w:t>An operator's net operating result comprises the difference between the total sale price of the goods and services marketed (turnover) and the total cost involved in acquiring those goods and services (operating costs).</w:t>
      </w:r>
    </w:p>
    <w:p w:rsidR="00CA3B52" w:rsidRPr="00CB6CBA" w:rsidRDefault="00CA3B52" w:rsidP="00CA3B52">
      <w:pPr>
        <w:rPr>
          <w:lang w:val="en-US" w:eastAsia="fr-FR"/>
        </w:rPr>
      </w:pPr>
      <w:r w:rsidRPr="00CB6CBA">
        <w:rPr>
          <w:lang w:val="en-US" w:eastAsia="fr-FR"/>
        </w:rPr>
        <w:t>It goes without saying that the economic conditions under which licensed operations are conducted have an impact on both turnover and operating costs and thus have a bearing on the operator’s net result.</w:t>
      </w:r>
    </w:p>
    <w:p w:rsidR="00CA3B52" w:rsidRPr="00CB6CBA" w:rsidRDefault="00CA3B52" w:rsidP="00CA3B52">
      <w:pPr>
        <w:rPr>
          <w:lang w:val="en-US" w:eastAsia="fr-FR"/>
        </w:rPr>
      </w:pPr>
      <w:r w:rsidRPr="00CB6CBA">
        <w:rPr>
          <w:lang w:val="en-US" w:eastAsia="fr-FR"/>
        </w:rPr>
        <w:t>Thus, the more the operating conditions are favourable to operators, the greater their propensity to pay fees, and vice versa.</w:t>
      </w:r>
    </w:p>
    <w:p w:rsidR="00CA3B52" w:rsidRPr="00CB6CBA" w:rsidRDefault="00CA3B52" w:rsidP="00CA3B52">
      <w:pPr>
        <w:rPr>
          <w:lang w:val="en-US" w:eastAsia="fr-FR"/>
        </w:rPr>
      </w:pPr>
      <w:r w:rsidRPr="00CB6CBA">
        <w:rPr>
          <w:lang w:val="en-US" w:eastAsia="fr-FR"/>
        </w:rPr>
        <w:t>It is therefore necessary to analyse and compare the economic conditions surrounding licensed operations in the countries under consideration.</w:t>
      </w:r>
    </w:p>
    <w:p w:rsidR="00CA3B52" w:rsidRPr="00CB6CBA" w:rsidRDefault="00CA3B52" w:rsidP="00CA3B52">
      <w:pPr>
        <w:rPr>
          <w:lang w:val="en-US" w:eastAsia="fr-FR"/>
        </w:rPr>
      </w:pPr>
      <w:r w:rsidRPr="00CB6CBA">
        <w:rPr>
          <w:lang w:val="en-US" w:eastAsia="fr-FR"/>
        </w:rPr>
        <w:t>Those conditions are determined by, among other things, the following factors.</w:t>
      </w:r>
    </w:p>
    <w:p w:rsidR="00CA3B52" w:rsidRPr="00CB6CBA" w:rsidRDefault="00CA3B52" w:rsidP="00CA3B52">
      <w:pPr>
        <w:pStyle w:val="Headingb"/>
        <w:rPr>
          <w:bCs/>
          <w:lang w:val="en-US" w:eastAsia="fr-FR"/>
        </w:rPr>
      </w:pPr>
      <w:r w:rsidRPr="00CB6CBA">
        <w:rPr>
          <w:lang w:val="en-US" w:eastAsia="fr-FR"/>
        </w:rPr>
        <w:lastRenderedPageBreak/>
        <w:t>a)</w:t>
      </w:r>
      <w:r w:rsidRPr="00CB6CBA">
        <w:rPr>
          <w:lang w:val="en-US" w:eastAsia="fr-FR"/>
        </w:rPr>
        <w:tab/>
        <w:t>Socio-economic factors in the countries under consideration</w:t>
      </w:r>
    </w:p>
    <w:p w:rsidR="00CA3B52" w:rsidRPr="00CB6CBA" w:rsidRDefault="00CA3B52" w:rsidP="00CA3B52">
      <w:pPr>
        <w:rPr>
          <w:lang w:val="en-US" w:eastAsia="fr-FR"/>
        </w:rPr>
      </w:pPr>
      <w:r w:rsidRPr="00CB6CBA">
        <w:rPr>
          <w:lang w:val="en-US" w:eastAsia="fr-FR"/>
        </w:rPr>
        <w:t>Factors to be covered by the analysis may include:</w:t>
      </w:r>
    </w:p>
    <w:p w:rsidR="00CA3B52" w:rsidRPr="00CB6CBA" w:rsidRDefault="00CA3B52" w:rsidP="00CA3B52">
      <w:pPr>
        <w:pStyle w:val="enumlev1"/>
        <w:rPr>
          <w:lang w:val="en-US" w:eastAsia="fr-FR"/>
        </w:rPr>
      </w:pPr>
      <w:r w:rsidRPr="00CB6CBA">
        <w:rPr>
          <w:lang w:val="en-US" w:eastAsia="fr-FR"/>
        </w:rPr>
        <w:t xml:space="preserve">– </w:t>
      </w:r>
      <w:r w:rsidRPr="00CB6CBA">
        <w:rPr>
          <w:lang w:val="en-US" w:eastAsia="fr-FR"/>
        </w:rPr>
        <w:tab/>
        <w:t>GDP or GDP/inhabitant</w:t>
      </w:r>
      <w:r>
        <w:rPr>
          <w:lang w:val="en-US" w:eastAsia="fr-FR"/>
        </w:rPr>
        <w:t>;</w:t>
      </w:r>
    </w:p>
    <w:p w:rsidR="00CA3B52" w:rsidRPr="00CB6CBA" w:rsidRDefault="00CA3B52" w:rsidP="00CA3B52">
      <w:pPr>
        <w:pStyle w:val="enumlev1"/>
        <w:rPr>
          <w:lang w:val="en-US" w:eastAsia="fr-FR"/>
        </w:rPr>
      </w:pPr>
      <w:r w:rsidRPr="00CB6CBA">
        <w:rPr>
          <w:lang w:val="en-US" w:eastAsia="fr-FR"/>
        </w:rPr>
        <w:t xml:space="preserve">– </w:t>
      </w:r>
      <w:r w:rsidRPr="00CB6CBA">
        <w:rPr>
          <w:lang w:val="en-US" w:eastAsia="fr-FR"/>
        </w:rPr>
        <w:tab/>
        <w:t>total population or population density</w:t>
      </w:r>
      <w:r>
        <w:rPr>
          <w:lang w:val="en-US" w:eastAsia="fr-FR"/>
        </w:rPr>
        <w:t>;</w:t>
      </w:r>
    </w:p>
    <w:p w:rsidR="00CA3B52" w:rsidRPr="00CB6CBA" w:rsidRDefault="00CA3B52" w:rsidP="00CA3B52">
      <w:pPr>
        <w:pStyle w:val="enumlev1"/>
        <w:rPr>
          <w:lang w:val="en-US" w:eastAsia="fr-FR"/>
        </w:rPr>
      </w:pPr>
      <w:r w:rsidRPr="00CB6CBA">
        <w:rPr>
          <w:lang w:val="en-US" w:eastAsia="fr-FR"/>
        </w:rPr>
        <w:t xml:space="preserve">– </w:t>
      </w:r>
      <w:r w:rsidRPr="00CB6CBA">
        <w:rPr>
          <w:lang w:val="en-US" w:eastAsia="fr-FR"/>
        </w:rPr>
        <w:tab/>
        <w:t>geographic distribution of the population (concentrated in a few areas, dispersed, …)</w:t>
      </w:r>
      <w:r>
        <w:rPr>
          <w:lang w:val="en-US" w:eastAsia="fr-FR"/>
        </w:rPr>
        <w:t>;</w:t>
      </w:r>
    </w:p>
    <w:p w:rsidR="00CA3B52" w:rsidRPr="00CB6CBA" w:rsidRDefault="00CA3B52" w:rsidP="00CA3B52">
      <w:pPr>
        <w:pStyle w:val="enumlev1"/>
        <w:rPr>
          <w:lang w:val="en-US" w:eastAsia="fr-FR"/>
        </w:rPr>
      </w:pPr>
      <w:r w:rsidRPr="00CB6CBA">
        <w:rPr>
          <w:lang w:val="en-US" w:eastAsia="fr-FR"/>
        </w:rPr>
        <w:t xml:space="preserve">– </w:t>
      </w:r>
      <w:r w:rsidRPr="00CB6CBA">
        <w:rPr>
          <w:lang w:val="en-US" w:eastAsia="fr-FR"/>
        </w:rPr>
        <w:tab/>
        <w:t>the country</w:t>
      </w:r>
      <w:r w:rsidRPr="00CB6CBA">
        <w:rPr>
          <w:lang w:val="en-US"/>
        </w:rPr>
        <w:t>’</w:t>
      </w:r>
      <w:r w:rsidRPr="00CB6CBA">
        <w:rPr>
          <w:lang w:val="en-US" w:eastAsia="fr-FR"/>
        </w:rPr>
        <w:t>s size, relief (plains, mountains, …) and degree of insularity.</w:t>
      </w:r>
    </w:p>
    <w:p w:rsidR="00CA3B52" w:rsidRPr="00CB6CBA" w:rsidRDefault="00CA3B52" w:rsidP="00CA3B52">
      <w:pPr>
        <w:pStyle w:val="Headingb"/>
        <w:rPr>
          <w:bCs/>
          <w:lang w:val="en-US" w:eastAsia="fr-FR"/>
        </w:rPr>
      </w:pPr>
      <w:r w:rsidRPr="00CB6CBA">
        <w:rPr>
          <w:lang w:val="en-US" w:eastAsia="fr-FR"/>
        </w:rPr>
        <w:t>b)</w:t>
      </w:r>
      <w:r w:rsidRPr="00CB6CBA">
        <w:rPr>
          <w:lang w:val="en-US" w:eastAsia="fr-FR"/>
        </w:rPr>
        <w:tab/>
        <w:t>Characteristics of authorizations or licences allocated</w:t>
      </w:r>
    </w:p>
    <w:p w:rsidR="00CA3B52" w:rsidRPr="00CB6CBA" w:rsidRDefault="00CA3B52" w:rsidP="00CA3B52">
      <w:pPr>
        <w:rPr>
          <w:lang w:val="en-US" w:eastAsia="fr-FR"/>
        </w:rPr>
      </w:pPr>
      <w:r w:rsidRPr="00CB6CBA">
        <w:rPr>
          <w:lang w:val="en-US" w:eastAsia="fr-FR"/>
        </w:rPr>
        <w:t>Particular attention may be focused on:</w:t>
      </w:r>
    </w:p>
    <w:p w:rsidR="00CA3B52" w:rsidRPr="00CB6CBA" w:rsidRDefault="00CA3B52" w:rsidP="00CA3B52">
      <w:pPr>
        <w:pStyle w:val="enumlev1"/>
        <w:rPr>
          <w:lang w:val="en-US" w:eastAsia="fr-FR"/>
        </w:rPr>
      </w:pPr>
      <w:r w:rsidRPr="00CB6CBA">
        <w:rPr>
          <w:lang w:val="en-US" w:eastAsia="fr-FR"/>
        </w:rPr>
        <w:t xml:space="preserve">– </w:t>
      </w:r>
      <w:r w:rsidRPr="00CB6CBA">
        <w:rPr>
          <w:lang w:val="en-US" w:eastAsia="fr-FR"/>
        </w:rPr>
        <w:tab/>
        <w:t>the licence period</w:t>
      </w:r>
      <w:r>
        <w:rPr>
          <w:lang w:val="en-US" w:eastAsia="fr-FR"/>
        </w:rPr>
        <w:t>;</w:t>
      </w:r>
    </w:p>
    <w:p w:rsidR="00CA3B52" w:rsidRPr="00CB6CBA" w:rsidRDefault="00CA3B52" w:rsidP="00CA3B52">
      <w:pPr>
        <w:pStyle w:val="enumlev1"/>
        <w:rPr>
          <w:lang w:val="en-US" w:eastAsia="fr-FR"/>
        </w:rPr>
      </w:pPr>
      <w:r w:rsidRPr="00CB6CBA">
        <w:rPr>
          <w:lang w:val="en-US" w:eastAsia="fr-FR"/>
        </w:rPr>
        <w:t xml:space="preserve">– </w:t>
      </w:r>
      <w:r w:rsidRPr="00CB6CBA">
        <w:rPr>
          <w:lang w:val="en-US" w:eastAsia="fr-FR"/>
        </w:rPr>
        <w:tab/>
        <w:t>the stability of operating conditions</w:t>
      </w:r>
      <w:r>
        <w:rPr>
          <w:lang w:val="en-US" w:eastAsia="fr-FR"/>
        </w:rPr>
        <w:t>;</w:t>
      </w:r>
    </w:p>
    <w:p w:rsidR="00CA3B52" w:rsidRPr="00CB6CBA" w:rsidRDefault="00CA3B52" w:rsidP="00CA3B52">
      <w:pPr>
        <w:pStyle w:val="enumlev1"/>
        <w:rPr>
          <w:lang w:val="en-US" w:eastAsia="fr-FR"/>
        </w:rPr>
      </w:pPr>
      <w:r w:rsidRPr="00CB6CBA">
        <w:rPr>
          <w:lang w:val="en-US" w:eastAsia="fr-FR"/>
        </w:rPr>
        <w:t xml:space="preserve">– </w:t>
      </w:r>
      <w:r w:rsidRPr="00CB6CBA">
        <w:rPr>
          <w:lang w:val="en-US" w:eastAsia="fr-FR"/>
        </w:rPr>
        <w:tab/>
        <w:t>whether or not licences are renewable.</w:t>
      </w:r>
    </w:p>
    <w:p w:rsidR="00CA3B52" w:rsidRPr="00CB6CBA" w:rsidRDefault="00CA3B52" w:rsidP="00CA3B52">
      <w:pPr>
        <w:pStyle w:val="Headingb"/>
        <w:rPr>
          <w:bCs/>
          <w:lang w:val="en-US" w:eastAsia="fr-FR"/>
        </w:rPr>
      </w:pPr>
      <w:r w:rsidRPr="00CB6CBA">
        <w:rPr>
          <w:lang w:val="en-US" w:eastAsia="fr-FR"/>
        </w:rPr>
        <w:t>c)</w:t>
      </w:r>
      <w:r w:rsidRPr="00CB6CBA">
        <w:rPr>
          <w:lang w:val="en-US" w:eastAsia="fr-FR"/>
        </w:rPr>
        <w:tab/>
        <w:t>Terms of reference of authorized operators</w:t>
      </w:r>
    </w:p>
    <w:p w:rsidR="00CA3B52" w:rsidRPr="00CB6CBA" w:rsidRDefault="00CA3B52" w:rsidP="00CA3B52">
      <w:pPr>
        <w:rPr>
          <w:lang w:val="en-US" w:eastAsia="fr-FR"/>
        </w:rPr>
      </w:pPr>
      <w:r w:rsidRPr="00CB6CBA">
        <w:rPr>
          <w:lang w:val="en-US" w:eastAsia="fr-FR"/>
        </w:rPr>
        <w:t>The obligations imposed on operators in their terms of reference and which thus increase their operating costs may relate to:</w:t>
      </w:r>
    </w:p>
    <w:p w:rsidR="00CA3B52" w:rsidRPr="00CB6CBA" w:rsidRDefault="00CA3B52" w:rsidP="00CA3B52">
      <w:pPr>
        <w:pStyle w:val="enumlev1"/>
        <w:rPr>
          <w:lang w:val="en-US" w:eastAsia="fr-FR"/>
        </w:rPr>
      </w:pPr>
      <w:r w:rsidRPr="00CB6CBA">
        <w:rPr>
          <w:lang w:val="en-US" w:eastAsia="fr-FR"/>
        </w:rPr>
        <w:t xml:space="preserve">– </w:t>
      </w:r>
      <w:r w:rsidRPr="00CB6CBA">
        <w:rPr>
          <w:lang w:val="en-US" w:eastAsia="fr-FR"/>
        </w:rPr>
        <w:tab/>
        <w:t>coverage of the territory in question</w:t>
      </w:r>
      <w:r>
        <w:rPr>
          <w:lang w:val="en-US" w:eastAsia="fr-FR"/>
        </w:rPr>
        <w:t>;</w:t>
      </w:r>
    </w:p>
    <w:p w:rsidR="00CA3B52" w:rsidRPr="00CB6CBA" w:rsidRDefault="00CA3B52" w:rsidP="00CA3B52">
      <w:pPr>
        <w:pStyle w:val="enumlev1"/>
        <w:rPr>
          <w:lang w:val="en-US" w:eastAsia="fr-FR"/>
        </w:rPr>
      </w:pPr>
      <w:r w:rsidRPr="00CB6CBA">
        <w:rPr>
          <w:lang w:val="en-US" w:eastAsia="fr-FR"/>
        </w:rPr>
        <w:t xml:space="preserve">– </w:t>
      </w:r>
      <w:r w:rsidRPr="00CB6CBA">
        <w:rPr>
          <w:lang w:val="en-US" w:eastAsia="fr-FR"/>
        </w:rPr>
        <w:tab/>
        <w:t>quality of service</w:t>
      </w:r>
      <w:r>
        <w:rPr>
          <w:lang w:val="en-US" w:eastAsia="fr-FR"/>
        </w:rPr>
        <w:t>;</w:t>
      </w:r>
    </w:p>
    <w:p w:rsidR="00CA3B52" w:rsidRPr="00CB6CBA" w:rsidRDefault="00CA3B52" w:rsidP="00CA3B52">
      <w:pPr>
        <w:pStyle w:val="enumlev1"/>
        <w:rPr>
          <w:lang w:val="en-US" w:eastAsia="fr-FR"/>
        </w:rPr>
      </w:pPr>
      <w:r w:rsidRPr="00CB6CBA">
        <w:rPr>
          <w:lang w:val="en-US" w:eastAsia="fr-FR"/>
        </w:rPr>
        <w:t xml:space="preserve">– </w:t>
      </w:r>
      <w:r w:rsidRPr="00CB6CBA">
        <w:rPr>
          <w:lang w:val="en-US" w:eastAsia="fr-FR"/>
        </w:rPr>
        <w:tab/>
        <w:t>participation in universal service</w:t>
      </w:r>
      <w:r>
        <w:rPr>
          <w:lang w:val="en-US" w:eastAsia="fr-FR"/>
        </w:rPr>
        <w:t>;</w:t>
      </w:r>
      <w:r w:rsidRPr="00CB6CBA">
        <w:rPr>
          <w:lang w:val="en-US" w:eastAsia="fr-FR"/>
        </w:rPr>
        <w:t xml:space="preserve"> </w:t>
      </w:r>
    </w:p>
    <w:p w:rsidR="00CA3B52" w:rsidRPr="00CB6CBA" w:rsidRDefault="00CA3B52" w:rsidP="00CA3B52">
      <w:pPr>
        <w:pStyle w:val="enumlev1"/>
        <w:rPr>
          <w:lang w:val="en-US" w:eastAsia="fr-FR"/>
        </w:rPr>
      </w:pPr>
      <w:r w:rsidRPr="00CB6CBA">
        <w:rPr>
          <w:lang w:val="en-US" w:eastAsia="fr-FR"/>
        </w:rPr>
        <w:t xml:space="preserve">– </w:t>
      </w:r>
      <w:r w:rsidRPr="00CB6CBA">
        <w:rPr>
          <w:lang w:val="en-US" w:eastAsia="fr-FR"/>
        </w:rPr>
        <w:tab/>
        <w:t>participation in research and development efforts in the telecommunication sphere</w:t>
      </w:r>
      <w:r>
        <w:rPr>
          <w:lang w:val="en-US" w:eastAsia="fr-FR"/>
        </w:rPr>
        <w:t>;</w:t>
      </w:r>
    </w:p>
    <w:p w:rsidR="00CA3B52" w:rsidRPr="00CB6CBA" w:rsidRDefault="00CA3B52" w:rsidP="00CA3B52">
      <w:pPr>
        <w:pStyle w:val="enumlev1"/>
        <w:rPr>
          <w:lang w:val="en-US" w:eastAsia="fr-FR"/>
        </w:rPr>
      </w:pPr>
      <w:r w:rsidRPr="00CB6CBA">
        <w:rPr>
          <w:lang w:val="en-US" w:eastAsia="fr-FR"/>
        </w:rPr>
        <w:t xml:space="preserve">– </w:t>
      </w:r>
      <w:r w:rsidRPr="00CB6CBA">
        <w:rPr>
          <w:lang w:val="en-US" w:eastAsia="fr-FR"/>
        </w:rPr>
        <w:tab/>
        <w:t>additional constraints (free calls to certain numbers, number portability, …).</w:t>
      </w:r>
    </w:p>
    <w:p w:rsidR="00CA3B52" w:rsidRPr="00CB6CBA" w:rsidRDefault="00CA3B52" w:rsidP="00CA3B52">
      <w:pPr>
        <w:pStyle w:val="Headingb"/>
        <w:rPr>
          <w:bCs/>
          <w:lang w:val="en-US" w:eastAsia="fr-FR"/>
        </w:rPr>
      </w:pPr>
      <w:r w:rsidRPr="00CB6CBA">
        <w:rPr>
          <w:lang w:val="en-US" w:eastAsia="fr-FR"/>
        </w:rPr>
        <w:t>d)</w:t>
      </w:r>
      <w:r w:rsidRPr="00CB6CBA">
        <w:rPr>
          <w:lang w:val="en-US" w:eastAsia="fr-FR"/>
        </w:rPr>
        <w:tab/>
        <w:t>Comparison/transposition of fee levels</w:t>
      </w:r>
    </w:p>
    <w:p w:rsidR="00CA3B52" w:rsidRPr="00CB6CBA" w:rsidRDefault="00CA3B52" w:rsidP="00CA3B52">
      <w:pPr>
        <w:rPr>
          <w:lang w:val="en-US" w:eastAsia="fr-FR"/>
        </w:rPr>
      </w:pPr>
      <w:r w:rsidRPr="00CB6CBA">
        <w:rPr>
          <w:lang w:val="en-US" w:eastAsia="fr-FR"/>
        </w:rPr>
        <w:t>The table below describes the influence that the economic conditions surrounding licensed operations have on operator</w:t>
      </w:r>
      <w:r w:rsidRPr="00CB6CBA">
        <w:rPr>
          <w:lang w:val="en-US"/>
        </w:rPr>
        <w:t>’</w:t>
      </w:r>
      <w:r w:rsidRPr="00CB6CBA">
        <w:rPr>
          <w:lang w:val="en-US" w:eastAsia="fr-FR"/>
        </w:rPr>
        <w:t>s</w:t>
      </w:r>
      <w:r>
        <w:rPr>
          <w:lang w:val="en-US" w:eastAsia="fr-FR"/>
        </w:rPr>
        <w:t xml:space="preserve"> </w:t>
      </w:r>
      <w:r w:rsidRPr="00CB6CBA">
        <w:rPr>
          <w:lang w:val="en-US" w:eastAsia="fr-FR"/>
        </w:rPr>
        <w:t>propensity to pay fees.</w:t>
      </w:r>
    </w:p>
    <w:p w:rsidR="00CA3B52" w:rsidRDefault="00CA3B52" w:rsidP="00CA3B52">
      <w:pPr>
        <w:rPr>
          <w:lang w:val="en-US" w:eastAsia="fr-FR"/>
        </w:rPr>
      </w:pPr>
      <w:r w:rsidRPr="00CB6CBA">
        <w:rPr>
          <w:lang w:val="en-US" w:eastAsia="fr-FR"/>
        </w:rPr>
        <w:t>It goes without saying that those factors which help to boost turnover will serve to increase that propensity, while those which add to operating costs will drive that propensity downwards.</w:t>
      </w:r>
    </w:p>
    <w:p w:rsidR="00CA3B52" w:rsidRPr="00CB6CBA" w:rsidRDefault="00CA3B52" w:rsidP="00CA3B52">
      <w:pPr>
        <w:rPr>
          <w:lang w:val="en-US" w:eastAsia="fr-FR"/>
        </w:rPr>
      </w:pPr>
    </w:p>
    <w:p w:rsidR="00CA3B52" w:rsidRPr="00CB6CBA" w:rsidRDefault="00CA3B52" w:rsidP="00F65451">
      <w:pPr>
        <w:rPr>
          <w:b/>
          <w:szCs w:val="24"/>
          <w:lang w:val="en-US" w:eastAsia="fr-FR"/>
        </w:rPr>
        <w:sectPr w:rsidR="00CA3B52" w:rsidRPr="00CB6CBA" w:rsidSect="003A0093">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482" w:gutter="0"/>
          <w:paperSrc w:first="15" w:other="15"/>
          <w:pgNumType w:start="1"/>
          <w:cols w:space="720"/>
          <w:titlePg/>
        </w:sectPr>
      </w:pPr>
    </w:p>
    <w:p w:rsidR="00CA3B52" w:rsidRPr="00CB6CBA" w:rsidRDefault="00CA3B52" w:rsidP="00CA3B52">
      <w:pPr>
        <w:pStyle w:val="Tabletitle"/>
        <w:rPr>
          <w:bCs/>
          <w:lang w:val="en-US" w:eastAsia="fr-FR"/>
        </w:rPr>
      </w:pPr>
      <w:r w:rsidRPr="00CB6CBA">
        <w:rPr>
          <w:lang w:val="en-US" w:eastAsia="fr-FR"/>
        </w:rPr>
        <w:lastRenderedPageBreak/>
        <w:t>Factors which may be taken into account when comparing or transposing fee levels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6"/>
        <w:gridCol w:w="7233"/>
      </w:tblGrid>
      <w:tr w:rsidR="00CA3B52" w:rsidTr="00056D0F">
        <w:trPr>
          <w:jc w:val="center"/>
        </w:trPr>
        <w:tc>
          <w:tcPr>
            <w:tcW w:w="7249" w:type="dxa"/>
          </w:tcPr>
          <w:p w:rsidR="00CA3B52" w:rsidRPr="003A0697" w:rsidRDefault="00CA3B52" w:rsidP="002D1D5C">
            <w:pPr>
              <w:pStyle w:val="Tablehead"/>
              <w:rPr>
                <w:lang w:val="en-US"/>
              </w:rPr>
            </w:pPr>
            <w:r w:rsidRPr="003A0697">
              <w:rPr>
                <w:lang w:val="en-US"/>
              </w:rPr>
              <w:t>Socio-economic factors in the countries under consideration</w:t>
            </w:r>
          </w:p>
        </w:tc>
        <w:tc>
          <w:tcPr>
            <w:tcW w:w="7256" w:type="dxa"/>
          </w:tcPr>
          <w:p w:rsidR="00CA3B52" w:rsidRPr="003A0697" w:rsidRDefault="00CA3B52" w:rsidP="002D1D5C">
            <w:pPr>
              <w:pStyle w:val="Tablehead"/>
            </w:pPr>
            <w:r w:rsidRPr="003A0697">
              <w:t>Remarks</w:t>
            </w:r>
          </w:p>
        </w:tc>
      </w:tr>
      <w:tr w:rsidR="00CA3B52" w:rsidRPr="00F65451" w:rsidTr="00056D0F">
        <w:trPr>
          <w:jc w:val="center"/>
        </w:trPr>
        <w:tc>
          <w:tcPr>
            <w:tcW w:w="7249" w:type="dxa"/>
          </w:tcPr>
          <w:p w:rsidR="00CA3B52" w:rsidRPr="00FA6CAB" w:rsidRDefault="00CA3B52" w:rsidP="002D1D5C">
            <w:pPr>
              <w:pStyle w:val="Tabletext"/>
              <w:jc w:val="left"/>
              <w:rPr>
                <w:lang w:val="en-US" w:eastAsia="fr-FR"/>
              </w:rPr>
            </w:pPr>
            <w:r w:rsidRPr="00FA6CAB">
              <w:rPr>
                <w:lang w:val="en-US" w:eastAsia="fr-FR"/>
              </w:rPr>
              <w:t>GDP or GDP/inhabitant</w:t>
            </w:r>
          </w:p>
        </w:tc>
        <w:tc>
          <w:tcPr>
            <w:tcW w:w="7256" w:type="dxa"/>
          </w:tcPr>
          <w:p w:rsidR="00CA3B52" w:rsidRPr="00FA6CAB" w:rsidRDefault="00CA3B52" w:rsidP="00F65451">
            <w:pPr>
              <w:pStyle w:val="Tabletext"/>
              <w:jc w:val="left"/>
              <w:rPr>
                <w:lang w:val="en-US" w:eastAsia="fr-FR"/>
              </w:rPr>
            </w:pPr>
            <w:r w:rsidRPr="00FA6CAB">
              <w:rPr>
                <w:lang w:val="en-US" w:eastAsia="fr-FR"/>
              </w:rPr>
              <w:t>Operator</w:t>
            </w:r>
            <w:r w:rsidRPr="00CB6CBA">
              <w:rPr>
                <w:lang w:val="en-US"/>
              </w:rPr>
              <w:t>’</w:t>
            </w:r>
            <w:r w:rsidRPr="00FA6CAB">
              <w:rPr>
                <w:lang w:val="en-US" w:eastAsia="fr-FR"/>
              </w:rPr>
              <w:t>s propensity to pay fees increases in line with GDP since the potential turnover increases with GDP.</w:t>
            </w:r>
          </w:p>
          <w:p w:rsidR="00CA3B52" w:rsidRPr="00032880" w:rsidRDefault="00CA3B52" w:rsidP="002D1D5C">
            <w:pPr>
              <w:pStyle w:val="Tabletext"/>
              <w:jc w:val="left"/>
              <w:rPr>
                <w:b/>
                <w:bCs/>
                <w:lang w:val="en-US"/>
              </w:rPr>
            </w:pPr>
            <w:r w:rsidRPr="00032880">
              <w:rPr>
                <w:bCs/>
                <w:lang w:val="en-US" w:eastAsia="fr-FR"/>
              </w:rPr>
              <w:t>Remark: The existence of a countertrading system may result in a calculated GDP that is lower than actual GDP.</w:t>
            </w:r>
          </w:p>
        </w:tc>
      </w:tr>
      <w:tr w:rsidR="00CA3B52" w:rsidRPr="00F65451" w:rsidTr="00056D0F">
        <w:trPr>
          <w:jc w:val="center"/>
        </w:trPr>
        <w:tc>
          <w:tcPr>
            <w:tcW w:w="7249" w:type="dxa"/>
          </w:tcPr>
          <w:p w:rsidR="00CA3B52" w:rsidRPr="00FA6CAB" w:rsidRDefault="00CA3B52" w:rsidP="002D1D5C">
            <w:pPr>
              <w:pStyle w:val="Tabletext"/>
              <w:jc w:val="left"/>
              <w:rPr>
                <w:lang w:val="en-US" w:eastAsia="fr-FR"/>
              </w:rPr>
            </w:pPr>
            <w:r w:rsidRPr="00FA6CAB">
              <w:rPr>
                <w:lang w:val="en-US" w:eastAsia="fr-FR"/>
              </w:rPr>
              <w:t>Total population; population density</w:t>
            </w:r>
          </w:p>
        </w:tc>
        <w:tc>
          <w:tcPr>
            <w:tcW w:w="7256" w:type="dxa"/>
          </w:tcPr>
          <w:p w:rsidR="00CA3B52" w:rsidRDefault="00CA3B52" w:rsidP="002D1D5C">
            <w:pPr>
              <w:pStyle w:val="Tabletext"/>
              <w:jc w:val="left"/>
              <w:rPr>
                <w:lang w:val="en-US"/>
              </w:rPr>
            </w:pPr>
            <w:r w:rsidRPr="00FA6CAB">
              <w:rPr>
                <w:lang w:val="en-US" w:eastAsia="fr-FR"/>
              </w:rPr>
              <w:t>Operator</w:t>
            </w:r>
            <w:r w:rsidRPr="00CB6CBA">
              <w:rPr>
                <w:lang w:val="en-US"/>
              </w:rPr>
              <w:t>’</w:t>
            </w:r>
            <w:r w:rsidRPr="00FA6CAB">
              <w:rPr>
                <w:lang w:val="en-US" w:eastAsia="fr-FR"/>
              </w:rPr>
              <w:t>s propensity to pay fees increases in line with population size since, generally speaking, the potential turnover increases with population size.</w:t>
            </w:r>
          </w:p>
        </w:tc>
      </w:tr>
      <w:tr w:rsidR="00CA3B52" w:rsidRPr="00F65451" w:rsidTr="00056D0F">
        <w:trPr>
          <w:jc w:val="center"/>
        </w:trPr>
        <w:tc>
          <w:tcPr>
            <w:tcW w:w="7249" w:type="dxa"/>
          </w:tcPr>
          <w:p w:rsidR="00CA3B52" w:rsidRPr="00FA6CAB" w:rsidRDefault="00CA3B52" w:rsidP="002D1D5C">
            <w:pPr>
              <w:pStyle w:val="Tabletext"/>
              <w:jc w:val="left"/>
              <w:rPr>
                <w:lang w:val="en-US" w:eastAsia="fr-FR"/>
              </w:rPr>
            </w:pPr>
            <w:r w:rsidRPr="00FA6CAB">
              <w:rPr>
                <w:lang w:val="en-US" w:eastAsia="fr-FR"/>
              </w:rPr>
              <w:t>Geographic distribution of the population (concentrated in a few areas, dispersed, ...)</w:t>
            </w:r>
          </w:p>
        </w:tc>
        <w:tc>
          <w:tcPr>
            <w:tcW w:w="7256" w:type="dxa"/>
          </w:tcPr>
          <w:p w:rsidR="00CA3B52" w:rsidRDefault="00CA3B52" w:rsidP="002D1D5C">
            <w:pPr>
              <w:pStyle w:val="Tabletext"/>
              <w:jc w:val="left"/>
              <w:rPr>
                <w:lang w:val="en-US"/>
              </w:rPr>
            </w:pPr>
            <w:r w:rsidRPr="00FA6CAB">
              <w:rPr>
                <w:lang w:val="en-US" w:eastAsia="fr-FR"/>
              </w:rPr>
              <w:t>Operator</w:t>
            </w:r>
            <w:r w:rsidRPr="00CB6CBA">
              <w:rPr>
                <w:lang w:val="en-US"/>
              </w:rPr>
              <w:t>’</w:t>
            </w:r>
            <w:r w:rsidRPr="00FA6CAB">
              <w:rPr>
                <w:lang w:val="en-US" w:eastAsia="fr-FR"/>
              </w:rPr>
              <w:t>s propensity to pay fees increases with concentration since, generally speaking, the cost of network deployment decreases with concentration.</w:t>
            </w:r>
          </w:p>
        </w:tc>
      </w:tr>
      <w:tr w:rsidR="00CA3B52" w:rsidRPr="00F65451" w:rsidTr="00056D0F">
        <w:trPr>
          <w:jc w:val="center"/>
        </w:trPr>
        <w:tc>
          <w:tcPr>
            <w:tcW w:w="7249" w:type="dxa"/>
          </w:tcPr>
          <w:p w:rsidR="00CA3B52" w:rsidRPr="00FA6CAB" w:rsidRDefault="00CA3B52" w:rsidP="002D1D5C">
            <w:pPr>
              <w:pStyle w:val="Tabletext"/>
              <w:jc w:val="left"/>
              <w:rPr>
                <w:lang w:val="en-US" w:eastAsia="fr-FR"/>
              </w:rPr>
            </w:pPr>
            <w:r w:rsidRPr="00FA6CAB">
              <w:rPr>
                <w:lang w:val="en-US" w:eastAsia="fr-FR"/>
              </w:rPr>
              <w:t>Country size, relief and degree of insularity</w:t>
            </w:r>
          </w:p>
        </w:tc>
        <w:tc>
          <w:tcPr>
            <w:tcW w:w="7256" w:type="dxa"/>
          </w:tcPr>
          <w:p w:rsidR="00CA3B52" w:rsidRDefault="00CA3B52" w:rsidP="002D1D5C">
            <w:pPr>
              <w:pStyle w:val="Tabletext"/>
              <w:jc w:val="left"/>
              <w:rPr>
                <w:lang w:val="en-US"/>
              </w:rPr>
            </w:pPr>
            <w:r w:rsidRPr="00FA6CAB">
              <w:rPr>
                <w:lang w:val="en-US" w:eastAsia="fr-FR"/>
              </w:rPr>
              <w:t>Operator</w:t>
            </w:r>
            <w:r w:rsidRPr="00CB6CBA">
              <w:rPr>
                <w:lang w:val="en-US"/>
              </w:rPr>
              <w:t>’</w:t>
            </w:r>
            <w:r w:rsidRPr="00FA6CAB">
              <w:rPr>
                <w:lang w:val="en-US" w:eastAsia="fr-FR"/>
              </w:rPr>
              <w:t>s propensity to pay fees decreases in line with the country</w:t>
            </w:r>
            <w:r w:rsidRPr="00CB6CBA">
              <w:rPr>
                <w:lang w:val="en-US"/>
              </w:rPr>
              <w:t>’</w:t>
            </w:r>
            <w:r w:rsidRPr="00FA6CAB">
              <w:rPr>
                <w:lang w:val="en-US" w:eastAsia="fr-FR"/>
              </w:rPr>
              <w:t>s size and relief since, generally speaking, the cost of network deployment increases in line with those parameters.</w:t>
            </w:r>
          </w:p>
        </w:tc>
      </w:tr>
      <w:tr w:rsidR="00CA3B52" w:rsidRPr="00F65451" w:rsidTr="00056D0F">
        <w:trPr>
          <w:jc w:val="center"/>
        </w:trPr>
        <w:tc>
          <w:tcPr>
            <w:tcW w:w="7249" w:type="dxa"/>
          </w:tcPr>
          <w:p w:rsidR="00CA3B52" w:rsidRPr="00FA6CAB" w:rsidRDefault="00CA3B52" w:rsidP="002D1D5C">
            <w:pPr>
              <w:pStyle w:val="Tabletext"/>
              <w:jc w:val="left"/>
              <w:rPr>
                <w:lang w:val="en-US" w:eastAsia="fr-FR"/>
              </w:rPr>
            </w:pPr>
            <w:r w:rsidRPr="00FA6CAB">
              <w:rPr>
                <w:b/>
                <w:lang w:val="en-US" w:eastAsia="fr-FR"/>
              </w:rPr>
              <w:t>Characteristics of authorizations or licences</w:t>
            </w:r>
          </w:p>
        </w:tc>
        <w:tc>
          <w:tcPr>
            <w:tcW w:w="7256" w:type="dxa"/>
          </w:tcPr>
          <w:p w:rsidR="00CA3B52" w:rsidRDefault="00CA3B52" w:rsidP="002D1D5C">
            <w:pPr>
              <w:pStyle w:val="Tabletext"/>
              <w:jc w:val="left"/>
              <w:rPr>
                <w:lang w:val="en-US"/>
              </w:rPr>
            </w:pPr>
          </w:p>
        </w:tc>
      </w:tr>
      <w:tr w:rsidR="00CA3B52" w:rsidRPr="00F65451" w:rsidTr="00056D0F">
        <w:trPr>
          <w:jc w:val="center"/>
        </w:trPr>
        <w:tc>
          <w:tcPr>
            <w:tcW w:w="7249" w:type="dxa"/>
          </w:tcPr>
          <w:p w:rsidR="00CA3B52" w:rsidRPr="00FA6CAB" w:rsidRDefault="00CA3B52" w:rsidP="002D1D5C">
            <w:pPr>
              <w:pStyle w:val="Tabletext"/>
              <w:jc w:val="left"/>
              <w:rPr>
                <w:lang w:val="en-US" w:eastAsia="fr-FR"/>
              </w:rPr>
            </w:pPr>
            <w:r w:rsidRPr="00FA6CAB">
              <w:rPr>
                <w:lang w:val="en-US" w:eastAsia="fr-FR"/>
              </w:rPr>
              <w:t>Period of validity of authorizations</w:t>
            </w:r>
          </w:p>
        </w:tc>
        <w:tc>
          <w:tcPr>
            <w:tcW w:w="7256" w:type="dxa"/>
          </w:tcPr>
          <w:p w:rsidR="00CA3B52" w:rsidRDefault="00CA3B52" w:rsidP="002D1D5C">
            <w:pPr>
              <w:pStyle w:val="Tabletext"/>
              <w:jc w:val="left"/>
              <w:rPr>
                <w:lang w:val="en-US"/>
              </w:rPr>
            </w:pPr>
            <w:r w:rsidRPr="00FA6CAB">
              <w:rPr>
                <w:lang w:val="en-US" w:eastAsia="fr-FR"/>
              </w:rPr>
              <w:t>Operator</w:t>
            </w:r>
            <w:r w:rsidRPr="00CB6CBA">
              <w:rPr>
                <w:lang w:val="en-US"/>
              </w:rPr>
              <w:t>’</w:t>
            </w:r>
            <w:r w:rsidRPr="00FA6CAB">
              <w:rPr>
                <w:lang w:val="en-US" w:eastAsia="fr-FR"/>
              </w:rPr>
              <w:t>s propensity to pay fees increases in line with the period of validity since equipment amortization is better assured and the final years of operation are generally far more profitable than the initial years.</w:t>
            </w:r>
          </w:p>
        </w:tc>
      </w:tr>
      <w:tr w:rsidR="00CA3B52" w:rsidRPr="00F65451" w:rsidTr="00056D0F">
        <w:trPr>
          <w:jc w:val="center"/>
        </w:trPr>
        <w:tc>
          <w:tcPr>
            <w:tcW w:w="7249" w:type="dxa"/>
          </w:tcPr>
          <w:p w:rsidR="00CA3B52" w:rsidRPr="00FA6CAB" w:rsidRDefault="00CA3B52" w:rsidP="002D1D5C">
            <w:pPr>
              <w:pStyle w:val="Tabletext"/>
              <w:jc w:val="left"/>
              <w:rPr>
                <w:lang w:val="en-US" w:eastAsia="fr-FR"/>
              </w:rPr>
            </w:pPr>
            <w:r w:rsidRPr="00FA6CAB">
              <w:rPr>
                <w:lang w:val="en-US" w:eastAsia="fr-FR"/>
              </w:rPr>
              <w:t>Stability of operating conditions</w:t>
            </w:r>
          </w:p>
        </w:tc>
        <w:tc>
          <w:tcPr>
            <w:tcW w:w="7256" w:type="dxa"/>
          </w:tcPr>
          <w:p w:rsidR="00CA3B52" w:rsidRDefault="00CA3B52" w:rsidP="002D1D5C">
            <w:pPr>
              <w:pStyle w:val="Tabletext"/>
              <w:jc w:val="left"/>
              <w:rPr>
                <w:lang w:val="en-US"/>
              </w:rPr>
            </w:pPr>
            <w:r w:rsidRPr="00FA6CAB">
              <w:rPr>
                <w:lang w:val="en-US" w:eastAsia="fr-FR"/>
              </w:rPr>
              <w:t>Operator</w:t>
            </w:r>
            <w:r w:rsidRPr="00CB6CBA">
              <w:rPr>
                <w:lang w:val="en-US"/>
              </w:rPr>
              <w:t>’</w:t>
            </w:r>
            <w:r w:rsidRPr="00FA6CAB">
              <w:rPr>
                <w:lang w:val="en-US" w:eastAsia="fr-FR"/>
              </w:rPr>
              <w:t>s propensity to pay fees increases in line with the level of stability since instability leads operators to cover themselves against the inherent risks.</w:t>
            </w:r>
          </w:p>
        </w:tc>
      </w:tr>
      <w:tr w:rsidR="00CA3B52" w:rsidRPr="00F65451" w:rsidTr="00056D0F">
        <w:trPr>
          <w:jc w:val="center"/>
        </w:trPr>
        <w:tc>
          <w:tcPr>
            <w:tcW w:w="7249" w:type="dxa"/>
          </w:tcPr>
          <w:p w:rsidR="00CA3B52" w:rsidRPr="00FA6CAB" w:rsidRDefault="00CA3B52" w:rsidP="002D1D5C">
            <w:pPr>
              <w:pStyle w:val="Tabletext"/>
              <w:jc w:val="left"/>
              <w:rPr>
                <w:lang w:val="en-US" w:eastAsia="fr-FR"/>
              </w:rPr>
            </w:pPr>
            <w:r w:rsidRPr="00FA6CAB">
              <w:rPr>
                <w:lang w:val="en-US" w:eastAsia="fr-FR"/>
              </w:rPr>
              <w:t>Renewability of authorizations</w:t>
            </w:r>
          </w:p>
        </w:tc>
        <w:tc>
          <w:tcPr>
            <w:tcW w:w="7256" w:type="dxa"/>
          </w:tcPr>
          <w:p w:rsidR="00CA3B52" w:rsidRDefault="00CA3B52" w:rsidP="002D1D5C">
            <w:pPr>
              <w:pStyle w:val="Tabletext"/>
              <w:jc w:val="left"/>
              <w:rPr>
                <w:lang w:val="en-US"/>
              </w:rPr>
            </w:pPr>
            <w:r w:rsidRPr="00FA6CAB">
              <w:rPr>
                <w:lang w:val="en-US" w:eastAsia="fr-FR"/>
              </w:rPr>
              <w:t>The influence of this factor is similar to that of the period of validity.</w:t>
            </w:r>
          </w:p>
        </w:tc>
      </w:tr>
      <w:tr w:rsidR="00CA3B52" w:rsidRPr="00F65451" w:rsidTr="00056D0F">
        <w:trPr>
          <w:jc w:val="center"/>
        </w:trPr>
        <w:tc>
          <w:tcPr>
            <w:tcW w:w="7249" w:type="dxa"/>
          </w:tcPr>
          <w:p w:rsidR="00CA3B52" w:rsidRPr="00FA6CAB" w:rsidRDefault="00CA3B52" w:rsidP="002D1D5C">
            <w:pPr>
              <w:pStyle w:val="Tabletext"/>
              <w:jc w:val="left"/>
              <w:rPr>
                <w:b/>
                <w:bCs/>
                <w:lang w:val="en-US" w:eastAsia="fr-FR"/>
              </w:rPr>
            </w:pPr>
            <w:r>
              <w:rPr>
                <w:b/>
                <w:bCs/>
                <w:lang w:val="en-US" w:eastAsia="fr-FR"/>
              </w:rPr>
              <w:t>C</w:t>
            </w:r>
            <w:r w:rsidRPr="00FA6CAB">
              <w:rPr>
                <w:b/>
                <w:bCs/>
                <w:lang w:val="en-US" w:eastAsia="fr-FR"/>
              </w:rPr>
              <w:t>ontent of authorized operator terms of reference</w:t>
            </w:r>
          </w:p>
        </w:tc>
        <w:tc>
          <w:tcPr>
            <w:tcW w:w="7256" w:type="dxa"/>
          </w:tcPr>
          <w:p w:rsidR="00CA3B52" w:rsidRDefault="00CA3B52" w:rsidP="002D1D5C">
            <w:pPr>
              <w:pStyle w:val="Tabletext"/>
              <w:jc w:val="left"/>
              <w:rPr>
                <w:lang w:val="en-US"/>
              </w:rPr>
            </w:pPr>
          </w:p>
        </w:tc>
      </w:tr>
      <w:tr w:rsidR="00CA3B52" w:rsidRPr="00F65451" w:rsidTr="00056D0F">
        <w:trPr>
          <w:jc w:val="center"/>
        </w:trPr>
        <w:tc>
          <w:tcPr>
            <w:tcW w:w="7249" w:type="dxa"/>
          </w:tcPr>
          <w:p w:rsidR="00CA3B52" w:rsidRPr="00FA6CAB" w:rsidRDefault="00CA3B52" w:rsidP="002D1D5C">
            <w:pPr>
              <w:pStyle w:val="Tabletext"/>
              <w:jc w:val="left"/>
              <w:rPr>
                <w:lang w:val="en-US" w:eastAsia="fr-FR"/>
              </w:rPr>
            </w:pPr>
            <w:r w:rsidRPr="00FA6CAB">
              <w:rPr>
                <w:lang w:val="en-US" w:eastAsia="fr-FR"/>
              </w:rPr>
              <w:t>Coverage of the territory in question</w:t>
            </w:r>
          </w:p>
        </w:tc>
        <w:tc>
          <w:tcPr>
            <w:tcW w:w="7256" w:type="dxa"/>
            <w:vMerge w:val="restart"/>
          </w:tcPr>
          <w:p w:rsidR="00CA3B52" w:rsidRPr="003A0697" w:rsidRDefault="00CA3B52" w:rsidP="00F65451">
            <w:pPr>
              <w:pStyle w:val="Tabletext"/>
              <w:jc w:val="left"/>
              <w:rPr>
                <w:lang w:val="en-US" w:eastAsia="fr-FR"/>
              </w:rPr>
            </w:pPr>
            <w:r w:rsidRPr="003A0697">
              <w:rPr>
                <w:lang w:val="en-US" w:eastAsia="fr-FR"/>
              </w:rPr>
              <w:t>The inclusion of such obligations in the terms of reference increases the operating costs in line with the degree to which they are mandatory and has a corresponding negative effect on operator</w:t>
            </w:r>
            <w:r w:rsidRPr="003A0697">
              <w:rPr>
                <w:lang w:val="en-US"/>
              </w:rPr>
              <w:t>’</w:t>
            </w:r>
            <w:r w:rsidRPr="003A0697">
              <w:rPr>
                <w:lang w:val="en-US" w:eastAsia="fr-FR"/>
              </w:rPr>
              <w:t>s propensity to pay.</w:t>
            </w:r>
          </w:p>
          <w:p w:rsidR="00CA3B52" w:rsidRPr="003A0697" w:rsidRDefault="00CA3B52" w:rsidP="00F65451">
            <w:pPr>
              <w:pStyle w:val="Tabletext"/>
              <w:jc w:val="left"/>
              <w:rPr>
                <w:lang w:val="en-US" w:eastAsia="fr-FR"/>
              </w:rPr>
            </w:pPr>
            <w:r w:rsidRPr="003A0697">
              <w:rPr>
                <w:lang w:val="en-US" w:eastAsia="fr-FR"/>
              </w:rPr>
              <w:t>In order to make a detailed comparison, it would be necessary to analyse the degree to which each such obligation is mandatory, taking particular account of the following:</w:t>
            </w:r>
          </w:p>
          <w:p w:rsidR="00CA3B52" w:rsidRPr="003A0697" w:rsidRDefault="00CA3B52" w:rsidP="00F65451">
            <w:pPr>
              <w:pStyle w:val="Tabletext"/>
              <w:ind w:left="284" w:hanging="284"/>
              <w:jc w:val="left"/>
              <w:rPr>
                <w:lang w:val="en-US" w:eastAsia="fr-FR"/>
              </w:rPr>
            </w:pPr>
            <w:r w:rsidRPr="003A0697">
              <w:rPr>
                <w:lang w:val="en-US" w:eastAsia="fr-FR"/>
              </w:rPr>
              <w:t>–</w:t>
            </w:r>
            <w:r w:rsidRPr="003A0697">
              <w:rPr>
                <w:lang w:val="en-US" w:eastAsia="fr-FR"/>
              </w:rPr>
              <w:tab/>
              <w:t>conditions governing international access, which may influence quality of service;</w:t>
            </w:r>
          </w:p>
          <w:p w:rsidR="00CA3B52" w:rsidRPr="003A0697" w:rsidRDefault="00CA3B52" w:rsidP="002D1D5C">
            <w:pPr>
              <w:pStyle w:val="Tabletext"/>
              <w:ind w:left="284" w:hanging="284"/>
              <w:jc w:val="left"/>
              <w:rPr>
                <w:lang w:val="en-US"/>
              </w:rPr>
            </w:pPr>
            <w:r w:rsidRPr="003A0697">
              <w:rPr>
                <w:lang w:val="en-US" w:eastAsia="fr-FR"/>
              </w:rPr>
              <w:t>–</w:t>
            </w:r>
            <w:r w:rsidRPr="003A0697">
              <w:rPr>
                <w:lang w:val="en-US" w:eastAsia="fr-FR"/>
              </w:rPr>
              <w:tab/>
              <w:t>existence of local practices/customs such as cost-free service for certain categories of user, the effect of which is to reduce the operating result.</w:t>
            </w:r>
          </w:p>
        </w:tc>
      </w:tr>
      <w:tr w:rsidR="00CA3B52" w:rsidTr="00056D0F">
        <w:trPr>
          <w:jc w:val="center"/>
        </w:trPr>
        <w:tc>
          <w:tcPr>
            <w:tcW w:w="7249" w:type="dxa"/>
          </w:tcPr>
          <w:p w:rsidR="00CA3B52" w:rsidRPr="00FA6CAB" w:rsidRDefault="00CA3B52" w:rsidP="002D1D5C">
            <w:pPr>
              <w:pStyle w:val="Tabletext"/>
              <w:jc w:val="left"/>
              <w:rPr>
                <w:bCs/>
                <w:lang w:val="en-US" w:eastAsia="fr-FR"/>
              </w:rPr>
            </w:pPr>
            <w:r w:rsidRPr="00FA6CAB">
              <w:rPr>
                <w:bCs/>
                <w:lang w:val="en-US" w:eastAsia="fr-FR"/>
              </w:rPr>
              <w:t>Quality of service</w:t>
            </w:r>
          </w:p>
        </w:tc>
        <w:tc>
          <w:tcPr>
            <w:tcW w:w="7256" w:type="dxa"/>
            <w:vMerge/>
          </w:tcPr>
          <w:p w:rsidR="00CA3B52" w:rsidRDefault="00CA3B52" w:rsidP="002D1D5C">
            <w:pPr>
              <w:pStyle w:val="Heading2"/>
              <w:ind w:left="0" w:firstLine="0"/>
              <w:jc w:val="left"/>
              <w:rPr>
                <w:lang w:val="en-US"/>
              </w:rPr>
            </w:pPr>
          </w:p>
        </w:tc>
      </w:tr>
      <w:tr w:rsidR="00CA3B52" w:rsidTr="00056D0F">
        <w:trPr>
          <w:jc w:val="center"/>
        </w:trPr>
        <w:tc>
          <w:tcPr>
            <w:tcW w:w="7249" w:type="dxa"/>
          </w:tcPr>
          <w:p w:rsidR="00CA3B52" w:rsidRPr="00FA6CAB" w:rsidRDefault="00CA3B52" w:rsidP="002D1D5C">
            <w:pPr>
              <w:pStyle w:val="Tabletext"/>
              <w:jc w:val="left"/>
              <w:rPr>
                <w:bCs/>
                <w:lang w:val="en-US" w:eastAsia="fr-FR"/>
              </w:rPr>
            </w:pPr>
            <w:r w:rsidRPr="00FA6CAB">
              <w:rPr>
                <w:bCs/>
                <w:lang w:val="en-US" w:eastAsia="fr-FR"/>
              </w:rPr>
              <w:t>Participation in universal service</w:t>
            </w:r>
          </w:p>
        </w:tc>
        <w:tc>
          <w:tcPr>
            <w:tcW w:w="7256" w:type="dxa"/>
            <w:vMerge/>
          </w:tcPr>
          <w:p w:rsidR="00CA3B52" w:rsidRDefault="00CA3B52" w:rsidP="002D1D5C">
            <w:pPr>
              <w:pStyle w:val="Heading2"/>
              <w:ind w:left="0" w:firstLine="0"/>
              <w:jc w:val="left"/>
              <w:rPr>
                <w:lang w:val="en-US"/>
              </w:rPr>
            </w:pPr>
          </w:p>
        </w:tc>
      </w:tr>
      <w:tr w:rsidR="00CA3B52" w:rsidRPr="00F65451" w:rsidTr="00056D0F">
        <w:trPr>
          <w:jc w:val="center"/>
        </w:trPr>
        <w:tc>
          <w:tcPr>
            <w:tcW w:w="7249" w:type="dxa"/>
          </w:tcPr>
          <w:p w:rsidR="00CA3B52" w:rsidRPr="00FA6CAB" w:rsidRDefault="00CA3B52" w:rsidP="002D1D5C">
            <w:pPr>
              <w:pStyle w:val="Tabletext"/>
              <w:jc w:val="left"/>
              <w:rPr>
                <w:bCs/>
                <w:lang w:val="en-US" w:eastAsia="fr-FR"/>
              </w:rPr>
            </w:pPr>
            <w:r w:rsidRPr="00FA6CAB">
              <w:rPr>
                <w:bCs/>
                <w:lang w:val="en-US" w:eastAsia="fr-FR"/>
              </w:rPr>
              <w:t>Participation in research and development efforts in the telecommunication sphere</w:t>
            </w:r>
          </w:p>
        </w:tc>
        <w:tc>
          <w:tcPr>
            <w:tcW w:w="7256" w:type="dxa"/>
            <w:vMerge/>
          </w:tcPr>
          <w:p w:rsidR="00CA3B52" w:rsidRDefault="00CA3B52" w:rsidP="002D1D5C">
            <w:pPr>
              <w:pStyle w:val="Heading2"/>
              <w:ind w:left="0" w:firstLine="0"/>
              <w:jc w:val="left"/>
              <w:rPr>
                <w:lang w:val="en-US"/>
              </w:rPr>
            </w:pPr>
          </w:p>
        </w:tc>
      </w:tr>
      <w:tr w:rsidR="00CA3B52" w:rsidRPr="00F65451" w:rsidTr="00056D0F">
        <w:trPr>
          <w:jc w:val="center"/>
        </w:trPr>
        <w:tc>
          <w:tcPr>
            <w:tcW w:w="7249" w:type="dxa"/>
          </w:tcPr>
          <w:p w:rsidR="00CA3B52" w:rsidRPr="00FA6CAB" w:rsidRDefault="00CA3B52" w:rsidP="002D1D5C">
            <w:pPr>
              <w:pStyle w:val="Tabletext"/>
              <w:jc w:val="left"/>
              <w:rPr>
                <w:bCs/>
                <w:lang w:val="en-US" w:eastAsia="fr-FR"/>
              </w:rPr>
            </w:pPr>
            <w:r w:rsidRPr="00FA6CAB">
              <w:rPr>
                <w:bCs/>
                <w:lang w:val="en-US" w:eastAsia="fr-FR"/>
              </w:rPr>
              <w:t>Other obligations (free calls to certain numbers, number portability, spectrum monitoring,</w:t>
            </w:r>
            <w:r>
              <w:rPr>
                <w:bCs/>
                <w:lang w:val="en-US" w:eastAsia="fr-FR"/>
              </w:rPr>
              <w:t xml:space="preserve"> </w:t>
            </w:r>
            <w:r w:rsidRPr="00FA6CAB">
              <w:rPr>
                <w:bCs/>
                <w:lang w:val="en-US" w:eastAsia="fr-FR"/>
              </w:rPr>
              <w:t>...)</w:t>
            </w:r>
          </w:p>
        </w:tc>
        <w:tc>
          <w:tcPr>
            <w:tcW w:w="7256" w:type="dxa"/>
            <w:vMerge/>
          </w:tcPr>
          <w:p w:rsidR="00CA3B52" w:rsidRDefault="00CA3B52" w:rsidP="002D1D5C">
            <w:pPr>
              <w:pStyle w:val="Heading2"/>
              <w:ind w:left="0" w:firstLine="0"/>
              <w:jc w:val="left"/>
              <w:rPr>
                <w:lang w:val="en-US"/>
              </w:rPr>
            </w:pPr>
          </w:p>
        </w:tc>
      </w:tr>
    </w:tbl>
    <w:p w:rsidR="00CA3B52" w:rsidRPr="00CB6CBA" w:rsidRDefault="00CA3B52" w:rsidP="00CA3B52">
      <w:pPr>
        <w:pStyle w:val="Heading2"/>
        <w:rPr>
          <w:lang w:val="en-US"/>
        </w:rPr>
        <w:sectPr w:rsidR="00CA3B52" w:rsidRPr="00CB6CBA" w:rsidSect="00056D0F">
          <w:headerReference w:type="even" r:id="rId22"/>
          <w:headerReference w:type="default" r:id="rId23"/>
          <w:footerReference w:type="default" r:id="rId24"/>
          <w:pgSz w:w="16834" w:h="11913" w:orient="landscape" w:code="9"/>
          <w:pgMar w:top="1418" w:right="1134" w:bottom="1134" w:left="1134" w:header="720" w:footer="482" w:gutter="0"/>
          <w:paperSrc w:first="15" w:other="15"/>
          <w:cols w:space="720"/>
        </w:sectPr>
      </w:pPr>
    </w:p>
    <w:p w:rsidR="00CA3B52" w:rsidRPr="00CB6CBA" w:rsidRDefault="00CA3B52" w:rsidP="00CA3B52">
      <w:pPr>
        <w:pStyle w:val="Heading2"/>
        <w:spacing w:before="0"/>
        <w:rPr>
          <w:lang w:val="en-US"/>
        </w:rPr>
      </w:pPr>
      <w:bookmarkStart w:id="1133" w:name="_Toc289868801"/>
      <w:bookmarkStart w:id="1134" w:name="_Toc289868961"/>
      <w:bookmarkStart w:id="1135" w:name="_Toc289932269"/>
      <w:bookmarkStart w:id="1136" w:name="_Toc289933315"/>
      <w:bookmarkStart w:id="1137" w:name="_Toc291852878"/>
      <w:bookmarkStart w:id="1138" w:name="_Toc392515866"/>
      <w:r w:rsidRPr="00CB6CBA">
        <w:rPr>
          <w:lang w:val="en-US"/>
        </w:rPr>
        <w:lastRenderedPageBreak/>
        <w:t>3.5</w:t>
      </w:r>
      <w:r w:rsidRPr="00CB6CBA">
        <w:rPr>
          <w:lang w:val="en-US"/>
        </w:rPr>
        <w:tab/>
        <w:t>Summary</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rsidR="00CA3B52" w:rsidRDefault="00CA3B52" w:rsidP="00CA3B52">
      <w:pPr>
        <w:rPr>
          <w:lang w:val="en-US"/>
        </w:rPr>
      </w:pPr>
      <w:r w:rsidRPr="00CB6CBA">
        <w:rPr>
          <w:lang w:val="en-US"/>
        </w:rPr>
        <w:t>The value that the use of radiocommunications and the development of new services can provide to a country’s economy is indicated by the economic benefits identified in the studies undertaken by some administrations. In the past, failure to recognize radiocommunication’s economic contribution to a country, perhaps coupled with uncertainty over the methodology, may have meant that benefits analysis was not considered to provide information relevant to spectrum management. This Report shows that techniques are now available to quantify the economic benefits and are capable of providing information, previously unavailable to spectrum managers that can be taken into consideration when making decisions on frequency assignments and for evaluating the effectiveness of spectrum management decisions. In addition, economic benefit analysis may be used to support justification for spectrum management funding. Effective spectrum management is essential for maintaining access to the radio spectrum and hence the benefits radio can provide to a country.</w:t>
      </w:r>
    </w:p>
    <w:p w:rsidR="00056D0F" w:rsidRPr="00CB6CBA" w:rsidRDefault="00056D0F" w:rsidP="00CA3B52">
      <w:pPr>
        <w:rPr>
          <w:lang w:val="en-US"/>
        </w:rPr>
      </w:pPr>
    </w:p>
    <w:p w:rsidR="00CA3B52" w:rsidRPr="00CB6CBA" w:rsidRDefault="00CA3B52" w:rsidP="00CA3B52">
      <w:pPr>
        <w:pStyle w:val="ChapNo"/>
        <w:rPr>
          <w:lang w:val="en-US"/>
        </w:rPr>
      </w:pPr>
      <w:bookmarkStart w:id="1139" w:name="_Toc459746696"/>
      <w:bookmarkStart w:id="1140" w:name="_Toc459792629"/>
      <w:bookmarkStart w:id="1141" w:name="_Toc459793796"/>
      <w:bookmarkStart w:id="1142" w:name="_Toc459793938"/>
      <w:bookmarkStart w:id="1143" w:name="_Toc459970410"/>
      <w:bookmarkStart w:id="1144" w:name="_Toc289868802"/>
      <w:bookmarkStart w:id="1145" w:name="_Toc289868962"/>
      <w:bookmarkStart w:id="1146" w:name="_Toc289932270"/>
      <w:bookmarkStart w:id="1147" w:name="_Toc289933316"/>
      <w:bookmarkStart w:id="1148" w:name="_Toc291852879"/>
      <w:r w:rsidRPr="00CB6CBA">
        <w:rPr>
          <w:lang w:val="en-US"/>
        </w:rPr>
        <w:t>CHAPTER 4</w:t>
      </w:r>
      <w:bookmarkEnd w:id="1139"/>
      <w:bookmarkEnd w:id="1140"/>
      <w:bookmarkEnd w:id="1141"/>
      <w:bookmarkEnd w:id="1142"/>
      <w:bookmarkEnd w:id="1143"/>
      <w:bookmarkEnd w:id="1144"/>
      <w:bookmarkEnd w:id="1145"/>
      <w:bookmarkEnd w:id="1146"/>
      <w:bookmarkEnd w:id="1147"/>
      <w:bookmarkEnd w:id="1148"/>
    </w:p>
    <w:p w:rsidR="00CA3B52" w:rsidRDefault="00CA3B52" w:rsidP="00A93F33">
      <w:pPr>
        <w:pStyle w:val="Chaptitle"/>
        <w:rPr>
          <w:lang w:val="en-US"/>
        </w:rPr>
      </w:pPr>
      <w:bookmarkStart w:id="1149" w:name="_Toc289868803"/>
      <w:bookmarkStart w:id="1150" w:name="_Toc289868963"/>
      <w:bookmarkStart w:id="1151" w:name="_Toc289932271"/>
      <w:bookmarkStart w:id="1152" w:name="_Toc289933317"/>
      <w:bookmarkStart w:id="1153" w:name="_Toc291852880"/>
      <w:bookmarkStart w:id="1154" w:name="_Toc459746697"/>
      <w:bookmarkStart w:id="1155" w:name="_Toc459792630"/>
      <w:bookmarkStart w:id="1156" w:name="_Toc459793797"/>
      <w:bookmarkStart w:id="1157" w:name="_Toc459793939"/>
      <w:bookmarkStart w:id="1158" w:name="_Toc459970411"/>
      <w:r w:rsidRPr="00CB6CBA">
        <w:rPr>
          <w:lang w:val="en-US"/>
        </w:rPr>
        <w:t xml:space="preserve">Guidelines on methodologies for the establishment of </w:t>
      </w:r>
      <w:r w:rsidR="00A93F33">
        <w:rPr>
          <w:lang w:val="en-US"/>
        </w:rPr>
        <w:br/>
      </w:r>
      <w:r w:rsidRPr="00CB6CBA">
        <w:rPr>
          <w:lang w:val="en-US"/>
        </w:rPr>
        <w:t>spectrum fees formula and</w:t>
      </w:r>
      <w:r>
        <w:rPr>
          <w:lang w:val="en-US"/>
        </w:rPr>
        <w:t xml:space="preserve"> </w:t>
      </w:r>
      <w:r w:rsidRPr="00CB6CBA">
        <w:rPr>
          <w:lang w:val="en-US"/>
        </w:rPr>
        <w:t>system</w:t>
      </w:r>
      <w:bookmarkEnd w:id="1149"/>
      <w:bookmarkEnd w:id="1150"/>
      <w:bookmarkEnd w:id="1151"/>
      <w:bookmarkEnd w:id="1152"/>
      <w:bookmarkEnd w:id="1153"/>
      <w:r w:rsidRPr="00CB6CBA">
        <w:rPr>
          <w:lang w:val="en-US"/>
        </w:rPr>
        <w:t xml:space="preserve"> </w:t>
      </w:r>
      <w:bookmarkEnd w:id="1154"/>
      <w:bookmarkEnd w:id="1155"/>
      <w:bookmarkEnd w:id="1156"/>
      <w:bookmarkEnd w:id="1157"/>
      <w:bookmarkEnd w:id="1158"/>
    </w:p>
    <w:p w:rsidR="00CA3B52" w:rsidRPr="00CB6CBA" w:rsidRDefault="00CA3B52" w:rsidP="00CA3B52">
      <w:pPr>
        <w:pStyle w:val="Heading2"/>
        <w:rPr>
          <w:lang w:val="en-US"/>
        </w:rPr>
      </w:pPr>
      <w:bookmarkStart w:id="1159" w:name="_Toc289868804"/>
      <w:bookmarkStart w:id="1160" w:name="_Toc289868964"/>
      <w:bookmarkStart w:id="1161" w:name="_Toc289932272"/>
      <w:bookmarkStart w:id="1162" w:name="_Toc289933318"/>
      <w:bookmarkStart w:id="1163" w:name="_Toc291852881"/>
      <w:bookmarkStart w:id="1164" w:name="_Toc392515867"/>
      <w:bookmarkStart w:id="1165" w:name="_Toc394386008"/>
      <w:bookmarkStart w:id="1166" w:name="_Toc394386095"/>
      <w:bookmarkStart w:id="1167" w:name="_Toc395503199"/>
      <w:bookmarkStart w:id="1168" w:name="_Toc459746698"/>
      <w:bookmarkStart w:id="1169" w:name="_Toc459792631"/>
      <w:bookmarkStart w:id="1170" w:name="_Toc459793798"/>
      <w:bookmarkStart w:id="1171" w:name="_Toc459793940"/>
      <w:bookmarkStart w:id="1172" w:name="_Toc459970412"/>
      <w:bookmarkStart w:id="1173" w:name="_Toc497033172"/>
      <w:bookmarkStart w:id="1174" w:name="_Toc497033970"/>
      <w:r w:rsidRPr="00CB6CBA">
        <w:rPr>
          <w:lang w:val="en-US"/>
        </w:rPr>
        <w:t>4.1</w:t>
      </w:r>
      <w:r w:rsidRPr="00CB6CBA">
        <w:rPr>
          <w:lang w:val="en-US"/>
        </w:rPr>
        <w:tab/>
        <w:t>Formula development</w:t>
      </w:r>
      <w:bookmarkEnd w:id="1159"/>
      <w:bookmarkEnd w:id="1160"/>
      <w:bookmarkEnd w:id="1161"/>
      <w:bookmarkEnd w:id="1162"/>
      <w:bookmarkEnd w:id="1163"/>
      <w:bookmarkEnd w:id="1164"/>
    </w:p>
    <w:p w:rsidR="00CA3B52" w:rsidRPr="00CB6CBA" w:rsidRDefault="00CA3B52" w:rsidP="00CA3B52">
      <w:pPr>
        <w:rPr>
          <w:lang w:val="en-US"/>
        </w:rPr>
      </w:pPr>
      <w:r w:rsidRPr="00CB6CBA">
        <w:rPr>
          <w:lang w:val="en-US"/>
        </w:rPr>
        <w:t>Pricing requires the development of formulae to operate effectively. In developing these formulae it is advisable that the administration should consult the radio industry on the appropriate technical parameters and definition of the criteria to be used; for example, highly congested geographic areas and frequency bands. The spectrum pricing formulae need to be fair, objective, transparent and simple. Simplicity is important, otherwise there could be difficulty in operating and maintaining the formulae. Consultation can also help to ensure the parameters are appropriate for the service and any disputes on the definition of areas of high usage are resolved. The consultation process is also important for users as it provides transparency to the development of the spectrum pricing procedures.</w:t>
      </w:r>
    </w:p>
    <w:p w:rsidR="00CA3B52" w:rsidRPr="00CB6CBA" w:rsidRDefault="00CA3B52" w:rsidP="00CA3B52">
      <w:pPr>
        <w:rPr>
          <w:lang w:val="en-US"/>
        </w:rPr>
      </w:pPr>
      <w:r w:rsidRPr="00CB6CBA">
        <w:rPr>
          <w:lang w:val="en-US"/>
        </w:rPr>
        <w:t>If the introduction of spectrum pricing requires the development of new software, this may need to be tested and staff trained in its use. This is particularly important if the administration has previously never charged for a spectrum licence. The setting of the fee level is critical to the operation of spectrum pricing and it is necessary to have a suitable differentiation, in terms of the fee value, between areas with high and low levels of spectrum usage.</w:t>
      </w:r>
    </w:p>
    <w:p w:rsidR="00CA3B52" w:rsidRPr="00CB6CBA" w:rsidRDefault="00CA3B52" w:rsidP="00CA3B52">
      <w:pPr>
        <w:pStyle w:val="Heading2"/>
        <w:rPr>
          <w:bCs/>
          <w:lang w:val="en-US"/>
        </w:rPr>
      </w:pPr>
      <w:bookmarkStart w:id="1175" w:name="_Toc289868805"/>
      <w:bookmarkStart w:id="1176" w:name="_Toc289868965"/>
      <w:bookmarkStart w:id="1177" w:name="_Toc289932273"/>
      <w:bookmarkStart w:id="1178" w:name="_Toc289933319"/>
      <w:bookmarkStart w:id="1179" w:name="_Toc291852882"/>
      <w:bookmarkStart w:id="1180" w:name="_Toc392515868"/>
      <w:r w:rsidRPr="00CB6CBA">
        <w:rPr>
          <w:lang w:val="en-US"/>
        </w:rPr>
        <w:t>4.2</w:t>
      </w:r>
      <w:r w:rsidRPr="00CB6CBA">
        <w:rPr>
          <w:lang w:val="en-US"/>
        </w:rPr>
        <w:tab/>
        <w:t>Guidelines for the establishment of administrative fees (or administrative charges)</w:t>
      </w:r>
      <w:bookmarkEnd w:id="1175"/>
      <w:bookmarkEnd w:id="1176"/>
      <w:bookmarkEnd w:id="1177"/>
      <w:bookmarkEnd w:id="1178"/>
      <w:bookmarkEnd w:id="1179"/>
      <w:bookmarkEnd w:id="1180"/>
    </w:p>
    <w:p w:rsidR="00CA3B52" w:rsidRPr="00CB6CBA" w:rsidRDefault="00CA3B52" w:rsidP="00CA3B52">
      <w:pPr>
        <w:pStyle w:val="Heading3"/>
        <w:rPr>
          <w:lang w:val="en-US"/>
        </w:rPr>
      </w:pPr>
      <w:bookmarkStart w:id="1181" w:name="_Toc289868806"/>
      <w:bookmarkStart w:id="1182" w:name="_Toc289868966"/>
      <w:bookmarkStart w:id="1183" w:name="_Toc289932274"/>
      <w:bookmarkStart w:id="1184" w:name="_Toc289933320"/>
      <w:bookmarkStart w:id="1185" w:name="_Toc291852883"/>
      <w:bookmarkStart w:id="1186" w:name="_Toc392515869"/>
      <w:r w:rsidRPr="00CB6CBA">
        <w:rPr>
          <w:lang w:val="en-US"/>
        </w:rPr>
        <w:t>4.2.1</w:t>
      </w:r>
      <w:r w:rsidRPr="00CB6CBA">
        <w:rPr>
          <w:lang w:val="en-US"/>
        </w:rPr>
        <w:tab/>
        <w:t>Observations and general approaches</w:t>
      </w:r>
      <w:bookmarkEnd w:id="1181"/>
      <w:bookmarkEnd w:id="1182"/>
      <w:bookmarkEnd w:id="1183"/>
      <w:bookmarkEnd w:id="1184"/>
      <w:bookmarkEnd w:id="1185"/>
      <w:bookmarkEnd w:id="1186"/>
    </w:p>
    <w:p w:rsidR="00CA3B52" w:rsidRPr="00CB6CBA" w:rsidRDefault="00CA3B52" w:rsidP="00CA3B52">
      <w:pPr>
        <w:rPr>
          <w:lang w:val="en-US"/>
        </w:rPr>
      </w:pPr>
      <w:r w:rsidRPr="00CB6CBA">
        <w:rPr>
          <w:lang w:val="en-US"/>
        </w:rPr>
        <w:t>Administrative fees are intended to cover all of the costs:</w:t>
      </w:r>
    </w:p>
    <w:p w:rsidR="00CA3B52" w:rsidRPr="00CB6CBA" w:rsidRDefault="00CA3B52" w:rsidP="00CA3B52">
      <w:pPr>
        <w:pStyle w:val="enumlev1"/>
        <w:rPr>
          <w:lang w:val="en-US"/>
        </w:rPr>
      </w:pPr>
      <w:r w:rsidRPr="00CB6CBA">
        <w:rPr>
          <w:lang w:val="en-US"/>
        </w:rPr>
        <w:t>–</w:t>
      </w:r>
      <w:r w:rsidRPr="00CB6CBA">
        <w:rPr>
          <w:lang w:val="en-US"/>
        </w:rPr>
        <w:tab/>
        <w:t>of activities relating to spectrum planning, management and monitoring;</w:t>
      </w:r>
    </w:p>
    <w:p w:rsidR="00CA3B52" w:rsidRPr="00CB6CBA" w:rsidRDefault="00CA3B52" w:rsidP="00CA3B52">
      <w:pPr>
        <w:pStyle w:val="enumlev1"/>
        <w:rPr>
          <w:lang w:val="en-US"/>
        </w:rPr>
      </w:pPr>
      <w:r w:rsidRPr="00CB6CBA">
        <w:rPr>
          <w:lang w:val="en-US"/>
        </w:rPr>
        <w:t>–</w:t>
      </w:r>
      <w:r w:rsidRPr="00CB6CBA">
        <w:rPr>
          <w:lang w:val="en-US"/>
        </w:rPr>
        <w:tab/>
        <w:t>of activities carried out by the authorities and delegated entities in regard to the spectrum;</w:t>
      </w:r>
    </w:p>
    <w:p w:rsidR="00CA3B52" w:rsidRPr="00CB6CBA" w:rsidRDefault="00CA3B52" w:rsidP="00CA3B52">
      <w:pPr>
        <w:pStyle w:val="enumlev1"/>
        <w:rPr>
          <w:lang w:val="en-US"/>
        </w:rPr>
      </w:pPr>
      <w:r w:rsidRPr="00CB6CBA">
        <w:rPr>
          <w:lang w:val="en-US"/>
        </w:rPr>
        <w:t>–</w:t>
      </w:r>
      <w:r w:rsidRPr="00CB6CBA">
        <w:rPr>
          <w:lang w:val="en-US"/>
        </w:rPr>
        <w:tab/>
        <w:t>arising out of spectrum occupancy solely on the private side.</w:t>
      </w:r>
    </w:p>
    <w:p w:rsidR="00CA3B52" w:rsidRPr="00CB6CBA" w:rsidRDefault="00CA3B52" w:rsidP="00CA3B52">
      <w:pPr>
        <w:rPr>
          <w:lang w:val="en-US"/>
        </w:rPr>
      </w:pPr>
      <w:r w:rsidRPr="00CB6CBA">
        <w:rPr>
          <w:lang w:val="en-US"/>
        </w:rPr>
        <w:t xml:space="preserve">Such costs will hereinafter be referred to as </w:t>
      </w:r>
      <w:r>
        <w:rPr>
          <w:lang w:val="en-US"/>
        </w:rPr>
        <w:t>“</w:t>
      </w:r>
      <w:r w:rsidRPr="00CB6CBA">
        <w:rPr>
          <w:lang w:val="en-US"/>
        </w:rPr>
        <w:t>administrative costs</w:t>
      </w:r>
      <w:r>
        <w:rPr>
          <w:lang w:val="en-US"/>
        </w:rPr>
        <w:t>”</w:t>
      </w:r>
      <w:r w:rsidRPr="00CB6CBA">
        <w:rPr>
          <w:lang w:val="en-US"/>
        </w:rPr>
        <w:t xml:space="preserve">. The management function includes activities relating to the issuance of licences and authorizations for spectrum use and to the establishment and collection of the corresponding fees. Administrative costs are made up of staff costs, operational costs and the costs (amortization) of buildings and equipment corresponding to the aforementioned activities. By way of an example, the following entities may devote a more or </w:t>
      </w:r>
      <w:r w:rsidRPr="00CB6CBA">
        <w:rPr>
          <w:lang w:val="en-US"/>
        </w:rPr>
        <w:lastRenderedPageBreak/>
        <w:t xml:space="preserve">less significant part of their work to spectrum-related matters and should therefore be taken into account in the determination of administrative costs: spectrum manager(s), telecommunication market regulator, entity responsible for radio and television, ministry(ies) responsible for radio, television and telecommunications, ministry of foreign affairs. The fee levels are normally established for a period of one year. Where the frequency usage period is less than one year, the corresponding amounts are determined </w:t>
      </w:r>
      <w:r w:rsidRPr="00CB6CBA">
        <w:rPr>
          <w:i/>
          <w:iCs/>
          <w:lang w:val="en-US"/>
        </w:rPr>
        <w:t>pro rata temporis</w:t>
      </w:r>
      <w:r w:rsidRPr="00CB6CBA">
        <w:rPr>
          <w:lang w:val="en-US"/>
        </w:rPr>
        <w:t>. If they turn out to be less than the minimum collection rate it is the latter which applies (the minimum collection rate is the threshold below which the cost of collecting a fee would be higher than the fee itself). The total annual amount of the chargeable administrative fees should be as close as possible to the total annual amount of the administrative costs. The annual administrative costs should therefore be evaluated with a view to their allocation among all the users of assigned or allotted frequencies. Administrative costs can be relatively accurately determined through the use of a suitable cost accounting mechanism. At the end of each calendar or fiscal year, and in the event of a not insignificant variance between the amount of the fees payable and that of the administrative costs actually recorded, it is recommended that an adjustment be made to absorb that variance. For the purposes of allocating the amount of the administrative costs among those subject to the administrative fee, it is recommended that the allocation rule adopted be both simple and, wherever possible, representative of the administrative work done in respect of each of the fee payer categories.</w:t>
      </w:r>
    </w:p>
    <w:p w:rsidR="00CA3B52" w:rsidRPr="00CB6CBA" w:rsidRDefault="00CA3B52" w:rsidP="00CA3B52">
      <w:pPr>
        <w:pStyle w:val="Heading3"/>
        <w:rPr>
          <w:lang w:val="en-US"/>
        </w:rPr>
      </w:pPr>
      <w:bookmarkStart w:id="1187" w:name="_Toc289868807"/>
      <w:bookmarkStart w:id="1188" w:name="_Toc289868967"/>
      <w:bookmarkStart w:id="1189" w:name="_Toc289932275"/>
      <w:bookmarkStart w:id="1190" w:name="_Toc289933321"/>
      <w:bookmarkStart w:id="1191" w:name="_Toc291852884"/>
      <w:bookmarkStart w:id="1192" w:name="_Toc392515870"/>
      <w:r w:rsidRPr="00CB6CBA">
        <w:rPr>
          <w:lang w:val="en-US"/>
        </w:rPr>
        <w:t>4.2.2</w:t>
      </w:r>
      <w:r w:rsidRPr="00CB6CBA">
        <w:rPr>
          <w:lang w:val="en-US"/>
        </w:rPr>
        <w:tab/>
        <w:t>Rule for the allocation of administrative costs – Example 1</w:t>
      </w:r>
      <w:bookmarkEnd w:id="1187"/>
      <w:bookmarkEnd w:id="1188"/>
      <w:bookmarkEnd w:id="1189"/>
      <w:bookmarkEnd w:id="1190"/>
      <w:bookmarkEnd w:id="1191"/>
      <w:bookmarkEnd w:id="1192"/>
    </w:p>
    <w:p w:rsidR="00CA3B52" w:rsidRPr="00CB6CBA" w:rsidRDefault="00CA3B52" w:rsidP="00CA3B52">
      <w:pPr>
        <w:rPr>
          <w:lang w:val="en-US"/>
        </w:rPr>
      </w:pPr>
      <w:r w:rsidRPr="00CB6CBA">
        <w:rPr>
          <w:lang w:val="en-US"/>
        </w:rPr>
        <w:t>The annual administrative costs are allocated among all those su</w:t>
      </w:r>
      <w:r w:rsidR="00056D0F">
        <w:rPr>
          <w:lang w:val="en-US"/>
        </w:rPr>
        <w:t>bject to the management fee, in </w:t>
      </w:r>
      <w:r w:rsidRPr="00CB6CBA">
        <w:rPr>
          <w:lang w:val="en-US"/>
        </w:rPr>
        <w:t>proportion to their respective turnover.</w:t>
      </w:r>
    </w:p>
    <w:p w:rsidR="00CA3B52" w:rsidRDefault="00CA3B52" w:rsidP="00CA3B52">
      <w:pPr>
        <w:rPr>
          <w:bCs/>
          <w:szCs w:val="24"/>
          <w:lang w:val="en-US"/>
        </w:rPr>
      </w:pPr>
      <w:r w:rsidRPr="00CB6CBA">
        <w:rPr>
          <w:lang w:val="en-US"/>
        </w:rPr>
        <w:t xml:space="preserve">Thus, for a fee payer whose turnover is equal to </w:t>
      </w:r>
      <w:r w:rsidRPr="00CB6CBA">
        <w:rPr>
          <w:i/>
          <w:iCs/>
          <w:lang w:val="en-US"/>
        </w:rPr>
        <w:t>CA</w:t>
      </w:r>
      <w:r w:rsidRPr="00CB6CBA">
        <w:rPr>
          <w:lang w:val="en-US"/>
        </w:rPr>
        <w:t xml:space="preserve">, the annual amount of the administrative fee </w:t>
      </w:r>
      <w:r w:rsidRPr="00CB6CBA">
        <w:rPr>
          <w:i/>
          <w:iCs/>
          <w:lang w:val="en-US"/>
        </w:rPr>
        <w:t xml:space="preserve">Ra </w:t>
      </w:r>
      <w:r w:rsidRPr="00CB6CBA">
        <w:rPr>
          <w:lang w:val="en-US"/>
        </w:rPr>
        <w:t xml:space="preserve">for the year in question is equal to the product of </w:t>
      </w:r>
      <w:r w:rsidRPr="00776E34">
        <w:rPr>
          <w:bCs/>
          <w:iCs/>
          <w:szCs w:val="24"/>
          <w:lang w:val="en-US"/>
        </w:rPr>
        <w:t>administrative costs for the year in question with sum</w:t>
      </w:r>
      <w:r w:rsidRPr="0024702C">
        <w:rPr>
          <w:bCs/>
          <w:iCs/>
          <w:szCs w:val="24"/>
          <w:lang w:val="en-US"/>
        </w:rPr>
        <w:t xml:space="preserve"> of the turnovers of each of the fee payers for the year in question</w:t>
      </w:r>
      <w:r w:rsidRPr="00CB6CBA">
        <w:rPr>
          <w:bCs/>
          <w:iCs/>
          <w:szCs w:val="24"/>
          <w:lang w:val="en-US"/>
        </w:rPr>
        <w:t>.</w:t>
      </w:r>
    </w:p>
    <w:p w:rsidR="00CA3B52" w:rsidRPr="00CB6CBA" w:rsidRDefault="00CA3B52" w:rsidP="00CA3B52">
      <w:pPr>
        <w:rPr>
          <w:lang w:val="en-US"/>
        </w:rPr>
      </w:pPr>
      <w:r w:rsidRPr="00CB6CBA">
        <w:rPr>
          <w:lang w:val="en-US"/>
        </w:rPr>
        <w:t>While this rule has the advantage of being simple, it may prove particularly harsh for fee payers operating only a private radio network and whose industrial or commercial activities are significant but not associated with the frequency domain, since they could end up having to pay a fee that is much higher than the cost of the service provided.</w:t>
      </w:r>
    </w:p>
    <w:p w:rsidR="00CA3B52" w:rsidRPr="00CB6CBA" w:rsidRDefault="00CA3B52" w:rsidP="00CA3B52">
      <w:pPr>
        <w:rPr>
          <w:bCs/>
          <w:szCs w:val="24"/>
          <w:lang w:val="en-US"/>
        </w:rPr>
      </w:pPr>
      <w:r w:rsidRPr="00CB6CBA">
        <w:rPr>
          <w:bCs/>
          <w:szCs w:val="24"/>
          <w:lang w:val="en-US"/>
        </w:rPr>
        <w:t xml:space="preserve">This rule could be used in cases where it is not possible to implement the rule described in </w:t>
      </w:r>
      <w:r>
        <w:rPr>
          <w:bCs/>
          <w:szCs w:val="24"/>
          <w:lang w:val="en-US"/>
        </w:rPr>
        <w:t>§</w:t>
      </w:r>
      <w:r w:rsidRPr="00CB6CBA">
        <w:rPr>
          <w:bCs/>
          <w:szCs w:val="24"/>
          <w:lang w:val="en-US"/>
        </w:rPr>
        <w:t> 4.3.</w:t>
      </w:r>
    </w:p>
    <w:p w:rsidR="00CA3B52" w:rsidRPr="00CB6CBA" w:rsidRDefault="00CA3B52" w:rsidP="00CA3B52">
      <w:pPr>
        <w:pStyle w:val="Heading3"/>
        <w:rPr>
          <w:lang w:val="en-US"/>
        </w:rPr>
      </w:pPr>
      <w:bookmarkStart w:id="1193" w:name="_Toc289868808"/>
      <w:bookmarkStart w:id="1194" w:name="_Toc289868968"/>
      <w:bookmarkStart w:id="1195" w:name="_Toc289932276"/>
      <w:bookmarkStart w:id="1196" w:name="_Toc289933322"/>
      <w:bookmarkStart w:id="1197" w:name="_Toc291852885"/>
      <w:bookmarkStart w:id="1198" w:name="_Toc392515871"/>
      <w:r>
        <w:rPr>
          <w:lang w:val="en-US"/>
        </w:rPr>
        <w:t>4.2.3</w:t>
      </w:r>
      <w:r w:rsidRPr="00CB6CBA">
        <w:rPr>
          <w:lang w:val="en-US"/>
        </w:rPr>
        <w:tab/>
        <w:t>Rule for the allocation of administrative costs – Example 2</w:t>
      </w:r>
      <w:bookmarkEnd w:id="1193"/>
      <w:bookmarkEnd w:id="1194"/>
      <w:bookmarkEnd w:id="1195"/>
      <w:bookmarkEnd w:id="1196"/>
      <w:bookmarkEnd w:id="1197"/>
      <w:bookmarkEnd w:id="1198"/>
    </w:p>
    <w:p w:rsidR="00CA3B52" w:rsidRPr="00CB6CBA" w:rsidRDefault="00CA3B52" w:rsidP="00CA3B52">
      <w:pPr>
        <w:rPr>
          <w:lang w:val="en-US"/>
        </w:rPr>
      </w:pPr>
      <w:r w:rsidRPr="00CB6CBA">
        <w:rPr>
          <w:lang w:val="en-US"/>
        </w:rPr>
        <w:t>Administrative costs are allocated in proportion to the number of assignments and number of allotments allocated, respectively, to each of those subject to the management fee. In practice, this rule calls for the determination of two reference monetary values corresponding, respectively, to the amount of the administrative fee for an assigned frequency (G) and to the amount of the administrative fee for an allotted 1 MHz frequency band (G’). The determination of G and G’ is such that it should be possible to get as close as possible to the following equation for a given year:</w:t>
      </w:r>
    </w:p>
    <w:p w:rsidR="00CA3B52" w:rsidRPr="00776E34" w:rsidRDefault="00CA3B52" w:rsidP="00CA3B52">
      <w:pPr>
        <w:pStyle w:val="Equation"/>
        <w:jc w:val="center"/>
        <w:rPr>
          <w:lang w:val="en-US"/>
        </w:rPr>
      </w:pPr>
      <w:r w:rsidRPr="00776E34">
        <w:rPr>
          <w:rStyle w:val="enumlev1Char"/>
          <w:lang w:val="en-US"/>
        </w:rPr>
        <w:t>Administrative costs = total number of frequencies assigned throughout the territory * G</w:t>
      </w:r>
      <w:r w:rsidRPr="00776E34">
        <w:rPr>
          <w:rStyle w:val="enumlev1Char"/>
          <w:lang w:val="en-US"/>
        </w:rPr>
        <w:br/>
      </w:r>
      <w:r w:rsidRPr="00776E34">
        <w:rPr>
          <w:rStyle w:val="enumlev1Char"/>
          <w:lang w:val="en-US"/>
        </w:rPr>
        <w:tab/>
        <w:t>+ total number of MHz allotted throughout the territory * G’</w:t>
      </w:r>
      <w:r w:rsidRPr="00776E34">
        <w:rPr>
          <w:lang w:val="en-US"/>
        </w:rPr>
        <w:tab/>
        <w:t>(5</w:t>
      </w:r>
      <w:r w:rsidRPr="00D8694B">
        <w:rPr>
          <w:i/>
          <w:iCs/>
          <w:lang w:val="en-US"/>
        </w:rPr>
        <w:t>bis</w:t>
      </w:r>
      <w:r w:rsidRPr="00776E34">
        <w:rPr>
          <w:lang w:val="en-US"/>
        </w:rPr>
        <w:t>)</w:t>
      </w:r>
    </w:p>
    <w:p w:rsidR="00CA3B52" w:rsidRPr="00CB6CBA" w:rsidRDefault="00CA3B52" w:rsidP="00CA3B52">
      <w:pPr>
        <w:rPr>
          <w:lang w:val="en-US"/>
        </w:rPr>
      </w:pPr>
      <w:r w:rsidRPr="00CB6CBA">
        <w:rPr>
          <w:lang w:val="en-US"/>
        </w:rPr>
        <w:t xml:space="preserve">By way of an example, a fee payer with 50 assigned frequencies and an allotment of 20 MHz will pay an annual administrative fee </w:t>
      </w:r>
      <w:r w:rsidRPr="00CB6CBA">
        <w:rPr>
          <w:i/>
          <w:iCs/>
          <w:lang w:val="en-US"/>
        </w:rPr>
        <w:t>Ra</w:t>
      </w:r>
      <w:r w:rsidRPr="00CB6CBA">
        <w:rPr>
          <w:lang w:val="en-US"/>
        </w:rPr>
        <w:t> amounting to:</w:t>
      </w:r>
    </w:p>
    <w:p w:rsidR="00CA3B52" w:rsidRDefault="00CA3B52" w:rsidP="00CA3B52">
      <w:pPr>
        <w:pStyle w:val="Blanc"/>
      </w:pPr>
    </w:p>
    <w:p w:rsidR="00CA3B52" w:rsidRDefault="00CA3B52" w:rsidP="00056D0F">
      <w:pPr>
        <w:pStyle w:val="Equation"/>
        <w:rPr>
          <w:lang w:val="en-US"/>
        </w:rPr>
      </w:pPr>
      <w:r>
        <w:rPr>
          <w:i/>
          <w:iCs/>
          <w:lang w:val="en-US"/>
        </w:rPr>
        <w:tab/>
      </w:r>
      <w:r>
        <w:rPr>
          <w:i/>
          <w:iCs/>
          <w:lang w:val="en-US"/>
        </w:rPr>
        <w:tab/>
      </w:r>
      <w:r w:rsidRPr="00CB6CBA">
        <w:rPr>
          <w:i/>
          <w:iCs/>
          <w:lang w:val="en-US"/>
        </w:rPr>
        <w:t xml:space="preserve">Ra </w:t>
      </w:r>
      <w:r w:rsidRPr="00CB6CBA">
        <w:rPr>
          <w:lang w:val="en-US"/>
        </w:rPr>
        <w:t>= 50 * G + 20 * G’</w:t>
      </w:r>
      <w:r w:rsidRPr="00CB6CBA">
        <w:rPr>
          <w:lang w:val="en-US"/>
        </w:rPr>
        <w:tab/>
        <w:t>(</w:t>
      </w:r>
      <w:r>
        <w:rPr>
          <w:lang w:val="en-US"/>
        </w:rPr>
        <w:t>6</w:t>
      </w:r>
      <w:r w:rsidRPr="00CB6CBA">
        <w:rPr>
          <w:lang w:val="en-US"/>
        </w:rPr>
        <w:t>)</w:t>
      </w:r>
    </w:p>
    <w:p w:rsidR="00CA3B52" w:rsidRPr="00CB6CBA" w:rsidRDefault="00CA3B52" w:rsidP="00CA3B52">
      <w:pPr>
        <w:rPr>
          <w:lang w:val="en-US"/>
        </w:rPr>
      </w:pPr>
      <w:r w:rsidRPr="00CB6CBA">
        <w:rPr>
          <w:lang w:val="en-US"/>
        </w:rPr>
        <w:t>In many cases, the administrative work relating to an allotment is greater than that for an assignment. It is therefore recommended that this be taken into account by giving greater weight to allotments when allocating the administrative costs, i.e. when determining G and G’.</w:t>
      </w:r>
    </w:p>
    <w:p w:rsidR="00CA3B52" w:rsidRPr="00CB6CBA" w:rsidRDefault="00CA3B52" w:rsidP="00CA3B52">
      <w:pPr>
        <w:rPr>
          <w:bCs/>
          <w:szCs w:val="24"/>
          <w:lang w:val="en-US"/>
        </w:rPr>
      </w:pPr>
      <w:r w:rsidRPr="00CB6CBA">
        <w:rPr>
          <w:bCs/>
          <w:szCs w:val="24"/>
          <w:lang w:val="en-US"/>
        </w:rPr>
        <w:lastRenderedPageBreak/>
        <w:t>The values of G and G’ can be easily determined through the use of a suitable cost accounting mechanism. This rule for the allocation of administrative costs has the advantage of reflecting quite well the service provided, since the necessary administrative work increases with the number of assigned frequencies and number of allotted MHz allocated to a given fee payer.</w:t>
      </w:r>
    </w:p>
    <w:p w:rsidR="00CA3B52" w:rsidRPr="00CB6CBA" w:rsidRDefault="00CA3B52" w:rsidP="00CA3B52">
      <w:pPr>
        <w:pStyle w:val="Heading2"/>
        <w:rPr>
          <w:bCs/>
          <w:lang w:val="en-US"/>
        </w:rPr>
      </w:pPr>
      <w:bookmarkStart w:id="1199" w:name="_Toc289868809"/>
      <w:bookmarkStart w:id="1200" w:name="_Toc289868969"/>
      <w:bookmarkStart w:id="1201" w:name="_Toc289932277"/>
      <w:bookmarkStart w:id="1202" w:name="_Toc289933323"/>
      <w:bookmarkStart w:id="1203" w:name="_Toc291852886"/>
      <w:bookmarkStart w:id="1204" w:name="_Toc392515872"/>
      <w:r w:rsidRPr="00CB6CBA">
        <w:rPr>
          <w:lang w:val="en-US"/>
        </w:rPr>
        <w:t>4.3</w:t>
      </w:r>
      <w:r w:rsidRPr="00CB6CBA">
        <w:rPr>
          <w:lang w:val="en-US"/>
        </w:rPr>
        <w:tab/>
        <w:t>Guidelines for the establishment of spectrum fees</w:t>
      </w:r>
      <w:bookmarkEnd w:id="1199"/>
      <w:bookmarkEnd w:id="1200"/>
      <w:bookmarkEnd w:id="1201"/>
      <w:bookmarkEnd w:id="1202"/>
      <w:bookmarkEnd w:id="1203"/>
      <w:bookmarkEnd w:id="1204"/>
    </w:p>
    <w:p w:rsidR="00CA3B52" w:rsidRPr="00CB6CBA" w:rsidRDefault="00CA3B52" w:rsidP="00CA3B52">
      <w:pPr>
        <w:rPr>
          <w:lang w:val="en-US"/>
        </w:rPr>
      </w:pPr>
      <w:r w:rsidRPr="00CB6CBA">
        <w:rPr>
          <w:lang w:val="en-US"/>
        </w:rPr>
        <w:t>There are five general steps to calculate the spectrum fees</w:t>
      </w:r>
      <w:r>
        <w:rPr>
          <w:rStyle w:val="FootnoteReference"/>
          <w:lang w:val="en-US"/>
        </w:rPr>
        <w:footnoteReference w:id="3"/>
      </w:r>
      <w:r w:rsidRPr="00CB6CBA">
        <w:rPr>
          <w:lang w:val="en-US"/>
        </w:rPr>
        <w:t>:</w:t>
      </w:r>
    </w:p>
    <w:p w:rsidR="00CA3B52" w:rsidRPr="00CB6CBA" w:rsidRDefault="00CA3B52" w:rsidP="00CA3B52">
      <w:pPr>
        <w:pStyle w:val="Heading3"/>
        <w:rPr>
          <w:lang w:val="en-US"/>
        </w:rPr>
      </w:pPr>
      <w:bookmarkStart w:id="1205" w:name="_Toc289868810"/>
      <w:bookmarkStart w:id="1206" w:name="_Toc289868970"/>
      <w:bookmarkStart w:id="1207" w:name="_Toc289932278"/>
      <w:bookmarkStart w:id="1208" w:name="_Toc289933324"/>
      <w:bookmarkStart w:id="1209" w:name="_Toc291852887"/>
      <w:bookmarkStart w:id="1210" w:name="_Toc392515873"/>
      <w:r w:rsidRPr="00CB6CBA">
        <w:rPr>
          <w:lang w:val="en-US"/>
        </w:rPr>
        <w:t>4.3.1</w:t>
      </w:r>
      <w:r w:rsidRPr="00CB6CBA">
        <w:rPr>
          <w:lang w:val="en-US"/>
        </w:rPr>
        <w:tab/>
        <w:t>Defining the goals of the spectrum fees</w:t>
      </w:r>
      <w:bookmarkEnd w:id="1205"/>
      <w:bookmarkEnd w:id="1206"/>
      <w:bookmarkEnd w:id="1207"/>
      <w:bookmarkEnd w:id="1208"/>
      <w:bookmarkEnd w:id="1209"/>
      <w:bookmarkEnd w:id="1210"/>
    </w:p>
    <w:p w:rsidR="00CA3B52" w:rsidRPr="00CB6CBA" w:rsidRDefault="00CA3B52" w:rsidP="00CA3B52">
      <w:pPr>
        <w:pStyle w:val="Heading4"/>
        <w:rPr>
          <w:lang w:val="en-US"/>
        </w:rPr>
      </w:pPr>
      <w:r w:rsidRPr="00CB6CBA">
        <w:rPr>
          <w:lang w:val="en-US"/>
        </w:rPr>
        <w:t>4.3.1.1</w:t>
      </w:r>
      <w:r w:rsidRPr="00CB6CBA">
        <w:rPr>
          <w:lang w:val="en-US"/>
        </w:rPr>
        <w:tab/>
        <w:t>Observations and general approaches</w:t>
      </w:r>
    </w:p>
    <w:p w:rsidR="00CA3B52" w:rsidRPr="00CB6CBA" w:rsidRDefault="00CA3B52" w:rsidP="00CA3B52">
      <w:pPr>
        <w:rPr>
          <w:lang w:val="en-US"/>
        </w:rPr>
      </w:pPr>
      <w:r w:rsidRPr="00CB6CBA">
        <w:rPr>
          <w:lang w:val="en-US"/>
        </w:rPr>
        <w:t>The spectrum fee system must respect, among other things, the economic principles described before. It must, moreover, also take account of the reality principles when identifying the set of parameters to be used as the basis for fee calculation.</w:t>
      </w:r>
    </w:p>
    <w:p w:rsidR="00CA3B52" w:rsidRPr="00CB6CBA" w:rsidRDefault="00CA3B52" w:rsidP="00CA3B52">
      <w:pPr>
        <w:pStyle w:val="Heading4"/>
        <w:rPr>
          <w:lang w:val="en-US"/>
        </w:rPr>
      </w:pPr>
      <w:r w:rsidRPr="00CB6CBA">
        <w:rPr>
          <w:lang w:val="en-US"/>
        </w:rPr>
        <w:t>4.3.1.2</w:t>
      </w:r>
      <w:r w:rsidRPr="00CB6CBA">
        <w:rPr>
          <w:lang w:val="en-US"/>
        </w:rPr>
        <w:tab/>
        <w:t>Budgetary objective of the authorities</w:t>
      </w:r>
    </w:p>
    <w:p w:rsidR="00CA3B52" w:rsidRPr="00CB6CBA" w:rsidRDefault="00CA3B52" w:rsidP="00CA3B52">
      <w:pPr>
        <w:rPr>
          <w:lang w:val="en-US"/>
        </w:rPr>
      </w:pPr>
      <w:r w:rsidRPr="00CB6CBA">
        <w:rPr>
          <w:lang w:val="en-US"/>
        </w:rPr>
        <w:t xml:space="preserve">Generally speaking, the budgetary objective is expressed in terms of the </w:t>
      </w:r>
      <w:r w:rsidRPr="0064519E">
        <w:rPr>
          <w:lang w:val="en-US"/>
        </w:rPr>
        <w:t xml:space="preserve">total </w:t>
      </w:r>
      <w:r w:rsidRPr="00CB6CBA">
        <w:rPr>
          <w:lang w:val="en-US"/>
        </w:rPr>
        <w:t>income amount that the fees must generate for the State. While adhering to the total income amount established by the authorities, it is recommended that the fee levels be adjusted according to the applications in question so as to ensure that the other three purposes of spectrum fees and are taken into account as fully as possible.</w:t>
      </w:r>
    </w:p>
    <w:p w:rsidR="00CA3B52" w:rsidRPr="00CB6CBA" w:rsidRDefault="00CA3B52" w:rsidP="00CA3B52">
      <w:pPr>
        <w:pStyle w:val="Heading4"/>
        <w:rPr>
          <w:lang w:val="en-US"/>
        </w:rPr>
      </w:pPr>
      <w:r w:rsidRPr="00CB6CBA">
        <w:rPr>
          <w:lang w:val="en-US"/>
        </w:rPr>
        <w:t>4.3.1.3</w:t>
      </w:r>
      <w:r w:rsidRPr="00CB6CBA">
        <w:rPr>
          <w:lang w:val="en-US"/>
        </w:rPr>
        <w:tab/>
        <w:t>Spectrum fees for frequencies intended for user</w:t>
      </w:r>
      <w:r>
        <w:rPr>
          <w:lang w:val="en-US"/>
        </w:rPr>
        <w:t>’</w:t>
      </w:r>
      <w:r w:rsidRPr="00CB6CBA">
        <w:rPr>
          <w:lang w:val="en-US"/>
        </w:rPr>
        <w:t>s own requirements</w:t>
      </w:r>
    </w:p>
    <w:p w:rsidR="00CA3B52" w:rsidRPr="00DE23E0" w:rsidRDefault="00CA3B52" w:rsidP="00CA3B52">
      <w:pPr>
        <w:pStyle w:val="Headingb"/>
        <w:rPr>
          <w:rFonts w:ascii="Times" w:hAnsi="Times"/>
          <w:lang w:val="en-US"/>
        </w:rPr>
      </w:pPr>
      <w:r w:rsidRPr="00DE23E0">
        <w:rPr>
          <w:rFonts w:ascii="Times" w:hAnsi="Times"/>
          <w:lang w:val="en-US"/>
        </w:rPr>
        <w:t>Observations and general approaches</w:t>
      </w:r>
    </w:p>
    <w:p w:rsidR="00CA3B52" w:rsidRPr="00CB6CBA" w:rsidRDefault="00CA3B52" w:rsidP="00CA3B52">
      <w:pPr>
        <w:rPr>
          <w:lang w:val="en-US"/>
        </w:rPr>
      </w:pPr>
      <w:r w:rsidRPr="00CB6CBA">
        <w:rPr>
          <w:lang w:val="en-US"/>
        </w:rPr>
        <w:t>Determination of the modalities for fee-setting should take account, first and foremost, of the factors as given earlier. In putting together the basis for fee calculation, it is recommended that only the minimum number of factors necessary for achieving the objectives of effective spectrum management and effective frequency utilization be used. Use of a simple calculation formula is recommended. Multiplication comes out as a very suitable formula for determining fee levels on the basis of the factors selected when putting together the calculation basis. For the purpose of adjusting fee levels according to applications, it is recommended to determine, respectively for each of the applications under consideration, a reference monetary value “k”, expressed in the prevailing currency. This “k” will then be one of the factors in the aforementioned multiplication.</w:t>
      </w:r>
    </w:p>
    <w:p w:rsidR="00CA3B52" w:rsidRPr="00CB6CBA" w:rsidRDefault="00CA3B52" w:rsidP="00CA3B52">
      <w:pPr>
        <w:pStyle w:val="Heading3"/>
        <w:rPr>
          <w:lang w:val="en-US"/>
        </w:rPr>
      </w:pPr>
      <w:bookmarkStart w:id="1211" w:name="_Toc289868811"/>
      <w:bookmarkStart w:id="1212" w:name="_Toc289868971"/>
      <w:bookmarkStart w:id="1213" w:name="_Toc289932279"/>
      <w:bookmarkStart w:id="1214" w:name="_Toc289933325"/>
      <w:bookmarkStart w:id="1215" w:name="_Toc291852888"/>
      <w:bookmarkStart w:id="1216" w:name="_Toc392515874"/>
      <w:r w:rsidRPr="00CB6CBA">
        <w:rPr>
          <w:lang w:val="en-US"/>
        </w:rPr>
        <w:t>4.3.2</w:t>
      </w:r>
      <w:r w:rsidRPr="00CB6CBA">
        <w:rPr>
          <w:lang w:val="en-US"/>
        </w:rPr>
        <w:tab/>
        <w:t>Demand assessment for the spectrum</w:t>
      </w:r>
      <w:bookmarkEnd w:id="1211"/>
      <w:bookmarkEnd w:id="1212"/>
      <w:bookmarkEnd w:id="1213"/>
      <w:bookmarkEnd w:id="1214"/>
      <w:bookmarkEnd w:id="1215"/>
      <w:bookmarkEnd w:id="1216"/>
    </w:p>
    <w:p w:rsidR="00CA3B52" w:rsidRPr="00CB6CBA" w:rsidRDefault="00CA3B52" w:rsidP="00CA3B52">
      <w:pPr>
        <w:rPr>
          <w:lang w:val="en-US"/>
        </w:rPr>
      </w:pPr>
      <w:r w:rsidRPr="00CB6CBA">
        <w:rPr>
          <w:lang w:val="en-US"/>
        </w:rPr>
        <w:t>In this step, the demand for each service should be tested in order to find out if there is excess demand of the spectrum by any service.</w:t>
      </w:r>
    </w:p>
    <w:p w:rsidR="00CA3B52" w:rsidRPr="00CB6CBA" w:rsidRDefault="00CA3B52" w:rsidP="00CA3B52">
      <w:pPr>
        <w:pStyle w:val="Heading3"/>
        <w:rPr>
          <w:szCs w:val="23"/>
          <w:lang w:val="en-US"/>
        </w:rPr>
      </w:pPr>
      <w:bookmarkStart w:id="1217" w:name="_Toc289868812"/>
      <w:bookmarkStart w:id="1218" w:name="_Toc289868972"/>
      <w:bookmarkStart w:id="1219" w:name="_Toc289932280"/>
      <w:bookmarkStart w:id="1220" w:name="_Toc289933326"/>
      <w:bookmarkStart w:id="1221" w:name="_Toc291852889"/>
      <w:bookmarkStart w:id="1222" w:name="_Toc392515875"/>
      <w:r w:rsidRPr="00CB6CBA">
        <w:rPr>
          <w:lang w:val="en-US"/>
        </w:rPr>
        <w:t>4.3.3</w:t>
      </w:r>
      <w:r w:rsidRPr="00CB6CBA">
        <w:rPr>
          <w:lang w:val="en-US"/>
        </w:rPr>
        <w:tab/>
        <w:t>Cost assessment for the spectrum</w:t>
      </w:r>
      <w:bookmarkEnd w:id="1217"/>
      <w:bookmarkEnd w:id="1218"/>
      <w:bookmarkEnd w:id="1219"/>
      <w:bookmarkEnd w:id="1220"/>
      <w:bookmarkEnd w:id="1221"/>
      <w:bookmarkEnd w:id="1222"/>
    </w:p>
    <w:p w:rsidR="00CA3B52" w:rsidRPr="00CB6CBA" w:rsidRDefault="00CA3B52" w:rsidP="00CA3B52">
      <w:pPr>
        <w:rPr>
          <w:lang w:val="en-US"/>
        </w:rPr>
      </w:pPr>
      <w:r w:rsidRPr="00CB6CBA">
        <w:rPr>
          <w:lang w:val="en-US"/>
        </w:rPr>
        <w:t>Cost of the spectrum could be considered as the cost of managing the spectrum which could include frequency assignment, site clearance, coordination and others according to the service type.</w:t>
      </w:r>
    </w:p>
    <w:p w:rsidR="00CA3B52" w:rsidRPr="00CB6CBA" w:rsidRDefault="00CA3B52" w:rsidP="00CA3B52">
      <w:pPr>
        <w:pStyle w:val="Heading3"/>
        <w:rPr>
          <w:lang w:val="en-US"/>
        </w:rPr>
      </w:pPr>
      <w:bookmarkStart w:id="1223" w:name="_Toc289868813"/>
      <w:bookmarkStart w:id="1224" w:name="_Toc289868973"/>
      <w:bookmarkStart w:id="1225" w:name="_Toc289932281"/>
      <w:bookmarkStart w:id="1226" w:name="_Toc289933327"/>
      <w:bookmarkStart w:id="1227" w:name="_Toc291852890"/>
      <w:bookmarkStart w:id="1228" w:name="_Toc392515876"/>
      <w:r w:rsidRPr="00CB6CBA">
        <w:rPr>
          <w:lang w:val="en-US"/>
        </w:rPr>
        <w:t>4.3.4</w:t>
      </w:r>
      <w:r w:rsidRPr="00CB6CBA">
        <w:rPr>
          <w:lang w:val="en-US"/>
        </w:rPr>
        <w:tab/>
        <w:t>Choosing the fees approach</w:t>
      </w:r>
      <w:bookmarkEnd w:id="1223"/>
      <w:bookmarkEnd w:id="1224"/>
      <w:bookmarkEnd w:id="1225"/>
      <w:bookmarkEnd w:id="1226"/>
      <w:bookmarkEnd w:id="1227"/>
      <w:bookmarkEnd w:id="1228"/>
    </w:p>
    <w:p w:rsidR="00CA3B52" w:rsidRPr="00CB6CBA" w:rsidRDefault="00CA3B52" w:rsidP="00CA3B52">
      <w:pPr>
        <w:rPr>
          <w:lang w:val="en-US"/>
        </w:rPr>
      </w:pPr>
      <w:r w:rsidRPr="00CB6CBA">
        <w:rPr>
          <w:lang w:val="en-US"/>
        </w:rPr>
        <w:t xml:space="preserve">The approach for calculating the fees can be chosen from </w:t>
      </w:r>
      <w:r>
        <w:rPr>
          <w:lang w:val="en-US"/>
        </w:rPr>
        <w:t>§ </w:t>
      </w:r>
      <w:r w:rsidRPr="00CB6CBA">
        <w:rPr>
          <w:lang w:val="en-US"/>
        </w:rPr>
        <w:t>2.3.4.</w:t>
      </w:r>
    </w:p>
    <w:p w:rsidR="00CA3B52" w:rsidRPr="00CB6CBA" w:rsidRDefault="00CA3B52" w:rsidP="00CA3B52">
      <w:pPr>
        <w:pStyle w:val="Heading3"/>
        <w:rPr>
          <w:rFonts w:ascii="Times-Roman" w:hAnsi="Times-Roman" w:cs="Times-Roman"/>
          <w:sz w:val="23"/>
          <w:szCs w:val="23"/>
          <w:lang w:val="en-US"/>
        </w:rPr>
      </w:pPr>
      <w:bookmarkStart w:id="1229" w:name="_Toc289868814"/>
      <w:bookmarkStart w:id="1230" w:name="_Toc289868974"/>
      <w:bookmarkStart w:id="1231" w:name="_Toc289932282"/>
      <w:bookmarkStart w:id="1232" w:name="_Toc289933328"/>
      <w:bookmarkStart w:id="1233" w:name="_Toc291852891"/>
      <w:bookmarkStart w:id="1234" w:name="_Toc392515877"/>
      <w:r w:rsidRPr="00CB6CBA">
        <w:rPr>
          <w:lang w:val="en-US"/>
        </w:rPr>
        <w:lastRenderedPageBreak/>
        <w:t>4.3.5</w:t>
      </w:r>
      <w:r w:rsidRPr="00CB6CBA">
        <w:rPr>
          <w:lang w:val="en-US"/>
        </w:rPr>
        <w:tab/>
        <w:t>Determining the fees</w:t>
      </w:r>
      <w:bookmarkEnd w:id="1229"/>
      <w:bookmarkEnd w:id="1230"/>
      <w:bookmarkEnd w:id="1231"/>
      <w:bookmarkEnd w:id="1232"/>
      <w:bookmarkEnd w:id="1233"/>
      <w:bookmarkEnd w:id="1234"/>
    </w:p>
    <w:p w:rsidR="00CA3B52" w:rsidRPr="00CB6CBA" w:rsidRDefault="00CA3B52" w:rsidP="00CA3B52">
      <w:pPr>
        <w:rPr>
          <w:lang w:val="en-US"/>
        </w:rPr>
      </w:pPr>
      <w:r w:rsidRPr="00CB6CBA">
        <w:rPr>
          <w:lang w:val="en-US"/>
        </w:rPr>
        <w:t>This step should be considered case by case by the administrations according to the different economic and political factors.</w:t>
      </w:r>
    </w:p>
    <w:p w:rsidR="00CA3B52" w:rsidRPr="00CB6CBA" w:rsidRDefault="00CA3B52" w:rsidP="00CA3B52">
      <w:pPr>
        <w:pStyle w:val="Heading2"/>
        <w:rPr>
          <w:lang w:val="en-US"/>
        </w:rPr>
      </w:pPr>
      <w:bookmarkStart w:id="1235" w:name="_Toc289868815"/>
      <w:bookmarkStart w:id="1236" w:name="_Toc289868975"/>
      <w:bookmarkStart w:id="1237" w:name="_Toc289932283"/>
      <w:bookmarkStart w:id="1238" w:name="_Toc289933329"/>
      <w:bookmarkStart w:id="1239" w:name="_Toc291852892"/>
      <w:bookmarkStart w:id="1240" w:name="_Toc392515878"/>
      <w:r w:rsidRPr="00CB6CBA">
        <w:rPr>
          <w:lang w:val="en-US"/>
        </w:rPr>
        <w:t>4.4</w:t>
      </w:r>
      <w:r w:rsidRPr="00CB6CBA">
        <w:rPr>
          <w:lang w:val="en-US"/>
        </w:rPr>
        <w:tab/>
        <w:t>Examples of formulas for fee calculation</w:t>
      </w:r>
      <w:bookmarkEnd w:id="1235"/>
      <w:bookmarkEnd w:id="1236"/>
      <w:bookmarkEnd w:id="1237"/>
      <w:bookmarkEnd w:id="1238"/>
      <w:bookmarkEnd w:id="1239"/>
      <w:bookmarkEnd w:id="1240"/>
    </w:p>
    <w:p w:rsidR="00CA3B52" w:rsidRPr="00CB6CBA" w:rsidRDefault="00CA3B52" w:rsidP="00CA3B52">
      <w:pPr>
        <w:pStyle w:val="Heading3"/>
        <w:rPr>
          <w:lang w:val="en-US"/>
        </w:rPr>
      </w:pPr>
      <w:bookmarkStart w:id="1241" w:name="_Toc289868816"/>
      <w:bookmarkStart w:id="1242" w:name="_Toc289868976"/>
      <w:bookmarkStart w:id="1243" w:name="_Toc289932284"/>
      <w:bookmarkStart w:id="1244" w:name="_Toc289933330"/>
      <w:bookmarkStart w:id="1245" w:name="_Toc291852893"/>
      <w:bookmarkStart w:id="1246" w:name="_Toc392515879"/>
      <w:r>
        <w:rPr>
          <w:lang w:val="en-US"/>
        </w:rPr>
        <w:t>4.4.1</w:t>
      </w:r>
      <w:r w:rsidRPr="00CB6CBA">
        <w:rPr>
          <w:lang w:val="en-US"/>
        </w:rPr>
        <w:tab/>
        <w:t>Notations and definitions of coefficients</w:t>
      </w:r>
      <w:bookmarkEnd w:id="1241"/>
      <w:bookmarkEnd w:id="1242"/>
      <w:bookmarkEnd w:id="1243"/>
      <w:bookmarkEnd w:id="1244"/>
      <w:bookmarkEnd w:id="1245"/>
      <w:bookmarkEnd w:id="1246"/>
    </w:p>
    <w:p w:rsidR="00CA3B52" w:rsidRPr="00CB6CBA" w:rsidRDefault="00CA3B52" w:rsidP="00CA3B52">
      <w:pPr>
        <w:rPr>
          <w:lang w:val="en-US"/>
        </w:rPr>
      </w:pPr>
      <w:r w:rsidRPr="00CB6CBA">
        <w:rPr>
          <w:lang w:val="en-US"/>
        </w:rPr>
        <w:t>The coefficients defined below are used in the examples of formulas for calculating fee amounts:</w:t>
      </w:r>
    </w:p>
    <w:p w:rsidR="00CA3B52" w:rsidRPr="00CB6CBA" w:rsidRDefault="00CA3B52" w:rsidP="00CA3B52">
      <w:pPr>
        <w:pStyle w:val="enumlev1"/>
        <w:rPr>
          <w:lang w:val="en-US"/>
        </w:rPr>
      </w:pPr>
      <w:r w:rsidRPr="00CB6CBA">
        <w:rPr>
          <w:lang w:val="en-US"/>
        </w:rPr>
        <w:t>–</w:t>
      </w:r>
      <w:r w:rsidRPr="00CB6CBA">
        <w:rPr>
          <w:lang w:val="en-US"/>
        </w:rPr>
        <w:tab/>
        <w:t>The coefficient “L” represents the allocated bandwidth.</w:t>
      </w:r>
    </w:p>
    <w:p w:rsidR="00CA3B52" w:rsidRPr="00CB6CBA" w:rsidRDefault="00CA3B52" w:rsidP="00CA3B52">
      <w:pPr>
        <w:pStyle w:val="enumlev1"/>
        <w:rPr>
          <w:lang w:val="en-US"/>
        </w:rPr>
      </w:pPr>
      <w:r w:rsidRPr="00CB6CBA">
        <w:rPr>
          <w:lang w:val="en-US"/>
        </w:rPr>
        <w:t>–</w:t>
      </w:r>
      <w:r w:rsidRPr="00CB6CBA">
        <w:rPr>
          <w:lang w:val="en-US"/>
        </w:rPr>
        <w:tab/>
        <w:t xml:space="preserve">The coefficient “bf” expresses the position within the spectrum of the frequency or allocated frequency band. In practice, a table is established giving, for each block of frequencies under consideration, the value of the corresponding “bf” coefficient. </w:t>
      </w:r>
    </w:p>
    <w:p w:rsidR="00CA3B52" w:rsidRPr="00CB6CBA" w:rsidRDefault="00CA3B52" w:rsidP="00CA3B52">
      <w:pPr>
        <w:pStyle w:val="enumlev1"/>
        <w:rPr>
          <w:lang w:val="en-US"/>
        </w:rPr>
      </w:pPr>
      <w:r w:rsidRPr="00CB6CBA">
        <w:rPr>
          <w:lang w:val="en-US"/>
        </w:rPr>
        <w:t>–</w:t>
      </w:r>
      <w:r w:rsidRPr="00CB6CBA">
        <w:rPr>
          <w:lang w:val="en-US"/>
        </w:rPr>
        <w:tab/>
        <w:t xml:space="preserve">The coefficient “a” expresses the frequency usage authorizations by allotment. </w:t>
      </w:r>
    </w:p>
    <w:p w:rsidR="00CA3B52" w:rsidRPr="00CB6CBA" w:rsidRDefault="00CA3B52" w:rsidP="00CA3B52">
      <w:pPr>
        <w:pStyle w:val="enumlev1"/>
        <w:rPr>
          <w:lang w:val="en-US"/>
        </w:rPr>
      </w:pPr>
      <w:r w:rsidRPr="00CB6CBA">
        <w:rPr>
          <w:lang w:val="en-US"/>
        </w:rPr>
        <w:t>–</w:t>
      </w:r>
      <w:r w:rsidRPr="00CB6CBA">
        <w:rPr>
          <w:lang w:val="en-US"/>
        </w:rPr>
        <w:tab/>
        <w:t xml:space="preserve">The coefficient “c” expresses the surface area covered by the frequency usage authorization. Generally speaking, the surface over which an assignment is allocated constitutes a disk with the station in question at its centre and with a radius equal to the maximum distance over which the assigned frequency may be utilized in cases where the station antenna is omnidirectional, or a segment of that disk corresponding to the angular width of the antenna in cases where it is directional. In practice, a table is established giving the value of coefficient “c” corresponding to the values of the surfaces considered. Such a table has the advantage of correcting the very wide range of fee amounts that would have been obtained by direct consideration of the area of the allocation surface. </w:t>
      </w:r>
    </w:p>
    <w:p w:rsidR="00CA3B52" w:rsidRPr="00CB6CBA" w:rsidRDefault="00CA3B52" w:rsidP="00CA3B52">
      <w:pPr>
        <w:pStyle w:val="enumlev1"/>
        <w:rPr>
          <w:lang w:val="en-US"/>
        </w:rPr>
      </w:pPr>
      <w:r w:rsidRPr="00CB6CBA">
        <w:rPr>
          <w:lang w:val="en-US"/>
        </w:rPr>
        <w:t>–</w:t>
      </w:r>
      <w:r w:rsidRPr="00CB6CBA">
        <w:rPr>
          <w:lang w:val="en-US"/>
        </w:rPr>
        <w:tab/>
        <w:t>The coefficients “k1”, “k2”, “k3” and “k4” are reference monetary values that are specific to the applications in question. When setting these values, priority consideration should be given to enable achievement of the budgetary objective set by the authorities; and not to clash with the economic objectives of the authorities in regard to national development and the development of new services</w:t>
      </w:r>
      <w:r>
        <w:rPr>
          <w:lang w:val="en-US"/>
        </w:rPr>
        <w:t>.</w:t>
      </w:r>
    </w:p>
    <w:p w:rsidR="00CA3B52" w:rsidRPr="00CB6CBA" w:rsidRDefault="00CA3B52" w:rsidP="00CA3B52">
      <w:pPr>
        <w:pStyle w:val="Heading3"/>
        <w:rPr>
          <w:lang w:val="en-US"/>
        </w:rPr>
      </w:pPr>
      <w:bookmarkStart w:id="1247" w:name="_Toc289868817"/>
      <w:bookmarkStart w:id="1248" w:name="_Toc289868977"/>
      <w:bookmarkStart w:id="1249" w:name="_Toc289932285"/>
      <w:bookmarkStart w:id="1250" w:name="_Toc289933331"/>
      <w:bookmarkStart w:id="1251" w:name="_Toc291852894"/>
      <w:bookmarkStart w:id="1252" w:name="_Toc392515880"/>
      <w:r w:rsidRPr="00CB6CBA">
        <w:rPr>
          <w:lang w:val="en-US"/>
        </w:rPr>
        <w:t xml:space="preserve">4.4.2 </w:t>
      </w:r>
      <w:r w:rsidRPr="00CB6CBA">
        <w:rPr>
          <w:lang w:val="en-US"/>
        </w:rPr>
        <w:tab/>
        <w:t>Fee applied to a point-to-point fixed-service assignment</w:t>
      </w:r>
      <w:bookmarkEnd w:id="1247"/>
      <w:bookmarkEnd w:id="1248"/>
      <w:bookmarkEnd w:id="1249"/>
      <w:bookmarkEnd w:id="1250"/>
      <w:bookmarkEnd w:id="1251"/>
      <w:bookmarkEnd w:id="1252"/>
    </w:p>
    <w:p w:rsidR="00CA3B52" w:rsidRPr="00CB6CBA" w:rsidRDefault="00CA3B52" w:rsidP="00CA3B52">
      <w:pPr>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t>Rs = L * bf * k1</w:t>
      </w:r>
      <w:r w:rsidRPr="00CB6CBA">
        <w:rPr>
          <w:lang w:val="en-US"/>
        </w:rPr>
        <w:tab/>
        <w:t>(</w:t>
      </w:r>
      <w:r>
        <w:rPr>
          <w:lang w:val="en-US"/>
        </w:rPr>
        <w:t>7</w:t>
      </w:r>
      <w:r w:rsidRPr="00CB6CBA">
        <w:rPr>
          <w:lang w:val="en-US"/>
        </w:rPr>
        <w:t>)</w:t>
      </w:r>
    </w:p>
    <w:p w:rsidR="00CA3B52" w:rsidRDefault="00CA3B52" w:rsidP="00CA3B52">
      <w:pPr>
        <w:pStyle w:val="Blanc"/>
      </w:pPr>
    </w:p>
    <w:p w:rsidR="00CA3B52" w:rsidRPr="00CB6CBA" w:rsidRDefault="00CA3B52" w:rsidP="00CA3B52">
      <w:pPr>
        <w:pStyle w:val="Heading3"/>
        <w:rPr>
          <w:lang w:val="en-US"/>
        </w:rPr>
      </w:pPr>
      <w:bookmarkStart w:id="1253" w:name="_Toc289868818"/>
      <w:bookmarkStart w:id="1254" w:name="_Toc289868978"/>
      <w:bookmarkStart w:id="1255" w:name="_Toc289932286"/>
      <w:bookmarkStart w:id="1256" w:name="_Toc289933332"/>
      <w:bookmarkStart w:id="1257" w:name="_Toc291852895"/>
      <w:bookmarkStart w:id="1258" w:name="_Toc392515881"/>
      <w:r w:rsidRPr="00CB6CBA">
        <w:rPr>
          <w:lang w:val="en-US"/>
        </w:rPr>
        <w:t xml:space="preserve">4.4.3 </w:t>
      </w:r>
      <w:r w:rsidRPr="00CB6CBA">
        <w:rPr>
          <w:lang w:val="en-US"/>
        </w:rPr>
        <w:tab/>
        <w:t>Fee applied to a point-to-point fixed-service allotment</w:t>
      </w:r>
      <w:bookmarkEnd w:id="1253"/>
      <w:bookmarkEnd w:id="1254"/>
      <w:bookmarkEnd w:id="1255"/>
      <w:bookmarkEnd w:id="1256"/>
      <w:bookmarkEnd w:id="1257"/>
      <w:bookmarkEnd w:id="1258"/>
    </w:p>
    <w:p w:rsidR="00CA3B52" w:rsidRPr="00CB6CBA" w:rsidRDefault="00CA3B52" w:rsidP="00CA3B52">
      <w:pPr>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t>Rs = L * bf * a * c * k1</w:t>
      </w:r>
      <w:r w:rsidRPr="00CB6CBA">
        <w:rPr>
          <w:lang w:val="en-US"/>
        </w:rPr>
        <w:tab/>
        <w:t>(</w:t>
      </w:r>
      <w:r>
        <w:rPr>
          <w:lang w:val="en-US"/>
        </w:rPr>
        <w:t>8</w:t>
      </w:r>
      <w:r w:rsidRPr="00CB6CBA">
        <w:rPr>
          <w:lang w:val="en-US"/>
        </w:rPr>
        <w:t>)</w:t>
      </w:r>
    </w:p>
    <w:p w:rsidR="00CA3B52" w:rsidRDefault="00CA3B52" w:rsidP="00CA3B52">
      <w:pPr>
        <w:pStyle w:val="Blanc"/>
      </w:pPr>
    </w:p>
    <w:p w:rsidR="00CA3B52" w:rsidRPr="00CB6CBA" w:rsidRDefault="00CA3B52" w:rsidP="00CA3B52">
      <w:pPr>
        <w:rPr>
          <w:lang w:val="en-US"/>
        </w:rPr>
      </w:pPr>
      <w:r w:rsidRPr="00CB6CBA">
        <w:rPr>
          <w:lang w:val="en-US"/>
        </w:rPr>
        <w:t>where “c” is the ratio between the surface area covered by the allotment and the total surface area of the national territory.</w:t>
      </w:r>
    </w:p>
    <w:p w:rsidR="00CA3B52" w:rsidRPr="00CB6CBA" w:rsidRDefault="00CA3B52" w:rsidP="00CA3B52">
      <w:pPr>
        <w:pStyle w:val="Heading3"/>
        <w:rPr>
          <w:lang w:val="en-US"/>
        </w:rPr>
      </w:pPr>
      <w:bookmarkStart w:id="1259" w:name="_Toc289868819"/>
      <w:bookmarkStart w:id="1260" w:name="_Toc289868979"/>
      <w:bookmarkStart w:id="1261" w:name="_Toc289932287"/>
      <w:bookmarkStart w:id="1262" w:name="_Toc289933333"/>
      <w:bookmarkStart w:id="1263" w:name="_Toc291852896"/>
      <w:bookmarkStart w:id="1264" w:name="_Toc392515882"/>
      <w:r w:rsidRPr="00CB6CBA">
        <w:rPr>
          <w:lang w:val="en-US"/>
        </w:rPr>
        <w:t>4.4.4</w:t>
      </w:r>
      <w:r w:rsidRPr="00CB6CBA">
        <w:rPr>
          <w:lang w:val="en-US"/>
        </w:rPr>
        <w:tab/>
        <w:t>Fee applied to a wireless local loop allotment in the fixed service</w:t>
      </w:r>
      <w:bookmarkEnd w:id="1259"/>
      <w:bookmarkEnd w:id="1260"/>
      <w:bookmarkEnd w:id="1261"/>
      <w:bookmarkEnd w:id="1262"/>
      <w:bookmarkEnd w:id="1263"/>
      <w:bookmarkEnd w:id="1264"/>
    </w:p>
    <w:p w:rsidR="00CA3B52" w:rsidRPr="00CB6CBA" w:rsidRDefault="00CA3B52" w:rsidP="00CA3B52">
      <w:pPr>
        <w:keepNext/>
        <w:keepLines/>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t>Rs = L * bf * a * c * k2</w:t>
      </w:r>
      <w:r w:rsidRPr="00CB6CBA">
        <w:rPr>
          <w:lang w:val="en-US"/>
        </w:rPr>
        <w:tab/>
        <w:t>(</w:t>
      </w:r>
      <w:r>
        <w:rPr>
          <w:lang w:val="en-US"/>
        </w:rPr>
        <w:t>9</w:t>
      </w:r>
      <w:r w:rsidRPr="00CB6CBA">
        <w:rPr>
          <w:lang w:val="en-US"/>
        </w:rPr>
        <w:t>)</w:t>
      </w:r>
    </w:p>
    <w:p w:rsidR="00CA3B52" w:rsidRPr="00CB6CBA" w:rsidRDefault="00CA3B52" w:rsidP="00CA3B52">
      <w:pPr>
        <w:rPr>
          <w:lang w:val="en-US"/>
        </w:rPr>
      </w:pPr>
      <w:r w:rsidRPr="00CB6CBA">
        <w:rPr>
          <w:lang w:val="en-US"/>
        </w:rPr>
        <w:t>where “c” is the ratio between the surface area covered by the allotment and the total surface area of the national territory.</w:t>
      </w:r>
    </w:p>
    <w:p w:rsidR="00CA3B52" w:rsidRPr="00CB6CBA" w:rsidRDefault="00CA3B52" w:rsidP="00CA3B52">
      <w:pPr>
        <w:pStyle w:val="Heading3"/>
        <w:rPr>
          <w:lang w:val="en-US"/>
        </w:rPr>
      </w:pPr>
      <w:bookmarkStart w:id="1265" w:name="_Toc289868820"/>
      <w:bookmarkStart w:id="1266" w:name="_Toc289868980"/>
      <w:bookmarkStart w:id="1267" w:name="_Toc289932288"/>
      <w:bookmarkStart w:id="1268" w:name="_Toc289933334"/>
      <w:bookmarkStart w:id="1269" w:name="_Toc291852897"/>
      <w:bookmarkStart w:id="1270" w:name="_Toc392515883"/>
      <w:r w:rsidRPr="00CB6CBA">
        <w:rPr>
          <w:lang w:val="en-US"/>
        </w:rPr>
        <w:lastRenderedPageBreak/>
        <w:t>4.4.5</w:t>
      </w:r>
      <w:r w:rsidRPr="00CB6CBA">
        <w:rPr>
          <w:lang w:val="en-US"/>
        </w:rPr>
        <w:tab/>
        <w:t>Fee applied to an assignment to an earth station in the fixed or mobile-satellite service</w:t>
      </w:r>
      <w:bookmarkEnd w:id="1265"/>
      <w:bookmarkEnd w:id="1266"/>
      <w:bookmarkEnd w:id="1267"/>
      <w:bookmarkEnd w:id="1268"/>
      <w:bookmarkEnd w:id="1269"/>
      <w:bookmarkEnd w:id="1270"/>
    </w:p>
    <w:p w:rsidR="00CA3B52" w:rsidRPr="00CB6CBA" w:rsidRDefault="00CA3B52" w:rsidP="00CA3B52">
      <w:pPr>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t>Rs = L * bf * k3</w:t>
      </w:r>
      <w:r w:rsidRPr="00CB6CBA">
        <w:rPr>
          <w:lang w:val="en-US"/>
        </w:rPr>
        <w:tab/>
        <w:t>(</w:t>
      </w:r>
      <w:r>
        <w:rPr>
          <w:lang w:val="en-US"/>
        </w:rPr>
        <w:t>10</w:t>
      </w:r>
      <w:r w:rsidRPr="00CB6CBA">
        <w:rPr>
          <w:lang w:val="en-US"/>
        </w:rPr>
        <w:t>)</w:t>
      </w:r>
    </w:p>
    <w:p w:rsidR="00CA3B52" w:rsidRDefault="00CA3B52" w:rsidP="00CA3B52">
      <w:pPr>
        <w:pStyle w:val="Blanc"/>
      </w:pPr>
    </w:p>
    <w:p w:rsidR="00CA3B52" w:rsidRPr="00CB6CBA" w:rsidRDefault="00CA3B52" w:rsidP="00CA3B52">
      <w:pPr>
        <w:pStyle w:val="Heading3"/>
        <w:rPr>
          <w:lang w:val="en-US"/>
        </w:rPr>
      </w:pPr>
      <w:bookmarkStart w:id="1271" w:name="_Toc289868821"/>
      <w:bookmarkStart w:id="1272" w:name="_Toc289868981"/>
      <w:bookmarkStart w:id="1273" w:name="_Toc289932289"/>
      <w:bookmarkStart w:id="1274" w:name="_Toc289933335"/>
      <w:bookmarkStart w:id="1275" w:name="_Toc291852898"/>
      <w:bookmarkStart w:id="1276" w:name="_Toc392515884"/>
      <w:r w:rsidRPr="00CB6CBA">
        <w:rPr>
          <w:lang w:val="en-US"/>
        </w:rPr>
        <w:t>4.4.6</w:t>
      </w:r>
      <w:r w:rsidRPr="00CB6CBA">
        <w:rPr>
          <w:lang w:val="en-US"/>
        </w:rPr>
        <w:tab/>
        <w:t>Fee applied to an allotment in the fixed or mobile-satellite service</w:t>
      </w:r>
      <w:bookmarkEnd w:id="1271"/>
      <w:bookmarkEnd w:id="1272"/>
      <w:bookmarkEnd w:id="1273"/>
      <w:bookmarkEnd w:id="1274"/>
      <w:bookmarkEnd w:id="1275"/>
      <w:bookmarkEnd w:id="1276"/>
    </w:p>
    <w:p w:rsidR="00CA3B52" w:rsidRPr="00CB6CBA" w:rsidRDefault="00CA3B52" w:rsidP="00CA3B52">
      <w:pPr>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t>Rs = L * bf * k3 * a</w:t>
      </w:r>
      <w:r w:rsidRPr="00CB6CBA">
        <w:rPr>
          <w:lang w:val="en-US"/>
        </w:rPr>
        <w:tab/>
        <w:t>(</w:t>
      </w:r>
      <w:r>
        <w:rPr>
          <w:lang w:val="en-US"/>
        </w:rPr>
        <w:t>11</w:t>
      </w:r>
      <w:r w:rsidRPr="00CB6CBA">
        <w:rPr>
          <w:lang w:val="en-US"/>
        </w:rPr>
        <w:t>)</w:t>
      </w:r>
    </w:p>
    <w:p w:rsidR="00CA3B52" w:rsidRDefault="00CA3B52" w:rsidP="00CA3B52">
      <w:pPr>
        <w:pStyle w:val="Blanc"/>
      </w:pPr>
    </w:p>
    <w:p w:rsidR="00CA3B52" w:rsidRPr="00CB6CBA" w:rsidRDefault="00CA3B52" w:rsidP="00CA3B52">
      <w:pPr>
        <w:pStyle w:val="Heading3"/>
        <w:rPr>
          <w:lang w:val="en-US"/>
        </w:rPr>
      </w:pPr>
      <w:bookmarkStart w:id="1277" w:name="_Toc289868822"/>
      <w:bookmarkStart w:id="1278" w:name="_Toc289868982"/>
      <w:bookmarkStart w:id="1279" w:name="_Toc289932290"/>
      <w:bookmarkStart w:id="1280" w:name="_Toc289933336"/>
      <w:bookmarkStart w:id="1281" w:name="_Toc291852899"/>
      <w:bookmarkStart w:id="1282" w:name="_Toc392515885"/>
      <w:r w:rsidRPr="00CB6CBA">
        <w:rPr>
          <w:lang w:val="en-US"/>
        </w:rPr>
        <w:t>4.4.7</w:t>
      </w:r>
      <w:r w:rsidRPr="00CB6CBA">
        <w:rPr>
          <w:lang w:val="en-US"/>
        </w:rPr>
        <w:tab/>
        <w:t>Fee applied to an assignment for private networks in the mobile service</w:t>
      </w:r>
      <w:bookmarkEnd w:id="1277"/>
      <w:bookmarkEnd w:id="1278"/>
      <w:bookmarkEnd w:id="1279"/>
      <w:bookmarkEnd w:id="1280"/>
      <w:bookmarkEnd w:id="1281"/>
      <w:bookmarkEnd w:id="1282"/>
    </w:p>
    <w:p w:rsidR="00CA3B52" w:rsidRPr="00CB6CBA" w:rsidRDefault="00CA3B52" w:rsidP="00CA3B52">
      <w:pPr>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t>Rs = L * bf * c * k4</w:t>
      </w:r>
      <w:r w:rsidRPr="00CB6CBA">
        <w:rPr>
          <w:lang w:val="en-US"/>
        </w:rPr>
        <w:tab/>
      </w:r>
      <w:r>
        <w:rPr>
          <w:lang w:val="en-US"/>
        </w:rPr>
        <w:t>(12</w:t>
      </w:r>
      <w:r w:rsidRPr="00CB6CBA">
        <w:rPr>
          <w:lang w:val="en-US"/>
        </w:rPr>
        <w:t>)</w:t>
      </w:r>
    </w:p>
    <w:p w:rsidR="00CA3B52" w:rsidRDefault="00CA3B52" w:rsidP="00CA3B52">
      <w:pPr>
        <w:pStyle w:val="Blanc"/>
      </w:pPr>
    </w:p>
    <w:p w:rsidR="00CA3B52" w:rsidRPr="00CB6CBA" w:rsidRDefault="00CA3B52" w:rsidP="00CA3B52">
      <w:pPr>
        <w:pStyle w:val="Heading2"/>
        <w:rPr>
          <w:bCs/>
          <w:lang w:val="en-US"/>
        </w:rPr>
      </w:pPr>
      <w:bookmarkStart w:id="1283" w:name="_Toc289868823"/>
      <w:bookmarkStart w:id="1284" w:name="_Toc289868983"/>
      <w:bookmarkStart w:id="1285" w:name="_Toc289932291"/>
      <w:bookmarkStart w:id="1286" w:name="_Toc289933337"/>
      <w:bookmarkStart w:id="1287" w:name="_Toc291852900"/>
      <w:bookmarkStart w:id="1288" w:name="_Toc392515886"/>
      <w:r w:rsidRPr="00CB6CBA">
        <w:rPr>
          <w:lang w:val="en-US"/>
        </w:rPr>
        <w:t>4.5</w:t>
      </w:r>
      <w:r w:rsidRPr="00CB6CBA">
        <w:rPr>
          <w:lang w:val="en-US"/>
        </w:rPr>
        <w:tab/>
        <w:t>Spectrum fees for frequencies used in the provision or marketing of services intended for a</w:t>
      </w:r>
      <w:r w:rsidRPr="00CB6CBA">
        <w:rPr>
          <w:bCs/>
          <w:lang w:val="en-US"/>
        </w:rPr>
        <w:t xml:space="preserve"> </w:t>
      </w:r>
      <w:r w:rsidRPr="00CB6CBA">
        <w:rPr>
          <w:lang w:val="en-US"/>
        </w:rPr>
        <w:t>consumer market</w:t>
      </w:r>
      <w:bookmarkEnd w:id="1283"/>
      <w:bookmarkEnd w:id="1284"/>
      <w:bookmarkEnd w:id="1285"/>
      <w:bookmarkEnd w:id="1286"/>
      <w:bookmarkEnd w:id="1287"/>
      <w:bookmarkEnd w:id="1288"/>
    </w:p>
    <w:p w:rsidR="00CA3B52" w:rsidRPr="00CB6CBA" w:rsidRDefault="00CA3B52" w:rsidP="00CA3B52">
      <w:pPr>
        <w:pStyle w:val="Heading3"/>
        <w:rPr>
          <w:lang w:val="en-US"/>
        </w:rPr>
      </w:pPr>
      <w:bookmarkStart w:id="1289" w:name="_Toc289868824"/>
      <w:bookmarkStart w:id="1290" w:name="_Toc289868984"/>
      <w:bookmarkStart w:id="1291" w:name="_Toc289932292"/>
      <w:bookmarkStart w:id="1292" w:name="_Toc289933338"/>
      <w:bookmarkStart w:id="1293" w:name="_Toc291852901"/>
      <w:bookmarkStart w:id="1294" w:name="_Toc392515887"/>
      <w:r w:rsidRPr="00CB6CBA">
        <w:rPr>
          <w:lang w:val="en-US"/>
        </w:rPr>
        <w:t>4.5.1</w:t>
      </w:r>
      <w:r w:rsidRPr="00CB6CBA">
        <w:rPr>
          <w:lang w:val="en-US"/>
        </w:rPr>
        <w:tab/>
        <w:t>Observations and general approaches</w:t>
      </w:r>
      <w:bookmarkEnd w:id="1289"/>
      <w:bookmarkEnd w:id="1290"/>
      <w:bookmarkEnd w:id="1291"/>
      <w:bookmarkEnd w:id="1292"/>
      <w:bookmarkEnd w:id="1293"/>
      <w:bookmarkEnd w:id="1294"/>
    </w:p>
    <w:p w:rsidR="00CA3B52" w:rsidRPr="00CB6CBA" w:rsidRDefault="00CA3B52" w:rsidP="00CA3B52">
      <w:pPr>
        <w:rPr>
          <w:lang w:val="en-US"/>
        </w:rPr>
      </w:pPr>
      <w:r w:rsidRPr="00CB6CBA">
        <w:rPr>
          <w:lang w:val="en-US"/>
        </w:rPr>
        <w:t>Generally speaking, the fees applied in respect of the above frequencies constitute the major part of the budgetary revenue that the State receives by way of spectrum-related fees. To reflect the income derived from the situation rent, various factors may be envisaged, such as the population covered by the licence, the portion of territory concerned by the licence, or turnover resulting from the provision or marketing of the services. It is very often the turnover that proves to be the most representative factor in terms of the situation rent. If the turnover is to be used as the basis for fee calculation, it is recommended that its perimeter and content be clearly defined.</w:t>
      </w:r>
    </w:p>
    <w:p w:rsidR="00CA3B52" w:rsidRPr="00CB6CBA" w:rsidRDefault="00CA3B52" w:rsidP="00CA3B52">
      <w:pPr>
        <w:pStyle w:val="Heading3"/>
        <w:rPr>
          <w:lang w:val="en-US"/>
        </w:rPr>
      </w:pPr>
      <w:bookmarkStart w:id="1295" w:name="_Toc289868825"/>
      <w:bookmarkStart w:id="1296" w:name="_Toc289868985"/>
      <w:bookmarkStart w:id="1297" w:name="_Toc289932293"/>
      <w:bookmarkStart w:id="1298" w:name="_Toc289933339"/>
      <w:bookmarkStart w:id="1299" w:name="_Toc291852902"/>
      <w:bookmarkStart w:id="1300" w:name="_Toc392515888"/>
      <w:r w:rsidRPr="00CB6CBA">
        <w:rPr>
          <w:lang w:val="en-US"/>
        </w:rPr>
        <w:t>4.5.2</w:t>
      </w:r>
      <w:r w:rsidRPr="00CB6CBA">
        <w:rPr>
          <w:lang w:val="en-US"/>
        </w:rPr>
        <w:tab/>
        <w:t>Example of fees applied to the 2G mobile service</w:t>
      </w:r>
      <w:bookmarkEnd w:id="1295"/>
      <w:bookmarkEnd w:id="1296"/>
      <w:bookmarkEnd w:id="1297"/>
      <w:bookmarkEnd w:id="1298"/>
      <w:bookmarkEnd w:id="1299"/>
      <w:bookmarkEnd w:id="1300"/>
    </w:p>
    <w:p w:rsidR="00CA3B52" w:rsidRPr="00CB6CBA" w:rsidRDefault="00CA3B52" w:rsidP="00CA3B52">
      <w:pPr>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t>Rs = F + t% * CA</w:t>
      </w:r>
      <w:r w:rsidRPr="00CB6CBA">
        <w:rPr>
          <w:lang w:val="en-US"/>
        </w:rPr>
        <w:tab/>
        <w:t>(</w:t>
      </w:r>
      <w:r>
        <w:rPr>
          <w:lang w:val="en-US"/>
        </w:rPr>
        <w:t>13</w:t>
      </w:r>
      <w:r w:rsidRPr="00CB6CBA">
        <w:rPr>
          <w:lang w:val="en-US"/>
        </w:rPr>
        <w:t>)</w:t>
      </w:r>
    </w:p>
    <w:p w:rsidR="00CA3B52" w:rsidRPr="00CB6CBA" w:rsidRDefault="00CA3B52" w:rsidP="00CA3B52">
      <w:pPr>
        <w:rPr>
          <w:lang w:val="en-US"/>
        </w:rPr>
      </w:pPr>
      <w:r w:rsidRPr="00CB6CBA">
        <w:rPr>
          <w:lang w:val="en-US"/>
        </w:rPr>
        <w:t>where:</w:t>
      </w:r>
    </w:p>
    <w:p w:rsidR="00CA3B52" w:rsidRPr="00CB6CBA" w:rsidRDefault="00CA3B52" w:rsidP="00CA3B52">
      <w:pPr>
        <w:pStyle w:val="Equationlegend"/>
      </w:pPr>
      <w:r w:rsidRPr="00CB6CBA">
        <w:tab/>
        <w:t>F</w:t>
      </w:r>
      <w:r>
        <w:t>:</w:t>
      </w:r>
      <w:r w:rsidRPr="00CB6CBA">
        <w:t xml:space="preserve"> </w:t>
      </w:r>
      <w:r w:rsidRPr="00CB6CBA">
        <w:tab/>
        <w:t>represents a fixed amount to be paid each year. This amount may be proportional to the total bandwidth allocated to the operator in question for the 2G service</w:t>
      </w:r>
    </w:p>
    <w:p w:rsidR="00CA3B52" w:rsidRPr="00CB6CBA" w:rsidRDefault="00CA3B52" w:rsidP="00CA3B52">
      <w:pPr>
        <w:pStyle w:val="Equationlegend"/>
      </w:pPr>
      <w:r w:rsidRPr="00CB6CBA">
        <w:tab/>
        <w:t>CA</w:t>
      </w:r>
      <w:r>
        <w:t>:</w:t>
      </w:r>
      <w:r w:rsidRPr="00CB6CBA">
        <w:t xml:space="preserve"> </w:t>
      </w:r>
      <w:r w:rsidRPr="00CB6CBA">
        <w:tab/>
        <w:t>represents the turnover of the operator for the corresponding year in respect of the 2G mobile service frequencies</w:t>
      </w:r>
    </w:p>
    <w:p w:rsidR="00CA3B52" w:rsidRPr="00CB6CBA" w:rsidRDefault="00CA3B52" w:rsidP="00CA3B52">
      <w:pPr>
        <w:pStyle w:val="Equationlegend"/>
      </w:pPr>
      <w:r w:rsidRPr="00CB6CBA">
        <w:tab/>
        <w:t>t%</w:t>
      </w:r>
      <w:r>
        <w:t>:</w:t>
      </w:r>
      <w:r w:rsidRPr="00CB6CBA">
        <w:t xml:space="preserve"> </w:t>
      </w:r>
      <w:r w:rsidRPr="00CB6CBA">
        <w:tab/>
        <w:t>represents the percenta</w:t>
      </w:r>
      <w:r>
        <w:t>ge to be levied on the operator’</w:t>
      </w:r>
      <w:r w:rsidRPr="00CB6CBA">
        <w:t>s turnover. Generally speaking, the t% applied by administrations is 1% or close to 1%.</w:t>
      </w:r>
    </w:p>
    <w:p w:rsidR="00CA3B52" w:rsidRPr="00CB6CBA" w:rsidRDefault="00CA3B52" w:rsidP="00CA3B52">
      <w:pPr>
        <w:pStyle w:val="Heading3"/>
        <w:rPr>
          <w:lang w:val="en-US"/>
        </w:rPr>
      </w:pPr>
      <w:bookmarkStart w:id="1301" w:name="_Toc289868826"/>
      <w:bookmarkStart w:id="1302" w:name="_Toc289868986"/>
      <w:bookmarkStart w:id="1303" w:name="_Toc289932294"/>
      <w:bookmarkStart w:id="1304" w:name="_Toc289933340"/>
      <w:bookmarkStart w:id="1305" w:name="_Toc291852903"/>
      <w:bookmarkStart w:id="1306" w:name="_Toc392515889"/>
      <w:r w:rsidRPr="00CB6CBA">
        <w:rPr>
          <w:lang w:val="en-US"/>
        </w:rPr>
        <w:t>4.5.3</w:t>
      </w:r>
      <w:r w:rsidRPr="00CB6CBA">
        <w:rPr>
          <w:lang w:val="en-US"/>
        </w:rPr>
        <w:tab/>
        <w:t>Example of fees applied to the 3G mobile service</w:t>
      </w:r>
      <w:bookmarkEnd w:id="1301"/>
      <w:bookmarkEnd w:id="1302"/>
      <w:bookmarkEnd w:id="1303"/>
      <w:bookmarkEnd w:id="1304"/>
      <w:bookmarkEnd w:id="1305"/>
      <w:bookmarkEnd w:id="1306"/>
    </w:p>
    <w:p w:rsidR="00CA3B52" w:rsidRPr="00CB6CBA" w:rsidRDefault="00CA3B52" w:rsidP="00CA3B52">
      <w:pPr>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t>Rs = t% * CA</w:t>
      </w:r>
      <w:r w:rsidRPr="00CB6CBA">
        <w:rPr>
          <w:lang w:val="en-US"/>
        </w:rPr>
        <w:tab/>
        <w:t>(</w:t>
      </w:r>
      <w:r>
        <w:rPr>
          <w:lang w:val="en-US"/>
        </w:rPr>
        <w:t>14)</w:t>
      </w:r>
    </w:p>
    <w:p w:rsidR="00CA3B52" w:rsidRPr="00CB6CBA" w:rsidRDefault="00CA3B52" w:rsidP="00CA3B52">
      <w:pPr>
        <w:rPr>
          <w:lang w:val="en-US"/>
        </w:rPr>
      </w:pPr>
      <w:r w:rsidRPr="00CB6CBA">
        <w:rPr>
          <w:lang w:val="en-US"/>
        </w:rPr>
        <w:t>where:</w:t>
      </w:r>
    </w:p>
    <w:p w:rsidR="00CA3B52" w:rsidRPr="00CB6CBA" w:rsidRDefault="00CA3B52" w:rsidP="00CA3B52">
      <w:pPr>
        <w:pStyle w:val="Equationlegend"/>
      </w:pPr>
      <w:r w:rsidRPr="00CB6CBA">
        <w:lastRenderedPageBreak/>
        <w:tab/>
        <w:t>CA</w:t>
      </w:r>
      <w:r>
        <w:t xml:space="preserve">: </w:t>
      </w:r>
      <w:r>
        <w:tab/>
        <w:t>represents the operator’</w:t>
      </w:r>
      <w:r w:rsidRPr="00CB6CBA">
        <w:t>s turnover for the corresponding year in respect of the 3G mobile service frequencies</w:t>
      </w:r>
    </w:p>
    <w:p w:rsidR="00CA3B52" w:rsidRPr="00CB6CBA" w:rsidRDefault="00CA3B52" w:rsidP="00CA3B52">
      <w:pPr>
        <w:pStyle w:val="Equationlegend"/>
      </w:pPr>
      <w:r w:rsidRPr="00CB6CBA">
        <w:tab/>
        <w:t>t%</w:t>
      </w:r>
      <w:r>
        <w:t>:</w:t>
      </w:r>
      <w:r w:rsidRPr="00CB6CBA">
        <w:tab/>
        <w:t>represents the percentage to be levied on the operator</w:t>
      </w:r>
      <w:r>
        <w:t>’</w:t>
      </w:r>
      <w:r w:rsidRPr="00CB6CBA">
        <w:t>s turnover.</w:t>
      </w:r>
    </w:p>
    <w:p w:rsidR="00CA3B52" w:rsidRPr="00CB6CBA" w:rsidRDefault="00CA3B52" w:rsidP="00F65451">
      <w:pPr>
        <w:rPr>
          <w:lang w:val="en-US"/>
        </w:rPr>
      </w:pPr>
      <w:r w:rsidRPr="00CB6CBA">
        <w:rPr>
          <w:lang w:val="en-US"/>
        </w:rPr>
        <w:t>To this annual fee is added an “entry ticket”, payable upon allocation of the licence. The amount of the entry ticket, which may be proportional to the allocated bandwidth, should be set with particular reference to § [23] in order, as the case may be, not to hamper the deployment of new entrant</w:t>
      </w:r>
      <w:r>
        <w:rPr>
          <w:lang w:val="en-US"/>
        </w:rPr>
        <w:t>’</w:t>
      </w:r>
      <w:r w:rsidRPr="00CB6CBA">
        <w:rPr>
          <w:lang w:val="en-US"/>
        </w:rPr>
        <w:t>s networks.</w:t>
      </w:r>
    </w:p>
    <w:p w:rsidR="00CA3B52" w:rsidRPr="00CB6CBA" w:rsidRDefault="00CA3B52" w:rsidP="00CA3B52">
      <w:pPr>
        <w:pStyle w:val="Heading3"/>
        <w:rPr>
          <w:lang w:val="en-US"/>
        </w:rPr>
      </w:pPr>
      <w:bookmarkStart w:id="1307" w:name="_Toc289868827"/>
      <w:bookmarkStart w:id="1308" w:name="_Toc289868987"/>
      <w:bookmarkStart w:id="1309" w:name="_Toc289932295"/>
      <w:bookmarkStart w:id="1310" w:name="_Toc289933341"/>
      <w:bookmarkStart w:id="1311" w:name="_Toc291852904"/>
      <w:bookmarkStart w:id="1312" w:name="_Toc392515890"/>
      <w:r w:rsidRPr="00CB6CBA">
        <w:rPr>
          <w:lang w:val="en-US"/>
        </w:rPr>
        <w:t>4.5.4</w:t>
      </w:r>
      <w:r w:rsidRPr="00CB6CBA">
        <w:rPr>
          <w:lang w:val="en-US"/>
        </w:rPr>
        <w:tab/>
        <w:t>Another example of fees applied to the fixed wireless local loop service</w:t>
      </w:r>
      <w:bookmarkEnd w:id="1307"/>
      <w:bookmarkEnd w:id="1308"/>
      <w:bookmarkEnd w:id="1309"/>
      <w:bookmarkEnd w:id="1310"/>
      <w:bookmarkEnd w:id="1311"/>
      <w:bookmarkEnd w:id="1312"/>
    </w:p>
    <w:p w:rsidR="00CA3B52" w:rsidRPr="00CB6CBA" w:rsidRDefault="00CA3B52" w:rsidP="00CA3B52">
      <w:pPr>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t>Rs = t% * CA</w:t>
      </w:r>
      <w:r w:rsidRPr="00CB6CBA">
        <w:rPr>
          <w:lang w:val="en-US"/>
        </w:rPr>
        <w:tab/>
      </w:r>
      <w:r w:rsidRPr="00927950">
        <w:rPr>
          <w:lang w:val="en-US"/>
        </w:rPr>
        <w:t>(</w:t>
      </w:r>
      <w:r>
        <w:rPr>
          <w:lang w:val="en-US"/>
        </w:rPr>
        <w:t>15</w:t>
      </w:r>
      <w:r w:rsidRPr="00927950">
        <w:rPr>
          <w:lang w:val="en-US"/>
        </w:rPr>
        <w:t>)</w:t>
      </w:r>
    </w:p>
    <w:p w:rsidR="00CA3B52" w:rsidRPr="00CB6CBA" w:rsidRDefault="00CA3B52" w:rsidP="00CA3B52">
      <w:pPr>
        <w:rPr>
          <w:lang w:val="en-US"/>
        </w:rPr>
      </w:pPr>
      <w:r w:rsidRPr="00CB6CBA">
        <w:rPr>
          <w:lang w:val="en-US"/>
        </w:rPr>
        <w:t>where:</w:t>
      </w:r>
    </w:p>
    <w:p w:rsidR="00CA3B52" w:rsidRPr="00CB6CBA" w:rsidRDefault="00CA3B52" w:rsidP="00CA3B52">
      <w:pPr>
        <w:pStyle w:val="Equationlegend"/>
      </w:pPr>
      <w:r w:rsidRPr="00CB6CBA">
        <w:tab/>
        <w:t>CA</w:t>
      </w:r>
      <w:r>
        <w:t>:</w:t>
      </w:r>
      <w:r w:rsidRPr="00CB6CBA">
        <w:t xml:space="preserve"> </w:t>
      </w:r>
      <w:r w:rsidRPr="00CB6CBA">
        <w:tab/>
        <w:t>represents the operator</w:t>
      </w:r>
      <w:r>
        <w:t>’</w:t>
      </w:r>
      <w:r w:rsidRPr="00CB6CBA">
        <w:t>s turnover for the corresponding year in respect of the frequencies for the fixed wireless local loop service</w:t>
      </w:r>
    </w:p>
    <w:p w:rsidR="00CA3B52" w:rsidRPr="00CB6CBA" w:rsidRDefault="00CA3B52" w:rsidP="00CA3B52">
      <w:pPr>
        <w:pStyle w:val="Equationlegend"/>
      </w:pPr>
      <w:r w:rsidRPr="00CB6CBA">
        <w:tab/>
        <w:t>t%</w:t>
      </w:r>
      <w:r>
        <w:t>:</w:t>
      </w:r>
      <w:r w:rsidRPr="00CB6CBA">
        <w:t xml:space="preserve"> </w:t>
      </w:r>
      <w:r w:rsidRPr="00CB6CBA">
        <w:tab/>
        <w:t>represents the percentage to be levied on the operator</w:t>
      </w:r>
      <w:r>
        <w:t>’</w:t>
      </w:r>
      <w:r w:rsidRPr="00CB6CBA">
        <w:t>s turnover.</w:t>
      </w:r>
    </w:p>
    <w:p w:rsidR="00CA3B52" w:rsidRPr="00CB6CBA" w:rsidRDefault="00CA3B52" w:rsidP="00CA3B52">
      <w:pPr>
        <w:rPr>
          <w:lang w:val="en-US"/>
        </w:rPr>
      </w:pPr>
      <w:r w:rsidRPr="00CB6CBA">
        <w:rPr>
          <w:lang w:val="en-US"/>
        </w:rPr>
        <w:t xml:space="preserve">To this annual fee is added an “entry ticket”, payable upon allocation of the licence. The amount of the entry ticket, which may be proportional to the allocated bandwidth, should be set with particular reference to </w:t>
      </w:r>
      <w:r>
        <w:rPr>
          <w:lang w:val="en-US"/>
        </w:rPr>
        <w:t>“</w:t>
      </w:r>
      <w:r w:rsidRPr="00CB6CBA">
        <w:rPr>
          <w:lang w:val="en-US"/>
        </w:rPr>
        <w:t>entry ticket</w:t>
      </w:r>
      <w:r>
        <w:rPr>
          <w:lang w:val="en-US"/>
        </w:rPr>
        <w:t>”</w:t>
      </w:r>
      <w:r w:rsidRPr="00CB6CBA">
        <w:rPr>
          <w:lang w:val="en-US"/>
        </w:rPr>
        <w:t xml:space="preserve"> in order, as the case may be, not to hamper the deployment of new entrant</w:t>
      </w:r>
      <w:r>
        <w:rPr>
          <w:lang w:val="en-US"/>
        </w:rPr>
        <w:t>’</w:t>
      </w:r>
      <w:r w:rsidRPr="00CB6CBA">
        <w:rPr>
          <w:lang w:val="en-US"/>
        </w:rPr>
        <w:t>s networks.</w:t>
      </w:r>
    </w:p>
    <w:p w:rsidR="00CA3B52" w:rsidRPr="00CB6CBA" w:rsidRDefault="00CA3B52" w:rsidP="00CA3B52">
      <w:pPr>
        <w:pStyle w:val="Heading3"/>
        <w:rPr>
          <w:lang w:val="en-US"/>
        </w:rPr>
      </w:pPr>
      <w:bookmarkStart w:id="1313" w:name="_Toc289868828"/>
      <w:bookmarkStart w:id="1314" w:name="_Toc289868988"/>
      <w:bookmarkStart w:id="1315" w:name="_Toc289932296"/>
      <w:bookmarkStart w:id="1316" w:name="_Toc289933342"/>
      <w:bookmarkStart w:id="1317" w:name="_Toc291852905"/>
      <w:bookmarkStart w:id="1318" w:name="_Toc392515891"/>
      <w:r w:rsidRPr="00CB6CBA">
        <w:rPr>
          <w:lang w:val="en-US"/>
        </w:rPr>
        <w:t xml:space="preserve">4.5.5 </w:t>
      </w:r>
      <w:r w:rsidRPr="00CB6CBA">
        <w:rPr>
          <w:lang w:val="en-US"/>
        </w:rPr>
        <w:tab/>
        <w:t>Example of fees applied to a television programme producer</w:t>
      </w:r>
      <w:bookmarkEnd w:id="1313"/>
      <w:bookmarkEnd w:id="1314"/>
      <w:bookmarkEnd w:id="1315"/>
      <w:bookmarkEnd w:id="1316"/>
      <w:bookmarkEnd w:id="1317"/>
      <w:bookmarkEnd w:id="1318"/>
    </w:p>
    <w:p w:rsidR="00CA3B52" w:rsidRPr="00CB6CBA" w:rsidRDefault="00CA3B52" w:rsidP="00CA3B52">
      <w:pPr>
        <w:rPr>
          <w:lang w:val="en-US"/>
        </w:rPr>
      </w:pPr>
      <w:r w:rsidRPr="00CB6CBA">
        <w:rPr>
          <w:lang w:val="en-US"/>
        </w:rPr>
        <w:t xml:space="preserve">The following equation could be used for determining the annual amount </w:t>
      </w:r>
      <w:r w:rsidRPr="00CB6CBA">
        <w:rPr>
          <w:i/>
          <w:iCs/>
          <w:lang w:val="en-US"/>
        </w:rPr>
        <w:t>Rs</w:t>
      </w:r>
      <w:r w:rsidRPr="00CB6CBA">
        <w:rPr>
          <w:lang w:val="en-US"/>
        </w:rPr>
        <w:t xml:space="preserve"> of the spectrum fee:</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t>Rs = F + t% * CA</w:t>
      </w:r>
      <w:r w:rsidRPr="00CB6CBA">
        <w:rPr>
          <w:lang w:val="en-US"/>
        </w:rPr>
        <w:tab/>
        <w:t>(</w:t>
      </w:r>
      <w:r>
        <w:rPr>
          <w:lang w:val="en-US"/>
        </w:rPr>
        <w:t>16</w:t>
      </w:r>
      <w:r w:rsidRPr="00CB6CBA">
        <w:rPr>
          <w:lang w:val="en-US"/>
        </w:rPr>
        <w:t>)</w:t>
      </w:r>
    </w:p>
    <w:p w:rsidR="00CA3B52" w:rsidRPr="00CB6CBA" w:rsidRDefault="00CA3B52" w:rsidP="00CA3B52">
      <w:pPr>
        <w:rPr>
          <w:lang w:val="en-US"/>
        </w:rPr>
      </w:pPr>
      <w:r w:rsidRPr="00CB6CBA">
        <w:rPr>
          <w:lang w:val="en-US"/>
        </w:rPr>
        <w:t>where:</w:t>
      </w:r>
    </w:p>
    <w:p w:rsidR="00CA3B52" w:rsidRPr="00CB6CBA" w:rsidRDefault="00CA3B52" w:rsidP="00CA3B52">
      <w:pPr>
        <w:pStyle w:val="Equationlegend"/>
      </w:pPr>
      <w:r w:rsidRPr="00CB6CBA">
        <w:tab/>
        <w:t>F</w:t>
      </w:r>
      <w:r>
        <w:t>:</w:t>
      </w:r>
      <w:r w:rsidRPr="00CB6CBA">
        <w:t xml:space="preserve"> </w:t>
      </w:r>
      <w:r w:rsidRPr="00CB6CBA">
        <w:tab/>
        <w:t>represents a fixed amount to be paid each year. This amount may be proportional to the total bandwidth allocated to the operator in question for broadcasting purposes</w:t>
      </w:r>
    </w:p>
    <w:p w:rsidR="00CA3B52" w:rsidRPr="00CB6CBA" w:rsidRDefault="00CA3B52" w:rsidP="00CA3B52">
      <w:pPr>
        <w:pStyle w:val="Equationlegend"/>
      </w:pPr>
      <w:r w:rsidRPr="00CB6CBA">
        <w:tab/>
        <w:t>CA</w:t>
      </w:r>
      <w:r>
        <w:t xml:space="preserve">: </w:t>
      </w:r>
      <w:r>
        <w:tab/>
        <w:t>represents the operator’</w:t>
      </w:r>
      <w:r w:rsidRPr="00CB6CBA">
        <w:t>s turnover for the corresponding year derived from advertising income, supplemented, as the case may be, by income derived from subscriptions and per-view payments</w:t>
      </w:r>
    </w:p>
    <w:p w:rsidR="00CA3B52" w:rsidRPr="00CB6CBA" w:rsidRDefault="00CA3B52" w:rsidP="00CA3B52">
      <w:pPr>
        <w:pStyle w:val="Equationlegend"/>
      </w:pPr>
      <w:r w:rsidRPr="00CB6CBA">
        <w:tab/>
        <w:t>t%</w:t>
      </w:r>
      <w:r>
        <w:t>:</w:t>
      </w:r>
      <w:r w:rsidRPr="00CB6CBA">
        <w:t xml:space="preserve"> </w:t>
      </w:r>
      <w:r w:rsidRPr="00CB6CBA">
        <w:tab/>
        <w:t>represents the percenta</w:t>
      </w:r>
      <w:r>
        <w:t>ge to be levied on the operator’</w:t>
      </w:r>
      <w:r w:rsidRPr="00CB6CBA">
        <w:t>s turnover.</w:t>
      </w:r>
    </w:p>
    <w:p w:rsidR="00CA3B52" w:rsidRPr="00CB6CBA" w:rsidRDefault="00CA3B52" w:rsidP="00CA3B52">
      <w:pPr>
        <w:pStyle w:val="Heading2"/>
        <w:rPr>
          <w:noProof/>
          <w:lang w:val="en-US"/>
        </w:rPr>
      </w:pPr>
      <w:bookmarkStart w:id="1319" w:name="_Toc289868829"/>
      <w:bookmarkStart w:id="1320" w:name="_Toc289868989"/>
      <w:bookmarkStart w:id="1321" w:name="_Toc289932297"/>
      <w:bookmarkStart w:id="1322" w:name="_Toc289933343"/>
      <w:bookmarkStart w:id="1323" w:name="_Toc291852906"/>
      <w:bookmarkStart w:id="1324" w:name="_Toc392515892"/>
      <w:r w:rsidRPr="00CB6CBA">
        <w:rPr>
          <w:lang w:val="en-US"/>
        </w:rPr>
        <w:t>4.6</w:t>
      </w:r>
      <w:r w:rsidRPr="00CB6CBA">
        <w:rPr>
          <w:lang w:val="en-US"/>
        </w:rPr>
        <w:tab/>
      </w:r>
      <w:r w:rsidRPr="00CB6CBA">
        <w:rPr>
          <w:noProof/>
          <w:lang w:val="en-US"/>
        </w:rPr>
        <w:t>An analytical model for calculating license fees on the basis of specified incentives that are designed to promote efficient spectrum use</w:t>
      </w:r>
      <w:bookmarkEnd w:id="1319"/>
      <w:bookmarkEnd w:id="1320"/>
      <w:bookmarkEnd w:id="1321"/>
      <w:bookmarkEnd w:id="1322"/>
      <w:bookmarkEnd w:id="1323"/>
      <w:bookmarkEnd w:id="1324"/>
    </w:p>
    <w:p w:rsidR="00CA3B52" w:rsidRDefault="00CA3B52" w:rsidP="00CA3B52">
      <w:pPr>
        <w:rPr>
          <w:lang w:val="en-US"/>
        </w:rPr>
      </w:pPr>
      <w:r w:rsidRPr="00CB6CBA">
        <w:rPr>
          <w:lang w:val="en-US"/>
        </w:rPr>
        <w:t>This model was developed in the framework of the BDT Asia and Pacific Project on Spectrum Validation and Licensing, Bangkok, 2000. The study focuses on a specific method of spectrum fee calculation. The model is derived from the conceptual base that there is a distinct need to price spectrum and that the pricing of spectrum resources should reflect more than administrative convenience. This has been reinforced by the views of administrations participating in the data collection and policy review of SE Asian countries under the above Project. Further detailed information is available from the ITU website:</w:t>
      </w:r>
    </w:p>
    <w:p w:rsidR="00CA3B52" w:rsidRPr="00CB6CBA" w:rsidRDefault="00796FC7" w:rsidP="00CA3B52">
      <w:pPr>
        <w:rPr>
          <w:lang w:val="en-US"/>
        </w:rPr>
      </w:pPr>
      <w:hyperlink r:id="rId25" w:history="1">
        <w:r w:rsidR="00CA3B52" w:rsidRPr="00CB6CBA">
          <w:rPr>
            <w:rStyle w:val="Hyperlink"/>
            <w:lang w:val="en-US"/>
          </w:rPr>
          <w:t>http://www.itu.int/ITU-D/tech/spectrum-management/MODEL_FULL.pdf</w:t>
        </w:r>
      </w:hyperlink>
    </w:p>
    <w:p w:rsidR="00CA3B52" w:rsidRPr="00CB6CBA" w:rsidRDefault="00CA3B52" w:rsidP="00CA3B52">
      <w:pPr>
        <w:rPr>
          <w:rFonts w:eastAsia="SimSun"/>
          <w:lang w:val="en-US" w:eastAsia="zh-CN"/>
        </w:rPr>
      </w:pPr>
      <w:r w:rsidRPr="00CB6CBA">
        <w:rPr>
          <w:rFonts w:eastAsia="SimSun"/>
          <w:lang w:val="en-US" w:eastAsia="zh-CN"/>
        </w:rPr>
        <w:t xml:space="preserve">The importance of the model rests on it providing to administrations a functional tool which can be used to calculate spectrum fees on the basis of tangible criteria. In fact it falls within the category of </w:t>
      </w:r>
      <w:r w:rsidRPr="00CB6CBA">
        <w:rPr>
          <w:rFonts w:eastAsia="SimSun"/>
          <w:lang w:val="en-US" w:eastAsia="zh-CN"/>
        </w:rPr>
        <w:lastRenderedPageBreak/>
        <w:t>administrative incentive pricing approaches. In the manner of most prevalent administrative incentive approaches it allows variations in not only the criteria used as inputs to the pricing but supports weighting those criteria to reflect the importance of certain spectrum utilization variables. This can also be used to vary the pricing between different spectrum uses whereby the underlying scarcity of spectrum can be considered.</w:t>
      </w:r>
    </w:p>
    <w:p w:rsidR="00CA3B52" w:rsidRPr="00CB6CBA" w:rsidRDefault="00CA3B52" w:rsidP="00CA3B52">
      <w:pPr>
        <w:rPr>
          <w:lang w:val="en-US"/>
        </w:rPr>
      </w:pPr>
      <w:r w:rsidRPr="00CB6CBA">
        <w:rPr>
          <w:lang w:val="en-US"/>
        </w:rPr>
        <w:t xml:space="preserve">The model, while rather complicated for manual calculations, is most effective for application to automated national spectrum management systems. Relevant software can be customized in accordance with the Model and all the rest calculations will be fulfilled automatically without any involvement of the system operators. Similar experience is described by the Administration of the Kyrgyz Republic in </w:t>
      </w:r>
      <w:r>
        <w:rPr>
          <w:lang w:val="en-US"/>
        </w:rPr>
        <w:t>§ </w:t>
      </w:r>
      <w:r w:rsidRPr="00CB6CBA">
        <w:rPr>
          <w:lang w:val="en-US"/>
        </w:rPr>
        <w:t>5.2.6.</w:t>
      </w:r>
    </w:p>
    <w:p w:rsidR="00CA3B52" w:rsidRPr="00CB6CBA" w:rsidRDefault="00CA3B52" w:rsidP="00CA3B52">
      <w:pPr>
        <w:pStyle w:val="Heading3"/>
        <w:rPr>
          <w:lang w:val="en-US"/>
        </w:rPr>
      </w:pPr>
      <w:bookmarkStart w:id="1325" w:name="_Toc289868830"/>
      <w:bookmarkStart w:id="1326" w:name="_Toc289868990"/>
      <w:bookmarkStart w:id="1327" w:name="_Toc289932298"/>
      <w:bookmarkStart w:id="1328" w:name="_Toc289933344"/>
      <w:bookmarkStart w:id="1329" w:name="_Toc291852907"/>
      <w:bookmarkStart w:id="1330" w:name="_Toc392515893"/>
      <w:r w:rsidRPr="00CB6CBA">
        <w:rPr>
          <w:lang w:val="en-US"/>
        </w:rPr>
        <w:t>4.6.1</w:t>
      </w:r>
      <w:r w:rsidRPr="00CB6CBA">
        <w:rPr>
          <w:lang w:val="en-US"/>
        </w:rPr>
        <w:tab/>
        <w:t>General purpose of the model</w:t>
      </w:r>
      <w:bookmarkEnd w:id="1325"/>
      <w:bookmarkEnd w:id="1326"/>
      <w:bookmarkEnd w:id="1327"/>
      <w:bookmarkEnd w:id="1328"/>
      <w:bookmarkEnd w:id="1329"/>
      <w:bookmarkEnd w:id="1330"/>
    </w:p>
    <w:p w:rsidR="00CA3B52" w:rsidRPr="00CB6CBA" w:rsidRDefault="00CA3B52" w:rsidP="00CA3B52">
      <w:pPr>
        <w:rPr>
          <w:lang w:val="en-US"/>
        </w:rPr>
      </w:pPr>
      <w:r w:rsidRPr="00CB6CBA">
        <w:rPr>
          <w:lang w:val="en-US"/>
        </w:rPr>
        <w:t>The purpose of this model is to increase spectrum utilization efficiency. It is designed to introduce non-discriminatory access to the spectrum for various categories of users, stimulate the use of less congested (particularly – higher) frequency bands, stimulate harmonized development of radio communication services throughout the country, and cover the cost of spectrum management. It includes the consideration of the phased development and/or maintenance of spectrum management and monitoring facilities and reimbursement of expenditures of a national telecommunication administration including its international activities within ITU.</w:t>
      </w:r>
    </w:p>
    <w:p w:rsidR="00CA3B52" w:rsidRPr="00CB6CBA" w:rsidRDefault="00CA3B52" w:rsidP="00CA3B52">
      <w:pPr>
        <w:rPr>
          <w:lang w:val="en-US"/>
        </w:rPr>
      </w:pPr>
      <w:r w:rsidRPr="00CB6CBA">
        <w:rPr>
          <w:lang w:val="en-US"/>
        </w:rPr>
        <w:t>The model determines the value of annual payments to be made for the spectrum use of each transmitting radio station using a pricing formula based on the following basic elements:</w:t>
      </w:r>
    </w:p>
    <w:p w:rsidR="00CA3B52" w:rsidRPr="00CB6CBA" w:rsidRDefault="00CA3B52" w:rsidP="00CA3B52">
      <w:pPr>
        <w:pStyle w:val="enumlev1"/>
        <w:rPr>
          <w:lang w:val="en-US"/>
        </w:rPr>
      </w:pPr>
      <w:r w:rsidRPr="00CB6CBA">
        <w:rPr>
          <w:lang w:val="en-US"/>
        </w:rPr>
        <w:t>–</w:t>
      </w:r>
      <w:r w:rsidRPr="00CB6CBA">
        <w:rPr>
          <w:lang w:val="en-US"/>
        </w:rPr>
        <w:tab/>
        <w:t>Three-dimensional radio fr</w:t>
      </w:r>
      <w:r>
        <w:rPr>
          <w:lang w:val="en-US"/>
        </w:rPr>
        <w:t>equency-spatial-time resource (s</w:t>
      </w:r>
      <w:r w:rsidRPr="00CB6CBA">
        <w:rPr>
          <w:lang w:val="en-US"/>
        </w:rPr>
        <w:t xml:space="preserve">ee Note 1), referred to as the </w:t>
      </w:r>
      <w:r w:rsidRPr="00CB6CBA">
        <w:rPr>
          <w:bCs/>
          <w:i/>
          <w:lang w:val="en-US"/>
        </w:rPr>
        <w:t>spectral resource</w:t>
      </w:r>
      <w:r w:rsidRPr="00CB6CBA">
        <w:rPr>
          <w:lang w:val="en-US"/>
        </w:rPr>
        <w:t>, used in the country and representing the common spectral value applicable to all frequency assignments, stored in the national spectrum management database and which is calculated on an annual basis.</w:t>
      </w:r>
    </w:p>
    <w:p w:rsidR="00CA3B52" w:rsidRPr="00CB6CBA" w:rsidRDefault="00CA3B52" w:rsidP="00CA3B52">
      <w:pPr>
        <w:pStyle w:val="enumlev1"/>
        <w:rPr>
          <w:lang w:val="en-US"/>
        </w:rPr>
      </w:pPr>
      <w:r w:rsidRPr="00CB6CBA">
        <w:rPr>
          <w:lang w:val="en-US"/>
        </w:rPr>
        <w:t>–</w:t>
      </w:r>
      <w:r w:rsidRPr="00CB6CBA">
        <w:rPr>
          <w:lang w:val="en-US"/>
        </w:rPr>
        <w:tab/>
        <w:t xml:space="preserve">For each frequency assignment the spectral value is determined by the frequency band occupied by the emission, multiplied by an area, occupied by the emission (which is determined by the power of transmitter, height and direction of the antenna etc.), and multiplied by the fraction of time throughout which the transmitter operates with that emission in accordance with terms of relevant license. Relevant assumptions and criteria are presented below in </w:t>
      </w:r>
      <w:r>
        <w:rPr>
          <w:lang w:val="en-US"/>
        </w:rPr>
        <w:t>§ </w:t>
      </w:r>
      <w:r w:rsidRPr="00CB6CBA">
        <w:rPr>
          <w:lang w:val="en-US"/>
        </w:rPr>
        <w:t>4.6.5.</w:t>
      </w:r>
    </w:p>
    <w:p w:rsidR="00CA3B52" w:rsidRPr="00CB6CBA" w:rsidRDefault="00CA3B52" w:rsidP="00CA3B52">
      <w:pPr>
        <w:pStyle w:val="enumlev1"/>
        <w:rPr>
          <w:lang w:val="en-US"/>
        </w:rPr>
      </w:pPr>
      <w:r w:rsidRPr="00CB6CBA">
        <w:rPr>
          <w:lang w:val="en-US"/>
        </w:rPr>
        <w:t>–</w:t>
      </w:r>
      <w:r w:rsidRPr="00CB6CBA">
        <w:rPr>
          <w:lang w:val="en-US"/>
        </w:rPr>
        <w:tab/>
        <w:t>The annual administration cost of spectrum management including the phased development and/or maintenance of spectrum management and monitoring facilities and the reimbursement of expenditures of a national telecommunication administration.</w:t>
      </w:r>
    </w:p>
    <w:p w:rsidR="00CA3B52" w:rsidRPr="00CB6CBA" w:rsidRDefault="00CA3B52" w:rsidP="00CA3B52">
      <w:pPr>
        <w:pStyle w:val="enumlev1"/>
        <w:rPr>
          <w:lang w:val="en-US"/>
        </w:rPr>
      </w:pPr>
      <w:r w:rsidRPr="00CB6CBA">
        <w:rPr>
          <w:lang w:val="en-US"/>
        </w:rPr>
        <w:t>–</w:t>
      </w:r>
      <w:r w:rsidRPr="00CB6CBA">
        <w:rPr>
          <w:lang w:val="en-US"/>
        </w:rPr>
        <w:tab/>
        <w:t>The average price for the spectral resource unit determined from the above values.</w:t>
      </w:r>
    </w:p>
    <w:p w:rsidR="00CA3B52" w:rsidRPr="00CB6CBA" w:rsidRDefault="00CA3B52" w:rsidP="00CA3B52">
      <w:pPr>
        <w:pStyle w:val="enumlev1"/>
        <w:rPr>
          <w:lang w:val="en-US"/>
        </w:rPr>
      </w:pPr>
      <w:r w:rsidRPr="00CB6CBA">
        <w:rPr>
          <w:lang w:val="en-US"/>
        </w:rPr>
        <w:t>–</w:t>
      </w:r>
      <w:r w:rsidRPr="00CB6CBA">
        <w:rPr>
          <w:lang w:val="en-US"/>
        </w:rPr>
        <w:tab/>
        <w:t>The annual payment by a specific user determined from the actual value of used spectral resource.</w:t>
      </w:r>
    </w:p>
    <w:p w:rsidR="00CA3B52" w:rsidRPr="00A6672C" w:rsidRDefault="00CA3B52" w:rsidP="00CA3B52">
      <w:pPr>
        <w:pStyle w:val="Note"/>
        <w:rPr>
          <w:lang w:val="en-US"/>
        </w:rPr>
      </w:pPr>
      <w:r w:rsidRPr="00A6672C">
        <w:rPr>
          <w:lang w:val="en-US"/>
        </w:rPr>
        <w:t>NOTE 1 – For reasons of simplicity and taking into account that spectrum sharing conditions are usually provided only by territory separation of stations, for purposes of the given Model a spatial (three</w:t>
      </w:r>
      <w:r>
        <w:rPr>
          <w:lang w:val="en-US"/>
        </w:rPr>
        <w:noBreakHyphen/>
      </w:r>
      <w:r w:rsidRPr="00A6672C">
        <w:rPr>
          <w:lang w:val="en-US"/>
        </w:rPr>
        <w:t>dimensional) resource is represented by a territorial (two-dimensional) one.</w:t>
      </w:r>
    </w:p>
    <w:p w:rsidR="00CA3B52" w:rsidRPr="00CB6CBA" w:rsidRDefault="00CA3B52" w:rsidP="00CA3B52">
      <w:pPr>
        <w:rPr>
          <w:lang w:val="en-US"/>
        </w:rPr>
      </w:pPr>
      <w:r w:rsidRPr="00CB6CBA">
        <w:rPr>
          <w:lang w:val="en-US"/>
        </w:rPr>
        <w:t>A number of incentive weighting factors are entered in the formula. Thus the spectrum price or fee will depend not only on the relevant occupied bandwidth and coverage area values, but also on time-sharing conditions, geographical location of the station, economic development level or population density in the coverage area, social factors, exclusivity, type of radio service, spectrum employment, as well as some operational factors such as complexity of radio monitoring and imposing sanctions, etc.</w:t>
      </w:r>
    </w:p>
    <w:p w:rsidR="00CA3B52" w:rsidRPr="00CB6CBA" w:rsidRDefault="00CA3B52" w:rsidP="00CA3B52">
      <w:pPr>
        <w:rPr>
          <w:lang w:val="en-US"/>
        </w:rPr>
      </w:pPr>
      <w:r w:rsidRPr="00CB6CBA">
        <w:rPr>
          <w:lang w:val="en-US"/>
        </w:rPr>
        <w:t xml:space="preserve">The proposed Model allows the user at any moment to determine the value of his annual payment for the spectrum and also renders it to be transparent and accessible to all users. Thus, if the user </w:t>
      </w:r>
      <w:r w:rsidRPr="00CB6CBA">
        <w:rPr>
          <w:lang w:val="en-US"/>
        </w:rPr>
        <w:lastRenderedPageBreak/>
        <w:t>employs greater bandwidth and service area, operates in more populated geographical area or the area is more economically developed and operates full time in more congested frequency bands, the larger will be the payment.</w:t>
      </w:r>
    </w:p>
    <w:p w:rsidR="00CA3B52" w:rsidRPr="00CB6CBA" w:rsidRDefault="00CA3B52" w:rsidP="00CA3B52">
      <w:pPr>
        <w:rPr>
          <w:lang w:val="en-US"/>
        </w:rPr>
      </w:pPr>
      <w:r w:rsidRPr="00CB6CBA">
        <w:rPr>
          <w:lang w:val="en-US"/>
        </w:rPr>
        <w:t>The approach thus encourages more efficient spectrum use and is an incentive for the user to implement more modern equipment and operate in new higher frequency bands. It should also encourage the use if possible of time-sharing regimes with other users, avoid using redundant margins for the power of a transmitter and height of antenna etc. and support expansion of its coverage to rural and remote areas.</w:t>
      </w:r>
    </w:p>
    <w:p w:rsidR="00CA3B52" w:rsidRPr="00CB6CBA" w:rsidRDefault="00CA3B52" w:rsidP="00CA3B52">
      <w:pPr>
        <w:pStyle w:val="Heading3"/>
        <w:rPr>
          <w:lang w:val="en-US"/>
        </w:rPr>
      </w:pPr>
      <w:bookmarkStart w:id="1331" w:name="_Toc289868831"/>
      <w:bookmarkStart w:id="1332" w:name="_Toc289868991"/>
      <w:bookmarkStart w:id="1333" w:name="_Toc289932299"/>
      <w:bookmarkStart w:id="1334" w:name="_Toc289933345"/>
      <w:bookmarkStart w:id="1335" w:name="_Toc291852908"/>
      <w:bookmarkStart w:id="1336" w:name="_Toc392515894"/>
      <w:r w:rsidRPr="00CB6CBA">
        <w:rPr>
          <w:lang w:val="en-US"/>
        </w:rPr>
        <w:t>4.6.2</w:t>
      </w:r>
      <w:r w:rsidRPr="00CB6CBA">
        <w:rPr>
          <w:lang w:val="en-US"/>
        </w:rPr>
        <w:tab/>
        <w:t>Steps in the model formulation</w:t>
      </w:r>
      <w:bookmarkEnd w:id="1331"/>
      <w:bookmarkEnd w:id="1332"/>
      <w:bookmarkEnd w:id="1333"/>
      <w:bookmarkEnd w:id="1334"/>
      <w:bookmarkEnd w:id="1335"/>
      <w:bookmarkEnd w:id="1336"/>
    </w:p>
    <w:p w:rsidR="00CA3B52" w:rsidRPr="00CB6CBA" w:rsidRDefault="00CA3B52" w:rsidP="00CA3B52">
      <w:pPr>
        <w:rPr>
          <w:lang w:val="en-US"/>
        </w:rPr>
      </w:pPr>
      <w:r w:rsidRPr="00CB6CBA">
        <w:rPr>
          <w:lang w:val="en-US"/>
        </w:rPr>
        <w:t>The proposed spectrum payment algorithm includes the following steps:</w:t>
      </w:r>
    </w:p>
    <w:p w:rsidR="00CA3B52" w:rsidRPr="00CB6CBA" w:rsidRDefault="00CA3B52" w:rsidP="00CA3B52">
      <w:pPr>
        <w:pStyle w:val="enumlev1"/>
        <w:rPr>
          <w:lang w:val="en-US"/>
        </w:rPr>
      </w:pPr>
      <w:r w:rsidRPr="00CB6CBA">
        <w:rPr>
          <w:lang w:val="en-US"/>
        </w:rPr>
        <w:t>–</w:t>
      </w:r>
      <w:r w:rsidRPr="00CB6CBA">
        <w:rPr>
          <w:lang w:val="en-US"/>
        </w:rPr>
        <w:tab/>
        <w:t>Determination of annual expenditures of the State on management of actually used spectral resource and determination of the common value of the annual payments for all spectral resources.</w:t>
      </w:r>
    </w:p>
    <w:p w:rsidR="00CA3B52" w:rsidRPr="00CB6CBA" w:rsidRDefault="00CA3B52" w:rsidP="00CA3B52">
      <w:pPr>
        <w:pStyle w:val="enumlev1"/>
        <w:rPr>
          <w:lang w:val="en-US"/>
        </w:rPr>
      </w:pPr>
      <w:r w:rsidRPr="00CB6CBA">
        <w:rPr>
          <w:lang w:val="en-US"/>
        </w:rPr>
        <w:t>–</w:t>
      </w:r>
      <w:r w:rsidRPr="00CB6CBA">
        <w:rPr>
          <w:lang w:val="en-US"/>
        </w:rPr>
        <w:tab/>
        <w:t>Determination of the value of the spectral resource used by each radio station and, through their summation, by all stations registered in a national Spectrum Management Database.</w:t>
      </w:r>
    </w:p>
    <w:p w:rsidR="00CA3B52" w:rsidRPr="00CB6CBA" w:rsidRDefault="00CA3B52" w:rsidP="00CA3B52">
      <w:pPr>
        <w:pStyle w:val="enumlev1"/>
        <w:rPr>
          <w:lang w:val="en-US"/>
        </w:rPr>
      </w:pPr>
      <w:r w:rsidRPr="00CB6CBA">
        <w:rPr>
          <w:lang w:val="en-US"/>
        </w:rPr>
        <w:t>–</w:t>
      </w:r>
      <w:r w:rsidRPr="00CB6CBA">
        <w:rPr>
          <w:lang w:val="en-US"/>
        </w:rPr>
        <w:tab/>
        <w:t>Determination of the price for a unit of the spectral resource.</w:t>
      </w:r>
    </w:p>
    <w:p w:rsidR="00CA3B52" w:rsidRPr="00CB6CBA" w:rsidRDefault="00CA3B52" w:rsidP="00CA3B52">
      <w:pPr>
        <w:pStyle w:val="enumlev1"/>
        <w:rPr>
          <w:lang w:val="en-US"/>
        </w:rPr>
      </w:pPr>
      <w:r w:rsidRPr="00CB6CBA">
        <w:rPr>
          <w:lang w:val="en-US"/>
        </w:rPr>
        <w:t>–</w:t>
      </w:r>
      <w:r w:rsidRPr="00CB6CBA">
        <w:rPr>
          <w:lang w:val="en-US"/>
        </w:rPr>
        <w:tab/>
        <w:t>Determination of the annual payment for a specific user on a differential and non-discriminatory basis, determined from the actual value of used spectral resource.</w:t>
      </w:r>
    </w:p>
    <w:p w:rsidR="00CA3B52" w:rsidRPr="00CB6CBA" w:rsidRDefault="00CA3B52" w:rsidP="00CA3B52">
      <w:pPr>
        <w:rPr>
          <w:lang w:val="en-US"/>
        </w:rPr>
      </w:pPr>
      <w:r w:rsidRPr="00CB6CBA">
        <w:rPr>
          <w:lang w:val="en-US"/>
        </w:rPr>
        <w:t>Each of these steps is described in detail below.</w:t>
      </w:r>
    </w:p>
    <w:p w:rsidR="00CA3B52" w:rsidRPr="00CB6CBA" w:rsidRDefault="00CA3B52" w:rsidP="00CA3B52">
      <w:pPr>
        <w:pStyle w:val="Heading3"/>
        <w:rPr>
          <w:lang w:val="en-US"/>
        </w:rPr>
      </w:pPr>
      <w:bookmarkStart w:id="1337" w:name="_Toc289868832"/>
      <w:bookmarkStart w:id="1338" w:name="_Toc289868992"/>
      <w:bookmarkStart w:id="1339" w:name="_Toc289932300"/>
      <w:bookmarkStart w:id="1340" w:name="_Toc289933346"/>
      <w:bookmarkStart w:id="1341" w:name="_Toc291852909"/>
      <w:bookmarkStart w:id="1342" w:name="_Toc392515895"/>
      <w:r w:rsidRPr="00CB6CBA">
        <w:rPr>
          <w:lang w:val="en-US"/>
        </w:rPr>
        <w:t>4.6.3</w:t>
      </w:r>
      <w:r w:rsidRPr="00CB6CBA">
        <w:rPr>
          <w:lang w:val="en-US"/>
        </w:rPr>
        <w:tab/>
        <w:t>General principles for the model development</w:t>
      </w:r>
      <w:bookmarkEnd w:id="1337"/>
      <w:bookmarkEnd w:id="1338"/>
      <w:bookmarkEnd w:id="1339"/>
      <w:bookmarkEnd w:id="1340"/>
      <w:bookmarkEnd w:id="1341"/>
      <w:bookmarkEnd w:id="1342"/>
    </w:p>
    <w:p w:rsidR="00CA3B52" w:rsidRPr="00CB6CBA" w:rsidRDefault="00CA3B52" w:rsidP="00CA3B52">
      <w:pPr>
        <w:rPr>
          <w:lang w:val="en-US"/>
        </w:rPr>
      </w:pPr>
      <w:r w:rsidRPr="00CB6CBA">
        <w:rPr>
          <w:lang w:val="en-US"/>
        </w:rPr>
        <w:t>It is necessary to underline that the number and values of all particular coefficients below are given only as illustrative examples. They are based on available data and the experts’ estimations in application to South-East Asia countries. Each national telecommunication administration can chose other values and add other coefficients reflecting its particular needs and experiences. All coefficient values, unless indicated specifically, can be integer or fractional numbers.</w:t>
      </w:r>
    </w:p>
    <w:p w:rsidR="00CA3B52" w:rsidRPr="00CB6CBA" w:rsidRDefault="00CA3B52" w:rsidP="00CA3B52">
      <w:pPr>
        <w:rPr>
          <w:lang w:val="en-US"/>
        </w:rPr>
      </w:pPr>
      <w:r w:rsidRPr="00CB6CBA">
        <w:rPr>
          <w:lang w:val="en-US"/>
        </w:rPr>
        <w:t>The model is intended to cover those cases (and they are the great majority of frequency assignments) for which simplified calculation methods of some important parameters (mainly – service or occupied areas) can be used.</w:t>
      </w:r>
    </w:p>
    <w:p w:rsidR="00CA3B52" w:rsidRPr="00CB6CBA" w:rsidRDefault="00CA3B52" w:rsidP="00CA3B52">
      <w:pPr>
        <w:rPr>
          <w:lang w:val="en-US"/>
        </w:rPr>
      </w:pPr>
      <w:r w:rsidRPr="00CB6CBA">
        <w:rPr>
          <w:lang w:val="en-US"/>
        </w:rPr>
        <w:t xml:space="preserve">This approach has been chosen also from the understanding that for purposes of fees calculation it is much more important to provide universal procedures to guarantee equal conditions for all users belonging to one group (by radio service or its particular application) rather than to obtain a high accuracy of technical parameter calculations. </w:t>
      </w:r>
    </w:p>
    <w:p w:rsidR="00CA3B52" w:rsidRPr="00CB6CBA" w:rsidRDefault="00CA3B52" w:rsidP="00CA3B52">
      <w:pPr>
        <w:rPr>
          <w:lang w:val="en-US"/>
        </w:rPr>
      </w:pPr>
      <w:r w:rsidRPr="00CB6CBA">
        <w:rPr>
          <w:lang w:val="en-US"/>
        </w:rPr>
        <w:t>Based on a general principle that not only a transmitter but also a receiver occupies a particular spectral resource by denying operation of other transmitters (other than a communicating one) in a particular frequency band within the limits of a particular territory (Recommendation ITU</w:t>
      </w:r>
      <w:r w:rsidRPr="00CB6CBA">
        <w:rPr>
          <w:lang w:val="en-US"/>
        </w:rPr>
        <w:noBreakHyphen/>
        <w:t xml:space="preserve">R SM.1046-2), the Model can be used for calculating fees for receivers as well in a case when a user requires protection of a receiver from interference and it is registered in a National Frequency Assignment Database. </w:t>
      </w:r>
    </w:p>
    <w:p w:rsidR="00CA3B52" w:rsidRPr="00CB6CBA" w:rsidRDefault="00CA3B52" w:rsidP="00CA3B52">
      <w:pPr>
        <w:rPr>
          <w:lang w:val="en-US"/>
        </w:rPr>
      </w:pPr>
      <w:r w:rsidRPr="00CB6CBA">
        <w:rPr>
          <w:lang w:val="en-US"/>
        </w:rPr>
        <w:t>Annex 1 of Recommendation ITU</w:t>
      </w:r>
      <w:r w:rsidRPr="00CB6CBA">
        <w:rPr>
          <w:lang w:val="en-US"/>
        </w:rPr>
        <w:noBreakHyphen/>
        <w:t>R SM.1046-2 also presents some options to administrations on simplification of calculation procedures implying the decrease in calculation accuracy, or on their somewhat complication for increasing calculation accuracy.</w:t>
      </w:r>
    </w:p>
    <w:p w:rsidR="00CA3B52" w:rsidRPr="00CB6CBA" w:rsidRDefault="00CA3B52" w:rsidP="00CA3B52">
      <w:pPr>
        <w:rPr>
          <w:lang w:val="en-US"/>
        </w:rPr>
      </w:pPr>
      <w:r w:rsidRPr="00CB6CBA">
        <w:rPr>
          <w:lang w:val="en-US"/>
        </w:rPr>
        <w:t>For certain new radio systems for which the service area or occupied frequency band calculations are very complicated and when they have not been definitively fixed (spread-spectrum systems, satellite mobile communications using LEO, MEO, etc.), calculations can be postponed and fixed license fee regimes may continue to be used.</w:t>
      </w:r>
    </w:p>
    <w:p w:rsidR="00CA3B52" w:rsidRPr="00CB6CBA" w:rsidRDefault="00CA3B52" w:rsidP="00CA3B52">
      <w:pPr>
        <w:pStyle w:val="Heading3"/>
        <w:rPr>
          <w:lang w:val="en-US"/>
        </w:rPr>
      </w:pPr>
      <w:bookmarkStart w:id="1343" w:name="_Toc289868833"/>
      <w:bookmarkStart w:id="1344" w:name="_Toc289868993"/>
      <w:bookmarkStart w:id="1345" w:name="_Toc289932301"/>
      <w:bookmarkStart w:id="1346" w:name="_Toc289933347"/>
      <w:bookmarkStart w:id="1347" w:name="_Toc291852910"/>
      <w:bookmarkStart w:id="1348" w:name="_Toc392515896"/>
      <w:r w:rsidRPr="00CB6CBA">
        <w:rPr>
          <w:lang w:val="en-US"/>
        </w:rPr>
        <w:lastRenderedPageBreak/>
        <w:t>4.6.4</w:t>
      </w:r>
      <w:r w:rsidRPr="00CB6CBA">
        <w:rPr>
          <w:lang w:val="en-US"/>
        </w:rPr>
        <w:tab/>
        <w:t>Expenditures and income of a state concerning spectrum management</w:t>
      </w:r>
      <w:bookmarkEnd w:id="1343"/>
      <w:bookmarkEnd w:id="1344"/>
      <w:bookmarkEnd w:id="1345"/>
      <w:bookmarkEnd w:id="1346"/>
      <w:bookmarkEnd w:id="1347"/>
      <w:bookmarkEnd w:id="1348"/>
    </w:p>
    <w:p w:rsidR="00CA3B52" w:rsidRPr="00CB6CBA" w:rsidRDefault="00CA3B52" w:rsidP="00CA3B52">
      <w:pPr>
        <w:rPr>
          <w:lang w:val="en-US"/>
        </w:rPr>
      </w:pPr>
      <w:r w:rsidRPr="00CB6CBA">
        <w:rPr>
          <w:lang w:val="en-US"/>
        </w:rPr>
        <w:t>This section offers the framework on which the State or administration’s costs for spectrum management may be considered.</w:t>
      </w:r>
    </w:p>
    <w:p w:rsidR="00CA3B52" w:rsidRPr="00CB6CBA" w:rsidRDefault="00CA3B52" w:rsidP="00CA3B52">
      <w:pPr>
        <w:rPr>
          <w:lang w:val="en-US"/>
        </w:rPr>
      </w:pPr>
      <w:r w:rsidRPr="00CB6CBA">
        <w:rPr>
          <w:lang w:val="en-US"/>
        </w:rPr>
        <w:t xml:space="preserve">The total amount of the annual payments for spectral resource </w:t>
      </w:r>
      <w:r w:rsidRPr="00CB6CBA">
        <w:rPr>
          <w:i/>
          <w:lang w:val="en-US"/>
        </w:rPr>
        <w:t>C</w:t>
      </w:r>
      <w:r w:rsidRPr="00CB6CBA">
        <w:rPr>
          <w:i/>
          <w:vertAlign w:val="subscript"/>
          <w:lang w:val="en-US"/>
        </w:rPr>
        <w:t>an</w:t>
      </w:r>
      <w:r w:rsidRPr="00CB6CBA">
        <w:rPr>
          <w:lang w:val="en-US"/>
        </w:rPr>
        <w:t>, to be collected from all users, can be presented as:</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CB6CBA">
        <w:rPr>
          <w:i/>
          <w:iCs/>
          <w:lang w:val="en-US"/>
        </w:rPr>
        <w:t>C</w:t>
      </w:r>
      <w:r w:rsidRPr="00CB6CBA">
        <w:rPr>
          <w:i/>
          <w:iCs/>
          <w:vertAlign w:val="subscript"/>
          <w:lang w:val="en-US"/>
        </w:rPr>
        <w:t>an</w:t>
      </w:r>
      <w:r w:rsidRPr="00CB6CBA">
        <w:rPr>
          <w:lang w:val="en-US"/>
        </w:rPr>
        <w:t xml:space="preserve"> </w:t>
      </w:r>
      <w:r w:rsidRPr="00CB6CBA">
        <w:rPr>
          <w:rFonts w:ascii="Symbol" w:hAnsi="Symbol"/>
          <w:lang w:val="en-US"/>
        </w:rPr>
        <w:t></w:t>
      </w:r>
      <w:r w:rsidRPr="00CB6CBA">
        <w:rPr>
          <w:lang w:val="en-US"/>
        </w:rPr>
        <w:t xml:space="preserve"> </w:t>
      </w:r>
      <w:r w:rsidRPr="00CB6CBA">
        <w:rPr>
          <w:i/>
          <w:iCs/>
          <w:lang w:val="en-US"/>
        </w:rPr>
        <w:t>C</w:t>
      </w:r>
      <w:r w:rsidRPr="00CB6CBA">
        <w:rPr>
          <w:vertAlign w:val="subscript"/>
          <w:lang w:val="en-US"/>
        </w:rPr>
        <w:t>1</w:t>
      </w:r>
      <w:r w:rsidRPr="00CB6CBA">
        <w:rPr>
          <w:lang w:val="en-US"/>
        </w:rPr>
        <w:t xml:space="preserve"> </w:t>
      </w:r>
      <w:r w:rsidRPr="00CB6CBA">
        <w:rPr>
          <w:rFonts w:ascii="Symbol" w:hAnsi="Symbol"/>
          <w:lang w:val="en-US"/>
        </w:rPr>
        <w:t></w:t>
      </w:r>
      <w:r w:rsidRPr="00CB6CBA">
        <w:rPr>
          <w:lang w:val="en-US"/>
        </w:rPr>
        <w:t xml:space="preserve"> </w:t>
      </w:r>
      <w:r w:rsidRPr="00CB6CBA">
        <w:rPr>
          <w:i/>
          <w:iCs/>
          <w:lang w:val="en-US"/>
        </w:rPr>
        <w:t>C</w:t>
      </w:r>
      <w:r w:rsidRPr="00CB6CBA">
        <w:rPr>
          <w:vertAlign w:val="subscript"/>
          <w:lang w:val="en-US"/>
        </w:rPr>
        <w:t>2</w:t>
      </w:r>
      <w:r w:rsidRPr="00CB6CBA">
        <w:rPr>
          <w:lang w:val="en-US"/>
        </w:rPr>
        <w:t xml:space="preserve"> – </w:t>
      </w:r>
      <w:r w:rsidRPr="00CB6CBA">
        <w:rPr>
          <w:i/>
          <w:iCs/>
          <w:lang w:val="en-US"/>
        </w:rPr>
        <w:t>I</w:t>
      </w:r>
      <w:r w:rsidRPr="00CB6CBA">
        <w:rPr>
          <w:i/>
          <w:iCs/>
          <w:vertAlign w:val="subscript"/>
          <w:lang w:val="en-US"/>
        </w:rPr>
        <w:t>an</w:t>
      </w:r>
      <w:r w:rsidRPr="00CB6CBA">
        <w:rPr>
          <w:lang w:val="en-US"/>
        </w:rPr>
        <w:t>     (units of a national currency)</w:t>
      </w:r>
      <w:r w:rsidRPr="00CB6CBA">
        <w:rPr>
          <w:lang w:val="en-US"/>
        </w:rPr>
        <w:tab/>
        <w:t>(</w:t>
      </w:r>
      <w:r>
        <w:rPr>
          <w:lang w:val="en-US"/>
        </w:rPr>
        <w:t>17</w:t>
      </w:r>
      <w:r w:rsidRPr="00CB6CBA">
        <w:rPr>
          <w:lang w:val="en-US"/>
        </w:rPr>
        <w:t>)</w:t>
      </w:r>
    </w:p>
    <w:p w:rsidR="00CA3B52" w:rsidRPr="00CB6CBA" w:rsidRDefault="00CA3B52" w:rsidP="00CA3B52">
      <w:pPr>
        <w:rPr>
          <w:lang w:val="en-US"/>
        </w:rPr>
      </w:pPr>
      <w:r w:rsidRPr="00CB6CBA">
        <w:rPr>
          <w:lang w:val="en-US"/>
        </w:rPr>
        <w:t>where:</w:t>
      </w:r>
    </w:p>
    <w:p w:rsidR="00CA3B52" w:rsidRPr="00CB6CBA" w:rsidRDefault="00CA3B52" w:rsidP="00CA3B52">
      <w:pPr>
        <w:pStyle w:val="Equationlegend"/>
        <w:rPr>
          <w:iCs/>
        </w:rPr>
      </w:pPr>
      <w:r w:rsidRPr="00CB6CBA">
        <w:rPr>
          <w:iCs/>
        </w:rPr>
        <w:tab/>
      </w:r>
      <w:r w:rsidRPr="00CB6CBA">
        <w:rPr>
          <w:i/>
        </w:rPr>
        <w:t>C</w:t>
      </w:r>
      <w:r w:rsidRPr="00CB6CBA">
        <w:rPr>
          <w:vertAlign w:val="subscript"/>
        </w:rPr>
        <w:t>1</w:t>
      </w:r>
      <w:r w:rsidRPr="00CB6CBA">
        <w:rPr>
          <w:rFonts w:ascii="Tms Rmn" w:hAnsi="Tms Rmn"/>
          <w:iCs/>
          <w:sz w:val="12"/>
          <w:vertAlign w:val="subscript"/>
        </w:rPr>
        <w:t> </w:t>
      </w:r>
      <w:r w:rsidRPr="00CB6CBA">
        <w:rPr>
          <w:iCs/>
        </w:rPr>
        <w:t>:</w:t>
      </w:r>
      <w:r w:rsidRPr="00CB6CBA">
        <w:rPr>
          <w:iCs/>
        </w:rPr>
        <w:tab/>
        <w:t>share of the sum that is necessary for covering expenditures of the State on all national and international spectrum management activities</w:t>
      </w:r>
    </w:p>
    <w:p w:rsidR="00CA3B52" w:rsidRPr="00CB6CBA" w:rsidRDefault="00CA3B52" w:rsidP="00CA3B52">
      <w:pPr>
        <w:pStyle w:val="Equationlegend"/>
        <w:rPr>
          <w:iCs/>
        </w:rPr>
      </w:pPr>
      <w:r w:rsidRPr="00CB6CBA">
        <w:rPr>
          <w:iCs/>
        </w:rPr>
        <w:tab/>
      </w:r>
      <w:r w:rsidRPr="00CB6CBA">
        <w:rPr>
          <w:i/>
        </w:rPr>
        <w:t>C</w:t>
      </w:r>
      <w:r w:rsidRPr="00CB6CBA">
        <w:rPr>
          <w:vertAlign w:val="subscript"/>
        </w:rPr>
        <w:t>2</w:t>
      </w:r>
      <w:r w:rsidRPr="00CB6CBA">
        <w:rPr>
          <w:rFonts w:ascii="Tms Rmn" w:hAnsi="Tms Rmn"/>
          <w:iCs/>
          <w:sz w:val="12"/>
          <w:vertAlign w:val="subscript"/>
        </w:rPr>
        <w:t> </w:t>
      </w:r>
      <w:r w:rsidRPr="00CB6CBA">
        <w:rPr>
          <w:iCs/>
        </w:rPr>
        <w:t>:</w:t>
      </w:r>
      <w:r w:rsidRPr="00CB6CBA">
        <w:rPr>
          <w:iCs/>
        </w:rPr>
        <w:tab/>
        <w:t>net income of the State, if applied</w:t>
      </w:r>
    </w:p>
    <w:p w:rsidR="00CA3B52" w:rsidRPr="00CB6CBA" w:rsidRDefault="00CA3B52" w:rsidP="00CA3B52">
      <w:pPr>
        <w:pStyle w:val="Equationlegend"/>
      </w:pPr>
      <w:r w:rsidRPr="00CB6CBA">
        <w:rPr>
          <w:iCs/>
        </w:rPr>
        <w:tab/>
      </w:r>
      <w:r w:rsidRPr="00CB6CBA">
        <w:rPr>
          <w:i/>
        </w:rPr>
        <w:t>I</w:t>
      </w:r>
      <w:r w:rsidRPr="005C0D19">
        <w:rPr>
          <w:i/>
          <w:iCs/>
          <w:vertAlign w:val="subscript"/>
        </w:rPr>
        <w:t>an</w:t>
      </w:r>
      <w:r w:rsidRPr="00CB6CBA">
        <w:rPr>
          <w:rFonts w:ascii="Tms Rmn" w:hAnsi="Tms Rmn"/>
          <w:iCs/>
          <w:sz w:val="12"/>
          <w:vertAlign w:val="subscript"/>
        </w:rPr>
        <w:t> </w:t>
      </w:r>
      <w:r w:rsidRPr="00CB6CBA">
        <w:rPr>
          <w:iCs/>
        </w:rPr>
        <w:t>:</w:t>
      </w:r>
      <w:r w:rsidRPr="00CB6CBA">
        <w:rPr>
          <w:iCs/>
        </w:rPr>
        <w:tab/>
        <w:t>total</w:t>
      </w:r>
      <w:r w:rsidRPr="00CB6CBA">
        <w:t xml:space="preserve"> amount of annual radio communication inspection charges, if applied.</w:t>
      </w:r>
    </w:p>
    <w:p w:rsidR="00CA3B52" w:rsidRPr="00CB6CBA" w:rsidRDefault="00CA3B52" w:rsidP="00CA3B52">
      <w:pPr>
        <w:rPr>
          <w:lang w:val="en-US"/>
        </w:rPr>
      </w:pPr>
      <w:r w:rsidRPr="00CB6CBA">
        <w:rPr>
          <w:lang w:val="en-US"/>
        </w:rPr>
        <w:t>The last term is applied if an administration uses separate additional tariffs for inspection and examination activities (examination of frequency assignment application forms, inspection of radio stations after installations before entering to operation, systematic inspection of radio installations on conformity to license terms, etc.). This value can be assumed for each current year based on previous year data.</w:t>
      </w:r>
    </w:p>
    <w:p w:rsidR="00CA3B52" w:rsidRPr="00CB6CBA" w:rsidRDefault="00CA3B52" w:rsidP="00CA3B52">
      <w:pPr>
        <w:rPr>
          <w:lang w:val="en-US"/>
        </w:rPr>
      </w:pPr>
      <w:r w:rsidRPr="00CB6CBA">
        <w:rPr>
          <w:lang w:val="en-US"/>
        </w:rPr>
        <w:t xml:space="preserve">It is possible to subdivide the terms </w:t>
      </w:r>
      <w:r w:rsidRPr="00CB6CBA">
        <w:rPr>
          <w:i/>
          <w:lang w:val="en-US"/>
        </w:rPr>
        <w:t>C</w:t>
      </w:r>
      <w:r w:rsidRPr="00CB6CBA">
        <w:rPr>
          <w:vertAlign w:val="subscript"/>
          <w:lang w:val="en-US"/>
        </w:rPr>
        <w:t>1</w:t>
      </w:r>
      <w:r w:rsidRPr="00CB6CBA">
        <w:rPr>
          <w:lang w:val="en-US"/>
        </w:rPr>
        <w:t xml:space="preserve"> and </w:t>
      </w:r>
      <w:r w:rsidRPr="00CB6CBA">
        <w:rPr>
          <w:i/>
          <w:lang w:val="en-US"/>
        </w:rPr>
        <w:t>C</w:t>
      </w:r>
      <w:r w:rsidRPr="00CB6CBA">
        <w:rPr>
          <w:vertAlign w:val="subscript"/>
          <w:lang w:val="en-US"/>
        </w:rPr>
        <w:t>2</w:t>
      </w:r>
      <w:r w:rsidRPr="00CB6CBA">
        <w:rPr>
          <w:lang w:val="en-US"/>
        </w:rPr>
        <w:t xml:space="preserve"> into additional components:</w:t>
      </w:r>
    </w:p>
    <w:p w:rsidR="00CA3B52" w:rsidRDefault="00CA3B52" w:rsidP="00CA3B52">
      <w:pPr>
        <w:pStyle w:val="Blanc"/>
      </w:pPr>
    </w:p>
    <w:p w:rsidR="00CA3B52" w:rsidRDefault="00CA3B52" w:rsidP="00F65451">
      <w:pPr>
        <w:pStyle w:val="Equation"/>
        <w:rPr>
          <w:lang w:val="en-US"/>
        </w:rPr>
      </w:pPr>
      <w:r w:rsidRPr="00CB6CBA">
        <w:rPr>
          <w:lang w:val="en-US"/>
        </w:rPr>
        <w:tab/>
      </w:r>
      <w:r w:rsidRPr="00CB6CBA">
        <w:rPr>
          <w:lang w:val="en-US"/>
        </w:rPr>
        <w:tab/>
      </w:r>
      <w:r w:rsidRPr="00CB6CBA">
        <w:rPr>
          <w:i/>
          <w:iCs/>
          <w:lang w:val="en-US"/>
        </w:rPr>
        <w:t>C</w:t>
      </w:r>
      <w:r w:rsidRPr="00CB6CBA">
        <w:rPr>
          <w:vertAlign w:val="subscript"/>
          <w:lang w:val="en-US"/>
        </w:rPr>
        <w:t>1</w:t>
      </w:r>
      <w:r w:rsidRPr="00CB6CBA">
        <w:rPr>
          <w:lang w:val="en-US"/>
        </w:rPr>
        <w:t xml:space="preserve"> </w:t>
      </w:r>
      <w:r w:rsidRPr="00CB6CBA">
        <w:rPr>
          <w:rFonts w:ascii="Symbol" w:hAnsi="Symbol"/>
          <w:lang w:val="en-US"/>
        </w:rPr>
        <w:t></w:t>
      </w:r>
      <w:r w:rsidRPr="00CB6CBA">
        <w:rPr>
          <w:lang w:val="en-US"/>
        </w:rPr>
        <w:t xml:space="preserve"> </w:t>
      </w:r>
      <w:r w:rsidRPr="00CB6CBA">
        <w:rPr>
          <w:i/>
          <w:iCs/>
          <w:lang w:val="en-US"/>
        </w:rPr>
        <w:t>C</w:t>
      </w:r>
      <w:r w:rsidRPr="00CB6CBA">
        <w:rPr>
          <w:vertAlign w:val="subscript"/>
          <w:lang w:val="en-US"/>
        </w:rPr>
        <w:t>11</w:t>
      </w:r>
      <w:r w:rsidRPr="00CB6CBA">
        <w:rPr>
          <w:lang w:val="en-US"/>
        </w:rPr>
        <w:t xml:space="preserve"> </w:t>
      </w:r>
      <w:r w:rsidRPr="00CB6CBA">
        <w:rPr>
          <w:rFonts w:ascii="Symbol" w:hAnsi="Symbol"/>
          <w:lang w:val="en-US"/>
        </w:rPr>
        <w:t></w:t>
      </w:r>
      <w:r w:rsidRPr="00CB6CBA">
        <w:rPr>
          <w:lang w:val="en-US"/>
        </w:rPr>
        <w:t xml:space="preserve"> </w:t>
      </w:r>
      <w:r w:rsidRPr="00CB6CBA">
        <w:rPr>
          <w:i/>
          <w:iCs/>
          <w:lang w:val="en-US"/>
        </w:rPr>
        <w:t>C</w:t>
      </w:r>
      <w:r w:rsidRPr="00CB6CBA">
        <w:rPr>
          <w:vertAlign w:val="subscript"/>
          <w:lang w:val="en-US"/>
        </w:rPr>
        <w:t>12</w:t>
      </w:r>
      <w:r w:rsidRPr="00CB6CBA">
        <w:rPr>
          <w:lang w:val="en-US"/>
        </w:rPr>
        <w:t xml:space="preserve"> </w:t>
      </w:r>
      <w:r w:rsidRPr="00CB6CBA">
        <w:rPr>
          <w:rFonts w:ascii="Symbol" w:hAnsi="Symbol"/>
          <w:lang w:val="en-US"/>
        </w:rPr>
        <w:t></w:t>
      </w:r>
      <w:r w:rsidRPr="00CB6CBA">
        <w:rPr>
          <w:lang w:val="en-US"/>
        </w:rPr>
        <w:t xml:space="preserve"> </w:t>
      </w:r>
      <w:r w:rsidRPr="00CB6CBA">
        <w:rPr>
          <w:i/>
          <w:iCs/>
          <w:lang w:val="en-US"/>
        </w:rPr>
        <w:t>C</w:t>
      </w:r>
      <w:r w:rsidRPr="00CB6CBA">
        <w:rPr>
          <w:vertAlign w:val="subscript"/>
          <w:lang w:val="en-US"/>
        </w:rPr>
        <w:t>13</w:t>
      </w:r>
      <w:r w:rsidRPr="00CB6CBA">
        <w:rPr>
          <w:lang w:val="en-US"/>
        </w:rPr>
        <w:t xml:space="preserve"> </w:t>
      </w:r>
      <w:r w:rsidRPr="00CB6CBA">
        <w:rPr>
          <w:rFonts w:ascii="Symbol" w:hAnsi="Symbol"/>
          <w:lang w:val="en-US"/>
        </w:rPr>
        <w:t></w:t>
      </w:r>
      <w:r w:rsidRPr="00CB6CBA">
        <w:rPr>
          <w:lang w:val="en-US"/>
        </w:rPr>
        <w:t xml:space="preserve"> </w:t>
      </w:r>
      <w:r w:rsidRPr="00CB6CBA">
        <w:rPr>
          <w:i/>
          <w:iCs/>
          <w:lang w:val="en-US"/>
        </w:rPr>
        <w:t>C</w:t>
      </w:r>
      <w:r w:rsidRPr="00CB6CBA">
        <w:rPr>
          <w:vertAlign w:val="subscript"/>
          <w:lang w:val="en-US"/>
        </w:rPr>
        <w:t>14</w:t>
      </w:r>
      <w:r w:rsidRPr="00CB6CBA">
        <w:rPr>
          <w:lang w:val="en-US"/>
        </w:rPr>
        <w:tab/>
        <w:t>(</w:t>
      </w:r>
      <w:r>
        <w:rPr>
          <w:lang w:val="en-US"/>
        </w:rPr>
        <w:t>18</w:t>
      </w:r>
      <w:r w:rsidRPr="00CB6CBA">
        <w:rPr>
          <w:lang w:val="en-US"/>
        </w:rPr>
        <w:t>)</w:t>
      </w:r>
    </w:p>
    <w:p w:rsidR="00CA3B52" w:rsidRPr="00CB6CBA" w:rsidRDefault="00CA3B52" w:rsidP="00CA3B52">
      <w:pPr>
        <w:rPr>
          <w:lang w:val="en-US"/>
        </w:rPr>
      </w:pPr>
      <w:r w:rsidRPr="00CB6CBA">
        <w:rPr>
          <w:lang w:val="en-US"/>
        </w:rPr>
        <w:t>where:</w:t>
      </w:r>
    </w:p>
    <w:p w:rsidR="00CA3B52" w:rsidRPr="00CB6CBA" w:rsidRDefault="00CA3B52" w:rsidP="00CA3B52">
      <w:pPr>
        <w:pStyle w:val="Equationlegend"/>
      </w:pPr>
      <w:r w:rsidRPr="00CB6CBA">
        <w:rPr>
          <w:i/>
        </w:rPr>
        <w:tab/>
        <w:t>C</w:t>
      </w:r>
      <w:r w:rsidRPr="00CB6CBA">
        <w:rPr>
          <w:vertAlign w:val="subscript"/>
        </w:rPr>
        <w:t>11</w:t>
      </w:r>
      <w:r w:rsidRPr="00CB6CBA">
        <w:t>:</w:t>
      </w:r>
      <w:r w:rsidRPr="00CB6CBA">
        <w:tab/>
        <w:t>funds necessary for the purchase and efficient operations using spectrum management system facilities and equipment, including radio monitoring station equipment, direction finders, computers and software for monitoring stations and for a national Spectrum Management Database, equipment for inspection purposes, materials, amortization of buildings, constructions, transport vehicles, etc.</w:t>
      </w:r>
    </w:p>
    <w:p w:rsidR="00CA3B52" w:rsidRPr="00CB6CBA" w:rsidRDefault="00CA3B52" w:rsidP="00CA3B52">
      <w:pPr>
        <w:pStyle w:val="Equationlegend"/>
      </w:pPr>
      <w:r w:rsidRPr="00CB6CBA">
        <w:rPr>
          <w:i/>
        </w:rPr>
        <w:tab/>
        <w:t>C</w:t>
      </w:r>
      <w:r w:rsidRPr="00CB6CBA">
        <w:rPr>
          <w:vertAlign w:val="subscript"/>
        </w:rPr>
        <w:t>12</w:t>
      </w:r>
      <w:r w:rsidRPr="00CB6CBA">
        <w:t>:</w:t>
      </w:r>
      <w:r w:rsidRPr="00CB6CBA">
        <w:tab/>
        <w:t>funds necessary for carrying out supporting scientific research purchase of the scientific and operational literature, international standards and recommendations, carrying out electromagnetic compatibility analysis for supporting frequency assignment process, etc.</w:t>
      </w:r>
    </w:p>
    <w:p w:rsidR="00CA3B52" w:rsidRPr="00CB6CBA" w:rsidRDefault="00CA3B52" w:rsidP="00CA3B52">
      <w:pPr>
        <w:pStyle w:val="Equationlegend"/>
      </w:pPr>
      <w:r w:rsidRPr="00CB6CBA">
        <w:rPr>
          <w:i/>
        </w:rPr>
        <w:tab/>
        <w:t>C</w:t>
      </w:r>
      <w:r w:rsidRPr="00CB6CBA">
        <w:rPr>
          <w:vertAlign w:val="subscript"/>
        </w:rPr>
        <w:t>13</w:t>
      </w:r>
      <w:r w:rsidRPr="00CB6CBA">
        <w:t>:</w:t>
      </w:r>
      <w:r w:rsidRPr="00CB6CBA">
        <w:tab/>
        <w:t>funds necessary to provide efficient activities of a national telecommunication administration within ITU-R and to fulfil bilateral and multilateral frequency coordination obligations relating to terrestrial and satellite radio services etc.</w:t>
      </w:r>
    </w:p>
    <w:p w:rsidR="00CA3B52" w:rsidRPr="00CB6CBA" w:rsidRDefault="00CA3B52" w:rsidP="00CA3B52">
      <w:pPr>
        <w:pStyle w:val="Equationlegend"/>
      </w:pPr>
      <w:r w:rsidRPr="00CB6CBA">
        <w:rPr>
          <w:i/>
        </w:rPr>
        <w:tab/>
        <w:t>C</w:t>
      </w:r>
      <w:r w:rsidRPr="00CB6CBA">
        <w:rPr>
          <w:vertAlign w:val="subscript"/>
        </w:rPr>
        <w:t>14</w:t>
      </w:r>
      <w:r w:rsidRPr="00CB6CBA">
        <w:t>:</w:t>
      </w:r>
      <w:r w:rsidRPr="00CB6CBA">
        <w:tab/>
        <w:t>spectrum management staff salaries.</w:t>
      </w:r>
    </w:p>
    <w:p w:rsidR="00CA3B52" w:rsidRPr="00CB6CBA" w:rsidRDefault="00CA3B52" w:rsidP="00CA3B52">
      <w:pPr>
        <w:rPr>
          <w:lang w:val="en-US"/>
        </w:rPr>
      </w:pPr>
      <w:r w:rsidRPr="00CB6CBA">
        <w:rPr>
          <w:lang w:val="en-US"/>
        </w:rPr>
        <w:t xml:space="preserve">Taxes are not included in the amounts </w:t>
      </w:r>
      <w:r w:rsidRPr="00CB6CBA">
        <w:rPr>
          <w:i/>
          <w:lang w:val="en-US"/>
        </w:rPr>
        <w:t>C</w:t>
      </w:r>
      <w:r w:rsidRPr="00CB6CBA">
        <w:rPr>
          <w:vertAlign w:val="subscript"/>
          <w:lang w:val="en-US"/>
        </w:rPr>
        <w:t>11</w:t>
      </w:r>
      <w:r w:rsidRPr="00CB6CBA">
        <w:rPr>
          <w:i/>
          <w:lang w:val="en-US"/>
        </w:rPr>
        <w:t xml:space="preserve"> – C</w:t>
      </w:r>
      <w:r w:rsidRPr="00CB6CBA">
        <w:rPr>
          <w:vertAlign w:val="subscript"/>
          <w:lang w:val="en-US"/>
        </w:rPr>
        <w:t>14</w:t>
      </w:r>
      <w:r w:rsidRPr="00CB6CBA">
        <w:rPr>
          <w:lang w:val="en-US"/>
        </w:rPr>
        <w:t>.</w:t>
      </w:r>
    </w:p>
    <w:p w:rsidR="00CA3B52" w:rsidRPr="00CB6CBA" w:rsidRDefault="00CA3B52" w:rsidP="00CA3B52">
      <w:pPr>
        <w:rPr>
          <w:lang w:val="en-US"/>
        </w:rPr>
      </w:pPr>
      <w:r w:rsidRPr="00CB6CBA">
        <w:rPr>
          <w:lang w:val="en-US"/>
        </w:rPr>
        <w:t xml:space="preserve">Coefficient </w:t>
      </w:r>
      <w:r w:rsidRPr="00CB6CBA">
        <w:rPr>
          <w:i/>
          <w:lang w:val="en-US"/>
        </w:rPr>
        <w:t>C</w:t>
      </w:r>
      <w:r w:rsidRPr="00CB6CBA">
        <w:rPr>
          <w:vertAlign w:val="subscript"/>
          <w:lang w:val="en-US"/>
        </w:rPr>
        <w:t>2</w:t>
      </w:r>
      <w:r w:rsidRPr="00CB6CBA">
        <w:rPr>
          <w:lang w:val="en-US"/>
        </w:rPr>
        <w:t xml:space="preserve"> can be presented as the following components:</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CB6CBA">
        <w:rPr>
          <w:i/>
          <w:iCs/>
          <w:lang w:val="en-US"/>
        </w:rPr>
        <w:t>C</w:t>
      </w:r>
      <w:r w:rsidRPr="00CB6CBA">
        <w:rPr>
          <w:vertAlign w:val="subscript"/>
          <w:lang w:val="en-US"/>
        </w:rPr>
        <w:t>2</w:t>
      </w:r>
      <w:r w:rsidRPr="00CB6CBA">
        <w:rPr>
          <w:lang w:val="en-US"/>
        </w:rPr>
        <w:t xml:space="preserve"> </w:t>
      </w:r>
      <w:r w:rsidRPr="00CB6CBA">
        <w:rPr>
          <w:rFonts w:ascii="Symbol" w:hAnsi="Symbol"/>
          <w:lang w:val="en-US"/>
        </w:rPr>
        <w:t></w:t>
      </w:r>
      <w:r w:rsidRPr="00CB6CBA">
        <w:rPr>
          <w:lang w:val="en-US"/>
        </w:rPr>
        <w:t xml:space="preserve"> </w:t>
      </w:r>
      <w:r w:rsidRPr="00CB6CBA">
        <w:rPr>
          <w:i/>
          <w:iCs/>
          <w:lang w:val="en-US"/>
        </w:rPr>
        <w:t>C</w:t>
      </w:r>
      <w:r w:rsidRPr="00CB6CBA">
        <w:rPr>
          <w:vertAlign w:val="subscript"/>
          <w:lang w:val="en-US"/>
        </w:rPr>
        <w:t>21</w:t>
      </w:r>
      <w:r w:rsidRPr="00CB6CBA">
        <w:rPr>
          <w:lang w:val="en-US"/>
        </w:rPr>
        <w:t xml:space="preserve"> </w:t>
      </w:r>
      <w:r w:rsidRPr="00CB6CBA">
        <w:rPr>
          <w:rFonts w:ascii="Symbol" w:hAnsi="Symbol"/>
          <w:lang w:val="en-US"/>
        </w:rPr>
        <w:t></w:t>
      </w:r>
      <w:r w:rsidRPr="00CB6CBA">
        <w:rPr>
          <w:lang w:val="en-US"/>
        </w:rPr>
        <w:t xml:space="preserve"> </w:t>
      </w:r>
      <w:r w:rsidRPr="00CB6CBA">
        <w:rPr>
          <w:i/>
          <w:iCs/>
          <w:lang w:val="en-US"/>
        </w:rPr>
        <w:t>C</w:t>
      </w:r>
      <w:r w:rsidRPr="00CB6CBA">
        <w:rPr>
          <w:vertAlign w:val="subscript"/>
          <w:lang w:val="en-US"/>
        </w:rPr>
        <w:t>22</w:t>
      </w:r>
      <w:r w:rsidRPr="00CB6CBA">
        <w:rPr>
          <w:lang w:val="en-US"/>
        </w:rPr>
        <w:tab/>
        <w:t>(</w:t>
      </w:r>
      <w:r>
        <w:rPr>
          <w:lang w:val="en-US"/>
        </w:rPr>
        <w:t>19</w:t>
      </w:r>
      <w:r w:rsidRPr="00CB6CBA">
        <w:rPr>
          <w:lang w:val="en-US"/>
        </w:rPr>
        <w:t>)</w:t>
      </w:r>
    </w:p>
    <w:p w:rsidR="00CA3B52" w:rsidRPr="00CB6CBA" w:rsidRDefault="00CA3B52" w:rsidP="00CA3B52">
      <w:pPr>
        <w:rPr>
          <w:rFonts w:eastAsia="SimSun"/>
          <w:lang w:val="en-US" w:eastAsia="zh-CN"/>
        </w:rPr>
      </w:pPr>
      <w:r w:rsidRPr="00CB6CBA">
        <w:rPr>
          <w:rFonts w:eastAsia="SimSun"/>
          <w:lang w:val="en-US" w:eastAsia="zh-CN"/>
        </w:rPr>
        <w:t>where:</w:t>
      </w:r>
    </w:p>
    <w:p w:rsidR="00CA3B52" w:rsidRPr="00CB6CBA" w:rsidRDefault="00CA3B52" w:rsidP="00CA3B52">
      <w:pPr>
        <w:pStyle w:val="Equationlegend"/>
      </w:pPr>
      <w:r w:rsidRPr="00CB6CBA">
        <w:rPr>
          <w:i/>
        </w:rPr>
        <w:tab/>
        <w:t>C</w:t>
      </w:r>
      <w:r w:rsidRPr="00CB6CBA">
        <w:rPr>
          <w:vertAlign w:val="subscript"/>
        </w:rPr>
        <w:t>21</w:t>
      </w:r>
      <w:r w:rsidRPr="00CB6CBA">
        <w:t>:</w:t>
      </w:r>
      <w:r w:rsidRPr="00CB6CBA">
        <w:tab/>
        <w:t>taxes on the incomes of a national spectrum management body and taxes included in the cost of the equipment, software, materials etc., which are bought by this body from the market</w:t>
      </w:r>
    </w:p>
    <w:p w:rsidR="00CA3B52" w:rsidRPr="00CB6CBA" w:rsidRDefault="00CA3B52" w:rsidP="00CA3B52">
      <w:pPr>
        <w:pStyle w:val="Equationlegend"/>
      </w:pPr>
      <w:r w:rsidRPr="00CB6CBA">
        <w:rPr>
          <w:i/>
        </w:rPr>
        <w:tab/>
        <w:t>C</w:t>
      </w:r>
      <w:r w:rsidRPr="00CB6CBA">
        <w:rPr>
          <w:vertAlign w:val="subscript"/>
        </w:rPr>
        <w:t>22</w:t>
      </w:r>
      <w:r w:rsidRPr="00CB6CBA">
        <w:t>:</w:t>
      </w:r>
      <w:r w:rsidRPr="00CB6CBA">
        <w:tab/>
        <w:t>additional payment for spectrum use coming directly to a State budget.</w:t>
      </w:r>
    </w:p>
    <w:p w:rsidR="00CA3B52" w:rsidRDefault="00CA3B52" w:rsidP="00CA3B52">
      <w:pPr>
        <w:rPr>
          <w:lang w:val="en-US"/>
        </w:rPr>
      </w:pPr>
      <w:r w:rsidRPr="00CB6CBA">
        <w:rPr>
          <w:lang w:val="en-US"/>
        </w:rPr>
        <w:lastRenderedPageBreak/>
        <w:t>To encourage faster development of radio communication services to support economic development of a country some countries do not apply such additional charges. Equations (</w:t>
      </w:r>
      <w:r>
        <w:rPr>
          <w:lang w:val="en-US"/>
        </w:rPr>
        <w:t>17</w:t>
      </w:r>
      <w:r w:rsidRPr="00CB6CBA">
        <w:rPr>
          <w:lang w:val="en-US"/>
        </w:rPr>
        <w:t>) and (</w:t>
      </w:r>
      <w:r>
        <w:rPr>
          <w:lang w:val="en-US"/>
        </w:rPr>
        <w:t>19</w:t>
      </w:r>
      <w:r w:rsidRPr="00CB6CBA">
        <w:rPr>
          <w:lang w:val="en-US"/>
        </w:rPr>
        <w:t xml:space="preserve">) do not take into account any indirect income of the State from the used spectral resource in the form of taxes from the incomes of the telecommunication operators whose activity is connected with spectral resource use (for example, taxes from the incomes of the cellular communication operators). This component of the income of the State usually is collected and repeatedly exceeds reasonable values of </w:t>
      </w:r>
      <w:r w:rsidRPr="00CB6CBA">
        <w:rPr>
          <w:i/>
          <w:lang w:val="en-US"/>
        </w:rPr>
        <w:t>C</w:t>
      </w:r>
      <w:r w:rsidRPr="00CB6CBA">
        <w:rPr>
          <w:vertAlign w:val="subscript"/>
          <w:lang w:val="en-US"/>
        </w:rPr>
        <w:t>22</w:t>
      </w:r>
      <w:r w:rsidRPr="00CB6CBA">
        <w:rPr>
          <w:lang w:val="en-US"/>
        </w:rPr>
        <w:t>, if those would be collected. At the same time these taxes are also</w:t>
      </w:r>
      <w:r w:rsidRPr="00CB6CBA">
        <w:rPr>
          <w:b/>
          <w:lang w:val="en-US"/>
        </w:rPr>
        <w:t xml:space="preserve"> </w:t>
      </w:r>
      <w:r w:rsidRPr="00CB6CBA">
        <w:rPr>
          <w:lang w:val="en-US"/>
        </w:rPr>
        <w:t>the State income from used spectral resource although an indirect one.</w:t>
      </w:r>
    </w:p>
    <w:p w:rsidR="00CA3B52" w:rsidRPr="00CB6CBA" w:rsidRDefault="00CA3B52" w:rsidP="00CA3B52">
      <w:pPr>
        <w:rPr>
          <w:lang w:val="en-US"/>
        </w:rPr>
      </w:pPr>
      <w:r w:rsidRPr="00CB6CBA">
        <w:rPr>
          <w:lang w:val="en-US"/>
        </w:rPr>
        <w:t xml:space="preserve">In essence </w:t>
      </w:r>
      <w:r w:rsidRPr="00CB6CBA">
        <w:rPr>
          <w:i/>
          <w:lang w:val="en-US"/>
        </w:rPr>
        <w:t>C</w:t>
      </w:r>
      <w:r w:rsidRPr="00CB6CBA">
        <w:rPr>
          <w:vertAlign w:val="subscript"/>
          <w:lang w:val="en-US"/>
        </w:rPr>
        <w:t>22</w:t>
      </w:r>
      <w:r w:rsidRPr="00CB6CBA">
        <w:rPr>
          <w:lang w:val="en-US"/>
        </w:rPr>
        <w:t xml:space="preserve"> is some kind of advanced payment to the State for a spectrum and many telecommunication operators, especially in the developing countries, will not be immediately be able to make such large payments and furthermore this could be an obstacle to development.</w:t>
      </w:r>
    </w:p>
    <w:p w:rsidR="00CA3B52" w:rsidRPr="00CB6CBA" w:rsidRDefault="00CA3B52" w:rsidP="00CA3B52">
      <w:pPr>
        <w:rPr>
          <w:lang w:val="en-US"/>
        </w:rPr>
      </w:pPr>
      <w:r w:rsidRPr="00CB6CBA">
        <w:rPr>
          <w:lang w:val="en-US"/>
        </w:rPr>
        <w:t xml:space="preserve">A good measure of the provision of an economic incentive is to reduce to a minimum the </w:t>
      </w:r>
      <w:r w:rsidRPr="00CB6CBA">
        <w:rPr>
          <w:i/>
          <w:lang w:val="en-US"/>
        </w:rPr>
        <w:t>C</w:t>
      </w:r>
      <w:r w:rsidRPr="00CB6CBA">
        <w:rPr>
          <w:vertAlign w:val="subscript"/>
          <w:lang w:val="en-US"/>
        </w:rPr>
        <w:t>22</w:t>
      </w:r>
      <w:r w:rsidRPr="00CB6CBA">
        <w:rPr>
          <w:position w:val="-4"/>
          <w:lang w:val="en-US"/>
        </w:rPr>
        <w:t xml:space="preserve"> </w:t>
      </w:r>
      <w:r w:rsidRPr="00CB6CBA">
        <w:rPr>
          <w:lang w:val="en-US"/>
        </w:rPr>
        <w:t xml:space="preserve">component, so that a telecommunication operator begins to provide service as quickly as possible. The loss of this </w:t>
      </w:r>
      <w:r w:rsidRPr="00CB6CBA">
        <w:rPr>
          <w:i/>
          <w:lang w:val="en-US"/>
        </w:rPr>
        <w:t>C</w:t>
      </w:r>
      <w:r w:rsidRPr="00CB6CBA">
        <w:rPr>
          <w:vertAlign w:val="subscript"/>
          <w:lang w:val="en-US"/>
        </w:rPr>
        <w:t>22</w:t>
      </w:r>
      <w:r w:rsidRPr="00CB6CBA">
        <w:rPr>
          <w:lang w:val="en-US"/>
        </w:rPr>
        <w:t xml:space="preserve"> component can be easily compensated by a State from taxes from the telecommunication operator’s activity.</w:t>
      </w:r>
    </w:p>
    <w:p w:rsidR="00CA3B52" w:rsidRPr="00CB6CBA" w:rsidRDefault="00CA3B52" w:rsidP="00CA3B52">
      <w:pPr>
        <w:rPr>
          <w:lang w:val="en-US"/>
        </w:rPr>
      </w:pPr>
      <w:r w:rsidRPr="00CB6CBA">
        <w:rPr>
          <w:lang w:val="en-US"/>
        </w:rPr>
        <w:t>Thus, for the purposes of rapid development of telecommunications and information services in a country and the creation of economic incentives to the telecommunication operators, it is essential to hold spectrum payments</w:t>
      </w:r>
      <w:r w:rsidRPr="00CB6CBA">
        <w:rPr>
          <w:b/>
          <w:lang w:val="en-US"/>
        </w:rPr>
        <w:t xml:space="preserve"> </w:t>
      </w:r>
      <w:r w:rsidRPr="00CB6CBA">
        <w:rPr>
          <w:lang w:val="en-US"/>
        </w:rPr>
        <w:t>to the minimum</w:t>
      </w:r>
      <w:r w:rsidRPr="00CB6CBA">
        <w:rPr>
          <w:b/>
          <w:lang w:val="en-US"/>
        </w:rPr>
        <w:t xml:space="preserve"> </w:t>
      </w:r>
      <w:r w:rsidRPr="00CB6CBA">
        <w:rPr>
          <w:lang w:val="en-US"/>
        </w:rPr>
        <w:t>necessary values to cover the costs of a national spectrum management. Administrations can gain further fees from the license for applications to which the spectrum is used and furthermore the taxes on operator revenues will compensate for the revenue foregone. This will be the case particularly where spectrum fees and licensing are treated separately.</w:t>
      </w:r>
    </w:p>
    <w:p w:rsidR="00CA3B52" w:rsidRPr="00CB6CBA" w:rsidRDefault="00CA3B52" w:rsidP="00CA3B52">
      <w:pPr>
        <w:pStyle w:val="Heading3"/>
        <w:rPr>
          <w:lang w:val="en-US"/>
        </w:rPr>
      </w:pPr>
      <w:bookmarkStart w:id="1349" w:name="_Toc289868834"/>
      <w:bookmarkStart w:id="1350" w:name="_Toc289868994"/>
      <w:bookmarkStart w:id="1351" w:name="_Toc289932302"/>
      <w:bookmarkStart w:id="1352" w:name="_Toc289933348"/>
      <w:bookmarkStart w:id="1353" w:name="_Toc291852911"/>
      <w:bookmarkStart w:id="1354" w:name="_Toc392515897"/>
      <w:r w:rsidRPr="00CB6CBA">
        <w:rPr>
          <w:lang w:val="en-US"/>
        </w:rPr>
        <w:t>4.6.5</w:t>
      </w:r>
      <w:r w:rsidRPr="00CB6CBA">
        <w:rPr>
          <w:lang w:val="en-US"/>
        </w:rPr>
        <w:tab/>
        <w:t>Determination of the used spectral resource value</w:t>
      </w:r>
      <w:bookmarkEnd w:id="1349"/>
      <w:bookmarkEnd w:id="1350"/>
      <w:bookmarkEnd w:id="1351"/>
      <w:bookmarkEnd w:id="1352"/>
      <w:bookmarkEnd w:id="1353"/>
      <w:bookmarkEnd w:id="1354"/>
    </w:p>
    <w:p w:rsidR="00CA3B52" w:rsidRDefault="00CA3B52" w:rsidP="00CA3B52">
      <w:pPr>
        <w:rPr>
          <w:lang w:val="en-US"/>
        </w:rPr>
      </w:pPr>
      <w:r w:rsidRPr="00CB6CBA">
        <w:rPr>
          <w:lang w:val="en-US"/>
        </w:rPr>
        <w:t>Proceeding from equations (</w:t>
      </w:r>
      <w:r w:rsidRPr="003C17B5">
        <w:rPr>
          <w:lang w:val="en-US"/>
        </w:rPr>
        <w:t>17</w:t>
      </w:r>
      <w:r w:rsidRPr="00CB6CBA">
        <w:rPr>
          <w:lang w:val="en-US"/>
        </w:rPr>
        <w:t>)-(</w:t>
      </w:r>
      <w:r w:rsidRPr="003C17B5">
        <w:rPr>
          <w:lang w:val="en-US"/>
        </w:rPr>
        <w:t>19</w:t>
      </w:r>
      <w:r w:rsidRPr="00CB6CBA">
        <w:rPr>
          <w:lang w:val="en-US"/>
        </w:rPr>
        <w:t xml:space="preserve">) it is possible to determine </w:t>
      </w:r>
      <w:r w:rsidRPr="00CB6CBA">
        <w:rPr>
          <w:i/>
          <w:lang w:val="en-US"/>
        </w:rPr>
        <w:t>C</w:t>
      </w:r>
      <w:r w:rsidRPr="00CB6CBA">
        <w:rPr>
          <w:i/>
          <w:vertAlign w:val="subscript"/>
          <w:lang w:val="en-US"/>
        </w:rPr>
        <w:t>an</w:t>
      </w:r>
      <w:r w:rsidRPr="00CB6CBA">
        <w:rPr>
          <w:lang w:val="en-US"/>
        </w:rPr>
        <w:t xml:space="preserve"> representing the cumulative annual expenditures and income payment for all spectral resources, used in the country. The second step is to determine the spectral resource value used by each user and then by all users. These are calculated on the basis of data regarding each frequency assignment contained in a national Spectrum Management Database.</w:t>
      </w:r>
    </w:p>
    <w:p w:rsidR="00CA3B52" w:rsidRPr="00CB6CBA" w:rsidRDefault="00CA3B52" w:rsidP="00CA3B52">
      <w:pPr>
        <w:rPr>
          <w:lang w:val="en-US"/>
        </w:rPr>
      </w:pPr>
      <w:r w:rsidRPr="00CB6CBA">
        <w:rPr>
          <w:lang w:val="en-US"/>
        </w:rPr>
        <w:t>The method proposed is as follows.</w:t>
      </w:r>
    </w:p>
    <w:p w:rsidR="00CA3B52" w:rsidRPr="00CB6CBA" w:rsidRDefault="00CA3B52" w:rsidP="00CA3B52">
      <w:pPr>
        <w:rPr>
          <w:lang w:val="en-US"/>
        </w:rPr>
      </w:pPr>
      <w:r w:rsidRPr="00CB6CBA">
        <w:rPr>
          <w:lang w:val="en-US"/>
        </w:rPr>
        <w:t xml:space="preserve">For any </w:t>
      </w:r>
      <w:r w:rsidRPr="00CB6CBA">
        <w:rPr>
          <w:i/>
          <w:lang w:val="en-US"/>
        </w:rPr>
        <w:t>i</w:t>
      </w:r>
      <w:r w:rsidRPr="00CB6CBA">
        <w:rPr>
          <w:lang w:val="en-US"/>
        </w:rPr>
        <w:t xml:space="preserve">-th frequency assignment (from their total amount </w:t>
      </w:r>
      <w:r w:rsidRPr="00CB6CBA">
        <w:rPr>
          <w:i/>
          <w:lang w:val="en-US"/>
        </w:rPr>
        <w:t>n</w:t>
      </w:r>
      <w:r w:rsidRPr="00CB6CBA">
        <w:rPr>
          <w:lang w:val="en-US"/>
        </w:rPr>
        <w:t xml:space="preserve"> incorporated in the national database) the three-dimensional value of the spectral resource, denoted as </w:t>
      </w:r>
      <w:r w:rsidRPr="00CB6CBA">
        <w:rPr>
          <w:i/>
          <w:lang w:val="en-US"/>
        </w:rPr>
        <w:t>W</w:t>
      </w:r>
      <w:r w:rsidRPr="00CB6CBA">
        <w:rPr>
          <w:i/>
          <w:vertAlign w:val="subscript"/>
          <w:lang w:val="en-US"/>
        </w:rPr>
        <w:t>i</w:t>
      </w:r>
      <w:r w:rsidRPr="00CB6CBA">
        <w:rPr>
          <w:lang w:val="en-US"/>
        </w:rPr>
        <w:t>, is to be determined as follows:</w:t>
      </w:r>
    </w:p>
    <w:p w:rsidR="00CA3B52" w:rsidRDefault="00CA3B52" w:rsidP="00CA3B52">
      <w:pPr>
        <w:pStyle w:val="Blanc"/>
      </w:pPr>
    </w:p>
    <w:p w:rsidR="00CA3B52" w:rsidRDefault="00CA3B52" w:rsidP="00CA3B52">
      <w:pPr>
        <w:pStyle w:val="Equation"/>
        <w:rPr>
          <w:lang w:val="it-IT"/>
        </w:rPr>
      </w:pPr>
      <w:r w:rsidRPr="00CB6CBA">
        <w:rPr>
          <w:lang w:val="en-US"/>
        </w:rPr>
        <w:tab/>
      </w:r>
      <w:r w:rsidRPr="00CB6CBA">
        <w:rPr>
          <w:lang w:val="en-US"/>
        </w:rPr>
        <w:tab/>
      </w:r>
      <w:r w:rsidRPr="007E1DE1">
        <w:rPr>
          <w:i/>
          <w:iCs/>
          <w:lang w:val="it-IT"/>
        </w:rPr>
        <w:t>W</w:t>
      </w:r>
      <w:r w:rsidRPr="007E1DE1">
        <w:rPr>
          <w:i/>
          <w:iCs/>
          <w:vertAlign w:val="subscript"/>
          <w:lang w:val="it-IT"/>
        </w:rPr>
        <w:t>i</w:t>
      </w:r>
      <w:r w:rsidRPr="007E1DE1">
        <w:rPr>
          <w:lang w:val="it-IT"/>
        </w:rPr>
        <w:t xml:space="preserve"> </w:t>
      </w:r>
      <w:r w:rsidRPr="00CB6CBA">
        <w:rPr>
          <w:rFonts w:ascii="Symbol" w:hAnsi="Symbol"/>
          <w:lang w:val="en-US"/>
        </w:rPr>
        <w:t></w:t>
      </w:r>
      <w:r w:rsidRPr="007E1DE1">
        <w:rPr>
          <w:lang w:val="it-IT"/>
        </w:rPr>
        <w:t xml:space="preserve"> </w:t>
      </w:r>
      <w:r>
        <w:rPr>
          <w:lang w:val="it-IT"/>
        </w:rPr>
        <w:sym w:font="Symbol" w:char="F061"/>
      </w:r>
      <w:r w:rsidRPr="007E1DE1">
        <w:rPr>
          <w:i/>
          <w:iCs/>
          <w:vertAlign w:val="subscript"/>
          <w:lang w:val="it-IT"/>
        </w:rPr>
        <w:t>i</w:t>
      </w:r>
      <w:r w:rsidRPr="007E1DE1">
        <w:rPr>
          <w:lang w:val="it-IT"/>
        </w:rPr>
        <w:t xml:space="preserve"> </w:t>
      </w:r>
      <w:r w:rsidRPr="0024702C">
        <w:rPr>
          <w:rFonts w:ascii="Symbol" w:hAnsi="Symbol"/>
          <w:lang w:val="it-IT"/>
        </w:rPr>
        <w:fldChar w:fldCharType="begin"/>
      </w:r>
      <w:r w:rsidRPr="0024702C">
        <w:rPr>
          <w:rFonts w:ascii="Symbol" w:hAnsi="Symbol"/>
          <w:lang w:val="it-IT"/>
        </w:rPr>
        <w:instrText>SYMBOL 215 \f "Symbol" \s 14</w:instrText>
      </w:r>
      <w:r w:rsidRPr="0024702C">
        <w:rPr>
          <w:rFonts w:ascii="Symbol" w:hAnsi="Symbol"/>
          <w:lang w:val="it-IT"/>
        </w:rPr>
        <w:fldChar w:fldCharType="separate"/>
      </w:r>
      <w:r w:rsidRPr="007E1DE1">
        <w:rPr>
          <w:rFonts w:ascii="Symbol" w:hAnsi="Symbol"/>
          <w:lang w:val="it-IT"/>
        </w:rPr>
        <w:t>×</w:t>
      </w:r>
      <w:r w:rsidRPr="0024702C">
        <w:rPr>
          <w:rFonts w:ascii="Symbol" w:hAnsi="Symbol"/>
          <w:lang w:val="it-IT"/>
        </w:rPr>
        <w:fldChar w:fldCharType="end"/>
      </w:r>
      <w:r w:rsidRPr="007E1DE1">
        <w:rPr>
          <w:lang w:val="it-IT"/>
        </w:rPr>
        <w:t xml:space="preserve"> </w:t>
      </w:r>
      <w:r>
        <w:rPr>
          <w:lang w:val="it-IT"/>
        </w:rPr>
        <w:sym w:font="Symbol" w:char="F062"/>
      </w:r>
      <w:r w:rsidRPr="007E1DE1">
        <w:rPr>
          <w:i/>
          <w:iCs/>
          <w:vertAlign w:val="subscript"/>
          <w:lang w:val="it-IT"/>
        </w:rPr>
        <w:t>i</w:t>
      </w:r>
      <w:r w:rsidRPr="007E1DE1">
        <w:rPr>
          <w:lang w:val="it-IT"/>
        </w:rPr>
        <w:t xml:space="preserve"> </w:t>
      </w:r>
      <w:r w:rsidRPr="0024702C">
        <w:rPr>
          <w:lang w:val="it-IT"/>
        </w:rPr>
        <w:fldChar w:fldCharType="begin"/>
      </w:r>
      <w:r w:rsidRPr="0024702C">
        <w:rPr>
          <w:lang w:val="it-IT"/>
        </w:rPr>
        <w:instrText>SYMBOL 215 \f "Symbol" \s 14</w:instrText>
      </w:r>
      <w:r w:rsidRPr="0024702C">
        <w:rPr>
          <w:lang w:val="it-IT"/>
        </w:rPr>
        <w:fldChar w:fldCharType="separate"/>
      </w:r>
      <w:r w:rsidRPr="0024702C">
        <w:rPr>
          <w:lang w:val="it-IT"/>
        </w:rPr>
        <w:t>×</w:t>
      </w:r>
      <w:r w:rsidRPr="0024702C">
        <w:rPr>
          <w:lang w:val="it-IT"/>
        </w:rPr>
        <w:fldChar w:fldCharType="end"/>
      </w:r>
      <w:r w:rsidRPr="007E1DE1">
        <w:rPr>
          <w:lang w:val="it-IT"/>
        </w:rPr>
        <w:t xml:space="preserve"> (</w:t>
      </w:r>
      <w:r>
        <w:rPr>
          <w:i/>
          <w:iCs/>
          <w:lang w:val="it-IT"/>
        </w:rPr>
        <w:t>F</w:t>
      </w:r>
      <w:r w:rsidRPr="007E1DE1">
        <w:rPr>
          <w:i/>
          <w:iCs/>
          <w:vertAlign w:val="subscript"/>
          <w:lang w:val="it-IT"/>
        </w:rPr>
        <w:t>i</w:t>
      </w:r>
      <w:r w:rsidRPr="007E1DE1">
        <w:rPr>
          <w:lang w:val="it-IT"/>
        </w:rPr>
        <w:t xml:space="preserve"> </w:t>
      </w:r>
      <w:r w:rsidRPr="0024702C">
        <w:rPr>
          <w:rFonts w:ascii="Symbol" w:hAnsi="Symbol"/>
          <w:lang w:val="it-IT"/>
        </w:rPr>
        <w:fldChar w:fldCharType="begin"/>
      </w:r>
      <w:r w:rsidRPr="0024702C">
        <w:rPr>
          <w:rFonts w:ascii="Symbol" w:hAnsi="Symbol"/>
          <w:lang w:val="it-IT"/>
        </w:rPr>
        <w:instrText>SYMBOL 215 \f "Symbol" \s 14</w:instrText>
      </w:r>
      <w:r w:rsidRPr="0024702C">
        <w:rPr>
          <w:rFonts w:ascii="Symbol" w:hAnsi="Symbol"/>
          <w:lang w:val="it-IT"/>
        </w:rPr>
        <w:fldChar w:fldCharType="separate"/>
      </w:r>
      <w:r w:rsidRPr="007E1DE1">
        <w:rPr>
          <w:rFonts w:ascii="Symbol" w:hAnsi="Symbol"/>
          <w:lang w:val="it-IT"/>
        </w:rPr>
        <w:t>×</w:t>
      </w:r>
      <w:r w:rsidRPr="0024702C">
        <w:rPr>
          <w:rFonts w:ascii="Symbol" w:hAnsi="Symbol"/>
          <w:lang w:val="it-IT"/>
        </w:rPr>
        <w:fldChar w:fldCharType="end"/>
      </w:r>
      <w:r w:rsidRPr="007E1DE1">
        <w:rPr>
          <w:lang w:val="it-IT"/>
        </w:rPr>
        <w:t xml:space="preserve"> </w:t>
      </w:r>
      <w:r w:rsidRPr="007E1DE1">
        <w:rPr>
          <w:i/>
          <w:iCs/>
          <w:lang w:val="it-IT"/>
        </w:rPr>
        <w:t>S</w:t>
      </w:r>
      <w:r w:rsidRPr="007E1DE1">
        <w:rPr>
          <w:i/>
          <w:iCs/>
          <w:vertAlign w:val="subscript"/>
          <w:lang w:val="it-IT"/>
        </w:rPr>
        <w:t>i</w:t>
      </w:r>
      <w:r w:rsidRPr="007E1DE1">
        <w:rPr>
          <w:lang w:val="it-IT"/>
        </w:rPr>
        <w:t xml:space="preserve"> </w:t>
      </w:r>
      <w:r w:rsidRPr="0024702C">
        <w:rPr>
          <w:rFonts w:ascii="Symbol" w:hAnsi="Symbol"/>
          <w:lang w:val="it-IT"/>
        </w:rPr>
        <w:fldChar w:fldCharType="begin"/>
      </w:r>
      <w:r w:rsidRPr="0024702C">
        <w:rPr>
          <w:rFonts w:ascii="Symbol" w:hAnsi="Symbol"/>
          <w:lang w:val="it-IT"/>
        </w:rPr>
        <w:instrText>SYMBOL 215 \f "Symbol" \s 14</w:instrText>
      </w:r>
      <w:r w:rsidRPr="0024702C">
        <w:rPr>
          <w:rFonts w:ascii="Symbol" w:hAnsi="Symbol"/>
          <w:lang w:val="it-IT"/>
        </w:rPr>
        <w:fldChar w:fldCharType="separate"/>
      </w:r>
      <w:r w:rsidRPr="007E1DE1">
        <w:rPr>
          <w:rFonts w:ascii="Symbol" w:hAnsi="Symbol"/>
          <w:lang w:val="it-IT"/>
        </w:rPr>
        <w:t>×</w:t>
      </w:r>
      <w:r w:rsidRPr="0024702C">
        <w:rPr>
          <w:rFonts w:ascii="Symbol" w:hAnsi="Symbol"/>
          <w:lang w:val="it-IT"/>
        </w:rPr>
        <w:fldChar w:fldCharType="end"/>
      </w:r>
      <w:r w:rsidRPr="007E1DE1">
        <w:rPr>
          <w:lang w:val="it-IT"/>
        </w:rPr>
        <w:t xml:space="preserve"> </w:t>
      </w:r>
      <w:r w:rsidRPr="007E1DE1">
        <w:rPr>
          <w:i/>
          <w:iCs/>
          <w:lang w:val="it-IT"/>
        </w:rPr>
        <w:t>T</w:t>
      </w:r>
      <w:r w:rsidRPr="007E1DE1">
        <w:rPr>
          <w:i/>
          <w:iCs/>
          <w:vertAlign w:val="subscript"/>
          <w:lang w:val="it-IT"/>
        </w:rPr>
        <w:t>i</w:t>
      </w:r>
      <w:r w:rsidRPr="007E1DE1">
        <w:rPr>
          <w:lang w:val="it-IT"/>
        </w:rPr>
        <w:t>)</w:t>
      </w:r>
      <w:r w:rsidRPr="007E1DE1">
        <w:rPr>
          <w:lang w:val="it-IT"/>
        </w:rPr>
        <w:tab/>
        <w:t>(</w:t>
      </w:r>
      <w:r>
        <w:rPr>
          <w:lang w:val="it-IT"/>
        </w:rPr>
        <w:t>20</w:t>
      </w:r>
      <w:r w:rsidRPr="007E1DE1">
        <w:rPr>
          <w:lang w:val="it-IT"/>
        </w:rPr>
        <w:t>)</w:t>
      </w:r>
    </w:p>
    <w:p w:rsidR="00CA3B52" w:rsidRPr="00CB6CBA" w:rsidRDefault="00CA3B52" w:rsidP="00CA3B52">
      <w:pPr>
        <w:keepNext/>
        <w:keepLines/>
        <w:rPr>
          <w:lang w:val="en-US"/>
        </w:rPr>
      </w:pPr>
      <w:r w:rsidRPr="00CB6CBA">
        <w:rPr>
          <w:lang w:val="en-US"/>
        </w:rPr>
        <w:t xml:space="preserve">where for </w:t>
      </w:r>
      <w:r w:rsidRPr="00CB6CBA">
        <w:rPr>
          <w:i/>
          <w:lang w:val="en-US"/>
        </w:rPr>
        <w:t>i</w:t>
      </w:r>
      <w:r w:rsidRPr="00CB6CBA">
        <w:rPr>
          <w:lang w:val="en-US"/>
        </w:rPr>
        <w:t>-th frequency assignment:</w:t>
      </w:r>
    </w:p>
    <w:p w:rsidR="00CA3B52" w:rsidRPr="00CB6CBA" w:rsidRDefault="00CA3B52" w:rsidP="00CA3B52">
      <w:pPr>
        <w:pStyle w:val="Equationlegend"/>
        <w:keepNext/>
        <w:keepLines/>
      </w:pPr>
      <w:r w:rsidRPr="00CB6CBA">
        <w:rPr>
          <w:i/>
        </w:rPr>
        <w:tab/>
      </w:r>
      <w:r w:rsidRPr="00CB6CBA">
        <w:rPr>
          <w:i/>
          <w:iCs/>
        </w:rPr>
        <w:t>F</w:t>
      </w:r>
      <w:r w:rsidRPr="00CB6CBA">
        <w:rPr>
          <w:i/>
          <w:iCs/>
          <w:vertAlign w:val="subscript"/>
        </w:rPr>
        <w:t>i</w:t>
      </w:r>
      <w:r w:rsidRPr="00CB6CBA">
        <w:rPr>
          <w:rFonts w:ascii="Tms Rmn" w:hAnsi="Tms Rmn"/>
          <w:sz w:val="12"/>
        </w:rPr>
        <w:t> </w:t>
      </w:r>
      <w:r w:rsidRPr="00CB6CBA">
        <w:t>:</w:t>
      </w:r>
      <w:r w:rsidRPr="00CB6CBA">
        <w:tab/>
        <w:t>frequency resource</w:t>
      </w:r>
    </w:p>
    <w:p w:rsidR="00CA3B52" w:rsidRPr="00CB6CBA" w:rsidRDefault="00CA3B52" w:rsidP="00CA3B52">
      <w:pPr>
        <w:pStyle w:val="Equationlegend"/>
        <w:keepNext/>
        <w:keepLines/>
      </w:pPr>
      <w:r w:rsidRPr="00CB6CBA">
        <w:rPr>
          <w:i/>
        </w:rPr>
        <w:tab/>
      </w:r>
      <w:r w:rsidRPr="00CB6CBA">
        <w:rPr>
          <w:i/>
          <w:iCs/>
        </w:rPr>
        <w:t>S</w:t>
      </w:r>
      <w:r w:rsidRPr="00CB6CBA">
        <w:rPr>
          <w:i/>
          <w:iCs/>
          <w:vertAlign w:val="subscript"/>
        </w:rPr>
        <w:t>i</w:t>
      </w:r>
      <w:r w:rsidRPr="00CB6CBA">
        <w:rPr>
          <w:rFonts w:ascii="Tms Rmn" w:hAnsi="Tms Rmn"/>
          <w:sz w:val="12"/>
        </w:rPr>
        <w:t> </w:t>
      </w:r>
      <w:r w:rsidRPr="00CB6CBA">
        <w:t>:</w:t>
      </w:r>
      <w:r w:rsidRPr="00CB6CBA">
        <w:tab/>
        <w:t>territorial resource</w:t>
      </w:r>
    </w:p>
    <w:p w:rsidR="00CA3B52" w:rsidRPr="00CB6CBA" w:rsidRDefault="00CA3B52" w:rsidP="00CA3B52">
      <w:pPr>
        <w:pStyle w:val="Equationlegend"/>
      </w:pPr>
      <w:r w:rsidRPr="00CB6CBA">
        <w:rPr>
          <w:i/>
        </w:rPr>
        <w:tab/>
      </w:r>
      <w:r w:rsidRPr="00CB6CBA">
        <w:rPr>
          <w:i/>
          <w:iCs/>
        </w:rPr>
        <w:t>T</w:t>
      </w:r>
      <w:r w:rsidRPr="00CB6CBA">
        <w:rPr>
          <w:i/>
          <w:iCs/>
          <w:vertAlign w:val="subscript"/>
        </w:rPr>
        <w:t>i</w:t>
      </w:r>
      <w:r w:rsidRPr="00CB6CBA">
        <w:rPr>
          <w:rFonts w:ascii="Tms Rmn" w:hAnsi="Tms Rmn"/>
          <w:sz w:val="12"/>
        </w:rPr>
        <w:t> </w:t>
      </w:r>
      <w:r w:rsidRPr="00CB6CBA">
        <w:t>:</w:t>
      </w:r>
      <w:r w:rsidRPr="00CB6CBA">
        <w:tab/>
        <w:t>time resource</w:t>
      </w:r>
    </w:p>
    <w:p w:rsidR="00CA3B52" w:rsidRPr="00CB6CBA" w:rsidRDefault="00CA3B52" w:rsidP="00CA3B52">
      <w:pPr>
        <w:pStyle w:val="Equationlegend"/>
      </w:pPr>
      <w:r w:rsidRPr="00CB6CBA">
        <w:rPr>
          <w:i/>
        </w:rPr>
        <w:tab/>
      </w:r>
      <w:r w:rsidRPr="006B3F4A">
        <w:rPr>
          <w:iCs/>
        </w:rPr>
        <w:sym w:font="Symbol" w:char="F061"/>
      </w:r>
      <w:r w:rsidRPr="00CB6CBA">
        <w:rPr>
          <w:i/>
          <w:iCs/>
          <w:vertAlign w:val="subscript"/>
        </w:rPr>
        <w:t>i</w:t>
      </w:r>
      <w:r w:rsidRPr="00CB6CBA">
        <w:rPr>
          <w:rFonts w:ascii="Tms Rmn" w:hAnsi="Tms Rmn"/>
          <w:sz w:val="12"/>
        </w:rPr>
        <w:t> </w:t>
      </w:r>
      <w:r w:rsidRPr="00CB6CBA">
        <w:t>:</w:t>
      </w:r>
      <w:r w:rsidRPr="00CB6CBA">
        <w:tab/>
        <w:t>aggregate coefficient which takes into account a number of weighting factors, such as commercial, social and operational ones as it is given below</w:t>
      </w:r>
    </w:p>
    <w:p w:rsidR="00CA3B52" w:rsidRPr="00CB6CBA" w:rsidRDefault="00CA3B52" w:rsidP="00CA3B52">
      <w:pPr>
        <w:pStyle w:val="Equationlegend"/>
      </w:pPr>
      <w:r w:rsidRPr="00CB6CBA">
        <w:rPr>
          <w:i/>
        </w:rPr>
        <w:tab/>
      </w:r>
      <w:r w:rsidRPr="006B3F4A">
        <w:rPr>
          <w:iCs/>
        </w:rPr>
        <w:sym w:font="Symbol" w:char="F062"/>
      </w:r>
      <w:r w:rsidRPr="00CB6CBA">
        <w:rPr>
          <w:i/>
          <w:iCs/>
          <w:vertAlign w:val="subscript"/>
        </w:rPr>
        <w:t>i</w:t>
      </w:r>
      <w:r w:rsidRPr="00CB6CBA">
        <w:rPr>
          <w:rFonts w:ascii="Tms Rmn" w:hAnsi="Tms Rmn"/>
          <w:sz w:val="12"/>
        </w:rPr>
        <w:t> </w:t>
      </w:r>
      <w:r w:rsidRPr="00CB6CBA">
        <w:t>:</w:t>
      </w:r>
      <w:r w:rsidRPr="00CB6CBA">
        <w:tab/>
        <w:t>weighting coefficient which determines exclusiveness of the frequency assignment as it is given below.</w:t>
      </w:r>
    </w:p>
    <w:p w:rsidR="00CA3B52" w:rsidRDefault="00CA3B52" w:rsidP="00CA3B52">
      <w:pPr>
        <w:rPr>
          <w:rFonts w:eastAsia="SimSun"/>
          <w:lang w:val="en-US" w:eastAsia="zh-CN"/>
        </w:rPr>
      </w:pPr>
      <w:r w:rsidRPr="00CB6CBA">
        <w:rPr>
          <w:rFonts w:eastAsia="SimSun"/>
          <w:lang w:val="en-US" w:eastAsia="zh-CN"/>
        </w:rPr>
        <w:t>Let us consider items of equation (</w:t>
      </w:r>
      <w:r>
        <w:rPr>
          <w:rFonts w:eastAsia="SimSun"/>
          <w:lang w:val="en-US" w:eastAsia="zh-CN"/>
        </w:rPr>
        <w:t>20</w:t>
      </w:r>
      <w:r w:rsidRPr="00CB6CBA">
        <w:rPr>
          <w:rFonts w:eastAsia="SimSun"/>
          <w:lang w:val="en-US" w:eastAsia="zh-CN"/>
        </w:rPr>
        <w:t>) in their reverse order.</w:t>
      </w:r>
    </w:p>
    <w:p w:rsidR="00CA3B52" w:rsidRPr="00CB6CBA" w:rsidRDefault="00CA3B52" w:rsidP="00CA3B52">
      <w:pPr>
        <w:pStyle w:val="Heading3"/>
        <w:rPr>
          <w:lang w:val="en-US"/>
        </w:rPr>
      </w:pPr>
      <w:bookmarkStart w:id="1355" w:name="_Toc289868835"/>
      <w:bookmarkStart w:id="1356" w:name="_Toc289868995"/>
      <w:bookmarkStart w:id="1357" w:name="_Toc289932303"/>
      <w:bookmarkStart w:id="1358" w:name="_Toc289933349"/>
      <w:bookmarkStart w:id="1359" w:name="_Toc291852912"/>
      <w:bookmarkStart w:id="1360" w:name="_Toc392515898"/>
      <w:r w:rsidRPr="00CB6CBA">
        <w:rPr>
          <w:lang w:val="en-US"/>
        </w:rPr>
        <w:lastRenderedPageBreak/>
        <w:t>4.6.6</w:t>
      </w:r>
      <w:r w:rsidRPr="00CB6CBA">
        <w:rPr>
          <w:lang w:val="en-US"/>
        </w:rPr>
        <w:tab/>
        <w:t>Determination of a time resource used by an emission</w:t>
      </w:r>
      <w:bookmarkEnd w:id="1355"/>
      <w:bookmarkEnd w:id="1356"/>
      <w:bookmarkEnd w:id="1357"/>
      <w:bookmarkEnd w:id="1358"/>
      <w:bookmarkEnd w:id="1359"/>
      <w:bookmarkEnd w:id="1360"/>
    </w:p>
    <w:p w:rsidR="00CA3B52" w:rsidRPr="00CB6CBA" w:rsidRDefault="00CA3B52" w:rsidP="00CA3B52">
      <w:pPr>
        <w:keepNext/>
        <w:keepLines/>
        <w:rPr>
          <w:lang w:val="en-US"/>
        </w:rPr>
      </w:pPr>
      <w:r w:rsidRPr="00CB6CBA">
        <w:rPr>
          <w:lang w:val="en-US"/>
        </w:rPr>
        <w:t xml:space="preserve">A time resource </w:t>
      </w:r>
      <w:r w:rsidRPr="00CB6CBA">
        <w:rPr>
          <w:i/>
          <w:lang w:val="en-US"/>
        </w:rPr>
        <w:t>T</w:t>
      </w:r>
      <w:r w:rsidRPr="00CB6CBA">
        <w:rPr>
          <w:i/>
          <w:szCs w:val="24"/>
          <w:vertAlign w:val="subscript"/>
          <w:lang w:val="en-US"/>
        </w:rPr>
        <w:t>i</w:t>
      </w:r>
      <w:r w:rsidRPr="00CB6CBA">
        <w:rPr>
          <w:lang w:val="en-US"/>
        </w:rPr>
        <w:t xml:space="preserve"> used by </w:t>
      </w:r>
      <w:r w:rsidRPr="00CB6CBA">
        <w:rPr>
          <w:i/>
          <w:lang w:val="en-US"/>
        </w:rPr>
        <w:t>i</w:t>
      </w:r>
      <w:r w:rsidRPr="00CB6CBA">
        <w:rPr>
          <w:lang w:val="en-US"/>
        </w:rPr>
        <w:t>-th emission is determined as:</w:t>
      </w:r>
    </w:p>
    <w:p w:rsidR="00CA3B52" w:rsidRDefault="00CA3B52" w:rsidP="00CA3B52">
      <w:pPr>
        <w:pStyle w:val="Blanc"/>
      </w:pPr>
    </w:p>
    <w:p w:rsidR="00CA3B52" w:rsidRDefault="00CA3B52" w:rsidP="00CA3B52">
      <w:pPr>
        <w:pStyle w:val="Equation"/>
        <w:keepNext/>
        <w:keepLines/>
        <w:rPr>
          <w:lang w:val="en-US"/>
        </w:rPr>
      </w:pPr>
      <w:r w:rsidRPr="00CB6CBA">
        <w:rPr>
          <w:lang w:val="en-US"/>
        </w:rPr>
        <w:tab/>
      </w:r>
      <w:r w:rsidRPr="00CB6CBA">
        <w:rPr>
          <w:lang w:val="en-US"/>
        </w:rPr>
        <w:tab/>
      </w:r>
      <w:r w:rsidRPr="00CB6CBA">
        <w:rPr>
          <w:i/>
          <w:iCs/>
          <w:lang w:val="en-US"/>
        </w:rPr>
        <w:t>T</w:t>
      </w:r>
      <w:r w:rsidRPr="00CB6CBA">
        <w:rPr>
          <w:i/>
          <w:iCs/>
          <w:vertAlign w:val="subscript"/>
          <w:lang w:val="en-US"/>
        </w:rPr>
        <w:t>i</w:t>
      </w:r>
      <w:r w:rsidRPr="00CB6CBA">
        <w:rPr>
          <w:position w:val="-5"/>
          <w:vertAlign w:val="subscript"/>
          <w:lang w:val="en-US"/>
        </w:rPr>
        <w:t> </w:t>
      </w:r>
      <w:r w:rsidRPr="00CB6CBA">
        <w:rPr>
          <w:position w:val="-5"/>
          <w:lang w:val="en-US"/>
        </w:rPr>
        <w:t xml:space="preserve"> </w:t>
      </w:r>
      <w:r w:rsidRPr="00CB6CBA">
        <w:rPr>
          <w:rFonts w:ascii="Symbol" w:hAnsi="Symbol"/>
          <w:lang w:val="en-US"/>
        </w:rPr>
        <w:t></w:t>
      </w:r>
      <w:r w:rsidRPr="00CB6CBA">
        <w:rPr>
          <w:lang w:val="en-US"/>
        </w:rPr>
        <w:t xml:space="preserve"> 1 (year)</w:t>
      </w:r>
      <w:r w:rsidRPr="00CB6CBA">
        <w:rPr>
          <w:lang w:val="en-US"/>
        </w:rPr>
        <w:tab/>
        <w:t>(</w:t>
      </w:r>
      <w:r>
        <w:rPr>
          <w:lang w:val="en-US"/>
        </w:rPr>
        <w:t>21</w:t>
      </w:r>
      <w:r w:rsidRPr="00CB6CBA">
        <w:rPr>
          <w:lang w:val="en-US"/>
        </w:rPr>
        <w:t>)</w:t>
      </w:r>
    </w:p>
    <w:p w:rsidR="00CA3B52" w:rsidRDefault="00CA3B52" w:rsidP="00CA3B52">
      <w:pPr>
        <w:pStyle w:val="Blanc"/>
      </w:pPr>
    </w:p>
    <w:p w:rsidR="00CA3B52" w:rsidRPr="00CB6CBA" w:rsidRDefault="00CA3B52" w:rsidP="00CA3B52">
      <w:pPr>
        <w:rPr>
          <w:lang w:val="en-US"/>
        </w:rPr>
      </w:pPr>
      <w:r w:rsidRPr="00CB6CBA">
        <w:rPr>
          <w:lang w:val="en-US"/>
        </w:rPr>
        <w:t>and for each frequency assignment represents a fraction of time related to one year, determined in that or another way, during which the radio transmitter operates in accordance with terms set out in the relevant license. It can be a fraction of a day, which may be the case with broadcasting or PMR service, or a fraction of a year for seasonal operations such as expeditions, agricultural activities, etc.</w:t>
      </w:r>
    </w:p>
    <w:p w:rsidR="00CA3B52" w:rsidRPr="00CB6CBA" w:rsidRDefault="00CA3B52" w:rsidP="00CA3B52">
      <w:pPr>
        <w:rPr>
          <w:lang w:val="en-US"/>
        </w:rPr>
      </w:pPr>
      <w:r w:rsidRPr="00CB6CBA">
        <w:rPr>
          <w:lang w:val="en-US"/>
        </w:rPr>
        <w:t xml:space="preserve">For example, if particular TV transmitter in accordance with terms of its license is operating only 16 h per a day throughout the whole year, than: </w:t>
      </w:r>
      <w:r w:rsidRPr="00CB6CBA">
        <w:rPr>
          <w:i/>
          <w:lang w:val="en-US"/>
        </w:rPr>
        <w:t>T</w:t>
      </w:r>
      <w:r w:rsidRPr="00CB6CBA">
        <w:rPr>
          <w:i/>
          <w:vertAlign w:val="subscript"/>
          <w:lang w:val="en-US"/>
        </w:rPr>
        <w:t>i</w:t>
      </w:r>
      <w:r w:rsidRPr="00CB6CBA">
        <w:rPr>
          <w:i/>
          <w:position w:val="-5"/>
          <w:vertAlign w:val="subscript"/>
          <w:lang w:val="en-US"/>
        </w:rPr>
        <w:t xml:space="preserve"> </w:t>
      </w:r>
      <w:r w:rsidRPr="00CB6CBA">
        <w:rPr>
          <w:rFonts w:ascii="Symbol" w:hAnsi="Symbol"/>
          <w:lang w:val="en-US"/>
        </w:rPr>
        <w:t></w:t>
      </w:r>
      <w:r w:rsidRPr="00CB6CBA">
        <w:rPr>
          <w:lang w:val="en-US"/>
        </w:rPr>
        <w:t xml:space="preserve"> 16/24 </w:t>
      </w:r>
      <w:r w:rsidRPr="00CB6CBA">
        <w:rPr>
          <w:rFonts w:ascii="Symbol" w:hAnsi="Symbol"/>
          <w:lang w:val="en-US"/>
        </w:rPr>
        <w:t></w:t>
      </w:r>
      <w:r w:rsidRPr="00CB6CBA">
        <w:rPr>
          <w:lang w:val="en-US"/>
        </w:rPr>
        <w:t xml:space="preserve"> 0.67 year. If another transmitter (for</w:t>
      </w:r>
      <w:r>
        <w:rPr>
          <w:lang w:val="en-US"/>
        </w:rPr>
        <w:t> </w:t>
      </w:r>
      <w:r w:rsidRPr="00CB6CBA">
        <w:rPr>
          <w:lang w:val="en-US"/>
        </w:rPr>
        <w:t xml:space="preserve">example an HF one used for geological expedition), in accordance with terms of its license can operate totally only 3 months per year, then: </w:t>
      </w:r>
      <w:r w:rsidRPr="00CB6CBA">
        <w:rPr>
          <w:i/>
          <w:lang w:val="en-US"/>
        </w:rPr>
        <w:t>T</w:t>
      </w:r>
      <w:r w:rsidRPr="00CB6CBA">
        <w:rPr>
          <w:i/>
          <w:iCs/>
          <w:vertAlign w:val="subscript"/>
          <w:lang w:val="en-US"/>
        </w:rPr>
        <w:t>i</w:t>
      </w:r>
      <w:r w:rsidRPr="00CB6CBA">
        <w:rPr>
          <w:i/>
          <w:position w:val="-5"/>
          <w:vertAlign w:val="subscript"/>
          <w:lang w:val="en-US"/>
        </w:rPr>
        <w:t xml:space="preserve"> </w:t>
      </w:r>
      <w:r w:rsidRPr="00CB6CBA">
        <w:rPr>
          <w:rFonts w:ascii="Symbol" w:hAnsi="Symbol"/>
          <w:lang w:val="en-US"/>
        </w:rPr>
        <w:t></w:t>
      </w:r>
      <w:r w:rsidRPr="00CB6CBA">
        <w:rPr>
          <w:lang w:val="en-US"/>
        </w:rPr>
        <w:t xml:space="preserve"> 3/12 </w:t>
      </w:r>
      <w:r w:rsidRPr="00CB6CBA">
        <w:rPr>
          <w:rFonts w:ascii="Symbol" w:hAnsi="Symbol"/>
          <w:lang w:val="en-US"/>
        </w:rPr>
        <w:t></w:t>
      </w:r>
      <w:r w:rsidRPr="00CB6CBA">
        <w:rPr>
          <w:lang w:val="en-US"/>
        </w:rPr>
        <w:t xml:space="preserve"> 0.35 year.</w:t>
      </w:r>
    </w:p>
    <w:p w:rsidR="00CA3B52" w:rsidRPr="00CB6CBA" w:rsidRDefault="00CA3B52" w:rsidP="00CA3B52">
      <w:pPr>
        <w:rPr>
          <w:lang w:val="en-US"/>
        </w:rPr>
      </w:pPr>
      <w:r w:rsidRPr="00CB6CBA">
        <w:rPr>
          <w:lang w:val="en-US"/>
        </w:rPr>
        <w:t xml:space="preserve">It is obvious that for a transmitter which operates permanently, for example a microwave (RRL) one (short intervals of maintenance breaks usually do not taken into account if it is not especially stated in the license), </w:t>
      </w:r>
      <w:r w:rsidRPr="00CB6CBA">
        <w:rPr>
          <w:i/>
          <w:lang w:val="en-US"/>
        </w:rPr>
        <w:t>T</w:t>
      </w:r>
      <w:r w:rsidRPr="00CB6CBA">
        <w:rPr>
          <w:i/>
          <w:iCs/>
          <w:vertAlign w:val="subscript"/>
          <w:lang w:val="en-US"/>
        </w:rPr>
        <w:t>i</w:t>
      </w:r>
      <w:r w:rsidRPr="0097049F">
        <w:rPr>
          <w:lang w:val="en-US"/>
        </w:rPr>
        <w:t xml:space="preserve"> </w:t>
      </w:r>
      <w:r w:rsidRPr="00CB6CBA">
        <w:rPr>
          <w:rFonts w:ascii="Symbol" w:hAnsi="Symbol"/>
          <w:lang w:val="en-US"/>
        </w:rPr>
        <w:t></w:t>
      </w:r>
      <w:r w:rsidRPr="00CB6CBA">
        <w:rPr>
          <w:sz w:val="16"/>
          <w:szCs w:val="16"/>
          <w:lang w:val="en-US"/>
        </w:rPr>
        <w:t> </w:t>
      </w:r>
      <w:r w:rsidRPr="00CB6CBA">
        <w:rPr>
          <w:lang w:val="en-US"/>
        </w:rPr>
        <w:t>1 year. The last situation is usually typical for the majority of frequency assignments presented in any national Spectrum Management Database. Such a regime is the most commonly requested and licensed.</w:t>
      </w:r>
    </w:p>
    <w:p w:rsidR="00CA3B52" w:rsidRPr="00CB6CBA" w:rsidRDefault="00CA3B52" w:rsidP="00CA3B52">
      <w:pPr>
        <w:pStyle w:val="Heading3"/>
        <w:rPr>
          <w:lang w:val="en-US"/>
        </w:rPr>
      </w:pPr>
      <w:bookmarkStart w:id="1361" w:name="_Toc289868836"/>
      <w:bookmarkStart w:id="1362" w:name="_Toc289868996"/>
      <w:bookmarkStart w:id="1363" w:name="_Toc289932304"/>
      <w:bookmarkStart w:id="1364" w:name="_Toc289933350"/>
      <w:bookmarkStart w:id="1365" w:name="_Toc291852913"/>
      <w:bookmarkStart w:id="1366" w:name="_Toc392515899"/>
      <w:r w:rsidRPr="00CB6CBA">
        <w:rPr>
          <w:lang w:val="en-US"/>
        </w:rPr>
        <w:t>4.6.7</w:t>
      </w:r>
      <w:r w:rsidRPr="00CB6CBA">
        <w:rPr>
          <w:lang w:val="en-US"/>
        </w:rPr>
        <w:tab/>
        <w:t>Determination of a territorial resource used by an emission</w:t>
      </w:r>
      <w:bookmarkEnd w:id="1361"/>
      <w:bookmarkEnd w:id="1362"/>
      <w:bookmarkEnd w:id="1363"/>
      <w:bookmarkEnd w:id="1364"/>
      <w:bookmarkEnd w:id="1365"/>
      <w:bookmarkEnd w:id="1366"/>
    </w:p>
    <w:p w:rsidR="00CA3B52" w:rsidRPr="00CB6CBA" w:rsidRDefault="00CA3B52" w:rsidP="00CA3B52">
      <w:pPr>
        <w:rPr>
          <w:lang w:val="en-US"/>
        </w:rPr>
      </w:pPr>
      <w:r w:rsidRPr="00CB6CBA">
        <w:rPr>
          <w:lang w:val="en-US"/>
        </w:rPr>
        <w:t xml:space="preserve">A territorial resource </w:t>
      </w:r>
      <w:r w:rsidRPr="00CB6CBA">
        <w:rPr>
          <w:i/>
          <w:lang w:val="en-US"/>
        </w:rPr>
        <w:t>S</w:t>
      </w:r>
      <w:r w:rsidRPr="00CB6CBA">
        <w:rPr>
          <w:i/>
          <w:szCs w:val="24"/>
          <w:vertAlign w:val="subscript"/>
          <w:lang w:val="en-US"/>
        </w:rPr>
        <w:t>i</w:t>
      </w:r>
      <w:r w:rsidRPr="00CB6CBA">
        <w:rPr>
          <w:lang w:val="en-US"/>
        </w:rPr>
        <w:t xml:space="preserve"> used by </w:t>
      </w:r>
      <w:r w:rsidRPr="00CB6CBA">
        <w:rPr>
          <w:i/>
          <w:lang w:val="en-US"/>
        </w:rPr>
        <w:t>i</w:t>
      </w:r>
      <w:r w:rsidRPr="00CB6CBA">
        <w:rPr>
          <w:lang w:val="en-US"/>
        </w:rPr>
        <w:t xml:space="preserve"> -th emission is determined as:</w:t>
      </w:r>
    </w:p>
    <w:p w:rsidR="00CA3B52" w:rsidRDefault="00CA3B52" w:rsidP="00CA3B52">
      <w:pPr>
        <w:pStyle w:val="Blanc"/>
      </w:pPr>
    </w:p>
    <w:p w:rsidR="00CA3B52" w:rsidRDefault="00CA3B52" w:rsidP="00CA3B52">
      <w:pPr>
        <w:pStyle w:val="Equation"/>
        <w:rPr>
          <w:lang w:val="it-IT"/>
        </w:rPr>
      </w:pPr>
      <w:r w:rsidRPr="00CB6CBA">
        <w:rPr>
          <w:lang w:val="en-US"/>
        </w:rPr>
        <w:tab/>
      </w:r>
      <w:r w:rsidRPr="00CB6CBA">
        <w:rPr>
          <w:lang w:val="en-US"/>
        </w:rPr>
        <w:tab/>
      </w:r>
      <w:r w:rsidRPr="007E1DE1">
        <w:rPr>
          <w:i/>
          <w:iCs/>
          <w:lang w:val="it-IT"/>
        </w:rPr>
        <w:t>S</w:t>
      </w:r>
      <w:r w:rsidRPr="007E1DE1">
        <w:rPr>
          <w:i/>
          <w:iCs/>
          <w:vertAlign w:val="subscript"/>
          <w:lang w:val="it-IT"/>
        </w:rPr>
        <w:t>i</w:t>
      </w:r>
      <w:r w:rsidRPr="007E1DE1">
        <w:rPr>
          <w:position w:val="-5"/>
          <w:lang w:val="it-IT"/>
        </w:rPr>
        <w:t xml:space="preserve"> </w:t>
      </w:r>
      <w:r w:rsidRPr="00CB6CBA">
        <w:rPr>
          <w:rFonts w:ascii="Symbol" w:hAnsi="Symbol"/>
          <w:lang w:val="en-US"/>
        </w:rPr>
        <w:t></w:t>
      </w:r>
      <w:r w:rsidRPr="007E1DE1">
        <w:rPr>
          <w:lang w:val="it-IT"/>
        </w:rPr>
        <w:t xml:space="preserve"> </w:t>
      </w:r>
      <w:r w:rsidRPr="007E1DE1">
        <w:rPr>
          <w:i/>
          <w:iCs/>
          <w:lang w:val="it-IT"/>
        </w:rPr>
        <w:t>b</w:t>
      </w:r>
      <w:r w:rsidRPr="007E1DE1">
        <w:rPr>
          <w:i/>
          <w:iCs/>
          <w:vertAlign w:val="subscript"/>
          <w:lang w:val="it-IT"/>
        </w:rPr>
        <w:t>ij</w:t>
      </w:r>
      <w:r w:rsidRPr="007E1DE1">
        <w:rPr>
          <w:lang w:val="it-IT"/>
        </w:rPr>
        <w:t xml:space="preserve"> </w:t>
      </w:r>
      <w:r w:rsidRPr="0024702C">
        <w:rPr>
          <w:lang w:val="it-IT"/>
        </w:rPr>
        <w:fldChar w:fldCharType="begin"/>
      </w:r>
      <w:r w:rsidRPr="0024702C">
        <w:rPr>
          <w:lang w:val="it-IT"/>
        </w:rPr>
        <w:instrText>SYMBOL 215 \f "Symbol" \s 14</w:instrText>
      </w:r>
      <w:r w:rsidRPr="0024702C">
        <w:rPr>
          <w:lang w:val="it-IT"/>
        </w:rPr>
        <w:fldChar w:fldCharType="separate"/>
      </w:r>
      <w:r w:rsidRPr="0024702C">
        <w:rPr>
          <w:lang w:val="it-IT"/>
        </w:rPr>
        <w:t>×</w:t>
      </w:r>
      <w:r w:rsidRPr="0024702C">
        <w:rPr>
          <w:lang w:val="it-IT"/>
        </w:rPr>
        <w:fldChar w:fldCharType="end"/>
      </w:r>
      <w:r w:rsidRPr="007E1DE1">
        <w:rPr>
          <w:lang w:val="it-IT"/>
        </w:rPr>
        <w:t xml:space="preserve"> </w:t>
      </w:r>
      <w:r w:rsidRPr="007E1DE1">
        <w:rPr>
          <w:i/>
          <w:iCs/>
          <w:lang w:val="it-IT"/>
        </w:rPr>
        <w:t>s</w:t>
      </w:r>
      <w:r w:rsidRPr="007E1DE1">
        <w:rPr>
          <w:i/>
          <w:iCs/>
          <w:vertAlign w:val="subscript"/>
          <w:lang w:val="it-IT"/>
        </w:rPr>
        <w:t>i</w:t>
      </w:r>
      <w:r w:rsidRPr="007E1DE1">
        <w:rPr>
          <w:lang w:val="it-IT"/>
        </w:rPr>
        <w:t xml:space="preserve">    (km</w:t>
      </w:r>
      <w:r w:rsidRPr="007E1DE1">
        <w:rPr>
          <w:vertAlign w:val="superscript"/>
          <w:lang w:val="it-IT"/>
        </w:rPr>
        <w:t>2</w:t>
      </w:r>
      <w:r w:rsidRPr="007E1DE1">
        <w:rPr>
          <w:lang w:val="it-IT"/>
        </w:rPr>
        <w:t xml:space="preserve">)           1 </w:t>
      </w:r>
      <w:r w:rsidRPr="00CB6CBA">
        <w:rPr>
          <w:rFonts w:ascii="Symbol" w:hAnsi="Symbol"/>
          <w:lang w:val="en-US"/>
        </w:rPr>
        <w:t></w:t>
      </w:r>
      <w:r w:rsidRPr="007E1DE1">
        <w:rPr>
          <w:lang w:val="it-IT"/>
        </w:rPr>
        <w:t xml:space="preserve"> </w:t>
      </w:r>
      <w:r w:rsidRPr="007E1DE1">
        <w:rPr>
          <w:i/>
          <w:iCs/>
          <w:lang w:val="it-IT"/>
        </w:rPr>
        <w:t>j</w:t>
      </w:r>
      <w:r w:rsidRPr="007E1DE1">
        <w:rPr>
          <w:lang w:val="it-IT"/>
        </w:rPr>
        <w:t xml:space="preserve"> </w:t>
      </w:r>
      <w:r w:rsidRPr="00CB6CBA">
        <w:rPr>
          <w:rFonts w:ascii="Symbol" w:hAnsi="Symbol"/>
          <w:lang w:val="en-US"/>
        </w:rPr>
        <w:t></w:t>
      </w:r>
      <w:r w:rsidRPr="007E1DE1">
        <w:rPr>
          <w:lang w:val="it-IT"/>
        </w:rPr>
        <w:t xml:space="preserve"> </w:t>
      </w:r>
      <w:r w:rsidRPr="007E1DE1">
        <w:rPr>
          <w:i/>
          <w:iCs/>
          <w:lang w:val="it-IT"/>
        </w:rPr>
        <w:t>m</w:t>
      </w:r>
      <w:r w:rsidRPr="007E1DE1">
        <w:rPr>
          <w:lang w:val="it-IT"/>
        </w:rPr>
        <w:tab/>
        <w:t>(</w:t>
      </w:r>
      <w:r>
        <w:rPr>
          <w:lang w:val="it-IT"/>
        </w:rPr>
        <w:t>22</w:t>
      </w:r>
      <w:r w:rsidRPr="007E1DE1">
        <w:rPr>
          <w:lang w:val="it-IT"/>
        </w:rPr>
        <w:t>)</w:t>
      </w:r>
    </w:p>
    <w:p w:rsidR="00CA3B52" w:rsidRPr="00CB6CBA" w:rsidRDefault="00CA3B52" w:rsidP="00CA3B52">
      <w:pPr>
        <w:rPr>
          <w:lang w:val="en-US"/>
        </w:rPr>
      </w:pPr>
      <w:r w:rsidRPr="00CB6CBA">
        <w:rPr>
          <w:lang w:val="en-US"/>
        </w:rPr>
        <w:t>where:</w:t>
      </w:r>
    </w:p>
    <w:p w:rsidR="00CA3B52" w:rsidRPr="00CB6CBA" w:rsidRDefault="00CA3B52" w:rsidP="00CA3B52">
      <w:pPr>
        <w:pStyle w:val="Equationlegend"/>
      </w:pPr>
      <w:r w:rsidRPr="00CB6CBA">
        <w:rPr>
          <w:i/>
        </w:rPr>
        <w:tab/>
        <w:t>S</w:t>
      </w:r>
      <w:r w:rsidRPr="00CB6CBA">
        <w:rPr>
          <w:i/>
          <w:iCs/>
          <w:vertAlign w:val="subscript"/>
        </w:rPr>
        <w:t>i</w:t>
      </w:r>
      <w:r w:rsidRPr="00CB6CBA">
        <w:rPr>
          <w:rFonts w:ascii="Tms Rmn" w:hAnsi="Tms Rmn"/>
          <w:iCs/>
          <w:sz w:val="12"/>
        </w:rPr>
        <w:t> </w:t>
      </w:r>
      <w:r w:rsidRPr="00CB6CBA">
        <w:rPr>
          <w:iCs/>
        </w:rPr>
        <w:t>:</w:t>
      </w:r>
      <w:r w:rsidRPr="00CB6CBA">
        <w:rPr>
          <w:iCs/>
        </w:rPr>
        <w:tab/>
      </w:r>
      <w:r w:rsidRPr="00CB6CBA">
        <w:t>the territory actually occupied (covered) by the emission in accordance with certain criteria (km</w:t>
      </w:r>
      <w:r w:rsidRPr="00CB6CBA">
        <w:rPr>
          <w:vertAlign w:val="superscript"/>
        </w:rPr>
        <w:t>2</w:t>
      </w:r>
      <w:r w:rsidRPr="00CB6CBA">
        <w:t>)</w:t>
      </w:r>
    </w:p>
    <w:p w:rsidR="00CA3B52" w:rsidRPr="00CB6CBA" w:rsidRDefault="00CA3B52" w:rsidP="00CA3B52">
      <w:pPr>
        <w:pStyle w:val="Equationlegend"/>
      </w:pPr>
      <w:r w:rsidRPr="00CB6CBA">
        <w:rPr>
          <w:i/>
        </w:rPr>
        <w:tab/>
        <w:t>b</w:t>
      </w:r>
      <w:r w:rsidRPr="00CB6CBA">
        <w:rPr>
          <w:i/>
          <w:iCs/>
          <w:vertAlign w:val="subscript"/>
        </w:rPr>
        <w:t>ij</w:t>
      </w:r>
      <w:r w:rsidRPr="00CB6CBA">
        <w:rPr>
          <w:rFonts w:ascii="Tms Rmn" w:hAnsi="Tms Rmn"/>
          <w:iCs/>
          <w:sz w:val="12"/>
        </w:rPr>
        <w:t> </w:t>
      </w:r>
      <w:r w:rsidRPr="00CB6CBA">
        <w:rPr>
          <w:iCs/>
        </w:rPr>
        <w:t>:</w:t>
      </w:r>
      <w:r w:rsidRPr="00CB6CBA">
        <w:tab/>
        <w:t xml:space="preserve">weighting coefficient which depends on the </w:t>
      </w:r>
      <w:r w:rsidRPr="00CB6CBA">
        <w:rPr>
          <w:i/>
        </w:rPr>
        <w:t>j</w:t>
      </w:r>
      <w:r w:rsidRPr="00CB6CBA">
        <w:t>-th category of the territory actually occupied by the emission</w:t>
      </w:r>
    </w:p>
    <w:p w:rsidR="00CA3B52" w:rsidRPr="00CB6CBA" w:rsidRDefault="00CA3B52" w:rsidP="00CA3B52">
      <w:pPr>
        <w:pStyle w:val="Equationlegend"/>
      </w:pPr>
      <w:r w:rsidRPr="00CB6CBA">
        <w:rPr>
          <w:iCs/>
        </w:rPr>
        <w:tab/>
      </w:r>
      <w:r w:rsidRPr="00CB6CBA">
        <w:rPr>
          <w:i/>
        </w:rPr>
        <w:t>m</w:t>
      </w:r>
      <w:r w:rsidRPr="00CB6CBA">
        <w:rPr>
          <w:rFonts w:ascii="Tms Rmn" w:hAnsi="Tms Rmn"/>
          <w:iCs/>
          <w:sz w:val="12"/>
        </w:rPr>
        <w:t> </w:t>
      </w:r>
      <w:r w:rsidRPr="00CB6CBA">
        <w:rPr>
          <w:iCs/>
        </w:rPr>
        <w:t>:</w:t>
      </w:r>
      <w:r w:rsidRPr="00CB6CBA">
        <w:rPr>
          <w:iCs/>
        </w:rPr>
        <w:tab/>
        <w:t>number</w:t>
      </w:r>
      <w:r w:rsidRPr="00CB6CBA">
        <w:t xml:space="preserve"> of categories.</w:t>
      </w:r>
    </w:p>
    <w:p w:rsidR="00CA3B52" w:rsidRPr="00CB6CBA" w:rsidRDefault="00CA3B52" w:rsidP="00CA3B52">
      <w:pPr>
        <w:rPr>
          <w:lang w:val="en-US"/>
        </w:rPr>
      </w:pPr>
      <w:r w:rsidRPr="00CB6CBA">
        <w:rPr>
          <w:lang w:val="en-US"/>
        </w:rPr>
        <w:t xml:space="preserve">The number of categories </w:t>
      </w:r>
      <w:r w:rsidRPr="00CB6CBA">
        <w:rPr>
          <w:i/>
          <w:lang w:val="en-US"/>
        </w:rPr>
        <w:t>m</w:t>
      </w:r>
      <w:r w:rsidRPr="00CB6CBA">
        <w:rPr>
          <w:lang w:val="en-US"/>
        </w:rPr>
        <w:t xml:space="preserve"> and the relevant values of the weighting coefficients </w:t>
      </w:r>
      <w:r w:rsidRPr="00CB6CBA">
        <w:rPr>
          <w:i/>
          <w:lang w:val="en-US"/>
        </w:rPr>
        <w:t>b</w:t>
      </w:r>
      <w:r w:rsidRPr="00CB6CBA">
        <w:rPr>
          <w:i/>
          <w:position w:val="-5"/>
          <w:vertAlign w:val="subscript"/>
          <w:lang w:val="en-US"/>
        </w:rPr>
        <w:t>j</w:t>
      </w:r>
      <w:r w:rsidRPr="00CB6CBA">
        <w:rPr>
          <w:lang w:val="en-US"/>
        </w:rPr>
        <w:t xml:space="preserve"> should be set out by a national telecommunications administration. These categories can take into account density of population and/or level of economic (industrial and/or agricultural) development of various regions of a country. It represents a measure of attractiveness for radio communication and broadcasting operators. Categories may also distinguish urban and rural areas, inland and coastal areas, mainland and island areas. Additionally settlement type and number of permanent or transitory inhabitants could also be included.</w:t>
      </w:r>
    </w:p>
    <w:p w:rsidR="00CA3B52" w:rsidRPr="00CB6CBA" w:rsidRDefault="00CA3B52" w:rsidP="00CA3B52">
      <w:pPr>
        <w:rPr>
          <w:lang w:val="en-US"/>
        </w:rPr>
      </w:pPr>
      <w:r w:rsidRPr="00CB6CBA">
        <w:rPr>
          <w:lang w:val="en-US"/>
        </w:rPr>
        <w:t>Illustrative examples are presented in Table 1.</w:t>
      </w:r>
    </w:p>
    <w:p w:rsidR="00CA3B52" w:rsidRDefault="00CA3B52" w:rsidP="00F65451">
      <w:pPr>
        <w:rPr>
          <w:caps/>
          <w:sz w:val="20"/>
          <w:lang w:val="en-US"/>
        </w:rPr>
      </w:pPr>
    </w:p>
    <w:p w:rsidR="00CA3B52" w:rsidRPr="00CB6CBA" w:rsidRDefault="00CA3B52" w:rsidP="00CA3B52">
      <w:pPr>
        <w:pStyle w:val="TableNo"/>
        <w:rPr>
          <w:lang w:val="en-US"/>
        </w:rPr>
      </w:pPr>
      <w:r w:rsidRPr="00CB6CBA">
        <w:rPr>
          <w:lang w:val="en-US"/>
        </w:rPr>
        <w:lastRenderedPageBreak/>
        <w:t>TABLE 1</w:t>
      </w:r>
    </w:p>
    <w:p w:rsidR="00CA3B52" w:rsidRPr="00CB6CBA" w:rsidRDefault="00CA3B52" w:rsidP="00CA3B52">
      <w:pPr>
        <w:pStyle w:val="Tabletitle"/>
        <w:rPr>
          <w:lang w:val="en-US"/>
        </w:rPr>
      </w:pPr>
      <w:r w:rsidRPr="00CB6CBA">
        <w:rPr>
          <w:lang w:val="en-US"/>
        </w:rPr>
        <w:t>Example of weighting coefficients taking into account a density of population</w:t>
      </w:r>
      <w:r w:rsidRPr="00CB6CBA">
        <w:rPr>
          <w:lang w:val="en-US"/>
        </w:rPr>
        <w:br/>
        <w:t>(a level of economical development) in various regions of a country</w:t>
      </w:r>
    </w:p>
    <w:tbl>
      <w:tblPr>
        <w:tblW w:w="0" w:type="auto"/>
        <w:jc w:val="center"/>
        <w:tblBorders>
          <w:top w:val="single" w:sz="2"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1134"/>
        <w:gridCol w:w="6804"/>
        <w:gridCol w:w="1134"/>
      </w:tblGrid>
      <w:tr w:rsidR="00CA3B52" w:rsidRPr="00CB6CBA" w:rsidTr="002D1D5C">
        <w:trPr>
          <w:cantSplit/>
          <w:jc w:val="center"/>
        </w:trPr>
        <w:tc>
          <w:tcPr>
            <w:tcW w:w="1134" w:type="dxa"/>
          </w:tcPr>
          <w:p w:rsidR="00CA3B52" w:rsidRPr="00CB6CBA" w:rsidRDefault="00CA3B52" w:rsidP="002D1D5C">
            <w:pPr>
              <w:pStyle w:val="Tablehead"/>
              <w:rPr>
                <w:szCs w:val="22"/>
                <w:lang w:val="en-US"/>
              </w:rPr>
            </w:pPr>
          </w:p>
        </w:tc>
        <w:tc>
          <w:tcPr>
            <w:tcW w:w="6804" w:type="dxa"/>
          </w:tcPr>
          <w:p w:rsidR="00CA3B52" w:rsidRPr="00CB6CBA" w:rsidRDefault="00CA3B52" w:rsidP="002D1D5C">
            <w:pPr>
              <w:pStyle w:val="Tablehead"/>
              <w:rPr>
                <w:szCs w:val="22"/>
                <w:lang w:val="en-US"/>
              </w:rPr>
            </w:pPr>
            <w:r w:rsidRPr="00CB6CBA">
              <w:rPr>
                <w:szCs w:val="22"/>
                <w:lang w:val="en-US"/>
              </w:rPr>
              <w:t>Designation</w:t>
            </w:r>
          </w:p>
        </w:tc>
        <w:tc>
          <w:tcPr>
            <w:tcW w:w="1134" w:type="dxa"/>
          </w:tcPr>
          <w:p w:rsidR="00CA3B52" w:rsidRPr="00CB6CBA" w:rsidRDefault="00CA3B52" w:rsidP="002D1D5C">
            <w:pPr>
              <w:pStyle w:val="Tablehead"/>
              <w:rPr>
                <w:i/>
                <w:iCs/>
                <w:szCs w:val="22"/>
                <w:lang w:val="en-US"/>
              </w:rPr>
            </w:pPr>
            <w:r w:rsidRPr="00CB6CBA">
              <w:rPr>
                <w:i/>
                <w:iCs/>
                <w:szCs w:val="22"/>
                <w:lang w:val="en-US"/>
              </w:rPr>
              <w:t>b</w:t>
            </w:r>
            <w:r w:rsidRPr="00CB6CBA">
              <w:rPr>
                <w:i/>
                <w:iCs/>
                <w:szCs w:val="22"/>
                <w:vertAlign w:val="subscript"/>
                <w:lang w:val="en-US"/>
              </w:rPr>
              <w:t>j</w:t>
            </w:r>
          </w:p>
        </w:tc>
      </w:tr>
      <w:tr w:rsidR="00CA3B52" w:rsidRPr="00CB6CBA" w:rsidTr="002D1D5C">
        <w:trPr>
          <w:cantSplit/>
          <w:jc w:val="center"/>
        </w:trPr>
        <w:tc>
          <w:tcPr>
            <w:tcW w:w="1134" w:type="dxa"/>
            <w:vAlign w:val="center"/>
          </w:tcPr>
          <w:p w:rsidR="00CA3B52" w:rsidRPr="00CB6CBA" w:rsidRDefault="00CA3B52" w:rsidP="002D1D5C">
            <w:pPr>
              <w:pStyle w:val="Tabletext"/>
              <w:jc w:val="center"/>
              <w:rPr>
                <w:szCs w:val="22"/>
                <w:lang w:val="en-US"/>
              </w:rPr>
            </w:pPr>
            <w:r w:rsidRPr="00CB6CBA">
              <w:rPr>
                <w:szCs w:val="22"/>
                <w:lang w:val="en-US"/>
              </w:rPr>
              <w:t>1</w:t>
            </w:r>
          </w:p>
        </w:tc>
        <w:tc>
          <w:tcPr>
            <w:tcW w:w="6804" w:type="dxa"/>
          </w:tcPr>
          <w:p w:rsidR="00CA3B52" w:rsidRPr="00CB6CBA" w:rsidRDefault="00CA3B52" w:rsidP="002D1D5C">
            <w:pPr>
              <w:pStyle w:val="Tabletext"/>
              <w:jc w:val="left"/>
              <w:rPr>
                <w:szCs w:val="22"/>
                <w:lang w:val="en-US"/>
              </w:rPr>
            </w:pPr>
            <w:r w:rsidRPr="00CB6CBA">
              <w:rPr>
                <w:szCs w:val="22"/>
                <w:lang w:val="en-US"/>
              </w:rPr>
              <w:t>The less populated and/or the less economically developed regions (deserts, high mountains, deep jungles etc.) which are usually the less attractive for radiocommunication and broadcasting operators</w:t>
            </w:r>
          </w:p>
        </w:tc>
        <w:tc>
          <w:tcPr>
            <w:tcW w:w="1134" w:type="dxa"/>
            <w:vAlign w:val="center"/>
          </w:tcPr>
          <w:p w:rsidR="00CA3B52" w:rsidRPr="00CB6CBA" w:rsidRDefault="00CA3B52" w:rsidP="00F65451">
            <w:pPr>
              <w:pStyle w:val="Tabletext"/>
              <w:jc w:val="center"/>
              <w:rPr>
                <w:szCs w:val="22"/>
                <w:lang w:val="en-US"/>
              </w:rPr>
            </w:pPr>
            <w:r w:rsidRPr="00CB6CBA">
              <w:rPr>
                <w:szCs w:val="22"/>
                <w:lang w:val="en-US"/>
              </w:rPr>
              <w:t>0.1</w:t>
            </w:r>
          </w:p>
        </w:tc>
      </w:tr>
      <w:tr w:rsidR="00CA3B52" w:rsidRPr="00CB6CBA" w:rsidTr="002D1D5C">
        <w:trPr>
          <w:cantSplit/>
          <w:jc w:val="center"/>
        </w:trPr>
        <w:tc>
          <w:tcPr>
            <w:tcW w:w="1134" w:type="dxa"/>
            <w:vAlign w:val="center"/>
          </w:tcPr>
          <w:p w:rsidR="00CA3B52" w:rsidRPr="00CB6CBA" w:rsidRDefault="00CA3B52" w:rsidP="00F65451">
            <w:pPr>
              <w:pStyle w:val="Tabletext"/>
              <w:jc w:val="center"/>
              <w:rPr>
                <w:szCs w:val="22"/>
                <w:lang w:val="en-US"/>
              </w:rPr>
            </w:pPr>
            <w:r w:rsidRPr="00CB6CBA">
              <w:rPr>
                <w:szCs w:val="22"/>
                <w:lang w:val="en-US"/>
              </w:rPr>
              <w:t xml:space="preserve">2 – </w:t>
            </w:r>
            <w:r w:rsidRPr="00CB6CBA">
              <w:rPr>
                <w:i/>
                <w:szCs w:val="22"/>
                <w:lang w:val="en-US"/>
              </w:rPr>
              <w:t>j </w:t>
            </w:r>
            <w:r w:rsidRPr="00CB6CBA">
              <w:rPr>
                <w:szCs w:val="22"/>
                <w:lang w:val="en-US"/>
              </w:rPr>
              <w:t>– ...</w:t>
            </w:r>
          </w:p>
        </w:tc>
        <w:tc>
          <w:tcPr>
            <w:tcW w:w="6804" w:type="dxa"/>
          </w:tcPr>
          <w:p w:rsidR="00CA3B52" w:rsidRPr="00CB6CBA" w:rsidRDefault="00CA3B52" w:rsidP="002D1D5C">
            <w:pPr>
              <w:pStyle w:val="Tabletext"/>
              <w:jc w:val="left"/>
              <w:rPr>
                <w:szCs w:val="22"/>
                <w:lang w:val="en-US"/>
              </w:rPr>
            </w:pPr>
            <w:r w:rsidRPr="00CB6CBA">
              <w:rPr>
                <w:szCs w:val="22"/>
                <w:lang w:val="en-US"/>
              </w:rPr>
              <w:t>Regions with several intermediate and increasing gradations of density of population and/or indicators of economical development</w:t>
            </w:r>
          </w:p>
        </w:tc>
        <w:tc>
          <w:tcPr>
            <w:tcW w:w="1134" w:type="dxa"/>
            <w:vAlign w:val="center"/>
          </w:tcPr>
          <w:p w:rsidR="00CA3B52" w:rsidRPr="00CB6CBA" w:rsidRDefault="00CA3B52" w:rsidP="00F65451">
            <w:pPr>
              <w:pStyle w:val="Tabletext"/>
              <w:jc w:val="center"/>
              <w:rPr>
                <w:szCs w:val="22"/>
                <w:lang w:val="en-US"/>
              </w:rPr>
            </w:pPr>
            <w:r w:rsidRPr="00CB6CBA">
              <w:rPr>
                <w:szCs w:val="22"/>
                <w:lang w:val="en-US"/>
              </w:rPr>
              <w:t>0.2-0.9</w:t>
            </w:r>
          </w:p>
        </w:tc>
      </w:tr>
      <w:tr w:rsidR="00CA3B52" w:rsidRPr="00CB6CBA" w:rsidTr="002D1D5C">
        <w:trPr>
          <w:cantSplit/>
          <w:jc w:val="center"/>
        </w:trPr>
        <w:tc>
          <w:tcPr>
            <w:tcW w:w="1134" w:type="dxa"/>
            <w:vAlign w:val="center"/>
          </w:tcPr>
          <w:p w:rsidR="00CA3B52" w:rsidRPr="00CB6CBA" w:rsidRDefault="00CA3B52" w:rsidP="00F65451">
            <w:pPr>
              <w:pStyle w:val="Tabletext"/>
              <w:jc w:val="center"/>
              <w:rPr>
                <w:i/>
                <w:szCs w:val="22"/>
                <w:lang w:val="en-US"/>
              </w:rPr>
            </w:pPr>
            <w:r w:rsidRPr="00CB6CBA">
              <w:rPr>
                <w:i/>
                <w:szCs w:val="22"/>
                <w:lang w:val="en-US"/>
              </w:rPr>
              <w:t>...</w:t>
            </w:r>
          </w:p>
        </w:tc>
        <w:tc>
          <w:tcPr>
            <w:tcW w:w="6804" w:type="dxa"/>
          </w:tcPr>
          <w:p w:rsidR="00CA3B52" w:rsidRPr="00CB6CBA" w:rsidRDefault="00CA3B52" w:rsidP="002D1D5C">
            <w:pPr>
              <w:pStyle w:val="Tabletext"/>
              <w:jc w:val="left"/>
              <w:rPr>
                <w:szCs w:val="22"/>
                <w:lang w:val="en-US"/>
              </w:rPr>
            </w:pPr>
            <w:r w:rsidRPr="00CB6CBA">
              <w:rPr>
                <w:szCs w:val="22"/>
                <w:lang w:val="en-US"/>
              </w:rPr>
              <w:t>The most populated and/or the most economically developed regions (capital region, main industry and/or agricultural areas etc.) which are the most attractive for radiocommunication and broadcasting operators</w:t>
            </w:r>
          </w:p>
        </w:tc>
        <w:tc>
          <w:tcPr>
            <w:tcW w:w="1134" w:type="dxa"/>
            <w:vAlign w:val="center"/>
          </w:tcPr>
          <w:p w:rsidR="00CA3B52" w:rsidRPr="00CB6CBA" w:rsidRDefault="00CA3B52" w:rsidP="00F65451">
            <w:pPr>
              <w:pStyle w:val="Tabletext"/>
              <w:jc w:val="center"/>
              <w:rPr>
                <w:szCs w:val="22"/>
                <w:lang w:val="en-US"/>
              </w:rPr>
            </w:pPr>
            <w:r w:rsidRPr="00CB6CBA">
              <w:rPr>
                <w:szCs w:val="22"/>
                <w:lang w:val="en-US"/>
              </w:rPr>
              <w:t>1</w:t>
            </w:r>
          </w:p>
        </w:tc>
      </w:tr>
    </w:tbl>
    <w:p w:rsidR="00CA3B52" w:rsidRPr="00CB6CBA" w:rsidRDefault="00CA3B52" w:rsidP="00CA3B52">
      <w:pPr>
        <w:pStyle w:val="Tablefin"/>
      </w:pPr>
    </w:p>
    <w:tbl>
      <w:tblPr>
        <w:tblW w:w="0" w:type="auto"/>
        <w:jc w:val="center"/>
        <w:tblBorders>
          <w:top w:val="single" w:sz="2"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56" w:type="dxa"/>
          <w:right w:w="56" w:type="dxa"/>
        </w:tblCellMar>
        <w:tblLook w:val="0000" w:firstRow="0" w:lastRow="0" w:firstColumn="0" w:lastColumn="0" w:noHBand="0" w:noVBand="0"/>
      </w:tblPr>
      <w:tblGrid>
        <w:gridCol w:w="1134"/>
        <w:gridCol w:w="6804"/>
        <w:gridCol w:w="1134"/>
      </w:tblGrid>
      <w:tr w:rsidR="00CA3B52" w:rsidRPr="00F65451" w:rsidTr="002D1D5C">
        <w:trPr>
          <w:cantSplit/>
          <w:jc w:val="center"/>
        </w:trPr>
        <w:tc>
          <w:tcPr>
            <w:tcW w:w="9072" w:type="dxa"/>
            <w:gridSpan w:val="3"/>
            <w:tcBorders>
              <w:bottom w:val="single" w:sz="6" w:space="0" w:color="auto"/>
            </w:tcBorders>
          </w:tcPr>
          <w:p w:rsidR="00CA3B52" w:rsidRPr="00CB6CBA" w:rsidRDefault="00CA3B52" w:rsidP="002D1D5C">
            <w:pPr>
              <w:pStyle w:val="Tablehead"/>
              <w:rPr>
                <w:szCs w:val="22"/>
                <w:lang w:val="en-US"/>
              </w:rPr>
            </w:pPr>
            <w:r w:rsidRPr="00CB6CBA">
              <w:rPr>
                <w:szCs w:val="22"/>
                <w:lang w:val="en-US"/>
              </w:rPr>
              <w:t>Cities and settlements of an urban type</w:t>
            </w:r>
          </w:p>
        </w:tc>
      </w:tr>
      <w:tr w:rsidR="00CA3B52" w:rsidRPr="00CB6CBA" w:rsidTr="002D1D5C">
        <w:trPr>
          <w:cantSplit/>
          <w:jc w:val="center"/>
        </w:trPr>
        <w:tc>
          <w:tcPr>
            <w:tcW w:w="1134" w:type="dxa"/>
            <w:tcBorders>
              <w:top w:val="single" w:sz="6" w:space="0" w:color="auto"/>
              <w:right w:val="single" w:sz="6" w:space="0" w:color="auto"/>
            </w:tcBorders>
            <w:vAlign w:val="center"/>
          </w:tcPr>
          <w:p w:rsidR="00CA3B52" w:rsidRPr="00CB6CBA" w:rsidRDefault="00CA3B52" w:rsidP="00F65451">
            <w:pPr>
              <w:pStyle w:val="Tabletext"/>
              <w:jc w:val="center"/>
              <w:rPr>
                <w:szCs w:val="22"/>
                <w:lang w:val="en-US"/>
              </w:rPr>
            </w:pPr>
            <w:r w:rsidRPr="00CB6CBA">
              <w:rPr>
                <w:szCs w:val="22"/>
                <w:lang w:val="en-US"/>
              </w:rPr>
              <w:t>…</w:t>
            </w:r>
          </w:p>
        </w:tc>
        <w:tc>
          <w:tcPr>
            <w:tcW w:w="6804" w:type="dxa"/>
            <w:tcBorders>
              <w:top w:val="single" w:sz="6" w:space="0" w:color="auto"/>
              <w:left w:val="single" w:sz="6" w:space="0" w:color="auto"/>
              <w:right w:val="single" w:sz="6" w:space="0" w:color="auto"/>
            </w:tcBorders>
          </w:tcPr>
          <w:p w:rsidR="00CA3B52" w:rsidRPr="00CB6CBA" w:rsidRDefault="00CA3B52" w:rsidP="00F65451">
            <w:pPr>
              <w:pStyle w:val="Tabletext"/>
              <w:jc w:val="left"/>
              <w:rPr>
                <w:szCs w:val="22"/>
                <w:lang w:val="en-US"/>
              </w:rPr>
            </w:pPr>
            <w:r w:rsidRPr="00CB6CBA">
              <w:rPr>
                <w:szCs w:val="22"/>
                <w:lang w:val="en-US"/>
              </w:rPr>
              <w:t>With a population of 10</w:t>
            </w:r>
            <w:r w:rsidRPr="00CB6CBA">
              <w:rPr>
                <w:rFonts w:ascii="Tms Rmn" w:hAnsi="Tms Rmn"/>
                <w:szCs w:val="22"/>
                <w:lang w:val="en-US"/>
              </w:rPr>
              <w:t> </w:t>
            </w:r>
            <w:r w:rsidRPr="00CB6CBA">
              <w:rPr>
                <w:szCs w:val="22"/>
                <w:lang w:val="en-US"/>
              </w:rPr>
              <w:t>000 to 50</w:t>
            </w:r>
            <w:r w:rsidRPr="00CB6CBA">
              <w:rPr>
                <w:rFonts w:ascii="Tms Rmn" w:hAnsi="Tms Rmn"/>
                <w:szCs w:val="22"/>
                <w:lang w:val="en-US"/>
              </w:rPr>
              <w:t> </w:t>
            </w:r>
            <w:r w:rsidRPr="00CB6CBA">
              <w:rPr>
                <w:szCs w:val="22"/>
                <w:lang w:val="en-US"/>
              </w:rPr>
              <w:t>000 inhabitants</w:t>
            </w:r>
          </w:p>
        </w:tc>
        <w:tc>
          <w:tcPr>
            <w:tcW w:w="1134" w:type="dxa"/>
            <w:tcBorders>
              <w:top w:val="single" w:sz="6" w:space="0" w:color="auto"/>
              <w:left w:val="single" w:sz="6" w:space="0" w:color="auto"/>
            </w:tcBorders>
            <w:vAlign w:val="center"/>
          </w:tcPr>
          <w:p w:rsidR="00CA3B52" w:rsidRPr="00CB6CBA" w:rsidRDefault="00CA3B52" w:rsidP="00F65451">
            <w:pPr>
              <w:pStyle w:val="Tabletext"/>
              <w:jc w:val="center"/>
              <w:rPr>
                <w:caps/>
                <w:szCs w:val="22"/>
                <w:lang w:val="en-US"/>
              </w:rPr>
            </w:pPr>
            <w:r w:rsidRPr="00CB6CBA">
              <w:rPr>
                <w:caps/>
                <w:szCs w:val="22"/>
                <w:lang w:val="en-US"/>
              </w:rPr>
              <w:t>1.2</w:t>
            </w:r>
          </w:p>
        </w:tc>
      </w:tr>
      <w:tr w:rsidR="00CA3B52" w:rsidRPr="00CB6CBA" w:rsidTr="002D1D5C">
        <w:trPr>
          <w:cantSplit/>
          <w:jc w:val="center"/>
        </w:trPr>
        <w:tc>
          <w:tcPr>
            <w:tcW w:w="1134" w:type="dxa"/>
            <w:tcBorders>
              <w:top w:val="single" w:sz="6" w:space="0" w:color="auto"/>
              <w:right w:val="single" w:sz="6" w:space="0" w:color="auto"/>
            </w:tcBorders>
            <w:vAlign w:val="center"/>
          </w:tcPr>
          <w:p w:rsidR="00CA3B52" w:rsidRPr="00CB6CBA" w:rsidRDefault="00CA3B52" w:rsidP="00F65451">
            <w:pPr>
              <w:pStyle w:val="Tabletext"/>
              <w:jc w:val="center"/>
              <w:rPr>
                <w:szCs w:val="22"/>
                <w:lang w:val="en-US"/>
              </w:rPr>
            </w:pPr>
            <w:r w:rsidRPr="00CB6CBA">
              <w:rPr>
                <w:szCs w:val="22"/>
                <w:lang w:val="en-US"/>
              </w:rPr>
              <w:t>…</w:t>
            </w:r>
          </w:p>
        </w:tc>
        <w:tc>
          <w:tcPr>
            <w:tcW w:w="6804" w:type="dxa"/>
            <w:tcBorders>
              <w:top w:val="single" w:sz="6" w:space="0" w:color="auto"/>
              <w:left w:val="single" w:sz="6" w:space="0" w:color="auto"/>
              <w:right w:val="single" w:sz="6" w:space="0" w:color="auto"/>
            </w:tcBorders>
          </w:tcPr>
          <w:p w:rsidR="00CA3B52" w:rsidRPr="00CB6CBA" w:rsidRDefault="00CA3B52" w:rsidP="00F65451">
            <w:pPr>
              <w:pStyle w:val="Tabletext"/>
              <w:jc w:val="left"/>
              <w:rPr>
                <w:szCs w:val="22"/>
                <w:lang w:val="en-US"/>
              </w:rPr>
            </w:pPr>
            <w:r w:rsidRPr="00CB6CBA">
              <w:rPr>
                <w:szCs w:val="22"/>
                <w:lang w:val="en-US"/>
              </w:rPr>
              <w:t>With a population of 50</w:t>
            </w:r>
            <w:r w:rsidRPr="00CB6CBA">
              <w:rPr>
                <w:rFonts w:ascii="Tms Rmn" w:hAnsi="Tms Rmn"/>
                <w:szCs w:val="22"/>
                <w:lang w:val="en-US"/>
              </w:rPr>
              <w:t> </w:t>
            </w:r>
            <w:r w:rsidRPr="00CB6CBA">
              <w:rPr>
                <w:szCs w:val="22"/>
                <w:lang w:val="en-US"/>
              </w:rPr>
              <w:t>000 to 100</w:t>
            </w:r>
            <w:r w:rsidRPr="00CB6CBA">
              <w:rPr>
                <w:rFonts w:ascii="Tms Rmn" w:hAnsi="Tms Rmn"/>
                <w:szCs w:val="22"/>
                <w:lang w:val="en-US"/>
              </w:rPr>
              <w:t> </w:t>
            </w:r>
            <w:r w:rsidRPr="00CB6CBA">
              <w:rPr>
                <w:szCs w:val="22"/>
                <w:lang w:val="en-US"/>
              </w:rPr>
              <w:t>000 inhabitants</w:t>
            </w:r>
          </w:p>
        </w:tc>
        <w:tc>
          <w:tcPr>
            <w:tcW w:w="1134" w:type="dxa"/>
            <w:tcBorders>
              <w:top w:val="single" w:sz="6" w:space="0" w:color="auto"/>
              <w:left w:val="single" w:sz="6" w:space="0" w:color="auto"/>
            </w:tcBorders>
            <w:vAlign w:val="center"/>
          </w:tcPr>
          <w:p w:rsidR="00CA3B52" w:rsidRPr="00CB6CBA" w:rsidRDefault="00CA3B52" w:rsidP="00F65451">
            <w:pPr>
              <w:pStyle w:val="Tabletext"/>
              <w:jc w:val="center"/>
              <w:rPr>
                <w:szCs w:val="22"/>
                <w:lang w:val="en-US"/>
              </w:rPr>
            </w:pPr>
            <w:r w:rsidRPr="00CB6CBA">
              <w:rPr>
                <w:szCs w:val="22"/>
                <w:lang w:val="en-US"/>
              </w:rPr>
              <w:t>1</w:t>
            </w:r>
            <w:r w:rsidRPr="00CB6CBA">
              <w:rPr>
                <w:caps/>
                <w:szCs w:val="22"/>
                <w:lang w:val="en-US"/>
              </w:rPr>
              <w:t>.</w:t>
            </w:r>
            <w:r w:rsidRPr="00CB6CBA">
              <w:rPr>
                <w:szCs w:val="22"/>
                <w:lang w:val="en-US"/>
              </w:rPr>
              <w:t>5</w:t>
            </w:r>
          </w:p>
        </w:tc>
      </w:tr>
      <w:tr w:rsidR="00CA3B52" w:rsidRPr="00CB6CBA" w:rsidTr="002D1D5C">
        <w:trPr>
          <w:cantSplit/>
          <w:jc w:val="center"/>
        </w:trPr>
        <w:tc>
          <w:tcPr>
            <w:tcW w:w="1134" w:type="dxa"/>
            <w:tcBorders>
              <w:top w:val="single" w:sz="6" w:space="0" w:color="auto"/>
              <w:right w:val="single" w:sz="6" w:space="0" w:color="auto"/>
            </w:tcBorders>
            <w:vAlign w:val="center"/>
          </w:tcPr>
          <w:p w:rsidR="00CA3B52" w:rsidRPr="00CB6CBA" w:rsidRDefault="00CA3B52" w:rsidP="00F65451">
            <w:pPr>
              <w:pStyle w:val="Tabletext"/>
              <w:jc w:val="center"/>
              <w:rPr>
                <w:szCs w:val="22"/>
                <w:lang w:val="en-US"/>
              </w:rPr>
            </w:pPr>
            <w:r w:rsidRPr="00CB6CBA">
              <w:rPr>
                <w:i/>
                <w:szCs w:val="22"/>
                <w:lang w:val="en-US"/>
              </w:rPr>
              <w:t>m </w:t>
            </w:r>
            <w:r w:rsidRPr="00CB6CBA">
              <w:rPr>
                <w:szCs w:val="22"/>
                <w:lang w:val="en-US"/>
              </w:rPr>
              <w:t>– 2</w:t>
            </w:r>
          </w:p>
        </w:tc>
        <w:tc>
          <w:tcPr>
            <w:tcW w:w="6804" w:type="dxa"/>
            <w:tcBorders>
              <w:top w:val="single" w:sz="6" w:space="0" w:color="auto"/>
              <w:left w:val="single" w:sz="6" w:space="0" w:color="auto"/>
              <w:right w:val="single" w:sz="6" w:space="0" w:color="auto"/>
            </w:tcBorders>
          </w:tcPr>
          <w:p w:rsidR="00CA3B52" w:rsidRPr="00CB6CBA" w:rsidRDefault="00CA3B52" w:rsidP="00F65451">
            <w:pPr>
              <w:pStyle w:val="Tabletext"/>
              <w:jc w:val="left"/>
              <w:rPr>
                <w:szCs w:val="22"/>
                <w:lang w:val="en-US"/>
              </w:rPr>
            </w:pPr>
            <w:r w:rsidRPr="00CB6CBA">
              <w:rPr>
                <w:szCs w:val="22"/>
                <w:lang w:val="en-US"/>
              </w:rPr>
              <w:t>With a population of 100</w:t>
            </w:r>
            <w:r w:rsidRPr="00CB6CBA">
              <w:rPr>
                <w:rFonts w:ascii="Tms Rmn" w:hAnsi="Tms Rmn"/>
                <w:szCs w:val="22"/>
                <w:lang w:val="en-US"/>
              </w:rPr>
              <w:t> </w:t>
            </w:r>
            <w:r w:rsidRPr="00CB6CBA">
              <w:rPr>
                <w:szCs w:val="22"/>
                <w:lang w:val="en-US"/>
              </w:rPr>
              <w:t>000 to 500</w:t>
            </w:r>
            <w:r w:rsidRPr="00CB6CBA">
              <w:rPr>
                <w:rFonts w:ascii="Tms Rmn" w:hAnsi="Tms Rmn"/>
                <w:szCs w:val="22"/>
                <w:lang w:val="en-US"/>
              </w:rPr>
              <w:t> </w:t>
            </w:r>
            <w:r w:rsidRPr="00CB6CBA">
              <w:rPr>
                <w:szCs w:val="22"/>
                <w:lang w:val="en-US"/>
              </w:rPr>
              <w:t>000 inhabitants</w:t>
            </w:r>
          </w:p>
        </w:tc>
        <w:tc>
          <w:tcPr>
            <w:tcW w:w="1134" w:type="dxa"/>
            <w:tcBorders>
              <w:top w:val="single" w:sz="6" w:space="0" w:color="auto"/>
              <w:left w:val="single" w:sz="6" w:space="0" w:color="auto"/>
            </w:tcBorders>
            <w:vAlign w:val="center"/>
          </w:tcPr>
          <w:p w:rsidR="00CA3B52" w:rsidRPr="00CB6CBA" w:rsidRDefault="00CA3B52" w:rsidP="00F65451">
            <w:pPr>
              <w:pStyle w:val="Tabletext"/>
              <w:jc w:val="center"/>
              <w:rPr>
                <w:szCs w:val="22"/>
                <w:lang w:val="en-US"/>
              </w:rPr>
            </w:pPr>
            <w:r w:rsidRPr="00CB6CBA">
              <w:rPr>
                <w:szCs w:val="22"/>
                <w:lang w:val="en-US"/>
              </w:rPr>
              <w:t>2</w:t>
            </w:r>
            <w:r w:rsidRPr="00CB6CBA">
              <w:rPr>
                <w:caps/>
                <w:szCs w:val="22"/>
                <w:lang w:val="en-US"/>
              </w:rPr>
              <w:t>.</w:t>
            </w:r>
            <w:r w:rsidRPr="00CB6CBA">
              <w:rPr>
                <w:szCs w:val="22"/>
                <w:lang w:val="en-US"/>
              </w:rPr>
              <w:t>0</w:t>
            </w:r>
          </w:p>
        </w:tc>
      </w:tr>
      <w:tr w:rsidR="00CA3B52" w:rsidRPr="00CB6CBA" w:rsidTr="002D1D5C">
        <w:trPr>
          <w:cantSplit/>
          <w:jc w:val="center"/>
        </w:trPr>
        <w:tc>
          <w:tcPr>
            <w:tcW w:w="1134" w:type="dxa"/>
            <w:tcBorders>
              <w:top w:val="single" w:sz="6" w:space="0" w:color="auto"/>
              <w:right w:val="single" w:sz="6" w:space="0" w:color="auto"/>
            </w:tcBorders>
            <w:vAlign w:val="center"/>
          </w:tcPr>
          <w:p w:rsidR="00CA3B52" w:rsidRPr="00CB6CBA" w:rsidRDefault="00CA3B52" w:rsidP="00F65451">
            <w:pPr>
              <w:pStyle w:val="Tabletext"/>
              <w:jc w:val="center"/>
              <w:rPr>
                <w:szCs w:val="22"/>
                <w:lang w:val="en-US"/>
              </w:rPr>
            </w:pPr>
            <w:r w:rsidRPr="00CB6CBA">
              <w:rPr>
                <w:i/>
                <w:szCs w:val="22"/>
                <w:lang w:val="en-US"/>
              </w:rPr>
              <w:t>m </w:t>
            </w:r>
            <w:r w:rsidRPr="00CB6CBA">
              <w:rPr>
                <w:szCs w:val="22"/>
                <w:lang w:val="en-US"/>
              </w:rPr>
              <w:t>– 1</w:t>
            </w:r>
          </w:p>
        </w:tc>
        <w:tc>
          <w:tcPr>
            <w:tcW w:w="6804" w:type="dxa"/>
            <w:tcBorders>
              <w:top w:val="single" w:sz="6" w:space="0" w:color="auto"/>
              <w:left w:val="single" w:sz="6" w:space="0" w:color="auto"/>
              <w:right w:val="single" w:sz="6" w:space="0" w:color="auto"/>
            </w:tcBorders>
          </w:tcPr>
          <w:p w:rsidR="00CA3B52" w:rsidRPr="00CB6CBA" w:rsidRDefault="00CA3B52" w:rsidP="00F65451">
            <w:pPr>
              <w:pStyle w:val="Tabletext"/>
              <w:jc w:val="left"/>
              <w:rPr>
                <w:szCs w:val="22"/>
                <w:lang w:val="en-US"/>
              </w:rPr>
            </w:pPr>
            <w:r w:rsidRPr="00CB6CBA">
              <w:rPr>
                <w:szCs w:val="22"/>
                <w:lang w:val="en-US"/>
              </w:rPr>
              <w:t>With a population of  500</w:t>
            </w:r>
            <w:r w:rsidRPr="00CB6CBA">
              <w:rPr>
                <w:rFonts w:ascii="Tms Rmn" w:hAnsi="Tms Rmn"/>
                <w:szCs w:val="22"/>
                <w:lang w:val="en-US"/>
              </w:rPr>
              <w:t> </w:t>
            </w:r>
            <w:r w:rsidRPr="00CB6CBA">
              <w:rPr>
                <w:szCs w:val="22"/>
                <w:lang w:val="en-US"/>
              </w:rPr>
              <w:t>000  to 1</w:t>
            </w:r>
            <w:r w:rsidRPr="00CB6CBA">
              <w:rPr>
                <w:rFonts w:ascii="Tms Rmn" w:hAnsi="Tms Rmn"/>
                <w:szCs w:val="22"/>
                <w:lang w:val="en-US"/>
              </w:rPr>
              <w:t> </w:t>
            </w:r>
            <w:r w:rsidRPr="00CB6CBA">
              <w:rPr>
                <w:szCs w:val="22"/>
                <w:lang w:val="en-US"/>
              </w:rPr>
              <w:t>000</w:t>
            </w:r>
            <w:r w:rsidRPr="00CB6CBA">
              <w:rPr>
                <w:rFonts w:ascii="Tms Rmn" w:hAnsi="Tms Rmn"/>
                <w:szCs w:val="22"/>
                <w:lang w:val="en-US"/>
              </w:rPr>
              <w:t> </w:t>
            </w:r>
            <w:r w:rsidRPr="00CB6CBA">
              <w:rPr>
                <w:szCs w:val="22"/>
                <w:lang w:val="en-US"/>
              </w:rPr>
              <w:t>000 inhabitants</w:t>
            </w:r>
          </w:p>
        </w:tc>
        <w:tc>
          <w:tcPr>
            <w:tcW w:w="1134" w:type="dxa"/>
            <w:tcBorders>
              <w:top w:val="single" w:sz="6" w:space="0" w:color="auto"/>
              <w:left w:val="single" w:sz="6" w:space="0" w:color="auto"/>
            </w:tcBorders>
            <w:vAlign w:val="center"/>
          </w:tcPr>
          <w:p w:rsidR="00CA3B52" w:rsidRPr="00CB6CBA" w:rsidRDefault="00CA3B52" w:rsidP="00F65451">
            <w:pPr>
              <w:pStyle w:val="Tabletext"/>
              <w:jc w:val="center"/>
              <w:rPr>
                <w:szCs w:val="22"/>
                <w:lang w:val="en-US"/>
              </w:rPr>
            </w:pPr>
            <w:r w:rsidRPr="00CB6CBA">
              <w:rPr>
                <w:szCs w:val="22"/>
                <w:lang w:val="en-US"/>
              </w:rPr>
              <w:t>3</w:t>
            </w:r>
            <w:r w:rsidRPr="00CB6CBA">
              <w:rPr>
                <w:caps/>
                <w:szCs w:val="22"/>
                <w:lang w:val="en-US"/>
              </w:rPr>
              <w:t>.</w:t>
            </w:r>
            <w:r w:rsidRPr="00CB6CBA">
              <w:rPr>
                <w:szCs w:val="22"/>
                <w:lang w:val="en-US"/>
              </w:rPr>
              <w:t>0</w:t>
            </w:r>
          </w:p>
        </w:tc>
      </w:tr>
      <w:tr w:rsidR="00CA3B52" w:rsidRPr="00CB6CBA" w:rsidTr="002D1D5C">
        <w:trPr>
          <w:cantSplit/>
          <w:jc w:val="center"/>
        </w:trPr>
        <w:tc>
          <w:tcPr>
            <w:tcW w:w="1134" w:type="dxa"/>
            <w:tcBorders>
              <w:top w:val="single" w:sz="6" w:space="0" w:color="auto"/>
              <w:right w:val="single" w:sz="6" w:space="0" w:color="auto"/>
            </w:tcBorders>
            <w:vAlign w:val="center"/>
          </w:tcPr>
          <w:p w:rsidR="00CA3B52" w:rsidRPr="00CB6CBA" w:rsidRDefault="00CA3B52" w:rsidP="00F65451">
            <w:pPr>
              <w:pStyle w:val="Tabletext"/>
              <w:jc w:val="center"/>
              <w:rPr>
                <w:szCs w:val="22"/>
                <w:lang w:val="en-US"/>
              </w:rPr>
            </w:pPr>
            <w:r w:rsidRPr="00CB6CBA">
              <w:rPr>
                <w:i/>
                <w:szCs w:val="22"/>
                <w:lang w:val="en-US"/>
              </w:rPr>
              <w:t>m</w:t>
            </w:r>
          </w:p>
        </w:tc>
        <w:tc>
          <w:tcPr>
            <w:tcW w:w="6804" w:type="dxa"/>
            <w:tcBorders>
              <w:top w:val="single" w:sz="6" w:space="0" w:color="auto"/>
              <w:left w:val="single" w:sz="6" w:space="0" w:color="auto"/>
              <w:right w:val="single" w:sz="6" w:space="0" w:color="auto"/>
            </w:tcBorders>
          </w:tcPr>
          <w:p w:rsidR="00CA3B52" w:rsidRPr="00CB6CBA" w:rsidRDefault="00CA3B52" w:rsidP="002D1D5C">
            <w:pPr>
              <w:pStyle w:val="Tabletext"/>
              <w:jc w:val="left"/>
              <w:rPr>
                <w:szCs w:val="22"/>
                <w:lang w:val="en-US"/>
              </w:rPr>
            </w:pPr>
            <w:r w:rsidRPr="00CB6CBA">
              <w:rPr>
                <w:szCs w:val="22"/>
                <w:lang w:val="en-US"/>
              </w:rPr>
              <w:t>With a population over 1</w:t>
            </w:r>
            <w:r w:rsidRPr="00CB6CBA">
              <w:rPr>
                <w:rFonts w:ascii="Tms Rmn" w:hAnsi="Tms Rmn"/>
                <w:szCs w:val="22"/>
                <w:lang w:val="en-US"/>
              </w:rPr>
              <w:t> </w:t>
            </w:r>
            <w:r w:rsidRPr="00CB6CBA">
              <w:rPr>
                <w:szCs w:val="22"/>
                <w:lang w:val="en-US"/>
              </w:rPr>
              <w:t>000</w:t>
            </w:r>
            <w:r w:rsidRPr="00CB6CBA">
              <w:rPr>
                <w:rFonts w:ascii="Tms Rmn" w:hAnsi="Tms Rmn"/>
                <w:szCs w:val="22"/>
                <w:lang w:val="en-US"/>
              </w:rPr>
              <w:t> </w:t>
            </w:r>
            <w:r w:rsidRPr="00CB6CBA">
              <w:rPr>
                <w:szCs w:val="22"/>
                <w:lang w:val="en-US"/>
              </w:rPr>
              <w:t>000 inhabitants</w:t>
            </w:r>
          </w:p>
        </w:tc>
        <w:tc>
          <w:tcPr>
            <w:tcW w:w="1134" w:type="dxa"/>
            <w:tcBorders>
              <w:top w:val="single" w:sz="6" w:space="0" w:color="auto"/>
              <w:left w:val="single" w:sz="6" w:space="0" w:color="auto"/>
            </w:tcBorders>
            <w:vAlign w:val="center"/>
          </w:tcPr>
          <w:p w:rsidR="00CA3B52" w:rsidRPr="00CB6CBA" w:rsidRDefault="00CA3B52" w:rsidP="00F65451">
            <w:pPr>
              <w:pStyle w:val="Tabletext"/>
              <w:jc w:val="center"/>
              <w:rPr>
                <w:szCs w:val="22"/>
                <w:lang w:val="en-US"/>
              </w:rPr>
            </w:pPr>
            <w:r w:rsidRPr="00CB6CBA">
              <w:rPr>
                <w:szCs w:val="22"/>
                <w:lang w:val="en-US"/>
              </w:rPr>
              <w:t>4</w:t>
            </w:r>
            <w:r w:rsidRPr="00CB6CBA">
              <w:rPr>
                <w:caps/>
                <w:szCs w:val="22"/>
                <w:lang w:val="en-US"/>
              </w:rPr>
              <w:t>.</w:t>
            </w:r>
            <w:r w:rsidRPr="00CB6CBA">
              <w:rPr>
                <w:szCs w:val="22"/>
                <w:lang w:val="en-US"/>
              </w:rPr>
              <w:t>0</w:t>
            </w:r>
          </w:p>
        </w:tc>
      </w:tr>
    </w:tbl>
    <w:p w:rsidR="00CA3B52" w:rsidRPr="00CB6CBA" w:rsidRDefault="00CA3B52" w:rsidP="00CA3B52">
      <w:pPr>
        <w:pStyle w:val="Tablefin"/>
        <w:rPr>
          <w:lang w:val="en-US"/>
        </w:rPr>
      </w:pPr>
    </w:p>
    <w:p w:rsidR="00CA3B52" w:rsidRDefault="00CA3B52" w:rsidP="00CA3B52">
      <w:pPr>
        <w:rPr>
          <w:lang w:val="en-US"/>
        </w:rPr>
      </w:pPr>
      <w:r w:rsidRPr="00CB6CBA">
        <w:rPr>
          <w:lang w:val="en-US"/>
        </w:rPr>
        <w:t xml:space="preserve">The territory actually occupied by the emission </w:t>
      </w:r>
      <w:r w:rsidRPr="00CB6CBA">
        <w:rPr>
          <w:i/>
          <w:lang w:val="en-US"/>
        </w:rPr>
        <w:t>s</w:t>
      </w:r>
      <w:r w:rsidRPr="00CB6CBA">
        <w:rPr>
          <w:i/>
          <w:vertAlign w:val="subscript"/>
          <w:lang w:val="en-US"/>
        </w:rPr>
        <w:t>i</w:t>
      </w:r>
      <w:r w:rsidRPr="00CB6CBA">
        <w:rPr>
          <w:i/>
          <w:lang w:val="en-US"/>
        </w:rPr>
        <w:t xml:space="preserve"> </w:t>
      </w:r>
      <w:r w:rsidRPr="00CB6CBA">
        <w:rPr>
          <w:lang w:val="en-US"/>
        </w:rPr>
        <w:t xml:space="preserve">is calculated individually for each </w:t>
      </w:r>
      <w:r w:rsidRPr="00CB6CBA">
        <w:rPr>
          <w:i/>
          <w:lang w:val="en-US"/>
        </w:rPr>
        <w:t>i</w:t>
      </w:r>
      <w:r w:rsidRPr="00CB6CBA">
        <w:rPr>
          <w:lang w:val="en-US"/>
        </w:rPr>
        <w:t xml:space="preserve">-th emission based on the relevant service area concept (and its equivalent for point-to-point communications) by criterion of nominal usable field strength </w:t>
      </w:r>
      <w:r w:rsidRPr="00CB6CBA">
        <w:rPr>
          <w:i/>
          <w:lang w:val="en-US"/>
        </w:rPr>
        <w:t>E</w:t>
      </w:r>
      <w:r w:rsidRPr="00CB6CBA">
        <w:rPr>
          <w:i/>
          <w:iCs/>
          <w:vertAlign w:val="subscript"/>
          <w:lang w:val="en-US"/>
        </w:rPr>
        <w:t>n</w:t>
      </w:r>
      <w:r w:rsidRPr="00CB6CBA">
        <w:rPr>
          <w:lang w:val="en-US"/>
        </w:rPr>
        <w:t xml:space="preserve"> at its border. If the te</w:t>
      </w:r>
      <w:r>
        <w:rPr>
          <w:lang w:val="en-US"/>
        </w:rPr>
        <w:t>rritory actually occupied by th</w:t>
      </w:r>
      <w:r w:rsidRPr="00CB6CBA">
        <w:rPr>
          <w:lang w:val="en-US"/>
        </w:rPr>
        <w:t xml:space="preserve">e </w:t>
      </w:r>
      <w:r w:rsidRPr="00CB6CBA">
        <w:rPr>
          <w:i/>
          <w:lang w:val="en-US"/>
        </w:rPr>
        <w:t>i</w:t>
      </w:r>
      <w:r>
        <w:rPr>
          <w:lang w:val="en-US"/>
        </w:rPr>
        <w:noBreakHyphen/>
      </w:r>
      <w:r w:rsidRPr="00CB6CBA">
        <w:rPr>
          <w:lang w:val="en-US"/>
        </w:rPr>
        <w:t xml:space="preserve">th emission includes </w:t>
      </w:r>
      <w:r w:rsidRPr="00CB6CBA">
        <w:rPr>
          <w:i/>
          <w:lang w:val="en-US"/>
        </w:rPr>
        <w:t xml:space="preserve">K </w:t>
      </w:r>
      <w:r w:rsidRPr="00CB6CBA">
        <w:rPr>
          <w:lang w:val="en-US"/>
        </w:rPr>
        <w:t xml:space="preserve">regions belonging to different categories above, related territorial resource </w:t>
      </w:r>
      <w:r>
        <w:rPr>
          <w:lang w:val="en-US"/>
        </w:rPr>
        <w:sym w:font="Symbol" w:char="F053"/>
      </w:r>
      <w:r w:rsidRPr="00CB6CBA">
        <w:rPr>
          <w:i/>
          <w:lang w:val="en-US"/>
        </w:rPr>
        <w:t>S</w:t>
      </w:r>
      <w:r w:rsidRPr="00CB6CBA">
        <w:rPr>
          <w:i/>
          <w:iCs/>
          <w:vertAlign w:val="subscript"/>
          <w:lang w:val="en-US"/>
        </w:rPr>
        <w:t>i</w:t>
      </w:r>
      <w:r w:rsidRPr="00CB6CBA">
        <w:rPr>
          <w:position w:val="-5"/>
          <w:lang w:val="en-US"/>
        </w:rPr>
        <w:t xml:space="preserve"> </w:t>
      </w:r>
      <w:r w:rsidRPr="00CB6CBA">
        <w:rPr>
          <w:lang w:val="en-US"/>
        </w:rPr>
        <w:t>can be determined as:</w:t>
      </w:r>
    </w:p>
    <w:p w:rsidR="00CA3B52" w:rsidRDefault="00CA3B52" w:rsidP="00CA3B52">
      <w:pPr>
        <w:pStyle w:val="Equation"/>
        <w:rPr>
          <w:lang w:val="en-US"/>
        </w:rPr>
      </w:pPr>
      <w:r w:rsidRPr="00CB6CBA">
        <w:rPr>
          <w:lang w:val="en-US"/>
        </w:rPr>
        <w:tab/>
      </w:r>
      <w:r w:rsidRPr="00CB6CBA">
        <w:rPr>
          <w:lang w:val="en-US"/>
        </w:rPr>
        <w:tab/>
      </w:r>
      <w:r w:rsidRPr="00CB6CBA">
        <w:rPr>
          <w:position w:val="-32"/>
          <w:lang w:val="en-US"/>
        </w:rPr>
        <w:object w:dxaOrig="1760" w:dyaOrig="760">
          <v:shape id="_x0000_i1027" type="#_x0000_t75" style="width:88.85pt;height:38.35pt" o:ole="" fillcolor="window">
            <v:imagedata r:id="rId26" o:title=""/>
          </v:shape>
          <o:OLEObject Type="Embed" ProgID="Equation.3" ShapeID="_x0000_i1027" DrawAspect="Content" ObjectID="_1511604816" r:id="rId27"/>
        </w:object>
      </w:r>
      <w:r w:rsidRPr="00CB6CBA">
        <w:rPr>
          <w:lang w:val="en-US"/>
        </w:rPr>
        <w:tab/>
        <w:t>(</w:t>
      </w:r>
      <w:r>
        <w:rPr>
          <w:lang w:val="en-US"/>
        </w:rPr>
        <w:t>23</w:t>
      </w:r>
      <w:r w:rsidRPr="00CB6CBA">
        <w:rPr>
          <w:lang w:val="en-US"/>
        </w:rPr>
        <w:t>)</w:t>
      </w:r>
    </w:p>
    <w:p w:rsidR="00CA3B52" w:rsidRPr="00CB6CBA" w:rsidRDefault="00CA3B52" w:rsidP="00CA3B52">
      <w:pPr>
        <w:rPr>
          <w:lang w:val="en-US"/>
        </w:rPr>
      </w:pPr>
      <w:r w:rsidRPr="00CB6CBA">
        <w:rPr>
          <w:lang w:val="en-US"/>
        </w:rPr>
        <w:t>where:</w:t>
      </w:r>
    </w:p>
    <w:p w:rsidR="00CA3B52" w:rsidRPr="00CB6CBA" w:rsidRDefault="00CA3B52" w:rsidP="00CA3B52">
      <w:pPr>
        <w:pStyle w:val="Equationlegend"/>
      </w:pPr>
      <w:r w:rsidRPr="00CB6CBA">
        <w:rPr>
          <w:i/>
        </w:rPr>
        <w:tab/>
        <w:t>b</w:t>
      </w:r>
      <w:r w:rsidRPr="00CB6CBA">
        <w:rPr>
          <w:i/>
          <w:iCs/>
          <w:vertAlign w:val="subscript"/>
        </w:rPr>
        <w:t>ik</w:t>
      </w:r>
      <w:r w:rsidRPr="00CB6CBA">
        <w:rPr>
          <w:rFonts w:ascii="Tms Rmn" w:hAnsi="Tms Rmn"/>
          <w:sz w:val="12"/>
        </w:rPr>
        <w:t> </w:t>
      </w:r>
      <w:r w:rsidRPr="00CB6CBA">
        <w:rPr>
          <w:iCs/>
        </w:rPr>
        <w:t>:</w:t>
      </w:r>
      <w:r w:rsidRPr="00CB6CBA">
        <w:rPr>
          <w:iCs/>
        </w:rPr>
        <w:tab/>
        <w:t>relevant</w:t>
      </w:r>
      <w:r w:rsidRPr="00CB6CBA">
        <w:t xml:space="preserve"> weighting coefficient for </w:t>
      </w:r>
      <w:r w:rsidRPr="00CB6CBA">
        <w:rPr>
          <w:i/>
        </w:rPr>
        <w:t>q</w:t>
      </w:r>
      <w:r w:rsidRPr="00CB6CBA">
        <w:t>-th area category</w:t>
      </w:r>
    </w:p>
    <w:p w:rsidR="00CA3B52" w:rsidRPr="00CB6CBA" w:rsidRDefault="00CA3B52" w:rsidP="00CA3B52">
      <w:pPr>
        <w:pStyle w:val="Equationlegend"/>
      </w:pPr>
      <w:r w:rsidRPr="00CB6CBA">
        <w:rPr>
          <w:i/>
        </w:rPr>
        <w:tab/>
        <w:t>s</w:t>
      </w:r>
      <w:r w:rsidRPr="00CB6CBA">
        <w:rPr>
          <w:i/>
          <w:iCs/>
          <w:vertAlign w:val="subscript"/>
        </w:rPr>
        <w:t>ik</w:t>
      </w:r>
      <w:r w:rsidRPr="00CB6CBA">
        <w:rPr>
          <w:rFonts w:ascii="Tms Rmn" w:hAnsi="Tms Rmn"/>
          <w:sz w:val="12"/>
        </w:rPr>
        <w:t> </w:t>
      </w:r>
      <w:r w:rsidRPr="00CB6CBA">
        <w:t>:</w:t>
      </w:r>
      <w:r w:rsidRPr="00CB6CBA">
        <w:tab/>
        <w:t xml:space="preserve">relevant proportion of the whole occupied region </w:t>
      </w:r>
      <w:r w:rsidRPr="00CB6CBA">
        <w:rPr>
          <w:i/>
        </w:rPr>
        <w:t>s</w:t>
      </w:r>
      <w:r w:rsidRPr="00CB6CBA">
        <w:rPr>
          <w:i/>
          <w:vertAlign w:val="subscript"/>
        </w:rPr>
        <w:t>i</w:t>
      </w:r>
    </w:p>
    <w:p w:rsidR="00CA3B52" w:rsidRPr="00CB6CBA" w:rsidRDefault="00CA3B52" w:rsidP="00CA3B52">
      <w:pPr>
        <w:rPr>
          <w:lang w:val="en-US"/>
        </w:rPr>
      </w:pPr>
      <w:r w:rsidRPr="00CB6CBA">
        <w:rPr>
          <w:lang w:val="en-US"/>
        </w:rPr>
        <w:t>i.e.:</w:t>
      </w:r>
    </w:p>
    <w:p w:rsidR="00CA3B52" w:rsidRPr="00CB6CBA" w:rsidRDefault="00CA3B52" w:rsidP="00F65451">
      <w:pPr>
        <w:pStyle w:val="Equation"/>
        <w:tabs>
          <w:tab w:val="left" w:pos="6237"/>
        </w:tabs>
        <w:rPr>
          <w:lang w:val="en-US"/>
        </w:rPr>
      </w:pPr>
      <w:r w:rsidRPr="00CB6CBA">
        <w:rPr>
          <w:lang w:val="en-US"/>
        </w:rPr>
        <w:tab/>
      </w:r>
      <w:r>
        <w:rPr>
          <w:lang w:val="en-US"/>
        </w:rPr>
        <w:tab/>
      </w:r>
      <w:r w:rsidRPr="00330F30">
        <w:rPr>
          <w:position w:val="-32"/>
          <w:lang w:val="en-US"/>
        </w:rPr>
        <w:object w:dxaOrig="1340" w:dyaOrig="760">
          <v:shape id="_x0000_i1028" type="#_x0000_t75" style="width:66.4pt;height:38.35pt" o:ole="">
            <v:imagedata r:id="rId28" o:title=""/>
          </v:shape>
          <o:OLEObject Type="Embed" ProgID="Equation.3" ShapeID="_x0000_i1028" DrawAspect="Content" ObjectID="_1511604817" r:id="rId29"/>
        </w:object>
      </w:r>
      <w:r>
        <w:rPr>
          <w:lang w:val="en-US"/>
        </w:rPr>
        <w:t xml:space="preserve">     </w:t>
      </w:r>
      <w:r w:rsidRPr="00CB6CBA">
        <w:rPr>
          <w:lang w:val="en-US"/>
        </w:rPr>
        <w:t>1</w:t>
      </w:r>
      <w:r>
        <w:rPr>
          <w:lang w:val="en-US"/>
        </w:rPr>
        <w:t xml:space="preserve"> </w:t>
      </w:r>
      <w:r>
        <w:rPr>
          <w:rFonts w:ascii="Symbol" w:hAnsi="Symbol"/>
          <w:lang w:val="en-US"/>
        </w:rPr>
        <w:sym w:font="Symbol" w:char="F0A3"/>
      </w:r>
      <w:r w:rsidRPr="00CB6CBA">
        <w:rPr>
          <w:lang w:val="en-US"/>
        </w:rPr>
        <w:t xml:space="preserve"> </w:t>
      </w:r>
      <w:r w:rsidRPr="00EF324F">
        <w:rPr>
          <w:i/>
          <w:lang w:val="en-US"/>
        </w:rPr>
        <w:t>k</w:t>
      </w:r>
      <w:r w:rsidRPr="00CB6CBA">
        <w:rPr>
          <w:lang w:val="en-US"/>
        </w:rPr>
        <w:t xml:space="preserve"> </w:t>
      </w:r>
      <w:r w:rsidRPr="00CB6CBA">
        <w:rPr>
          <w:rFonts w:ascii="Symbol" w:hAnsi="Symbol"/>
          <w:lang w:val="en-US"/>
        </w:rPr>
        <w:t></w:t>
      </w:r>
      <w:r w:rsidRPr="00CB6CBA">
        <w:rPr>
          <w:lang w:val="en-US"/>
        </w:rPr>
        <w:t xml:space="preserve"> 3 (usually)</w:t>
      </w:r>
    </w:p>
    <w:p w:rsidR="00CA3B52" w:rsidRPr="00CB6CBA" w:rsidRDefault="00CA3B52" w:rsidP="00CA3B52">
      <w:pPr>
        <w:pStyle w:val="Normalaftertitle"/>
        <w:rPr>
          <w:lang w:val="en-US"/>
        </w:rPr>
      </w:pPr>
      <w:r w:rsidRPr="00CB6CBA">
        <w:rPr>
          <w:lang w:val="en-US"/>
        </w:rPr>
        <w:t xml:space="preserve">Examples for the calculation of proportional values </w:t>
      </w:r>
      <w:r w:rsidRPr="00CB6CBA">
        <w:rPr>
          <w:i/>
          <w:lang w:val="en-US"/>
        </w:rPr>
        <w:t>s</w:t>
      </w:r>
      <w:r w:rsidRPr="00CB6CBA">
        <w:rPr>
          <w:i/>
          <w:iCs/>
          <w:vertAlign w:val="subscript"/>
          <w:lang w:val="en-US"/>
        </w:rPr>
        <w:t>ik</w:t>
      </w:r>
      <w:r w:rsidRPr="00CB6CBA">
        <w:rPr>
          <w:lang w:val="en-US"/>
        </w:rPr>
        <w:t xml:space="preserve"> for different cases are also presented. If an administration has a digital administrative terrain database interrelated with relevant frequency assignment software, calculations of </w:t>
      </w:r>
      <w:r>
        <w:rPr>
          <w:lang w:val="en-US"/>
        </w:rPr>
        <w:sym w:font="Symbol" w:char="F053"/>
      </w:r>
      <w:r w:rsidRPr="00CB6CBA">
        <w:rPr>
          <w:i/>
          <w:lang w:val="en-US"/>
        </w:rPr>
        <w:t>S</w:t>
      </w:r>
      <w:r w:rsidRPr="00CB6CBA">
        <w:rPr>
          <w:i/>
          <w:iCs/>
          <w:vertAlign w:val="subscript"/>
          <w:lang w:val="en-US"/>
        </w:rPr>
        <w:t>i</w:t>
      </w:r>
      <w:r w:rsidRPr="00CB6CBA">
        <w:rPr>
          <w:lang w:val="en-US"/>
        </w:rPr>
        <w:t xml:space="preserve"> can be made automatically using software.</w:t>
      </w:r>
    </w:p>
    <w:p w:rsidR="00CA3B52" w:rsidRPr="00CB6CBA" w:rsidRDefault="00CA3B52" w:rsidP="00CA3B52">
      <w:pPr>
        <w:pStyle w:val="Heading3"/>
        <w:rPr>
          <w:lang w:val="en-US"/>
        </w:rPr>
      </w:pPr>
      <w:bookmarkStart w:id="1367" w:name="_Toc289868837"/>
      <w:bookmarkStart w:id="1368" w:name="_Toc289868997"/>
      <w:bookmarkStart w:id="1369" w:name="_Toc289932305"/>
      <w:bookmarkStart w:id="1370" w:name="_Toc289933351"/>
      <w:bookmarkStart w:id="1371" w:name="_Toc291852914"/>
      <w:bookmarkStart w:id="1372" w:name="_Toc392515900"/>
      <w:r w:rsidRPr="00CB6CBA">
        <w:rPr>
          <w:lang w:val="en-US"/>
        </w:rPr>
        <w:t>4.6.8</w:t>
      </w:r>
      <w:r w:rsidRPr="00CB6CBA">
        <w:rPr>
          <w:lang w:val="en-US"/>
        </w:rPr>
        <w:tab/>
        <w:t>Determination of a frequency resource used by an emission</w:t>
      </w:r>
      <w:bookmarkEnd w:id="1367"/>
      <w:bookmarkEnd w:id="1368"/>
      <w:bookmarkEnd w:id="1369"/>
      <w:bookmarkEnd w:id="1370"/>
      <w:bookmarkEnd w:id="1371"/>
      <w:bookmarkEnd w:id="1372"/>
    </w:p>
    <w:p w:rsidR="00CA3B52" w:rsidRPr="00CB6CBA" w:rsidRDefault="00CA3B52" w:rsidP="00CA3B52">
      <w:pPr>
        <w:rPr>
          <w:lang w:val="en-US"/>
        </w:rPr>
      </w:pPr>
      <w:r w:rsidRPr="00CB6CBA">
        <w:rPr>
          <w:lang w:val="en-US"/>
        </w:rPr>
        <w:t xml:space="preserve">A frequency resource </w:t>
      </w:r>
      <w:r w:rsidRPr="00CB6CBA">
        <w:rPr>
          <w:i/>
          <w:lang w:val="en-US"/>
        </w:rPr>
        <w:t>F</w:t>
      </w:r>
      <w:r w:rsidRPr="00CB6CBA">
        <w:rPr>
          <w:i/>
          <w:iCs/>
          <w:vertAlign w:val="subscript"/>
          <w:lang w:val="en-US"/>
        </w:rPr>
        <w:t>i</w:t>
      </w:r>
      <w:r w:rsidRPr="00CB6CBA">
        <w:rPr>
          <w:lang w:val="en-US"/>
        </w:rPr>
        <w:t xml:space="preserve"> used by </w:t>
      </w:r>
      <w:r w:rsidRPr="00CB6CBA">
        <w:rPr>
          <w:i/>
          <w:lang w:val="en-US"/>
        </w:rPr>
        <w:t>i</w:t>
      </w:r>
      <w:r w:rsidRPr="00CB6CBA">
        <w:rPr>
          <w:lang w:val="en-US"/>
        </w:rPr>
        <w:t>-th emission is determined as:</w:t>
      </w:r>
    </w:p>
    <w:p w:rsidR="00CA3B52" w:rsidRPr="00CB6CBA"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CB6CBA">
        <w:rPr>
          <w:position w:val="-12"/>
          <w:lang w:val="en-US"/>
        </w:rPr>
        <w:object w:dxaOrig="2220" w:dyaOrig="360">
          <v:shape id="_x0000_i1029" type="#_x0000_t75" style="width:109.85pt;height:19.15pt" o:ole="">
            <v:imagedata r:id="rId30" o:title=""/>
          </v:shape>
          <o:OLEObject Type="Embed" ProgID="Equation.3" ShapeID="_x0000_i1029" DrawAspect="Content" ObjectID="_1511604818" r:id="rId31"/>
        </w:object>
      </w:r>
      <w:r w:rsidRPr="00CB6CBA">
        <w:rPr>
          <w:lang w:val="en-US"/>
        </w:rPr>
        <w:tab/>
        <w:t>(</w:t>
      </w:r>
      <w:r>
        <w:rPr>
          <w:lang w:val="en-US"/>
        </w:rPr>
        <w:t>24</w:t>
      </w:r>
      <w:r w:rsidRPr="00CB6CBA">
        <w:rPr>
          <w:lang w:val="en-US"/>
        </w:rPr>
        <w:t>)</w:t>
      </w:r>
    </w:p>
    <w:p w:rsidR="00CA3B52" w:rsidRPr="00CB6CBA" w:rsidRDefault="00CA3B52" w:rsidP="00F65451">
      <w:pPr>
        <w:rPr>
          <w:lang w:val="en-US"/>
        </w:rPr>
      </w:pPr>
      <w:r w:rsidRPr="00CB6CBA">
        <w:rPr>
          <w:lang w:val="en-US"/>
        </w:rPr>
        <w:lastRenderedPageBreak/>
        <w:t>where:</w:t>
      </w:r>
    </w:p>
    <w:p w:rsidR="00CA3B52" w:rsidRPr="00CB6CBA" w:rsidRDefault="00CA3B52" w:rsidP="00F65451">
      <w:pPr>
        <w:pStyle w:val="Equationlegend"/>
      </w:pPr>
      <w:r w:rsidRPr="00CB6CBA">
        <w:rPr>
          <w:i/>
        </w:rPr>
        <w:tab/>
        <w:t>B</w:t>
      </w:r>
      <w:r w:rsidRPr="00CB6CBA">
        <w:rPr>
          <w:i/>
          <w:iCs/>
          <w:vertAlign w:val="subscript"/>
        </w:rPr>
        <w:t>ni</w:t>
      </w:r>
      <w:r>
        <w:t xml:space="preserve"> </w:t>
      </w:r>
      <w:r w:rsidRPr="00CB6CBA">
        <w:t>:</w:t>
      </w:r>
      <w:r w:rsidRPr="00CB6CBA">
        <w:rPr>
          <w:iCs/>
        </w:rPr>
        <w:tab/>
      </w:r>
      <w:r w:rsidRPr="00CB6CBA">
        <w:t>necessary bandwidth of the emission (MHz), calculated in accordance with Recommendation ITU-R SM.1138-2, taking into account that an occupied bandwidth of an emission should be equal to its necessary bandwidth (Recommendation ITU</w:t>
      </w:r>
      <w:r w:rsidRPr="00CB6CBA">
        <w:noBreakHyphen/>
        <w:t>R SM.328</w:t>
      </w:r>
      <w:r w:rsidRPr="00CB6CBA">
        <w:noBreakHyphen/>
        <w:t>11)</w:t>
      </w:r>
    </w:p>
    <w:p w:rsidR="00CA3B52" w:rsidRPr="00CB6CBA" w:rsidRDefault="00CA3B52" w:rsidP="00CA3B52">
      <w:pPr>
        <w:pStyle w:val="Equationlegend"/>
      </w:pPr>
      <w:r w:rsidRPr="00CB6CBA">
        <w:rPr>
          <w:i/>
        </w:rPr>
        <w:tab/>
      </w:r>
      <w:r w:rsidRPr="00946617">
        <w:rPr>
          <w:iCs/>
        </w:rPr>
        <w:sym w:font="Symbol" w:char="F063"/>
      </w:r>
      <w:r>
        <w:rPr>
          <w:iCs/>
        </w:rPr>
        <w:t xml:space="preserve"> </w:t>
      </w:r>
      <w:r w:rsidRPr="00CB6CBA">
        <w:rPr>
          <w:iCs/>
        </w:rPr>
        <w:t>:</w:t>
      </w:r>
      <w:r w:rsidRPr="00CB6CBA">
        <w:rPr>
          <w:iCs/>
        </w:rPr>
        <w:tab/>
      </w:r>
      <w:r w:rsidRPr="00CB6CBA">
        <w:t xml:space="preserve">adjustment </w:t>
      </w:r>
      <w:r w:rsidRPr="00CB6CBA">
        <w:rPr>
          <w:position w:val="-10"/>
        </w:rPr>
        <w:object w:dxaOrig="1040" w:dyaOrig="320">
          <v:shape id="_x0000_i1030" type="#_x0000_t75" style="width:51.45pt;height:16.85pt" o:ole="" fillcolor="window">
            <v:imagedata r:id="rId32" o:title=""/>
          </v:shape>
          <o:OLEObject Type="Embed" ProgID="Equation.3" ShapeID="_x0000_i1030" DrawAspect="Content" ObjectID="_1511604819" r:id="rId33"/>
        </w:object>
      </w:r>
      <w:r w:rsidRPr="00CB6CBA">
        <w:t>can be used in some cases, for example, to decrease somewhat a very great difference in fees between sound and TV broadcasting, under the same powers of transmitters, due to significant difference in the necessary bandwidths. It also can be used in cases of radar applicati</w:t>
      </w:r>
      <w:r>
        <w:t>ons (see </w:t>
      </w:r>
      <w:r w:rsidRPr="00CB6CBA">
        <w:t>example of calculations below), etc.</w:t>
      </w:r>
    </w:p>
    <w:p w:rsidR="00CA3B52" w:rsidRPr="00CB6CBA" w:rsidRDefault="00CA3B52" w:rsidP="00CA3B52">
      <w:pPr>
        <w:pStyle w:val="Heading3"/>
        <w:rPr>
          <w:lang w:val="en-US"/>
        </w:rPr>
      </w:pPr>
      <w:bookmarkStart w:id="1373" w:name="_Toc289868838"/>
      <w:bookmarkStart w:id="1374" w:name="_Toc289868998"/>
      <w:bookmarkStart w:id="1375" w:name="_Toc289932306"/>
      <w:bookmarkStart w:id="1376" w:name="_Toc289933352"/>
      <w:bookmarkStart w:id="1377" w:name="_Toc291852915"/>
      <w:bookmarkStart w:id="1378" w:name="_Toc392515901"/>
      <w:r w:rsidRPr="00CB6CBA">
        <w:rPr>
          <w:lang w:val="en-US"/>
        </w:rPr>
        <w:t>4.6.9</w:t>
      </w:r>
      <w:r w:rsidRPr="00CB6CBA">
        <w:rPr>
          <w:lang w:val="en-US"/>
        </w:rPr>
        <w:tab/>
        <w:t>Determination of weighting coefficients</w:t>
      </w:r>
      <w:bookmarkEnd w:id="1373"/>
      <w:bookmarkEnd w:id="1374"/>
      <w:bookmarkEnd w:id="1375"/>
      <w:bookmarkEnd w:id="1376"/>
      <w:bookmarkEnd w:id="1377"/>
      <w:bookmarkEnd w:id="1378"/>
    </w:p>
    <w:p w:rsidR="00CA3B52" w:rsidRDefault="00CA3B52" w:rsidP="00CA3B52">
      <w:pPr>
        <w:rPr>
          <w:lang w:val="en-US"/>
        </w:rPr>
      </w:pPr>
      <w:r w:rsidRPr="00CB6CBA">
        <w:rPr>
          <w:lang w:val="en-US"/>
        </w:rPr>
        <w:t xml:space="preserve">General weighing coefficient </w:t>
      </w:r>
      <w:r>
        <w:rPr>
          <w:lang w:val="en-US"/>
        </w:rPr>
        <w:sym w:font="Symbol" w:char="F061"/>
      </w:r>
      <w:r w:rsidRPr="00CB6CBA">
        <w:rPr>
          <w:i/>
          <w:iCs/>
          <w:vertAlign w:val="subscript"/>
          <w:lang w:val="en-US"/>
        </w:rPr>
        <w:t>i</w:t>
      </w:r>
      <w:r w:rsidRPr="00CB6CBA">
        <w:rPr>
          <w:position w:val="-4"/>
          <w:lang w:val="en-US"/>
        </w:rPr>
        <w:t xml:space="preserve"> </w:t>
      </w:r>
      <w:r w:rsidRPr="00CB6CBA">
        <w:rPr>
          <w:lang w:val="en-US"/>
        </w:rPr>
        <w:t>in equation (</w:t>
      </w:r>
      <w:r>
        <w:rPr>
          <w:lang w:val="en-US"/>
        </w:rPr>
        <w:t>20</w:t>
      </w:r>
      <w:r w:rsidRPr="00CB6CBA">
        <w:rPr>
          <w:lang w:val="en-US"/>
        </w:rPr>
        <w:t>) can be presented as a product of the following fractional coefficients:</w:t>
      </w:r>
    </w:p>
    <w:p w:rsidR="00CA3B52" w:rsidRDefault="00CA3B52" w:rsidP="00F65451">
      <w:pPr>
        <w:pStyle w:val="Equation"/>
        <w:rPr>
          <w:lang w:val="en-US"/>
        </w:rPr>
      </w:pPr>
      <w:r w:rsidRPr="00CB6CBA">
        <w:rPr>
          <w:rFonts w:ascii="Symbol" w:hAnsi="Symbol"/>
          <w:lang w:val="en-US"/>
        </w:rPr>
        <w:tab/>
      </w:r>
      <w:r w:rsidRPr="00CB6CBA">
        <w:rPr>
          <w:rFonts w:ascii="Symbol" w:hAnsi="Symbol"/>
          <w:lang w:val="en-US"/>
        </w:rPr>
        <w:tab/>
      </w:r>
      <w:r w:rsidRPr="006A628F">
        <w:rPr>
          <w:rFonts w:asciiTheme="majorBidi" w:hAnsiTheme="majorBidi" w:cstheme="majorBidi"/>
          <w:lang w:val="en-US"/>
        </w:rPr>
        <w:sym w:font="Symbol" w:char="F061"/>
      </w:r>
      <w:r w:rsidRPr="00CB6CBA">
        <w:rPr>
          <w:i/>
          <w:iCs/>
          <w:vertAlign w:val="subscript"/>
          <w:lang w:val="en-US"/>
        </w:rPr>
        <w:t>i</w:t>
      </w:r>
      <w:r w:rsidRPr="00CB6CBA">
        <w:rPr>
          <w:lang w:val="en-US"/>
        </w:rPr>
        <w:t xml:space="preserve"> </w:t>
      </w:r>
      <w:r w:rsidRPr="00CB6CBA">
        <w:rPr>
          <w:rFonts w:ascii="Symbol" w:hAnsi="Symbol"/>
          <w:lang w:val="en-US"/>
        </w:rPr>
        <w:t></w:t>
      </w:r>
      <w:r w:rsidRPr="00CB6CBA">
        <w:rPr>
          <w:lang w:val="en-US"/>
        </w:rPr>
        <w:t xml:space="preserve"> </w:t>
      </w:r>
      <w:r w:rsidRPr="006A628F">
        <w:rPr>
          <w:rFonts w:asciiTheme="majorBidi" w:hAnsiTheme="majorBidi" w:cstheme="majorBidi"/>
          <w:lang w:val="en-US"/>
        </w:rPr>
        <w:sym w:font="Symbol" w:char="F061"/>
      </w:r>
      <w:r w:rsidRPr="00CB6CBA">
        <w:rPr>
          <w:rFonts w:ascii="Symbol" w:hAnsi="Symbol"/>
          <w:vertAlign w:val="subscript"/>
          <w:lang w:val="en-US"/>
        </w:rPr>
        <w:t></w:t>
      </w:r>
      <w:r w:rsidRPr="00CB6CBA">
        <w:rPr>
          <w:lang w:val="en-US"/>
        </w:rPr>
        <w:t xml:space="preserve"> </w:t>
      </w:r>
      <w:r w:rsidRPr="0024702C">
        <w:rPr>
          <w:lang w:val="en-US"/>
        </w:rPr>
        <w:fldChar w:fldCharType="begin"/>
      </w:r>
      <w:r w:rsidRPr="0024702C">
        <w:rPr>
          <w:lang w:val="en-US"/>
        </w:rPr>
        <w:instrText xml:space="preserve">SYMBOL 215 </w:instrText>
      </w:r>
      <w:r>
        <w:rPr>
          <w:lang w:val="en-US"/>
        </w:rPr>
        <w:instrText>\</w:instrText>
      </w:r>
      <w:r w:rsidRPr="0024702C">
        <w:rPr>
          <w:lang w:val="en-US"/>
        </w:rPr>
        <w:instrText xml:space="preserve">f "Symbol" </w:instrText>
      </w:r>
      <w:r>
        <w:rPr>
          <w:lang w:val="en-US"/>
        </w:rPr>
        <w:instrText>\</w:instrText>
      </w:r>
      <w:r w:rsidRPr="0024702C">
        <w:rPr>
          <w:lang w:val="en-US"/>
        </w:rPr>
        <w:instrText>s 14</w:instrText>
      </w:r>
      <w:r w:rsidRPr="0024702C">
        <w:rPr>
          <w:lang w:val="en-US"/>
        </w:rPr>
        <w:fldChar w:fldCharType="separate"/>
      </w:r>
      <w:r w:rsidRPr="0024702C">
        <w:rPr>
          <w:lang w:val="en-US"/>
        </w:rPr>
        <w:t>×</w:t>
      </w:r>
      <w:r w:rsidRPr="0024702C">
        <w:rPr>
          <w:lang w:val="en-US"/>
        </w:rPr>
        <w:fldChar w:fldCharType="end"/>
      </w:r>
      <w:r w:rsidRPr="00CB6CBA">
        <w:rPr>
          <w:lang w:val="en-US"/>
        </w:rPr>
        <w:t xml:space="preserve"> </w:t>
      </w:r>
      <w:r w:rsidRPr="006A628F">
        <w:rPr>
          <w:rFonts w:asciiTheme="majorBidi" w:hAnsiTheme="majorBidi" w:cstheme="majorBidi"/>
          <w:lang w:val="en-US"/>
        </w:rPr>
        <w:sym w:font="Symbol" w:char="F061"/>
      </w:r>
      <w:r w:rsidRPr="00CB6CBA">
        <w:rPr>
          <w:vertAlign w:val="subscript"/>
          <w:lang w:val="en-US"/>
        </w:rPr>
        <w:t>2</w:t>
      </w:r>
      <w:r w:rsidRPr="00CB6CBA">
        <w:rPr>
          <w:lang w:val="en-US"/>
        </w:rPr>
        <w:t xml:space="preserve"> </w:t>
      </w:r>
      <w:r w:rsidRPr="0024702C">
        <w:rPr>
          <w:lang w:val="en-US"/>
        </w:rPr>
        <w:fldChar w:fldCharType="begin"/>
      </w:r>
      <w:r w:rsidRPr="0024702C">
        <w:rPr>
          <w:lang w:val="en-US"/>
        </w:rPr>
        <w:instrText xml:space="preserve">SYMBOL 215 </w:instrText>
      </w:r>
      <w:r>
        <w:rPr>
          <w:lang w:val="en-US"/>
        </w:rPr>
        <w:instrText>\</w:instrText>
      </w:r>
      <w:r w:rsidRPr="0024702C">
        <w:rPr>
          <w:lang w:val="en-US"/>
        </w:rPr>
        <w:instrText xml:space="preserve">f "Symbol" </w:instrText>
      </w:r>
      <w:r>
        <w:rPr>
          <w:lang w:val="en-US"/>
        </w:rPr>
        <w:instrText>\</w:instrText>
      </w:r>
      <w:r w:rsidRPr="0024702C">
        <w:rPr>
          <w:lang w:val="en-US"/>
        </w:rPr>
        <w:instrText>s 14</w:instrText>
      </w:r>
      <w:r w:rsidRPr="0024702C">
        <w:rPr>
          <w:lang w:val="en-US"/>
        </w:rPr>
        <w:fldChar w:fldCharType="separate"/>
      </w:r>
      <w:r w:rsidRPr="0024702C">
        <w:rPr>
          <w:lang w:val="en-US"/>
        </w:rPr>
        <w:t>×</w:t>
      </w:r>
      <w:r w:rsidRPr="0024702C">
        <w:rPr>
          <w:lang w:val="en-US"/>
        </w:rPr>
        <w:fldChar w:fldCharType="end"/>
      </w:r>
      <w:r w:rsidRPr="00CB6CBA">
        <w:rPr>
          <w:lang w:val="en-US"/>
        </w:rPr>
        <w:t xml:space="preserve"> </w:t>
      </w:r>
      <w:r w:rsidRPr="006A628F">
        <w:rPr>
          <w:rFonts w:asciiTheme="majorBidi" w:hAnsiTheme="majorBidi" w:cstheme="majorBidi"/>
          <w:lang w:val="en-US"/>
        </w:rPr>
        <w:sym w:font="Symbol" w:char="F061"/>
      </w:r>
      <w:r w:rsidRPr="00CB6CBA">
        <w:rPr>
          <w:vertAlign w:val="subscript"/>
          <w:lang w:val="en-US"/>
        </w:rPr>
        <w:t>3</w:t>
      </w:r>
      <w:r w:rsidRPr="00CB6CBA">
        <w:rPr>
          <w:lang w:val="en-US"/>
        </w:rPr>
        <w:t xml:space="preserve"> </w:t>
      </w:r>
      <w:r w:rsidRPr="0024702C">
        <w:rPr>
          <w:lang w:val="en-US"/>
        </w:rPr>
        <w:fldChar w:fldCharType="begin"/>
      </w:r>
      <w:r w:rsidRPr="0024702C">
        <w:rPr>
          <w:lang w:val="en-US"/>
        </w:rPr>
        <w:instrText xml:space="preserve">SYMBOL 215 </w:instrText>
      </w:r>
      <w:r>
        <w:rPr>
          <w:lang w:val="en-US"/>
        </w:rPr>
        <w:instrText>\</w:instrText>
      </w:r>
      <w:r w:rsidRPr="0024702C">
        <w:rPr>
          <w:lang w:val="en-US"/>
        </w:rPr>
        <w:instrText xml:space="preserve">f "Symbol" </w:instrText>
      </w:r>
      <w:r>
        <w:rPr>
          <w:lang w:val="en-US"/>
        </w:rPr>
        <w:instrText>\</w:instrText>
      </w:r>
      <w:r w:rsidRPr="0024702C">
        <w:rPr>
          <w:lang w:val="en-US"/>
        </w:rPr>
        <w:instrText>s 14</w:instrText>
      </w:r>
      <w:r w:rsidRPr="0024702C">
        <w:rPr>
          <w:lang w:val="en-US"/>
        </w:rPr>
        <w:fldChar w:fldCharType="separate"/>
      </w:r>
      <w:r w:rsidRPr="0024702C">
        <w:rPr>
          <w:lang w:val="en-US"/>
        </w:rPr>
        <w:t>×</w:t>
      </w:r>
      <w:r w:rsidRPr="0024702C">
        <w:rPr>
          <w:lang w:val="en-US"/>
        </w:rPr>
        <w:fldChar w:fldCharType="end"/>
      </w:r>
      <w:r w:rsidRPr="00CB6CBA">
        <w:rPr>
          <w:lang w:val="en-US"/>
        </w:rPr>
        <w:t xml:space="preserve"> </w:t>
      </w:r>
      <w:r w:rsidRPr="006A628F">
        <w:rPr>
          <w:rFonts w:asciiTheme="majorBidi" w:hAnsiTheme="majorBidi" w:cstheme="majorBidi"/>
          <w:lang w:val="en-US"/>
        </w:rPr>
        <w:sym w:font="Symbol" w:char="F061"/>
      </w:r>
      <w:r w:rsidRPr="00CB6CBA">
        <w:rPr>
          <w:vertAlign w:val="subscript"/>
          <w:lang w:val="en-US"/>
        </w:rPr>
        <w:t>4</w:t>
      </w:r>
      <w:r w:rsidRPr="00CB6CBA">
        <w:rPr>
          <w:lang w:val="en-US"/>
        </w:rPr>
        <w:t xml:space="preserve"> </w:t>
      </w:r>
      <w:r w:rsidRPr="0024702C">
        <w:rPr>
          <w:lang w:val="en-US"/>
        </w:rPr>
        <w:fldChar w:fldCharType="begin"/>
      </w:r>
      <w:r w:rsidRPr="0024702C">
        <w:rPr>
          <w:lang w:val="en-US"/>
        </w:rPr>
        <w:instrText xml:space="preserve">SYMBOL 215 </w:instrText>
      </w:r>
      <w:r>
        <w:rPr>
          <w:lang w:val="en-US"/>
        </w:rPr>
        <w:instrText>\</w:instrText>
      </w:r>
      <w:r w:rsidRPr="0024702C">
        <w:rPr>
          <w:lang w:val="en-US"/>
        </w:rPr>
        <w:instrText xml:space="preserve">f "Symbol" </w:instrText>
      </w:r>
      <w:r>
        <w:rPr>
          <w:lang w:val="en-US"/>
        </w:rPr>
        <w:instrText>\</w:instrText>
      </w:r>
      <w:r w:rsidRPr="0024702C">
        <w:rPr>
          <w:lang w:val="en-US"/>
        </w:rPr>
        <w:instrText>s 14</w:instrText>
      </w:r>
      <w:r w:rsidRPr="0024702C">
        <w:rPr>
          <w:lang w:val="en-US"/>
        </w:rPr>
        <w:fldChar w:fldCharType="separate"/>
      </w:r>
      <w:r w:rsidRPr="0024702C">
        <w:rPr>
          <w:lang w:val="en-US"/>
        </w:rPr>
        <w:t>×</w:t>
      </w:r>
      <w:r w:rsidRPr="0024702C">
        <w:rPr>
          <w:lang w:val="en-US"/>
        </w:rPr>
        <w:fldChar w:fldCharType="end"/>
      </w:r>
      <w:r w:rsidRPr="00CB6CBA">
        <w:rPr>
          <w:lang w:val="en-US"/>
        </w:rPr>
        <w:t xml:space="preserve"> </w:t>
      </w:r>
      <w:r w:rsidRPr="006A628F">
        <w:rPr>
          <w:rFonts w:asciiTheme="majorBidi" w:hAnsiTheme="majorBidi" w:cstheme="majorBidi"/>
          <w:lang w:val="en-US"/>
        </w:rPr>
        <w:sym w:font="Symbol" w:char="F061"/>
      </w:r>
      <w:r w:rsidRPr="00CB6CBA">
        <w:rPr>
          <w:vertAlign w:val="subscript"/>
          <w:lang w:val="en-US"/>
        </w:rPr>
        <w:t>5</w:t>
      </w:r>
      <w:r w:rsidRPr="00CB6CBA">
        <w:rPr>
          <w:lang w:val="en-US"/>
        </w:rPr>
        <w:tab/>
        <w:t>(</w:t>
      </w:r>
      <w:r>
        <w:rPr>
          <w:lang w:val="en-US"/>
        </w:rPr>
        <w:t>25</w:t>
      </w:r>
      <w:r w:rsidRPr="00CB6CBA">
        <w:rPr>
          <w:lang w:val="en-US"/>
        </w:rPr>
        <w:t>)</w:t>
      </w:r>
    </w:p>
    <w:p w:rsidR="00CA3B52" w:rsidRPr="00CB6CBA" w:rsidRDefault="00CA3B52" w:rsidP="00CA3B52">
      <w:pPr>
        <w:rPr>
          <w:lang w:val="en-US"/>
        </w:rPr>
      </w:pPr>
      <w:r w:rsidRPr="00CB6CBA">
        <w:rPr>
          <w:lang w:val="en-US"/>
        </w:rPr>
        <w:t>where:</w:t>
      </w:r>
    </w:p>
    <w:p w:rsidR="00CA3B52" w:rsidRPr="006A628F" w:rsidRDefault="00CA3B52" w:rsidP="00F65451">
      <w:pPr>
        <w:pStyle w:val="Equationlegend"/>
      </w:pPr>
      <w:r w:rsidRPr="006A628F">
        <w:tab/>
      </w:r>
      <w:r w:rsidRPr="006A628F">
        <w:sym w:font="Symbol" w:char="F061"/>
      </w:r>
      <w:r w:rsidRPr="00FB1C90">
        <w:rPr>
          <w:vertAlign w:val="subscript"/>
        </w:rPr>
        <w:t>1</w:t>
      </w:r>
      <w:r w:rsidRPr="006A628F">
        <w:t>:</w:t>
      </w:r>
      <w:r w:rsidRPr="006A628F">
        <w:tab/>
        <w:t>takes into account commercial value of the spectrum range used</w:t>
      </w:r>
    </w:p>
    <w:p w:rsidR="00CA3B52" w:rsidRPr="006A628F" w:rsidRDefault="00CA3B52" w:rsidP="00F65451">
      <w:pPr>
        <w:pStyle w:val="Equationlegend"/>
      </w:pPr>
      <w:r w:rsidRPr="006A628F">
        <w:tab/>
      </w:r>
      <w:r w:rsidRPr="006A628F">
        <w:sym w:font="Symbol" w:char="F061"/>
      </w:r>
      <w:r w:rsidRPr="00FB1C90">
        <w:rPr>
          <w:vertAlign w:val="subscript"/>
        </w:rPr>
        <w:t>2</w:t>
      </w:r>
      <w:r w:rsidRPr="006A628F">
        <w:t>:</w:t>
      </w:r>
      <w:r w:rsidRPr="006A628F">
        <w:tab/>
        <w:t>taking into account social factor</w:t>
      </w:r>
    </w:p>
    <w:p w:rsidR="00CA3B52" w:rsidRPr="006A628F" w:rsidRDefault="00CA3B52" w:rsidP="00F65451">
      <w:pPr>
        <w:pStyle w:val="Equationlegend"/>
      </w:pPr>
      <w:r w:rsidRPr="006A628F">
        <w:tab/>
      </w:r>
      <w:r w:rsidRPr="006A628F">
        <w:sym w:font="Symbol" w:char="F061"/>
      </w:r>
      <w:r w:rsidRPr="00FB1C90">
        <w:rPr>
          <w:vertAlign w:val="subscript"/>
        </w:rPr>
        <w:t>3</w:t>
      </w:r>
      <w:r w:rsidRPr="006A628F">
        <w:t>:</w:t>
      </w:r>
      <w:r w:rsidRPr="006A628F">
        <w:tab/>
        <w:t>takes into account features of transmitter location</w:t>
      </w:r>
    </w:p>
    <w:p w:rsidR="00CA3B52" w:rsidRPr="006A628F" w:rsidRDefault="00CA3B52" w:rsidP="00CA3B52">
      <w:pPr>
        <w:pStyle w:val="Equationlegend"/>
      </w:pPr>
      <w:r w:rsidRPr="006A628F">
        <w:tab/>
      </w:r>
      <w:r w:rsidRPr="006A628F">
        <w:sym w:font="Symbol" w:char="F061"/>
      </w:r>
      <w:r w:rsidRPr="00FB1C90">
        <w:rPr>
          <w:vertAlign w:val="subscript"/>
        </w:rPr>
        <w:t>4</w:t>
      </w:r>
      <w:r w:rsidRPr="006A628F">
        <w:t>:</w:t>
      </w:r>
      <w:r w:rsidRPr="006A628F">
        <w:tab/>
        <w:t>takes into account the complexity of spectrum management functions</w:t>
      </w:r>
    </w:p>
    <w:p w:rsidR="00CA3B52" w:rsidRPr="006A628F" w:rsidRDefault="00CA3B52" w:rsidP="00CA3B52">
      <w:pPr>
        <w:pStyle w:val="Equationlegend"/>
      </w:pPr>
      <w:r w:rsidRPr="006A628F">
        <w:tab/>
      </w:r>
      <w:r w:rsidRPr="006A628F">
        <w:sym w:font="Symbol" w:char="F061"/>
      </w:r>
      <w:r w:rsidRPr="00FB1C90">
        <w:rPr>
          <w:vertAlign w:val="subscript"/>
        </w:rPr>
        <w:t>5</w:t>
      </w:r>
      <w:r w:rsidRPr="006A628F">
        <w:t>:</w:t>
      </w:r>
      <w:r w:rsidRPr="006A628F">
        <w:tab/>
        <w:t>other coefficient (coefficients) which can be introduced by an administration reflecting its specific needs.</w:t>
      </w:r>
    </w:p>
    <w:p w:rsidR="00CA3B52" w:rsidRPr="00CB6CBA" w:rsidRDefault="00CA3B52" w:rsidP="00CA3B52">
      <w:pPr>
        <w:rPr>
          <w:lang w:val="en-US"/>
        </w:rPr>
      </w:pPr>
      <w:r w:rsidRPr="00CB6CBA">
        <w:rPr>
          <w:lang w:val="en-US"/>
        </w:rPr>
        <w:t>Illustrative examples of these coefficient values are presented in Table 2.</w:t>
      </w:r>
    </w:p>
    <w:p w:rsidR="00CA3B52" w:rsidRPr="006A628F" w:rsidRDefault="00CA3B52" w:rsidP="00CA3B52">
      <w:pPr>
        <w:pStyle w:val="TableNo"/>
        <w:rPr>
          <w:szCs w:val="24"/>
          <w:lang w:val="en-US"/>
        </w:rPr>
      </w:pPr>
      <w:r w:rsidRPr="006A628F">
        <w:rPr>
          <w:szCs w:val="24"/>
          <w:lang w:val="en-US"/>
        </w:rPr>
        <w:t>TABLE 2</w:t>
      </w:r>
    </w:p>
    <w:p w:rsidR="00CA3B52" w:rsidRPr="006A628F" w:rsidRDefault="00CA3B52" w:rsidP="00CA3B52">
      <w:pPr>
        <w:pStyle w:val="Tabletitle"/>
        <w:rPr>
          <w:szCs w:val="24"/>
          <w:lang w:val="en-US"/>
        </w:rPr>
      </w:pPr>
      <w:r w:rsidRPr="006A628F">
        <w:rPr>
          <w:szCs w:val="24"/>
          <w:lang w:val="en-US"/>
        </w:rPr>
        <w:t>Table of service depended coefficients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7"/>
        <w:gridCol w:w="847"/>
        <w:gridCol w:w="847"/>
        <w:gridCol w:w="847"/>
        <w:gridCol w:w="1184"/>
        <w:gridCol w:w="847"/>
      </w:tblGrid>
      <w:tr w:rsidR="00CA3B52" w:rsidRPr="006A628F" w:rsidTr="000A7119">
        <w:trPr>
          <w:cantSplit/>
          <w:jc w:val="center"/>
        </w:trPr>
        <w:tc>
          <w:tcPr>
            <w:tcW w:w="5067" w:type="dxa"/>
            <w:vMerge w:val="restart"/>
            <w:vAlign w:val="center"/>
          </w:tcPr>
          <w:p w:rsidR="00CA3B52" w:rsidRPr="006A628F" w:rsidRDefault="00CA3B52" w:rsidP="00F65451">
            <w:pPr>
              <w:pStyle w:val="Tablehead"/>
              <w:rPr>
                <w:szCs w:val="22"/>
              </w:rPr>
            </w:pPr>
            <w:r w:rsidRPr="006A628F">
              <w:rPr>
                <w:szCs w:val="22"/>
              </w:rPr>
              <w:t>Service\</w:t>
            </w:r>
            <w:r w:rsidRPr="006A628F">
              <w:rPr>
                <w:szCs w:val="22"/>
              </w:rPr>
              <w:sym w:font="Symbol" w:char="F061"/>
            </w:r>
            <w:r w:rsidRPr="006A628F">
              <w:rPr>
                <w:szCs w:val="22"/>
                <w:vertAlign w:val="subscript"/>
              </w:rPr>
              <w:t>I</w:t>
            </w:r>
          </w:p>
        </w:tc>
        <w:tc>
          <w:tcPr>
            <w:tcW w:w="847" w:type="dxa"/>
            <w:vMerge w:val="restart"/>
            <w:vAlign w:val="center"/>
          </w:tcPr>
          <w:p w:rsidR="00CA3B52" w:rsidRPr="006A628F" w:rsidRDefault="00CA3B52" w:rsidP="00F65451">
            <w:pPr>
              <w:pStyle w:val="Tablehead"/>
              <w:rPr>
                <w:szCs w:val="22"/>
              </w:rPr>
            </w:pPr>
            <w:r w:rsidRPr="006A628F">
              <w:rPr>
                <w:szCs w:val="22"/>
              </w:rPr>
              <w:sym w:font="Symbol" w:char="F061"/>
            </w:r>
            <w:r w:rsidRPr="006A628F">
              <w:rPr>
                <w:szCs w:val="22"/>
                <w:vertAlign w:val="subscript"/>
              </w:rPr>
              <w:t>1</w:t>
            </w:r>
          </w:p>
        </w:tc>
        <w:tc>
          <w:tcPr>
            <w:tcW w:w="847" w:type="dxa"/>
            <w:vMerge w:val="restart"/>
            <w:vAlign w:val="center"/>
          </w:tcPr>
          <w:p w:rsidR="00CA3B52" w:rsidRPr="006A628F" w:rsidRDefault="00CA3B52" w:rsidP="00F65451">
            <w:pPr>
              <w:pStyle w:val="Tablehead"/>
              <w:rPr>
                <w:szCs w:val="22"/>
              </w:rPr>
            </w:pPr>
            <w:r w:rsidRPr="006A628F">
              <w:rPr>
                <w:szCs w:val="22"/>
              </w:rPr>
              <w:sym w:font="Symbol" w:char="F061"/>
            </w:r>
            <w:r w:rsidRPr="006A628F">
              <w:rPr>
                <w:szCs w:val="22"/>
                <w:vertAlign w:val="subscript"/>
              </w:rPr>
              <w:t>2</w:t>
            </w:r>
          </w:p>
        </w:tc>
        <w:tc>
          <w:tcPr>
            <w:tcW w:w="2031" w:type="dxa"/>
            <w:gridSpan w:val="2"/>
            <w:vAlign w:val="center"/>
          </w:tcPr>
          <w:p w:rsidR="00CA3B52" w:rsidRPr="006A628F" w:rsidRDefault="00CA3B52" w:rsidP="00F65451">
            <w:pPr>
              <w:pStyle w:val="Tablehead"/>
              <w:rPr>
                <w:szCs w:val="22"/>
              </w:rPr>
            </w:pPr>
            <w:r w:rsidRPr="006A628F">
              <w:rPr>
                <w:szCs w:val="22"/>
              </w:rPr>
              <w:sym w:font="Symbol" w:char="F061"/>
            </w:r>
            <w:r w:rsidRPr="006A628F">
              <w:rPr>
                <w:szCs w:val="22"/>
                <w:vertAlign w:val="subscript"/>
              </w:rPr>
              <w:t>3</w:t>
            </w:r>
          </w:p>
        </w:tc>
        <w:tc>
          <w:tcPr>
            <w:tcW w:w="847" w:type="dxa"/>
            <w:vMerge w:val="restart"/>
            <w:vAlign w:val="center"/>
          </w:tcPr>
          <w:p w:rsidR="00CA3B52" w:rsidRPr="006A628F" w:rsidRDefault="00CA3B52" w:rsidP="00F65451">
            <w:pPr>
              <w:pStyle w:val="Tablehead"/>
              <w:rPr>
                <w:szCs w:val="22"/>
              </w:rPr>
            </w:pPr>
            <w:r w:rsidRPr="006A628F">
              <w:rPr>
                <w:szCs w:val="22"/>
              </w:rPr>
              <w:sym w:font="Symbol" w:char="F061"/>
            </w:r>
            <w:r w:rsidRPr="006A628F">
              <w:rPr>
                <w:szCs w:val="22"/>
                <w:vertAlign w:val="subscript"/>
              </w:rPr>
              <w:t>4</w:t>
            </w:r>
          </w:p>
        </w:tc>
      </w:tr>
      <w:tr w:rsidR="00CA3B52" w:rsidRPr="006A628F" w:rsidTr="000A7119">
        <w:trPr>
          <w:cantSplit/>
          <w:jc w:val="center"/>
        </w:trPr>
        <w:tc>
          <w:tcPr>
            <w:tcW w:w="5067" w:type="dxa"/>
            <w:vMerge/>
            <w:vAlign w:val="center"/>
          </w:tcPr>
          <w:p w:rsidR="00CA3B52" w:rsidRPr="006A628F" w:rsidRDefault="00CA3B52" w:rsidP="00F65451">
            <w:pPr>
              <w:pStyle w:val="Tablehead"/>
              <w:rPr>
                <w:szCs w:val="22"/>
              </w:rPr>
            </w:pPr>
          </w:p>
        </w:tc>
        <w:tc>
          <w:tcPr>
            <w:tcW w:w="847" w:type="dxa"/>
            <w:vMerge/>
            <w:vAlign w:val="center"/>
          </w:tcPr>
          <w:p w:rsidR="00CA3B52" w:rsidRPr="006A628F" w:rsidRDefault="00CA3B52" w:rsidP="00F65451">
            <w:pPr>
              <w:pStyle w:val="Tablehead"/>
              <w:rPr>
                <w:szCs w:val="22"/>
              </w:rPr>
            </w:pPr>
          </w:p>
        </w:tc>
        <w:tc>
          <w:tcPr>
            <w:tcW w:w="847" w:type="dxa"/>
            <w:vMerge/>
            <w:vAlign w:val="center"/>
          </w:tcPr>
          <w:p w:rsidR="00CA3B52" w:rsidRPr="006A628F" w:rsidRDefault="00CA3B52" w:rsidP="00F65451">
            <w:pPr>
              <w:pStyle w:val="Tablehead"/>
              <w:rPr>
                <w:szCs w:val="22"/>
              </w:rPr>
            </w:pPr>
          </w:p>
        </w:tc>
        <w:tc>
          <w:tcPr>
            <w:tcW w:w="847" w:type="dxa"/>
          </w:tcPr>
          <w:p w:rsidR="00CA3B52" w:rsidRPr="006A628F" w:rsidRDefault="00CA3B52" w:rsidP="00F65451">
            <w:pPr>
              <w:pStyle w:val="Tablehead"/>
              <w:rPr>
                <w:szCs w:val="22"/>
              </w:rPr>
            </w:pPr>
            <w:r w:rsidRPr="006A628F">
              <w:rPr>
                <w:szCs w:val="22"/>
              </w:rPr>
              <w:t>City</w:t>
            </w:r>
          </w:p>
        </w:tc>
        <w:tc>
          <w:tcPr>
            <w:tcW w:w="1184" w:type="dxa"/>
          </w:tcPr>
          <w:p w:rsidR="00CA3B52" w:rsidRPr="006A628F" w:rsidRDefault="00CA3B52" w:rsidP="00F65451">
            <w:pPr>
              <w:pStyle w:val="Tablehead"/>
              <w:rPr>
                <w:szCs w:val="22"/>
              </w:rPr>
            </w:pPr>
            <w:r w:rsidRPr="006A628F">
              <w:rPr>
                <w:szCs w:val="22"/>
              </w:rPr>
              <w:t>Village</w:t>
            </w:r>
          </w:p>
        </w:tc>
        <w:tc>
          <w:tcPr>
            <w:tcW w:w="847" w:type="dxa"/>
            <w:vMerge/>
            <w:vAlign w:val="center"/>
          </w:tcPr>
          <w:p w:rsidR="00CA3B52" w:rsidRPr="006A628F" w:rsidRDefault="00CA3B52" w:rsidP="00F65451">
            <w:pPr>
              <w:pStyle w:val="Tablehead"/>
              <w:rPr>
                <w:szCs w:val="22"/>
              </w:rPr>
            </w:pPr>
          </w:p>
        </w:tc>
      </w:tr>
      <w:tr w:rsidR="00CA3B52" w:rsidRPr="006A628F" w:rsidTr="000A7119">
        <w:trPr>
          <w:cantSplit/>
          <w:jc w:val="center"/>
        </w:trPr>
        <w:tc>
          <w:tcPr>
            <w:tcW w:w="5067" w:type="dxa"/>
          </w:tcPr>
          <w:p w:rsidR="00CA3B52" w:rsidRPr="006A628F" w:rsidRDefault="00CA3B52" w:rsidP="00F65451">
            <w:pPr>
              <w:pStyle w:val="Tabletext"/>
              <w:jc w:val="left"/>
              <w:rPr>
                <w:szCs w:val="22"/>
                <w:lang w:val="en-US"/>
              </w:rPr>
            </w:pPr>
            <w:r w:rsidRPr="006A628F">
              <w:rPr>
                <w:szCs w:val="22"/>
                <w:lang w:val="en-US"/>
              </w:rPr>
              <w:t>Radio relay line in a range above 1 GHz</w:t>
            </w:r>
          </w:p>
        </w:tc>
        <w:tc>
          <w:tcPr>
            <w:tcW w:w="847"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1184"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0.2</w:t>
            </w:r>
          </w:p>
        </w:tc>
      </w:tr>
      <w:tr w:rsidR="00CA3B52" w:rsidRPr="006A628F" w:rsidTr="000A7119">
        <w:trPr>
          <w:cantSplit/>
          <w:jc w:val="center"/>
        </w:trPr>
        <w:tc>
          <w:tcPr>
            <w:tcW w:w="5067" w:type="dxa"/>
          </w:tcPr>
          <w:p w:rsidR="00CA3B52" w:rsidRPr="006A628F" w:rsidRDefault="00CA3B52" w:rsidP="00F65451">
            <w:pPr>
              <w:pStyle w:val="Tabletext"/>
              <w:jc w:val="left"/>
              <w:rPr>
                <w:szCs w:val="22"/>
                <w:lang w:val="en-US"/>
              </w:rPr>
            </w:pPr>
            <w:r w:rsidRPr="006A628F">
              <w:rPr>
                <w:szCs w:val="22"/>
                <w:lang w:val="en-US"/>
              </w:rPr>
              <w:t>Radio relay line in a range below 1 GHz</w:t>
            </w:r>
          </w:p>
        </w:tc>
        <w:tc>
          <w:tcPr>
            <w:tcW w:w="847" w:type="dxa"/>
          </w:tcPr>
          <w:p w:rsidR="00CA3B52" w:rsidRPr="006A628F" w:rsidRDefault="00CA3B52" w:rsidP="00F65451">
            <w:pPr>
              <w:pStyle w:val="Tabletext"/>
              <w:jc w:val="center"/>
              <w:rPr>
                <w:szCs w:val="22"/>
                <w:lang w:val="en-US"/>
              </w:rPr>
            </w:pPr>
            <w:r w:rsidRPr="006A628F">
              <w:rPr>
                <w:szCs w:val="22"/>
                <w:lang w:val="en-US"/>
              </w:rPr>
              <w:t>0.4</w:t>
            </w:r>
          </w:p>
        </w:tc>
        <w:tc>
          <w:tcPr>
            <w:tcW w:w="847" w:type="dxa"/>
          </w:tcPr>
          <w:p w:rsidR="00CA3B52" w:rsidRPr="006A628F" w:rsidRDefault="00CA3B52" w:rsidP="00F65451">
            <w:pPr>
              <w:pStyle w:val="Tabletext"/>
              <w:jc w:val="center"/>
              <w:rPr>
                <w:szCs w:val="22"/>
                <w:lang w:val="en-US"/>
              </w:rPr>
            </w:pPr>
            <w:r w:rsidRPr="006A628F">
              <w:rPr>
                <w:szCs w:val="22"/>
                <w:lang w:val="en-US"/>
              </w:rPr>
              <w:t>0.2</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1184"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0.2</w:t>
            </w:r>
          </w:p>
        </w:tc>
      </w:tr>
      <w:tr w:rsidR="00CA3B52" w:rsidRPr="006A628F" w:rsidTr="000A7119">
        <w:trPr>
          <w:cantSplit/>
          <w:jc w:val="center"/>
        </w:trPr>
        <w:tc>
          <w:tcPr>
            <w:tcW w:w="5067" w:type="dxa"/>
          </w:tcPr>
          <w:p w:rsidR="00CA3B52" w:rsidRPr="006A628F" w:rsidRDefault="00CA3B52" w:rsidP="00F65451">
            <w:pPr>
              <w:pStyle w:val="Tabletext"/>
              <w:jc w:val="left"/>
              <w:rPr>
                <w:szCs w:val="22"/>
                <w:lang w:val="en-US"/>
              </w:rPr>
            </w:pPr>
            <w:r w:rsidRPr="006A628F">
              <w:rPr>
                <w:szCs w:val="22"/>
                <w:lang w:val="en-US"/>
              </w:rPr>
              <w:t>Television in metre range (MW TV)</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847"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1184"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r>
      <w:tr w:rsidR="00CA3B52" w:rsidRPr="006A628F" w:rsidTr="000A7119">
        <w:trPr>
          <w:cantSplit/>
          <w:jc w:val="center"/>
        </w:trPr>
        <w:tc>
          <w:tcPr>
            <w:tcW w:w="5067" w:type="dxa"/>
          </w:tcPr>
          <w:p w:rsidR="00CA3B52" w:rsidRPr="006A628F" w:rsidRDefault="00CA3B52" w:rsidP="00F65451">
            <w:pPr>
              <w:pStyle w:val="Tabletext"/>
              <w:jc w:val="left"/>
              <w:rPr>
                <w:szCs w:val="22"/>
                <w:lang w:val="en-US"/>
              </w:rPr>
            </w:pPr>
            <w:r w:rsidRPr="006A628F">
              <w:rPr>
                <w:szCs w:val="22"/>
                <w:lang w:val="en-US"/>
              </w:rPr>
              <w:t>Television in decimetre range (DMW TV)</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847" w:type="dxa"/>
          </w:tcPr>
          <w:p w:rsidR="00CA3B52" w:rsidRPr="006A628F" w:rsidRDefault="00CA3B52" w:rsidP="00F65451">
            <w:pPr>
              <w:pStyle w:val="Tabletext"/>
              <w:jc w:val="center"/>
              <w:rPr>
                <w:szCs w:val="22"/>
                <w:lang w:val="en-US"/>
              </w:rPr>
            </w:pPr>
            <w:r w:rsidRPr="006A628F">
              <w:rPr>
                <w:szCs w:val="22"/>
                <w:lang w:val="en-US"/>
              </w:rPr>
              <w:t>0.2</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1184"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r>
      <w:tr w:rsidR="00CA3B52" w:rsidRPr="006A628F" w:rsidTr="000A7119">
        <w:trPr>
          <w:cantSplit/>
          <w:jc w:val="center"/>
        </w:trPr>
        <w:tc>
          <w:tcPr>
            <w:tcW w:w="5067" w:type="dxa"/>
          </w:tcPr>
          <w:p w:rsidR="00CA3B52" w:rsidRPr="006A628F" w:rsidRDefault="00CA3B52" w:rsidP="00F65451">
            <w:pPr>
              <w:pStyle w:val="Tabletext"/>
              <w:jc w:val="left"/>
              <w:rPr>
                <w:szCs w:val="22"/>
                <w:lang w:val="en-US"/>
              </w:rPr>
            </w:pPr>
            <w:r w:rsidRPr="006A628F">
              <w:rPr>
                <w:szCs w:val="22"/>
                <w:lang w:val="en-US"/>
              </w:rPr>
              <w:t>VHF sound broadcasting</w:t>
            </w:r>
          </w:p>
        </w:tc>
        <w:tc>
          <w:tcPr>
            <w:tcW w:w="847" w:type="dxa"/>
          </w:tcPr>
          <w:p w:rsidR="00CA3B52" w:rsidRPr="006A628F" w:rsidRDefault="00CA3B52" w:rsidP="00F65451">
            <w:pPr>
              <w:pStyle w:val="Tabletext"/>
              <w:jc w:val="center"/>
              <w:rPr>
                <w:szCs w:val="22"/>
                <w:lang w:val="en-US"/>
              </w:rPr>
            </w:pPr>
            <w:r w:rsidRPr="006A628F">
              <w:rPr>
                <w:szCs w:val="22"/>
                <w:lang w:val="en-US"/>
              </w:rPr>
              <w:t>2.4</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1184"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r>
      <w:tr w:rsidR="00CA3B52" w:rsidRPr="006A628F" w:rsidTr="000A7119">
        <w:trPr>
          <w:cantSplit/>
          <w:jc w:val="center"/>
        </w:trPr>
        <w:tc>
          <w:tcPr>
            <w:tcW w:w="5067" w:type="dxa"/>
          </w:tcPr>
          <w:p w:rsidR="00CA3B52" w:rsidRPr="006A628F" w:rsidRDefault="00CA3B52" w:rsidP="00F65451">
            <w:pPr>
              <w:pStyle w:val="Tabletext"/>
              <w:jc w:val="left"/>
              <w:rPr>
                <w:szCs w:val="22"/>
                <w:lang w:val="en-US"/>
              </w:rPr>
            </w:pPr>
            <w:r w:rsidRPr="006A628F">
              <w:rPr>
                <w:szCs w:val="22"/>
                <w:lang w:val="en-US"/>
              </w:rPr>
              <w:t>LF – HF broadcasting</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1184"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0.8</w:t>
            </w:r>
          </w:p>
        </w:tc>
      </w:tr>
      <w:tr w:rsidR="00CA3B52" w:rsidRPr="006A628F" w:rsidTr="000A7119">
        <w:trPr>
          <w:cantSplit/>
          <w:jc w:val="center"/>
        </w:trPr>
        <w:tc>
          <w:tcPr>
            <w:tcW w:w="5067" w:type="dxa"/>
          </w:tcPr>
          <w:p w:rsidR="00CA3B52" w:rsidRPr="006A628F" w:rsidRDefault="00CA3B52" w:rsidP="00F65451">
            <w:pPr>
              <w:pStyle w:val="Tabletext"/>
              <w:jc w:val="left"/>
              <w:rPr>
                <w:szCs w:val="22"/>
                <w:lang w:val="en-US"/>
              </w:rPr>
            </w:pPr>
            <w:r w:rsidRPr="006A628F">
              <w:rPr>
                <w:szCs w:val="22"/>
                <w:lang w:val="en-US"/>
              </w:rPr>
              <w:t>HF radiocommunications</w:t>
            </w:r>
          </w:p>
        </w:tc>
        <w:tc>
          <w:tcPr>
            <w:tcW w:w="847" w:type="dxa"/>
          </w:tcPr>
          <w:p w:rsidR="00CA3B52" w:rsidRPr="006A628F" w:rsidRDefault="00CA3B52" w:rsidP="00F65451">
            <w:pPr>
              <w:pStyle w:val="Tabletext"/>
              <w:jc w:val="center"/>
              <w:rPr>
                <w:szCs w:val="22"/>
                <w:lang w:val="en-US"/>
              </w:rPr>
            </w:pPr>
            <w:r w:rsidRPr="006A628F">
              <w:rPr>
                <w:szCs w:val="22"/>
                <w:lang w:val="en-US"/>
              </w:rPr>
              <w:t>2.6</w:t>
            </w:r>
          </w:p>
        </w:tc>
        <w:tc>
          <w:tcPr>
            <w:tcW w:w="847" w:type="dxa"/>
          </w:tcPr>
          <w:p w:rsidR="00CA3B52" w:rsidRPr="006A628F" w:rsidRDefault="00CA3B52" w:rsidP="00F65451">
            <w:pPr>
              <w:pStyle w:val="Tabletext"/>
              <w:jc w:val="center"/>
              <w:rPr>
                <w:szCs w:val="22"/>
                <w:lang w:val="en-US"/>
              </w:rPr>
            </w:pPr>
            <w:r w:rsidRPr="006A628F">
              <w:rPr>
                <w:szCs w:val="22"/>
                <w:lang w:val="en-US"/>
              </w:rPr>
              <w:t>1.2</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1184"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0.8</w:t>
            </w:r>
          </w:p>
        </w:tc>
      </w:tr>
      <w:tr w:rsidR="00CA3B52" w:rsidRPr="006A628F" w:rsidTr="000A7119">
        <w:trPr>
          <w:cantSplit/>
          <w:jc w:val="center"/>
        </w:trPr>
        <w:tc>
          <w:tcPr>
            <w:tcW w:w="5067" w:type="dxa"/>
          </w:tcPr>
          <w:p w:rsidR="00CA3B52" w:rsidRPr="006A628F" w:rsidRDefault="00CA3B52" w:rsidP="00F65451">
            <w:pPr>
              <w:pStyle w:val="Tabletext"/>
              <w:jc w:val="left"/>
              <w:rPr>
                <w:szCs w:val="22"/>
                <w:lang w:val="en-US"/>
              </w:rPr>
            </w:pPr>
            <w:r w:rsidRPr="006A628F">
              <w:rPr>
                <w:szCs w:val="22"/>
                <w:lang w:val="en-US"/>
              </w:rPr>
              <w:t>Trunking</w:t>
            </w:r>
          </w:p>
        </w:tc>
        <w:tc>
          <w:tcPr>
            <w:tcW w:w="847" w:type="dxa"/>
          </w:tcPr>
          <w:p w:rsidR="00CA3B52" w:rsidRPr="006A628F" w:rsidRDefault="00CA3B52" w:rsidP="00F65451">
            <w:pPr>
              <w:pStyle w:val="Tabletext"/>
              <w:jc w:val="center"/>
              <w:rPr>
                <w:szCs w:val="22"/>
                <w:lang w:val="en-US"/>
              </w:rPr>
            </w:pPr>
            <w:r w:rsidRPr="006A628F">
              <w:rPr>
                <w:szCs w:val="22"/>
                <w:lang w:val="en-US"/>
              </w:rPr>
              <w:t>2.4</w:t>
            </w:r>
          </w:p>
        </w:tc>
        <w:tc>
          <w:tcPr>
            <w:tcW w:w="847" w:type="dxa"/>
          </w:tcPr>
          <w:p w:rsidR="00CA3B52" w:rsidRPr="006A628F" w:rsidRDefault="00CA3B52" w:rsidP="00F65451">
            <w:pPr>
              <w:pStyle w:val="Tabletext"/>
              <w:jc w:val="center"/>
              <w:rPr>
                <w:szCs w:val="22"/>
                <w:lang w:val="en-US"/>
              </w:rPr>
            </w:pPr>
            <w:r w:rsidRPr="006A628F">
              <w:rPr>
                <w:szCs w:val="22"/>
                <w:lang w:val="en-US"/>
              </w:rPr>
              <w:t>1.2</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1184"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r>
      <w:tr w:rsidR="00CA3B52" w:rsidRPr="006A628F" w:rsidTr="000A7119">
        <w:trPr>
          <w:cantSplit/>
          <w:jc w:val="center"/>
        </w:trPr>
        <w:tc>
          <w:tcPr>
            <w:tcW w:w="5067" w:type="dxa"/>
          </w:tcPr>
          <w:p w:rsidR="00CA3B52" w:rsidRPr="006A628F" w:rsidRDefault="00CA3B52" w:rsidP="00F65451">
            <w:pPr>
              <w:pStyle w:val="Tabletext"/>
              <w:jc w:val="left"/>
              <w:rPr>
                <w:szCs w:val="22"/>
                <w:lang w:val="en-US"/>
              </w:rPr>
            </w:pPr>
            <w:r w:rsidRPr="006A628F">
              <w:rPr>
                <w:szCs w:val="22"/>
                <w:lang w:val="en-US"/>
              </w:rPr>
              <w:t xml:space="preserve">Cellular </w:t>
            </w:r>
          </w:p>
        </w:tc>
        <w:tc>
          <w:tcPr>
            <w:tcW w:w="847" w:type="dxa"/>
          </w:tcPr>
          <w:p w:rsidR="00CA3B52" w:rsidRPr="006A628F" w:rsidRDefault="00CA3B52" w:rsidP="00F65451">
            <w:pPr>
              <w:pStyle w:val="Tabletext"/>
              <w:jc w:val="center"/>
              <w:rPr>
                <w:szCs w:val="22"/>
                <w:lang w:val="en-US"/>
              </w:rPr>
            </w:pPr>
            <w:r w:rsidRPr="006A628F">
              <w:rPr>
                <w:szCs w:val="22"/>
                <w:lang w:val="en-US"/>
              </w:rPr>
              <w:t>3</w:t>
            </w:r>
          </w:p>
        </w:tc>
        <w:tc>
          <w:tcPr>
            <w:tcW w:w="847" w:type="dxa"/>
          </w:tcPr>
          <w:p w:rsidR="00CA3B52" w:rsidRPr="006A628F" w:rsidRDefault="00CA3B52" w:rsidP="00F65451">
            <w:pPr>
              <w:pStyle w:val="Tabletext"/>
              <w:jc w:val="center"/>
              <w:rPr>
                <w:szCs w:val="22"/>
                <w:lang w:val="en-US"/>
              </w:rPr>
            </w:pPr>
            <w:r w:rsidRPr="006A628F">
              <w:rPr>
                <w:szCs w:val="22"/>
                <w:lang w:val="en-US"/>
              </w:rPr>
              <w:t>1.2</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1184"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r>
      <w:tr w:rsidR="00CA3B52" w:rsidRPr="006A628F" w:rsidTr="000A7119">
        <w:trPr>
          <w:cantSplit/>
          <w:jc w:val="center"/>
        </w:trPr>
        <w:tc>
          <w:tcPr>
            <w:tcW w:w="5067" w:type="dxa"/>
          </w:tcPr>
          <w:p w:rsidR="00CA3B52" w:rsidRPr="006A628F" w:rsidRDefault="00CA3B52" w:rsidP="00F65451">
            <w:pPr>
              <w:pStyle w:val="Tabletext"/>
              <w:jc w:val="left"/>
              <w:rPr>
                <w:szCs w:val="22"/>
                <w:lang w:val="en-US"/>
              </w:rPr>
            </w:pPr>
            <w:r w:rsidRPr="006A628F">
              <w:rPr>
                <w:szCs w:val="22"/>
                <w:lang w:val="en-US"/>
              </w:rPr>
              <w:t>Paging</w:t>
            </w:r>
          </w:p>
        </w:tc>
        <w:tc>
          <w:tcPr>
            <w:tcW w:w="847" w:type="dxa"/>
          </w:tcPr>
          <w:p w:rsidR="00CA3B52" w:rsidRPr="006A628F" w:rsidRDefault="00CA3B52" w:rsidP="00F65451">
            <w:pPr>
              <w:pStyle w:val="Tabletext"/>
              <w:jc w:val="center"/>
              <w:rPr>
                <w:szCs w:val="22"/>
                <w:lang w:val="en-US"/>
              </w:rPr>
            </w:pPr>
            <w:r w:rsidRPr="006A628F">
              <w:rPr>
                <w:szCs w:val="22"/>
                <w:lang w:val="en-US"/>
              </w:rPr>
              <w:t>3.5</w:t>
            </w:r>
          </w:p>
        </w:tc>
        <w:tc>
          <w:tcPr>
            <w:tcW w:w="847" w:type="dxa"/>
          </w:tcPr>
          <w:p w:rsidR="00CA3B52" w:rsidRPr="006A628F" w:rsidRDefault="00CA3B52" w:rsidP="00F65451">
            <w:pPr>
              <w:pStyle w:val="Tabletext"/>
              <w:jc w:val="center"/>
              <w:rPr>
                <w:szCs w:val="22"/>
                <w:lang w:val="en-US"/>
              </w:rPr>
            </w:pPr>
            <w:r w:rsidRPr="006A628F">
              <w:rPr>
                <w:szCs w:val="22"/>
                <w:lang w:val="en-US"/>
              </w:rPr>
              <w:t>1.2</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1184"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r>
      <w:tr w:rsidR="00CA3B52" w:rsidRPr="006A628F" w:rsidTr="000A7119">
        <w:trPr>
          <w:cantSplit/>
          <w:jc w:val="center"/>
        </w:trPr>
        <w:tc>
          <w:tcPr>
            <w:tcW w:w="5067" w:type="dxa"/>
          </w:tcPr>
          <w:p w:rsidR="00CA3B52" w:rsidRPr="006A628F" w:rsidRDefault="00CA3B52" w:rsidP="00F65451">
            <w:pPr>
              <w:pStyle w:val="Tabletext"/>
              <w:jc w:val="left"/>
              <w:rPr>
                <w:szCs w:val="22"/>
                <w:lang w:val="en-US"/>
              </w:rPr>
            </w:pPr>
            <w:r w:rsidRPr="006A628F">
              <w:rPr>
                <w:szCs w:val="22"/>
                <w:lang w:val="en-US"/>
              </w:rPr>
              <w:t>PMR communications</w:t>
            </w:r>
          </w:p>
        </w:tc>
        <w:tc>
          <w:tcPr>
            <w:tcW w:w="847" w:type="dxa"/>
          </w:tcPr>
          <w:p w:rsidR="00CA3B52" w:rsidRPr="006A628F" w:rsidRDefault="00CA3B52" w:rsidP="00F65451">
            <w:pPr>
              <w:pStyle w:val="Tabletext"/>
              <w:jc w:val="center"/>
              <w:rPr>
                <w:szCs w:val="22"/>
                <w:lang w:val="en-US"/>
              </w:rPr>
            </w:pPr>
            <w:r w:rsidRPr="006A628F">
              <w:rPr>
                <w:szCs w:val="22"/>
                <w:lang w:val="en-US"/>
              </w:rPr>
              <w:t>2</w:t>
            </w:r>
          </w:p>
        </w:tc>
        <w:tc>
          <w:tcPr>
            <w:tcW w:w="847" w:type="dxa"/>
          </w:tcPr>
          <w:p w:rsidR="00CA3B52" w:rsidRPr="006A628F" w:rsidRDefault="00CA3B52" w:rsidP="00F65451">
            <w:pPr>
              <w:pStyle w:val="Tabletext"/>
              <w:jc w:val="center"/>
              <w:rPr>
                <w:szCs w:val="22"/>
                <w:lang w:val="en-US"/>
              </w:rPr>
            </w:pPr>
            <w:r w:rsidRPr="006A628F">
              <w:rPr>
                <w:szCs w:val="22"/>
                <w:lang w:val="en-US"/>
              </w:rPr>
              <w:t>1.2</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1184"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r>
      <w:tr w:rsidR="00CA3B52" w:rsidRPr="006A628F" w:rsidTr="000A7119">
        <w:trPr>
          <w:cantSplit/>
          <w:jc w:val="center"/>
        </w:trPr>
        <w:tc>
          <w:tcPr>
            <w:tcW w:w="5067" w:type="dxa"/>
          </w:tcPr>
          <w:p w:rsidR="00CA3B52" w:rsidRPr="006A628F" w:rsidRDefault="00CA3B52" w:rsidP="00F65451">
            <w:pPr>
              <w:pStyle w:val="Tabletext"/>
              <w:jc w:val="left"/>
              <w:rPr>
                <w:szCs w:val="22"/>
                <w:lang w:val="en-US"/>
              </w:rPr>
            </w:pPr>
            <w:r w:rsidRPr="006A628F">
              <w:rPr>
                <w:szCs w:val="22"/>
                <w:lang w:val="en-US"/>
              </w:rPr>
              <w:t>Radiocommunications in CB range</w:t>
            </w:r>
          </w:p>
        </w:tc>
        <w:tc>
          <w:tcPr>
            <w:tcW w:w="847"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0.2</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1184"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0.2</w:t>
            </w:r>
          </w:p>
        </w:tc>
      </w:tr>
      <w:tr w:rsidR="00CA3B52" w:rsidRPr="006A628F" w:rsidTr="000A7119">
        <w:trPr>
          <w:cantSplit/>
          <w:jc w:val="center"/>
        </w:trPr>
        <w:tc>
          <w:tcPr>
            <w:tcW w:w="5067" w:type="dxa"/>
          </w:tcPr>
          <w:p w:rsidR="00CA3B52" w:rsidRPr="006A628F" w:rsidRDefault="00CA3B52" w:rsidP="00F65451">
            <w:pPr>
              <w:pStyle w:val="Tabletext"/>
              <w:jc w:val="left"/>
              <w:rPr>
                <w:szCs w:val="22"/>
                <w:lang w:val="en-US"/>
              </w:rPr>
            </w:pPr>
            <w:r>
              <w:rPr>
                <w:szCs w:val="22"/>
                <w:lang w:val="en-US"/>
              </w:rPr>
              <w:t>Radiolocation</w:t>
            </w:r>
          </w:p>
        </w:tc>
        <w:tc>
          <w:tcPr>
            <w:tcW w:w="847"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0.02</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1184"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0.2</w:t>
            </w:r>
          </w:p>
        </w:tc>
      </w:tr>
    </w:tbl>
    <w:p w:rsidR="00CA3B52" w:rsidRPr="006A628F" w:rsidRDefault="00CA3B52" w:rsidP="00CA3B52">
      <w:pPr>
        <w:pStyle w:val="TableNo"/>
        <w:rPr>
          <w:szCs w:val="24"/>
          <w:lang w:val="en-US"/>
        </w:rPr>
      </w:pPr>
      <w:r w:rsidRPr="006A628F">
        <w:rPr>
          <w:szCs w:val="24"/>
          <w:lang w:val="en-US"/>
        </w:rPr>
        <w:lastRenderedPageBreak/>
        <w:t>TABLE 2</w:t>
      </w:r>
      <w:r>
        <w:rPr>
          <w:szCs w:val="24"/>
          <w:lang w:val="en-US"/>
        </w:rPr>
        <w:t xml:space="preserve"> (</w:t>
      </w:r>
      <w:r w:rsidRPr="002A631E">
        <w:rPr>
          <w:i/>
          <w:iCs/>
          <w:szCs w:val="24"/>
          <w:lang w:val="en-US"/>
        </w:rPr>
        <w:t>end</w:t>
      </w:r>
      <w:r>
        <w:rPr>
          <w:szCs w:val="24"/>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7"/>
        <w:gridCol w:w="847"/>
        <w:gridCol w:w="847"/>
        <w:gridCol w:w="847"/>
        <w:gridCol w:w="1184"/>
        <w:gridCol w:w="847"/>
      </w:tblGrid>
      <w:tr w:rsidR="00CA3B52" w:rsidRPr="006A628F" w:rsidTr="000A7119">
        <w:trPr>
          <w:cantSplit/>
          <w:jc w:val="center"/>
        </w:trPr>
        <w:tc>
          <w:tcPr>
            <w:tcW w:w="5067" w:type="dxa"/>
            <w:vMerge w:val="restart"/>
            <w:vAlign w:val="center"/>
          </w:tcPr>
          <w:p w:rsidR="00CA3B52" w:rsidRPr="006A628F" w:rsidRDefault="00CA3B52" w:rsidP="002D1D5C">
            <w:pPr>
              <w:pStyle w:val="Tablehead"/>
              <w:rPr>
                <w:szCs w:val="22"/>
              </w:rPr>
            </w:pPr>
            <w:r w:rsidRPr="006A628F">
              <w:rPr>
                <w:szCs w:val="22"/>
              </w:rPr>
              <w:t>Service\</w:t>
            </w:r>
            <w:r w:rsidRPr="006A628F">
              <w:rPr>
                <w:szCs w:val="22"/>
              </w:rPr>
              <w:sym w:font="Symbol" w:char="F061"/>
            </w:r>
            <w:r w:rsidRPr="006A628F">
              <w:rPr>
                <w:szCs w:val="22"/>
                <w:vertAlign w:val="subscript"/>
              </w:rPr>
              <w:t>I</w:t>
            </w:r>
          </w:p>
        </w:tc>
        <w:tc>
          <w:tcPr>
            <w:tcW w:w="847" w:type="dxa"/>
            <w:vMerge w:val="restart"/>
            <w:vAlign w:val="center"/>
          </w:tcPr>
          <w:p w:rsidR="00CA3B52" w:rsidRPr="006A628F" w:rsidRDefault="00CA3B52" w:rsidP="002D1D5C">
            <w:pPr>
              <w:pStyle w:val="Tablehead"/>
              <w:rPr>
                <w:szCs w:val="22"/>
              </w:rPr>
            </w:pPr>
            <w:r w:rsidRPr="006A628F">
              <w:rPr>
                <w:szCs w:val="22"/>
              </w:rPr>
              <w:sym w:font="Symbol" w:char="F061"/>
            </w:r>
            <w:r w:rsidRPr="006A628F">
              <w:rPr>
                <w:szCs w:val="22"/>
                <w:vertAlign w:val="subscript"/>
              </w:rPr>
              <w:t>1</w:t>
            </w:r>
          </w:p>
        </w:tc>
        <w:tc>
          <w:tcPr>
            <w:tcW w:w="847" w:type="dxa"/>
            <w:vMerge w:val="restart"/>
            <w:vAlign w:val="center"/>
          </w:tcPr>
          <w:p w:rsidR="00CA3B52" w:rsidRPr="006A628F" w:rsidRDefault="00CA3B52" w:rsidP="002D1D5C">
            <w:pPr>
              <w:pStyle w:val="Tablehead"/>
              <w:rPr>
                <w:szCs w:val="22"/>
              </w:rPr>
            </w:pPr>
            <w:r w:rsidRPr="006A628F">
              <w:rPr>
                <w:szCs w:val="22"/>
              </w:rPr>
              <w:sym w:font="Symbol" w:char="F061"/>
            </w:r>
            <w:r w:rsidRPr="006A628F">
              <w:rPr>
                <w:szCs w:val="22"/>
                <w:vertAlign w:val="subscript"/>
              </w:rPr>
              <w:t>2</w:t>
            </w:r>
          </w:p>
        </w:tc>
        <w:tc>
          <w:tcPr>
            <w:tcW w:w="2031" w:type="dxa"/>
            <w:gridSpan w:val="2"/>
            <w:vAlign w:val="center"/>
          </w:tcPr>
          <w:p w:rsidR="00CA3B52" w:rsidRPr="006A628F" w:rsidRDefault="00CA3B52" w:rsidP="002D1D5C">
            <w:pPr>
              <w:pStyle w:val="Tablehead"/>
              <w:rPr>
                <w:szCs w:val="22"/>
              </w:rPr>
            </w:pPr>
            <w:r w:rsidRPr="006A628F">
              <w:rPr>
                <w:szCs w:val="22"/>
              </w:rPr>
              <w:sym w:font="Symbol" w:char="F061"/>
            </w:r>
            <w:r w:rsidRPr="006A628F">
              <w:rPr>
                <w:szCs w:val="22"/>
                <w:vertAlign w:val="subscript"/>
              </w:rPr>
              <w:t>3</w:t>
            </w:r>
          </w:p>
        </w:tc>
        <w:tc>
          <w:tcPr>
            <w:tcW w:w="847" w:type="dxa"/>
            <w:vMerge w:val="restart"/>
            <w:vAlign w:val="center"/>
          </w:tcPr>
          <w:p w:rsidR="00CA3B52" w:rsidRPr="006A628F" w:rsidRDefault="00CA3B52" w:rsidP="002D1D5C">
            <w:pPr>
              <w:pStyle w:val="Tablehead"/>
              <w:rPr>
                <w:szCs w:val="22"/>
              </w:rPr>
            </w:pPr>
            <w:r w:rsidRPr="006A628F">
              <w:rPr>
                <w:szCs w:val="22"/>
              </w:rPr>
              <w:sym w:font="Symbol" w:char="F061"/>
            </w:r>
            <w:r w:rsidRPr="006A628F">
              <w:rPr>
                <w:szCs w:val="22"/>
                <w:vertAlign w:val="subscript"/>
              </w:rPr>
              <w:t>4</w:t>
            </w:r>
          </w:p>
        </w:tc>
      </w:tr>
      <w:tr w:rsidR="00CA3B52" w:rsidRPr="006A628F" w:rsidTr="000A7119">
        <w:trPr>
          <w:cantSplit/>
          <w:jc w:val="center"/>
        </w:trPr>
        <w:tc>
          <w:tcPr>
            <w:tcW w:w="5067" w:type="dxa"/>
            <w:vMerge/>
            <w:vAlign w:val="center"/>
          </w:tcPr>
          <w:p w:rsidR="00CA3B52" w:rsidRPr="006A628F" w:rsidRDefault="00CA3B52" w:rsidP="002D1D5C">
            <w:pPr>
              <w:pStyle w:val="Tablehead"/>
              <w:rPr>
                <w:szCs w:val="22"/>
              </w:rPr>
            </w:pPr>
          </w:p>
        </w:tc>
        <w:tc>
          <w:tcPr>
            <w:tcW w:w="847" w:type="dxa"/>
            <w:vMerge/>
            <w:vAlign w:val="center"/>
          </w:tcPr>
          <w:p w:rsidR="00CA3B52" w:rsidRPr="006A628F" w:rsidRDefault="00CA3B52" w:rsidP="002D1D5C">
            <w:pPr>
              <w:pStyle w:val="Tablehead"/>
              <w:rPr>
                <w:szCs w:val="22"/>
              </w:rPr>
            </w:pPr>
          </w:p>
        </w:tc>
        <w:tc>
          <w:tcPr>
            <w:tcW w:w="847" w:type="dxa"/>
            <w:vMerge/>
            <w:vAlign w:val="center"/>
          </w:tcPr>
          <w:p w:rsidR="00CA3B52" w:rsidRPr="006A628F" w:rsidRDefault="00CA3B52" w:rsidP="002D1D5C">
            <w:pPr>
              <w:pStyle w:val="Tablehead"/>
              <w:rPr>
                <w:szCs w:val="22"/>
              </w:rPr>
            </w:pPr>
          </w:p>
        </w:tc>
        <w:tc>
          <w:tcPr>
            <w:tcW w:w="847" w:type="dxa"/>
          </w:tcPr>
          <w:p w:rsidR="00CA3B52" w:rsidRPr="006A628F" w:rsidRDefault="00CA3B52" w:rsidP="002D1D5C">
            <w:pPr>
              <w:pStyle w:val="Tablehead"/>
              <w:rPr>
                <w:szCs w:val="22"/>
              </w:rPr>
            </w:pPr>
            <w:r w:rsidRPr="006A628F">
              <w:rPr>
                <w:szCs w:val="22"/>
              </w:rPr>
              <w:t>City</w:t>
            </w:r>
          </w:p>
        </w:tc>
        <w:tc>
          <w:tcPr>
            <w:tcW w:w="1184" w:type="dxa"/>
          </w:tcPr>
          <w:p w:rsidR="00CA3B52" w:rsidRPr="006A628F" w:rsidRDefault="00CA3B52" w:rsidP="002D1D5C">
            <w:pPr>
              <w:pStyle w:val="Tablehead"/>
              <w:rPr>
                <w:szCs w:val="22"/>
              </w:rPr>
            </w:pPr>
            <w:r w:rsidRPr="006A628F">
              <w:rPr>
                <w:szCs w:val="22"/>
              </w:rPr>
              <w:t>Village</w:t>
            </w:r>
          </w:p>
        </w:tc>
        <w:tc>
          <w:tcPr>
            <w:tcW w:w="847" w:type="dxa"/>
            <w:vMerge/>
            <w:vAlign w:val="center"/>
          </w:tcPr>
          <w:p w:rsidR="00CA3B52" w:rsidRPr="006A628F" w:rsidRDefault="00CA3B52" w:rsidP="002D1D5C">
            <w:pPr>
              <w:pStyle w:val="Tablehead"/>
              <w:rPr>
                <w:szCs w:val="22"/>
              </w:rPr>
            </w:pPr>
          </w:p>
        </w:tc>
      </w:tr>
      <w:tr w:rsidR="00CA3B52" w:rsidRPr="006A628F" w:rsidTr="000A7119">
        <w:trPr>
          <w:cantSplit/>
          <w:jc w:val="center"/>
        </w:trPr>
        <w:tc>
          <w:tcPr>
            <w:tcW w:w="5067" w:type="dxa"/>
          </w:tcPr>
          <w:p w:rsidR="00CA3B52" w:rsidRPr="006A628F" w:rsidRDefault="00CA3B52" w:rsidP="00F65451">
            <w:pPr>
              <w:pStyle w:val="Tabletext"/>
              <w:jc w:val="left"/>
              <w:rPr>
                <w:szCs w:val="22"/>
                <w:lang w:val="en-US"/>
              </w:rPr>
            </w:pPr>
            <w:r w:rsidRPr="006A628F">
              <w:rPr>
                <w:szCs w:val="22"/>
                <w:lang w:val="en-US"/>
              </w:rPr>
              <w:t>Aeronautical radiocommunication and navigation</w:t>
            </w:r>
          </w:p>
        </w:tc>
        <w:tc>
          <w:tcPr>
            <w:tcW w:w="847"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0.2</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1184"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0.8</w:t>
            </w:r>
          </w:p>
        </w:tc>
      </w:tr>
      <w:tr w:rsidR="00CA3B52" w:rsidRPr="006A628F" w:rsidTr="000A7119">
        <w:trPr>
          <w:cantSplit/>
          <w:jc w:val="center"/>
        </w:trPr>
        <w:tc>
          <w:tcPr>
            <w:tcW w:w="5067" w:type="dxa"/>
          </w:tcPr>
          <w:p w:rsidR="00CA3B52" w:rsidRPr="006A628F" w:rsidRDefault="00CA3B52" w:rsidP="00F65451">
            <w:pPr>
              <w:pStyle w:val="Tabletext"/>
              <w:jc w:val="left"/>
              <w:rPr>
                <w:szCs w:val="22"/>
                <w:lang w:val="en-US"/>
              </w:rPr>
            </w:pPr>
            <w:r w:rsidRPr="006A628F">
              <w:rPr>
                <w:szCs w:val="22"/>
                <w:lang w:val="en-US"/>
              </w:rPr>
              <w:t xml:space="preserve">Maritime radiocommunication </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847" w:type="dxa"/>
          </w:tcPr>
          <w:p w:rsidR="00CA3B52" w:rsidRPr="006A628F" w:rsidRDefault="00CA3B52" w:rsidP="00F65451">
            <w:pPr>
              <w:pStyle w:val="Tabletext"/>
              <w:jc w:val="center"/>
              <w:rPr>
                <w:szCs w:val="22"/>
                <w:lang w:val="en-US"/>
              </w:rPr>
            </w:pPr>
            <w:r w:rsidRPr="006A628F">
              <w:rPr>
                <w:szCs w:val="22"/>
                <w:lang w:val="en-US"/>
              </w:rPr>
              <w:t>0.2</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1184"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r>
      <w:tr w:rsidR="00CA3B52" w:rsidRPr="006A628F" w:rsidTr="000A7119">
        <w:trPr>
          <w:cantSplit/>
          <w:jc w:val="center"/>
        </w:trPr>
        <w:tc>
          <w:tcPr>
            <w:tcW w:w="5067" w:type="dxa"/>
          </w:tcPr>
          <w:p w:rsidR="00CA3B52" w:rsidRPr="006A628F" w:rsidRDefault="00CA3B52" w:rsidP="00F65451">
            <w:pPr>
              <w:pStyle w:val="Tabletext"/>
              <w:jc w:val="left"/>
              <w:rPr>
                <w:szCs w:val="22"/>
                <w:lang w:val="en-US"/>
              </w:rPr>
            </w:pPr>
            <w:r w:rsidRPr="006A628F">
              <w:rPr>
                <w:szCs w:val="22"/>
                <w:lang w:val="en-US"/>
              </w:rPr>
              <w:t>Earth station for FSS</w:t>
            </w:r>
          </w:p>
        </w:tc>
        <w:tc>
          <w:tcPr>
            <w:tcW w:w="847" w:type="dxa"/>
          </w:tcPr>
          <w:p w:rsidR="00CA3B52" w:rsidRPr="006A628F" w:rsidRDefault="00CA3B52" w:rsidP="00F65451">
            <w:pPr>
              <w:pStyle w:val="Tabletext"/>
              <w:jc w:val="center"/>
              <w:rPr>
                <w:szCs w:val="22"/>
                <w:lang w:val="en-US"/>
              </w:rPr>
            </w:pPr>
            <w:r w:rsidRPr="006A628F">
              <w:rPr>
                <w:szCs w:val="22"/>
                <w:lang w:val="en-US"/>
              </w:rPr>
              <w:t>4</w:t>
            </w:r>
          </w:p>
        </w:tc>
        <w:tc>
          <w:tcPr>
            <w:tcW w:w="847" w:type="dxa"/>
          </w:tcPr>
          <w:p w:rsidR="00CA3B52" w:rsidRPr="006A628F" w:rsidRDefault="00CA3B52" w:rsidP="00F65451">
            <w:pPr>
              <w:pStyle w:val="Tabletext"/>
              <w:jc w:val="center"/>
              <w:rPr>
                <w:szCs w:val="22"/>
                <w:lang w:val="en-US"/>
              </w:rPr>
            </w:pPr>
            <w:r w:rsidRPr="006A628F">
              <w:rPr>
                <w:szCs w:val="22"/>
                <w:lang w:val="en-US"/>
              </w:rPr>
              <w:t>0.2</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1184"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0.2</w:t>
            </w:r>
          </w:p>
        </w:tc>
      </w:tr>
      <w:tr w:rsidR="00CA3B52" w:rsidRPr="006A628F" w:rsidTr="000A7119">
        <w:trPr>
          <w:cantSplit/>
          <w:jc w:val="center"/>
        </w:trPr>
        <w:tc>
          <w:tcPr>
            <w:tcW w:w="5067" w:type="dxa"/>
          </w:tcPr>
          <w:p w:rsidR="00CA3B52" w:rsidRPr="006A628F" w:rsidRDefault="00CA3B52" w:rsidP="00F65451">
            <w:pPr>
              <w:pStyle w:val="Tabletext"/>
              <w:jc w:val="left"/>
              <w:rPr>
                <w:szCs w:val="22"/>
                <w:lang w:val="en-US"/>
              </w:rPr>
            </w:pPr>
            <w:r w:rsidRPr="006A628F">
              <w:rPr>
                <w:szCs w:val="22"/>
                <w:lang w:val="en-US"/>
              </w:rPr>
              <w:t>Earth stations for other satellite services including feeder links</w:t>
            </w:r>
          </w:p>
        </w:tc>
        <w:tc>
          <w:tcPr>
            <w:tcW w:w="847" w:type="dxa"/>
          </w:tcPr>
          <w:p w:rsidR="00CA3B52" w:rsidRPr="006A628F" w:rsidRDefault="00CA3B52" w:rsidP="00F65451">
            <w:pPr>
              <w:pStyle w:val="Tabletext"/>
              <w:jc w:val="center"/>
              <w:rPr>
                <w:szCs w:val="22"/>
                <w:lang w:val="en-US"/>
              </w:rPr>
            </w:pPr>
            <w:r w:rsidRPr="006A628F">
              <w:rPr>
                <w:szCs w:val="22"/>
                <w:lang w:val="en-US"/>
              </w:rPr>
              <w:t>1.4</w:t>
            </w:r>
          </w:p>
        </w:tc>
        <w:tc>
          <w:tcPr>
            <w:tcW w:w="847"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1</w:t>
            </w:r>
          </w:p>
        </w:tc>
        <w:tc>
          <w:tcPr>
            <w:tcW w:w="1184" w:type="dxa"/>
          </w:tcPr>
          <w:p w:rsidR="00CA3B52" w:rsidRPr="006A628F" w:rsidRDefault="00CA3B52" w:rsidP="00F65451">
            <w:pPr>
              <w:pStyle w:val="Tabletext"/>
              <w:jc w:val="center"/>
              <w:rPr>
                <w:szCs w:val="22"/>
                <w:lang w:val="en-US"/>
              </w:rPr>
            </w:pPr>
            <w:r w:rsidRPr="006A628F">
              <w:rPr>
                <w:szCs w:val="22"/>
                <w:lang w:val="en-US"/>
              </w:rPr>
              <w:t>0.1</w:t>
            </w:r>
          </w:p>
        </w:tc>
        <w:tc>
          <w:tcPr>
            <w:tcW w:w="847" w:type="dxa"/>
          </w:tcPr>
          <w:p w:rsidR="00CA3B52" w:rsidRPr="006A628F" w:rsidRDefault="00CA3B52" w:rsidP="00F65451">
            <w:pPr>
              <w:pStyle w:val="Tabletext"/>
              <w:jc w:val="center"/>
              <w:rPr>
                <w:szCs w:val="22"/>
                <w:lang w:val="en-US"/>
              </w:rPr>
            </w:pPr>
            <w:r w:rsidRPr="006A628F">
              <w:rPr>
                <w:szCs w:val="22"/>
                <w:lang w:val="en-US"/>
              </w:rPr>
              <w:t>0.2</w:t>
            </w:r>
          </w:p>
        </w:tc>
      </w:tr>
    </w:tbl>
    <w:p w:rsidR="00CA3B52" w:rsidRPr="00CB6CBA" w:rsidRDefault="00CA3B52" w:rsidP="00CA3B52">
      <w:pPr>
        <w:pStyle w:val="Tablefin"/>
        <w:rPr>
          <w:lang w:val="en-US"/>
        </w:rPr>
      </w:pPr>
    </w:p>
    <w:p w:rsidR="00CA3B52" w:rsidRPr="00CB6CBA" w:rsidRDefault="00CA3B52" w:rsidP="00CA3B52">
      <w:pPr>
        <w:rPr>
          <w:lang w:val="en-US"/>
        </w:rPr>
      </w:pPr>
      <w:r w:rsidRPr="00CB6CBA">
        <w:rPr>
          <w:lang w:val="en-US"/>
        </w:rPr>
        <w:t xml:space="preserve">Coefficient </w:t>
      </w:r>
      <w:r>
        <w:rPr>
          <w:rFonts w:asciiTheme="majorBidi" w:hAnsiTheme="majorBidi" w:cstheme="majorBidi"/>
          <w:lang w:val="en-US"/>
        </w:rPr>
        <w:sym w:font="Symbol" w:char="F061"/>
      </w:r>
      <w:r w:rsidRPr="00CB6CBA">
        <w:rPr>
          <w:vertAlign w:val="subscript"/>
          <w:lang w:val="en-US"/>
        </w:rPr>
        <w:t>1</w:t>
      </w:r>
      <w:r w:rsidRPr="00CB6CBA">
        <w:rPr>
          <w:lang w:val="en-US"/>
        </w:rPr>
        <w:t xml:space="preserve"> is basically determined by two factors:</w:t>
      </w:r>
    </w:p>
    <w:p w:rsidR="00CA3B52" w:rsidRPr="00CB6CBA" w:rsidRDefault="00CA3B52" w:rsidP="00CA3B52">
      <w:pPr>
        <w:pStyle w:val="enumlev1"/>
        <w:rPr>
          <w:lang w:val="en-US"/>
        </w:rPr>
      </w:pPr>
      <w:r w:rsidRPr="00CB6CBA">
        <w:rPr>
          <w:lang w:val="en-US"/>
        </w:rPr>
        <w:t>–</w:t>
      </w:r>
      <w:r w:rsidRPr="00CB6CBA">
        <w:rPr>
          <w:lang w:val="en-US"/>
        </w:rPr>
        <w:tab/>
        <w:t>The commercial value of radio services. This factor is linked to the willingness of users and operators to pay for the right to provide services or use the services operated over a specific frequency.</w:t>
      </w:r>
    </w:p>
    <w:p w:rsidR="00CA3B52" w:rsidRPr="00CB6CBA" w:rsidRDefault="00CA3B52" w:rsidP="00CA3B52">
      <w:pPr>
        <w:pStyle w:val="enumlev1"/>
        <w:rPr>
          <w:lang w:val="en-US"/>
        </w:rPr>
      </w:pPr>
      <w:r w:rsidRPr="00CB6CBA">
        <w:rPr>
          <w:lang w:val="en-US"/>
        </w:rPr>
        <w:t>–</w:t>
      </w:r>
      <w:r w:rsidRPr="00CB6CBA">
        <w:rPr>
          <w:lang w:val="en-US"/>
        </w:rPr>
        <w:tab/>
        <w:t>The necessity of using less congested (usually – higher) frequency bands. Some radio services may be moved to higher frequencies as experience is gained or technology changes, thereby decreasing the loading of lower frequency bands. This is the economic lever which should encourage the usage of higher bands.</w:t>
      </w:r>
    </w:p>
    <w:p w:rsidR="00CA3B52" w:rsidRPr="00CB6CBA" w:rsidRDefault="00CA3B52" w:rsidP="00CA3B52">
      <w:pPr>
        <w:rPr>
          <w:lang w:val="en-US"/>
        </w:rPr>
      </w:pPr>
      <w:r w:rsidRPr="00CB6CBA">
        <w:rPr>
          <w:lang w:val="en-US"/>
        </w:rPr>
        <w:t xml:space="preserve">Coefficient </w:t>
      </w:r>
      <w:r>
        <w:rPr>
          <w:rFonts w:asciiTheme="majorBidi" w:hAnsiTheme="majorBidi" w:cstheme="majorBidi"/>
          <w:lang w:val="en-US"/>
        </w:rPr>
        <w:sym w:font="Symbol" w:char="F061"/>
      </w:r>
      <w:r w:rsidRPr="00CB6CBA">
        <w:rPr>
          <w:vertAlign w:val="subscript"/>
          <w:lang w:val="en-US"/>
        </w:rPr>
        <w:t>2</w:t>
      </w:r>
      <w:r w:rsidRPr="00CB6CBA">
        <w:rPr>
          <w:lang w:val="en-US"/>
        </w:rPr>
        <w:t xml:space="preserve"> takes into account a social factor. For those radio services, whose existence is vital for all groups of the population, including the most needy, this coefficient has a low value reflecting a truly social value or obligation on behalf of the administration.</w:t>
      </w:r>
    </w:p>
    <w:p w:rsidR="00CA3B52" w:rsidRPr="00CB6CBA" w:rsidRDefault="00CA3B52" w:rsidP="00CA3B52">
      <w:pPr>
        <w:rPr>
          <w:lang w:val="en-US"/>
        </w:rPr>
      </w:pPr>
      <w:r w:rsidRPr="00CB6CBA">
        <w:rPr>
          <w:lang w:val="en-US"/>
        </w:rPr>
        <w:t xml:space="preserve">For example, for stations above 1 GHz, through which long-distance communications are provided, as well as for television broadcasting, the coefficient </w:t>
      </w:r>
      <w:r>
        <w:rPr>
          <w:rFonts w:asciiTheme="majorBidi" w:hAnsiTheme="majorBidi" w:cstheme="majorBidi"/>
          <w:lang w:val="en-US"/>
        </w:rPr>
        <w:sym w:font="Symbol" w:char="F061"/>
      </w:r>
      <w:r w:rsidRPr="00CB6CBA">
        <w:rPr>
          <w:vertAlign w:val="subscript"/>
          <w:lang w:val="en-US"/>
        </w:rPr>
        <w:t>2</w:t>
      </w:r>
      <w:r w:rsidRPr="00CB6CBA">
        <w:rPr>
          <w:position w:val="-4"/>
          <w:lang w:val="en-US"/>
        </w:rPr>
        <w:t xml:space="preserve"> </w:t>
      </w:r>
      <w:r w:rsidRPr="00CB6CBA">
        <w:rPr>
          <w:lang w:val="en-US"/>
        </w:rPr>
        <w:t xml:space="preserve">has a low value and for cellular communication, coefficient </w:t>
      </w:r>
      <w:r>
        <w:rPr>
          <w:rFonts w:asciiTheme="majorBidi" w:hAnsiTheme="majorBidi" w:cstheme="majorBidi"/>
          <w:lang w:val="en-US"/>
        </w:rPr>
        <w:sym w:font="Symbol" w:char="F061"/>
      </w:r>
      <w:r w:rsidRPr="00CB6CBA">
        <w:rPr>
          <w:vertAlign w:val="subscript"/>
          <w:lang w:val="en-US"/>
        </w:rPr>
        <w:t>2</w:t>
      </w:r>
      <w:r w:rsidRPr="00CB6CBA">
        <w:rPr>
          <w:lang w:val="en-US"/>
        </w:rPr>
        <w:t xml:space="preserve"> has a higher value.</w:t>
      </w:r>
    </w:p>
    <w:p w:rsidR="00CA3B52" w:rsidRPr="00CB6CBA" w:rsidRDefault="00CA3B52" w:rsidP="00CA3B52">
      <w:pPr>
        <w:rPr>
          <w:lang w:val="en-US"/>
        </w:rPr>
      </w:pPr>
      <w:r w:rsidRPr="00CB6CBA">
        <w:rPr>
          <w:lang w:val="en-US"/>
        </w:rPr>
        <w:t xml:space="preserve">Coefficient </w:t>
      </w:r>
      <w:r>
        <w:rPr>
          <w:rFonts w:asciiTheme="majorBidi" w:hAnsiTheme="majorBidi" w:cstheme="majorBidi"/>
          <w:lang w:val="en-US"/>
        </w:rPr>
        <w:sym w:font="Symbol" w:char="F061"/>
      </w:r>
      <w:r w:rsidRPr="00CB6CBA">
        <w:rPr>
          <w:vertAlign w:val="subscript"/>
          <w:lang w:val="en-US"/>
        </w:rPr>
        <w:t>3</w:t>
      </w:r>
      <w:r w:rsidRPr="00CB6CBA">
        <w:rPr>
          <w:lang w:val="en-US"/>
        </w:rPr>
        <w:t xml:space="preserve"> takes into account features of site location in urban and village conditions. In village conditions, where the density of the population is low and the level of the incomes is also low, the commercial value of communication services will also be low, at the same time technological costs for providing these services will also be high. Therefore with the purpose of support of the telecommunication operators and services as well as for encouraging development of radio communication services this can be a lower coefficient </w:t>
      </w:r>
      <w:r>
        <w:rPr>
          <w:rFonts w:asciiTheme="majorBidi" w:hAnsiTheme="majorBidi" w:cstheme="majorBidi"/>
          <w:lang w:val="en-US"/>
        </w:rPr>
        <w:sym w:font="Symbol" w:char="F061"/>
      </w:r>
      <w:r w:rsidRPr="00CB6CBA">
        <w:rPr>
          <w:vertAlign w:val="subscript"/>
          <w:lang w:val="en-US"/>
        </w:rPr>
        <w:t>3</w:t>
      </w:r>
      <w:r w:rsidRPr="00CB6CBA">
        <w:rPr>
          <w:lang w:val="en-US"/>
        </w:rPr>
        <w:t>, while in urban districts it may be considerably higher.</w:t>
      </w:r>
    </w:p>
    <w:p w:rsidR="00CA3B52" w:rsidRPr="00CB6CBA" w:rsidRDefault="00CA3B52" w:rsidP="00CA3B52">
      <w:pPr>
        <w:rPr>
          <w:lang w:val="en-US"/>
        </w:rPr>
      </w:pPr>
      <w:r w:rsidRPr="00CB6CBA">
        <w:rPr>
          <w:lang w:val="en-US"/>
        </w:rPr>
        <w:t>Coefficient</w:t>
      </w:r>
      <w:r w:rsidRPr="006A628F">
        <w:rPr>
          <w:rFonts w:asciiTheme="majorBidi" w:hAnsiTheme="majorBidi" w:cstheme="majorBidi"/>
          <w:lang w:val="en-US"/>
        </w:rPr>
        <w:t xml:space="preserve"> </w:t>
      </w:r>
      <w:r>
        <w:rPr>
          <w:rFonts w:asciiTheme="majorBidi" w:hAnsiTheme="majorBidi" w:cstheme="majorBidi"/>
          <w:lang w:val="en-US"/>
        </w:rPr>
        <w:sym w:font="Symbol" w:char="F061"/>
      </w:r>
      <w:r w:rsidRPr="00CB6CBA">
        <w:rPr>
          <w:vertAlign w:val="subscript"/>
          <w:lang w:val="en-US"/>
        </w:rPr>
        <w:t>4</w:t>
      </w:r>
      <w:r w:rsidRPr="00CB6CBA">
        <w:rPr>
          <w:lang w:val="en-US"/>
        </w:rPr>
        <w:t xml:space="preserve"> is determined by the complexity of spectrum management functions performed. This coefficient is usually the highest for mobile services. It is here that it is required to carry out the function of radio determination of mobile objects. Likewise for television broadcasting, it is required to determine with a high degree of accuracy a number of relevant parameters.</w:t>
      </w:r>
    </w:p>
    <w:p w:rsidR="00CA3B52" w:rsidRDefault="00CA3B52" w:rsidP="00CA3B52">
      <w:pPr>
        <w:rPr>
          <w:lang w:val="en-US"/>
        </w:rPr>
      </w:pPr>
      <w:r w:rsidRPr="00CB6CBA">
        <w:rPr>
          <w:lang w:val="en-US"/>
        </w:rPr>
        <w:t>Another weighting coefficient in equation (</w:t>
      </w:r>
      <w:r>
        <w:rPr>
          <w:lang w:val="en-US"/>
        </w:rPr>
        <w:t>20</w:t>
      </w:r>
      <w:r w:rsidRPr="00CB6CBA">
        <w:rPr>
          <w:lang w:val="en-US"/>
        </w:rPr>
        <w:t xml:space="preserve">) is </w:t>
      </w:r>
      <w:r w:rsidRPr="006A628F">
        <w:rPr>
          <w:rFonts w:asciiTheme="majorBidi" w:hAnsiTheme="majorBidi" w:cstheme="majorBidi"/>
          <w:lang w:val="en-US"/>
        </w:rPr>
        <w:sym w:font="Symbol" w:char="F062"/>
      </w:r>
      <w:r w:rsidRPr="00CB6CBA">
        <w:rPr>
          <w:i/>
          <w:iCs/>
          <w:vertAlign w:val="subscript"/>
          <w:lang w:val="en-US"/>
        </w:rPr>
        <w:t>i</w:t>
      </w:r>
      <w:r w:rsidRPr="00CB6CBA">
        <w:rPr>
          <w:lang w:val="en-US"/>
        </w:rPr>
        <w:t xml:space="preserve">. This coefficient determines exclusiveness of the frequency assignment. If the given site of the spectrum is used on an exclusive basis, then </w:t>
      </w:r>
      <w:r>
        <w:rPr>
          <w:rFonts w:asciiTheme="majorBidi" w:hAnsiTheme="majorBidi" w:cstheme="majorBidi"/>
          <w:lang w:val="en-US"/>
        </w:rPr>
        <w:sym w:font="Symbol" w:char="F062"/>
      </w:r>
      <w:r w:rsidRPr="00CB6CBA">
        <w:rPr>
          <w:i/>
          <w:iCs/>
          <w:vertAlign w:val="subscript"/>
          <w:lang w:val="en-US"/>
        </w:rPr>
        <w:t>i</w:t>
      </w:r>
      <w:r w:rsidRPr="00CB6CBA">
        <w:rPr>
          <w:lang w:val="en-US"/>
        </w:rPr>
        <w:t> </w:t>
      </w:r>
      <w:r w:rsidRPr="00CB6CBA">
        <w:rPr>
          <w:rFonts w:ascii="Symbol" w:hAnsi="Symbol"/>
          <w:lang w:val="en-US"/>
        </w:rPr>
        <w:t></w:t>
      </w:r>
      <w:r w:rsidRPr="00CB6CBA">
        <w:rPr>
          <w:lang w:val="en-US"/>
        </w:rPr>
        <w:t xml:space="preserve"> 1. With sharing </w:t>
      </w:r>
      <w:r>
        <w:rPr>
          <w:rFonts w:asciiTheme="majorBidi" w:hAnsiTheme="majorBidi" w:cstheme="majorBidi"/>
          <w:lang w:val="en-US"/>
        </w:rPr>
        <w:sym w:font="Symbol" w:char="F062"/>
      </w:r>
      <w:r w:rsidRPr="00CB6CBA">
        <w:rPr>
          <w:i/>
          <w:iCs/>
          <w:vertAlign w:val="subscript"/>
          <w:lang w:val="en-US"/>
        </w:rPr>
        <w:t>i</w:t>
      </w:r>
      <w:r w:rsidRPr="00CB6CBA">
        <w:rPr>
          <w:lang w:val="en-US"/>
        </w:rPr>
        <w:t xml:space="preserve"> varies within the limits from 0 up to 1 depending on conditions of sharing. Sharing may be on the basis of territorial separation that can result in reducing actual service area etc.</w:t>
      </w:r>
    </w:p>
    <w:p w:rsidR="00CA3B52" w:rsidRPr="00CB6CBA" w:rsidRDefault="00CA3B52" w:rsidP="00CA3B52">
      <w:pPr>
        <w:pStyle w:val="Heading3"/>
        <w:rPr>
          <w:rFonts w:eastAsia="SimSun"/>
          <w:lang w:val="en-US" w:eastAsia="zh-CN"/>
        </w:rPr>
      </w:pPr>
      <w:bookmarkStart w:id="1379" w:name="_Toc289868839"/>
      <w:bookmarkStart w:id="1380" w:name="_Toc289868999"/>
      <w:bookmarkStart w:id="1381" w:name="_Toc289932307"/>
      <w:bookmarkStart w:id="1382" w:name="_Toc289933353"/>
      <w:bookmarkStart w:id="1383" w:name="_Toc291852916"/>
      <w:bookmarkStart w:id="1384" w:name="_Toc392515902"/>
      <w:r w:rsidRPr="00CB6CBA">
        <w:rPr>
          <w:rFonts w:eastAsia="SimSun"/>
          <w:lang w:val="en-US" w:eastAsia="zh-CN"/>
        </w:rPr>
        <w:t>4.6.10</w:t>
      </w:r>
      <w:r w:rsidRPr="00CB6CBA">
        <w:rPr>
          <w:rFonts w:eastAsia="SimSun"/>
          <w:lang w:val="en-US" w:eastAsia="zh-CN"/>
        </w:rPr>
        <w:tab/>
        <w:t>Determination of the whole value of the used spectral resource</w:t>
      </w:r>
      <w:bookmarkEnd w:id="1379"/>
      <w:bookmarkEnd w:id="1380"/>
      <w:bookmarkEnd w:id="1381"/>
      <w:bookmarkEnd w:id="1382"/>
      <w:bookmarkEnd w:id="1383"/>
      <w:bookmarkEnd w:id="1384"/>
    </w:p>
    <w:p w:rsidR="00CA3B52" w:rsidRDefault="00CA3B52" w:rsidP="00CA3B52">
      <w:pPr>
        <w:rPr>
          <w:lang w:val="en-US"/>
        </w:rPr>
      </w:pPr>
      <w:r w:rsidRPr="00CB6CBA">
        <w:rPr>
          <w:lang w:val="en-US"/>
        </w:rPr>
        <w:t xml:space="preserve">Thus, with the help of weighting coefficients </w:t>
      </w:r>
      <w:r w:rsidRPr="00CB6CBA">
        <w:rPr>
          <w:i/>
          <w:iCs/>
          <w:lang w:val="en-US"/>
        </w:rPr>
        <w:t>b</w:t>
      </w:r>
      <w:r w:rsidRPr="00CB6CBA">
        <w:rPr>
          <w:i/>
          <w:iCs/>
          <w:vertAlign w:val="subscript"/>
          <w:lang w:val="en-US"/>
        </w:rPr>
        <w:t>j</w:t>
      </w:r>
      <w:r w:rsidRPr="00CB6CBA">
        <w:rPr>
          <w:lang w:val="en-US"/>
        </w:rPr>
        <w:t xml:space="preserve">, </w:t>
      </w:r>
      <w:r>
        <w:rPr>
          <w:rFonts w:asciiTheme="majorBidi" w:hAnsiTheme="majorBidi" w:cstheme="majorBidi"/>
          <w:lang w:val="en-US"/>
        </w:rPr>
        <w:sym w:font="Symbol" w:char="F061"/>
      </w:r>
      <w:r w:rsidRPr="00CB6CBA">
        <w:rPr>
          <w:i/>
          <w:iCs/>
          <w:vertAlign w:val="subscript"/>
          <w:lang w:val="en-US"/>
        </w:rPr>
        <w:t>i</w:t>
      </w:r>
      <w:r w:rsidRPr="00CB6CBA">
        <w:rPr>
          <w:lang w:val="en-US"/>
        </w:rPr>
        <w:t xml:space="preserve"> and </w:t>
      </w:r>
      <w:r>
        <w:rPr>
          <w:rFonts w:asciiTheme="majorBidi" w:hAnsiTheme="majorBidi" w:cstheme="majorBidi"/>
          <w:lang w:val="en-US"/>
        </w:rPr>
        <w:sym w:font="Symbol" w:char="F062"/>
      </w:r>
      <w:r w:rsidRPr="00CB6CBA">
        <w:rPr>
          <w:i/>
          <w:iCs/>
          <w:vertAlign w:val="subscript"/>
          <w:lang w:val="en-US"/>
        </w:rPr>
        <w:t>i</w:t>
      </w:r>
      <w:r w:rsidRPr="00CB6CBA">
        <w:rPr>
          <w:lang w:val="en-US"/>
        </w:rPr>
        <w:t>, in accordance with equation (</w:t>
      </w:r>
      <w:r>
        <w:rPr>
          <w:lang w:val="en-US"/>
        </w:rPr>
        <w:t>20</w:t>
      </w:r>
      <w:r w:rsidRPr="00CB6CBA">
        <w:rPr>
          <w:lang w:val="en-US"/>
        </w:rPr>
        <w:t xml:space="preserve">), it is possible to determine (in view of the various factors) spectral resource </w:t>
      </w:r>
      <w:r w:rsidRPr="00CB6CBA">
        <w:rPr>
          <w:i/>
          <w:lang w:val="en-US"/>
        </w:rPr>
        <w:t>W</w:t>
      </w:r>
      <w:r w:rsidRPr="00CB6CBA">
        <w:rPr>
          <w:i/>
          <w:vertAlign w:val="subscript"/>
          <w:lang w:val="en-US"/>
        </w:rPr>
        <w:t>i</w:t>
      </w:r>
      <w:r w:rsidRPr="00CB6CBA">
        <w:rPr>
          <w:lang w:val="en-US"/>
        </w:rPr>
        <w:t xml:space="preserve"> actually used for each frequency assignment. Then it is possible to determine the whole value of spectral resource </w:t>
      </w:r>
      <w:r w:rsidRPr="00CB6CBA">
        <w:rPr>
          <w:i/>
          <w:lang w:val="en-US"/>
        </w:rPr>
        <w:t>W</w:t>
      </w:r>
      <w:r w:rsidRPr="00CB6CBA">
        <w:rPr>
          <w:lang w:val="en-US"/>
        </w:rPr>
        <w:t xml:space="preserve"> used in the country, according to the equation:</w:t>
      </w:r>
    </w:p>
    <w:p w:rsidR="00CA3B52" w:rsidRDefault="00CA3B52" w:rsidP="00CA3B52">
      <w:pPr>
        <w:pStyle w:val="Equation"/>
        <w:rPr>
          <w:lang w:val="en-US"/>
        </w:rPr>
      </w:pPr>
      <w:r w:rsidRPr="00CB6CBA">
        <w:rPr>
          <w:i/>
          <w:lang w:val="en-US"/>
        </w:rPr>
        <w:lastRenderedPageBreak/>
        <w:tab/>
      </w:r>
      <w:r w:rsidRPr="00CB6CBA">
        <w:rPr>
          <w:i/>
          <w:lang w:val="en-US"/>
        </w:rPr>
        <w:tab/>
      </w:r>
      <w:r w:rsidRPr="00FB1C90">
        <w:rPr>
          <w:i/>
          <w:position w:val="-36"/>
          <w:lang w:val="en-US"/>
        </w:rPr>
        <w:object w:dxaOrig="1100" w:dyaOrig="800">
          <v:shape id="_x0000_i1031" type="#_x0000_t75" style="width:54.25pt;height:39.25pt" o:ole="" fillcolor="window">
            <v:imagedata r:id="rId34" o:title=""/>
          </v:shape>
          <o:OLEObject Type="Embed" ProgID="Equation.3" ShapeID="_x0000_i1031" DrawAspect="Content" ObjectID="_1511604820" r:id="rId35"/>
        </w:object>
      </w:r>
      <w:r w:rsidRPr="00CB6CBA">
        <w:rPr>
          <w:i/>
          <w:position w:val="-30"/>
          <w:lang w:val="en-US"/>
        </w:rPr>
        <w:t> </w:t>
      </w:r>
      <w:r>
        <w:rPr>
          <w:lang w:val="en-US"/>
        </w:rPr>
        <w:t>                 </w:t>
      </w:r>
      <w:r w:rsidRPr="00CB6CBA">
        <w:rPr>
          <w:lang w:val="en-US"/>
        </w:rPr>
        <w:t xml:space="preserve">(MHz </w:t>
      </w:r>
      <w:r w:rsidRPr="00CB6CBA">
        <w:rPr>
          <w:szCs w:val="24"/>
          <w:lang w:val="en-US"/>
        </w:rPr>
        <w:sym w:font="Symbol" w:char="F0D7"/>
      </w:r>
      <w:r w:rsidRPr="00CB6CBA">
        <w:rPr>
          <w:lang w:val="en-US"/>
        </w:rPr>
        <w:t xml:space="preserve"> km</w:t>
      </w:r>
      <w:r w:rsidRPr="00CB6CBA">
        <w:rPr>
          <w:vertAlign w:val="superscript"/>
          <w:lang w:val="en-US"/>
        </w:rPr>
        <w:t>2</w:t>
      </w:r>
      <w:r w:rsidRPr="00CB6CBA">
        <w:rPr>
          <w:lang w:val="en-US"/>
        </w:rPr>
        <w:t xml:space="preserve"> </w:t>
      </w:r>
      <w:r w:rsidRPr="00CB6CBA">
        <w:rPr>
          <w:szCs w:val="24"/>
          <w:lang w:val="en-US"/>
        </w:rPr>
        <w:sym w:font="Symbol" w:char="F0D7"/>
      </w:r>
      <w:r w:rsidRPr="00CB6CBA">
        <w:rPr>
          <w:lang w:val="en-US"/>
        </w:rPr>
        <w:t xml:space="preserve"> 1 year)</w:t>
      </w:r>
      <w:r w:rsidRPr="00CB6CBA">
        <w:rPr>
          <w:lang w:val="en-US"/>
        </w:rPr>
        <w:tab/>
        <w:t>(</w:t>
      </w:r>
      <w:r>
        <w:rPr>
          <w:lang w:val="en-US"/>
        </w:rPr>
        <w:t>26</w:t>
      </w:r>
      <w:r w:rsidRPr="00CB6CBA">
        <w:rPr>
          <w:lang w:val="en-US"/>
        </w:rPr>
        <w:t>)</w:t>
      </w:r>
    </w:p>
    <w:p w:rsidR="00CA3B52" w:rsidRPr="00CB6CBA" w:rsidRDefault="00CA3B52" w:rsidP="00CA3B52">
      <w:pPr>
        <w:rPr>
          <w:rFonts w:eastAsia="SimSun"/>
          <w:lang w:val="en-US" w:eastAsia="zh-CN"/>
        </w:rPr>
      </w:pPr>
      <w:r w:rsidRPr="00CB6CBA">
        <w:rPr>
          <w:rFonts w:eastAsia="SimSun"/>
          <w:lang w:val="en-US" w:eastAsia="zh-CN"/>
        </w:rPr>
        <w:t>where:</w:t>
      </w:r>
    </w:p>
    <w:p w:rsidR="00CA3B52" w:rsidRPr="00CB6CBA" w:rsidRDefault="00CA3B52" w:rsidP="00CA3B52">
      <w:pPr>
        <w:pStyle w:val="Equationlegend"/>
      </w:pPr>
      <w:r w:rsidRPr="00CB6CBA">
        <w:rPr>
          <w:i/>
        </w:rPr>
        <w:tab/>
        <w:t>W</w:t>
      </w:r>
      <w:r w:rsidRPr="00CB6CBA">
        <w:rPr>
          <w:i/>
          <w:vertAlign w:val="subscript"/>
        </w:rPr>
        <w:t>i</w:t>
      </w:r>
      <w:r>
        <w:rPr>
          <w:i/>
          <w:vertAlign w:val="subscript"/>
        </w:rPr>
        <w:t xml:space="preserve"> </w:t>
      </w:r>
      <w:r w:rsidRPr="00CB6CBA">
        <w:t>:</w:t>
      </w:r>
      <w:r w:rsidRPr="00CB6CBA">
        <w:tab/>
        <w:t xml:space="preserve">spectral resource used by </w:t>
      </w:r>
      <w:r w:rsidRPr="00CB6CBA">
        <w:rPr>
          <w:i/>
        </w:rPr>
        <w:t>i</w:t>
      </w:r>
      <w:r w:rsidRPr="00CB6CBA">
        <w:t>-th frequency assignment</w:t>
      </w:r>
    </w:p>
    <w:p w:rsidR="00CA3B52" w:rsidRPr="00CB6CBA" w:rsidRDefault="00CA3B52" w:rsidP="00CA3B52">
      <w:pPr>
        <w:pStyle w:val="Equationlegend"/>
      </w:pPr>
      <w:r w:rsidRPr="00CB6CBA">
        <w:rPr>
          <w:i/>
          <w:iCs/>
        </w:rPr>
        <w:tab/>
        <w:t>n</w:t>
      </w:r>
      <w:r>
        <w:rPr>
          <w:i/>
          <w:iCs/>
        </w:rPr>
        <w:t xml:space="preserve"> </w:t>
      </w:r>
      <w:r w:rsidRPr="00CB6CBA">
        <w:t>:</w:t>
      </w:r>
      <w:r w:rsidRPr="00CB6CBA">
        <w:tab/>
        <w:t>overall number of frequency assignments registered in the national Spectrum Management Database.</w:t>
      </w:r>
    </w:p>
    <w:p w:rsidR="00CA3B52" w:rsidRPr="00CB6CBA" w:rsidRDefault="00CA3B52" w:rsidP="00CA3B52">
      <w:pPr>
        <w:pStyle w:val="Heading3"/>
        <w:rPr>
          <w:rFonts w:eastAsia="SimSun"/>
          <w:lang w:val="en-US" w:eastAsia="zh-CN"/>
        </w:rPr>
      </w:pPr>
      <w:bookmarkStart w:id="1385" w:name="_Toc289868840"/>
      <w:bookmarkStart w:id="1386" w:name="_Toc289869000"/>
      <w:bookmarkStart w:id="1387" w:name="_Toc289932308"/>
      <w:bookmarkStart w:id="1388" w:name="_Toc289933354"/>
      <w:bookmarkStart w:id="1389" w:name="_Toc291852917"/>
      <w:bookmarkStart w:id="1390" w:name="_Toc392515903"/>
      <w:r w:rsidRPr="00CB6CBA">
        <w:rPr>
          <w:rFonts w:eastAsia="SimSun"/>
          <w:lang w:val="en-US" w:eastAsia="zh-CN"/>
        </w:rPr>
        <w:t>4.6.11</w:t>
      </w:r>
      <w:r w:rsidRPr="00CB6CBA">
        <w:rPr>
          <w:rFonts w:eastAsia="SimSun"/>
          <w:lang w:val="en-US" w:eastAsia="zh-CN"/>
        </w:rPr>
        <w:tab/>
        <w:t>Price for the qualified unit of the used spectral resource</w:t>
      </w:r>
      <w:bookmarkEnd w:id="1385"/>
      <w:bookmarkEnd w:id="1386"/>
      <w:bookmarkEnd w:id="1387"/>
      <w:bookmarkEnd w:id="1388"/>
      <w:bookmarkEnd w:id="1389"/>
      <w:bookmarkEnd w:id="1390"/>
    </w:p>
    <w:p w:rsidR="00CA3B52" w:rsidRDefault="00CA3B52" w:rsidP="00CA3B52">
      <w:pPr>
        <w:rPr>
          <w:lang w:val="en-US"/>
        </w:rPr>
      </w:pPr>
      <w:r w:rsidRPr="00CB6CBA">
        <w:rPr>
          <w:lang w:val="en-US"/>
        </w:rPr>
        <w:t>On the basis of the equations (</w:t>
      </w:r>
      <w:r>
        <w:rPr>
          <w:lang w:val="en-US"/>
        </w:rPr>
        <w:t>17</w:t>
      </w:r>
      <w:r w:rsidRPr="00CB6CBA">
        <w:rPr>
          <w:lang w:val="en-US"/>
        </w:rPr>
        <w:t>)-(</w:t>
      </w:r>
      <w:r>
        <w:rPr>
          <w:lang w:val="en-US"/>
        </w:rPr>
        <w:t>19</w:t>
      </w:r>
      <w:r w:rsidRPr="00CB6CBA">
        <w:rPr>
          <w:lang w:val="en-US"/>
        </w:rPr>
        <w:t>) the total amount of annual payment can be determined which should be received from all users of all or part of the spectral resource. This could be done for all users combined or for individual services such as mobile cellular or broadcasting. On the basis of the equations (</w:t>
      </w:r>
      <w:r>
        <w:rPr>
          <w:lang w:val="en-US"/>
        </w:rPr>
        <w:t>20</w:t>
      </w:r>
      <w:r w:rsidRPr="00CB6CBA">
        <w:rPr>
          <w:lang w:val="en-US"/>
        </w:rPr>
        <w:t>)-(</w:t>
      </w:r>
      <w:r>
        <w:rPr>
          <w:lang w:val="en-US"/>
        </w:rPr>
        <w:t>26</w:t>
      </w:r>
      <w:r w:rsidRPr="00CB6CBA">
        <w:rPr>
          <w:lang w:val="en-US"/>
        </w:rPr>
        <w:t>) the whole value of the annually used spectral resource in the country can be determined.</w:t>
      </w:r>
    </w:p>
    <w:p w:rsidR="00CA3B52" w:rsidRPr="00CB6CBA" w:rsidRDefault="00CA3B52" w:rsidP="00CA3B52">
      <w:pPr>
        <w:rPr>
          <w:lang w:val="en-US"/>
        </w:rPr>
      </w:pPr>
      <w:r w:rsidRPr="00CB6CBA">
        <w:rPr>
          <w:lang w:val="en-US"/>
        </w:rPr>
        <w:t xml:space="preserve">Then it is possible to determine the price of </w:t>
      </w:r>
      <w:r>
        <w:rPr>
          <w:rFonts w:asciiTheme="majorBidi" w:hAnsiTheme="majorBidi" w:cstheme="majorBidi"/>
          <w:lang w:val="en-US"/>
        </w:rPr>
        <w:sym w:font="Symbol" w:char="F044"/>
      </w:r>
      <w:r w:rsidRPr="00CB6CBA">
        <w:rPr>
          <w:rFonts w:ascii="Tms Rmn" w:hAnsi="Tms Rmn"/>
          <w:sz w:val="6"/>
          <w:lang w:val="en-US"/>
        </w:rPr>
        <w:t> </w:t>
      </w:r>
      <w:r w:rsidRPr="00CB6CBA">
        <w:rPr>
          <w:i/>
          <w:iCs/>
          <w:lang w:val="en-US"/>
        </w:rPr>
        <w:t>C</w:t>
      </w:r>
      <w:r w:rsidRPr="00CB6CBA">
        <w:rPr>
          <w:i/>
          <w:iCs/>
          <w:vertAlign w:val="subscript"/>
          <w:lang w:val="en-US"/>
        </w:rPr>
        <w:t>an</w:t>
      </w:r>
      <w:r w:rsidRPr="00CB6CBA">
        <w:rPr>
          <w:lang w:val="en-US"/>
        </w:rPr>
        <w:t xml:space="preserve"> for a qualified unit of the spectral resource:</w:t>
      </w:r>
    </w:p>
    <w:p w:rsidR="00CA3B52" w:rsidRDefault="00CA3B52" w:rsidP="00CA3B52">
      <w:pPr>
        <w:pStyle w:val="Blanc"/>
      </w:pPr>
    </w:p>
    <w:p w:rsidR="00CA3B52" w:rsidRDefault="00CA3B52" w:rsidP="00F65451">
      <w:pPr>
        <w:pStyle w:val="Equation"/>
        <w:rPr>
          <w:lang w:val="en-US"/>
        </w:rPr>
      </w:pPr>
      <w:r w:rsidRPr="00CB6CBA">
        <w:rPr>
          <w:lang w:val="en-US"/>
        </w:rPr>
        <w:tab/>
      </w:r>
      <w:r w:rsidRPr="00CB6CBA">
        <w:rPr>
          <w:rFonts w:ascii="Symbol" w:hAnsi="Symbol"/>
          <w:lang w:val="en-US"/>
        </w:rPr>
        <w:tab/>
      </w:r>
      <w:r w:rsidRPr="00CB6CBA">
        <w:rPr>
          <w:position w:val="-12"/>
          <w:lang w:val="en-US"/>
        </w:rPr>
        <w:object w:dxaOrig="1840" w:dyaOrig="360">
          <v:shape id="_x0000_i1032" type="#_x0000_t75" style="width:89.75pt;height:19.15pt" o:ole="">
            <v:imagedata r:id="rId36" o:title=""/>
          </v:shape>
          <o:OLEObject Type="Embed" ProgID="Equation.3" ShapeID="_x0000_i1032" DrawAspect="Content" ObjectID="_1511604821" r:id="rId37"/>
        </w:object>
      </w:r>
      <w:r>
        <w:rPr>
          <w:lang w:val="en-US"/>
        </w:rPr>
        <w:t>        </w:t>
      </w:r>
      <w:r w:rsidRPr="00CB6CBA">
        <w:rPr>
          <w:lang w:val="en-US"/>
        </w:rPr>
        <w:t xml:space="preserve">units of a national currency/(MHz </w:t>
      </w:r>
      <w:r w:rsidRPr="00CB6CBA">
        <w:rPr>
          <w:szCs w:val="24"/>
          <w:lang w:val="en-US"/>
        </w:rPr>
        <w:sym w:font="Symbol" w:char="F0D7"/>
      </w:r>
      <w:r w:rsidRPr="00CB6CBA">
        <w:rPr>
          <w:lang w:val="en-US"/>
        </w:rPr>
        <w:t xml:space="preserve"> km</w:t>
      </w:r>
      <w:r w:rsidRPr="00CB6CBA">
        <w:rPr>
          <w:vertAlign w:val="superscript"/>
          <w:lang w:val="en-US"/>
        </w:rPr>
        <w:t>2</w:t>
      </w:r>
      <w:r w:rsidRPr="00CB6CBA">
        <w:rPr>
          <w:lang w:val="en-US"/>
        </w:rPr>
        <w:t xml:space="preserve"> </w:t>
      </w:r>
      <w:r w:rsidRPr="00CB6CBA">
        <w:rPr>
          <w:szCs w:val="24"/>
          <w:lang w:val="en-US"/>
        </w:rPr>
        <w:sym w:font="Symbol" w:char="F0D7"/>
      </w:r>
      <w:r w:rsidRPr="00CB6CBA">
        <w:rPr>
          <w:lang w:val="en-US"/>
        </w:rPr>
        <w:t xml:space="preserve"> 1 year)</w:t>
      </w:r>
      <w:r w:rsidRPr="00CB6CBA">
        <w:rPr>
          <w:lang w:val="en-US"/>
        </w:rPr>
        <w:tab/>
        <w:t>(</w:t>
      </w:r>
      <w:r>
        <w:rPr>
          <w:lang w:val="en-US"/>
        </w:rPr>
        <w:t>27</w:t>
      </w:r>
      <w:r w:rsidRPr="00CB6CBA">
        <w:rPr>
          <w:lang w:val="en-US"/>
        </w:rPr>
        <w:t>)</w:t>
      </w:r>
    </w:p>
    <w:p w:rsidR="00CA3B52" w:rsidRPr="00CB6CBA" w:rsidRDefault="00CA3B52" w:rsidP="00CA3B52">
      <w:pPr>
        <w:rPr>
          <w:lang w:val="en-US"/>
        </w:rPr>
      </w:pPr>
      <w:r w:rsidRPr="00CB6CBA">
        <w:rPr>
          <w:lang w:val="en-US"/>
        </w:rPr>
        <w:t>where:</w:t>
      </w:r>
    </w:p>
    <w:p w:rsidR="00CA3B52" w:rsidRPr="00CB6CBA" w:rsidRDefault="00CA3B52" w:rsidP="00CA3B52">
      <w:pPr>
        <w:pStyle w:val="Equationlegend"/>
      </w:pPr>
      <w:r w:rsidRPr="00CB6CBA">
        <w:rPr>
          <w:i/>
        </w:rPr>
        <w:tab/>
        <w:t>L</w:t>
      </w:r>
      <w:r w:rsidRPr="00CB6CBA">
        <w:t>:</w:t>
      </w:r>
      <w:r w:rsidRPr="00CB6CBA">
        <w:tab/>
        <w:t>adjustment factor which takes into account possible changes in prices/costs in the country for the next fiscal year.</w:t>
      </w:r>
    </w:p>
    <w:p w:rsidR="00CA3B52" w:rsidRPr="00CB6CBA" w:rsidRDefault="00CA3B52" w:rsidP="00CA3B52">
      <w:pPr>
        <w:pStyle w:val="Heading3"/>
        <w:rPr>
          <w:rFonts w:eastAsia="SimSun"/>
          <w:lang w:val="en-US" w:eastAsia="zh-CN"/>
        </w:rPr>
      </w:pPr>
      <w:bookmarkStart w:id="1391" w:name="_Toc289868841"/>
      <w:bookmarkStart w:id="1392" w:name="_Toc289869001"/>
      <w:bookmarkStart w:id="1393" w:name="_Toc289932309"/>
      <w:bookmarkStart w:id="1394" w:name="_Toc289933355"/>
      <w:bookmarkStart w:id="1395" w:name="_Toc291852918"/>
      <w:bookmarkStart w:id="1396" w:name="_Toc392515904"/>
      <w:r w:rsidRPr="00CB6CBA">
        <w:rPr>
          <w:rFonts w:eastAsia="SimSun"/>
          <w:lang w:val="en-US" w:eastAsia="zh-CN"/>
        </w:rPr>
        <w:t>4.6.12</w:t>
      </w:r>
      <w:r w:rsidRPr="00CB6CBA">
        <w:rPr>
          <w:rFonts w:eastAsia="SimSun"/>
          <w:lang w:val="en-US" w:eastAsia="zh-CN"/>
        </w:rPr>
        <w:tab/>
        <w:t>Annual fees for particular frequency assignment</w:t>
      </w:r>
      <w:bookmarkEnd w:id="1391"/>
      <w:bookmarkEnd w:id="1392"/>
      <w:bookmarkEnd w:id="1393"/>
      <w:bookmarkEnd w:id="1394"/>
      <w:bookmarkEnd w:id="1395"/>
      <w:bookmarkEnd w:id="1396"/>
    </w:p>
    <w:p w:rsidR="00CA3B52" w:rsidRDefault="00CA3B52" w:rsidP="00CA3B52">
      <w:pPr>
        <w:rPr>
          <w:lang w:val="en-US"/>
        </w:rPr>
      </w:pPr>
      <w:r w:rsidRPr="00CB6CBA">
        <w:rPr>
          <w:lang w:val="en-US"/>
        </w:rPr>
        <w:t>According to equation (</w:t>
      </w:r>
      <w:r>
        <w:rPr>
          <w:lang w:val="en-US"/>
        </w:rPr>
        <w:t>27</w:t>
      </w:r>
      <w:r w:rsidRPr="00CB6CBA">
        <w:rPr>
          <w:lang w:val="en-US"/>
        </w:rPr>
        <w:t xml:space="preserve">) the price </w:t>
      </w:r>
      <w:r>
        <w:rPr>
          <w:rFonts w:asciiTheme="majorBidi" w:hAnsiTheme="majorBidi" w:cstheme="majorBidi"/>
          <w:lang w:val="en-US"/>
        </w:rPr>
        <w:sym w:font="Symbol" w:char="F044"/>
      </w:r>
      <w:r w:rsidRPr="00CB6CBA">
        <w:rPr>
          <w:rFonts w:ascii="Tms Rmn" w:hAnsi="Tms Rmn"/>
          <w:sz w:val="6"/>
          <w:lang w:val="en-US"/>
        </w:rPr>
        <w:t> </w:t>
      </w:r>
      <w:r w:rsidRPr="00CB6CBA">
        <w:rPr>
          <w:i/>
          <w:iCs/>
          <w:lang w:val="en-US"/>
        </w:rPr>
        <w:t>C</w:t>
      </w:r>
      <w:r w:rsidRPr="00CB6CBA">
        <w:rPr>
          <w:i/>
          <w:iCs/>
          <w:vertAlign w:val="subscript"/>
          <w:lang w:val="en-US"/>
        </w:rPr>
        <w:t>an</w:t>
      </w:r>
      <w:r w:rsidRPr="00CB6CBA">
        <w:rPr>
          <w:lang w:val="en-US"/>
        </w:rPr>
        <w:t xml:space="preserve"> for the qualified unit of the spectral resource is determined. Equation (</w:t>
      </w:r>
      <w:r>
        <w:rPr>
          <w:lang w:val="en-US"/>
        </w:rPr>
        <w:t>20</w:t>
      </w:r>
      <w:r w:rsidRPr="00CB6CBA">
        <w:rPr>
          <w:lang w:val="en-US"/>
        </w:rPr>
        <w:t xml:space="preserve">) gives the value of the spectral resource </w:t>
      </w:r>
      <w:r w:rsidRPr="00CB6CBA">
        <w:rPr>
          <w:i/>
          <w:lang w:val="en-US"/>
        </w:rPr>
        <w:t>W</w:t>
      </w:r>
      <w:r w:rsidRPr="00CB6CBA">
        <w:rPr>
          <w:i/>
          <w:vertAlign w:val="subscript"/>
          <w:lang w:val="en-US"/>
        </w:rPr>
        <w:t>i</w:t>
      </w:r>
      <w:r w:rsidRPr="00CB6CBA">
        <w:rPr>
          <w:lang w:val="en-US"/>
        </w:rPr>
        <w:t xml:space="preserve"> used for a particular </w:t>
      </w:r>
      <w:r w:rsidRPr="00CB6CBA">
        <w:rPr>
          <w:i/>
          <w:lang w:val="en-US"/>
        </w:rPr>
        <w:t>i</w:t>
      </w:r>
      <w:r w:rsidRPr="00CB6CBA">
        <w:rPr>
          <w:lang w:val="en-US"/>
        </w:rPr>
        <w:t xml:space="preserve">-th frequency assignment. Based on this, the amount of the annual payment </w:t>
      </w:r>
      <w:r w:rsidRPr="00CB6CBA">
        <w:rPr>
          <w:i/>
          <w:lang w:val="en-US"/>
        </w:rPr>
        <w:t>C</w:t>
      </w:r>
      <w:r w:rsidRPr="00CB6CBA">
        <w:rPr>
          <w:i/>
          <w:vertAlign w:val="subscript"/>
          <w:lang w:val="en-US"/>
        </w:rPr>
        <w:t>i</w:t>
      </w:r>
      <w:r w:rsidRPr="00CB6CBA">
        <w:rPr>
          <w:lang w:val="en-US"/>
        </w:rPr>
        <w:t xml:space="preserve"> from the specific user of the spectrum for this frequency assignment will be determined as:</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CB6CBA">
        <w:rPr>
          <w:i/>
          <w:iCs/>
          <w:lang w:val="en-US"/>
        </w:rPr>
        <w:t>C</w:t>
      </w:r>
      <w:r w:rsidRPr="00CB6CBA">
        <w:rPr>
          <w:i/>
          <w:iCs/>
          <w:vertAlign w:val="subscript"/>
          <w:lang w:val="en-US"/>
        </w:rPr>
        <w:t>i</w:t>
      </w:r>
      <w:r w:rsidRPr="00CB6CBA">
        <w:rPr>
          <w:lang w:val="en-US"/>
        </w:rPr>
        <w:t xml:space="preserve"> </w:t>
      </w:r>
      <w:r w:rsidRPr="00CB6CBA">
        <w:rPr>
          <w:rFonts w:ascii="Symbol" w:hAnsi="Symbol"/>
          <w:lang w:val="en-US"/>
        </w:rPr>
        <w:t></w:t>
      </w:r>
      <w:r w:rsidRPr="00CB6CBA">
        <w:rPr>
          <w:lang w:val="en-US"/>
        </w:rPr>
        <w:t xml:space="preserve"> </w:t>
      </w:r>
      <w:r>
        <w:rPr>
          <w:rFonts w:asciiTheme="majorBidi" w:hAnsiTheme="majorBidi" w:cstheme="majorBidi"/>
          <w:lang w:val="en-US"/>
        </w:rPr>
        <w:sym w:font="Symbol" w:char="F044"/>
      </w:r>
      <w:r w:rsidRPr="00CB6CBA">
        <w:rPr>
          <w:rFonts w:ascii="Tms Rmn" w:hAnsi="Tms Rmn"/>
          <w:sz w:val="6"/>
          <w:lang w:val="en-US"/>
        </w:rPr>
        <w:t> </w:t>
      </w:r>
      <w:r w:rsidRPr="00CB6CBA">
        <w:rPr>
          <w:i/>
          <w:iCs/>
          <w:lang w:val="en-US"/>
        </w:rPr>
        <w:t>C</w:t>
      </w:r>
      <w:r w:rsidRPr="00CB6CBA">
        <w:rPr>
          <w:i/>
          <w:iCs/>
          <w:vertAlign w:val="subscript"/>
          <w:lang w:val="en-US"/>
        </w:rPr>
        <w:t>an</w:t>
      </w:r>
      <w:r w:rsidRPr="00CB6CBA">
        <w:rPr>
          <w:lang w:val="en-US"/>
        </w:rPr>
        <w:t xml:space="preserve"> </w:t>
      </w:r>
      <w:r w:rsidRPr="00CB6CBA">
        <w:rPr>
          <w:lang w:val="en-US"/>
        </w:rPr>
        <w:fldChar w:fldCharType="begin"/>
      </w:r>
      <w:r w:rsidRPr="00CB6CBA">
        <w:rPr>
          <w:lang w:val="en-US"/>
        </w:rPr>
        <w:instrText>SYMBOL 215 \f "Symbol" \s 14</w:instrText>
      </w:r>
      <w:r w:rsidRPr="00CB6CBA">
        <w:rPr>
          <w:lang w:val="en-US"/>
        </w:rPr>
        <w:fldChar w:fldCharType="separate"/>
      </w:r>
      <w:r w:rsidRPr="00CB6CBA">
        <w:rPr>
          <w:lang w:val="en-US"/>
        </w:rPr>
        <w:t>×</w:t>
      </w:r>
      <w:r w:rsidRPr="00CB6CBA">
        <w:rPr>
          <w:lang w:val="en-US"/>
        </w:rPr>
        <w:fldChar w:fldCharType="end"/>
      </w:r>
      <w:r w:rsidRPr="00CB6CBA">
        <w:rPr>
          <w:lang w:val="en-US"/>
        </w:rPr>
        <w:t xml:space="preserve"> </w:t>
      </w:r>
      <w:r w:rsidRPr="00CB6CBA">
        <w:rPr>
          <w:i/>
          <w:iCs/>
          <w:lang w:val="en-US"/>
        </w:rPr>
        <w:t>W</w:t>
      </w:r>
      <w:r w:rsidRPr="00CB6CBA">
        <w:rPr>
          <w:i/>
          <w:iCs/>
          <w:vertAlign w:val="subscript"/>
          <w:lang w:val="en-US"/>
        </w:rPr>
        <w:t>i</w:t>
      </w:r>
      <w:r w:rsidRPr="00CB6CBA">
        <w:rPr>
          <w:lang w:val="en-US"/>
        </w:rPr>
        <w:tab/>
        <w:t>(</w:t>
      </w:r>
      <w:r>
        <w:rPr>
          <w:lang w:val="en-US"/>
        </w:rPr>
        <w:t>28</w:t>
      </w:r>
      <w:r w:rsidRPr="00CB6CBA">
        <w:rPr>
          <w:lang w:val="en-US"/>
        </w:rPr>
        <w:t>)</w:t>
      </w:r>
    </w:p>
    <w:p w:rsidR="00CA3B52" w:rsidRPr="00CB6CBA" w:rsidRDefault="00CA3B52" w:rsidP="00CA3B52">
      <w:pPr>
        <w:rPr>
          <w:lang w:val="en-US"/>
        </w:rPr>
      </w:pPr>
      <w:r w:rsidRPr="00CB6CBA">
        <w:rPr>
          <w:lang w:val="en-US"/>
        </w:rPr>
        <w:t>If the particular radiocommunication operator has several frequency assignments, the payment for each assignment is determined as above and then they are summated in relation to all operator’s frequency assignments.</w:t>
      </w:r>
    </w:p>
    <w:p w:rsidR="00CA3B52" w:rsidRDefault="00CA3B52" w:rsidP="00CA3B52">
      <w:pPr>
        <w:pStyle w:val="Heading2"/>
        <w:rPr>
          <w:lang w:val="en-US"/>
        </w:rPr>
      </w:pPr>
      <w:bookmarkStart w:id="1397" w:name="_Toc289868842"/>
      <w:bookmarkStart w:id="1398" w:name="_Toc289869002"/>
      <w:bookmarkStart w:id="1399" w:name="_Toc289932310"/>
      <w:bookmarkStart w:id="1400" w:name="_Toc289933356"/>
      <w:bookmarkStart w:id="1401" w:name="_Toc291852919"/>
      <w:bookmarkStart w:id="1402" w:name="_Toc392515905"/>
      <w:r w:rsidRPr="00CB6CBA">
        <w:rPr>
          <w:lang w:val="en-US"/>
        </w:rPr>
        <w:t>4.</w:t>
      </w:r>
      <w:r>
        <w:rPr>
          <w:lang w:val="en-US"/>
        </w:rPr>
        <w:t>7</w:t>
      </w:r>
      <w:r w:rsidRPr="00CB6CBA">
        <w:rPr>
          <w:lang w:val="en-US"/>
        </w:rPr>
        <w:tab/>
        <w:t>Procedures and examples of used spectral resource calculations in</w:t>
      </w:r>
      <w:r>
        <w:rPr>
          <w:lang w:val="en-US"/>
        </w:rPr>
        <w:t xml:space="preserve"> </w:t>
      </w:r>
      <w:r w:rsidRPr="00CB6CBA">
        <w:rPr>
          <w:lang w:val="en-US"/>
        </w:rPr>
        <w:t>application to different radio services</w:t>
      </w:r>
      <w:bookmarkEnd w:id="1397"/>
      <w:bookmarkEnd w:id="1398"/>
      <w:bookmarkEnd w:id="1399"/>
      <w:bookmarkEnd w:id="1400"/>
      <w:bookmarkEnd w:id="1401"/>
      <w:bookmarkEnd w:id="1402"/>
    </w:p>
    <w:p w:rsidR="00CA3B52" w:rsidRPr="00CB6CBA" w:rsidRDefault="00CA3B52" w:rsidP="00CA3B52">
      <w:pPr>
        <w:rPr>
          <w:lang w:val="en-US"/>
        </w:rPr>
      </w:pPr>
      <w:r w:rsidRPr="00CB6CBA">
        <w:rPr>
          <w:lang w:val="en-US"/>
        </w:rPr>
        <w:t>It is important to point out that calculation methods and procedures of service occupied areas, fixed radio link lengths, etc. for exact operational purposes are usually very complicated, time consuming and require special qualification of the personnel.</w:t>
      </w:r>
    </w:p>
    <w:p w:rsidR="00CA3B52" w:rsidRPr="00CB6CBA" w:rsidRDefault="00CA3B52" w:rsidP="00CA3B52">
      <w:pPr>
        <w:rPr>
          <w:lang w:val="en-US"/>
        </w:rPr>
      </w:pPr>
      <w:r w:rsidRPr="00CB6CBA">
        <w:rPr>
          <w:lang w:val="en-US"/>
        </w:rPr>
        <w:t>Their implementation for license fee calculation purposes could impose a great additional workload on a national spectrum management staff and not lead to significant increasing accuracy of such kind of calculations. Moreover, for the purposes of fee calculations it is much more important to provide universal procedures to guarantee equal conditions for all users belonging to one group (by</w:t>
      </w:r>
      <w:r>
        <w:rPr>
          <w:lang w:val="en-US"/>
        </w:rPr>
        <w:t> </w:t>
      </w:r>
      <w:r w:rsidRPr="00CB6CBA">
        <w:rPr>
          <w:lang w:val="en-US"/>
        </w:rPr>
        <w:t>radio service or its particular application) rather than to have a high accuracy of technical parameter calculations.</w:t>
      </w:r>
    </w:p>
    <w:p w:rsidR="00CA3B52" w:rsidRPr="00CB6CBA" w:rsidRDefault="00CA3B52" w:rsidP="00CA3B52">
      <w:pPr>
        <w:rPr>
          <w:lang w:val="en-US"/>
        </w:rPr>
      </w:pPr>
      <w:r w:rsidRPr="00CB6CBA">
        <w:rPr>
          <w:lang w:val="en-US"/>
        </w:rPr>
        <w:t xml:space="preserve">Taking this into account, for purposes of the given license fees calculation model, considerably simplified calculation methods are proposed. The main orientation is given on using pre-calculated graphs and tables rather than complicated formulas. For the most difficult cases (HF broadcasting, </w:t>
      </w:r>
      <w:r w:rsidRPr="00CB6CBA">
        <w:rPr>
          <w:lang w:val="en-US"/>
        </w:rPr>
        <w:lastRenderedPageBreak/>
        <w:t>satellite communications etc.) particular calculations of service areas, fixed radio link lengths etc. can be replaced by values taken directly from relevant license application forms or received from operators by special requests.</w:t>
      </w:r>
    </w:p>
    <w:p w:rsidR="00CA3B52" w:rsidRPr="00CB6CBA" w:rsidRDefault="00CA3B52" w:rsidP="00CA3B52">
      <w:pPr>
        <w:rPr>
          <w:lang w:val="en-US"/>
        </w:rPr>
      </w:pPr>
      <w:r w:rsidRPr="00CB6CBA">
        <w:rPr>
          <w:lang w:val="en-US"/>
        </w:rPr>
        <w:t>Another common approach is to make estimation of service or occupied areas only within the national borders of a country. For maritime services national maritime economical border concept may be used (usually 200 miles, i.e. 360 km).</w:t>
      </w:r>
    </w:p>
    <w:p w:rsidR="00CA3B52" w:rsidRPr="00CB6CBA" w:rsidRDefault="00CA3B52" w:rsidP="00CA3B52">
      <w:pPr>
        <w:rPr>
          <w:lang w:val="en-US"/>
        </w:rPr>
      </w:pPr>
      <w:r w:rsidRPr="00CB6CBA">
        <w:rPr>
          <w:lang w:val="en-US"/>
        </w:rPr>
        <w:t>For cellular mobile radiocommunications systems, paging etc. which may contain numerous base stations including micro- and pico-cell ones for nearby and indoor operations, it may be too time consuming to make calculations based on the determination of service areas of individual base stations. Therefore for this case the overall service area of the relevant cellular network and overall frequency bands assigned for base-mobile and mobile-base communications can be used for calculation of a spectral resource, used by the whole network.</w:t>
      </w:r>
    </w:p>
    <w:p w:rsidR="00CA3B52" w:rsidRPr="00CB6CBA" w:rsidRDefault="00CA3B52" w:rsidP="00CA3B52">
      <w:pPr>
        <w:rPr>
          <w:lang w:val="en-US"/>
        </w:rPr>
      </w:pPr>
      <w:r w:rsidRPr="00CB6CBA">
        <w:rPr>
          <w:lang w:val="en-US"/>
        </w:rPr>
        <w:t>Occupied areas of earth stations of satellite communication systems are proposed to be determined on the basis of coordination distances agreed during the process of coordination and notification of frequency and orbital assignments in the ITU-R. If they are not available, a universal coordination distance of 350 km for VSATs and 750 km for other stations is proposed to be used. In some cases the values as agreed between the administration and operator can also be used.</w:t>
      </w:r>
    </w:p>
    <w:p w:rsidR="00CA3B52" w:rsidRPr="00CB6CBA" w:rsidRDefault="00CA3B52" w:rsidP="00CA3B52">
      <w:pPr>
        <w:rPr>
          <w:lang w:val="en-US"/>
        </w:rPr>
      </w:pPr>
      <w:r w:rsidRPr="00CB6CBA">
        <w:rPr>
          <w:lang w:val="en-US"/>
        </w:rPr>
        <w:t>It is indicated above that the model is also applicable to receivers for which users especially demand protection from interference. To calculate the relevant fees, in accordance with the principle of reciprocity of a receiver and transmitter, the receiver is substituted by a transmitter of typical power (or a power agreed with user) and antenna, which effective height, gain and direction correspond to the receiving one. For this set of parameters the relevant spectral resource and then radio license fees are calculated in accordance with procedures presented below for related radio services and their applications.</w:t>
      </w:r>
    </w:p>
    <w:p w:rsidR="00CA3B52" w:rsidRPr="00CB6CBA" w:rsidRDefault="00CA3B52" w:rsidP="00CA3B52">
      <w:pPr>
        <w:rPr>
          <w:lang w:val="en-US"/>
        </w:rPr>
      </w:pPr>
      <w:r w:rsidRPr="00CB6CBA">
        <w:rPr>
          <w:lang w:val="en-US"/>
        </w:rPr>
        <w:t>It is necessary to mention that an administration, depending on particular conditions and abilities, may decide on simplification of some of the proposed calculation procedures. Particularly it concerns eliminating of service/occupied area subdivisions to different zones belonging to different license fees categories and the only one category, corresponding to the largest service/occupied area, can be used. It also concerns eliminating of the effective antenna height determinations, etc.</w:t>
      </w:r>
    </w:p>
    <w:p w:rsidR="00CA3B52" w:rsidRDefault="00CA3B52" w:rsidP="00CA3B52">
      <w:pPr>
        <w:pStyle w:val="Heading3"/>
        <w:rPr>
          <w:lang w:val="en-US"/>
        </w:rPr>
      </w:pPr>
      <w:bookmarkStart w:id="1403" w:name="_Toc289868843"/>
      <w:bookmarkStart w:id="1404" w:name="_Toc289869003"/>
      <w:bookmarkStart w:id="1405" w:name="_Toc289932311"/>
      <w:bookmarkStart w:id="1406" w:name="_Toc289933357"/>
      <w:bookmarkStart w:id="1407" w:name="_Toc291852920"/>
      <w:bookmarkStart w:id="1408" w:name="_Toc392515906"/>
      <w:r w:rsidRPr="00CB6CBA">
        <w:rPr>
          <w:lang w:val="en-US"/>
        </w:rPr>
        <w:t>4.</w:t>
      </w:r>
      <w:r>
        <w:rPr>
          <w:lang w:val="en-US"/>
        </w:rPr>
        <w:t>7</w:t>
      </w:r>
      <w:r w:rsidRPr="00CB6CBA">
        <w:rPr>
          <w:lang w:val="en-US"/>
        </w:rPr>
        <w:t>.1</w:t>
      </w:r>
      <w:r w:rsidRPr="00CB6CBA">
        <w:rPr>
          <w:lang w:val="en-US"/>
        </w:rPr>
        <w:tab/>
        <w:t>VHF/UHF sound and TV radio broadcasting calculation procedures</w:t>
      </w:r>
      <w:bookmarkEnd w:id="1403"/>
      <w:bookmarkEnd w:id="1404"/>
      <w:bookmarkEnd w:id="1405"/>
      <w:bookmarkEnd w:id="1406"/>
      <w:bookmarkEnd w:id="1407"/>
      <w:bookmarkEnd w:id="1408"/>
    </w:p>
    <w:p w:rsidR="00CA3B52" w:rsidRPr="00CB6CBA" w:rsidRDefault="00CA3B52" w:rsidP="00CA3B52">
      <w:pPr>
        <w:pStyle w:val="Headingb"/>
        <w:rPr>
          <w:lang w:val="en-US"/>
        </w:rPr>
      </w:pPr>
      <w:r w:rsidRPr="00CB6CBA">
        <w:rPr>
          <w:lang w:val="en-US"/>
        </w:rPr>
        <w:t>a)</w:t>
      </w:r>
      <w:r w:rsidRPr="00CB6CBA">
        <w:rPr>
          <w:lang w:val="en-US"/>
        </w:rPr>
        <w:tab/>
        <w:t>Service area radius calculation</w:t>
      </w:r>
    </w:p>
    <w:p w:rsidR="00CA3B52" w:rsidRPr="00CB6CBA" w:rsidRDefault="00CA3B52" w:rsidP="00CA3B52">
      <w:pPr>
        <w:rPr>
          <w:lang w:val="en-US"/>
        </w:rPr>
      </w:pPr>
      <w:r w:rsidRPr="00CB6CBA">
        <w:rPr>
          <w:lang w:val="en-US"/>
        </w:rPr>
        <w:t>In the absence of digital terrain map facilities and computerized propagation and frequency planning models, which can provide exact automatic calculations, it is proposed to use the following simplified method of service area determination. The procedure is mainly based on provisions of Recommendation ITU-R P.1546-4, which presents propagation curves and procedures of their use for determining distances at which field strengths take specific values adopted as minimal usable by Recommendation ITU-R BT.417-5.</w:t>
      </w:r>
    </w:p>
    <w:p w:rsidR="00CA3B52" w:rsidRPr="00CB6CBA" w:rsidRDefault="00CA3B52" w:rsidP="00CA3B52">
      <w:pPr>
        <w:rPr>
          <w:lang w:val="en-US"/>
        </w:rPr>
      </w:pPr>
      <w:r w:rsidRPr="00CB6CBA">
        <w:rPr>
          <w:lang w:val="en-US"/>
        </w:rPr>
        <w:t>The propagation curves presented in Recommendation ITU-R P.1546-4 represent field-strength values in VHF and UHF bands in dB(</w:t>
      </w:r>
      <w:r>
        <w:rPr>
          <w:lang w:val="en-US"/>
        </w:rPr>
        <w:sym w:font="Symbol" w:char="F06D"/>
      </w:r>
      <w:r w:rsidRPr="00CB6CBA">
        <w:rPr>
          <w:lang w:val="en-US"/>
        </w:rPr>
        <w:t>V/m) as a function of various parameters and refer to land paths. The propagation curves relate to transmitter power of 1 kW radiated from a half-wave dipole and represent the field-strength values exceeded at 50% of the locations for 50% of time. These field-strength values are usually used for service areas determination. They also correspond to different transmitting antenna heights and a receiving antenna height of 10 m. For different values of effective height, a linear interpolation between the two curves corresponding to effective heights immediately above and below the true value can be used.</w:t>
      </w:r>
    </w:p>
    <w:p w:rsidR="00CA3B52" w:rsidRPr="00CB6CBA" w:rsidRDefault="00CA3B52" w:rsidP="00CA3B52">
      <w:pPr>
        <w:rPr>
          <w:lang w:val="en-US"/>
        </w:rPr>
      </w:pPr>
      <w:r w:rsidRPr="00CB6CBA">
        <w:rPr>
          <w:lang w:val="en-US"/>
        </w:rPr>
        <w:lastRenderedPageBreak/>
        <w:t xml:space="preserve">The effective height of the transmitting antenna, </w:t>
      </w:r>
      <w:r w:rsidRPr="00CB6CBA">
        <w:rPr>
          <w:i/>
          <w:iCs/>
          <w:lang w:val="en-US"/>
        </w:rPr>
        <w:t>h</w:t>
      </w:r>
      <w:r w:rsidRPr="00CB6CBA">
        <w:rPr>
          <w:i/>
          <w:iCs/>
          <w:vertAlign w:val="subscript"/>
          <w:lang w:val="en-US"/>
        </w:rPr>
        <w:t>ef</w:t>
      </w:r>
      <w:r w:rsidRPr="00CB6CBA">
        <w:rPr>
          <w:lang w:val="en-US"/>
        </w:rPr>
        <w:t xml:space="preserve">, is determined as its height over the average level of the ground between distances of 3 km and 15 km from the transmitter in the direction of the receiver. Procedures of </w:t>
      </w:r>
      <w:r w:rsidRPr="00CB6CBA">
        <w:rPr>
          <w:i/>
          <w:iCs/>
          <w:lang w:val="en-US"/>
        </w:rPr>
        <w:t>h</w:t>
      </w:r>
      <w:r w:rsidRPr="00CB6CBA">
        <w:rPr>
          <w:i/>
          <w:iCs/>
          <w:vertAlign w:val="subscript"/>
          <w:lang w:val="en-US"/>
        </w:rPr>
        <w:t>ef</w:t>
      </w:r>
      <w:r w:rsidRPr="00CB6CBA">
        <w:rPr>
          <w:lang w:val="en-US"/>
        </w:rPr>
        <w:t xml:space="preserve"> calculations, to be used under service area radius calculations, are presented in (b).</w:t>
      </w:r>
    </w:p>
    <w:p w:rsidR="00CA3B52" w:rsidRPr="00CB6CBA" w:rsidRDefault="00CA3B52" w:rsidP="00CA3B52">
      <w:pPr>
        <w:rPr>
          <w:lang w:val="en-US"/>
        </w:rPr>
      </w:pPr>
      <w:r w:rsidRPr="00CB6CBA">
        <w:rPr>
          <w:lang w:val="en-US"/>
        </w:rPr>
        <w:t xml:space="preserve">Service areas are determined by values of minimal usable field strengths, </w:t>
      </w:r>
      <w:r w:rsidRPr="00CB6CBA">
        <w:rPr>
          <w:i/>
          <w:iCs/>
          <w:lang w:val="en-US"/>
        </w:rPr>
        <w:t>E</w:t>
      </w:r>
      <w:r w:rsidRPr="00CB6CBA">
        <w:rPr>
          <w:i/>
          <w:iCs/>
          <w:vertAlign w:val="subscript"/>
          <w:lang w:val="en-US"/>
        </w:rPr>
        <w:t>mu</w:t>
      </w:r>
      <w:r w:rsidRPr="0024702C">
        <w:rPr>
          <w:lang w:val="en-US"/>
        </w:rPr>
        <w:t>,</w:t>
      </w:r>
      <w:r w:rsidRPr="00CB6CBA">
        <w:rPr>
          <w:lang w:val="en-US"/>
        </w:rPr>
        <w:t xml:space="preserve"> at their borders, which are usually utilized for frequency planning purposes. These are presented in Table 3.</w:t>
      </w:r>
    </w:p>
    <w:p w:rsidR="00CA3B52" w:rsidRDefault="00CA3B52" w:rsidP="00CA3B52">
      <w:pPr>
        <w:rPr>
          <w:lang w:val="en-US"/>
        </w:rPr>
      </w:pPr>
      <w:r w:rsidRPr="00CB6CBA">
        <w:rPr>
          <w:lang w:val="en-US"/>
        </w:rPr>
        <w:t xml:space="preserve">Values of service area radius </w:t>
      </w:r>
      <w:r w:rsidRPr="00CB6CBA">
        <w:rPr>
          <w:i/>
          <w:iCs/>
          <w:lang w:val="en-US"/>
        </w:rPr>
        <w:t>R</w:t>
      </w:r>
      <w:r>
        <w:rPr>
          <w:lang w:val="en-US"/>
        </w:rPr>
        <w:t xml:space="preserve"> taken from curves at Figs</w:t>
      </w:r>
      <w:r w:rsidRPr="00CB6CBA">
        <w:rPr>
          <w:lang w:val="en-US"/>
        </w:rPr>
        <w:t xml:space="preserve"> </w:t>
      </w:r>
      <w:r>
        <w:rPr>
          <w:lang w:val="en-US"/>
        </w:rPr>
        <w:t>2</w:t>
      </w:r>
      <w:r w:rsidRPr="00CB6CBA">
        <w:rPr>
          <w:lang w:val="en-US"/>
        </w:rPr>
        <w:t xml:space="preserve"> and </w:t>
      </w:r>
      <w:r>
        <w:rPr>
          <w:lang w:val="en-US"/>
        </w:rPr>
        <w:t>3</w:t>
      </w:r>
      <w:r w:rsidRPr="00CB6CBA">
        <w:rPr>
          <w:lang w:val="en-US"/>
        </w:rPr>
        <w:t xml:space="preserve"> under different values of effective radiated power (e.r.p.) </w:t>
      </w:r>
      <w:r w:rsidRPr="00CB6CBA">
        <w:rPr>
          <w:i/>
          <w:iCs/>
          <w:lang w:val="en-US"/>
        </w:rPr>
        <w:t>P</w:t>
      </w:r>
      <w:r w:rsidRPr="00CB6CBA">
        <w:rPr>
          <w:i/>
          <w:iCs/>
          <w:vertAlign w:val="subscript"/>
          <w:lang w:val="en-US"/>
        </w:rPr>
        <w:t>ef</w:t>
      </w:r>
      <w:r w:rsidRPr="00CB6CBA">
        <w:rPr>
          <w:lang w:val="en-US"/>
        </w:rPr>
        <w:t xml:space="preserve">, and effective height of the transmitting antenna </w:t>
      </w:r>
      <w:r w:rsidRPr="00CB6CBA">
        <w:rPr>
          <w:i/>
          <w:iCs/>
          <w:lang w:val="en-US"/>
        </w:rPr>
        <w:t>h</w:t>
      </w:r>
      <w:r w:rsidRPr="00CB6CBA">
        <w:rPr>
          <w:i/>
          <w:iCs/>
          <w:vertAlign w:val="subscript"/>
          <w:lang w:val="en-US"/>
        </w:rPr>
        <w:t>ef</w:t>
      </w:r>
      <w:r w:rsidRPr="00CB6CBA">
        <w:rPr>
          <w:lang w:val="en-US"/>
        </w:rPr>
        <w:t xml:space="preserve">, for minimal usable field strength values, </w:t>
      </w:r>
      <w:r w:rsidRPr="00CB6CBA">
        <w:rPr>
          <w:i/>
          <w:iCs/>
          <w:lang w:val="en-US"/>
        </w:rPr>
        <w:t>E</w:t>
      </w:r>
      <w:r w:rsidRPr="00CB6CBA">
        <w:rPr>
          <w:i/>
          <w:iCs/>
          <w:vertAlign w:val="subscript"/>
          <w:lang w:val="en-US"/>
        </w:rPr>
        <w:t>mu</w:t>
      </w:r>
      <w:r w:rsidRPr="00CB6CBA">
        <w:rPr>
          <w:lang w:val="en-US"/>
        </w:rPr>
        <w:t xml:space="preserve">, indicated in Table 3, are presented in Tables </w:t>
      </w:r>
      <w:r>
        <w:rPr>
          <w:lang w:val="en-US"/>
        </w:rPr>
        <w:t>4 to 9</w:t>
      </w:r>
      <w:r w:rsidRPr="00CB6CBA">
        <w:rPr>
          <w:lang w:val="en-US"/>
        </w:rPr>
        <w:t>. Interpolation and extrapolation of field strength as a function of frequency is made in accordance with Annex 5 to Recommendation ITU-R P.1546. Particular frequencies,</w:t>
      </w:r>
      <w:r w:rsidRPr="00CB6CBA">
        <w:rPr>
          <w:i/>
          <w:iCs/>
          <w:lang w:val="en-US"/>
        </w:rPr>
        <w:t xml:space="preserve"> f</w:t>
      </w:r>
      <w:r w:rsidRPr="00CB6CBA">
        <w:rPr>
          <w:i/>
          <w:iCs/>
          <w:vertAlign w:val="subscript"/>
          <w:lang w:val="en-US"/>
        </w:rPr>
        <w:t>c</w:t>
      </w:r>
      <w:r w:rsidRPr="00CB6CBA">
        <w:rPr>
          <w:lang w:val="en-US"/>
        </w:rPr>
        <w:t>, for re-calculation are shown in table headings. Calculations are made for effective antenna heights typical for broadcasting.</w:t>
      </w:r>
    </w:p>
    <w:p w:rsidR="00CA3B52" w:rsidRPr="00D97170" w:rsidRDefault="00CA3B52" w:rsidP="000A7119">
      <w:pPr>
        <w:pStyle w:val="TableNo"/>
        <w:rPr>
          <w:lang w:val="en-US"/>
        </w:rPr>
      </w:pPr>
      <w:r w:rsidRPr="005C1150">
        <w:rPr>
          <w:lang w:val="en-US"/>
        </w:rPr>
        <w:t>TABLE</w:t>
      </w:r>
      <w:r w:rsidRPr="00D97170">
        <w:rPr>
          <w:lang w:val="en-US"/>
        </w:rPr>
        <w:t xml:space="preserve"> 3</w:t>
      </w:r>
    </w:p>
    <w:p w:rsidR="00CA3B52" w:rsidRPr="00D97170" w:rsidRDefault="00CA3B52" w:rsidP="000A7119">
      <w:pPr>
        <w:pStyle w:val="Tabletitle"/>
        <w:rPr>
          <w:lang w:val="en-US"/>
        </w:rPr>
      </w:pPr>
      <w:r w:rsidRPr="00D97170">
        <w:rPr>
          <w:lang w:val="en-US"/>
        </w:rPr>
        <w:t xml:space="preserve">Minimal usable </w:t>
      </w:r>
      <w:r w:rsidRPr="005C1150">
        <w:rPr>
          <w:lang w:val="en-US"/>
        </w:rPr>
        <w:t>field</w:t>
      </w:r>
      <w:r w:rsidRPr="00D97170">
        <w:rPr>
          <w:lang w:val="en-US"/>
        </w:rPr>
        <w:t xml:space="preserve"> strengths </w:t>
      </w:r>
      <w:r w:rsidRPr="004E6750">
        <w:rPr>
          <w:bCs/>
          <w:i/>
          <w:iCs/>
          <w:lang w:val="en-US"/>
        </w:rPr>
        <w:t>E</w:t>
      </w:r>
      <w:r w:rsidRPr="004E6750">
        <w:rPr>
          <w:bCs/>
          <w:i/>
          <w:iCs/>
          <w:vertAlign w:val="subscript"/>
          <w:lang w:val="en-US"/>
        </w:rPr>
        <w:t>mu</w:t>
      </w:r>
      <w:r w:rsidRPr="00D97170">
        <w:rPr>
          <w:lang w:val="en-US"/>
        </w:rPr>
        <w:t xml:space="preserve">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0"/>
        <w:gridCol w:w="1311"/>
        <w:gridCol w:w="1417"/>
        <w:gridCol w:w="1529"/>
        <w:gridCol w:w="1486"/>
        <w:gridCol w:w="1078"/>
        <w:gridCol w:w="1118"/>
      </w:tblGrid>
      <w:tr w:rsidR="00CA3B52" w:rsidRPr="00CB6CBA" w:rsidTr="002D1D5C">
        <w:trPr>
          <w:jc w:val="center"/>
        </w:trPr>
        <w:tc>
          <w:tcPr>
            <w:tcW w:w="882" w:type="pct"/>
            <w:vAlign w:val="center"/>
          </w:tcPr>
          <w:p w:rsidR="00CA3B52" w:rsidRPr="00D97170" w:rsidRDefault="00CA3B52" w:rsidP="002D1D5C">
            <w:pPr>
              <w:pStyle w:val="Tablehead"/>
            </w:pPr>
            <w:r w:rsidRPr="00D97170">
              <w:t>Frequency band</w:t>
            </w:r>
          </w:p>
        </w:tc>
        <w:tc>
          <w:tcPr>
            <w:tcW w:w="680" w:type="pct"/>
            <w:vAlign w:val="center"/>
          </w:tcPr>
          <w:p w:rsidR="00CA3B52" w:rsidRPr="00D97170" w:rsidRDefault="00CA3B52" w:rsidP="002D1D5C">
            <w:pPr>
              <w:pStyle w:val="Tablehead"/>
            </w:pPr>
            <w:r w:rsidRPr="00D97170">
              <w:t>Below 76</w:t>
            </w:r>
            <w:r>
              <w:t> </w:t>
            </w:r>
            <w:r w:rsidRPr="00D97170">
              <w:t>MHz (TV)</w:t>
            </w:r>
          </w:p>
        </w:tc>
        <w:tc>
          <w:tcPr>
            <w:tcW w:w="735" w:type="pct"/>
            <w:vAlign w:val="center"/>
          </w:tcPr>
          <w:p w:rsidR="00CA3B52" w:rsidRPr="00D97170" w:rsidRDefault="00CA3B52" w:rsidP="002D1D5C">
            <w:pPr>
              <w:pStyle w:val="Tablehead"/>
            </w:pPr>
            <w:r w:rsidRPr="00D97170">
              <w:t>76-108</w:t>
            </w:r>
            <w:r>
              <w:t> </w:t>
            </w:r>
            <w:r w:rsidRPr="00D97170">
              <w:t>MHz (TV)</w:t>
            </w:r>
          </w:p>
        </w:tc>
        <w:tc>
          <w:tcPr>
            <w:tcW w:w="793" w:type="pct"/>
            <w:vAlign w:val="center"/>
          </w:tcPr>
          <w:p w:rsidR="00CA3B52" w:rsidRPr="00D97170" w:rsidRDefault="00CA3B52" w:rsidP="002D1D5C">
            <w:pPr>
              <w:pStyle w:val="Tablehead"/>
            </w:pPr>
            <w:r w:rsidRPr="00D97170">
              <w:t>108-230</w:t>
            </w:r>
            <w:r>
              <w:t> </w:t>
            </w:r>
            <w:r w:rsidRPr="00D97170">
              <w:t>MHz (TV)</w:t>
            </w:r>
          </w:p>
        </w:tc>
        <w:tc>
          <w:tcPr>
            <w:tcW w:w="771" w:type="pct"/>
            <w:vAlign w:val="center"/>
          </w:tcPr>
          <w:p w:rsidR="00CA3B52" w:rsidRPr="00D97170" w:rsidRDefault="00CA3B52" w:rsidP="002D1D5C">
            <w:pPr>
              <w:pStyle w:val="Tablehead"/>
            </w:pPr>
            <w:r w:rsidRPr="00D97170">
              <w:t>230-582</w:t>
            </w:r>
            <w:r>
              <w:t> </w:t>
            </w:r>
            <w:r w:rsidRPr="00D97170">
              <w:t>MHz (TV)</w:t>
            </w:r>
          </w:p>
        </w:tc>
        <w:tc>
          <w:tcPr>
            <w:tcW w:w="559" w:type="pct"/>
            <w:vAlign w:val="center"/>
          </w:tcPr>
          <w:p w:rsidR="00CA3B52" w:rsidRPr="00D97170" w:rsidRDefault="00CA3B52" w:rsidP="002D1D5C">
            <w:pPr>
              <w:pStyle w:val="Tablehead"/>
            </w:pPr>
            <w:r w:rsidRPr="00D97170">
              <w:t>Above 528 MHz (TV)</w:t>
            </w:r>
          </w:p>
        </w:tc>
        <w:tc>
          <w:tcPr>
            <w:tcW w:w="580" w:type="pct"/>
            <w:vAlign w:val="center"/>
          </w:tcPr>
          <w:p w:rsidR="00CA3B52" w:rsidRPr="00D97170" w:rsidRDefault="00CA3B52" w:rsidP="002D1D5C">
            <w:pPr>
              <w:pStyle w:val="Tablehead"/>
            </w:pPr>
            <w:r w:rsidRPr="00D97170">
              <w:t>Below 108</w:t>
            </w:r>
            <w:r>
              <w:t> </w:t>
            </w:r>
            <w:r w:rsidRPr="00D97170">
              <w:t>MHz (Sound)</w:t>
            </w:r>
          </w:p>
        </w:tc>
      </w:tr>
      <w:tr w:rsidR="00CA3B52" w:rsidRPr="00CB6CBA" w:rsidTr="002D1D5C">
        <w:trPr>
          <w:jc w:val="center"/>
        </w:trPr>
        <w:tc>
          <w:tcPr>
            <w:tcW w:w="882" w:type="pct"/>
          </w:tcPr>
          <w:p w:rsidR="00CA3B52" w:rsidRPr="00CB6CBA" w:rsidRDefault="00CA3B52" w:rsidP="002D1D5C">
            <w:pPr>
              <w:pStyle w:val="Tabletext"/>
              <w:jc w:val="center"/>
              <w:rPr>
                <w:szCs w:val="22"/>
                <w:lang w:val="en-US"/>
              </w:rPr>
            </w:pPr>
            <w:r w:rsidRPr="00CB6CBA">
              <w:rPr>
                <w:i/>
                <w:iCs/>
                <w:szCs w:val="22"/>
                <w:lang w:val="en-US"/>
              </w:rPr>
              <w:t>E</w:t>
            </w:r>
            <w:r w:rsidRPr="00CB6CBA">
              <w:rPr>
                <w:i/>
                <w:iCs/>
                <w:szCs w:val="22"/>
                <w:vertAlign w:val="subscript"/>
                <w:lang w:val="en-US"/>
              </w:rPr>
              <w:t>mu</w:t>
            </w:r>
            <w:r w:rsidRPr="00CB6CBA">
              <w:rPr>
                <w:szCs w:val="22"/>
                <w:vertAlign w:val="subscript"/>
                <w:lang w:val="en-US"/>
              </w:rPr>
              <w:t xml:space="preserve"> </w:t>
            </w:r>
            <w:r w:rsidRPr="00CB6CBA">
              <w:rPr>
                <w:szCs w:val="22"/>
                <w:lang w:val="en-US"/>
              </w:rPr>
              <w:t>(dB(</w:t>
            </w:r>
            <w:r>
              <w:rPr>
                <w:szCs w:val="22"/>
                <w:lang w:val="en-US"/>
              </w:rPr>
              <w:sym w:font="Symbol" w:char="F06D"/>
            </w:r>
            <w:r w:rsidRPr="00CB6CBA">
              <w:rPr>
                <w:szCs w:val="22"/>
                <w:lang w:val="en-US"/>
              </w:rPr>
              <w:t>V/m))</w:t>
            </w:r>
          </w:p>
        </w:tc>
        <w:tc>
          <w:tcPr>
            <w:tcW w:w="680" w:type="pct"/>
          </w:tcPr>
          <w:p w:rsidR="00CA3B52" w:rsidRPr="00CB6CBA" w:rsidRDefault="00CA3B52" w:rsidP="00F65451">
            <w:pPr>
              <w:pStyle w:val="Tabletext"/>
              <w:jc w:val="center"/>
              <w:rPr>
                <w:szCs w:val="22"/>
                <w:lang w:val="en-US"/>
              </w:rPr>
            </w:pPr>
            <w:r w:rsidRPr="00CB6CBA">
              <w:rPr>
                <w:szCs w:val="22"/>
                <w:lang w:val="en-US"/>
              </w:rPr>
              <w:t>48</w:t>
            </w:r>
          </w:p>
        </w:tc>
        <w:tc>
          <w:tcPr>
            <w:tcW w:w="735" w:type="pct"/>
          </w:tcPr>
          <w:p w:rsidR="00CA3B52" w:rsidRPr="00CB6CBA" w:rsidRDefault="00CA3B52" w:rsidP="00F65451">
            <w:pPr>
              <w:pStyle w:val="Tabletext"/>
              <w:jc w:val="center"/>
              <w:rPr>
                <w:szCs w:val="22"/>
                <w:lang w:val="en-US"/>
              </w:rPr>
            </w:pPr>
            <w:r w:rsidRPr="00CB6CBA">
              <w:rPr>
                <w:szCs w:val="22"/>
                <w:lang w:val="en-US"/>
              </w:rPr>
              <w:t>52</w:t>
            </w:r>
          </w:p>
        </w:tc>
        <w:tc>
          <w:tcPr>
            <w:tcW w:w="793" w:type="pct"/>
          </w:tcPr>
          <w:p w:rsidR="00CA3B52" w:rsidRPr="00CB6CBA" w:rsidRDefault="00CA3B52" w:rsidP="00F65451">
            <w:pPr>
              <w:pStyle w:val="Tabletext"/>
              <w:jc w:val="center"/>
              <w:rPr>
                <w:szCs w:val="22"/>
                <w:lang w:val="en-US"/>
              </w:rPr>
            </w:pPr>
            <w:r w:rsidRPr="00CB6CBA">
              <w:rPr>
                <w:szCs w:val="22"/>
                <w:lang w:val="en-US"/>
              </w:rPr>
              <w:t>55</w:t>
            </w:r>
          </w:p>
        </w:tc>
        <w:tc>
          <w:tcPr>
            <w:tcW w:w="771" w:type="pct"/>
          </w:tcPr>
          <w:p w:rsidR="00CA3B52" w:rsidRPr="00CB6CBA" w:rsidRDefault="00CA3B52" w:rsidP="00F65451">
            <w:pPr>
              <w:pStyle w:val="Tabletext"/>
              <w:jc w:val="center"/>
              <w:rPr>
                <w:szCs w:val="22"/>
                <w:lang w:val="en-US"/>
              </w:rPr>
            </w:pPr>
            <w:r w:rsidRPr="00CB6CBA">
              <w:rPr>
                <w:szCs w:val="22"/>
                <w:lang w:val="en-US"/>
              </w:rPr>
              <w:t>65</w:t>
            </w:r>
          </w:p>
        </w:tc>
        <w:tc>
          <w:tcPr>
            <w:tcW w:w="559" w:type="pct"/>
          </w:tcPr>
          <w:p w:rsidR="00CA3B52" w:rsidRPr="00CB6CBA" w:rsidRDefault="00CA3B52" w:rsidP="00F65451">
            <w:pPr>
              <w:pStyle w:val="Tabletext"/>
              <w:jc w:val="center"/>
              <w:rPr>
                <w:szCs w:val="22"/>
                <w:lang w:val="en-US"/>
              </w:rPr>
            </w:pPr>
            <w:r w:rsidRPr="00CB6CBA">
              <w:rPr>
                <w:szCs w:val="22"/>
                <w:lang w:val="en-US"/>
              </w:rPr>
              <w:t>70</w:t>
            </w:r>
          </w:p>
        </w:tc>
        <w:tc>
          <w:tcPr>
            <w:tcW w:w="580" w:type="pct"/>
          </w:tcPr>
          <w:p w:rsidR="00CA3B52" w:rsidRPr="00CB6CBA" w:rsidRDefault="00CA3B52" w:rsidP="00F65451">
            <w:pPr>
              <w:pStyle w:val="Tabletext"/>
              <w:jc w:val="center"/>
              <w:rPr>
                <w:szCs w:val="22"/>
                <w:lang w:val="en-US"/>
              </w:rPr>
            </w:pPr>
            <w:r w:rsidRPr="00CB6CBA">
              <w:rPr>
                <w:szCs w:val="22"/>
                <w:lang w:val="en-US"/>
              </w:rPr>
              <w:t>54</w:t>
            </w:r>
          </w:p>
        </w:tc>
      </w:tr>
    </w:tbl>
    <w:p w:rsidR="00CA3B52" w:rsidRPr="00CB6CBA" w:rsidRDefault="00CA3B52" w:rsidP="00CA3B52">
      <w:pPr>
        <w:pStyle w:val="Tablefin"/>
        <w:rPr>
          <w:lang w:val="en-US"/>
        </w:rPr>
      </w:pPr>
    </w:p>
    <w:p w:rsidR="00CA3B52" w:rsidRPr="00CB6CBA" w:rsidRDefault="00CA3B52" w:rsidP="00CA3B52">
      <w:pPr>
        <w:rPr>
          <w:lang w:val="en-US"/>
        </w:rPr>
      </w:pPr>
      <w:r w:rsidRPr="00CB6CBA">
        <w:rPr>
          <w:lang w:val="en-US"/>
        </w:rPr>
        <w:t>e.r.p. is given as:</w:t>
      </w:r>
    </w:p>
    <w:p w:rsidR="00CA3B52" w:rsidRDefault="00CA3B52" w:rsidP="00CA3B52">
      <w:pPr>
        <w:pStyle w:val="Blanc"/>
      </w:pPr>
    </w:p>
    <w:p w:rsidR="00CA3B52" w:rsidRPr="0024702C" w:rsidRDefault="00CA3B52" w:rsidP="00CA3B52">
      <w:pPr>
        <w:pStyle w:val="Equation"/>
        <w:rPr>
          <w:lang w:val="en-US"/>
        </w:rPr>
      </w:pPr>
      <w:r>
        <w:rPr>
          <w:lang w:val="en-US"/>
        </w:rPr>
        <w:tab/>
      </w:r>
      <w:r>
        <w:rPr>
          <w:lang w:val="en-US"/>
        </w:rPr>
        <w:tab/>
      </w:r>
      <w:r w:rsidRPr="0024702C">
        <w:rPr>
          <w:i/>
          <w:iCs/>
          <w:lang w:val="en-US"/>
        </w:rPr>
        <w:t>P</w:t>
      </w:r>
      <w:r w:rsidRPr="0024702C">
        <w:rPr>
          <w:i/>
          <w:iCs/>
          <w:vertAlign w:val="subscript"/>
          <w:lang w:val="en-US"/>
        </w:rPr>
        <w:t>ef</w:t>
      </w:r>
      <w:r w:rsidRPr="0024702C">
        <w:rPr>
          <w:lang w:val="en-US"/>
        </w:rPr>
        <w:t xml:space="preserve"> </w:t>
      </w:r>
      <w:r w:rsidRPr="00CB6CBA">
        <w:rPr>
          <w:rFonts w:ascii="Symbol" w:hAnsi="Symbol"/>
          <w:lang w:val="en-US"/>
        </w:rPr>
        <w:t></w:t>
      </w:r>
      <w:r w:rsidRPr="0024702C">
        <w:rPr>
          <w:lang w:val="en-US"/>
        </w:rPr>
        <w:t xml:space="preserve"> </w:t>
      </w:r>
      <w:r w:rsidRPr="0024702C">
        <w:rPr>
          <w:i/>
          <w:iCs/>
          <w:lang w:val="en-US"/>
        </w:rPr>
        <w:t>P</w:t>
      </w:r>
      <w:r w:rsidRPr="0024702C">
        <w:rPr>
          <w:lang w:val="en-US"/>
        </w:rPr>
        <w:t xml:space="preserve"> </w:t>
      </w:r>
      <w:r w:rsidRPr="00CB6CBA">
        <w:rPr>
          <w:rFonts w:ascii="Symbol" w:hAnsi="Symbol"/>
          <w:lang w:val="en-US"/>
        </w:rPr>
        <w:t></w:t>
      </w:r>
      <w:r w:rsidRPr="0024702C">
        <w:rPr>
          <w:lang w:val="en-US"/>
        </w:rPr>
        <w:t xml:space="preserve"> </w:t>
      </w:r>
      <w:r w:rsidRPr="0024702C">
        <w:rPr>
          <w:i/>
          <w:iCs/>
          <w:lang w:val="en-US"/>
        </w:rPr>
        <w:t>G</w:t>
      </w:r>
      <w:r w:rsidRPr="0024702C">
        <w:rPr>
          <w:i/>
          <w:iCs/>
          <w:vertAlign w:val="subscript"/>
          <w:lang w:val="en-US"/>
        </w:rPr>
        <w:t>t</w:t>
      </w:r>
      <w:r w:rsidRPr="0024702C">
        <w:rPr>
          <w:lang w:val="en-US"/>
        </w:rPr>
        <w:t xml:space="preserve"> </w:t>
      </w:r>
      <w:r w:rsidRPr="00CB6CBA">
        <w:rPr>
          <w:rFonts w:ascii="Symbol" w:hAnsi="Symbol"/>
          <w:lang w:val="en-US"/>
        </w:rPr>
        <w:t></w:t>
      </w:r>
      <w:r w:rsidRPr="0024702C">
        <w:rPr>
          <w:lang w:val="en-US"/>
        </w:rPr>
        <w:t xml:space="preserve"> </w:t>
      </w:r>
      <w:r>
        <w:rPr>
          <w:rFonts w:asciiTheme="majorBidi" w:hAnsiTheme="majorBidi" w:cstheme="majorBidi"/>
          <w:lang w:val="en-US"/>
        </w:rPr>
        <w:sym w:font="Symbol" w:char="F068"/>
      </w:r>
      <w:r>
        <w:rPr>
          <w:lang w:val="en-US"/>
        </w:rPr>
        <w:t>                dBW</w:t>
      </w:r>
      <w:r>
        <w:rPr>
          <w:lang w:val="en-US"/>
        </w:rPr>
        <w:tab/>
        <w:t>(29)</w:t>
      </w:r>
    </w:p>
    <w:p w:rsidR="00CA3B52" w:rsidRPr="00CB6CBA" w:rsidRDefault="00CA3B52" w:rsidP="00CA3B52">
      <w:pPr>
        <w:rPr>
          <w:lang w:val="en-US"/>
        </w:rPr>
      </w:pPr>
      <w:r w:rsidRPr="00CB6CBA">
        <w:rPr>
          <w:lang w:val="en-US"/>
        </w:rPr>
        <w:t>where:</w:t>
      </w:r>
    </w:p>
    <w:p w:rsidR="00CA3B52" w:rsidRPr="00CB6CBA" w:rsidRDefault="00CA3B52" w:rsidP="00F65451">
      <w:pPr>
        <w:pStyle w:val="Equationlegend"/>
      </w:pPr>
      <w:r w:rsidRPr="00CB6CBA">
        <w:rPr>
          <w:i/>
          <w:iCs/>
        </w:rPr>
        <w:tab/>
        <w:t>P</w:t>
      </w:r>
      <w:r w:rsidRPr="00CB6CBA">
        <w:rPr>
          <w:rFonts w:ascii="Tms Rmn" w:hAnsi="Tms Rmn"/>
          <w:sz w:val="12"/>
        </w:rPr>
        <w:t> </w:t>
      </w:r>
      <w:r w:rsidRPr="00CB6CBA">
        <w:rPr>
          <w:i/>
          <w:iCs/>
        </w:rPr>
        <w:t>:</w:t>
      </w:r>
      <w:r w:rsidRPr="00CB6CBA">
        <w:rPr>
          <w:i/>
          <w:iCs/>
        </w:rPr>
        <w:tab/>
      </w:r>
      <w:r w:rsidRPr="00CB6CBA">
        <w:t>transmitter</w:t>
      </w:r>
      <w:r w:rsidRPr="00CB6CBA">
        <w:rPr>
          <w:i/>
          <w:iCs/>
        </w:rPr>
        <w:t xml:space="preserve"> </w:t>
      </w:r>
      <w:r w:rsidRPr="00CB6CBA">
        <w:t xml:space="preserve">power </w:t>
      </w:r>
      <w:r>
        <w:t>(</w:t>
      </w:r>
      <w:r w:rsidRPr="00CB6CBA">
        <w:t>dBW</w:t>
      </w:r>
      <w:r>
        <w:t>)</w:t>
      </w:r>
    </w:p>
    <w:p w:rsidR="00CA3B52" w:rsidRPr="00CB6CBA" w:rsidRDefault="00CA3B52" w:rsidP="00F65451">
      <w:pPr>
        <w:pStyle w:val="Equationlegend"/>
      </w:pPr>
      <w:r w:rsidRPr="00CB6CBA">
        <w:rPr>
          <w:i/>
          <w:iCs/>
        </w:rPr>
        <w:tab/>
        <w:t>G</w:t>
      </w:r>
      <w:r w:rsidRPr="00CB6CBA">
        <w:rPr>
          <w:i/>
          <w:iCs/>
          <w:vertAlign w:val="subscript"/>
        </w:rPr>
        <w:t>t</w:t>
      </w:r>
      <w:r w:rsidRPr="00CB6CBA">
        <w:rPr>
          <w:rFonts w:ascii="Tms Rmn" w:hAnsi="Tms Rmn"/>
          <w:sz w:val="12"/>
        </w:rPr>
        <w:t> </w:t>
      </w:r>
      <w:r w:rsidRPr="00CB6CBA">
        <w:t>:</w:t>
      </w:r>
      <w:r w:rsidRPr="00CB6CBA">
        <w:tab/>
        <w:t>antenna gain against a half-wave dipole (dB)</w:t>
      </w:r>
    </w:p>
    <w:p w:rsidR="00CA3B52" w:rsidRPr="00CB6CBA" w:rsidRDefault="00CA3B52" w:rsidP="00F65451">
      <w:pPr>
        <w:pStyle w:val="Equationlegend"/>
      </w:pPr>
      <w:r w:rsidRPr="00CB6CBA">
        <w:rPr>
          <w:i/>
          <w:iCs/>
        </w:rPr>
        <w:tab/>
      </w:r>
      <w:r>
        <w:rPr>
          <w:rFonts w:asciiTheme="majorBidi" w:hAnsiTheme="majorBidi" w:cstheme="majorBidi"/>
        </w:rPr>
        <w:sym w:font="Symbol" w:char="F068"/>
      </w:r>
      <w:r>
        <w:rPr>
          <w:rFonts w:asciiTheme="majorBidi" w:hAnsiTheme="majorBidi" w:cstheme="majorBidi"/>
        </w:rPr>
        <w:t xml:space="preserve"> </w:t>
      </w:r>
      <w:r>
        <w:rPr>
          <w:rFonts w:ascii="Symbol" w:hAnsi="Symbol"/>
        </w:rPr>
        <w:t></w:t>
      </w:r>
      <w:r w:rsidRPr="00CB6CBA">
        <w:rPr>
          <w:i/>
          <w:iCs/>
        </w:rPr>
        <w:tab/>
      </w:r>
      <w:r w:rsidRPr="00CB6CBA">
        <w:t>feeder losses (dB).</w:t>
      </w:r>
    </w:p>
    <w:p w:rsidR="00CA3B52" w:rsidRPr="00CB6CBA" w:rsidRDefault="00CA3B52" w:rsidP="00CA3B52">
      <w:pPr>
        <w:rPr>
          <w:i/>
          <w:iCs/>
          <w:lang w:val="en-US"/>
        </w:rPr>
      </w:pPr>
      <w:r w:rsidRPr="00CB6CBA">
        <w:rPr>
          <w:lang w:val="en-US"/>
        </w:rPr>
        <w:t xml:space="preserve">For purposes of the given licence fees calculation model it is proposed to accept </w:t>
      </w:r>
      <w:r w:rsidRPr="00D97170">
        <w:sym w:font="Symbol" w:char="F068"/>
      </w:r>
      <w:r w:rsidRPr="00CB6CBA">
        <w:rPr>
          <w:lang w:val="en-US"/>
        </w:rPr>
        <w:t> </w:t>
      </w:r>
      <w:r w:rsidRPr="00CB6CBA">
        <w:rPr>
          <w:rFonts w:ascii="Symbol" w:hAnsi="Symbol"/>
          <w:lang w:val="en-US"/>
        </w:rPr>
        <w:t></w:t>
      </w:r>
      <w:r w:rsidRPr="00CB6CBA">
        <w:rPr>
          <w:lang w:val="en-US"/>
        </w:rPr>
        <w:t> 0</w:t>
      </w:r>
      <w:r w:rsidRPr="00CB6CBA">
        <w:rPr>
          <w:i/>
          <w:iCs/>
          <w:lang w:val="en-US"/>
        </w:rPr>
        <w:t xml:space="preserve"> </w:t>
      </w:r>
      <w:r w:rsidRPr="00CB6CBA">
        <w:rPr>
          <w:lang w:val="en-US"/>
        </w:rPr>
        <w:t>for all cases</w:t>
      </w:r>
      <w:r w:rsidRPr="00CB6CBA">
        <w:rPr>
          <w:i/>
          <w:iCs/>
          <w:lang w:val="en-US"/>
        </w:rPr>
        <w:t>.</w:t>
      </w:r>
    </w:p>
    <w:p w:rsidR="00CA3B52" w:rsidRPr="00CB6CBA" w:rsidRDefault="00CA3B52" w:rsidP="00CA3B52">
      <w:pPr>
        <w:rPr>
          <w:lang w:val="en-US"/>
        </w:rPr>
      </w:pPr>
      <w:r w:rsidRPr="00CB6CBA">
        <w:rPr>
          <w:lang w:val="en-US"/>
        </w:rPr>
        <w:t>It is necessary to note, that under high power and low height antenna conditions and especially for lower frequencies, calculated service area radius exceeds the distance to radio horizon. As far as the quality of the service beyond the radio horizon is significantly decreases it means that excessive transmitter powers are used non-effectively. Relevant distances to radio horizon, when they are less than radiuses of service areas, are indicated by second figures in cells of Tables 4</w:t>
      </w:r>
      <w:r>
        <w:rPr>
          <w:lang w:val="en-US"/>
        </w:rPr>
        <w:t xml:space="preserve"> to </w:t>
      </w:r>
      <w:r w:rsidRPr="00CB6CBA">
        <w:rPr>
          <w:lang w:val="en-US"/>
        </w:rPr>
        <w:t>6.</w:t>
      </w:r>
    </w:p>
    <w:p w:rsidR="00CA3B52" w:rsidRDefault="00CA3B52" w:rsidP="00CA3B52">
      <w:pPr>
        <w:rPr>
          <w:lang w:val="en-US"/>
        </w:rPr>
      </w:pPr>
      <w:r w:rsidRPr="00CB6CBA">
        <w:rPr>
          <w:lang w:val="en-US"/>
        </w:rPr>
        <w:t>It can</w:t>
      </w:r>
      <w:r>
        <w:rPr>
          <w:lang w:val="en-US"/>
        </w:rPr>
        <w:t xml:space="preserve"> be mentioned that data of Figs</w:t>
      </w:r>
      <w:r w:rsidRPr="00CB6CBA">
        <w:rPr>
          <w:lang w:val="en-US"/>
        </w:rPr>
        <w:t xml:space="preserve"> </w:t>
      </w:r>
      <w:r>
        <w:rPr>
          <w:lang w:val="en-US"/>
        </w:rPr>
        <w:t>2</w:t>
      </w:r>
      <w:r w:rsidRPr="00CB6CBA">
        <w:rPr>
          <w:lang w:val="en-US"/>
        </w:rPr>
        <w:t xml:space="preserve"> and </w:t>
      </w:r>
      <w:r>
        <w:rPr>
          <w:lang w:val="en-US"/>
        </w:rPr>
        <w:t>3</w:t>
      </w:r>
      <w:r w:rsidRPr="00CB6CBA">
        <w:rPr>
          <w:lang w:val="en-US"/>
        </w:rPr>
        <w:t xml:space="preserve"> without any re-scaling correspond to data of Tables 5 and 8 for rows belong to 30 dBW (as far as 1 kW equals 30 dBW). For example, distances which correspond to points indicated at curves of these figures and can be read along the abscise axis, are highlighted in related rows of Tables </w:t>
      </w:r>
      <w:r>
        <w:rPr>
          <w:lang w:val="en-US"/>
        </w:rPr>
        <w:t>5 to 8</w:t>
      </w:r>
      <w:r w:rsidRPr="00CB6CBA">
        <w:rPr>
          <w:lang w:val="en-US"/>
        </w:rPr>
        <w:t>.</w:t>
      </w:r>
    </w:p>
    <w:p w:rsidR="00CA3B52" w:rsidRDefault="00CA3B52" w:rsidP="00CA3B52">
      <w:pPr>
        <w:pStyle w:val="FigureNo"/>
        <w:rPr>
          <w:lang w:val="en-US"/>
        </w:rPr>
      </w:pPr>
      <w:r>
        <w:rPr>
          <w:lang w:val="en-US"/>
        </w:rPr>
        <w:lastRenderedPageBreak/>
        <w:t>FIGURE 2</w:t>
      </w:r>
    </w:p>
    <w:p w:rsidR="00CA3B52" w:rsidRPr="00FB1C90" w:rsidRDefault="00CA3B52" w:rsidP="00CA3B52">
      <w:pPr>
        <w:pStyle w:val="Figuretitle"/>
        <w:rPr>
          <w:lang w:val="en-US"/>
        </w:rPr>
      </w:pPr>
      <w:r>
        <w:rPr>
          <w:lang w:val="en-US"/>
        </w:rPr>
        <w:t>Propagation curves for 30-300 MHz frequency band</w:t>
      </w:r>
    </w:p>
    <w:p w:rsidR="00CA3B52" w:rsidRDefault="00CA3B52" w:rsidP="00C65B68">
      <w:pPr>
        <w:pStyle w:val="Figure"/>
        <w:rPr>
          <w:lang w:val="en-US"/>
        </w:rPr>
      </w:pPr>
      <w:r>
        <w:rPr>
          <w:lang w:val="en-US"/>
        </w:rPr>
        <w:object w:dxaOrig="8321" w:dyaOrig="11733">
          <v:shape id="_x0000_i1033" type="#_x0000_t75" style="width:456.8pt;height:642.85pt" o:ole="">
            <v:imagedata r:id="rId38" o:title=""/>
          </v:shape>
          <o:OLEObject Type="Embed" ProgID="CorelDRAW.Graphic.14" ShapeID="_x0000_i1033" DrawAspect="Content" ObjectID="_1511604822" r:id="rId39"/>
        </w:object>
      </w:r>
    </w:p>
    <w:p w:rsidR="00CA3B52" w:rsidRDefault="00CA3B52" w:rsidP="00CA3B52">
      <w:pPr>
        <w:tabs>
          <w:tab w:val="clear" w:pos="794"/>
          <w:tab w:val="clear" w:pos="1191"/>
          <w:tab w:val="clear" w:pos="1588"/>
          <w:tab w:val="clear" w:pos="1985"/>
        </w:tabs>
        <w:overflowPunct/>
        <w:autoSpaceDE/>
        <w:autoSpaceDN/>
        <w:adjustRightInd/>
        <w:spacing w:before="0"/>
        <w:jc w:val="left"/>
        <w:textAlignment w:val="auto"/>
        <w:rPr>
          <w:caps/>
          <w:sz w:val="18"/>
          <w:lang w:val="en-US"/>
        </w:rPr>
      </w:pPr>
      <w:r>
        <w:rPr>
          <w:lang w:val="en-US"/>
        </w:rPr>
        <w:br w:type="page"/>
      </w:r>
    </w:p>
    <w:p w:rsidR="00CA3B52" w:rsidRDefault="00CA3B52" w:rsidP="00CA3B52">
      <w:pPr>
        <w:pStyle w:val="FigureNo"/>
        <w:rPr>
          <w:lang w:val="en-US"/>
        </w:rPr>
      </w:pPr>
      <w:r>
        <w:rPr>
          <w:lang w:val="en-US"/>
        </w:rPr>
        <w:lastRenderedPageBreak/>
        <w:t>Figure 3</w:t>
      </w:r>
    </w:p>
    <w:p w:rsidR="00CA3B52" w:rsidRPr="00121214" w:rsidRDefault="00CA3B52" w:rsidP="00CA3B52">
      <w:pPr>
        <w:pStyle w:val="Figuretitle"/>
        <w:rPr>
          <w:lang w:val="en-US"/>
        </w:rPr>
      </w:pPr>
      <w:r>
        <w:rPr>
          <w:lang w:val="en-US"/>
        </w:rPr>
        <w:t>Propagation curves for 300-1 000 MHz frequency band</w:t>
      </w:r>
    </w:p>
    <w:p w:rsidR="00CA3B52" w:rsidRDefault="00CA3B52" w:rsidP="00C65B68">
      <w:pPr>
        <w:pStyle w:val="Figure"/>
        <w:rPr>
          <w:lang w:val="en-US"/>
        </w:rPr>
      </w:pPr>
      <w:r>
        <w:rPr>
          <w:lang w:val="en-US"/>
        </w:rPr>
        <w:object w:dxaOrig="8275" w:dyaOrig="11721">
          <v:shape id="_x0000_i1034" type="#_x0000_t75" style="width:457.25pt;height:645.2pt" o:ole="">
            <v:imagedata r:id="rId40" o:title=""/>
          </v:shape>
          <o:OLEObject Type="Embed" ProgID="CorelDRAW.Graphic.14" ShapeID="_x0000_i1034" DrawAspect="Content" ObjectID="_1511604823" r:id="rId41"/>
        </w:object>
      </w:r>
    </w:p>
    <w:p w:rsidR="00CA3B52" w:rsidRPr="00CB6CBA" w:rsidRDefault="00CA3B52" w:rsidP="00CA3B52">
      <w:pPr>
        <w:rPr>
          <w:lang w:val="en-US"/>
        </w:rPr>
      </w:pPr>
    </w:p>
    <w:p w:rsidR="00CA3B52" w:rsidRPr="003A28AE" w:rsidRDefault="00CA3B52" w:rsidP="00CA3B52">
      <w:pPr>
        <w:pStyle w:val="TableNo"/>
        <w:rPr>
          <w:lang w:val="en-US"/>
        </w:rPr>
      </w:pPr>
      <w:r w:rsidRPr="005652CA">
        <w:rPr>
          <w:lang w:val="en-US"/>
        </w:rPr>
        <w:lastRenderedPageBreak/>
        <w:t>TABLE</w:t>
      </w:r>
      <w:r w:rsidRPr="003A28AE">
        <w:rPr>
          <w:lang w:val="en-US"/>
        </w:rPr>
        <w:t xml:space="preserve"> 4</w:t>
      </w:r>
    </w:p>
    <w:p w:rsidR="00CA3B52" w:rsidRPr="003A28AE" w:rsidRDefault="00CA3B52" w:rsidP="00CA3B52">
      <w:pPr>
        <w:pStyle w:val="Tabletitle"/>
        <w:rPr>
          <w:lang w:val="en-US"/>
        </w:rPr>
      </w:pPr>
      <w:r w:rsidRPr="003A28AE">
        <w:rPr>
          <w:lang w:val="en-US"/>
        </w:rPr>
        <w:t>Radius of service area (km) for TV below 76 MHz,</w:t>
      </w:r>
      <w:r w:rsidRPr="003A28AE">
        <w:rPr>
          <w:lang w:val="en-US"/>
        </w:rPr>
        <w:br/>
      </w:r>
      <w:r w:rsidRPr="003A28AE">
        <w:rPr>
          <w:i/>
          <w:iCs/>
          <w:lang w:val="en-US"/>
        </w:rPr>
        <w:t>E</w:t>
      </w:r>
      <w:r w:rsidRPr="003A28AE">
        <w:rPr>
          <w:i/>
          <w:iCs/>
          <w:vertAlign w:val="subscript"/>
          <w:lang w:val="en-US"/>
        </w:rPr>
        <w:t>mu</w:t>
      </w:r>
      <w:r w:rsidRPr="003A28AE">
        <w:rPr>
          <w:lang w:val="en-US"/>
        </w:rPr>
        <w:t xml:space="preserve"> = 48 dB(</w:t>
      </w:r>
      <w:r w:rsidRPr="003A28AE">
        <w:rPr>
          <w:lang w:val="en-US"/>
        </w:rPr>
        <w:sym w:font="Symbol" w:char="F06D"/>
      </w:r>
      <w:r w:rsidRPr="003A28AE">
        <w:rPr>
          <w:lang w:val="en-US"/>
        </w:rPr>
        <w:t xml:space="preserve">V/m), </w:t>
      </w:r>
      <w:r w:rsidRPr="003A28AE">
        <w:rPr>
          <w:i/>
          <w:iCs/>
          <w:lang w:val="en-US"/>
        </w:rPr>
        <w:t>f</w:t>
      </w:r>
      <w:r w:rsidRPr="003A28AE">
        <w:rPr>
          <w:i/>
          <w:iCs/>
          <w:vertAlign w:val="subscript"/>
          <w:lang w:val="en-US"/>
        </w:rPr>
        <w:t>c</w:t>
      </w:r>
      <w:r w:rsidRPr="003A28AE">
        <w:rPr>
          <w:lang w:val="en-US"/>
        </w:rPr>
        <w:t xml:space="preserve"> = 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CA3B52" w:rsidRPr="004E6750" w:rsidRDefault="00CA3B52" w:rsidP="00F65451">
            <w:pPr>
              <w:pStyle w:val="Tablehead"/>
              <w:ind w:right="-397"/>
              <w:rPr>
                <w:sz w:val="18"/>
                <w:szCs w:val="18"/>
                <w:lang w:val="en-US"/>
              </w:rPr>
            </w:pPr>
            <w:r w:rsidRPr="004E6750">
              <w:rPr>
                <w:i/>
                <w:iCs/>
                <w:sz w:val="18"/>
                <w:szCs w:val="18"/>
                <w:lang w:val="en-US"/>
              </w:rPr>
              <w:t>h</w:t>
            </w:r>
            <w:r w:rsidRPr="004E6750">
              <w:rPr>
                <w:i/>
                <w:iCs/>
                <w:sz w:val="18"/>
                <w:szCs w:val="18"/>
                <w:vertAlign w:val="subscript"/>
                <w:lang w:val="en-US"/>
              </w:rPr>
              <w:t xml:space="preserve">ef </w:t>
            </w:r>
            <w:r w:rsidRPr="004E6750">
              <w:rPr>
                <w:sz w:val="18"/>
                <w:szCs w:val="18"/>
                <w:lang w:val="en-US"/>
              </w:rPr>
              <w:t>(m)</w:t>
            </w:r>
          </w:p>
          <w:p w:rsidR="00CA3B52" w:rsidRPr="004E6750" w:rsidRDefault="00CA3B52" w:rsidP="00F65451">
            <w:pPr>
              <w:pStyle w:val="Tablehead"/>
              <w:ind w:lef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500</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2D1D5C">
            <w:pPr>
              <w:pStyle w:val="Tabletext"/>
              <w:jc w:val="center"/>
              <w:rPr>
                <w:sz w:val="18"/>
                <w:szCs w:val="18"/>
                <w:lang w:val="en-US"/>
              </w:rPr>
            </w:pPr>
            <w:r w:rsidRPr="00CB6CBA">
              <w:rPr>
                <w:sz w:val="18"/>
                <w:szCs w:val="18"/>
                <w:lang w:val="en-US"/>
              </w:rPr>
              <w:t>15.0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33</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37</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42</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47</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53</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58</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64</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70</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76</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82</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88</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95</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43.0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38/36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47/42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55/49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61/54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70/63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77/71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83/78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87/84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92/90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96/95</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103</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46.0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44/36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54/42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63/49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69/54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78/63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85/71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91/78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95/84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100/90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104/95</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caps/>
                <w:sz w:val="18"/>
                <w:szCs w:val="18"/>
                <w:lang w:val="en-US"/>
              </w:rPr>
            </w:pPr>
            <w:r w:rsidRPr="00CB6CBA">
              <w:rPr>
                <w:sz w:val="18"/>
                <w:szCs w:val="18"/>
                <w:lang w:val="en-US"/>
              </w:rPr>
              <w:t>112/</w:t>
            </w:r>
            <w:r w:rsidRPr="00CB6CBA">
              <w:rPr>
                <w:caps/>
                <w:sz w:val="18"/>
                <w:szCs w:val="18"/>
                <w:lang w:val="en-US"/>
              </w:rPr>
              <w:t>105</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54/36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65/42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73/49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80/54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89/63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97/71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102/78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107/84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112/90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117/95</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caps/>
                <w:sz w:val="18"/>
                <w:szCs w:val="18"/>
                <w:lang w:val="en-US"/>
              </w:rPr>
            </w:pPr>
            <w:r w:rsidRPr="00CB6CBA">
              <w:rPr>
                <w:sz w:val="18"/>
                <w:szCs w:val="18"/>
                <w:lang w:val="en-US"/>
              </w:rPr>
              <w:t>124/</w:t>
            </w:r>
            <w:r w:rsidRPr="00CB6CBA">
              <w:rPr>
                <w:caps/>
                <w:sz w:val="18"/>
                <w:szCs w:val="18"/>
                <w:lang w:val="en-US"/>
              </w:rPr>
              <w:t>105</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69/36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80/42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89/49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96/54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105/63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113/71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119/78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124/84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130/90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135/95</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caps/>
                <w:sz w:val="18"/>
                <w:szCs w:val="18"/>
                <w:lang w:val="en-US"/>
              </w:rPr>
            </w:pPr>
            <w:r w:rsidRPr="00CB6CBA">
              <w:rPr>
                <w:sz w:val="18"/>
                <w:szCs w:val="18"/>
                <w:lang w:val="en-US"/>
              </w:rPr>
              <w:t>143/</w:t>
            </w:r>
            <w:r w:rsidRPr="00CB6CBA">
              <w:rPr>
                <w:caps/>
                <w:sz w:val="18"/>
                <w:szCs w:val="18"/>
                <w:lang w:val="en-US"/>
              </w:rPr>
              <w:t>105</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88/36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100/42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108/49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115/54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125/63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134/71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140/78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145/84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152/90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157/95</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caps/>
                <w:sz w:val="18"/>
                <w:szCs w:val="18"/>
                <w:lang w:val="en-US"/>
              </w:rPr>
            </w:pPr>
            <w:r w:rsidRPr="00CB6CBA">
              <w:rPr>
                <w:sz w:val="18"/>
                <w:szCs w:val="18"/>
                <w:lang w:val="en-US"/>
              </w:rPr>
              <w:t>166/</w:t>
            </w:r>
            <w:r w:rsidRPr="00CB6CBA">
              <w:rPr>
                <w:caps/>
                <w:sz w:val="18"/>
                <w:szCs w:val="18"/>
                <w:lang w:val="en-US"/>
              </w:rPr>
              <w:t>105</w:t>
            </w:r>
          </w:p>
        </w:tc>
      </w:tr>
    </w:tbl>
    <w:p w:rsidR="00CA3B52" w:rsidRDefault="00CA3B52" w:rsidP="00CA3B52">
      <w:pPr>
        <w:pStyle w:val="Tablefin"/>
      </w:pPr>
    </w:p>
    <w:p w:rsidR="00CA3B52" w:rsidRPr="003A28AE" w:rsidRDefault="00CA3B52" w:rsidP="00CA3B52">
      <w:pPr>
        <w:pStyle w:val="TableNo"/>
        <w:rPr>
          <w:lang w:val="en-US"/>
        </w:rPr>
      </w:pPr>
      <w:r w:rsidRPr="009F7DB5">
        <w:t>TABLE</w:t>
      </w:r>
      <w:r w:rsidRPr="003A28AE">
        <w:rPr>
          <w:lang w:val="en-US"/>
        </w:rPr>
        <w:t xml:space="preserve"> 5</w:t>
      </w:r>
    </w:p>
    <w:p w:rsidR="00CA3B52" w:rsidRPr="003A28AE" w:rsidRDefault="00CA3B52" w:rsidP="00CA3B52">
      <w:pPr>
        <w:pStyle w:val="Tabletitle"/>
        <w:rPr>
          <w:lang w:val="en-US"/>
        </w:rPr>
      </w:pPr>
      <w:r w:rsidRPr="003A28AE">
        <w:rPr>
          <w:lang w:val="en-US"/>
        </w:rPr>
        <w:t>Radius of service area (km) for TV in 76-108 MHz,</w:t>
      </w:r>
      <w:r w:rsidRPr="003A28AE">
        <w:rPr>
          <w:lang w:val="en-US"/>
        </w:rPr>
        <w:br/>
      </w:r>
      <w:r w:rsidRPr="003A28AE">
        <w:rPr>
          <w:i/>
          <w:iCs/>
          <w:lang w:val="en-US"/>
        </w:rPr>
        <w:t>E</w:t>
      </w:r>
      <w:r w:rsidRPr="003A28AE">
        <w:rPr>
          <w:i/>
          <w:iCs/>
          <w:vertAlign w:val="subscript"/>
          <w:lang w:val="en-US"/>
        </w:rPr>
        <w:t>mu</w:t>
      </w:r>
      <w:r w:rsidRPr="003A28AE">
        <w:rPr>
          <w:lang w:val="en-US"/>
        </w:rPr>
        <w:t xml:space="preserve"> </w:t>
      </w:r>
      <w:r w:rsidRPr="003A28AE">
        <w:rPr>
          <w:rFonts w:ascii="Symbol" w:hAnsi="Symbol"/>
          <w:lang w:val="en-US"/>
        </w:rPr>
        <w:t></w:t>
      </w:r>
      <w:r w:rsidRPr="003A28AE">
        <w:rPr>
          <w:lang w:val="en-US"/>
        </w:rPr>
        <w:t xml:space="preserve"> 52 dB(</w:t>
      </w:r>
      <w:r w:rsidRPr="003A28AE">
        <w:rPr>
          <w:rFonts w:ascii="Symbol" w:hAnsi="Symbol"/>
          <w:lang w:val="en-US"/>
        </w:rPr>
        <w:t></w:t>
      </w:r>
      <w:r w:rsidRPr="003A28AE">
        <w:rPr>
          <w:lang w:val="en-US"/>
        </w:rPr>
        <w:t xml:space="preserve">V/m), </w:t>
      </w:r>
      <w:r w:rsidRPr="003A28AE">
        <w:rPr>
          <w:i/>
          <w:iCs/>
          <w:lang w:val="en-US"/>
        </w:rPr>
        <w:t>f</w:t>
      </w:r>
      <w:r w:rsidRPr="003A28AE">
        <w:rPr>
          <w:i/>
          <w:iCs/>
          <w:vertAlign w:val="subscript"/>
          <w:lang w:val="en-US"/>
        </w:rPr>
        <w:t>c</w:t>
      </w:r>
      <w:r w:rsidRPr="003A28AE">
        <w:rPr>
          <w:lang w:val="en-US"/>
        </w:rPr>
        <w:t xml:space="preserve"> </w:t>
      </w:r>
      <w:r w:rsidRPr="003A28AE">
        <w:rPr>
          <w:rFonts w:ascii="Symbol" w:hAnsi="Symbol"/>
          <w:lang w:val="en-US"/>
        </w:rPr>
        <w:t></w:t>
      </w:r>
      <w:r w:rsidRPr="003A28AE">
        <w:rPr>
          <w:lang w:val="en-US"/>
        </w:rPr>
        <w:t xml:space="preserve">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CA3B52" w:rsidRPr="004E6750" w:rsidRDefault="00CA3B52" w:rsidP="00F65451">
            <w:pPr>
              <w:pStyle w:val="Tablehead"/>
              <w:ind w:right="-397"/>
              <w:rPr>
                <w:sz w:val="18"/>
                <w:szCs w:val="18"/>
                <w:lang w:val="en-US"/>
              </w:rPr>
            </w:pPr>
            <w:r w:rsidRPr="004E6750">
              <w:rPr>
                <w:i/>
                <w:iCs/>
                <w:sz w:val="18"/>
                <w:szCs w:val="18"/>
                <w:lang w:val="en-US"/>
              </w:rPr>
              <w:t>h</w:t>
            </w:r>
            <w:r w:rsidRPr="004E6750">
              <w:rPr>
                <w:i/>
                <w:iCs/>
                <w:sz w:val="18"/>
                <w:szCs w:val="18"/>
                <w:vertAlign w:val="subscript"/>
                <w:lang w:val="en-US"/>
              </w:rPr>
              <w:t>ef</w:t>
            </w:r>
            <w:r w:rsidRPr="004E6750">
              <w:rPr>
                <w:sz w:val="18"/>
                <w:szCs w:val="18"/>
                <w:lang w:val="en-US"/>
              </w:rPr>
              <w:t xml:space="preserve"> (m)</w:t>
            </w:r>
          </w:p>
          <w:p w:rsidR="00CA3B52" w:rsidRPr="004E6750" w:rsidRDefault="00CA3B52" w:rsidP="00F65451">
            <w:pPr>
              <w:pStyle w:val="Tablehead"/>
              <w:ind w:left="-113" w:right="-340"/>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500</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2D1D5C">
            <w:pPr>
              <w:pStyle w:val="Tabletext"/>
              <w:jc w:val="center"/>
              <w:rPr>
                <w:sz w:val="18"/>
                <w:szCs w:val="18"/>
                <w:lang w:val="en-US"/>
              </w:rPr>
            </w:pPr>
            <w:r w:rsidRPr="00CB6CBA">
              <w:rPr>
                <w:sz w:val="18"/>
                <w:szCs w:val="18"/>
                <w:lang w:val="en-US"/>
              </w:rPr>
              <w:t>15.0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26</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30</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34</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39</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43</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48</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b/>
                <w:bCs/>
                <w:sz w:val="18"/>
                <w:szCs w:val="18"/>
                <w:lang w:val="en-US"/>
              </w:rPr>
            </w:pPr>
            <w:r w:rsidRPr="00CB6CBA">
              <w:rPr>
                <w:b/>
                <w:bCs/>
                <w:sz w:val="18"/>
                <w:szCs w:val="18"/>
                <w:lang w:val="en-US"/>
              </w:rPr>
              <w:t>30.0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b/>
                <w:bCs/>
                <w:sz w:val="18"/>
                <w:szCs w:val="18"/>
                <w:lang w:val="en-US"/>
              </w:rPr>
            </w:pPr>
            <w:r w:rsidRPr="00CB6CBA">
              <w:rPr>
                <w:b/>
                <w:bCs/>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b/>
                <w:bCs/>
                <w:sz w:val="18"/>
                <w:szCs w:val="18"/>
                <w:lang w:val="en-US"/>
              </w:rPr>
            </w:pPr>
            <w:r w:rsidRPr="00CB6CBA">
              <w:rPr>
                <w:b/>
                <w:bCs/>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b/>
                <w:bCs/>
                <w:sz w:val="18"/>
                <w:szCs w:val="18"/>
                <w:lang w:val="en-US"/>
              </w:rPr>
            </w:pPr>
            <w:r w:rsidRPr="00CB6CBA">
              <w:rPr>
                <w:b/>
                <w:bCs/>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53</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59</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64</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70</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26.3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32.8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38.7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43.8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51.4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57.8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62.9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67.0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71.4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75.2</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81.7</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43.0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82</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89</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46.0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37/36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43/42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51/49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56/54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65/63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72/71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90</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97</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43/36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52/42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60/49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66/54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75/63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82/71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87/78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91/84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96/90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101/95</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108/105</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54/36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65/42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73/49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80/54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88/63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96/71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101/78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106/84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111/90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116/95</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123/105</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69/36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80/42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89/49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95/54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104/63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112/71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118/78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123/84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129/90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133/95</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141/105</w:t>
            </w:r>
          </w:p>
        </w:tc>
      </w:tr>
    </w:tbl>
    <w:p w:rsidR="00CA3B52" w:rsidRPr="00CB6CBA" w:rsidRDefault="00CA3B52" w:rsidP="00CA3B52">
      <w:pPr>
        <w:pStyle w:val="Tablefin"/>
      </w:pPr>
    </w:p>
    <w:p w:rsidR="00CA3B52" w:rsidRDefault="00CA3B52" w:rsidP="00CA3B52">
      <w:pPr>
        <w:tabs>
          <w:tab w:val="clear" w:pos="794"/>
          <w:tab w:val="clear" w:pos="1191"/>
          <w:tab w:val="clear" w:pos="1588"/>
          <w:tab w:val="clear" w:pos="1985"/>
        </w:tabs>
        <w:overflowPunct/>
        <w:autoSpaceDE/>
        <w:autoSpaceDN/>
        <w:adjustRightInd/>
        <w:spacing w:before="0"/>
        <w:jc w:val="left"/>
        <w:textAlignment w:val="auto"/>
        <w:rPr>
          <w:caps/>
          <w:sz w:val="20"/>
          <w:lang w:val="en-US"/>
        </w:rPr>
      </w:pPr>
      <w:r>
        <w:rPr>
          <w:caps/>
          <w:sz w:val="20"/>
          <w:lang w:val="en-US"/>
        </w:rPr>
        <w:br w:type="page"/>
      </w:r>
    </w:p>
    <w:p w:rsidR="00CA3B52" w:rsidRPr="003A28AE" w:rsidRDefault="00CA3B52" w:rsidP="00CA3B52">
      <w:pPr>
        <w:pStyle w:val="TableNo"/>
        <w:rPr>
          <w:lang w:val="en-US"/>
        </w:rPr>
      </w:pPr>
      <w:r w:rsidRPr="003A28AE">
        <w:rPr>
          <w:lang w:val="en-US"/>
        </w:rPr>
        <w:lastRenderedPageBreak/>
        <w:t>TABLE 6</w:t>
      </w:r>
    </w:p>
    <w:p w:rsidR="00CA3B52" w:rsidRPr="003A28AE" w:rsidRDefault="00CA3B52" w:rsidP="00CA3B52">
      <w:pPr>
        <w:pStyle w:val="Tabletitle"/>
        <w:rPr>
          <w:lang w:val="en-US"/>
        </w:rPr>
      </w:pPr>
      <w:r w:rsidRPr="003A28AE">
        <w:rPr>
          <w:lang w:val="en-US"/>
        </w:rPr>
        <w:t xml:space="preserve">Radius of service </w:t>
      </w:r>
      <w:r w:rsidRPr="005652CA">
        <w:rPr>
          <w:lang w:val="en-US"/>
        </w:rPr>
        <w:t>area</w:t>
      </w:r>
      <w:r w:rsidRPr="003A28AE">
        <w:rPr>
          <w:lang w:val="en-US"/>
        </w:rPr>
        <w:t xml:space="preserve"> (km) for TV in 108-230 MHz,</w:t>
      </w:r>
      <w:r w:rsidRPr="003A28AE">
        <w:rPr>
          <w:lang w:val="en-US"/>
        </w:rPr>
        <w:br/>
      </w:r>
      <w:r w:rsidRPr="003A28AE">
        <w:rPr>
          <w:i/>
          <w:iCs/>
          <w:lang w:val="en-US"/>
        </w:rPr>
        <w:t>E</w:t>
      </w:r>
      <w:r w:rsidRPr="003A28AE">
        <w:rPr>
          <w:i/>
          <w:iCs/>
          <w:vertAlign w:val="subscript"/>
          <w:lang w:val="en-US"/>
        </w:rPr>
        <w:t>mu</w:t>
      </w:r>
      <w:r w:rsidRPr="003A28AE">
        <w:rPr>
          <w:lang w:val="en-US"/>
        </w:rPr>
        <w:t xml:space="preserve"> </w:t>
      </w:r>
      <w:r w:rsidRPr="003A28AE">
        <w:rPr>
          <w:rFonts w:ascii="Symbol" w:hAnsi="Symbol"/>
          <w:lang w:val="en-US"/>
        </w:rPr>
        <w:t></w:t>
      </w:r>
      <w:r w:rsidRPr="003A28AE">
        <w:rPr>
          <w:lang w:val="en-US"/>
        </w:rPr>
        <w:t xml:space="preserve"> 55 dB(</w:t>
      </w:r>
      <w:r w:rsidRPr="003A28AE">
        <w:rPr>
          <w:rFonts w:ascii="Symbol" w:hAnsi="Symbol"/>
          <w:lang w:val="en-US"/>
        </w:rPr>
        <w:t></w:t>
      </w:r>
      <w:r w:rsidRPr="003A28AE">
        <w:rPr>
          <w:lang w:val="en-US"/>
        </w:rPr>
        <w:t xml:space="preserve">V/m), </w:t>
      </w:r>
      <w:r w:rsidRPr="003A28AE">
        <w:rPr>
          <w:i/>
          <w:iCs/>
          <w:lang w:val="en-US"/>
        </w:rPr>
        <w:t>f</w:t>
      </w:r>
      <w:r w:rsidRPr="003A28AE">
        <w:rPr>
          <w:i/>
          <w:iCs/>
          <w:vertAlign w:val="subscript"/>
          <w:lang w:val="en-US"/>
        </w:rPr>
        <w:t>c</w:t>
      </w:r>
      <w:r w:rsidRPr="003A28AE">
        <w:rPr>
          <w:lang w:val="en-US"/>
        </w:rPr>
        <w:t xml:space="preserve"> </w:t>
      </w:r>
      <w:r w:rsidRPr="003A28AE">
        <w:rPr>
          <w:rFonts w:ascii="Symbol" w:hAnsi="Symbol"/>
          <w:lang w:val="en-US"/>
        </w:rPr>
        <w:t></w:t>
      </w:r>
      <w:r w:rsidRPr="003A28AE">
        <w:rPr>
          <w:lang w:val="en-US"/>
        </w:rPr>
        <w:t xml:space="preserve"> 150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CA3B52" w:rsidRPr="004E6750" w:rsidRDefault="00CA3B52" w:rsidP="00F65451">
            <w:pPr>
              <w:pStyle w:val="Tablehead"/>
              <w:ind w:right="-284"/>
              <w:rPr>
                <w:sz w:val="18"/>
                <w:szCs w:val="18"/>
                <w:lang w:val="en-US"/>
              </w:rPr>
            </w:pPr>
            <w:r w:rsidRPr="004E6750">
              <w:rPr>
                <w:i/>
                <w:iCs/>
                <w:sz w:val="18"/>
                <w:szCs w:val="18"/>
                <w:lang w:val="en-US"/>
              </w:rPr>
              <w:t>h</w:t>
            </w:r>
            <w:r w:rsidRPr="004E6750">
              <w:rPr>
                <w:i/>
                <w:iCs/>
                <w:sz w:val="18"/>
                <w:szCs w:val="18"/>
                <w:vertAlign w:val="subscript"/>
                <w:lang w:val="en-US"/>
              </w:rPr>
              <w:t>ef</w:t>
            </w:r>
            <w:r>
              <w:rPr>
                <w:sz w:val="18"/>
                <w:szCs w:val="18"/>
                <w:lang w:val="en-US"/>
              </w:rPr>
              <w:t xml:space="preserve"> </w:t>
            </w:r>
            <w:r w:rsidRPr="004E6750">
              <w:rPr>
                <w:sz w:val="18"/>
                <w:szCs w:val="18"/>
                <w:lang w:val="en-US"/>
              </w:rPr>
              <w:t>(m)</w:t>
            </w:r>
          </w:p>
          <w:p w:rsidR="00CA3B52" w:rsidRPr="004E6750" w:rsidRDefault="00CA3B52" w:rsidP="00F65451">
            <w:pPr>
              <w:pStyle w:val="Tablehead"/>
              <w:ind w:left="-113" w:righ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500</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22</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25</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29</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33</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37</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41</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45</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51</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55</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61</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65</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72</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43.0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72</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78</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46.0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79</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85</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36/36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43/42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50/49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56/54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64/63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89</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95</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50/36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54/42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62/49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68/54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76/63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83/71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88/78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93/84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97/90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102/95</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109/105</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57/36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67/42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75/49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81/54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90/63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97/71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103/78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107/84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113/90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117/95</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125/105</w:t>
            </w:r>
          </w:p>
        </w:tc>
      </w:tr>
    </w:tbl>
    <w:p w:rsidR="00CA3B52" w:rsidRPr="00CB6CBA" w:rsidRDefault="00CA3B52" w:rsidP="00CA3B52">
      <w:pPr>
        <w:pStyle w:val="Tablefin"/>
        <w:rPr>
          <w:lang w:val="en-US"/>
        </w:rPr>
      </w:pPr>
    </w:p>
    <w:p w:rsidR="00CA3B52" w:rsidRPr="00607465" w:rsidRDefault="00CA3B52" w:rsidP="00CA3B52">
      <w:pPr>
        <w:pStyle w:val="TableNo"/>
        <w:rPr>
          <w:lang w:val="en-US"/>
        </w:rPr>
      </w:pPr>
      <w:r w:rsidRPr="009F7DB5">
        <w:t>TABLE</w:t>
      </w:r>
      <w:r w:rsidRPr="00607465">
        <w:rPr>
          <w:lang w:val="en-US"/>
        </w:rPr>
        <w:t xml:space="preserve"> 7</w:t>
      </w:r>
    </w:p>
    <w:p w:rsidR="00CA3B52" w:rsidRPr="00607465" w:rsidRDefault="00CA3B52" w:rsidP="00CA3B52">
      <w:pPr>
        <w:pStyle w:val="Tabletitle"/>
        <w:rPr>
          <w:lang w:val="en-US"/>
        </w:rPr>
      </w:pPr>
      <w:r w:rsidRPr="00607465">
        <w:rPr>
          <w:lang w:val="en-US"/>
        </w:rPr>
        <w:t xml:space="preserve">Radius of service area (km) </w:t>
      </w:r>
      <w:r w:rsidRPr="005652CA">
        <w:rPr>
          <w:lang w:val="en-US"/>
        </w:rPr>
        <w:t>for</w:t>
      </w:r>
      <w:r w:rsidRPr="00607465">
        <w:rPr>
          <w:lang w:val="en-US"/>
        </w:rPr>
        <w:t xml:space="preserve"> TV in 230-528 MHz,</w:t>
      </w:r>
      <w:r w:rsidRPr="00607465">
        <w:rPr>
          <w:lang w:val="en-US"/>
        </w:rPr>
        <w:br/>
      </w:r>
      <w:r w:rsidRPr="00607465">
        <w:rPr>
          <w:i/>
          <w:iCs/>
          <w:lang w:val="en-US"/>
        </w:rPr>
        <w:t>E</w:t>
      </w:r>
      <w:r w:rsidRPr="00607465">
        <w:rPr>
          <w:i/>
          <w:iCs/>
          <w:vertAlign w:val="subscript"/>
          <w:lang w:val="en-US"/>
        </w:rPr>
        <w:t>mu</w:t>
      </w:r>
      <w:r w:rsidRPr="00607465">
        <w:rPr>
          <w:lang w:val="en-US"/>
        </w:rPr>
        <w:t xml:space="preserve"> </w:t>
      </w:r>
      <w:r w:rsidRPr="00607465">
        <w:rPr>
          <w:rFonts w:ascii="Symbol" w:hAnsi="Symbol"/>
          <w:lang w:val="en-US"/>
        </w:rPr>
        <w:t></w:t>
      </w:r>
      <w:r w:rsidRPr="00607465">
        <w:rPr>
          <w:lang w:val="en-US"/>
        </w:rPr>
        <w:t xml:space="preserve"> 65 dB(</w:t>
      </w:r>
      <w:r w:rsidRPr="00607465">
        <w:rPr>
          <w:rFonts w:ascii="Symbol" w:hAnsi="Symbol"/>
          <w:lang w:val="en-US"/>
        </w:rPr>
        <w:t></w:t>
      </w:r>
      <w:r w:rsidRPr="00607465">
        <w:rPr>
          <w:lang w:val="en-US"/>
        </w:rPr>
        <w:t xml:space="preserve">V/m), </w:t>
      </w:r>
      <w:r w:rsidRPr="00607465">
        <w:rPr>
          <w:i/>
          <w:iCs/>
          <w:lang w:val="en-US"/>
        </w:rPr>
        <w:t>f</w:t>
      </w:r>
      <w:r w:rsidRPr="00607465">
        <w:rPr>
          <w:i/>
          <w:iCs/>
          <w:vertAlign w:val="subscript"/>
          <w:lang w:val="en-US"/>
        </w:rPr>
        <w:t>c</w:t>
      </w:r>
      <w:r w:rsidRPr="00607465">
        <w:rPr>
          <w:i/>
          <w:iCs/>
          <w:lang w:val="en-US"/>
        </w:rPr>
        <w:t xml:space="preserve"> </w:t>
      </w:r>
      <w:r w:rsidRPr="00607465">
        <w:rPr>
          <w:rFonts w:ascii="Symbol" w:hAnsi="Symbol"/>
          <w:iCs/>
          <w:lang w:val="en-US"/>
        </w:rPr>
        <w:t></w:t>
      </w:r>
      <w:r w:rsidRPr="00607465">
        <w:rPr>
          <w:i/>
          <w:iCs/>
          <w:lang w:val="en-US"/>
        </w:rPr>
        <w:t xml:space="preserve"> </w:t>
      </w:r>
      <w:r w:rsidRPr="00607465">
        <w:rPr>
          <w:lang w:val="en-US"/>
        </w:rPr>
        <w:t>250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CA3B52" w:rsidRPr="004E6750" w:rsidRDefault="00CA3B52" w:rsidP="00F65451">
            <w:pPr>
              <w:pStyle w:val="Tablehead"/>
              <w:ind w:right="-227"/>
              <w:rPr>
                <w:sz w:val="18"/>
                <w:szCs w:val="18"/>
                <w:lang w:val="en-US"/>
              </w:rPr>
            </w:pPr>
            <w:r w:rsidRPr="004E6750">
              <w:rPr>
                <w:i/>
                <w:iCs/>
                <w:sz w:val="18"/>
                <w:szCs w:val="18"/>
                <w:lang w:val="en-US"/>
              </w:rPr>
              <w:t>h</w:t>
            </w:r>
            <w:r w:rsidRPr="004E6750">
              <w:rPr>
                <w:i/>
                <w:iCs/>
                <w:sz w:val="18"/>
                <w:szCs w:val="18"/>
                <w:vertAlign w:val="subscript"/>
                <w:lang w:val="en-US"/>
              </w:rPr>
              <w:t>ef</w:t>
            </w:r>
            <w:r w:rsidRPr="004E6750">
              <w:rPr>
                <w:sz w:val="18"/>
                <w:szCs w:val="18"/>
                <w:lang w:val="en-US"/>
              </w:rPr>
              <w:t xml:space="preserve"> (m)</w:t>
            </w:r>
          </w:p>
          <w:p w:rsidR="00CA3B52" w:rsidRPr="004E6750" w:rsidRDefault="00CA3B52" w:rsidP="00F65451">
            <w:pPr>
              <w:pStyle w:val="Tablehead"/>
              <w:ind w:left="-113" w:righ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500</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2D1D5C">
            <w:pPr>
              <w:pStyle w:val="Tabletext"/>
              <w:jc w:val="center"/>
              <w:rPr>
                <w:sz w:val="18"/>
                <w:szCs w:val="18"/>
                <w:lang w:val="en-US"/>
              </w:rPr>
            </w:pPr>
            <w:r w:rsidRPr="00CB6CBA">
              <w:rPr>
                <w:sz w:val="18"/>
                <w:szCs w:val="18"/>
                <w:lang w:val="en-US"/>
              </w:rPr>
              <w:t>15.0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12</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15</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18</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21</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25</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28</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32</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36</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41</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44</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49</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43.0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49</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55</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46.0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55</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60</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62</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68</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73</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79</w:t>
            </w:r>
          </w:p>
        </w:tc>
      </w:tr>
      <w:tr w:rsidR="00CA3B52" w:rsidRPr="00CB6CBA" w:rsidTr="00357EBB">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84</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90</w:t>
            </w:r>
          </w:p>
        </w:tc>
      </w:tr>
    </w:tbl>
    <w:p w:rsidR="00CA3B52" w:rsidRPr="00CB6CBA" w:rsidRDefault="00CA3B52" w:rsidP="00CA3B52">
      <w:pPr>
        <w:pStyle w:val="Tablefin"/>
        <w:rPr>
          <w:lang w:val="en-US"/>
        </w:rPr>
      </w:pPr>
    </w:p>
    <w:p w:rsidR="00CA3B52" w:rsidRDefault="00CA3B52" w:rsidP="00CA3B52">
      <w:pPr>
        <w:tabs>
          <w:tab w:val="clear" w:pos="794"/>
          <w:tab w:val="clear" w:pos="1191"/>
          <w:tab w:val="clear" w:pos="1588"/>
          <w:tab w:val="clear" w:pos="1985"/>
        </w:tabs>
        <w:overflowPunct/>
        <w:autoSpaceDE/>
        <w:autoSpaceDN/>
        <w:adjustRightInd/>
        <w:spacing w:before="0"/>
        <w:jc w:val="left"/>
        <w:textAlignment w:val="auto"/>
      </w:pPr>
      <w:r>
        <w:br w:type="page"/>
      </w:r>
    </w:p>
    <w:p w:rsidR="00CA3B52" w:rsidRPr="00110817" w:rsidRDefault="00CA3B52" w:rsidP="00F65451">
      <w:pPr>
        <w:pStyle w:val="TableNo"/>
        <w:rPr>
          <w:lang w:val="en-US"/>
        </w:rPr>
      </w:pPr>
      <w:r w:rsidRPr="009F7DB5">
        <w:lastRenderedPageBreak/>
        <w:t>TABLE</w:t>
      </w:r>
      <w:r w:rsidRPr="00110817">
        <w:rPr>
          <w:lang w:val="en-US"/>
        </w:rPr>
        <w:t xml:space="preserve"> 8</w:t>
      </w:r>
    </w:p>
    <w:p w:rsidR="00CA3B52" w:rsidRPr="00110817" w:rsidRDefault="00CA3B52" w:rsidP="00CA3B52">
      <w:pPr>
        <w:pStyle w:val="Tabletitle"/>
        <w:rPr>
          <w:lang w:val="en-US"/>
        </w:rPr>
      </w:pPr>
      <w:r w:rsidRPr="00110817">
        <w:rPr>
          <w:lang w:val="en-US"/>
        </w:rPr>
        <w:t>Radius of service area (km) for TV above 528 MHz,</w:t>
      </w:r>
      <w:r w:rsidRPr="00110817">
        <w:rPr>
          <w:lang w:val="en-US"/>
        </w:rPr>
        <w:br/>
      </w:r>
      <w:r w:rsidRPr="00110817">
        <w:rPr>
          <w:i/>
          <w:iCs/>
          <w:lang w:val="en-US"/>
        </w:rPr>
        <w:t>E</w:t>
      </w:r>
      <w:r w:rsidRPr="00110817">
        <w:rPr>
          <w:i/>
          <w:iCs/>
          <w:vertAlign w:val="subscript"/>
          <w:lang w:val="en-US"/>
        </w:rPr>
        <w:t>mu</w:t>
      </w:r>
      <w:r w:rsidRPr="00110817">
        <w:rPr>
          <w:lang w:val="en-US"/>
        </w:rPr>
        <w:t xml:space="preserve"> </w:t>
      </w:r>
      <w:r w:rsidRPr="00110817">
        <w:rPr>
          <w:rFonts w:ascii="Symbol" w:hAnsi="Symbol"/>
          <w:lang w:val="en-US"/>
        </w:rPr>
        <w:t></w:t>
      </w:r>
      <w:r w:rsidRPr="00110817">
        <w:rPr>
          <w:lang w:val="en-US"/>
        </w:rPr>
        <w:t xml:space="preserve"> 70 dB(</w:t>
      </w:r>
      <w:r w:rsidRPr="00110817">
        <w:rPr>
          <w:rFonts w:ascii="Symbol" w:hAnsi="Symbol"/>
          <w:lang w:val="en-US"/>
        </w:rPr>
        <w:t></w:t>
      </w:r>
      <w:r w:rsidRPr="00110817">
        <w:rPr>
          <w:lang w:val="en-US"/>
        </w:rPr>
        <w:t xml:space="preserve">V/m), </w:t>
      </w:r>
      <w:r w:rsidRPr="00110817">
        <w:rPr>
          <w:i/>
          <w:iCs/>
          <w:lang w:val="en-US"/>
        </w:rPr>
        <w:t>f</w:t>
      </w:r>
      <w:r w:rsidRPr="00110817">
        <w:rPr>
          <w:i/>
          <w:iCs/>
          <w:vertAlign w:val="subscript"/>
          <w:lang w:val="en-US"/>
        </w:rPr>
        <w:t>c</w:t>
      </w:r>
      <w:r w:rsidRPr="00110817">
        <w:rPr>
          <w:lang w:val="en-US"/>
        </w:rPr>
        <w:t xml:space="preserve"> </w:t>
      </w:r>
      <w:r w:rsidRPr="00110817">
        <w:rPr>
          <w:rFonts w:ascii="Symbol" w:hAnsi="Symbol"/>
          <w:lang w:val="en-US"/>
        </w:rPr>
        <w:t></w:t>
      </w:r>
      <w:r w:rsidRPr="00110817">
        <w:rPr>
          <w:lang w:val="en-US"/>
        </w:rPr>
        <w:t xml:space="preserve">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CA3B52" w:rsidRPr="004E6750" w:rsidRDefault="00CA3B52" w:rsidP="00F65451">
            <w:pPr>
              <w:pStyle w:val="Tablehead"/>
              <w:ind w:right="-340"/>
              <w:rPr>
                <w:sz w:val="18"/>
                <w:szCs w:val="18"/>
                <w:lang w:val="en-US"/>
              </w:rPr>
            </w:pPr>
            <w:r w:rsidRPr="004E6750">
              <w:rPr>
                <w:i/>
                <w:iCs/>
                <w:sz w:val="18"/>
                <w:szCs w:val="18"/>
                <w:lang w:val="en-US"/>
              </w:rPr>
              <w:t>h</w:t>
            </w:r>
            <w:r w:rsidRPr="004E6750">
              <w:rPr>
                <w:i/>
                <w:iCs/>
                <w:sz w:val="18"/>
                <w:szCs w:val="18"/>
                <w:vertAlign w:val="subscript"/>
                <w:lang w:val="en-US"/>
              </w:rPr>
              <w:t>ef</w:t>
            </w:r>
            <w:r w:rsidRPr="004E6750">
              <w:rPr>
                <w:sz w:val="18"/>
                <w:szCs w:val="18"/>
                <w:lang w:val="en-US"/>
              </w:rPr>
              <w:t xml:space="preserve"> (m)</w:t>
            </w:r>
          </w:p>
          <w:p w:rsidR="00CA3B52" w:rsidRPr="004E6750" w:rsidRDefault="00CA3B52" w:rsidP="00F65451">
            <w:pPr>
              <w:pStyle w:val="Tablehead"/>
              <w:ind w:lef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500</w:t>
            </w:r>
          </w:p>
        </w:tc>
      </w:tr>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2D1D5C">
            <w:pPr>
              <w:pStyle w:val="Tabletext"/>
              <w:jc w:val="center"/>
              <w:rPr>
                <w:sz w:val="18"/>
                <w:szCs w:val="18"/>
                <w:lang w:val="en-US"/>
              </w:rPr>
            </w:pPr>
            <w:r w:rsidRPr="00CB6CBA">
              <w:rPr>
                <w:sz w:val="18"/>
                <w:szCs w:val="18"/>
                <w:lang w:val="en-US"/>
              </w:rPr>
              <w:t>15.0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w:t>
            </w:r>
          </w:p>
        </w:tc>
      </w:tr>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w:t>
            </w:r>
          </w:p>
        </w:tc>
      </w:tr>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15</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17</w:t>
            </w:r>
          </w:p>
        </w:tc>
      </w:tr>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b/>
                <w:bCs/>
                <w:sz w:val="18"/>
                <w:szCs w:val="18"/>
                <w:lang w:val="en-US"/>
              </w:rPr>
            </w:pPr>
            <w:r w:rsidRPr="00CB6CBA">
              <w:rPr>
                <w:b/>
                <w:bCs/>
                <w:sz w:val="18"/>
                <w:szCs w:val="18"/>
                <w:lang w:val="en-US"/>
              </w:rPr>
              <w:t>30.0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b/>
                <w:bCs/>
                <w:sz w:val="18"/>
                <w:szCs w:val="18"/>
                <w:lang w:val="en-US"/>
              </w:rPr>
            </w:pPr>
            <w:r w:rsidRPr="00CB6CBA">
              <w:rPr>
                <w:b/>
                <w:bCs/>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b/>
                <w:bCs/>
                <w:sz w:val="18"/>
                <w:szCs w:val="18"/>
                <w:lang w:val="en-US"/>
              </w:rPr>
            </w:pPr>
            <w:r w:rsidRPr="00CB6CBA">
              <w:rPr>
                <w:b/>
                <w:bCs/>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b/>
                <w:bCs/>
                <w:sz w:val="18"/>
                <w:szCs w:val="18"/>
                <w:lang w:val="en-US"/>
              </w:rPr>
            </w:pPr>
            <w:r w:rsidRPr="00CB6CBA">
              <w:rPr>
                <w:b/>
                <w:bCs/>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21</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24</w:t>
            </w:r>
          </w:p>
        </w:tc>
      </w:tr>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27</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31</w:t>
            </w:r>
          </w:p>
        </w:tc>
      </w:tr>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35</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39</w:t>
            </w:r>
          </w:p>
        </w:tc>
      </w:tr>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43.0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39</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44</w:t>
            </w:r>
          </w:p>
        </w:tc>
      </w:tr>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46.0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44</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49</w:t>
            </w:r>
          </w:p>
        </w:tc>
      </w:tr>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50</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55</w:t>
            </w:r>
          </w:p>
        </w:tc>
      </w:tr>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58</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64</w:t>
            </w:r>
          </w:p>
        </w:tc>
      </w:tr>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67</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73</w:t>
            </w:r>
          </w:p>
        </w:tc>
      </w:tr>
    </w:tbl>
    <w:p w:rsidR="00CA3B52" w:rsidRPr="00110817" w:rsidRDefault="00CA3B52" w:rsidP="00CA3B52">
      <w:pPr>
        <w:pStyle w:val="TableNo"/>
        <w:rPr>
          <w:lang w:val="en-US"/>
        </w:rPr>
      </w:pPr>
      <w:r w:rsidRPr="009F7DB5">
        <w:t>TABLE</w:t>
      </w:r>
      <w:r w:rsidRPr="00110817">
        <w:rPr>
          <w:lang w:val="en-US"/>
        </w:rPr>
        <w:t xml:space="preserve"> 9</w:t>
      </w:r>
    </w:p>
    <w:p w:rsidR="00CA3B52" w:rsidRPr="00110817" w:rsidRDefault="00CA3B52" w:rsidP="00CA3B52">
      <w:pPr>
        <w:pStyle w:val="Tabletitle"/>
        <w:rPr>
          <w:lang w:val="en-US"/>
        </w:rPr>
      </w:pPr>
      <w:r w:rsidRPr="00110817">
        <w:rPr>
          <w:lang w:val="en-US"/>
        </w:rPr>
        <w:t xml:space="preserve">Radius of service area (km) for </w:t>
      </w:r>
      <w:r w:rsidRPr="005652CA">
        <w:rPr>
          <w:lang w:val="en-US"/>
        </w:rPr>
        <w:t>sound</w:t>
      </w:r>
      <w:r w:rsidRPr="00110817">
        <w:rPr>
          <w:lang w:val="en-US"/>
        </w:rPr>
        <w:t xml:space="preserve"> broadcasting below 108 MHz,</w:t>
      </w:r>
      <w:r w:rsidRPr="00110817">
        <w:rPr>
          <w:lang w:val="en-US"/>
        </w:rPr>
        <w:br/>
      </w:r>
      <w:r w:rsidRPr="00110817">
        <w:rPr>
          <w:i/>
          <w:iCs/>
          <w:lang w:val="en-US"/>
        </w:rPr>
        <w:t>E</w:t>
      </w:r>
      <w:r w:rsidRPr="00110817">
        <w:rPr>
          <w:i/>
          <w:iCs/>
          <w:vertAlign w:val="subscript"/>
          <w:lang w:val="en-US"/>
        </w:rPr>
        <w:t>mu</w:t>
      </w:r>
      <w:r w:rsidRPr="00110817">
        <w:rPr>
          <w:lang w:val="en-US"/>
        </w:rPr>
        <w:t xml:space="preserve"> </w:t>
      </w:r>
      <w:r w:rsidRPr="00110817">
        <w:rPr>
          <w:rFonts w:ascii="Symbol" w:hAnsi="Symbol"/>
          <w:lang w:val="en-US"/>
        </w:rPr>
        <w:t></w:t>
      </w:r>
      <w:r w:rsidRPr="00110817">
        <w:rPr>
          <w:lang w:val="en-US"/>
        </w:rPr>
        <w:t xml:space="preserve"> 54 dB(</w:t>
      </w:r>
      <w:r w:rsidRPr="00110817">
        <w:rPr>
          <w:rFonts w:ascii="Symbol" w:hAnsi="Symbol"/>
          <w:lang w:val="en-US"/>
        </w:rPr>
        <w:t></w:t>
      </w:r>
      <w:r w:rsidRPr="00110817">
        <w:rPr>
          <w:lang w:val="en-US"/>
        </w:rPr>
        <w:t xml:space="preserve">V/m), </w:t>
      </w:r>
      <w:r w:rsidRPr="00110817">
        <w:rPr>
          <w:i/>
          <w:iCs/>
          <w:lang w:val="en-US"/>
        </w:rPr>
        <w:t>f</w:t>
      </w:r>
      <w:r w:rsidRPr="00110817">
        <w:rPr>
          <w:i/>
          <w:iCs/>
          <w:vertAlign w:val="subscript"/>
          <w:lang w:val="en-US"/>
        </w:rPr>
        <w:t>c</w:t>
      </w:r>
      <w:r w:rsidRPr="00110817">
        <w:rPr>
          <w:lang w:val="en-US"/>
        </w:rPr>
        <w:t xml:space="preserve"> </w:t>
      </w:r>
      <w:r w:rsidRPr="00110817">
        <w:rPr>
          <w:rFonts w:ascii="Symbol" w:hAnsi="Symbol"/>
          <w:lang w:val="en-US"/>
        </w:rPr>
        <w:t></w:t>
      </w:r>
      <w:r w:rsidRPr="00110817">
        <w:rPr>
          <w:lang w:val="en-US"/>
        </w:rPr>
        <w:t xml:space="preserve">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CA3B52" w:rsidRPr="004E6750" w:rsidTr="00A25DD8">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CA3B52" w:rsidRPr="004E6750" w:rsidRDefault="00CA3B52" w:rsidP="00F65451">
            <w:pPr>
              <w:pStyle w:val="Tablehead"/>
              <w:ind w:right="-397"/>
              <w:rPr>
                <w:sz w:val="18"/>
                <w:szCs w:val="18"/>
                <w:lang w:val="en-US"/>
              </w:rPr>
            </w:pPr>
            <w:r w:rsidRPr="004E6750">
              <w:rPr>
                <w:i/>
                <w:iCs/>
                <w:sz w:val="18"/>
                <w:szCs w:val="18"/>
                <w:lang w:val="en-US"/>
              </w:rPr>
              <w:t>h</w:t>
            </w:r>
            <w:r w:rsidRPr="004E6750">
              <w:rPr>
                <w:i/>
                <w:iCs/>
                <w:sz w:val="18"/>
                <w:szCs w:val="18"/>
                <w:vertAlign w:val="subscript"/>
                <w:lang w:val="en-US"/>
              </w:rPr>
              <w:t>ef</w:t>
            </w:r>
            <w:r>
              <w:rPr>
                <w:sz w:val="18"/>
                <w:szCs w:val="18"/>
                <w:lang w:val="en-US"/>
              </w:rPr>
              <w:t xml:space="preserve"> </w:t>
            </w:r>
            <w:r w:rsidRPr="004E6750">
              <w:rPr>
                <w:sz w:val="18"/>
                <w:szCs w:val="18"/>
                <w:lang w:val="en-US"/>
              </w:rPr>
              <w:t>(m)</w:t>
            </w:r>
          </w:p>
          <w:p w:rsidR="00CA3B52" w:rsidRPr="004E6750" w:rsidRDefault="00CA3B52" w:rsidP="00F65451">
            <w:pPr>
              <w:pStyle w:val="Tablehead"/>
              <w:ind w:lef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CA3B52" w:rsidRPr="004E6750" w:rsidRDefault="00CA3B52" w:rsidP="002D1D5C">
            <w:pPr>
              <w:pStyle w:val="Tablehead"/>
              <w:rPr>
                <w:sz w:val="18"/>
                <w:szCs w:val="18"/>
                <w:lang w:val="en-US"/>
              </w:rPr>
            </w:pPr>
            <w:r w:rsidRPr="004E6750">
              <w:rPr>
                <w:sz w:val="18"/>
                <w:szCs w:val="18"/>
                <w:lang w:val="en-US"/>
              </w:rPr>
              <w:t>500</w:t>
            </w:r>
          </w:p>
        </w:tc>
      </w:tr>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2D1D5C">
            <w:pPr>
              <w:pStyle w:val="Tabletext"/>
              <w:jc w:val="center"/>
              <w:rPr>
                <w:sz w:val="18"/>
                <w:szCs w:val="18"/>
                <w:lang w:val="en-US"/>
              </w:rPr>
            </w:pPr>
            <w:r w:rsidRPr="00CB6CBA">
              <w:rPr>
                <w:sz w:val="18"/>
                <w:szCs w:val="18"/>
                <w:lang w:val="en-US"/>
              </w:rPr>
              <w:t>15.0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24</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27</w:t>
            </w:r>
          </w:p>
        </w:tc>
      </w:tr>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31</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35</w:t>
            </w:r>
          </w:p>
        </w:tc>
      </w:tr>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39</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44</w:t>
            </w:r>
          </w:p>
        </w:tc>
      </w:tr>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49</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54</w:t>
            </w:r>
          </w:p>
        </w:tc>
      </w:tr>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35.0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59</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65</w:t>
            </w:r>
          </w:p>
        </w:tc>
      </w:tr>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40.0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71</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77</w:t>
            </w:r>
          </w:p>
        </w:tc>
      </w:tr>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43.0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65</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74</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78</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84</w:t>
            </w:r>
          </w:p>
        </w:tc>
      </w:tr>
      <w:tr w:rsidR="00CA3B52" w:rsidRPr="00CB6CBA" w:rsidTr="00A25DD8">
        <w:trPr>
          <w:jc w:val="center"/>
        </w:trPr>
        <w:tc>
          <w:tcPr>
            <w:tcW w:w="1247"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46.0</w:t>
            </w:r>
          </w:p>
        </w:tc>
        <w:tc>
          <w:tcPr>
            <w:tcW w:w="70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67</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72</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76</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81</w:t>
            </w:r>
          </w:p>
        </w:tc>
        <w:tc>
          <w:tcPr>
            <w:tcW w:w="765"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85</w:t>
            </w:r>
          </w:p>
        </w:tc>
        <w:tc>
          <w:tcPr>
            <w:tcW w:w="879"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 w:val="18"/>
                <w:szCs w:val="18"/>
                <w:lang w:val="en-US"/>
              </w:rPr>
            </w:pPr>
            <w:r w:rsidRPr="00CB6CBA">
              <w:rPr>
                <w:sz w:val="18"/>
                <w:szCs w:val="18"/>
                <w:lang w:val="en-US"/>
              </w:rPr>
              <w:t>92</w:t>
            </w:r>
          </w:p>
        </w:tc>
      </w:tr>
    </w:tbl>
    <w:p w:rsidR="00CA3B52" w:rsidRPr="00CB6CBA" w:rsidRDefault="00CA3B52" w:rsidP="00CA3B52">
      <w:pPr>
        <w:pStyle w:val="Tablefin"/>
        <w:rPr>
          <w:lang w:val="en-US"/>
        </w:rPr>
      </w:pPr>
    </w:p>
    <w:p w:rsidR="00CA3B52" w:rsidRPr="00CB6CBA" w:rsidRDefault="00CA3B52" w:rsidP="00CA3B52">
      <w:pPr>
        <w:pStyle w:val="Heading5"/>
        <w:rPr>
          <w:lang w:val="en-US"/>
        </w:rPr>
      </w:pPr>
      <w:r w:rsidRPr="00CB6CBA">
        <w:rPr>
          <w:lang w:val="en-US"/>
        </w:rPr>
        <w:t>b)</w:t>
      </w:r>
      <w:r w:rsidRPr="00CB6CBA">
        <w:rPr>
          <w:lang w:val="en-US"/>
        </w:rPr>
        <w:tab/>
        <w:t>Effective antenna height calculation</w:t>
      </w:r>
    </w:p>
    <w:p w:rsidR="00CA3B52" w:rsidRDefault="00CA3B52" w:rsidP="00CA3B52">
      <w:pPr>
        <w:rPr>
          <w:lang w:val="en-US"/>
        </w:rPr>
      </w:pPr>
      <w:r w:rsidRPr="00CB6CBA">
        <w:rPr>
          <w:lang w:val="en-US"/>
        </w:rPr>
        <w:t xml:space="preserve">It was already mentioned that the effective height of the transmitting antenna, </w:t>
      </w:r>
      <w:r w:rsidRPr="00CB6CBA">
        <w:rPr>
          <w:i/>
          <w:iCs/>
          <w:lang w:val="en-US"/>
        </w:rPr>
        <w:t>h</w:t>
      </w:r>
      <w:r w:rsidRPr="00CB6CBA">
        <w:rPr>
          <w:i/>
          <w:iCs/>
          <w:vertAlign w:val="subscript"/>
          <w:lang w:val="en-US"/>
        </w:rPr>
        <w:t>ef</w:t>
      </w:r>
      <w:r w:rsidRPr="00CB6CBA">
        <w:rPr>
          <w:lang w:val="en-US"/>
        </w:rPr>
        <w:t xml:space="preserve">, is determined as its height over the average level of the ground between distances of 3 km and 15 km from the transmitter in the direction of the receiver (see Fig. </w:t>
      </w:r>
      <w:r>
        <w:rPr>
          <w:lang w:val="en-US"/>
        </w:rPr>
        <w:t>4</w:t>
      </w:r>
      <w:r w:rsidRPr="00CB6CBA">
        <w:rPr>
          <w:lang w:val="en-US"/>
        </w:rPr>
        <w:t>), i.e.:</w:t>
      </w:r>
    </w:p>
    <w:p w:rsidR="00CA3B52" w:rsidRDefault="00CA3B52" w:rsidP="00CA3B52">
      <w:pPr>
        <w:pStyle w:val="Equation"/>
        <w:rPr>
          <w:lang w:val="en-US"/>
        </w:rPr>
      </w:pPr>
      <w:r w:rsidRPr="00CB6CBA">
        <w:rPr>
          <w:lang w:val="en-US"/>
        </w:rPr>
        <w:tab/>
      </w:r>
      <w:r w:rsidRPr="00CB6CBA">
        <w:rPr>
          <w:lang w:val="en-US"/>
        </w:rPr>
        <w:tab/>
      </w:r>
      <w:r w:rsidRPr="00CB6CBA">
        <w:rPr>
          <w:i/>
          <w:iCs/>
          <w:lang w:val="en-US"/>
        </w:rPr>
        <w:t>h</w:t>
      </w:r>
      <w:r w:rsidRPr="00CB6CBA">
        <w:rPr>
          <w:i/>
          <w:iCs/>
          <w:vertAlign w:val="subscript"/>
          <w:lang w:val="en-US"/>
        </w:rPr>
        <w:t>ef</w:t>
      </w:r>
      <w:r w:rsidRPr="00CB6CBA">
        <w:rPr>
          <w:lang w:val="en-US"/>
        </w:rPr>
        <w:t xml:space="preserve"> </w:t>
      </w:r>
      <w:r w:rsidRPr="00CB6CBA">
        <w:rPr>
          <w:rFonts w:ascii="Tms Rmn" w:hAnsi="Tms Rmn"/>
          <w:sz w:val="12"/>
          <w:lang w:val="en-US"/>
        </w:rPr>
        <w:t> </w:t>
      </w:r>
      <w:r w:rsidRPr="00CB6CBA">
        <w:rPr>
          <w:rFonts w:ascii="Symbol" w:hAnsi="Symbol"/>
          <w:lang w:val="en-US"/>
        </w:rPr>
        <w:t></w:t>
      </w:r>
      <w:r w:rsidRPr="00CB6CBA">
        <w:rPr>
          <w:lang w:val="en-US"/>
        </w:rPr>
        <w:t xml:space="preserve"> </w:t>
      </w:r>
      <w:r w:rsidRPr="00CB6CBA">
        <w:rPr>
          <w:i/>
          <w:iCs/>
          <w:lang w:val="en-US"/>
        </w:rPr>
        <w:t>h</w:t>
      </w:r>
      <w:r w:rsidRPr="00CB6CBA">
        <w:rPr>
          <w:i/>
          <w:iCs/>
          <w:vertAlign w:val="subscript"/>
          <w:lang w:val="en-US"/>
        </w:rPr>
        <w:t>s</w:t>
      </w:r>
      <w:r w:rsidRPr="00CB6CBA">
        <w:rPr>
          <w:lang w:val="en-US"/>
        </w:rPr>
        <w:t xml:space="preserve"> – </w:t>
      </w:r>
      <w:r w:rsidRPr="00CB6CBA">
        <w:rPr>
          <w:i/>
          <w:iCs/>
          <w:lang w:val="en-US"/>
        </w:rPr>
        <w:t>h</w:t>
      </w:r>
      <w:r w:rsidRPr="00CB6CBA">
        <w:rPr>
          <w:i/>
          <w:iCs/>
          <w:vertAlign w:val="subscript"/>
          <w:lang w:val="en-US"/>
        </w:rPr>
        <w:t>av</w:t>
      </w:r>
      <w:r w:rsidRPr="00CB6CBA">
        <w:rPr>
          <w:lang w:val="en-US"/>
        </w:rPr>
        <w:tab/>
        <w:t>(</w:t>
      </w:r>
      <w:r>
        <w:rPr>
          <w:lang w:val="en-US"/>
        </w:rPr>
        <w:t>30</w:t>
      </w:r>
      <w:r w:rsidRPr="00CB6CBA">
        <w:rPr>
          <w:lang w:val="en-US"/>
        </w:rPr>
        <w:t>)</w:t>
      </w:r>
    </w:p>
    <w:p w:rsidR="00CA3B52" w:rsidRPr="00CB6CBA" w:rsidRDefault="00CA3B52" w:rsidP="00F65451">
      <w:pPr>
        <w:rPr>
          <w:lang w:val="en-US"/>
        </w:rPr>
      </w:pPr>
      <w:r w:rsidRPr="00CB6CBA">
        <w:rPr>
          <w:lang w:val="en-US"/>
        </w:rPr>
        <w:t>where:</w:t>
      </w:r>
    </w:p>
    <w:p w:rsidR="00CA3B52" w:rsidRPr="00CB6CBA" w:rsidRDefault="00CA3B52" w:rsidP="00F65451">
      <w:pPr>
        <w:pStyle w:val="Equationlegend"/>
      </w:pPr>
      <w:r w:rsidRPr="00CB6CBA">
        <w:rPr>
          <w:i/>
          <w:iCs/>
        </w:rPr>
        <w:tab/>
        <w:t>h</w:t>
      </w:r>
      <w:r w:rsidRPr="00CB6CBA">
        <w:rPr>
          <w:i/>
          <w:iCs/>
          <w:vertAlign w:val="subscript"/>
        </w:rPr>
        <w:t>s</w:t>
      </w:r>
      <w:r>
        <w:rPr>
          <w:i/>
          <w:iCs/>
          <w:vertAlign w:val="subscript"/>
        </w:rPr>
        <w:t xml:space="preserve"> </w:t>
      </w:r>
      <w:r w:rsidRPr="00CB6CBA">
        <w:t>:</w:t>
      </w:r>
      <w:r w:rsidRPr="00CB6CBA">
        <w:tab/>
        <w:t>antenna height above the sea level (i.e. antenna mast height plus a height of the ground above the sea level at a place of installation)</w:t>
      </w:r>
    </w:p>
    <w:p w:rsidR="00CA3B52" w:rsidRPr="00CB6CBA" w:rsidRDefault="00CA3B52" w:rsidP="00F65451">
      <w:pPr>
        <w:pStyle w:val="Equationlegend"/>
      </w:pPr>
      <w:r w:rsidRPr="00CB6CBA">
        <w:tab/>
      </w:r>
      <w:r w:rsidRPr="00CB6CBA">
        <w:rPr>
          <w:i/>
          <w:iCs/>
        </w:rPr>
        <w:t>h</w:t>
      </w:r>
      <w:r w:rsidRPr="00CB6CBA">
        <w:rPr>
          <w:i/>
          <w:iCs/>
          <w:vertAlign w:val="subscript"/>
        </w:rPr>
        <w:t>av</w:t>
      </w:r>
      <w:r w:rsidRPr="00CB6CBA">
        <w:rPr>
          <w:rFonts w:ascii="Tms Rmn" w:hAnsi="Tms Rmn"/>
          <w:sz w:val="12"/>
        </w:rPr>
        <w:t> </w:t>
      </w:r>
      <w:r w:rsidRPr="00CB6CBA">
        <w:t>:</w:t>
      </w:r>
      <w:r w:rsidRPr="00CB6CBA">
        <w:tab/>
        <w:t>average level of the ground between distances of 3 km and 15 km from the transmitter.</w:t>
      </w:r>
    </w:p>
    <w:p w:rsidR="00CA3B52" w:rsidRDefault="00CA3B52" w:rsidP="00CA3B52">
      <w:pPr>
        <w:rPr>
          <w:lang w:val="en-US"/>
        </w:rPr>
      </w:pPr>
      <w:r w:rsidRPr="00CB6CBA">
        <w:rPr>
          <w:lang w:val="en-US"/>
        </w:rPr>
        <w:t xml:space="preserve">It is essential to take into account not physical (mast height) but effective antenna height because antennas are frequently installed at tops of hills which heights can be comparable or even more than a mast height (see Fig. </w:t>
      </w:r>
      <w:r>
        <w:rPr>
          <w:lang w:val="en-US"/>
        </w:rPr>
        <w:t>4</w:t>
      </w:r>
      <w:r w:rsidRPr="00CB6CBA">
        <w:rPr>
          <w:lang w:val="en-US"/>
        </w:rPr>
        <w:t xml:space="preserve">). Average level of the ground between distances of 3 km and 15 km from </w:t>
      </w:r>
      <w:r w:rsidRPr="00CB6CBA">
        <w:rPr>
          <w:lang w:val="en-US"/>
        </w:rPr>
        <w:lastRenderedPageBreak/>
        <w:t>the transmitter is calculated with relevant terrain maps (preferably having scales 1:200 000 of 1:500 000). Using the map readouts of the ground height along some direction should be taken through each 1 or 2 km between distances of 3 km and 15 km from the transmitter and an average level is calculated as a sum of all readouts divided by their number.</w:t>
      </w:r>
      <w:r w:rsidRPr="0024702C">
        <w:rPr>
          <w:lang w:val="en-US"/>
        </w:rPr>
        <w:t xml:space="preserve"> For further cases of calculating effective height, refer to Annex 5 of Recommendation ITU</w:t>
      </w:r>
      <w:r>
        <w:rPr>
          <w:lang w:val="en-US"/>
        </w:rPr>
        <w:noBreakHyphen/>
      </w:r>
      <w:r w:rsidRPr="0024702C">
        <w:rPr>
          <w:lang w:val="en-US"/>
        </w:rPr>
        <w:t>R</w:t>
      </w:r>
      <w:r>
        <w:rPr>
          <w:lang w:val="en-US"/>
        </w:rPr>
        <w:t> </w:t>
      </w:r>
      <w:r w:rsidRPr="0024702C">
        <w:rPr>
          <w:lang w:val="en-US"/>
        </w:rPr>
        <w:t>P.1546-4.</w:t>
      </w:r>
    </w:p>
    <w:p w:rsidR="00CA3B52" w:rsidRDefault="00CA3B52" w:rsidP="00CA3B52">
      <w:pPr>
        <w:pStyle w:val="FigureNo"/>
        <w:rPr>
          <w:lang w:val="en-US"/>
        </w:rPr>
      </w:pPr>
      <w:r>
        <w:rPr>
          <w:lang w:val="en-US"/>
        </w:rPr>
        <w:t>FIGURE 4</w:t>
      </w:r>
    </w:p>
    <w:p w:rsidR="00CA3B52" w:rsidRPr="008A18D5" w:rsidRDefault="00CA3B52" w:rsidP="00CA3B52">
      <w:pPr>
        <w:pStyle w:val="Figuretitle"/>
        <w:rPr>
          <w:lang w:val="en-US"/>
        </w:rPr>
      </w:pPr>
      <w:r>
        <w:rPr>
          <w:lang w:val="en-US"/>
        </w:rPr>
        <w:t>Determination of antenna effective height</w:t>
      </w:r>
    </w:p>
    <w:p w:rsidR="00CA3B52" w:rsidRPr="00CB6CBA" w:rsidRDefault="00F368AD" w:rsidP="00F368AD">
      <w:pPr>
        <w:pStyle w:val="Figure"/>
        <w:rPr>
          <w:lang w:val="en-US"/>
        </w:rPr>
      </w:pPr>
      <w:r>
        <w:rPr>
          <w:lang w:val="en-US"/>
        </w:rPr>
        <w:object w:dxaOrig="7350" w:dyaOrig="3935">
          <v:shape id="_x0000_i1035" type="#_x0000_t75" style="width:416.55pt;height:222.55pt" o:ole="">
            <v:imagedata r:id="rId42" o:title=""/>
          </v:shape>
          <o:OLEObject Type="Embed" ProgID="CorelDRAW.Graphic.14" ShapeID="_x0000_i1035" DrawAspect="Content" ObjectID="_1511604824" r:id="rId43"/>
        </w:object>
      </w:r>
    </w:p>
    <w:p w:rsidR="00CA3B52" w:rsidRDefault="00CA3B52" w:rsidP="00CA3B52">
      <w:pPr>
        <w:rPr>
          <w:lang w:val="en-US"/>
        </w:rPr>
      </w:pPr>
    </w:p>
    <w:p w:rsidR="00CA3B52" w:rsidRPr="00CB6CBA" w:rsidRDefault="00CA3B52" w:rsidP="00CA3B52">
      <w:pPr>
        <w:rPr>
          <w:lang w:val="en-US"/>
        </w:rPr>
      </w:pPr>
      <w:r w:rsidRPr="00CB6CBA">
        <w:rPr>
          <w:lang w:val="en-US"/>
        </w:rPr>
        <w:t>It is obvious that even for non-directional transmitting antenna used, a real service area usually will not be a circular one as far as average levels of the ground between distances of 3 km and 15</w:t>
      </w:r>
      <w:r>
        <w:rPr>
          <w:lang w:val="en-US"/>
        </w:rPr>
        <w:t> </w:t>
      </w:r>
      <w:r w:rsidRPr="00CB6CBA">
        <w:rPr>
          <w:lang w:val="en-US"/>
        </w:rPr>
        <w:t>km from the transmitter in various directions will be different and, therefore, relevant antenna effective heights will be also different. Nevertheless, for the purposes of the given licence fees calculation model it is assumed to be a circular one based on antenna effective height calculation in one direction.</w:t>
      </w:r>
    </w:p>
    <w:p w:rsidR="00CA3B52" w:rsidRPr="00CB6CBA" w:rsidRDefault="00CA3B52" w:rsidP="00CA3B52">
      <w:pPr>
        <w:rPr>
          <w:lang w:val="en-US"/>
        </w:rPr>
      </w:pPr>
      <w:r w:rsidRPr="00CB6CBA">
        <w:rPr>
          <w:lang w:val="en-US"/>
        </w:rPr>
        <w:t>If an administration likes to increase accuracy of calculations in cases of a rather variable terrain profiles in different directions from antenna, an average value of antenna effective height can be calculates according to its four values in the North, East, South and West directions from the antenna. Example of calculations is presented in Table 10.</w:t>
      </w:r>
    </w:p>
    <w:p w:rsidR="00CA3B52" w:rsidRDefault="00CA3B52" w:rsidP="00CA3B52">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CA3B52" w:rsidRPr="00CB6CBA" w:rsidRDefault="00CA3B52" w:rsidP="00CA3B52">
      <w:pPr>
        <w:pStyle w:val="TableNo"/>
        <w:rPr>
          <w:lang w:val="en-US"/>
        </w:rPr>
      </w:pPr>
      <w:r w:rsidRPr="00CB6CBA">
        <w:rPr>
          <w:lang w:val="en-US"/>
        </w:rPr>
        <w:lastRenderedPageBreak/>
        <w:t>TABLE 10</w:t>
      </w:r>
    </w:p>
    <w:p w:rsidR="00CA3B52" w:rsidRPr="00CB6CBA" w:rsidRDefault="00CA3B52" w:rsidP="00CA3B52">
      <w:pPr>
        <w:pStyle w:val="Tabletitle"/>
        <w:rPr>
          <w:lang w:val="en-US"/>
        </w:rPr>
      </w:pPr>
      <w:r w:rsidRPr="00CB6CBA">
        <w:rPr>
          <w:lang w:val="en-US"/>
        </w:rPr>
        <w:t>Example of effective antenna height calculation for a case of non-regular terrain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7"/>
        <w:gridCol w:w="3902"/>
        <w:gridCol w:w="1262"/>
        <w:gridCol w:w="1262"/>
        <w:gridCol w:w="1262"/>
        <w:gridCol w:w="1264"/>
      </w:tblGrid>
      <w:tr w:rsidR="00CA3B52" w:rsidRPr="00F65451" w:rsidTr="008F35B9">
        <w:trPr>
          <w:jc w:val="center"/>
        </w:trPr>
        <w:tc>
          <w:tcPr>
            <w:tcW w:w="687" w:type="dxa"/>
            <w:vMerge w:val="restart"/>
            <w:vAlign w:val="center"/>
          </w:tcPr>
          <w:p w:rsidR="00CA3B52" w:rsidRPr="00CB6CBA" w:rsidRDefault="00CA3B52" w:rsidP="002D1D5C">
            <w:pPr>
              <w:pStyle w:val="Tablehead"/>
              <w:rPr>
                <w:lang w:val="en-US"/>
              </w:rPr>
            </w:pPr>
            <w:r w:rsidRPr="00CB6CBA">
              <w:rPr>
                <w:lang w:val="en-US"/>
              </w:rPr>
              <w:t>No.</w:t>
            </w:r>
          </w:p>
        </w:tc>
        <w:tc>
          <w:tcPr>
            <w:tcW w:w="3902" w:type="dxa"/>
            <w:vMerge w:val="restart"/>
            <w:vAlign w:val="center"/>
          </w:tcPr>
          <w:p w:rsidR="00CA3B52" w:rsidRPr="00CB6CBA" w:rsidRDefault="00CA3B52" w:rsidP="002D1D5C">
            <w:pPr>
              <w:pStyle w:val="Tablehead"/>
              <w:rPr>
                <w:lang w:val="en-US"/>
              </w:rPr>
            </w:pPr>
            <w:r w:rsidRPr="00CB6CBA">
              <w:rPr>
                <w:lang w:val="en-US"/>
              </w:rPr>
              <w:t>Distance of readout from antenna</w:t>
            </w:r>
            <w:r w:rsidRPr="00CB6CBA">
              <w:rPr>
                <w:lang w:val="en-US"/>
              </w:rPr>
              <w:br/>
              <w:t>(km)</w:t>
            </w:r>
          </w:p>
        </w:tc>
        <w:tc>
          <w:tcPr>
            <w:tcW w:w="5050" w:type="dxa"/>
            <w:gridSpan w:val="4"/>
            <w:vAlign w:val="center"/>
          </w:tcPr>
          <w:p w:rsidR="00CA3B52" w:rsidRPr="00CB6CBA" w:rsidRDefault="00CA3B52" w:rsidP="002D1D5C">
            <w:pPr>
              <w:pStyle w:val="Tablehead"/>
              <w:rPr>
                <w:lang w:val="en-US"/>
              </w:rPr>
            </w:pPr>
            <w:r w:rsidRPr="00CB6CBA">
              <w:rPr>
                <w:lang w:val="en-US"/>
              </w:rPr>
              <w:t>Readouts of ground heights</w:t>
            </w:r>
            <w:r w:rsidRPr="00CB6CBA">
              <w:rPr>
                <w:lang w:val="en-US"/>
              </w:rPr>
              <w:br/>
              <w:t>(m)</w:t>
            </w:r>
          </w:p>
        </w:tc>
      </w:tr>
      <w:tr w:rsidR="00CA3B52" w:rsidRPr="00CB6CBA" w:rsidTr="008F35B9">
        <w:trPr>
          <w:jc w:val="center"/>
        </w:trPr>
        <w:tc>
          <w:tcPr>
            <w:tcW w:w="687" w:type="dxa"/>
            <w:vMerge/>
            <w:vAlign w:val="center"/>
          </w:tcPr>
          <w:p w:rsidR="00CA3B52" w:rsidRPr="00CB6CBA" w:rsidRDefault="00CA3B52" w:rsidP="002D1D5C">
            <w:pPr>
              <w:pStyle w:val="Tablehead"/>
              <w:rPr>
                <w:lang w:val="en-US"/>
              </w:rPr>
            </w:pPr>
          </w:p>
        </w:tc>
        <w:tc>
          <w:tcPr>
            <w:tcW w:w="3902" w:type="dxa"/>
            <w:vMerge/>
            <w:vAlign w:val="center"/>
          </w:tcPr>
          <w:p w:rsidR="00CA3B52" w:rsidRPr="00CB6CBA" w:rsidRDefault="00CA3B52" w:rsidP="002D1D5C">
            <w:pPr>
              <w:pStyle w:val="Tablehead"/>
              <w:rPr>
                <w:lang w:val="en-US"/>
              </w:rPr>
            </w:pPr>
          </w:p>
        </w:tc>
        <w:tc>
          <w:tcPr>
            <w:tcW w:w="1262" w:type="dxa"/>
          </w:tcPr>
          <w:p w:rsidR="00CA3B52" w:rsidRPr="00CB6CBA" w:rsidRDefault="00CA3B52" w:rsidP="002D1D5C">
            <w:pPr>
              <w:pStyle w:val="Tablehead"/>
              <w:rPr>
                <w:lang w:val="en-US"/>
              </w:rPr>
            </w:pPr>
            <w:r w:rsidRPr="00CB6CBA">
              <w:rPr>
                <w:lang w:val="en-US"/>
              </w:rPr>
              <w:t>North</w:t>
            </w:r>
          </w:p>
        </w:tc>
        <w:tc>
          <w:tcPr>
            <w:tcW w:w="1262" w:type="dxa"/>
          </w:tcPr>
          <w:p w:rsidR="00CA3B52" w:rsidRPr="00CB6CBA" w:rsidRDefault="00CA3B52" w:rsidP="002D1D5C">
            <w:pPr>
              <w:pStyle w:val="Tablehead"/>
              <w:rPr>
                <w:lang w:val="en-US"/>
              </w:rPr>
            </w:pPr>
            <w:r w:rsidRPr="00CB6CBA">
              <w:rPr>
                <w:lang w:val="en-US"/>
              </w:rPr>
              <w:t>South</w:t>
            </w:r>
          </w:p>
        </w:tc>
        <w:tc>
          <w:tcPr>
            <w:tcW w:w="1262" w:type="dxa"/>
          </w:tcPr>
          <w:p w:rsidR="00CA3B52" w:rsidRPr="00CB6CBA" w:rsidRDefault="00CA3B52" w:rsidP="002D1D5C">
            <w:pPr>
              <w:pStyle w:val="Tablehead"/>
              <w:rPr>
                <w:lang w:val="en-US"/>
              </w:rPr>
            </w:pPr>
            <w:r w:rsidRPr="00CB6CBA">
              <w:rPr>
                <w:lang w:val="en-US"/>
              </w:rPr>
              <w:t>East</w:t>
            </w:r>
          </w:p>
        </w:tc>
        <w:tc>
          <w:tcPr>
            <w:tcW w:w="1264" w:type="dxa"/>
          </w:tcPr>
          <w:p w:rsidR="00CA3B52" w:rsidRPr="00CB6CBA" w:rsidRDefault="00CA3B52" w:rsidP="002D1D5C">
            <w:pPr>
              <w:pStyle w:val="Tablehead"/>
              <w:rPr>
                <w:lang w:val="en-US"/>
              </w:rPr>
            </w:pPr>
            <w:r w:rsidRPr="00CB6CBA">
              <w:rPr>
                <w:lang w:val="en-US"/>
              </w:rPr>
              <w:t>West</w:t>
            </w:r>
          </w:p>
        </w:tc>
      </w:tr>
      <w:tr w:rsidR="00CA3B52" w:rsidRPr="00CB6CBA" w:rsidTr="008F35B9">
        <w:trPr>
          <w:jc w:val="center"/>
        </w:trPr>
        <w:tc>
          <w:tcPr>
            <w:tcW w:w="687" w:type="dxa"/>
          </w:tcPr>
          <w:p w:rsidR="00CA3B52" w:rsidRPr="00CB6CBA" w:rsidRDefault="00CA3B52" w:rsidP="00F65451">
            <w:pPr>
              <w:pStyle w:val="Tabletext"/>
              <w:rPr>
                <w:lang w:val="en-US"/>
              </w:rPr>
            </w:pPr>
            <w:r w:rsidRPr="00CB6CBA">
              <w:rPr>
                <w:lang w:val="en-US"/>
              </w:rPr>
              <w:t>1</w:t>
            </w:r>
          </w:p>
        </w:tc>
        <w:tc>
          <w:tcPr>
            <w:tcW w:w="3902" w:type="dxa"/>
          </w:tcPr>
          <w:p w:rsidR="00CA3B52" w:rsidRPr="00CB6CBA" w:rsidRDefault="00CA3B52" w:rsidP="00F65451">
            <w:pPr>
              <w:pStyle w:val="Tabletext"/>
              <w:jc w:val="center"/>
              <w:rPr>
                <w:lang w:val="en-US"/>
              </w:rPr>
            </w:pPr>
            <w:r w:rsidRPr="00CB6CBA">
              <w:rPr>
                <w:lang w:val="en-US"/>
              </w:rPr>
              <w:t>3</w:t>
            </w:r>
          </w:p>
        </w:tc>
        <w:tc>
          <w:tcPr>
            <w:tcW w:w="1262" w:type="dxa"/>
          </w:tcPr>
          <w:p w:rsidR="00CA3B52" w:rsidRPr="00CB6CBA" w:rsidRDefault="00CA3B52" w:rsidP="00F65451">
            <w:pPr>
              <w:pStyle w:val="Tabletext"/>
              <w:jc w:val="center"/>
              <w:rPr>
                <w:lang w:val="en-US"/>
              </w:rPr>
            </w:pPr>
            <w:r w:rsidRPr="00CB6CBA">
              <w:rPr>
                <w:lang w:val="en-US"/>
              </w:rPr>
              <w:fldChar w:fldCharType="begin"/>
            </w:r>
            <w:r w:rsidRPr="00CB6CBA">
              <w:rPr>
                <w:lang w:val="en-US"/>
              </w:rPr>
              <w:instrText xml:space="preserve"> SUM(down) \# "# ##0" </w:instrText>
            </w:r>
            <w:r w:rsidRPr="00CB6CBA">
              <w:rPr>
                <w:lang w:val="en-US"/>
              </w:rPr>
              <w:fldChar w:fldCharType="end"/>
            </w:r>
            <w:r w:rsidRPr="00CB6CBA">
              <w:rPr>
                <w:lang w:val="en-US"/>
              </w:rPr>
              <w:t>250</w:t>
            </w:r>
          </w:p>
        </w:tc>
        <w:tc>
          <w:tcPr>
            <w:tcW w:w="1262" w:type="dxa"/>
          </w:tcPr>
          <w:p w:rsidR="00CA3B52" w:rsidRPr="00CB6CBA" w:rsidRDefault="00CA3B52" w:rsidP="00F65451">
            <w:pPr>
              <w:pStyle w:val="Tabletext"/>
              <w:jc w:val="center"/>
              <w:rPr>
                <w:lang w:val="en-US"/>
              </w:rPr>
            </w:pPr>
            <w:r w:rsidRPr="00CB6CBA">
              <w:rPr>
                <w:lang w:val="en-US"/>
              </w:rPr>
              <w:t>240</w:t>
            </w:r>
          </w:p>
        </w:tc>
        <w:tc>
          <w:tcPr>
            <w:tcW w:w="1262" w:type="dxa"/>
          </w:tcPr>
          <w:p w:rsidR="00CA3B52" w:rsidRPr="00CB6CBA" w:rsidRDefault="00CA3B52" w:rsidP="00F65451">
            <w:pPr>
              <w:pStyle w:val="Tabletext"/>
              <w:jc w:val="center"/>
              <w:rPr>
                <w:lang w:val="en-US"/>
              </w:rPr>
            </w:pPr>
            <w:r w:rsidRPr="00CB6CBA">
              <w:rPr>
                <w:lang w:val="en-US"/>
              </w:rPr>
              <w:t>300</w:t>
            </w:r>
          </w:p>
        </w:tc>
        <w:tc>
          <w:tcPr>
            <w:tcW w:w="1264" w:type="dxa"/>
          </w:tcPr>
          <w:p w:rsidR="00CA3B52" w:rsidRPr="00CB6CBA" w:rsidRDefault="00CA3B52" w:rsidP="00F65451">
            <w:pPr>
              <w:pStyle w:val="Tabletext"/>
              <w:jc w:val="center"/>
              <w:rPr>
                <w:lang w:val="en-US"/>
              </w:rPr>
            </w:pPr>
            <w:r w:rsidRPr="00CB6CBA">
              <w:rPr>
                <w:lang w:val="en-US"/>
              </w:rPr>
              <w:t>240</w:t>
            </w:r>
          </w:p>
        </w:tc>
      </w:tr>
      <w:tr w:rsidR="00CA3B52" w:rsidRPr="00CB6CBA" w:rsidTr="008F35B9">
        <w:trPr>
          <w:jc w:val="center"/>
        </w:trPr>
        <w:tc>
          <w:tcPr>
            <w:tcW w:w="687" w:type="dxa"/>
          </w:tcPr>
          <w:p w:rsidR="00CA3B52" w:rsidRPr="00CB6CBA" w:rsidRDefault="00CA3B52" w:rsidP="00F65451">
            <w:pPr>
              <w:pStyle w:val="Tabletext"/>
              <w:rPr>
                <w:lang w:val="en-US"/>
              </w:rPr>
            </w:pPr>
            <w:r w:rsidRPr="00CB6CBA">
              <w:rPr>
                <w:lang w:val="en-US"/>
              </w:rPr>
              <w:t>2</w:t>
            </w:r>
          </w:p>
        </w:tc>
        <w:tc>
          <w:tcPr>
            <w:tcW w:w="3902" w:type="dxa"/>
          </w:tcPr>
          <w:p w:rsidR="00CA3B52" w:rsidRPr="00CB6CBA" w:rsidRDefault="00CA3B52" w:rsidP="00F65451">
            <w:pPr>
              <w:pStyle w:val="Tabletext"/>
              <w:jc w:val="center"/>
              <w:rPr>
                <w:lang w:val="en-US"/>
              </w:rPr>
            </w:pPr>
            <w:r w:rsidRPr="00CB6CBA">
              <w:rPr>
                <w:lang w:val="en-US"/>
              </w:rPr>
              <w:t>4</w:t>
            </w:r>
          </w:p>
        </w:tc>
        <w:tc>
          <w:tcPr>
            <w:tcW w:w="1262" w:type="dxa"/>
          </w:tcPr>
          <w:p w:rsidR="00CA3B52" w:rsidRPr="00CB6CBA" w:rsidRDefault="00CA3B52" w:rsidP="00F65451">
            <w:pPr>
              <w:pStyle w:val="Tabletext"/>
              <w:jc w:val="center"/>
              <w:rPr>
                <w:lang w:val="en-US"/>
              </w:rPr>
            </w:pPr>
            <w:r w:rsidRPr="00CB6CBA">
              <w:rPr>
                <w:lang w:val="en-US"/>
              </w:rPr>
              <w:t>240</w:t>
            </w:r>
          </w:p>
        </w:tc>
        <w:tc>
          <w:tcPr>
            <w:tcW w:w="1262" w:type="dxa"/>
          </w:tcPr>
          <w:p w:rsidR="00CA3B52" w:rsidRPr="00CB6CBA" w:rsidRDefault="00CA3B52" w:rsidP="00F65451">
            <w:pPr>
              <w:pStyle w:val="Tabletext"/>
              <w:jc w:val="center"/>
              <w:rPr>
                <w:lang w:val="en-US"/>
              </w:rPr>
            </w:pPr>
            <w:r w:rsidRPr="00CB6CBA">
              <w:rPr>
                <w:lang w:val="en-US"/>
              </w:rPr>
              <w:t>220</w:t>
            </w:r>
          </w:p>
        </w:tc>
        <w:tc>
          <w:tcPr>
            <w:tcW w:w="1262" w:type="dxa"/>
          </w:tcPr>
          <w:p w:rsidR="00CA3B52" w:rsidRPr="00CB6CBA" w:rsidRDefault="00CA3B52" w:rsidP="00F65451">
            <w:pPr>
              <w:pStyle w:val="Tabletext"/>
              <w:jc w:val="center"/>
              <w:rPr>
                <w:lang w:val="en-US"/>
              </w:rPr>
            </w:pPr>
            <w:r w:rsidRPr="00CB6CBA">
              <w:rPr>
                <w:lang w:val="en-US"/>
              </w:rPr>
              <w:t>300</w:t>
            </w:r>
          </w:p>
        </w:tc>
        <w:tc>
          <w:tcPr>
            <w:tcW w:w="1264" w:type="dxa"/>
          </w:tcPr>
          <w:p w:rsidR="00CA3B52" w:rsidRPr="00CB6CBA" w:rsidRDefault="00CA3B52" w:rsidP="00F65451">
            <w:pPr>
              <w:pStyle w:val="Tabletext"/>
              <w:jc w:val="center"/>
              <w:rPr>
                <w:lang w:val="en-US"/>
              </w:rPr>
            </w:pPr>
            <w:r w:rsidRPr="00CB6CBA">
              <w:rPr>
                <w:lang w:val="en-US"/>
              </w:rPr>
              <w:t>220</w:t>
            </w:r>
          </w:p>
        </w:tc>
      </w:tr>
      <w:tr w:rsidR="00CA3B52" w:rsidRPr="00CB6CBA" w:rsidTr="008F35B9">
        <w:trPr>
          <w:jc w:val="center"/>
        </w:trPr>
        <w:tc>
          <w:tcPr>
            <w:tcW w:w="687" w:type="dxa"/>
          </w:tcPr>
          <w:p w:rsidR="00CA3B52" w:rsidRPr="00CB6CBA" w:rsidRDefault="00CA3B52" w:rsidP="00F65451">
            <w:pPr>
              <w:pStyle w:val="Tabletext"/>
              <w:rPr>
                <w:lang w:val="en-US"/>
              </w:rPr>
            </w:pPr>
            <w:r w:rsidRPr="00CB6CBA">
              <w:rPr>
                <w:lang w:val="en-US"/>
              </w:rPr>
              <w:t>3</w:t>
            </w:r>
          </w:p>
        </w:tc>
        <w:tc>
          <w:tcPr>
            <w:tcW w:w="3902" w:type="dxa"/>
          </w:tcPr>
          <w:p w:rsidR="00CA3B52" w:rsidRPr="00CB6CBA" w:rsidRDefault="00CA3B52" w:rsidP="00F65451">
            <w:pPr>
              <w:pStyle w:val="Tabletext"/>
              <w:jc w:val="center"/>
              <w:rPr>
                <w:lang w:val="en-US"/>
              </w:rPr>
            </w:pPr>
            <w:r w:rsidRPr="00CB6CBA">
              <w:rPr>
                <w:lang w:val="en-US"/>
              </w:rPr>
              <w:t>5</w:t>
            </w:r>
          </w:p>
        </w:tc>
        <w:tc>
          <w:tcPr>
            <w:tcW w:w="1262" w:type="dxa"/>
          </w:tcPr>
          <w:p w:rsidR="00CA3B52" w:rsidRPr="00CB6CBA" w:rsidRDefault="00CA3B52" w:rsidP="00F65451">
            <w:pPr>
              <w:pStyle w:val="Tabletext"/>
              <w:jc w:val="center"/>
              <w:rPr>
                <w:lang w:val="en-US"/>
              </w:rPr>
            </w:pPr>
            <w:r w:rsidRPr="00CB6CBA">
              <w:rPr>
                <w:lang w:val="en-US"/>
              </w:rPr>
              <w:t>220</w:t>
            </w:r>
          </w:p>
        </w:tc>
        <w:tc>
          <w:tcPr>
            <w:tcW w:w="1262" w:type="dxa"/>
          </w:tcPr>
          <w:p w:rsidR="00CA3B52" w:rsidRPr="00CB6CBA" w:rsidRDefault="00CA3B52" w:rsidP="00F65451">
            <w:pPr>
              <w:pStyle w:val="Tabletext"/>
              <w:jc w:val="center"/>
              <w:rPr>
                <w:lang w:val="en-US"/>
              </w:rPr>
            </w:pPr>
            <w:r w:rsidRPr="00CB6CBA">
              <w:rPr>
                <w:lang w:val="en-US"/>
              </w:rPr>
              <w:t>180</w:t>
            </w:r>
          </w:p>
        </w:tc>
        <w:tc>
          <w:tcPr>
            <w:tcW w:w="1262" w:type="dxa"/>
          </w:tcPr>
          <w:p w:rsidR="00CA3B52" w:rsidRPr="00CB6CBA" w:rsidRDefault="00CA3B52" w:rsidP="00F65451">
            <w:pPr>
              <w:pStyle w:val="Tabletext"/>
              <w:jc w:val="center"/>
              <w:rPr>
                <w:lang w:val="en-US"/>
              </w:rPr>
            </w:pPr>
            <w:r w:rsidRPr="00CB6CBA">
              <w:rPr>
                <w:lang w:val="en-US"/>
              </w:rPr>
              <w:t>290</w:t>
            </w:r>
          </w:p>
        </w:tc>
        <w:tc>
          <w:tcPr>
            <w:tcW w:w="1264" w:type="dxa"/>
          </w:tcPr>
          <w:p w:rsidR="00CA3B52" w:rsidRPr="00CB6CBA" w:rsidRDefault="00CA3B52" w:rsidP="00F65451">
            <w:pPr>
              <w:pStyle w:val="Tabletext"/>
              <w:jc w:val="center"/>
              <w:rPr>
                <w:lang w:val="en-US"/>
              </w:rPr>
            </w:pPr>
            <w:r w:rsidRPr="00CB6CBA">
              <w:rPr>
                <w:lang w:val="en-US"/>
              </w:rPr>
              <w:t>200</w:t>
            </w:r>
          </w:p>
        </w:tc>
      </w:tr>
      <w:tr w:rsidR="00CA3B52" w:rsidRPr="00CB6CBA" w:rsidTr="008F35B9">
        <w:trPr>
          <w:jc w:val="center"/>
        </w:trPr>
        <w:tc>
          <w:tcPr>
            <w:tcW w:w="687" w:type="dxa"/>
          </w:tcPr>
          <w:p w:rsidR="00CA3B52" w:rsidRPr="00CB6CBA" w:rsidRDefault="00CA3B52" w:rsidP="00F65451">
            <w:pPr>
              <w:pStyle w:val="Tabletext"/>
              <w:rPr>
                <w:lang w:val="en-US"/>
              </w:rPr>
            </w:pPr>
            <w:r w:rsidRPr="00CB6CBA">
              <w:rPr>
                <w:lang w:val="en-US"/>
              </w:rPr>
              <w:t>4</w:t>
            </w:r>
          </w:p>
        </w:tc>
        <w:tc>
          <w:tcPr>
            <w:tcW w:w="3902" w:type="dxa"/>
          </w:tcPr>
          <w:p w:rsidR="00CA3B52" w:rsidRPr="00CB6CBA" w:rsidRDefault="00CA3B52" w:rsidP="00F65451">
            <w:pPr>
              <w:pStyle w:val="Tabletext"/>
              <w:jc w:val="center"/>
              <w:rPr>
                <w:lang w:val="en-US"/>
              </w:rPr>
            </w:pPr>
            <w:r w:rsidRPr="00CB6CBA">
              <w:rPr>
                <w:lang w:val="en-US"/>
              </w:rPr>
              <w:t>6</w:t>
            </w:r>
          </w:p>
        </w:tc>
        <w:tc>
          <w:tcPr>
            <w:tcW w:w="1262" w:type="dxa"/>
          </w:tcPr>
          <w:p w:rsidR="00CA3B52" w:rsidRPr="00CB6CBA" w:rsidRDefault="00CA3B52" w:rsidP="00F65451">
            <w:pPr>
              <w:pStyle w:val="Tabletext"/>
              <w:jc w:val="center"/>
              <w:rPr>
                <w:lang w:val="en-US"/>
              </w:rPr>
            </w:pPr>
            <w:r w:rsidRPr="00CB6CBA">
              <w:rPr>
                <w:lang w:val="en-US"/>
              </w:rPr>
              <w:t>230</w:t>
            </w:r>
          </w:p>
        </w:tc>
        <w:tc>
          <w:tcPr>
            <w:tcW w:w="1262" w:type="dxa"/>
          </w:tcPr>
          <w:p w:rsidR="00CA3B52" w:rsidRPr="00CB6CBA" w:rsidRDefault="00CA3B52" w:rsidP="00F65451">
            <w:pPr>
              <w:pStyle w:val="Tabletext"/>
              <w:jc w:val="center"/>
              <w:rPr>
                <w:lang w:val="en-US"/>
              </w:rPr>
            </w:pPr>
            <w:r w:rsidRPr="00CB6CBA">
              <w:rPr>
                <w:lang w:val="en-US"/>
              </w:rPr>
              <w:t>180</w:t>
            </w:r>
          </w:p>
        </w:tc>
        <w:tc>
          <w:tcPr>
            <w:tcW w:w="1262" w:type="dxa"/>
          </w:tcPr>
          <w:p w:rsidR="00CA3B52" w:rsidRPr="00CB6CBA" w:rsidRDefault="00CA3B52" w:rsidP="00F65451">
            <w:pPr>
              <w:pStyle w:val="Tabletext"/>
              <w:jc w:val="center"/>
              <w:rPr>
                <w:lang w:val="en-US"/>
              </w:rPr>
            </w:pPr>
            <w:r w:rsidRPr="00CB6CBA">
              <w:rPr>
                <w:lang w:val="en-US"/>
              </w:rPr>
              <w:t>280</w:t>
            </w:r>
          </w:p>
        </w:tc>
        <w:tc>
          <w:tcPr>
            <w:tcW w:w="1264" w:type="dxa"/>
          </w:tcPr>
          <w:p w:rsidR="00CA3B52" w:rsidRPr="00CB6CBA" w:rsidRDefault="00CA3B52" w:rsidP="00F65451">
            <w:pPr>
              <w:pStyle w:val="Tabletext"/>
              <w:jc w:val="center"/>
              <w:rPr>
                <w:lang w:val="en-US"/>
              </w:rPr>
            </w:pPr>
            <w:r w:rsidRPr="00CB6CBA">
              <w:rPr>
                <w:lang w:val="en-US"/>
              </w:rPr>
              <w:t>170</w:t>
            </w:r>
          </w:p>
        </w:tc>
      </w:tr>
      <w:tr w:rsidR="00CA3B52" w:rsidRPr="00CB6CBA" w:rsidTr="008F35B9">
        <w:trPr>
          <w:jc w:val="center"/>
        </w:trPr>
        <w:tc>
          <w:tcPr>
            <w:tcW w:w="687" w:type="dxa"/>
          </w:tcPr>
          <w:p w:rsidR="00CA3B52" w:rsidRPr="00CB6CBA" w:rsidRDefault="00CA3B52" w:rsidP="00F65451">
            <w:pPr>
              <w:pStyle w:val="Tabletext"/>
              <w:rPr>
                <w:lang w:val="en-US"/>
              </w:rPr>
            </w:pPr>
            <w:r w:rsidRPr="00CB6CBA">
              <w:rPr>
                <w:lang w:val="en-US"/>
              </w:rPr>
              <w:t>5</w:t>
            </w:r>
          </w:p>
        </w:tc>
        <w:tc>
          <w:tcPr>
            <w:tcW w:w="3902" w:type="dxa"/>
          </w:tcPr>
          <w:p w:rsidR="00CA3B52" w:rsidRPr="00CB6CBA" w:rsidRDefault="00CA3B52" w:rsidP="00F65451">
            <w:pPr>
              <w:pStyle w:val="Tabletext"/>
              <w:jc w:val="center"/>
              <w:rPr>
                <w:lang w:val="en-US"/>
              </w:rPr>
            </w:pPr>
            <w:r w:rsidRPr="00CB6CBA">
              <w:rPr>
                <w:lang w:val="en-US"/>
              </w:rPr>
              <w:t>7</w:t>
            </w:r>
          </w:p>
        </w:tc>
        <w:tc>
          <w:tcPr>
            <w:tcW w:w="1262" w:type="dxa"/>
          </w:tcPr>
          <w:p w:rsidR="00CA3B52" w:rsidRPr="00CB6CBA" w:rsidRDefault="00CA3B52" w:rsidP="00F65451">
            <w:pPr>
              <w:pStyle w:val="Tabletext"/>
              <w:jc w:val="center"/>
              <w:rPr>
                <w:lang w:val="en-US"/>
              </w:rPr>
            </w:pPr>
            <w:r w:rsidRPr="00CB6CBA">
              <w:rPr>
                <w:lang w:val="en-US"/>
              </w:rPr>
              <w:t>240</w:t>
            </w:r>
          </w:p>
        </w:tc>
        <w:tc>
          <w:tcPr>
            <w:tcW w:w="1262" w:type="dxa"/>
          </w:tcPr>
          <w:p w:rsidR="00CA3B52" w:rsidRPr="00CB6CBA" w:rsidRDefault="00CA3B52" w:rsidP="00F65451">
            <w:pPr>
              <w:pStyle w:val="Tabletext"/>
              <w:jc w:val="center"/>
              <w:rPr>
                <w:lang w:val="en-US"/>
              </w:rPr>
            </w:pPr>
            <w:r w:rsidRPr="00CB6CBA">
              <w:rPr>
                <w:lang w:val="en-US"/>
              </w:rPr>
              <w:t>160</w:t>
            </w:r>
          </w:p>
        </w:tc>
        <w:tc>
          <w:tcPr>
            <w:tcW w:w="1262" w:type="dxa"/>
          </w:tcPr>
          <w:p w:rsidR="00CA3B52" w:rsidRPr="00CB6CBA" w:rsidRDefault="00CA3B52" w:rsidP="00F65451">
            <w:pPr>
              <w:pStyle w:val="Tabletext"/>
              <w:jc w:val="center"/>
              <w:rPr>
                <w:lang w:val="en-US"/>
              </w:rPr>
            </w:pPr>
            <w:r w:rsidRPr="00CB6CBA">
              <w:rPr>
                <w:lang w:val="en-US"/>
              </w:rPr>
              <w:t>270</w:t>
            </w:r>
          </w:p>
        </w:tc>
        <w:tc>
          <w:tcPr>
            <w:tcW w:w="1264" w:type="dxa"/>
          </w:tcPr>
          <w:p w:rsidR="00CA3B52" w:rsidRPr="00CB6CBA" w:rsidRDefault="00CA3B52" w:rsidP="00F65451">
            <w:pPr>
              <w:pStyle w:val="Tabletext"/>
              <w:jc w:val="center"/>
              <w:rPr>
                <w:lang w:val="en-US"/>
              </w:rPr>
            </w:pPr>
            <w:r w:rsidRPr="00CB6CBA">
              <w:rPr>
                <w:lang w:val="en-US"/>
              </w:rPr>
              <w:t>160</w:t>
            </w:r>
          </w:p>
        </w:tc>
      </w:tr>
      <w:tr w:rsidR="00CA3B52" w:rsidRPr="00CB6CBA" w:rsidTr="008F35B9">
        <w:trPr>
          <w:jc w:val="center"/>
        </w:trPr>
        <w:tc>
          <w:tcPr>
            <w:tcW w:w="687" w:type="dxa"/>
          </w:tcPr>
          <w:p w:rsidR="00CA3B52" w:rsidRPr="00CB6CBA" w:rsidRDefault="00CA3B52" w:rsidP="00F65451">
            <w:pPr>
              <w:pStyle w:val="Tabletext"/>
              <w:rPr>
                <w:lang w:val="en-US"/>
              </w:rPr>
            </w:pPr>
            <w:r w:rsidRPr="00CB6CBA">
              <w:rPr>
                <w:lang w:val="en-US"/>
              </w:rPr>
              <w:t>6</w:t>
            </w:r>
          </w:p>
        </w:tc>
        <w:tc>
          <w:tcPr>
            <w:tcW w:w="3902" w:type="dxa"/>
          </w:tcPr>
          <w:p w:rsidR="00CA3B52" w:rsidRPr="00CB6CBA" w:rsidRDefault="00CA3B52" w:rsidP="00F65451">
            <w:pPr>
              <w:pStyle w:val="Tabletext"/>
              <w:jc w:val="center"/>
              <w:rPr>
                <w:lang w:val="en-US"/>
              </w:rPr>
            </w:pPr>
            <w:r w:rsidRPr="00CB6CBA">
              <w:rPr>
                <w:lang w:val="en-US"/>
              </w:rPr>
              <w:t>8</w:t>
            </w:r>
          </w:p>
        </w:tc>
        <w:tc>
          <w:tcPr>
            <w:tcW w:w="1262" w:type="dxa"/>
          </w:tcPr>
          <w:p w:rsidR="00CA3B52" w:rsidRPr="00CB6CBA" w:rsidRDefault="00CA3B52" w:rsidP="00F65451">
            <w:pPr>
              <w:pStyle w:val="Tabletext"/>
              <w:jc w:val="center"/>
              <w:rPr>
                <w:lang w:val="en-US"/>
              </w:rPr>
            </w:pPr>
            <w:r w:rsidRPr="00CB6CBA">
              <w:rPr>
                <w:lang w:val="en-US"/>
              </w:rPr>
              <w:t>260</w:t>
            </w:r>
          </w:p>
        </w:tc>
        <w:tc>
          <w:tcPr>
            <w:tcW w:w="1262" w:type="dxa"/>
          </w:tcPr>
          <w:p w:rsidR="00CA3B52" w:rsidRPr="00CB6CBA" w:rsidRDefault="00CA3B52" w:rsidP="00F65451">
            <w:pPr>
              <w:pStyle w:val="Tabletext"/>
              <w:jc w:val="center"/>
              <w:rPr>
                <w:lang w:val="en-US"/>
              </w:rPr>
            </w:pPr>
            <w:r w:rsidRPr="00CB6CBA">
              <w:rPr>
                <w:lang w:val="en-US"/>
              </w:rPr>
              <w:t>140</w:t>
            </w:r>
          </w:p>
        </w:tc>
        <w:tc>
          <w:tcPr>
            <w:tcW w:w="1262" w:type="dxa"/>
          </w:tcPr>
          <w:p w:rsidR="00CA3B52" w:rsidRPr="00CB6CBA" w:rsidRDefault="00CA3B52" w:rsidP="00F65451">
            <w:pPr>
              <w:pStyle w:val="Tabletext"/>
              <w:jc w:val="center"/>
              <w:rPr>
                <w:lang w:val="en-US"/>
              </w:rPr>
            </w:pPr>
            <w:r w:rsidRPr="00CB6CBA">
              <w:rPr>
                <w:lang w:val="en-US"/>
              </w:rPr>
              <w:t>260</w:t>
            </w:r>
          </w:p>
        </w:tc>
        <w:tc>
          <w:tcPr>
            <w:tcW w:w="1264" w:type="dxa"/>
          </w:tcPr>
          <w:p w:rsidR="00CA3B52" w:rsidRPr="00CB6CBA" w:rsidRDefault="00CA3B52" w:rsidP="00F65451">
            <w:pPr>
              <w:pStyle w:val="Tabletext"/>
              <w:jc w:val="center"/>
              <w:rPr>
                <w:lang w:val="en-US"/>
              </w:rPr>
            </w:pPr>
            <w:r w:rsidRPr="00CB6CBA">
              <w:rPr>
                <w:lang w:val="en-US"/>
              </w:rPr>
              <w:t>180</w:t>
            </w:r>
          </w:p>
        </w:tc>
      </w:tr>
      <w:tr w:rsidR="00CA3B52" w:rsidRPr="00CB6CBA" w:rsidTr="008F35B9">
        <w:trPr>
          <w:jc w:val="center"/>
        </w:trPr>
        <w:tc>
          <w:tcPr>
            <w:tcW w:w="687" w:type="dxa"/>
          </w:tcPr>
          <w:p w:rsidR="00CA3B52" w:rsidRPr="00CB6CBA" w:rsidRDefault="00CA3B52" w:rsidP="00F65451">
            <w:pPr>
              <w:pStyle w:val="Tabletext"/>
              <w:rPr>
                <w:lang w:val="en-US"/>
              </w:rPr>
            </w:pPr>
            <w:r w:rsidRPr="00CB6CBA">
              <w:rPr>
                <w:lang w:val="en-US"/>
              </w:rPr>
              <w:t>7</w:t>
            </w:r>
          </w:p>
        </w:tc>
        <w:tc>
          <w:tcPr>
            <w:tcW w:w="3902" w:type="dxa"/>
          </w:tcPr>
          <w:p w:rsidR="00CA3B52" w:rsidRPr="00CB6CBA" w:rsidRDefault="00CA3B52" w:rsidP="00F65451">
            <w:pPr>
              <w:pStyle w:val="Tabletext"/>
              <w:jc w:val="center"/>
              <w:rPr>
                <w:lang w:val="en-US"/>
              </w:rPr>
            </w:pPr>
            <w:r w:rsidRPr="00CB6CBA">
              <w:rPr>
                <w:lang w:val="en-US"/>
              </w:rPr>
              <w:t>9</w:t>
            </w:r>
          </w:p>
        </w:tc>
        <w:tc>
          <w:tcPr>
            <w:tcW w:w="1262" w:type="dxa"/>
          </w:tcPr>
          <w:p w:rsidR="00CA3B52" w:rsidRPr="00CB6CBA" w:rsidRDefault="00CA3B52" w:rsidP="00F65451">
            <w:pPr>
              <w:pStyle w:val="Tabletext"/>
              <w:jc w:val="center"/>
              <w:rPr>
                <w:lang w:val="en-US"/>
              </w:rPr>
            </w:pPr>
            <w:r w:rsidRPr="00CB6CBA">
              <w:rPr>
                <w:lang w:val="en-US"/>
              </w:rPr>
              <w:t>260</w:t>
            </w:r>
          </w:p>
        </w:tc>
        <w:tc>
          <w:tcPr>
            <w:tcW w:w="1262" w:type="dxa"/>
          </w:tcPr>
          <w:p w:rsidR="00CA3B52" w:rsidRPr="00CB6CBA" w:rsidRDefault="00CA3B52" w:rsidP="00F65451">
            <w:pPr>
              <w:pStyle w:val="Tabletext"/>
              <w:jc w:val="center"/>
              <w:rPr>
                <w:lang w:val="en-US"/>
              </w:rPr>
            </w:pPr>
            <w:r w:rsidRPr="00CB6CBA">
              <w:rPr>
                <w:lang w:val="en-US"/>
              </w:rPr>
              <w:t>120</w:t>
            </w:r>
          </w:p>
        </w:tc>
        <w:tc>
          <w:tcPr>
            <w:tcW w:w="1262" w:type="dxa"/>
          </w:tcPr>
          <w:p w:rsidR="00CA3B52" w:rsidRPr="00CB6CBA" w:rsidRDefault="00CA3B52" w:rsidP="00F65451">
            <w:pPr>
              <w:pStyle w:val="Tabletext"/>
              <w:jc w:val="center"/>
              <w:rPr>
                <w:lang w:val="en-US"/>
              </w:rPr>
            </w:pPr>
            <w:r w:rsidRPr="00CB6CBA">
              <w:rPr>
                <w:lang w:val="en-US"/>
              </w:rPr>
              <w:t>250</w:t>
            </w:r>
          </w:p>
        </w:tc>
        <w:tc>
          <w:tcPr>
            <w:tcW w:w="1264" w:type="dxa"/>
          </w:tcPr>
          <w:p w:rsidR="00CA3B52" w:rsidRPr="00CB6CBA" w:rsidRDefault="00CA3B52" w:rsidP="00F65451">
            <w:pPr>
              <w:pStyle w:val="Tabletext"/>
              <w:jc w:val="center"/>
              <w:rPr>
                <w:lang w:val="en-US"/>
              </w:rPr>
            </w:pPr>
            <w:r w:rsidRPr="00CB6CBA">
              <w:rPr>
                <w:lang w:val="en-US"/>
              </w:rPr>
              <w:t>200</w:t>
            </w:r>
          </w:p>
        </w:tc>
      </w:tr>
      <w:tr w:rsidR="00CA3B52" w:rsidRPr="00CB6CBA" w:rsidTr="008F35B9">
        <w:trPr>
          <w:jc w:val="center"/>
        </w:trPr>
        <w:tc>
          <w:tcPr>
            <w:tcW w:w="687" w:type="dxa"/>
          </w:tcPr>
          <w:p w:rsidR="00CA3B52" w:rsidRPr="00CB6CBA" w:rsidRDefault="00CA3B52" w:rsidP="00F65451">
            <w:pPr>
              <w:pStyle w:val="Tabletext"/>
              <w:rPr>
                <w:lang w:val="en-US"/>
              </w:rPr>
            </w:pPr>
            <w:r w:rsidRPr="00CB6CBA">
              <w:rPr>
                <w:lang w:val="en-US"/>
              </w:rPr>
              <w:t>8</w:t>
            </w:r>
          </w:p>
        </w:tc>
        <w:tc>
          <w:tcPr>
            <w:tcW w:w="3902" w:type="dxa"/>
          </w:tcPr>
          <w:p w:rsidR="00CA3B52" w:rsidRPr="00CB6CBA" w:rsidRDefault="00CA3B52" w:rsidP="00F65451">
            <w:pPr>
              <w:pStyle w:val="Tabletext"/>
              <w:jc w:val="center"/>
              <w:rPr>
                <w:lang w:val="en-US"/>
              </w:rPr>
            </w:pPr>
            <w:r w:rsidRPr="00CB6CBA">
              <w:rPr>
                <w:lang w:val="en-US"/>
              </w:rPr>
              <w:t>10</w:t>
            </w:r>
          </w:p>
        </w:tc>
        <w:tc>
          <w:tcPr>
            <w:tcW w:w="1262" w:type="dxa"/>
          </w:tcPr>
          <w:p w:rsidR="00CA3B52" w:rsidRPr="00CB6CBA" w:rsidRDefault="00CA3B52" w:rsidP="00F65451">
            <w:pPr>
              <w:pStyle w:val="Tabletext"/>
              <w:jc w:val="center"/>
              <w:rPr>
                <w:lang w:val="en-US"/>
              </w:rPr>
            </w:pPr>
            <w:r w:rsidRPr="00CB6CBA">
              <w:rPr>
                <w:lang w:val="en-US"/>
              </w:rPr>
              <w:t>280</w:t>
            </w:r>
          </w:p>
        </w:tc>
        <w:tc>
          <w:tcPr>
            <w:tcW w:w="1262" w:type="dxa"/>
          </w:tcPr>
          <w:p w:rsidR="00CA3B52" w:rsidRPr="00CB6CBA" w:rsidRDefault="00CA3B52" w:rsidP="00F65451">
            <w:pPr>
              <w:pStyle w:val="Tabletext"/>
              <w:jc w:val="center"/>
              <w:rPr>
                <w:lang w:val="en-US"/>
              </w:rPr>
            </w:pPr>
            <w:r w:rsidRPr="00CB6CBA">
              <w:rPr>
                <w:lang w:val="en-US"/>
              </w:rPr>
              <w:t>120</w:t>
            </w:r>
          </w:p>
        </w:tc>
        <w:tc>
          <w:tcPr>
            <w:tcW w:w="1262" w:type="dxa"/>
          </w:tcPr>
          <w:p w:rsidR="00CA3B52" w:rsidRPr="00CB6CBA" w:rsidRDefault="00CA3B52" w:rsidP="00F65451">
            <w:pPr>
              <w:pStyle w:val="Tabletext"/>
              <w:jc w:val="center"/>
              <w:rPr>
                <w:lang w:val="en-US"/>
              </w:rPr>
            </w:pPr>
            <w:r w:rsidRPr="00CB6CBA">
              <w:rPr>
                <w:lang w:val="en-US"/>
              </w:rPr>
              <w:t>230</w:t>
            </w:r>
          </w:p>
        </w:tc>
        <w:tc>
          <w:tcPr>
            <w:tcW w:w="1264" w:type="dxa"/>
          </w:tcPr>
          <w:p w:rsidR="00CA3B52" w:rsidRPr="00CB6CBA" w:rsidRDefault="00CA3B52" w:rsidP="00F65451">
            <w:pPr>
              <w:pStyle w:val="Tabletext"/>
              <w:jc w:val="center"/>
              <w:rPr>
                <w:lang w:val="en-US"/>
              </w:rPr>
            </w:pPr>
            <w:r w:rsidRPr="00CB6CBA">
              <w:rPr>
                <w:lang w:val="en-US"/>
              </w:rPr>
              <w:t>250</w:t>
            </w:r>
          </w:p>
        </w:tc>
      </w:tr>
      <w:tr w:rsidR="00CA3B52" w:rsidRPr="00CB6CBA" w:rsidTr="008F35B9">
        <w:trPr>
          <w:jc w:val="center"/>
        </w:trPr>
        <w:tc>
          <w:tcPr>
            <w:tcW w:w="687" w:type="dxa"/>
          </w:tcPr>
          <w:p w:rsidR="00CA3B52" w:rsidRPr="00CB6CBA" w:rsidRDefault="00CA3B52" w:rsidP="00F65451">
            <w:pPr>
              <w:pStyle w:val="Tabletext"/>
              <w:rPr>
                <w:lang w:val="en-US"/>
              </w:rPr>
            </w:pPr>
            <w:r w:rsidRPr="00CB6CBA">
              <w:rPr>
                <w:lang w:val="en-US"/>
              </w:rPr>
              <w:t>9</w:t>
            </w:r>
          </w:p>
        </w:tc>
        <w:tc>
          <w:tcPr>
            <w:tcW w:w="3902" w:type="dxa"/>
          </w:tcPr>
          <w:p w:rsidR="00CA3B52" w:rsidRPr="00CB6CBA" w:rsidRDefault="00CA3B52" w:rsidP="00F65451">
            <w:pPr>
              <w:pStyle w:val="Tabletext"/>
              <w:jc w:val="center"/>
              <w:rPr>
                <w:lang w:val="en-US"/>
              </w:rPr>
            </w:pPr>
            <w:r w:rsidRPr="00CB6CBA">
              <w:rPr>
                <w:lang w:val="en-US"/>
              </w:rPr>
              <w:t>11</w:t>
            </w:r>
          </w:p>
        </w:tc>
        <w:tc>
          <w:tcPr>
            <w:tcW w:w="1262" w:type="dxa"/>
          </w:tcPr>
          <w:p w:rsidR="00CA3B52" w:rsidRPr="00CB6CBA" w:rsidRDefault="00CA3B52" w:rsidP="00F65451">
            <w:pPr>
              <w:pStyle w:val="Tabletext"/>
              <w:jc w:val="center"/>
              <w:rPr>
                <w:lang w:val="en-US"/>
              </w:rPr>
            </w:pPr>
            <w:r w:rsidRPr="00CB6CBA">
              <w:rPr>
                <w:lang w:val="en-US"/>
              </w:rPr>
              <w:t>280</w:t>
            </w:r>
          </w:p>
        </w:tc>
        <w:tc>
          <w:tcPr>
            <w:tcW w:w="1262" w:type="dxa"/>
          </w:tcPr>
          <w:p w:rsidR="00CA3B52" w:rsidRPr="00CB6CBA" w:rsidRDefault="00CA3B52" w:rsidP="00F65451">
            <w:pPr>
              <w:pStyle w:val="Tabletext"/>
              <w:jc w:val="center"/>
              <w:rPr>
                <w:lang w:val="en-US"/>
              </w:rPr>
            </w:pPr>
            <w:r w:rsidRPr="00CB6CBA">
              <w:rPr>
                <w:lang w:val="en-US"/>
              </w:rPr>
              <w:t>110</w:t>
            </w:r>
          </w:p>
        </w:tc>
        <w:tc>
          <w:tcPr>
            <w:tcW w:w="1262" w:type="dxa"/>
          </w:tcPr>
          <w:p w:rsidR="00CA3B52" w:rsidRPr="00CB6CBA" w:rsidRDefault="00CA3B52" w:rsidP="00F65451">
            <w:pPr>
              <w:pStyle w:val="Tabletext"/>
              <w:jc w:val="center"/>
              <w:rPr>
                <w:lang w:val="en-US"/>
              </w:rPr>
            </w:pPr>
            <w:r w:rsidRPr="00CB6CBA">
              <w:rPr>
                <w:lang w:val="en-US"/>
              </w:rPr>
              <w:t>220</w:t>
            </w:r>
          </w:p>
        </w:tc>
        <w:tc>
          <w:tcPr>
            <w:tcW w:w="1264" w:type="dxa"/>
          </w:tcPr>
          <w:p w:rsidR="00CA3B52" w:rsidRPr="00CB6CBA" w:rsidRDefault="00CA3B52" w:rsidP="00F65451">
            <w:pPr>
              <w:pStyle w:val="Tabletext"/>
              <w:jc w:val="center"/>
              <w:rPr>
                <w:lang w:val="en-US"/>
              </w:rPr>
            </w:pPr>
            <w:r w:rsidRPr="00CB6CBA">
              <w:rPr>
                <w:lang w:val="en-US"/>
              </w:rPr>
              <w:t>250</w:t>
            </w:r>
          </w:p>
        </w:tc>
      </w:tr>
      <w:tr w:rsidR="00CA3B52" w:rsidRPr="00CB6CBA" w:rsidTr="008F35B9">
        <w:trPr>
          <w:jc w:val="center"/>
        </w:trPr>
        <w:tc>
          <w:tcPr>
            <w:tcW w:w="687" w:type="dxa"/>
          </w:tcPr>
          <w:p w:rsidR="00CA3B52" w:rsidRPr="00CB6CBA" w:rsidRDefault="00CA3B52" w:rsidP="00F65451">
            <w:pPr>
              <w:pStyle w:val="Tabletext"/>
              <w:rPr>
                <w:lang w:val="en-US"/>
              </w:rPr>
            </w:pPr>
            <w:r w:rsidRPr="00CB6CBA">
              <w:rPr>
                <w:lang w:val="en-US"/>
              </w:rPr>
              <w:t>10</w:t>
            </w:r>
          </w:p>
        </w:tc>
        <w:tc>
          <w:tcPr>
            <w:tcW w:w="3902" w:type="dxa"/>
          </w:tcPr>
          <w:p w:rsidR="00CA3B52" w:rsidRPr="00CB6CBA" w:rsidRDefault="00CA3B52" w:rsidP="00F65451">
            <w:pPr>
              <w:pStyle w:val="Tabletext"/>
              <w:jc w:val="center"/>
              <w:rPr>
                <w:lang w:val="en-US"/>
              </w:rPr>
            </w:pPr>
            <w:r w:rsidRPr="00CB6CBA">
              <w:rPr>
                <w:lang w:val="en-US"/>
              </w:rPr>
              <w:t>12</w:t>
            </w:r>
          </w:p>
        </w:tc>
        <w:tc>
          <w:tcPr>
            <w:tcW w:w="1262" w:type="dxa"/>
          </w:tcPr>
          <w:p w:rsidR="00CA3B52" w:rsidRPr="00CB6CBA" w:rsidRDefault="00CA3B52" w:rsidP="00F65451">
            <w:pPr>
              <w:pStyle w:val="Tabletext"/>
              <w:jc w:val="center"/>
              <w:rPr>
                <w:lang w:val="en-US"/>
              </w:rPr>
            </w:pPr>
            <w:r w:rsidRPr="00CB6CBA">
              <w:rPr>
                <w:lang w:val="en-US"/>
              </w:rPr>
              <w:t>280</w:t>
            </w:r>
          </w:p>
        </w:tc>
        <w:tc>
          <w:tcPr>
            <w:tcW w:w="1262" w:type="dxa"/>
          </w:tcPr>
          <w:p w:rsidR="00CA3B52" w:rsidRPr="00CB6CBA" w:rsidRDefault="00CA3B52" w:rsidP="00F65451">
            <w:pPr>
              <w:pStyle w:val="Tabletext"/>
              <w:jc w:val="center"/>
              <w:rPr>
                <w:lang w:val="en-US"/>
              </w:rPr>
            </w:pPr>
            <w:r w:rsidRPr="00CB6CBA">
              <w:rPr>
                <w:lang w:val="en-US"/>
              </w:rPr>
              <w:t>100</w:t>
            </w:r>
          </w:p>
        </w:tc>
        <w:tc>
          <w:tcPr>
            <w:tcW w:w="1262" w:type="dxa"/>
          </w:tcPr>
          <w:p w:rsidR="00CA3B52" w:rsidRPr="00CB6CBA" w:rsidRDefault="00CA3B52" w:rsidP="00F65451">
            <w:pPr>
              <w:pStyle w:val="Tabletext"/>
              <w:jc w:val="center"/>
              <w:rPr>
                <w:lang w:val="en-US"/>
              </w:rPr>
            </w:pPr>
            <w:r w:rsidRPr="00CB6CBA">
              <w:rPr>
                <w:lang w:val="en-US"/>
              </w:rPr>
              <w:t>210</w:t>
            </w:r>
          </w:p>
        </w:tc>
        <w:tc>
          <w:tcPr>
            <w:tcW w:w="1264" w:type="dxa"/>
          </w:tcPr>
          <w:p w:rsidR="00CA3B52" w:rsidRPr="00CB6CBA" w:rsidRDefault="00CA3B52" w:rsidP="00F65451">
            <w:pPr>
              <w:pStyle w:val="Tabletext"/>
              <w:jc w:val="center"/>
              <w:rPr>
                <w:lang w:val="en-US"/>
              </w:rPr>
            </w:pPr>
            <w:r w:rsidRPr="00CB6CBA">
              <w:rPr>
                <w:lang w:val="en-US"/>
              </w:rPr>
              <w:t>240</w:t>
            </w:r>
          </w:p>
        </w:tc>
      </w:tr>
      <w:tr w:rsidR="00CA3B52" w:rsidRPr="00CB6CBA" w:rsidTr="008F35B9">
        <w:trPr>
          <w:jc w:val="center"/>
        </w:trPr>
        <w:tc>
          <w:tcPr>
            <w:tcW w:w="687" w:type="dxa"/>
          </w:tcPr>
          <w:p w:rsidR="00CA3B52" w:rsidRPr="00CB6CBA" w:rsidRDefault="00CA3B52" w:rsidP="00F65451">
            <w:pPr>
              <w:pStyle w:val="Tabletext"/>
              <w:rPr>
                <w:lang w:val="en-US"/>
              </w:rPr>
            </w:pPr>
            <w:r w:rsidRPr="00CB6CBA">
              <w:rPr>
                <w:lang w:val="en-US"/>
              </w:rPr>
              <w:t>11</w:t>
            </w:r>
          </w:p>
        </w:tc>
        <w:tc>
          <w:tcPr>
            <w:tcW w:w="3902" w:type="dxa"/>
          </w:tcPr>
          <w:p w:rsidR="00CA3B52" w:rsidRPr="00CB6CBA" w:rsidRDefault="00CA3B52" w:rsidP="00F65451">
            <w:pPr>
              <w:pStyle w:val="Tabletext"/>
              <w:jc w:val="center"/>
              <w:rPr>
                <w:lang w:val="en-US"/>
              </w:rPr>
            </w:pPr>
            <w:r w:rsidRPr="00CB6CBA">
              <w:rPr>
                <w:lang w:val="en-US"/>
              </w:rPr>
              <w:t>13</w:t>
            </w:r>
          </w:p>
        </w:tc>
        <w:tc>
          <w:tcPr>
            <w:tcW w:w="1262" w:type="dxa"/>
          </w:tcPr>
          <w:p w:rsidR="00CA3B52" w:rsidRPr="00CB6CBA" w:rsidRDefault="00CA3B52" w:rsidP="00F65451">
            <w:pPr>
              <w:pStyle w:val="Tabletext"/>
              <w:jc w:val="center"/>
              <w:rPr>
                <w:lang w:val="en-US"/>
              </w:rPr>
            </w:pPr>
            <w:r w:rsidRPr="00CB6CBA">
              <w:rPr>
                <w:lang w:val="en-US"/>
              </w:rPr>
              <w:t>290</w:t>
            </w:r>
          </w:p>
        </w:tc>
        <w:tc>
          <w:tcPr>
            <w:tcW w:w="1262" w:type="dxa"/>
          </w:tcPr>
          <w:p w:rsidR="00CA3B52" w:rsidRPr="00CB6CBA" w:rsidRDefault="00CA3B52" w:rsidP="00F65451">
            <w:pPr>
              <w:pStyle w:val="Tabletext"/>
              <w:jc w:val="center"/>
              <w:rPr>
                <w:lang w:val="en-US"/>
              </w:rPr>
            </w:pPr>
            <w:r w:rsidRPr="00CB6CBA">
              <w:rPr>
                <w:lang w:val="en-US"/>
              </w:rPr>
              <w:t>100</w:t>
            </w:r>
          </w:p>
        </w:tc>
        <w:tc>
          <w:tcPr>
            <w:tcW w:w="1262" w:type="dxa"/>
          </w:tcPr>
          <w:p w:rsidR="00CA3B52" w:rsidRPr="00CB6CBA" w:rsidRDefault="00CA3B52" w:rsidP="00F65451">
            <w:pPr>
              <w:pStyle w:val="Tabletext"/>
              <w:jc w:val="center"/>
              <w:rPr>
                <w:lang w:val="en-US"/>
              </w:rPr>
            </w:pPr>
            <w:r w:rsidRPr="00CB6CBA">
              <w:rPr>
                <w:lang w:val="en-US"/>
              </w:rPr>
              <w:t>200</w:t>
            </w:r>
          </w:p>
        </w:tc>
        <w:tc>
          <w:tcPr>
            <w:tcW w:w="1264" w:type="dxa"/>
          </w:tcPr>
          <w:p w:rsidR="00CA3B52" w:rsidRPr="00CB6CBA" w:rsidRDefault="00CA3B52" w:rsidP="00F65451">
            <w:pPr>
              <w:pStyle w:val="Tabletext"/>
              <w:jc w:val="center"/>
              <w:rPr>
                <w:lang w:val="en-US"/>
              </w:rPr>
            </w:pPr>
            <w:r w:rsidRPr="00CB6CBA">
              <w:rPr>
                <w:lang w:val="en-US"/>
              </w:rPr>
              <w:t>200</w:t>
            </w:r>
          </w:p>
        </w:tc>
      </w:tr>
      <w:tr w:rsidR="00CA3B52" w:rsidRPr="00CB6CBA" w:rsidTr="008F35B9">
        <w:trPr>
          <w:jc w:val="center"/>
        </w:trPr>
        <w:tc>
          <w:tcPr>
            <w:tcW w:w="687" w:type="dxa"/>
          </w:tcPr>
          <w:p w:rsidR="00CA3B52" w:rsidRPr="00CB6CBA" w:rsidRDefault="00CA3B52" w:rsidP="00F65451">
            <w:pPr>
              <w:pStyle w:val="Tabletext"/>
              <w:rPr>
                <w:lang w:val="en-US"/>
              </w:rPr>
            </w:pPr>
            <w:r w:rsidRPr="00CB6CBA">
              <w:rPr>
                <w:lang w:val="en-US"/>
              </w:rPr>
              <w:t>12</w:t>
            </w:r>
          </w:p>
        </w:tc>
        <w:tc>
          <w:tcPr>
            <w:tcW w:w="3902" w:type="dxa"/>
          </w:tcPr>
          <w:p w:rsidR="00CA3B52" w:rsidRPr="00CB6CBA" w:rsidRDefault="00CA3B52" w:rsidP="00F65451">
            <w:pPr>
              <w:pStyle w:val="Tabletext"/>
              <w:jc w:val="center"/>
              <w:rPr>
                <w:lang w:val="en-US"/>
              </w:rPr>
            </w:pPr>
            <w:r w:rsidRPr="00CB6CBA">
              <w:rPr>
                <w:lang w:val="en-US"/>
              </w:rPr>
              <w:t>14</w:t>
            </w:r>
          </w:p>
        </w:tc>
        <w:tc>
          <w:tcPr>
            <w:tcW w:w="1262" w:type="dxa"/>
          </w:tcPr>
          <w:p w:rsidR="00CA3B52" w:rsidRPr="00CB6CBA" w:rsidRDefault="00CA3B52" w:rsidP="00F65451">
            <w:pPr>
              <w:pStyle w:val="Tabletext"/>
              <w:jc w:val="center"/>
              <w:rPr>
                <w:lang w:val="en-US"/>
              </w:rPr>
            </w:pPr>
            <w:r w:rsidRPr="00CB6CBA">
              <w:rPr>
                <w:lang w:val="en-US"/>
              </w:rPr>
              <w:t>300</w:t>
            </w:r>
          </w:p>
        </w:tc>
        <w:tc>
          <w:tcPr>
            <w:tcW w:w="1262" w:type="dxa"/>
          </w:tcPr>
          <w:p w:rsidR="00CA3B52" w:rsidRPr="00CB6CBA" w:rsidRDefault="00CA3B52" w:rsidP="00F65451">
            <w:pPr>
              <w:pStyle w:val="Tabletext"/>
              <w:jc w:val="center"/>
              <w:rPr>
                <w:lang w:val="en-US"/>
              </w:rPr>
            </w:pPr>
            <w:r w:rsidRPr="00CB6CBA">
              <w:rPr>
                <w:lang w:val="en-US"/>
              </w:rPr>
              <w:t>80</w:t>
            </w:r>
          </w:p>
        </w:tc>
        <w:tc>
          <w:tcPr>
            <w:tcW w:w="1262" w:type="dxa"/>
          </w:tcPr>
          <w:p w:rsidR="00CA3B52" w:rsidRPr="00CB6CBA" w:rsidRDefault="00CA3B52" w:rsidP="00F65451">
            <w:pPr>
              <w:pStyle w:val="Tabletext"/>
              <w:jc w:val="center"/>
              <w:rPr>
                <w:lang w:val="en-US"/>
              </w:rPr>
            </w:pPr>
            <w:r w:rsidRPr="00CB6CBA">
              <w:rPr>
                <w:lang w:val="en-US"/>
              </w:rPr>
              <w:t>200</w:t>
            </w:r>
          </w:p>
        </w:tc>
        <w:tc>
          <w:tcPr>
            <w:tcW w:w="1264" w:type="dxa"/>
          </w:tcPr>
          <w:p w:rsidR="00CA3B52" w:rsidRPr="00CB6CBA" w:rsidRDefault="00CA3B52" w:rsidP="00F65451">
            <w:pPr>
              <w:pStyle w:val="Tabletext"/>
              <w:jc w:val="center"/>
              <w:rPr>
                <w:lang w:val="en-US"/>
              </w:rPr>
            </w:pPr>
            <w:r w:rsidRPr="00CB6CBA">
              <w:rPr>
                <w:lang w:val="en-US"/>
              </w:rPr>
              <w:t>180</w:t>
            </w:r>
          </w:p>
        </w:tc>
      </w:tr>
      <w:tr w:rsidR="00CA3B52" w:rsidRPr="00CB6CBA" w:rsidTr="008F35B9">
        <w:trPr>
          <w:jc w:val="center"/>
        </w:trPr>
        <w:tc>
          <w:tcPr>
            <w:tcW w:w="687" w:type="dxa"/>
          </w:tcPr>
          <w:p w:rsidR="00CA3B52" w:rsidRPr="00CB6CBA" w:rsidRDefault="00CA3B52" w:rsidP="00F65451">
            <w:pPr>
              <w:pStyle w:val="Tabletext"/>
              <w:rPr>
                <w:lang w:val="en-US"/>
              </w:rPr>
            </w:pPr>
            <w:r w:rsidRPr="00CB6CBA">
              <w:rPr>
                <w:lang w:val="en-US"/>
              </w:rPr>
              <w:t>13</w:t>
            </w:r>
          </w:p>
        </w:tc>
        <w:tc>
          <w:tcPr>
            <w:tcW w:w="3902" w:type="dxa"/>
          </w:tcPr>
          <w:p w:rsidR="00CA3B52" w:rsidRPr="00CB6CBA" w:rsidRDefault="00CA3B52" w:rsidP="00F65451">
            <w:pPr>
              <w:pStyle w:val="Tabletext"/>
              <w:jc w:val="center"/>
              <w:rPr>
                <w:lang w:val="en-US"/>
              </w:rPr>
            </w:pPr>
            <w:r w:rsidRPr="00CB6CBA">
              <w:rPr>
                <w:lang w:val="en-US"/>
              </w:rPr>
              <w:t>15</w:t>
            </w:r>
          </w:p>
        </w:tc>
        <w:tc>
          <w:tcPr>
            <w:tcW w:w="1262" w:type="dxa"/>
          </w:tcPr>
          <w:p w:rsidR="00CA3B52" w:rsidRPr="00CB6CBA" w:rsidRDefault="00CA3B52" w:rsidP="00F65451">
            <w:pPr>
              <w:pStyle w:val="Tabletext"/>
              <w:jc w:val="center"/>
              <w:rPr>
                <w:lang w:val="en-US"/>
              </w:rPr>
            </w:pPr>
            <w:r w:rsidRPr="00CB6CBA">
              <w:rPr>
                <w:lang w:val="en-US"/>
              </w:rPr>
              <w:t>320</w:t>
            </w:r>
          </w:p>
        </w:tc>
        <w:tc>
          <w:tcPr>
            <w:tcW w:w="1262" w:type="dxa"/>
          </w:tcPr>
          <w:p w:rsidR="00CA3B52" w:rsidRPr="00CB6CBA" w:rsidRDefault="00CA3B52" w:rsidP="00F65451">
            <w:pPr>
              <w:pStyle w:val="Tabletext"/>
              <w:jc w:val="center"/>
              <w:rPr>
                <w:lang w:val="en-US"/>
              </w:rPr>
            </w:pPr>
            <w:r w:rsidRPr="00CB6CBA">
              <w:rPr>
                <w:lang w:val="en-US"/>
              </w:rPr>
              <w:t>60</w:t>
            </w:r>
          </w:p>
        </w:tc>
        <w:tc>
          <w:tcPr>
            <w:tcW w:w="1262" w:type="dxa"/>
          </w:tcPr>
          <w:p w:rsidR="00CA3B52" w:rsidRPr="00CB6CBA" w:rsidRDefault="00CA3B52" w:rsidP="00F65451">
            <w:pPr>
              <w:pStyle w:val="Tabletext"/>
              <w:jc w:val="center"/>
              <w:rPr>
                <w:lang w:val="en-US"/>
              </w:rPr>
            </w:pPr>
            <w:r w:rsidRPr="00CB6CBA">
              <w:rPr>
                <w:lang w:val="en-US"/>
              </w:rPr>
              <w:t>200</w:t>
            </w:r>
          </w:p>
        </w:tc>
        <w:tc>
          <w:tcPr>
            <w:tcW w:w="1264" w:type="dxa"/>
          </w:tcPr>
          <w:p w:rsidR="00CA3B52" w:rsidRPr="00CB6CBA" w:rsidRDefault="00CA3B52" w:rsidP="00F65451">
            <w:pPr>
              <w:pStyle w:val="Tabletext"/>
              <w:jc w:val="center"/>
              <w:rPr>
                <w:lang w:val="en-US"/>
              </w:rPr>
            </w:pPr>
            <w:r w:rsidRPr="00CB6CBA">
              <w:rPr>
                <w:lang w:val="en-US"/>
              </w:rPr>
              <w:t>140</w:t>
            </w:r>
          </w:p>
        </w:tc>
      </w:tr>
      <w:tr w:rsidR="00CA3B52" w:rsidRPr="00CB6CBA" w:rsidTr="008F35B9">
        <w:trPr>
          <w:jc w:val="center"/>
        </w:trPr>
        <w:tc>
          <w:tcPr>
            <w:tcW w:w="687" w:type="dxa"/>
          </w:tcPr>
          <w:p w:rsidR="00CA3B52" w:rsidRPr="00CB6CBA" w:rsidRDefault="00CA3B52" w:rsidP="00F65451">
            <w:pPr>
              <w:pStyle w:val="Tabletext"/>
              <w:rPr>
                <w:lang w:val="en-US"/>
              </w:rPr>
            </w:pPr>
          </w:p>
        </w:tc>
        <w:tc>
          <w:tcPr>
            <w:tcW w:w="3902" w:type="dxa"/>
          </w:tcPr>
          <w:p w:rsidR="00CA3B52" w:rsidRPr="00CB6CBA" w:rsidRDefault="00CA3B52" w:rsidP="00F65451">
            <w:pPr>
              <w:pStyle w:val="Tabletext"/>
              <w:jc w:val="left"/>
              <w:rPr>
                <w:lang w:val="en-US"/>
              </w:rPr>
            </w:pPr>
            <w:r w:rsidRPr="00CB6CBA">
              <w:rPr>
                <w:lang w:val="en-US"/>
              </w:rPr>
              <w:t>Readout sums, Sd (m)</w:t>
            </w:r>
          </w:p>
        </w:tc>
        <w:tc>
          <w:tcPr>
            <w:tcW w:w="1262" w:type="dxa"/>
          </w:tcPr>
          <w:p w:rsidR="00CA3B52" w:rsidRPr="00CB6CBA" w:rsidRDefault="00CA3B52" w:rsidP="00F65451">
            <w:pPr>
              <w:pStyle w:val="Tabletext"/>
              <w:jc w:val="center"/>
              <w:rPr>
                <w:lang w:val="en-US"/>
              </w:rPr>
            </w:pPr>
            <w:r>
              <w:rPr>
                <w:lang w:val="en-US"/>
              </w:rPr>
              <w:t>3 450</w:t>
            </w:r>
          </w:p>
        </w:tc>
        <w:tc>
          <w:tcPr>
            <w:tcW w:w="1262" w:type="dxa"/>
          </w:tcPr>
          <w:p w:rsidR="00CA3B52" w:rsidRPr="00CB6CBA" w:rsidRDefault="00CA3B52" w:rsidP="00F65451">
            <w:pPr>
              <w:pStyle w:val="Tabletext"/>
              <w:jc w:val="center"/>
              <w:rPr>
                <w:lang w:val="en-US"/>
              </w:rPr>
            </w:pPr>
            <w:r w:rsidRPr="004E6750">
              <w:t>1</w:t>
            </w:r>
            <w:r>
              <w:rPr>
                <w:lang w:val="en-US"/>
              </w:rPr>
              <w:t> </w:t>
            </w:r>
            <w:r w:rsidRPr="004E6750">
              <w:t>810</w:t>
            </w:r>
          </w:p>
        </w:tc>
        <w:tc>
          <w:tcPr>
            <w:tcW w:w="1262" w:type="dxa"/>
          </w:tcPr>
          <w:p w:rsidR="00CA3B52" w:rsidRPr="00CB6CBA" w:rsidRDefault="00CA3B52" w:rsidP="00F65451">
            <w:pPr>
              <w:pStyle w:val="Tabletext"/>
              <w:jc w:val="center"/>
              <w:rPr>
                <w:lang w:val="en-US"/>
              </w:rPr>
            </w:pPr>
            <w:r>
              <w:rPr>
                <w:noProof/>
                <w:lang w:val="en-US"/>
              </w:rPr>
              <w:t>3 210</w:t>
            </w:r>
          </w:p>
        </w:tc>
        <w:tc>
          <w:tcPr>
            <w:tcW w:w="1264" w:type="dxa"/>
          </w:tcPr>
          <w:p w:rsidR="00CA3B52" w:rsidRPr="00CB6CBA" w:rsidRDefault="00CA3B52" w:rsidP="00F65451">
            <w:pPr>
              <w:pStyle w:val="Tabletext"/>
              <w:jc w:val="center"/>
              <w:rPr>
                <w:lang w:val="en-US"/>
              </w:rPr>
            </w:pPr>
            <w:r>
              <w:rPr>
                <w:noProof/>
                <w:lang w:val="en-US"/>
              </w:rPr>
              <w:t>2 630</w:t>
            </w:r>
          </w:p>
        </w:tc>
      </w:tr>
      <w:tr w:rsidR="00CA3B52" w:rsidRPr="00CB6CBA" w:rsidTr="008F35B9">
        <w:trPr>
          <w:jc w:val="center"/>
        </w:trPr>
        <w:tc>
          <w:tcPr>
            <w:tcW w:w="687" w:type="dxa"/>
          </w:tcPr>
          <w:p w:rsidR="00CA3B52" w:rsidRPr="00CB6CBA" w:rsidRDefault="00CA3B52" w:rsidP="00F65451">
            <w:pPr>
              <w:pStyle w:val="Tabletext"/>
              <w:rPr>
                <w:lang w:val="en-US"/>
              </w:rPr>
            </w:pPr>
          </w:p>
        </w:tc>
        <w:tc>
          <w:tcPr>
            <w:tcW w:w="3902" w:type="dxa"/>
          </w:tcPr>
          <w:p w:rsidR="00CA3B52" w:rsidRPr="00CB6CBA" w:rsidRDefault="00CA3B52" w:rsidP="00F65451">
            <w:pPr>
              <w:pStyle w:val="Tabletext"/>
              <w:jc w:val="left"/>
              <w:rPr>
                <w:lang w:val="en-US"/>
              </w:rPr>
            </w:pPr>
            <w:r w:rsidRPr="00CB6CBA">
              <w:rPr>
                <w:lang w:val="en-US"/>
              </w:rPr>
              <w:t>Effective heights, Sd /13 (m)</w:t>
            </w:r>
          </w:p>
        </w:tc>
        <w:tc>
          <w:tcPr>
            <w:tcW w:w="1262" w:type="dxa"/>
          </w:tcPr>
          <w:p w:rsidR="00CA3B52" w:rsidRPr="00CB6CBA" w:rsidRDefault="00CA3B52" w:rsidP="00F65451">
            <w:pPr>
              <w:pStyle w:val="Tabletext"/>
              <w:jc w:val="center"/>
              <w:rPr>
                <w:lang w:val="en-US"/>
              </w:rPr>
            </w:pPr>
            <w:r w:rsidRPr="00CB6CBA">
              <w:rPr>
                <w:lang w:val="en-US"/>
              </w:rPr>
              <w:t>265</w:t>
            </w:r>
          </w:p>
        </w:tc>
        <w:tc>
          <w:tcPr>
            <w:tcW w:w="1262" w:type="dxa"/>
          </w:tcPr>
          <w:p w:rsidR="00CA3B52" w:rsidRPr="00CB6CBA" w:rsidRDefault="00CA3B52" w:rsidP="00F65451">
            <w:pPr>
              <w:pStyle w:val="Tabletext"/>
              <w:jc w:val="center"/>
              <w:rPr>
                <w:lang w:val="en-US"/>
              </w:rPr>
            </w:pPr>
            <w:r w:rsidRPr="00CB6CBA">
              <w:rPr>
                <w:lang w:val="en-US"/>
              </w:rPr>
              <w:t>139</w:t>
            </w:r>
          </w:p>
        </w:tc>
        <w:tc>
          <w:tcPr>
            <w:tcW w:w="1262" w:type="dxa"/>
          </w:tcPr>
          <w:p w:rsidR="00CA3B52" w:rsidRPr="00CB6CBA" w:rsidRDefault="00CA3B52" w:rsidP="00F65451">
            <w:pPr>
              <w:pStyle w:val="Tabletext"/>
              <w:jc w:val="center"/>
              <w:rPr>
                <w:lang w:val="en-US"/>
              </w:rPr>
            </w:pPr>
            <w:r w:rsidRPr="00CB6CBA">
              <w:rPr>
                <w:lang w:val="en-US"/>
              </w:rPr>
              <w:t>245</w:t>
            </w:r>
          </w:p>
        </w:tc>
        <w:tc>
          <w:tcPr>
            <w:tcW w:w="1264" w:type="dxa"/>
          </w:tcPr>
          <w:p w:rsidR="00CA3B52" w:rsidRPr="00CB6CBA" w:rsidRDefault="00CA3B52" w:rsidP="00F65451">
            <w:pPr>
              <w:pStyle w:val="Tabletext"/>
              <w:jc w:val="center"/>
              <w:rPr>
                <w:lang w:val="en-US"/>
              </w:rPr>
            </w:pPr>
            <w:r w:rsidRPr="00CB6CBA">
              <w:rPr>
                <w:lang w:val="en-US"/>
              </w:rPr>
              <w:t>202</w:t>
            </w:r>
          </w:p>
        </w:tc>
      </w:tr>
      <w:tr w:rsidR="00CA3B52" w:rsidRPr="00CB6CBA" w:rsidTr="008F35B9">
        <w:trPr>
          <w:jc w:val="center"/>
        </w:trPr>
        <w:tc>
          <w:tcPr>
            <w:tcW w:w="687" w:type="dxa"/>
          </w:tcPr>
          <w:p w:rsidR="00CA3B52" w:rsidRPr="00CB6CBA" w:rsidRDefault="00CA3B52" w:rsidP="00F65451">
            <w:pPr>
              <w:pStyle w:val="Tabletext"/>
              <w:rPr>
                <w:lang w:val="en-US"/>
              </w:rPr>
            </w:pPr>
          </w:p>
        </w:tc>
        <w:tc>
          <w:tcPr>
            <w:tcW w:w="3902" w:type="dxa"/>
          </w:tcPr>
          <w:p w:rsidR="00CA3B52" w:rsidRPr="00CB6CBA" w:rsidRDefault="00CA3B52" w:rsidP="00F65451">
            <w:pPr>
              <w:pStyle w:val="Tabletext"/>
              <w:jc w:val="left"/>
              <w:rPr>
                <w:lang w:val="en-US"/>
              </w:rPr>
            </w:pPr>
            <w:r w:rsidRPr="00CB6CBA">
              <w:rPr>
                <w:lang w:val="en-US"/>
              </w:rPr>
              <w:t xml:space="preserve">Averaged effective height, </w:t>
            </w:r>
            <w:r w:rsidRPr="00D8694B">
              <w:rPr>
                <w:i/>
                <w:iCs/>
                <w:lang w:val="en-US"/>
              </w:rPr>
              <w:t>h</w:t>
            </w:r>
            <w:r w:rsidRPr="00D8694B">
              <w:rPr>
                <w:i/>
                <w:iCs/>
                <w:vertAlign w:val="subscript"/>
                <w:lang w:val="en-US"/>
              </w:rPr>
              <w:t>ef</w:t>
            </w:r>
            <w:r w:rsidRPr="00D8694B">
              <w:rPr>
                <w:i/>
                <w:iCs/>
                <w:lang w:val="en-US"/>
              </w:rPr>
              <w:t xml:space="preserve"> </w:t>
            </w:r>
            <w:r w:rsidRPr="00CB6CBA">
              <w:rPr>
                <w:lang w:val="en-US"/>
              </w:rPr>
              <w:t>(m)</w:t>
            </w:r>
          </w:p>
        </w:tc>
        <w:tc>
          <w:tcPr>
            <w:tcW w:w="5050" w:type="dxa"/>
            <w:gridSpan w:val="4"/>
          </w:tcPr>
          <w:p w:rsidR="00CA3B52" w:rsidRPr="00CB6CBA" w:rsidRDefault="00CA3B52" w:rsidP="00F65451">
            <w:pPr>
              <w:pStyle w:val="Tabletext"/>
              <w:jc w:val="center"/>
              <w:rPr>
                <w:lang w:val="en-US"/>
              </w:rPr>
            </w:pPr>
            <w:r w:rsidRPr="00CB6CBA">
              <w:rPr>
                <w:lang w:val="en-US"/>
              </w:rPr>
              <w:t>213</w:t>
            </w:r>
          </w:p>
        </w:tc>
      </w:tr>
    </w:tbl>
    <w:p w:rsidR="00CA3B52" w:rsidRPr="00CB6CBA" w:rsidRDefault="00CA3B52" w:rsidP="00CA3B52">
      <w:pPr>
        <w:pStyle w:val="Tablefin"/>
        <w:rPr>
          <w:lang w:val="en-US"/>
        </w:rPr>
      </w:pPr>
    </w:p>
    <w:p w:rsidR="00CA3B52" w:rsidRPr="00CB6CBA" w:rsidRDefault="00CA3B52" w:rsidP="00CA3B52">
      <w:pPr>
        <w:pStyle w:val="Headingb"/>
        <w:rPr>
          <w:lang w:val="en-US"/>
        </w:rPr>
      </w:pPr>
      <w:r w:rsidRPr="00CB6CBA">
        <w:rPr>
          <w:lang w:val="en-US"/>
        </w:rPr>
        <w:t>c)</w:t>
      </w:r>
      <w:r w:rsidRPr="00CB6CBA">
        <w:rPr>
          <w:lang w:val="en-US"/>
        </w:rPr>
        <w:tab/>
        <w:t>Service area calculation</w:t>
      </w:r>
    </w:p>
    <w:p w:rsidR="00CA3B52" w:rsidRPr="00CB6CBA" w:rsidRDefault="00CA3B52" w:rsidP="00CA3B52">
      <w:pPr>
        <w:rPr>
          <w:lang w:val="en-US"/>
        </w:rPr>
      </w:pPr>
      <w:r w:rsidRPr="00CB6CBA">
        <w:rPr>
          <w:lang w:val="en-US"/>
        </w:rPr>
        <w:t xml:space="preserve">Having calculated service area radius, </w:t>
      </w:r>
      <w:r w:rsidRPr="00CB6CBA">
        <w:rPr>
          <w:i/>
          <w:lang w:val="en-US"/>
        </w:rPr>
        <w:t>R</w:t>
      </w:r>
      <w:r w:rsidRPr="00CB6CBA">
        <w:rPr>
          <w:lang w:val="en-US"/>
        </w:rPr>
        <w:t>,</w:t>
      </w:r>
      <w:r w:rsidRPr="00CB6CBA">
        <w:rPr>
          <w:iCs/>
          <w:lang w:val="en-US"/>
        </w:rPr>
        <w:t xml:space="preserve"> (km)</w:t>
      </w:r>
      <w:r w:rsidRPr="00CB6CBA">
        <w:rPr>
          <w:lang w:val="en-US"/>
        </w:rPr>
        <w:t xml:space="preserve"> in accordance with procedures presented in a) and b), a service area, </w:t>
      </w:r>
      <w:r w:rsidRPr="00CB6CBA">
        <w:rPr>
          <w:i/>
          <w:iCs/>
          <w:lang w:val="en-US"/>
        </w:rPr>
        <w:t>s</w:t>
      </w:r>
      <w:r w:rsidRPr="00CB6CBA">
        <w:rPr>
          <w:lang w:val="en-US"/>
        </w:rPr>
        <w:t>, is obviously calculated as:</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CB6CBA">
        <w:rPr>
          <w:i/>
          <w:iCs/>
          <w:lang w:val="en-US"/>
        </w:rPr>
        <w:t>s</w:t>
      </w:r>
      <w:r w:rsidRPr="00CB6CBA">
        <w:rPr>
          <w:lang w:val="en-US"/>
        </w:rPr>
        <w:t xml:space="preserve"> </w:t>
      </w:r>
      <w:r w:rsidRPr="00CB6CBA">
        <w:rPr>
          <w:rFonts w:ascii="Symbol" w:hAnsi="Symbol"/>
          <w:lang w:val="en-US"/>
        </w:rPr>
        <w:t></w:t>
      </w:r>
      <w:r w:rsidRPr="00CB6CBA">
        <w:rPr>
          <w:lang w:val="en-US"/>
        </w:rPr>
        <w:t xml:space="preserve"> </w:t>
      </w:r>
      <w:r w:rsidRPr="00CB6CBA">
        <w:rPr>
          <w:rFonts w:ascii="Symbol" w:hAnsi="Symbol"/>
          <w:lang w:val="en-US"/>
        </w:rPr>
        <w:t></w:t>
      </w:r>
      <w:r w:rsidRPr="00CB6CBA">
        <w:rPr>
          <w:rFonts w:ascii="Symbol" w:hAnsi="Symbol"/>
          <w:i/>
          <w:lang w:val="en-US"/>
        </w:rPr>
        <w:t></w:t>
      </w:r>
      <w:r w:rsidRPr="00CB6CBA">
        <w:rPr>
          <w:i/>
          <w:lang w:val="en-US"/>
        </w:rPr>
        <w:t>R</w:t>
      </w:r>
      <w:r w:rsidRPr="00CB6CBA">
        <w:rPr>
          <w:iCs/>
          <w:vertAlign w:val="superscript"/>
          <w:lang w:val="en-US"/>
        </w:rPr>
        <w:t>2</w:t>
      </w:r>
      <w:r w:rsidRPr="00CB6CBA">
        <w:rPr>
          <w:lang w:val="en-US"/>
        </w:rPr>
        <w:t>                km</w:t>
      </w:r>
      <w:r w:rsidRPr="00CB6CBA">
        <w:rPr>
          <w:vertAlign w:val="superscript"/>
          <w:lang w:val="en-US"/>
        </w:rPr>
        <w:t>2</w:t>
      </w:r>
      <w:r w:rsidRPr="00CB6CBA">
        <w:rPr>
          <w:lang w:val="en-US"/>
        </w:rPr>
        <w:tab/>
        <w:t>(</w:t>
      </w:r>
      <w:r>
        <w:rPr>
          <w:lang w:val="en-US"/>
        </w:rPr>
        <w:t>31</w:t>
      </w:r>
      <w:r w:rsidRPr="00CB6CBA">
        <w:rPr>
          <w:lang w:val="en-US"/>
        </w:rPr>
        <w:t>)</w:t>
      </w:r>
    </w:p>
    <w:p w:rsidR="00CA3B52" w:rsidRDefault="00CA3B52" w:rsidP="00CA3B52">
      <w:pPr>
        <w:pStyle w:val="Blanc"/>
      </w:pPr>
    </w:p>
    <w:p w:rsidR="00CA3B52" w:rsidRDefault="00CA3B52" w:rsidP="00CA3B52">
      <w:pPr>
        <w:rPr>
          <w:lang w:val="en-US"/>
        </w:rPr>
      </w:pPr>
      <w:r w:rsidRPr="00CB6CBA">
        <w:rPr>
          <w:lang w:val="en-US"/>
        </w:rPr>
        <w:t xml:space="preserve">It can happen that a service area contains two (see example at Fig. </w:t>
      </w:r>
      <w:r>
        <w:rPr>
          <w:lang w:val="en-US"/>
        </w:rPr>
        <w:t>5</w:t>
      </w:r>
      <w:r w:rsidRPr="00CB6CBA">
        <w:rPr>
          <w:lang w:val="en-US"/>
        </w:rPr>
        <w:t xml:space="preserve">) or even three (see example at Fig. </w:t>
      </w:r>
      <w:r>
        <w:rPr>
          <w:lang w:val="en-US"/>
        </w:rPr>
        <w:t>6</w:t>
      </w:r>
      <w:r w:rsidRPr="00CB6CBA">
        <w:rPr>
          <w:lang w:val="en-US"/>
        </w:rPr>
        <w:t>) zones belonging to different license fees categories, as it was mentioned in § 5.2 of the model. It can also happen at the border of a country with other ones. In these cases, and when an administration has not got an digital administrative terrain data base interrelated with relevant frequency assignment software, the following simplified procedures are applicable for calculation of parts of the service area belonging to different zones.</w:t>
      </w:r>
    </w:p>
    <w:p w:rsidR="00CA3B52" w:rsidRDefault="00CA3B52" w:rsidP="00CA3B52">
      <w:pPr>
        <w:rPr>
          <w:bCs/>
          <w:lang w:val="en-US"/>
        </w:rPr>
      </w:pPr>
      <w:r w:rsidRPr="00CB6CBA">
        <w:rPr>
          <w:bCs/>
          <w:lang w:val="en-US"/>
        </w:rPr>
        <w:t xml:space="preserve">The actual border curves are approximated by straight lines situated in such ways that areas between actual border curves and relevant approximating lines, at each sides of these lines, would be approximately equal (see Figs </w:t>
      </w:r>
      <w:r>
        <w:rPr>
          <w:bCs/>
          <w:lang w:val="en-US"/>
        </w:rPr>
        <w:t>5</w:t>
      </w:r>
      <w:r w:rsidRPr="00CB6CBA">
        <w:rPr>
          <w:bCs/>
          <w:lang w:val="en-US"/>
        </w:rPr>
        <w:t xml:space="preserve"> and </w:t>
      </w:r>
      <w:r>
        <w:rPr>
          <w:bCs/>
          <w:lang w:val="en-US"/>
        </w:rPr>
        <w:t>6</w:t>
      </w:r>
      <w:r w:rsidRPr="00CB6CBA">
        <w:rPr>
          <w:bCs/>
          <w:lang w:val="en-US"/>
        </w:rPr>
        <w:t xml:space="preserve">). Approximating line between zones </w:t>
      </w:r>
      <w:r w:rsidRPr="00CB6CBA">
        <w:rPr>
          <w:position w:val="-10"/>
          <w:lang w:val="en-US"/>
        </w:rPr>
        <w:object w:dxaOrig="279" w:dyaOrig="340">
          <v:shape id="_x0000_i1036" type="#_x0000_t75" style="width:13.55pt;height:17.3pt" o:ole="">
            <v:imagedata r:id="rId44" o:title=""/>
          </v:shape>
          <o:OLEObject Type="Embed" ProgID="Equation.3" ShapeID="_x0000_i1036" DrawAspect="Content" ObjectID="_1511604825" r:id="rId45"/>
        </w:object>
      </w:r>
      <w:r w:rsidRPr="00CB6CBA">
        <w:rPr>
          <w:bCs/>
          <w:lang w:val="en-US"/>
        </w:rPr>
        <w:t xml:space="preserve"> and </w:t>
      </w:r>
      <w:r w:rsidRPr="00CB6CBA">
        <w:rPr>
          <w:i/>
          <w:iCs/>
          <w:lang w:val="en-US"/>
        </w:rPr>
        <w:t>S</w:t>
      </w:r>
      <w:r w:rsidRPr="00CB6CBA">
        <w:rPr>
          <w:vertAlign w:val="subscript"/>
          <w:lang w:val="en-US"/>
        </w:rPr>
        <w:t xml:space="preserve">3 </w:t>
      </w:r>
      <w:r w:rsidRPr="00CB6CBA">
        <w:rPr>
          <w:bCs/>
          <w:lang w:val="en-US"/>
        </w:rPr>
        <w:t>at Fig. </w:t>
      </w:r>
      <w:r>
        <w:rPr>
          <w:bCs/>
          <w:lang w:val="en-US"/>
        </w:rPr>
        <w:t>6</w:t>
      </w:r>
      <w:r w:rsidRPr="00CB6CBA">
        <w:rPr>
          <w:bCs/>
          <w:lang w:val="en-US"/>
        </w:rPr>
        <w:t xml:space="preserve"> should also go along a radius of a service area, as it is presented at that figure.</w:t>
      </w:r>
    </w:p>
    <w:p w:rsidR="00CA3B52" w:rsidRDefault="00CA3B52" w:rsidP="00CA3B52">
      <w:pPr>
        <w:tabs>
          <w:tab w:val="clear" w:pos="794"/>
          <w:tab w:val="clear" w:pos="1191"/>
          <w:tab w:val="clear" w:pos="1588"/>
          <w:tab w:val="clear" w:pos="1985"/>
        </w:tabs>
        <w:overflowPunct/>
        <w:autoSpaceDE/>
        <w:autoSpaceDN/>
        <w:adjustRightInd/>
        <w:spacing w:before="0"/>
        <w:jc w:val="left"/>
        <w:textAlignment w:val="auto"/>
        <w:rPr>
          <w:caps/>
          <w:sz w:val="18"/>
          <w:lang w:val="en-US"/>
        </w:rPr>
      </w:pPr>
    </w:p>
    <w:p w:rsidR="00CA3B52" w:rsidRDefault="00CA3B52" w:rsidP="00CA3B52">
      <w:pPr>
        <w:pStyle w:val="FigureNo"/>
        <w:rPr>
          <w:lang w:val="en-US"/>
        </w:rPr>
      </w:pPr>
      <w:r>
        <w:rPr>
          <w:lang w:val="en-US"/>
        </w:rPr>
        <w:lastRenderedPageBreak/>
        <w:t>FIGURE 5</w:t>
      </w:r>
    </w:p>
    <w:p w:rsidR="00CA3B52" w:rsidRDefault="00CA3B52" w:rsidP="00CA3B52">
      <w:pPr>
        <w:pStyle w:val="Figuretitle"/>
        <w:rPr>
          <w:lang w:val="en-US"/>
        </w:rPr>
      </w:pPr>
      <w:r>
        <w:rPr>
          <w:lang w:val="en-US"/>
        </w:rPr>
        <w:t>Example with covering two different zones</w:t>
      </w:r>
    </w:p>
    <w:p w:rsidR="00CA3B52" w:rsidRPr="00080AA5" w:rsidRDefault="00CA3B52" w:rsidP="00CA3B52">
      <w:pPr>
        <w:pStyle w:val="Figure"/>
        <w:rPr>
          <w:lang w:val="en-US"/>
        </w:rPr>
      </w:pPr>
      <w:r>
        <w:rPr>
          <w:lang w:val="en-US"/>
        </w:rPr>
        <w:object w:dxaOrig="6034" w:dyaOrig="5284">
          <v:shape id="_x0000_i1037" type="#_x0000_t75" style="width:300.6pt;height:264.15pt" o:ole="">
            <v:imagedata r:id="rId46" o:title=""/>
          </v:shape>
          <o:OLEObject Type="Embed" ProgID="CorelDRAW.Graphic.14" ShapeID="_x0000_i1037" DrawAspect="Content" ObjectID="_1511604826" r:id="rId47"/>
        </w:object>
      </w:r>
    </w:p>
    <w:p w:rsidR="00CA3B52" w:rsidRPr="00CB6CBA" w:rsidRDefault="00CA3B52" w:rsidP="00F65451">
      <w:pPr>
        <w:rPr>
          <w:bCs/>
          <w:lang w:val="en-US"/>
        </w:rPr>
      </w:pPr>
    </w:p>
    <w:p w:rsidR="00CA3B52" w:rsidRDefault="00CA3B52" w:rsidP="00CA3B52">
      <w:pPr>
        <w:pStyle w:val="FigureNo"/>
        <w:rPr>
          <w:lang w:val="en-US"/>
        </w:rPr>
      </w:pPr>
      <w:r>
        <w:rPr>
          <w:lang w:val="en-US"/>
        </w:rPr>
        <w:t>FIGURE 6</w:t>
      </w:r>
    </w:p>
    <w:p w:rsidR="00CA3B52" w:rsidRDefault="00CA3B52" w:rsidP="00CA3B52">
      <w:pPr>
        <w:pStyle w:val="Figuretitle"/>
        <w:rPr>
          <w:lang w:val="en-US"/>
        </w:rPr>
      </w:pPr>
      <w:r>
        <w:rPr>
          <w:lang w:val="en-US"/>
        </w:rPr>
        <w:t>Example with covering three different zones</w:t>
      </w:r>
    </w:p>
    <w:p w:rsidR="00CA3B52" w:rsidRPr="000B7423" w:rsidRDefault="00CA3B52" w:rsidP="00CA3B52">
      <w:pPr>
        <w:pStyle w:val="Figure"/>
        <w:rPr>
          <w:lang w:val="en-US"/>
        </w:rPr>
      </w:pPr>
      <w:r>
        <w:rPr>
          <w:lang w:val="en-US"/>
        </w:rPr>
        <w:object w:dxaOrig="6034" w:dyaOrig="5483">
          <v:shape id="_x0000_i1038" type="#_x0000_t75" style="width:300.6pt;height:273.95pt" o:ole="">
            <v:imagedata r:id="rId48" o:title=""/>
          </v:shape>
          <o:OLEObject Type="Embed" ProgID="CorelDRAW.Graphic.14" ShapeID="_x0000_i1038" DrawAspect="Content" ObjectID="_1511604827" r:id="rId49"/>
        </w:object>
      </w:r>
    </w:p>
    <w:p w:rsidR="00CA3B52" w:rsidRDefault="00CA3B52" w:rsidP="00CA3B52">
      <w:pPr>
        <w:rPr>
          <w:lang w:val="en-US"/>
        </w:rPr>
      </w:pPr>
      <w:r w:rsidRPr="00CB6CBA">
        <w:rPr>
          <w:lang w:val="en-US"/>
        </w:rPr>
        <w:br w:type="page"/>
      </w:r>
      <w:r w:rsidRPr="00CB6CBA">
        <w:rPr>
          <w:lang w:val="en-US"/>
        </w:rPr>
        <w:lastRenderedPageBreak/>
        <w:t xml:space="preserve">Segment </w:t>
      </w:r>
      <w:r w:rsidRPr="00CB6CBA">
        <w:rPr>
          <w:bCs/>
          <w:i/>
          <w:iCs/>
          <w:lang w:val="en-US"/>
        </w:rPr>
        <w:t>S</w:t>
      </w:r>
      <w:r w:rsidRPr="00CB6CBA">
        <w:rPr>
          <w:bCs/>
          <w:vertAlign w:val="subscript"/>
          <w:lang w:val="en-US"/>
        </w:rPr>
        <w:t>2</w:t>
      </w:r>
      <w:r w:rsidRPr="00CB6CBA">
        <w:rPr>
          <w:b/>
          <w:lang w:val="en-US"/>
        </w:rPr>
        <w:t xml:space="preserve"> </w:t>
      </w:r>
      <w:r w:rsidRPr="00CB6CBA">
        <w:rPr>
          <w:lang w:val="en-US"/>
        </w:rPr>
        <w:t xml:space="preserve">area </w:t>
      </w:r>
      <w:r w:rsidRPr="00CB6CBA">
        <w:rPr>
          <w:rFonts w:ascii="Symbol" w:hAnsi="Symbol"/>
          <w:lang w:val="en-US"/>
        </w:rPr>
        <w:t></w:t>
      </w:r>
      <w:r w:rsidRPr="00CB6CBA">
        <w:rPr>
          <w:i/>
          <w:iCs/>
          <w:lang w:val="en-US"/>
        </w:rPr>
        <w:t>S</w:t>
      </w:r>
      <w:r w:rsidRPr="00CB6CBA">
        <w:rPr>
          <w:vertAlign w:val="subscript"/>
          <w:lang w:val="en-US"/>
        </w:rPr>
        <w:t>2</w:t>
      </w:r>
      <w:r w:rsidRPr="00CB6CBA">
        <w:rPr>
          <w:b/>
          <w:lang w:val="en-US"/>
        </w:rPr>
        <w:t xml:space="preserve"> </w:t>
      </w:r>
      <w:r w:rsidRPr="00CB6CBA">
        <w:rPr>
          <w:lang w:val="en-US"/>
        </w:rPr>
        <w:t xml:space="preserve">for two-zone case (Fig. </w:t>
      </w:r>
      <w:r>
        <w:rPr>
          <w:lang w:val="en-US"/>
        </w:rPr>
        <w:t>5</w:t>
      </w:r>
      <w:r w:rsidRPr="00CB6CBA">
        <w:rPr>
          <w:lang w:val="en-US"/>
        </w:rPr>
        <w:t>) is calculated as:</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0B7423">
        <w:rPr>
          <w:position w:val="-26"/>
          <w:lang w:val="en-US"/>
        </w:rPr>
        <w:object w:dxaOrig="2600" w:dyaOrig="700">
          <v:shape id="_x0000_i1039" type="#_x0000_t75" style="width:124.85pt;height:35.05pt" o:ole="" fillcolor="window">
            <v:imagedata r:id="rId50" o:title=""/>
          </v:shape>
          <o:OLEObject Type="Embed" ProgID="Equation.3" ShapeID="_x0000_i1039" DrawAspect="Content" ObjectID="_1511604828" r:id="rId51"/>
        </w:object>
      </w:r>
      <w:r w:rsidRPr="00CB6CBA">
        <w:rPr>
          <w:lang w:val="en-US"/>
        </w:rPr>
        <w:tab/>
        <w:t>(</w:t>
      </w:r>
      <w:r>
        <w:rPr>
          <w:lang w:val="en-US"/>
        </w:rPr>
        <w:t>32</w:t>
      </w:r>
      <w:r w:rsidRPr="00CB6CBA">
        <w:rPr>
          <w:lang w:val="en-US"/>
        </w:rPr>
        <w:t>)</w:t>
      </w:r>
    </w:p>
    <w:p w:rsidR="00CA3B52" w:rsidRPr="00CB6CBA" w:rsidRDefault="00CA3B52" w:rsidP="00CA3B52">
      <w:pPr>
        <w:rPr>
          <w:lang w:val="en-US"/>
        </w:rPr>
      </w:pPr>
      <w:r w:rsidRPr="00CB6CBA">
        <w:rPr>
          <w:lang w:val="en-US"/>
        </w:rPr>
        <w:t>where:</w:t>
      </w:r>
    </w:p>
    <w:p w:rsidR="00CA3B52" w:rsidRDefault="00CA3B52" w:rsidP="00CA3B52">
      <w:pPr>
        <w:pStyle w:val="Equationlegend"/>
      </w:pPr>
      <w:r w:rsidRPr="00CB6CBA">
        <w:tab/>
      </w:r>
      <w:r w:rsidRPr="00CB6CBA">
        <w:rPr>
          <w:rFonts w:ascii="Symbol" w:hAnsi="Symbol"/>
        </w:rPr>
        <w:t></w:t>
      </w:r>
      <w:r w:rsidRPr="00CB6CBA">
        <w:rPr>
          <w:vertAlign w:val="subscript"/>
        </w:rPr>
        <w:t>2</w:t>
      </w:r>
      <w:r w:rsidRPr="00CB6CBA">
        <w:rPr>
          <w:rFonts w:ascii="Tms Rmn" w:hAnsi="Tms Rmn"/>
          <w:sz w:val="12"/>
        </w:rPr>
        <w:t> </w:t>
      </w:r>
      <w:r w:rsidRPr="00CB6CBA">
        <w:t>:</w:t>
      </w:r>
      <w:r w:rsidRPr="00CB6CBA">
        <w:tab/>
        <w:t>relevant sector angle (see Fig</w:t>
      </w:r>
      <w:r>
        <w:t>.</w:t>
      </w:r>
      <w:r w:rsidRPr="00CB6CBA">
        <w:t xml:space="preserve"> </w:t>
      </w:r>
      <w:r>
        <w:t>5)</w:t>
      </w:r>
    </w:p>
    <w:p w:rsidR="00CA3B52" w:rsidRPr="00CB6CBA" w:rsidRDefault="00CA3B52" w:rsidP="00CA3B52">
      <w:pPr>
        <w:rPr>
          <w:lang w:val="en-US"/>
        </w:rPr>
      </w:pPr>
      <w:r w:rsidRPr="00CB6CBA">
        <w:rPr>
          <w:lang w:val="en-US"/>
        </w:rPr>
        <w:t xml:space="preserve">and segment </w:t>
      </w:r>
      <w:r w:rsidRPr="00CB6CBA">
        <w:rPr>
          <w:i/>
          <w:iCs/>
          <w:lang w:val="en-US"/>
        </w:rPr>
        <w:t>S</w:t>
      </w:r>
      <w:r w:rsidRPr="00CB6CBA">
        <w:rPr>
          <w:vertAlign w:val="subscript"/>
          <w:lang w:val="en-US"/>
        </w:rPr>
        <w:t>1</w:t>
      </w:r>
      <w:r w:rsidRPr="00CB6CBA">
        <w:rPr>
          <w:lang w:val="en-US"/>
        </w:rPr>
        <w:t xml:space="preserve"> area </w:t>
      </w:r>
      <w:r w:rsidRPr="00CB6CBA">
        <w:rPr>
          <w:rFonts w:ascii="Symbol" w:hAnsi="Symbol"/>
          <w:lang w:val="en-US"/>
        </w:rPr>
        <w:t></w:t>
      </w:r>
      <w:r w:rsidRPr="00CB6CBA">
        <w:rPr>
          <w:i/>
          <w:iCs/>
          <w:lang w:val="en-US"/>
        </w:rPr>
        <w:t>S</w:t>
      </w:r>
      <w:r w:rsidRPr="00CB6CBA">
        <w:rPr>
          <w:vertAlign w:val="subscript"/>
          <w:lang w:val="en-US"/>
        </w:rPr>
        <w:t>1</w:t>
      </w:r>
      <w:r w:rsidRPr="00CB6CBA">
        <w:rPr>
          <w:lang w:val="en-US"/>
        </w:rPr>
        <w:t xml:space="preserve"> is determined as:</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CB6CBA">
        <w:rPr>
          <w:position w:val="-10"/>
          <w:lang w:val="en-US"/>
        </w:rPr>
        <w:object w:dxaOrig="1560" w:dyaOrig="400">
          <v:shape id="_x0000_i1040" type="#_x0000_t75" style="width:77.15pt;height:20.55pt" o:ole="">
            <v:imagedata r:id="rId52" o:title=""/>
          </v:shape>
          <o:OLEObject Type="Embed" ProgID="Equation.3" ShapeID="_x0000_i1040" DrawAspect="Content" ObjectID="_1511604829" r:id="rId53"/>
        </w:object>
      </w:r>
      <w:r w:rsidRPr="00CB6CBA">
        <w:rPr>
          <w:lang w:val="en-US"/>
        </w:rPr>
        <w:tab/>
        <w:t>(</w:t>
      </w:r>
      <w:r>
        <w:rPr>
          <w:lang w:val="en-US"/>
        </w:rPr>
        <w:t>33</w:t>
      </w:r>
      <w:r w:rsidRPr="00CB6CBA">
        <w:rPr>
          <w:lang w:val="en-US"/>
        </w:rPr>
        <w:t>)</w:t>
      </w:r>
    </w:p>
    <w:p w:rsidR="00CA3B52" w:rsidRDefault="00CA3B52" w:rsidP="00CA3B52">
      <w:pPr>
        <w:rPr>
          <w:lang w:val="en-US"/>
        </w:rPr>
      </w:pPr>
      <w:r w:rsidRPr="00CB6CBA">
        <w:rPr>
          <w:lang w:val="en-US"/>
        </w:rPr>
        <w:t xml:space="preserve">In three-zone case (Fig. </w:t>
      </w:r>
      <w:r>
        <w:rPr>
          <w:lang w:val="en-US"/>
        </w:rPr>
        <w:t>6</w:t>
      </w:r>
      <w:r w:rsidRPr="00CB6CBA">
        <w:rPr>
          <w:lang w:val="en-US"/>
        </w:rPr>
        <w:t xml:space="preserve">) parts </w:t>
      </w:r>
      <w:r w:rsidRPr="00CB6CBA">
        <w:rPr>
          <w:position w:val="-10"/>
          <w:lang w:val="en-US"/>
        </w:rPr>
        <w:object w:dxaOrig="300" w:dyaOrig="340">
          <v:shape id="_x0000_i1041" type="#_x0000_t75" style="width:14.95pt;height:17.3pt" o:ole="">
            <v:imagedata r:id="rId54" o:title=""/>
          </v:shape>
          <o:OLEObject Type="Embed" ProgID="Equation.3" ShapeID="_x0000_i1041" DrawAspect="Content" ObjectID="_1511604830" r:id="rId55"/>
        </w:object>
      </w:r>
      <w:r w:rsidRPr="00CB6CBA">
        <w:rPr>
          <w:lang w:val="en-US"/>
        </w:rPr>
        <w:t xml:space="preserve"> and </w:t>
      </w:r>
      <w:r w:rsidRPr="00CB6CBA">
        <w:rPr>
          <w:i/>
          <w:iCs/>
          <w:lang w:val="en-US"/>
        </w:rPr>
        <w:t>S</w:t>
      </w:r>
      <w:r w:rsidRPr="00CB6CBA">
        <w:rPr>
          <w:vertAlign w:val="subscript"/>
          <w:lang w:val="en-US"/>
        </w:rPr>
        <w:t>3</w:t>
      </w:r>
      <w:r w:rsidRPr="00CB6CBA">
        <w:rPr>
          <w:szCs w:val="24"/>
          <w:lang w:val="en-US"/>
        </w:rPr>
        <w:t xml:space="preserve"> </w:t>
      </w:r>
      <w:r w:rsidRPr="00CB6CBA">
        <w:rPr>
          <w:lang w:val="en-US"/>
        </w:rPr>
        <w:t>of common sector (</w:t>
      </w:r>
      <w:r w:rsidRPr="00CB6CBA">
        <w:rPr>
          <w:position w:val="-10"/>
          <w:lang w:val="en-US"/>
        </w:rPr>
        <w:object w:dxaOrig="300" w:dyaOrig="340">
          <v:shape id="_x0000_i1042" type="#_x0000_t75" style="width:14.95pt;height:17.3pt" o:ole="">
            <v:imagedata r:id="rId54" o:title=""/>
          </v:shape>
          <o:OLEObject Type="Embed" ProgID="Equation.3" ShapeID="_x0000_i1042" DrawAspect="Content" ObjectID="_1511604831" r:id="rId56"/>
        </w:object>
      </w:r>
      <w:r w:rsidRPr="00CB6CBA">
        <w:rPr>
          <w:lang w:val="en-US"/>
        </w:rPr>
        <w:t> </w:t>
      </w:r>
      <w:r w:rsidRPr="00CB6CBA">
        <w:rPr>
          <w:rFonts w:ascii="Symbol" w:hAnsi="Symbol"/>
          <w:lang w:val="en-US"/>
        </w:rPr>
        <w:t></w:t>
      </w:r>
      <w:r w:rsidRPr="00CB6CBA">
        <w:rPr>
          <w:lang w:val="en-US"/>
        </w:rPr>
        <w:t> </w:t>
      </w:r>
      <w:r w:rsidRPr="00CB6CBA">
        <w:rPr>
          <w:i/>
          <w:iCs/>
          <w:lang w:val="en-US"/>
        </w:rPr>
        <w:t>S</w:t>
      </w:r>
      <w:r w:rsidRPr="00CB6CBA">
        <w:rPr>
          <w:vertAlign w:val="subscript"/>
          <w:lang w:val="en-US"/>
        </w:rPr>
        <w:t>3</w:t>
      </w:r>
      <w:r w:rsidRPr="00CB6CBA">
        <w:rPr>
          <w:lang w:val="en-US"/>
        </w:rPr>
        <w:t>) have correspondingly the following areas:</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0B7423">
        <w:rPr>
          <w:position w:val="-26"/>
          <w:lang w:val="en-US"/>
        </w:rPr>
        <w:object w:dxaOrig="2799" w:dyaOrig="700">
          <v:shape id="_x0000_i1043" type="#_x0000_t75" style="width:136.05pt;height:35.05pt" o:ole="" fillcolor="window">
            <v:imagedata r:id="rId57" o:title=""/>
          </v:shape>
          <o:OLEObject Type="Embed" ProgID="Equation.3" ShapeID="_x0000_i1043" DrawAspect="Content" ObjectID="_1511604832" r:id="rId58"/>
        </w:object>
      </w:r>
      <w:r w:rsidRPr="00CB6CBA">
        <w:rPr>
          <w:lang w:val="en-US"/>
        </w:rPr>
        <w:tab/>
        <w:t>(</w:t>
      </w:r>
      <w:r>
        <w:rPr>
          <w:lang w:val="en-US"/>
        </w:rPr>
        <w:t>34</w:t>
      </w:r>
      <w:r w:rsidRPr="00CB6CBA">
        <w:rPr>
          <w:lang w:val="en-US"/>
        </w:rPr>
        <w:t>)</w:t>
      </w:r>
    </w:p>
    <w:p w:rsidR="00CA3B52" w:rsidRDefault="00CA3B52" w:rsidP="00CA3B52">
      <w:pPr>
        <w:pStyle w:val="Equation"/>
        <w:rPr>
          <w:lang w:val="en-US"/>
        </w:rPr>
      </w:pPr>
      <w:r w:rsidRPr="00CB6CBA">
        <w:rPr>
          <w:lang w:val="en-US"/>
        </w:rPr>
        <w:tab/>
      </w:r>
      <w:r w:rsidRPr="00CB6CBA">
        <w:rPr>
          <w:lang w:val="en-US"/>
        </w:rPr>
        <w:tab/>
      </w:r>
      <w:r w:rsidRPr="000B7423">
        <w:rPr>
          <w:position w:val="-26"/>
          <w:lang w:val="en-US"/>
        </w:rPr>
        <w:object w:dxaOrig="2740" w:dyaOrig="700">
          <v:shape id="_x0000_i1044" type="#_x0000_t75" style="width:137.45pt;height:35.05pt" o:ole="" fillcolor="window">
            <v:imagedata r:id="rId59" o:title=""/>
          </v:shape>
          <o:OLEObject Type="Embed" ProgID="Equation.3" ShapeID="_x0000_i1044" DrawAspect="Content" ObjectID="_1511604833" r:id="rId60"/>
        </w:object>
      </w:r>
      <w:r w:rsidRPr="00CB6CBA">
        <w:rPr>
          <w:lang w:val="en-US"/>
        </w:rPr>
        <w:tab/>
        <w:t>(</w:t>
      </w:r>
      <w:r>
        <w:rPr>
          <w:lang w:val="en-US"/>
        </w:rPr>
        <w:t>35</w:t>
      </w:r>
      <w:r w:rsidRPr="00CB6CBA">
        <w:rPr>
          <w:lang w:val="en-US"/>
        </w:rPr>
        <w:t>)</w:t>
      </w:r>
    </w:p>
    <w:p w:rsidR="00CA3B52" w:rsidRDefault="00CA3B52" w:rsidP="00CA3B52">
      <w:pPr>
        <w:pStyle w:val="Blanc"/>
      </w:pPr>
    </w:p>
    <w:p w:rsidR="00CA3B52" w:rsidRPr="00CB6CBA" w:rsidRDefault="00CA3B52" w:rsidP="00F65451">
      <w:pPr>
        <w:pStyle w:val="Equation"/>
        <w:rPr>
          <w:lang w:val="en-US"/>
        </w:rPr>
      </w:pPr>
      <w:r>
        <w:tab/>
      </w:r>
      <w:r>
        <w:tab/>
      </w:r>
      <w:r w:rsidRPr="00CB6CBA">
        <w:rPr>
          <w:position w:val="-24"/>
          <w:lang w:val="en-US"/>
        </w:rPr>
        <w:object w:dxaOrig="780" w:dyaOrig="620">
          <v:shape id="_x0000_i1045" type="#_x0000_t75" style="width:38.35pt;height:30.85pt" o:ole="" fillcolor="window">
            <v:imagedata r:id="rId61" o:title=""/>
          </v:shape>
          <o:OLEObject Type="Embed" ProgID="Equation.3" ShapeID="_x0000_i1045" DrawAspect="Content" ObjectID="_1511604834" r:id="rId62"/>
        </w:object>
      </w:r>
    </w:p>
    <w:p w:rsidR="00CA3B52" w:rsidRDefault="00CA3B52" w:rsidP="00CA3B52">
      <w:pPr>
        <w:pStyle w:val="Blanc"/>
      </w:pPr>
    </w:p>
    <w:p w:rsidR="00CA3B52" w:rsidRPr="00CB6CBA" w:rsidRDefault="00CA3B52" w:rsidP="00CA3B52">
      <w:pPr>
        <w:rPr>
          <w:lang w:val="en-US"/>
        </w:rPr>
      </w:pPr>
      <w:r w:rsidRPr="00CB6CBA">
        <w:rPr>
          <w:lang w:val="en-US"/>
        </w:rPr>
        <w:t>where:</w:t>
      </w:r>
    </w:p>
    <w:p w:rsidR="00CA3B52" w:rsidRDefault="00CA3B52" w:rsidP="00CA3B52">
      <w:pPr>
        <w:pStyle w:val="Equationlegend"/>
      </w:pPr>
      <w:r w:rsidRPr="00CB6CBA">
        <w:rPr>
          <w:i/>
        </w:rPr>
        <w:tab/>
        <w:t>H</w:t>
      </w:r>
      <w:r w:rsidRPr="00CB6CBA">
        <w:t>:</w:t>
      </w:r>
      <w:r w:rsidRPr="00CB6CBA">
        <w:tab/>
        <w:t xml:space="preserve">distance from a transmitter to the junction point of approximating lines (see Fig. </w:t>
      </w:r>
      <w:r>
        <w:t>6</w:t>
      </w:r>
      <w:r w:rsidRPr="00CB6CBA">
        <w:t>) (km)</w:t>
      </w:r>
    </w:p>
    <w:p w:rsidR="00CA3B52" w:rsidRDefault="00CA3B52" w:rsidP="00CA3B52">
      <w:pPr>
        <w:pStyle w:val="Equationlegend"/>
      </w:pPr>
      <w:r w:rsidRPr="00CB6CBA">
        <w:tab/>
      </w:r>
      <w:r w:rsidRPr="00CB6CBA">
        <w:rPr>
          <w:position w:val="-10"/>
        </w:rPr>
        <w:object w:dxaOrig="320" w:dyaOrig="340">
          <v:shape id="_x0000_i1046" type="#_x0000_t75" style="width:16.85pt;height:17.3pt" o:ole="" fillcolor="window">
            <v:imagedata r:id="rId63" o:title=""/>
          </v:shape>
          <o:OLEObject Type="Embed" ProgID="Equation.3" ShapeID="_x0000_i1046" DrawAspect="Content" ObjectID="_1511604835" r:id="rId64"/>
        </w:object>
      </w:r>
      <w:r w:rsidRPr="00CB6CBA">
        <w:t xml:space="preserve"> and </w:t>
      </w:r>
      <w:r w:rsidRPr="00CB6CBA">
        <w:rPr>
          <w:position w:val="-12"/>
        </w:rPr>
        <w:object w:dxaOrig="279" w:dyaOrig="360">
          <v:shape id="_x0000_i1047" type="#_x0000_t75" style="width:13.55pt;height:19.15pt" o:ole="" fillcolor="window">
            <v:imagedata r:id="rId65" o:title=""/>
          </v:shape>
          <o:OLEObject Type="Embed" ProgID="Equation.3" ShapeID="_x0000_i1047" DrawAspect="Content" ObjectID="_1511604836" r:id="rId66"/>
        </w:object>
      </w:r>
      <w:r w:rsidRPr="00CB6CBA">
        <w:t>:</w:t>
      </w:r>
      <w:r w:rsidRPr="00CB6CBA">
        <w:tab/>
        <w:t xml:space="preserve">relevant sector angles (see Fig. </w:t>
      </w:r>
      <w:r w:rsidRPr="00801166">
        <w:t>6</w:t>
      </w:r>
      <w:r w:rsidRPr="00CB6CBA">
        <w:t>) (degrees).</w:t>
      </w:r>
    </w:p>
    <w:p w:rsidR="00CA3B52" w:rsidRPr="00CB6CBA" w:rsidRDefault="00CA3B52" w:rsidP="00CA3B52">
      <w:pPr>
        <w:rPr>
          <w:lang w:val="en-US"/>
        </w:rPr>
      </w:pPr>
      <w:r w:rsidRPr="00CB6CBA">
        <w:rPr>
          <w:lang w:val="en-US"/>
        </w:rPr>
        <w:t>Then:</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CB6CBA">
        <w:rPr>
          <w:position w:val="-12"/>
          <w:lang w:val="en-US"/>
        </w:rPr>
        <w:object w:dxaOrig="2340" w:dyaOrig="420">
          <v:shape id="_x0000_i1048" type="#_x0000_t75" style="width:117.35pt;height:21.5pt" o:ole="">
            <v:imagedata r:id="rId67" o:title=""/>
          </v:shape>
          <o:OLEObject Type="Embed" ProgID="Equation.3" ShapeID="_x0000_i1048" DrawAspect="Content" ObjectID="_1511604837" r:id="rId68"/>
        </w:object>
      </w:r>
      <w:r w:rsidRPr="00CB6CBA">
        <w:rPr>
          <w:lang w:val="en-US"/>
        </w:rPr>
        <w:tab/>
        <w:t>(</w:t>
      </w:r>
      <w:r>
        <w:rPr>
          <w:lang w:val="en-US"/>
        </w:rPr>
        <w:t>36)</w:t>
      </w:r>
    </w:p>
    <w:p w:rsidR="00CA3B52" w:rsidRDefault="00CA3B52" w:rsidP="00CA3B52">
      <w:pPr>
        <w:pStyle w:val="Blanc"/>
      </w:pPr>
    </w:p>
    <w:p w:rsidR="00CA3B52" w:rsidRDefault="00CA3B52" w:rsidP="00F65451">
      <w:pPr>
        <w:rPr>
          <w:lang w:val="en-US"/>
        </w:rPr>
      </w:pPr>
      <w:r w:rsidRPr="00CB6CBA">
        <w:rPr>
          <w:lang w:val="en-US"/>
        </w:rPr>
        <w:t xml:space="preserve">As an example, let us calculate relative areas for the three-zone case presented at Fig. </w:t>
      </w:r>
      <w:r w:rsidRPr="00801166">
        <w:rPr>
          <w:lang w:val="en-US"/>
        </w:rPr>
        <w:t>6</w:t>
      </w:r>
      <w:r w:rsidRPr="00CB6CBA">
        <w:rPr>
          <w:lang w:val="en-US"/>
        </w:rPr>
        <w:t xml:space="preserve">. From the figure we have: </w:t>
      </w:r>
      <w:r w:rsidRPr="00CB6CBA">
        <w:rPr>
          <w:position w:val="-10"/>
          <w:lang w:val="en-US"/>
        </w:rPr>
        <w:object w:dxaOrig="320" w:dyaOrig="340">
          <v:shape id="_x0000_i1049" type="#_x0000_t75" style="width:16.85pt;height:17.3pt" o:ole="" fillcolor="window">
            <v:imagedata r:id="rId69" o:title=""/>
          </v:shape>
          <o:OLEObject Type="Embed" ProgID="Equation.3" ShapeID="_x0000_i1049" DrawAspect="Content" ObjectID="_1511604838" r:id="rId70"/>
        </w:object>
      </w:r>
      <w:r w:rsidRPr="00CB6CBA">
        <w:rPr>
          <w:lang w:val="en-US"/>
        </w:rPr>
        <w:t> </w:t>
      </w:r>
      <w:r w:rsidRPr="00CB6CBA">
        <w:rPr>
          <w:rFonts w:ascii="Symbol" w:hAnsi="Symbol"/>
          <w:lang w:val="en-US"/>
        </w:rPr>
        <w:t></w:t>
      </w:r>
      <w:r w:rsidRPr="00CB6CBA">
        <w:rPr>
          <w:lang w:val="en-US"/>
        </w:rPr>
        <w:t> 88</w:t>
      </w:r>
      <w:r w:rsidRPr="00CB6CBA">
        <w:rPr>
          <w:rFonts w:ascii="Symbol" w:hAnsi="Symbol"/>
          <w:lang w:val="en-US"/>
        </w:rPr>
        <w:t></w:t>
      </w:r>
      <w:r w:rsidRPr="00CB6CBA">
        <w:rPr>
          <w:lang w:val="en-US"/>
        </w:rPr>
        <w:t xml:space="preserve">, </w:t>
      </w:r>
      <w:r w:rsidRPr="00CB6CBA">
        <w:rPr>
          <w:rFonts w:ascii="Symbol" w:hAnsi="Symbol"/>
          <w:lang w:val="en-US"/>
        </w:rPr>
        <w:t></w:t>
      </w:r>
      <w:r w:rsidRPr="00CB6CBA">
        <w:rPr>
          <w:rFonts w:ascii="Symbol" w:hAnsi="Symbol"/>
          <w:vertAlign w:val="subscript"/>
          <w:lang w:val="en-US"/>
        </w:rPr>
        <w:t></w:t>
      </w:r>
      <w:r w:rsidRPr="00CB6CBA">
        <w:rPr>
          <w:lang w:val="en-US"/>
        </w:rPr>
        <w:t> </w:t>
      </w:r>
      <w:r w:rsidRPr="00CB6CBA">
        <w:rPr>
          <w:rFonts w:ascii="Symbol" w:hAnsi="Symbol"/>
          <w:lang w:val="en-US"/>
        </w:rPr>
        <w:t></w:t>
      </w:r>
      <w:r w:rsidRPr="00CB6CBA">
        <w:rPr>
          <w:lang w:val="en-US"/>
        </w:rPr>
        <w:t> </w:t>
      </w:r>
      <w:r w:rsidRPr="00CB6CBA">
        <w:rPr>
          <w:rFonts w:ascii="Symbol" w:hAnsi="Symbol"/>
          <w:lang w:val="en-US"/>
        </w:rPr>
        <w:t></w:t>
      </w:r>
      <w:r w:rsidRPr="00CB6CBA">
        <w:rPr>
          <w:rFonts w:ascii="Symbol" w:hAnsi="Symbol"/>
          <w:lang w:val="en-US"/>
        </w:rPr>
        <w:t></w:t>
      </w:r>
      <w:r w:rsidRPr="00CB6CBA">
        <w:rPr>
          <w:rFonts w:ascii="Symbol" w:hAnsi="Symbol"/>
          <w:lang w:val="en-US"/>
        </w:rPr>
        <w:t></w:t>
      </w:r>
      <w:r w:rsidRPr="00CB6CBA">
        <w:rPr>
          <w:lang w:val="en-US"/>
        </w:rPr>
        <w:t xml:space="preserve"> and </w:t>
      </w:r>
      <w:r w:rsidRPr="00CB6CBA">
        <w:rPr>
          <w:rFonts w:ascii="Symbol" w:hAnsi="Symbol"/>
          <w:lang w:val="en-US"/>
        </w:rPr>
        <w:t></w:t>
      </w:r>
      <w:r w:rsidRPr="00CB6CBA">
        <w:rPr>
          <w:lang w:val="en-US"/>
        </w:rPr>
        <w:t> </w:t>
      </w:r>
      <w:r w:rsidRPr="00CB6CBA">
        <w:rPr>
          <w:rFonts w:ascii="Symbol" w:hAnsi="Symbol"/>
          <w:lang w:val="en-US"/>
        </w:rPr>
        <w:t></w:t>
      </w:r>
      <w:r w:rsidRPr="00CB6CBA">
        <w:rPr>
          <w:lang w:val="en-US"/>
        </w:rPr>
        <w:t> 0.51.</w:t>
      </w:r>
    </w:p>
    <w:p w:rsidR="00CA3B52" w:rsidRDefault="00CA3B52" w:rsidP="00CA3B52">
      <w:pPr>
        <w:rPr>
          <w:lang w:val="en-US"/>
        </w:rPr>
      </w:pPr>
      <w:r w:rsidRPr="00CB6CBA">
        <w:rPr>
          <w:lang w:val="en-US"/>
        </w:rPr>
        <w:t>Then from equations (</w:t>
      </w:r>
      <w:r>
        <w:rPr>
          <w:lang w:val="en-US"/>
        </w:rPr>
        <w:t>34</w:t>
      </w:r>
      <w:r w:rsidRPr="00CB6CBA">
        <w:rPr>
          <w:lang w:val="en-US"/>
        </w:rPr>
        <w:t>), (</w:t>
      </w:r>
      <w:r>
        <w:rPr>
          <w:lang w:val="en-US"/>
        </w:rPr>
        <w:t>35</w:t>
      </w:r>
      <w:r w:rsidRPr="00CB6CBA">
        <w:rPr>
          <w:lang w:val="en-US"/>
        </w:rPr>
        <w:t>) and (</w:t>
      </w:r>
      <w:r>
        <w:rPr>
          <w:lang w:val="en-US"/>
        </w:rPr>
        <w:t>36</w:t>
      </w:r>
      <w:r w:rsidRPr="00CB6CBA">
        <w:rPr>
          <w:lang w:val="en-US"/>
        </w:rPr>
        <w:t>) it follows, correspondingly:</w:t>
      </w:r>
    </w:p>
    <w:p w:rsidR="00CA3B52" w:rsidRDefault="00CA3B52" w:rsidP="00CA3B52">
      <w:pPr>
        <w:pStyle w:val="Blanc"/>
      </w:pPr>
    </w:p>
    <w:p w:rsidR="00CA3B52" w:rsidRPr="00CB6CBA" w:rsidRDefault="00CA3B52" w:rsidP="00CA3B52">
      <w:pPr>
        <w:pStyle w:val="Equation"/>
        <w:rPr>
          <w:i/>
          <w:lang w:val="en-US"/>
        </w:rPr>
      </w:pPr>
      <w:r w:rsidRPr="00CB6CBA">
        <w:rPr>
          <w:lang w:val="en-US"/>
        </w:rPr>
        <w:tab/>
      </w:r>
      <w:r w:rsidRPr="00CB6CBA">
        <w:rPr>
          <w:lang w:val="en-US"/>
        </w:rPr>
        <w:tab/>
      </w:r>
      <w:r w:rsidRPr="00CB6CBA">
        <w:rPr>
          <w:lang w:val="en-US"/>
        </w:rPr>
        <w:object w:dxaOrig="4120" w:dyaOrig="720">
          <v:shape id="_x0000_i1050" type="#_x0000_t75" style="width:205.7pt;height:36pt" o:ole="" fillcolor="window">
            <v:imagedata r:id="rId71" o:title=""/>
          </v:shape>
          <o:OLEObject Type="Embed" ProgID="Equation.3" ShapeID="_x0000_i1050" DrawAspect="Content" ObjectID="_1511604839" r:id="rId72"/>
        </w:object>
      </w:r>
    </w:p>
    <w:p w:rsidR="00CA3B52" w:rsidRDefault="00CA3B52" w:rsidP="00CA3B52">
      <w:pPr>
        <w:pStyle w:val="Blanc"/>
      </w:pPr>
    </w:p>
    <w:p w:rsidR="00CA3B52" w:rsidRPr="00CB6CBA" w:rsidRDefault="00CA3B52" w:rsidP="00CA3B52">
      <w:pPr>
        <w:pStyle w:val="Equation"/>
        <w:rPr>
          <w:i/>
          <w:lang w:val="en-US"/>
        </w:rPr>
      </w:pPr>
      <w:r w:rsidRPr="00CB6CBA">
        <w:rPr>
          <w:lang w:val="en-US"/>
        </w:rPr>
        <w:tab/>
      </w:r>
      <w:r w:rsidRPr="00CB6CBA">
        <w:rPr>
          <w:lang w:val="en-US"/>
        </w:rPr>
        <w:tab/>
      </w:r>
      <w:r w:rsidRPr="00CB6CBA">
        <w:rPr>
          <w:lang w:val="en-US"/>
        </w:rPr>
        <w:object w:dxaOrig="4020" w:dyaOrig="720">
          <v:shape id="_x0000_i1051" type="#_x0000_t75" style="width:196.85pt;height:36pt" o:ole="" fillcolor="window">
            <v:imagedata r:id="rId73" o:title=""/>
          </v:shape>
          <o:OLEObject Type="Embed" ProgID="Equation.3" ShapeID="_x0000_i1051" DrawAspect="Content" ObjectID="_1511604840" r:id="rId74"/>
        </w:object>
      </w:r>
    </w:p>
    <w:p w:rsidR="00CA3B52" w:rsidRDefault="00CA3B52" w:rsidP="00CA3B52">
      <w:pPr>
        <w:pStyle w:val="Blanc"/>
      </w:pPr>
    </w:p>
    <w:p w:rsidR="00CA3B52" w:rsidRPr="00CB6CBA" w:rsidRDefault="00CA3B52" w:rsidP="00CA3B52">
      <w:pPr>
        <w:pStyle w:val="Equation"/>
        <w:rPr>
          <w:lang w:val="en-US"/>
        </w:rPr>
      </w:pPr>
      <w:r w:rsidRPr="00CB6CBA">
        <w:rPr>
          <w:position w:val="-10"/>
          <w:lang w:val="en-US"/>
        </w:rPr>
        <w:tab/>
      </w:r>
      <w:r w:rsidRPr="00CB6CBA">
        <w:rPr>
          <w:position w:val="-10"/>
          <w:lang w:val="en-US"/>
        </w:rPr>
        <w:tab/>
      </w:r>
      <w:r w:rsidRPr="00CB6CBA">
        <w:rPr>
          <w:position w:val="-10"/>
          <w:lang w:val="en-US"/>
        </w:rPr>
        <w:object w:dxaOrig="3879" w:dyaOrig="400">
          <v:shape id="_x0000_i1052" type="#_x0000_t75" style="width:194.5pt;height:20.55pt" o:ole="">
            <v:imagedata r:id="rId75" o:title=""/>
          </v:shape>
          <o:OLEObject Type="Embed" ProgID="Equation.3" ShapeID="_x0000_i1052" DrawAspect="Content" ObjectID="_1511604841" r:id="rId76"/>
        </w:object>
      </w:r>
    </w:p>
    <w:p w:rsidR="00CA3B52" w:rsidRDefault="00CA3B52" w:rsidP="00F65451">
      <w:pPr>
        <w:rPr>
          <w:b/>
          <w:lang w:val="en-US"/>
        </w:rPr>
      </w:pPr>
    </w:p>
    <w:p w:rsidR="00CA3B52" w:rsidRDefault="00CA3B52" w:rsidP="00CA3B52">
      <w:pPr>
        <w:pStyle w:val="Heading3"/>
        <w:rPr>
          <w:lang w:val="en-US"/>
        </w:rPr>
      </w:pPr>
      <w:bookmarkStart w:id="1409" w:name="_Toc289868844"/>
      <w:bookmarkStart w:id="1410" w:name="_Toc289869004"/>
      <w:bookmarkStart w:id="1411" w:name="_Toc289932312"/>
      <w:bookmarkStart w:id="1412" w:name="_Toc289933358"/>
      <w:bookmarkStart w:id="1413" w:name="_Toc291852921"/>
      <w:bookmarkStart w:id="1414" w:name="_Toc392515907"/>
      <w:r w:rsidRPr="00CB6CBA">
        <w:rPr>
          <w:lang w:val="en-US"/>
        </w:rPr>
        <w:lastRenderedPageBreak/>
        <w:t>4.</w:t>
      </w:r>
      <w:r>
        <w:rPr>
          <w:lang w:val="en-US"/>
        </w:rPr>
        <w:t>7</w:t>
      </w:r>
      <w:r w:rsidRPr="00CB6CBA">
        <w:rPr>
          <w:lang w:val="en-US"/>
        </w:rPr>
        <w:t>.2</w:t>
      </w:r>
      <w:r w:rsidRPr="00CB6CBA">
        <w:rPr>
          <w:lang w:val="en-US"/>
        </w:rPr>
        <w:tab/>
        <w:t>Example of calculations</w:t>
      </w:r>
      <w:bookmarkEnd w:id="1409"/>
      <w:bookmarkEnd w:id="1410"/>
      <w:bookmarkEnd w:id="1411"/>
      <w:bookmarkEnd w:id="1412"/>
      <w:bookmarkEnd w:id="1413"/>
      <w:bookmarkEnd w:id="1414"/>
    </w:p>
    <w:p w:rsidR="00CA3B52" w:rsidRPr="00CB6CBA" w:rsidRDefault="00CA3B52" w:rsidP="00CA3B52">
      <w:pPr>
        <w:pStyle w:val="Headingb"/>
        <w:rPr>
          <w:lang w:val="en-US"/>
        </w:rPr>
      </w:pPr>
      <w:r w:rsidRPr="00CB6CBA">
        <w:rPr>
          <w:lang w:val="en-US"/>
        </w:rPr>
        <w:t>a)</w:t>
      </w:r>
      <w:r w:rsidRPr="00CB6CBA">
        <w:rPr>
          <w:lang w:val="en-US"/>
        </w:rPr>
        <w:tab/>
        <w:t>Incoming parameters</w:t>
      </w:r>
    </w:p>
    <w:p w:rsidR="00CA3B52" w:rsidRPr="00CB6CBA" w:rsidRDefault="00CA3B52" w:rsidP="00CA3B52">
      <w:pPr>
        <w:rPr>
          <w:lang w:val="en-US"/>
        </w:rPr>
      </w:pPr>
      <w:r w:rsidRPr="00CB6CBA">
        <w:rPr>
          <w:lang w:val="en-US"/>
        </w:rPr>
        <w:t xml:space="preserve">Let us calculate a spectral resource used by a FM sound broadcasting station working in an urban area 20 h per each day with a power 1.5 kW in exclusive regime (no sharing). Antenna, having mast height 100 m, situated at the top of a hill with ground height 360 m above the sea level. Terrain situation around the transmitter corresponds to example presented in (b), i.e. average level of the ground between distances of 3 km and 15 km from the transmitter, </w:t>
      </w:r>
      <w:r w:rsidRPr="00CB6CBA">
        <w:rPr>
          <w:i/>
          <w:lang w:val="en-US"/>
        </w:rPr>
        <w:t>h</w:t>
      </w:r>
      <w:r w:rsidRPr="00CB6CBA">
        <w:rPr>
          <w:i/>
          <w:vertAlign w:val="subscript"/>
          <w:lang w:val="en-US"/>
        </w:rPr>
        <w:t>av</w:t>
      </w:r>
      <w:r w:rsidRPr="00CB6CBA">
        <w:rPr>
          <w:lang w:val="en-US"/>
        </w:rPr>
        <w:t>, in accordance with Table 10 is equal to 213 m. Antenna gain against a half-wave dipole equals 3 dB. Modulation conditions are standard ones: peak deviation is 75 kHz, maximum modulation frequency is 15 kHz.</w:t>
      </w:r>
    </w:p>
    <w:p w:rsidR="00CA3B52" w:rsidRPr="00CB6CBA" w:rsidRDefault="00CA3B52" w:rsidP="00CA3B52">
      <w:pPr>
        <w:pStyle w:val="Headingb"/>
        <w:rPr>
          <w:rFonts w:eastAsia="SimSun"/>
          <w:lang w:val="en-US" w:eastAsia="zh-CN"/>
        </w:rPr>
      </w:pPr>
      <w:r w:rsidRPr="00CB6CBA">
        <w:rPr>
          <w:rFonts w:eastAsia="SimSun"/>
          <w:lang w:val="en-US" w:eastAsia="zh-CN"/>
        </w:rPr>
        <w:t>b)</w:t>
      </w:r>
      <w:r w:rsidRPr="00CB6CBA">
        <w:rPr>
          <w:rFonts w:eastAsia="SimSun"/>
          <w:lang w:val="en-US" w:eastAsia="zh-CN"/>
        </w:rPr>
        <w:tab/>
        <w:t>Time and frequency resources used</w:t>
      </w:r>
    </w:p>
    <w:p w:rsidR="00CA3B52" w:rsidRDefault="00CA3B52" w:rsidP="00CA3B52">
      <w:pPr>
        <w:rPr>
          <w:lang w:val="en-US"/>
        </w:rPr>
      </w:pPr>
      <w:r w:rsidRPr="00CB6CBA">
        <w:rPr>
          <w:lang w:val="en-US"/>
        </w:rPr>
        <w:t>In accordance with equation (</w:t>
      </w:r>
      <w:r>
        <w:rPr>
          <w:lang w:val="en-US"/>
        </w:rPr>
        <w:t>21</w:t>
      </w:r>
      <w:r w:rsidRPr="00CB6CBA">
        <w:rPr>
          <w:lang w:val="en-US"/>
        </w:rPr>
        <w:t>), used time resource is:</w:t>
      </w:r>
    </w:p>
    <w:p w:rsidR="00CA3B52" w:rsidRDefault="00CA3B52" w:rsidP="00CA3B52">
      <w:pPr>
        <w:pStyle w:val="Blanc"/>
      </w:pPr>
    </w:p>
    <w:p w:rsidR="00CA3B52" w:rsidRPr="00CB6CBA" w:rsidRDefault="00CA3B52" w:rsidP="00CA3B52">
      <w:pPr>
        <w:pStyle w:val="Equation"/>
        <w:rPr>
          <w:lang w:val="en-US"/>
        </w:rPr>
      </w:pPr>
      <w:r w:rsidRPr="00CB6CBA">
        <w:rPr>
          <w:i/>
          <w:lang w:val="en-US"/>
        </w:rPr>
        <w:tab/>
      </w:r>
      <w:r w:rsidRPr="00CB6CBA">
        <w:rPr>
          <w:i/>
          <w:lang w:val="en-US"/>
        </w:rPr>
        <w:tab/>
        <w:t>T</w:t>
      </w:r>
      <w:r w:rsidRPr="00CB6CBA">
        <w:rPr>
          <w:lang w:val="en-US"/>
        </w:rPr>
        <w:t xml:space="preserve"> </w:t>
      </w:r>
      <w:r w:rsidRPr="00CB6CBA">
        <w:rPr>
          <w:rFonts w:ascii="Symbol" w:hAnsi="Symbol"/>
          <w:lang w:val="en-US"/>
        </w:rPr>
        <w:t></w:t>
      </w:r>
      <w:r w:rsidRPr="00CB6CBA">
        <w:rPr>
          <w:lang w:val="en-US"/>
        </w:rPr>
        <w:t xml:space="preserve"> 20/24 (each day) </w:t>
      </w:r>
      <w:r w:rsidRPr="00CB6CBA">
        <w:rPr>
          <w:rFonts w:ascii="Symbol" w:hAnsi="Symbol"/>
          <w:lang w:val="en-US"/>
        </w:rPr>
        <w:t></w:t>
      </w:r>
      <w:r w:rsidRPr="00CB6CBA">
        <w:rPr>
          <w:lang w:val="en-US"/>
        </w:rPr>
        <w:t xml:space="preserve"> 0.83 year</w:t>
      </w:r>
    </w:p>
    <w:p w:rsidR="00CA3B52" w:rsidRDefault="00CA3B52" w:rsidP="00CA3B52">
      <w:pPr>
        <w:pStyle w:val="Blanc"/>
      </w:pPr>
    </w:p>
    <w:p w:rsidR="00CA3B52" w:rsidRDefault="00CA3B52" w:rsidP="00CA3B52">
      <w:pPr>
        <w:rPr>
          <w:lang w:val="en-US"/>
        </w:rPr>
      </w:pPr>
      <w:r w:rsidRPr="00CB6CBA">
        <w:rPr>
          <w:lang w:val="en-US"/>
        </w:rPr>
        <w:t xml:space="preserve">According to Recommendation ITU-R SM.1138-2 “Sound broadcasting” (class of emission F3E) the necessary bandwidth is 180 kHz, i.e., accepting χ </w:t>
      </w:r>
      <w:r w:rsidRPr="00CB6CBA">
        <w:rPr>
          <w:rFonts w:ascii="Symbol" w:hAnsi="Symbol"/>
          <w:lang w:val="en-US"/>
        </w:rPr>
        <w:t></w:t>
      </w:r>
      <w:r w:rsidRPr="00CB6CBA">
        <w:rPr>
          <w:lang w:val="en-US"/>
        </w:rPr>
        <w:t xml:space="preserve"> 1, used frequency resource in accordance with equation (</w:t>
      </w:r>
      <w:r>
        <w:rPr>
          <w:lang w:val="en-US"/>
        </w:rPr>
        <w:t>24</w:t>
      </w:r>
      <w:r w:rsidRPr="00CB6CBA">
        <w:rPr>
          <w:lang w:val="en-US"/>
        </w:rPr>
        <w:t>) is:</w:t>
      </w:r>
    </w:p>
    <w:p w:rsidR="00CA3B52" w:rsidRDefault="00CA3B52" w:rsidP="00CA3B52">
      <w:pPr>
        <w:pStyle w:val="Blanc"/>
      </w:pPr>
    </w:p>
    <w:p w:rsidR="00CA3B52" w:rsidRPr="00CB6CBA" w:rsidRDefault="00CA3B52" w:rsidP="00F65451">
      <w:pPr>
        <w:pStyle w:val="Equation"/>
        <w:rPr>
          <w:lang w:val="en-US"/>
        </w:rPr>
      </w:pPr>
      <w:r w:rsidRPr="00CB6CBA">
        <w:rPr>
          <w:i/>
          <w:lang w:val="en-US"/>
        </w:rPr>
        <w:tab/>
      </w:r>
      <w:r w:rsidRPr="00CB6CBA">
        <w:rPr>
          <w:i/>
          <w:lang w:val="en-US"/>
        </w:rPr>
        <w:tab/>
        <w:t>F</w:t>
      </w:r>
      <w:r w:rsidRPr="00CB6CBA">
        <w:rPr>
          <w:lang w:val="en-US"/>
        </w:rPr>
        <w:t xml:space="preserve"> </w:t>
      </w:r>
      <w:r w:rsidRPr="00CB6CBA">
        <w:rPr>
          <w:rFonts w:ascii="Symbol" w:hAnsi="Symbol"/>
          <w:lang w:val="en-US"/>
        </w:rPr>
        <w:t></w:t>
      </w:r>
      <w:r w:rsidRPr="00CB6CBA">
        <w:rPr>
          <w:lang w:val="en-US"/>
        </w:rPr>
        <w:t xml:space="preserve"> 0.18 MHz</w:t>
      </w:r>
    </w:p>
    <w:p w:rsidR="00CA3B52" w:rsidRDefault="00CA3B52" w:rsidP="00CA3B52">
      <w:pPr>
        <w:pStyle w:val="Blanc"/>
      </w:pPr>
    </w:p>
    <w:p w:rsidR="00CA3B52" w:rsidRPr="00CB6CBA" w:rsidRDefault="00CA3B52" w:rsidP="00CA3B52">
      <w:pPr>
        <w:pStyle w:val="Headingb"/>
        <w:rPr>
          <w:lang w:val="en-US"/>
        </w:rPr>
      </w:pPr>
      <w:r w:rsidRPr="00CB6CBA">
        <w:rPr>
          <w:lang w:val="en-US"/>
        </w:rPr>
        <w:t>c)</w:t>
      </w:r>
      <w:r w:rsidRPr="00CB6CBA">
        <w:rPr>
          <w:lang w:val="en-US"/>
        </w:rPr>
        <w:tab/>
        <w:t>Territorial resource used</w:t>
      </w:r>
    </w:p>
    <w:p w:rsidR="00CA3B52" w:rsidRPr="00CB6CBA" w:rsidRDefault="00CA3B52" w:rsidP="00CA3B52">
      <w:pPr>
        <w:rPr>
          <w:lang w:val="en-US"/>
        </w:rPr>
      </w:pPr>
      <w:r w:rsidRPr="00CB6CBA">
        <w:rPr>
          <w:lang w:val="en-US"/>
        </w:rPr>
        <w:t>Firstly, e.r.p. of the transmitter, effective antenna height and then service area radius should be calculated.</w:t>
      </w:r>
    </w:p>
    <w:p w:rsidR="00CA3B52" w:rsidRDefault="00CA3B52" w:rsidP="00CA3B52">
      <w:pPr>
        <w:rPr>
          <w:lang w:val="en-US"/>
        </w:rPr>
      </w:pPr>
      <w:r w:rsidRPr="00CB6CBA">
        <w:rPr>
          <w:lang w:val="en-US"/>
        </w:rPr>
        <w:t xml:space="preserve">In accordance with data presented in </w:t>
      </w:r>
      <w:r>
        <w:rPr>
          <w:lang w:val="en-US"/>
        </w:rPr>
        <w:t>§ </w:t>
      </w:r>
      <w:r w:rsidRPr="00CB6CBA">
        <w:rPr>
          <w:lang w:val="en-US"/>
        </w:rPr>
        <w:t>4.</w:t>
      </w:r>
      <w:r>
        <w:rPr>
          <w:lang w:val="en-US"/>
        </w:rPr>
        <w:t>7</w:t>
      </w:r>
      <w:r w:rsidRPr="00CB6CBA">
        <w:rPr>
          <w:lang w:val="en-US"/>
        </w:rPr>
        <w:t>.1(a) and equation (</w:t>
      </w:r>
      <w:r>
        <w:rPr>
          <w:lang w:val="en-US"/>
        </w:rPr>
        <w:t>29</w:t>
      </w:r>
      <w:r w:rsidRPr="00CB6CBA">
        <w:rPr>
          <w:lang w:val="en-US"/>
        </w:rPr>
        <w:t>), e.r.p. of the transmitter is:</w:t>
      </w:r>
    </w:p>
    <w:p w:rsidR="00CA3B52" w:rsidRPr="00ED7323" w:rsidRDefault="00CA3B52" w:rsidP="00CA3B52">
      <w:pPr>
        <w:pStyle w:val="Blanc"/>
        <w:rPr>
          <w:lang w:val="en-US"/>
        </w:rPr>
      </w:pPr>
    </w:p>
    <w:p w:rsidR="00CA3B52" w:rsidRPr="00CB6CBA" w:rsidRDefault="00CA3B52" w:rsidP="00CA3B52">
      <w:pPr>
        <w:pStyle w:val="Equation"/>
        <w:rPr>
          <w:lang w:val="en-US"/>
        </w:rPr>
      </w:pPr>
      <w:r w:rsidRPr="00CB6CBA">
        <w:rPr>
          <w:lang w:val="en-US"/>
        </w:rPr>
        <w:tab/>
      </w:r>
      <w:r w:rsidRPr="00CB6CBA">
        <w:rPr>
          <w:lang w:val="en-US"/>
        </w:rPr>
        <w:tab/>
      </w:r>
      <w:r w:rsidRPr="00CB6CBA">
        <w:rPr>
          <w:i/>
          <w:lang w:val="en-US"/>
        </w:rPr>
        <w:t>P</w:t>
      </w:r>
      <w:r w:rsidRPr="00CB6CBA">
        <w:rPr>
          <w:i/>
          <w:vertAlign w:val="subscript"/>
          <w:lang w:val="en-US"/>
        </w:rPr>
        <w:t>ef</w:t>
      </w:r>
      <w:r w:rsidRPr="00CB6CBA">
        <w:rPr>
          <w:lang w:val="en-US"/>
        </w:rPr>
        <w:t xml:space="preserve"> </w:t>
      </w:r>
      <w:r w:rsidRPr="00CB6CBA">
        <w:rPr>
          <w:rFonts w:ascii="Symbol" w:hAnsi="Symbol"/>
          <w:lang w:val="en-US"/>
        </w:rPr>
        <w:t></w:t>
      </w:r>
      <w:r w:rsidRPr="00CB6CBA">
        <w:rPr>
          <w:lang w:val="en-US"/>
        </w:rPr>
        <w:t xml:space="preserve"> 10 </w:t>
      </w:r>
      <w:r w:rsidRPr="00CB6CBA">
        <w:rPr>
          <w:iCs/>
          <w:lang w:val="en-US"/>
        </w:rPr>
        <w:t>log</w:t>
      </w:r>
      <w:r w:rsidRPr="00CB6CBA">
        <w:rPr>
          <w:lang w:val="en-US"/>
        </w:rPr>
        <w:t xml:space="preserve"> 1</w:t>
      </w:r>
      <w:r w:rsidRPr="00CB6CBA">
        <w:rPr>
          <w:rFonts w:ascii="Tms Rmn" w:hAnsi="Tms Rmn"/>
          <w:sz w:val="12"/>
          <w:lang w:val="en-US"/>
        </w:rPr>
        <w:t> </w:t>
      </w:r>
      <w:r w:rsidRPr="00CB6CBA">
        <w:rPr>
          <w:lang w:val="en-US"/>
        </w:rPr>
        <w:t xml:space="preserve">500 </w:t>
      </w:r>
      <w:r w:rsidRPr="00CB6CBA">
        <w:rPr>
          <w:rFonts w:ascii="Symbol" w:hAnsi="Symbol"/>
          <w:lang w:val="en-US"/>
        </w:rPr>
        <w:t></w:t>
      </w:r>
      <w:r w:rsidRPr="00CB6CBA">
        <w:rPr>
          <w:lang w:val="en-US"/>
        </w:rPr>
        <w:t xml:space="preserve"> 3 </w:t>
      </w:r>
      <w:r w:rsidRPr="00CB6CBA">
        <w:rPr>
          <w:rFonts w:ascii="Symbol" w:hAnsi="Symbol"/>
          <w:lang w:val="en-US"/>
        </w:rPr>
        <w:t></w:t>
      </w:r>
      <w:r w:rsidRPr="00CB6CBA">
        <w:rPr>
          <w:lang w:val="en-US"/>
        </w:rPr>
        <w:t xml:space="preserve"> 31.8 + 3 </w:t>
      </w:r>
      <w:r w:rsidRPr="00CB6CBA">
        <w:rPr>
          <w:rFonts w:ascii="Symbol" w:hAnsi="Symbol"/>
          <w:lang w:val="en-US"/>
        </w:rPr>
        <w:t></w:t>
      </w:r>
      <w:r w:rsidRPr="00CB6CBA">
        <w:rPr>
          <w:lang w:val="en-US"/>
        </w:rPr>
        <w:t xml:space="preserve"> 34.8 </w:t>
      </w:r>
      <w:r w:rsidRPr="00CB6CBA">
        <w:rPr>
          <w:position w:val="-4"/>
          <w:lang w:val="en-US"/>
        </w:rPr>
        <w:object w:dxaOrig="220" w:dyaOrig="200">
          <v:shape id="_x0000_i1053" type="#_x0000_t75" style="width:11.2pt;height:9.8pt" o:ole="" fillcolor="window">
            <v:imagedata r:id="rId77" o:title=""/>
          </v:shape>
          <o:OLEObject Type="Embed" ProgID="Equation.3" ShapeID="_x0000_i1053" DrawAspect="Content" ObjectID="_1511604842" r:id="rId78"/>
        </w:object>
      </w:r>
      <w:r w:rsidRPr="00CB6CBA">
        <w:rPr>
          <w:lang w:val="en-US"/>
        </w:rPr>
        <w:t xml:space="preserve">35 </w:t>
      </w:r>
      <w:r w:rsidRPr="00CB6CBA">
        <w:rPr>
          <w:iCs/>
          <w:lang w:val="en-US"/>
        </w:rPr>
        <w:t>dBW</w:t>
      </w:r>
    </w:p>
    <w:p w:rsidR="00CA3B52" w:rsidRDefault="00CA3B52" w:rsidP="00CA3B52">
      <w:pPr>
        <w:pStyle w:val="Blanc"/>
      </w:pPr>
    </w:p>
    <w:p w:rsidR="00CA3B52" w:rsidRDefault="00CA3B52" w:rsidP="00CA3B52">
      <w:pPr>
        <w:rPr>
          <w:rFonts w:eastAsia="SimSun"/>
          <w:lang w:val="en-US" w:eastAsia="zh-CN"/>
        </w:rPr>
      </w:pPr>
      <w:r w:rsidRPr="00CB6CBA">
        <w:rPr>
          <w:rFonts w:eastAsia="SimSun"/>
          <w:lang w:val="en-US" w:eastAsia="zh-CN"/>
        </w:rPr>
        <w:t xml:space="preserve">In accordance with data given in </w:t>
      </w:r>
      <w:r>
        <w:rPr>
          <w:rFonts w:eastAsia="SimSun"/>
          <w:lang w:val="en-US" w:eastAsia="zh-CN"/>
        </w:rPr>
        <w:t>§ </w:t>
      </w:r>
      <w:r w:rsidRPr="00CB6CBA">
        <w:rPr>
          <w:lang w:val="en-US"/>
        </w:rPr>
        <w:t>4.</w:t>
      </w:r>
      <w:r>
        <w:rPr>
          <w:lang w:val="en-US"/>
        </w:rPr>
        <w:t>7</w:t>
      </w:r>
      <w:r w:rsidRPr="00CB6CBA">
        <w:rPr>
          <w:lang w:val="en-US"/>
        </w:rPr>
        <w:t xml:space="preserve">.1(a) </w:t>
      </w:r>
      <w:r w:rsidRPr="00CB6CBA">
        <w:rPr>
          <w:rFonts w:eastAsia="SimSun"/>
          <w:lang w:val="en-US" w:eastAsia="zh-CN"/>
        </w:rPr>
        <w:t>and equation (</w:t>
      </w:r>
      <w:r>
        <w:rPr>
          <w:rFonts w:eastAsia="SimSun"/>
          <w:lang w:val="en-US" w:eastAsia="zh-CN"/>
        </w:rPr>
        <w:t>30</w:t>
      </w:r>
      <w:r w:rsidRPr="00CB6CBA">
        <w:rPr>
          <w:rFonts w:eastAsia="SimSun"/>
          <w:lang w:val="en-US" w:eastAsia="zh-CN"/>
        </w:rPr>
        <w:t>), it can be found:</w:t>
      </w:r>
    </w:p>
    <w:p w:rsidR="00CA3B52" w:rsidRPr="00ED7323" w:rsidRDefault="00CA3B52" w:rsidP="00CA3B52">
      <w:pPr>
        <w:pStyle w:val="Blanc"/>
        <w:rPr>
          <w:lang w:val="en-US"/>
        </w:rPr>
      </w:pPr>
    </w:p>
    <w:p w:rsidR="00CA3B52" w:rsidRPr="00CB6CBA" w:rsidRDefault="00CA3B52" w:rsidP="00CA3B52">
      <w:pPr>
        <w:pStyle w:val="Equation"/>
        <w:rPr>
          <w:lang w:val="en-US"/>
        </w:rPr>
      </w:pPr>
      <w:r w:rsidRPr="00CB6CBA">
        <w:rPr>
          <w:lang w:val="en-US"/>
        </w:rPr>
        <w:tab/>
      </w:r>
      <w:r w:rsidRPr="00CB6CBA">
        <w:rPr>
          <w:lang w:val="en-US"/>
        </w:rPr>
        <w:tab/>
      </w:r>
      <w:r w:rsidRPr="00CB6CBA">
        <w:rPr>
          <w:i/>
          <w:lang w:val="en-US"/>
        </w:rPr>
        <w:t>h</w:t>
      </w:r>
      <w:r w:rsidRPr="00CB6CBA">
        <w:rPr>
          <w:i/>
          <w:vertAlign w:val="subscript"/>
          <w:lang w:val="en-US"/>
        </w:rPr>
        <w:t>s</w:t>
      </w:r>
      <w:r w:rsidRPr="00CB6CBA">
        <w:rPr>
          <w:i/>
          <w:lang w:val="en-US"/>
        </w:rPr>
        <w:t xml:space="preserve"> </w:t>
      </w:r>
      <w:r w:rsidRPr="00CB6CBA">
        <w:rPr>
          <w:lang w:val="en-US"/>
        </w:rPr>
        <w:t>= 100 + 360 = 460 m</w:t>
      </w:r>
    </w:p>
    <w:p w:rsidR="00CA3B52" w:rsidRDefault="00CA3B52" w:rsidP="00CA3B52">
      <w:pPr>
        <w:pStyle w:val="Blanc"/>
      </w:pPr>
    </w:p>
    <w:p w:rsidR="00CA3B52" w:rsidRPr="00CB6CBA" w:rsidRDefault="00CA3B52" w:rsidP="00CA3B52">
      <w:pPr>
        <w:pStyle w:val="Equation"/>
        <w:rPr>
          <w:lang w:val="en-US"/>
        </w:rPr>
      </w:pPr>
      <w:r w:rsidRPr="00CB6CBA">
        <w:rPr>
          <w:lang w:val="en-US"/>
        </w:rPr>
        <w:tab/>
      </w:r>
      <w:r w:rsidRPr="00CB6CBA">
        <w:rPr>
          <w:lang w:val="en-US"/>
        </w:rPr>
        <w:tab/>
      </w:r>
      <w:r w:rsidRPr="00CB6CBA">
        <w:rPr>
          <w:i/>
          <w:lang w:val="en-US"/>
        </w:rPr>
        <w:t>h</w:t>
      </w:r>
      <w:r w:rsidRPr="00CB6CBA">
        <w:rPr>
          <w:i/>
          <w:vertAlign w:val="subscript"/>
          <w:lang w:val="en-US"/>
        </w:rPr>
        <w:t>ef</w:t>
      </w:r>
      <w:r w:rsidRPr="00CB6CBA">
        <w:rPr>
          <w:lang w:val="en-US"/>
        </w:rPr>
        <w:t xml:space="preserve"> = 460 – 213 = 247 m </w:t>
      </w:r>
      <w:r w:rsidRPr="00CB6CBA">
        <w:rPr>
          <w:position w:val="-4"/>
          <w:lang w:val="en-US"/>
        </w:rPr>
        <w:object w:dxaOrig="220" w:dyaOrig="200">
          <v:shape id="_x0000_i1054" type="#_x0000_t75" style="width:11.2pt;height:9.8pt" o:ole="" fillcolor="window">
            <v:imagedata r:id="rId77" o:title=""/>
          </v:shape>
          <o:OLEObject Type="Embed" ProgID="Equation.3" ShapeID="_x0000_i1054" DrawAspect="Content" ObjectID="_1511604843" r:id="rId79"/>
        </w:object>
      </w:r>
      <w:r w:rsidRPr="00CB6CBA">
        <w:rPr>
          <w:lang w:val="en-US"/>
        </w:rPr>
        <w:t>250 m</w:t>
      </w:r>
    </w:p>
    <w:p w:rsidR="00CA3B52" w:rsidRDefault="00CA3B52" w:rsidP="00CA3B52">
      <w:pPr>
        <w:pStyle w:val="Blanc"/>
      </w:pPr>
    </w:p>
    <w:p w:rsidR="00CA3B52" w:rsidRPr="00CB6CBA" w:rsidRDefault="00CA3B52" w:rsidP="00CA3B52">
      <w:pPr>
        <w:rPr>
          <w:lang w:val="en-US"/>
        </w:rPr>
      </w:pPr>
      <w:r w:rsidRPr="00CB6CBA">
        <w:rPr>
          <w:lang w:val="en-US"/>
        </w:rPr>
        <w:t>It is worth to indicate that in this particular case effective antenna height is 2.5 times greater than the mast height and this greatly influence on calculation results.</w:t>
      </w:r>
    </w:p>
    <w:p w:rsidR="00CA3B52" w:rsidRPr="00CB6CBA" w:rsidRDefault="00CA3B52" w:rsidP="00CA3B52">
      <w:pPr>
        <w:rPr>
          <w:lang w:val="en-US"/>
        </w:rPr>
      </w:pPr>
      <w:r w:rsidRPr="00CB6CBA">
        <w:rPr>
          <w:lang w:val="en-US"/>
        </w:rPr>
        <w:t xml:space="preserve">From Table 9 for </w:t>
      </w:r>
      <w:r w:rsidRPr="00CB6CBA">
        <w:rPr>
          <w:i/>
          <w:lang w:val="en-US"/>
        </w:rPr>
        <w:t>P</w:t>
      </w:r>
      <w:r w:rsidRPr="00CB6CBA">
        <w:rPr>
          <w:i/>
          <w:vertAlign w:val="subscript"/>
          <w:lang w:val="en-US"/>
        </w:rPr>
        <w:t>ef</w:t>
      </w:r>
      <w:r w:rsidRPr="00CB6CBA">
        <w:rPr>
          <w:lang w:val="en-US"/>
        </w:rPr>
        <w:t xml:space="preserve">  = 35 </w:t>
      </w:r>
      <w:r w:rsidRPr="00CB6CBA">
        <w:rPr>
          <w:iCs/>
          <w:lang w:val="en-US"/>
        </w:rPr>
        <w:t>dBW</w:t>
      </w:r>
      <w:r w:rsidRPr="00CB6CBA">
        <w:rPr>
          <w:i/>
          <w:lang w:val="en-US"/>
        </w:rPr>
        <w:t xml:space="preserve"> </w:t>
      </w:r>
      <w:r w:rsidRPr="00CB6CBA">
        <w:rPr>
          <w:lang w:val="en-US"/>
        </w:rPr>
        <w:t xml:space="preserve">and </w:t>
      </w:r>
      <w:r w:rsidRPr="00CB6CBA">
        <w:rPr>
          <w:i/>
          <w:lang w:val="en-US"/>
        </w:rPr>
        <w:t>h</w:t>
      </w:r>
      <w:r w:rsidRPr="00CB6CBA">
        <w:rPr>
          <w:i/>
          <w:vertAlign w:val="subscript"/>
          <w:lang w:val="en-US"/>
        </w:rPr>
        <w:t>ef</w:t>
      </w:r>
      <w:r w:rsidRPr="00CB6CBA">
        <w:rPr>
          <w:i/>
          <w:lang w:val="en-US"/>
        </w:rPr>
        <w:t xml:space="preserve">  </w:t>
      </w:r>
      <w:r w:rsidRPr="00CB6CBA">
        <w:rPr>
          <w:lang w:val="en-US"/>
        </w:rPr>
        <w:t>= 250 m, it follows:</w:t>
      </w:r>
    </w:p>
    <w:p w:rsidR="00CA3B52" w:rsidRDefault="00CA3B52" w:rsidP="00CA3B52">
      <w:pPr>
        <w:pStyle w:val="Blanc"/>
      </w:pPr>
    </w:p>
    <w:p w:rsidR="00CA3B52" w:rsidRPr="00CB6CBA" w:rsidRDefault="00CA3B52" w:rsidP="00CA3B52">
      <w:pPr>
        <w:pStyle w:val="Equation"/>
        <w:rPr>
          <w:lang w:val="en-US"/>
        </w:rPr>
      </w:pPr>
      <w:r w:rsidRPr="00CB6CBA">
        <w:rPr>
          <w:lang w:val="en-US"/>
        </w:rPr>
        <w:tab/>
      </w:r>
      <w:r w:rsidRPr="00CB6CBA">
        <w:rPr>
          <w:lang w:val="en-US"/>
        </w:rPr>
        <w:tab/>
      </w:r>
      <w:r w:rsidRPr="00CB6CBA">
        <w:rPr>
          <w:i/>
          <w:lang w:val="en-US"/>
        </w:rPr>
        <w:t>R</w:t>
      </w:r>
      <w:r w:rsidRPr="00CB6CBA">
        <w:rPr>
          <w:lang w:val="en-US"/>
        </w:rPr>
        <w:t xml:space="preserve"> </w:t>
      </w:r>
      <w:r w:rsidRPr="00CB6CBA">
        <w:rPr>
          <w:rFonts w:ascii="Symbol" w:hAnsi="Symbol"/>
          <w:lang w:val="en-US"/>
        </w:rPr>
        <w:t></w:t>
      </w:r>
      <w:r w:rsidRPr="00CB6CBA">
        <w:rPr>
          <w:lang w:val="en-US"/>
        </w:rPr>
        <w:t xml:space="preserve"> 47.8 km;  </w:t>
      </w:r>
      <w:r w:rsidRPr="00CB6CBA">
        <w:rPr>
          <w:i/>
          <w:lang w:val="en-US"/>
        </w:rPr>
        <w:t>R</w:t>
      </w:r>
      <w:r w:rsidRPr="00CB6CBA">
        <w:rPr>
          <w:vertAlign w:val="superscript"/>
          <w:lang w:val="en-US"/>
        </w:rPr>
        <w:t>2</w:t>
      </w:r>
      <w:r w:rsidRPr="00CB6CBA">
        <w:rPr>
          <w:lang w:val="en-US"/>
        </w:rPr>
        <w:t xml:space="preserve"> </w:t>
      </w:r>
      <w:r w:rsidRPr="00CB6CBA">
        <w:rPr>
          <w:rFonts w:ascii="Symbol" w:hAnsi="Symbol"/>
          <w:lang w:val="en-US"/>
        </w:rPr>
        <w:t></w:t>
      </w:r>
      <w:r w:rsidRPr="00CB6CBA">
        <w:rPr>
          <w:lang w:val="en-US"/>
        </w:rPr>
        <w:t xml:space="preserve"> 2 285 km</w:t>
      </w:r>
      <w:r w:rsidRPr="00CB6CBA">
        <w:rPr>
          <w:vertAlign w:val="superscript"/>
          <w:lang w:val="en-US"/>
        </w:rPr>
        <w:t>2</w:t>
      </w:r>
    </w:p>
    <w:p w:rsidR="00CA3B52" w:rsidRDefault="00CA3B52" w:rsidP="00CA3B52">
      <w:pPr>
        <w:pStyle w:val="Blanc"/>
      </w:pPr>
    </w:p>
    <w:p w:rsidR="00CA3B52" w:rsidRDefault="00CA3B52" w:rsidP="00CA3B52">
      <w:pPr>
        <w:rPr>
          <w:lang w:val="en-US"/>
        </w:rPr>
      </w:pPr>
      <w:r w:rsidRPr="00CB6CBA">
        <w:rPr>
          <w:lang w:val="en-US"/>
        </w:rPr>
        <w:t xml:space="preserve">Let us assume that service area under consideration is subdivided by three zones of different categories in proportion presented in </w:t>
      </w:r>
      <w:r>
        <w:rPr>
          <w:lang w:val="en-US"/>
        </w:rPr>
        <w:t>§ </w:t>
      </w:r>
      <w:r w:rsidRPr="00CB6CBA">
        <w:rPr>
          <w:lang w:val="en-US"/>
        </w:rPr>
        <w:t>4.</w:t>
      </w:r>
      <w:r>
        <w:rPr>
          <w:lang w:val="en-US"/>
        </w:rPr>
        <w:t>7</w:t>
      </w:r>
      <w:r w:rsidRPr="00CB6CBA">
        <w:rPr>
          <w:lang w:val="en-US"/>
        </w:rPr>
        <w:t>.1(c) i.e.:</w:t>
      </w:r>
      <w:r w:rsidRPr="00931E13">
        <w:rPr>
          <w:sz w:val="16"/>
          <w:szCs w:val="16"/>
          <w:lang w:val="en-US"/>
        </w:rPr>
        <w:t xml:space="preserve"> </w:t>
      </w:r>
      <w:r w:rsidRPr="00931E13">
        <w:rPr>
          <w:position w:val="-10"/>
          <w:lang w:val="en-US"/>
        </w:rPr>
        <w:object w:dxaOrig="420" w:dyaOrig="340">
          <v:shape id="_x0000_i1055" type="#_x0000_t75" style="width:21.5pt;height:17.3pt" o:ole="">
            <v:imagedata r:id="rId80" o:title=""/>
          </v:shape>
          <o:OLEObject Type="Embed" ProgID="Equation.3" ShapeID="_x0000_i1055" DrawAspect="Content" ObjectID="_1511604844" r:id="rId81"/>
        </w:object>
      </w:r>
      <w:r w:rsidRPr="00931E13">
        <w:rPr>
          <w:sz w:val="10"/>
          <w:szCs w:val="10"/>
          <w:lang w:val="en-US"/>
        </w:rPr>
        <w:t> </w:t>
      </w:r>
      <w:r w:rsidRPr="00CB6CBA">
        <w:rPr>
          <w:lang w:val="en-US"/>
        </w:rPr>
        <w:t xml:space="preserve">= 2.45 </w:t>
      </w:r>
      <w:r w:rsidRPr="00CB6CBA">
        <w:rPr>
          <w:i/>
          <w:lang w:val="en-US"/>
        </w:rPr>
        <w:t>R</w:t>
      </w:r>
      <w:r w:rsidRPr="00CB6CBA">
        <w:rPr>
          <w:vertAlign w:val="superscript"/>
          <w:lang w:val="en-US"/>
        </w:rPr>
        <w:t>2</w:t>
      </w:r>
      <w:r w:rsidRPr="00CB6CBA">
        <w:rPr>
          <w:lang w:val="en-US"/>
        </w:rPr>
        <w:t>,</w:t>
      </w:r>
      <w:r w:rsidRPr="00931E13">
        <w:rPr>
          <w:sz w:val="10"/>
          <w:szCs w:val="10"/>
          <w:lang w:val="en-US"/>
        </w:rPr>
        <w:t xml:space="preserve"> </w:t>
      </w:r>
      <w:r w:rsidRPr="00931E13">
        <w:rPr>
          <w:position w:val="-10"/>
          <w:lang w:val="en-US"/>
        </w:rPr>
        <w:object w:dxaOrig="440" w:dyaOrig="340">
          <v:shape id="_x0000_i1056" type="#_x0000_t75" style="width:21.95pt;height:17.3pt" o:ole="">
            <v:imagedata r:id="rId82" o:title=""/>
          </v:shape>
          <o:OLEObject Type="Embed" ProgID="Equation.3" ShapeID="_x0000_i1056" DrawAspect="Content" ObjectID="_1511604845" r:id="rId83"/>
        </w:object>
      </w:r>
      <w:r w:rsidRPr="00931E13">
        <w:rPr>
          <w:sz w:val="16"/>
          <w:szCs w:val="16"/>
          <w:lang w:val="en-US"/>
        </w:rPr>
        <w:t xml:space="preserve"> </w:t>
      </w:r>
      <w:r w:rsidRPr="00CB6CBA">
        <w:rPr>
          <w:lang w:val="en-US"/>
        </w:rPr>
        <w:t>=</w:t>
      </w:r>
      <w:r w:rsidRPr="00931E13">
        <w:rPr>
          <w:sz w:val="10"/>
          <w:szCs w:val="10"/>
          <w:lang w:val="en-US"/>
        </w:rPr>
        <w:t xml:space="preserve"> </w:t>
      </w:r>
      <w:r w:rsidRPr="00CB6CBA">
        <w:rPr>
          <w:lang w:val="en-US"/>
        </w:rPr>
        <w:t>0.51 </w:t>
      </w:r>
      <w:r w:rsidRPr="00CB6CBA">
        <w:rPr>
          <w:i/>
          <w:lang w:val="en-US"/>
        </w:rPr>
        <w:t>R</w:t>
      </w:r>
      <w:r w:rsidRPr="00CB6CBA">
        <w:rPr>
          <w:iCs/>
          <w:vertAlign w:val="superscript"/>
          <w:lang w:val="en-US"/>
        </w:rPr>
        <w:t>2</w:t>
      </w:r>
      <w:r w:rsidRPr="00CB6CBA">
        <w:rPr>
          <w:lang w:val="en-US"/>
        </w:rPr>
        <w:t xml:space="preserve"> and</w:t>
      </w:r>
      <w:r w:rsidRPr="00931E13">
        <w:rPr>
          <w:sz w:val="10"/>
          <w:szCs w:val="10"/>
          <w:lang w:val="en-US"/>
        </w:rPr>
        <w:t xml:space="preserve"> </w:t>
      </w:r>
      <w:r w:rsidRPr="00CB6CBA">
        <w:rPr>
          <w:position w:val="-12"/>
          <w:lang w:val="en-US"/>
        </w:rPr>
        <w:object w:dxaOrig="440" w:dyaOrig="360">
          <v:shape id="_x0000_i1057" type="#_x0000_t75" style="width:21.95pt;height:19.15pt" o:ole="">
            <v:imagedata r:id="rId84" o:title=""/>
          </v:shape>
          <o:OLEObject Type="Embed" ProgID="Equation.3" ShapeID="_x0000_i1057" DrawAspect="Content" ObjectID="_1511604846" r:id="rId85"/>
        </w:object>
      </w:r>
      <w:r w:rsidRPr="00931E13">
        <w:rPr>
          <w:sz w:val="10"/>
          <w:szCs w:val="10"/>
          <w:lang w:val="en-US"/>
        </w:rPr>
        <w:t xml:space="preserve"> </w:t>
      </w:r>
      <w:r w:rsidRPr="00CB6CBA">
        <w:rPr>
          <w:i/>
          <w:lang w:val="en-US"/>
        </w:rPr>
        <w:t xml:space="preserve">= </w:t>
      </w:r>
      <w:r w:rsidRPr="00CB6CBA">
        <w:rPr>
          <w:lang w:val="en-US"/>
        </w:rPr>
        <w:t>0.18</w:t>
      </w:r>
      <w:r w:rsidRPr="00931E13">
        <w:rPr>
          <w:i/>
          <w:sz w:val="10"/>
          <w:szCs w:val="10"/>
          <w:lang w:val="en-US"/>
        </w:rPr>
        <w:t> </w:t>
      </w:r>
      <w:r w:rsidRPr="00CB6CBA">
        <w:rPr>
          <w:i/>
          <w:lang w:val="en-US"/>
        </w:rPr>
        <w:t>R</w:t>
      </w:r>
      <w:r w:rsidRPr="00CB6CBA">
        <w:rPr>
          <w:vertAlign w:val="superscript"/>
          <w:lang w:val="en-US"/>
        </w:rPr>
        <w:t>2</w:t>
      </w:r>
      <w:r w:rsidRPr="00CB6CBA">
        <w:rPr>
          <w:lang w:val="en-US"/>
        </w:rPr>
        <w:t xml:space="preserve">. Let us assume that relevant coefficients </w:t>
      </w:r>
      <w:r w:rsidRPr="00CB6CBA">
        <w:rPr>
          <w:i/>
          <w:lang w:val="en-US"/>
        </w:rPr>
        <w:t>b</w:t>
      </w:r>
      <w:r w:rsidRPr="00CB6CBA">
        <w:rPr>
          <w:i/>
          <w:vertAlign w:val="subscript"/>
          <w:lang w:val="en-US"/>
        </w:rPr>
        <w:t>j</w:t>
      </w:r>
      <w:r w:rsidRPr="00CB6CBA">
        <w:rPr>
          <w:lang w:val="en-US"/>
        </w:rPr>
        <w:t xml:space="preserve"> from Table 1 are equal: </w:t>
      </w:r>
      <w:r w:rsidRPr="00CB6CBA">
        <w:rPr>
          <w:i/>
          <w:lang w:val="en-US"/>
        </w:rPr>
        <w:t>b</w:t>
      </w:r>
      <w:r w:rsidRPr="00CB6CBA">
        <w:rPr>
          <w:vertAlign w:val="subscript"/>
          <w:lang w:val="en-US"/>
        </w:rPr>
        <w:t>1</w:t>
      </w:r>
      <w:r w:rsidRPr="00CB6CBA">
        <w:rPr>
          <w:lang w:val="en-US"/>
        </w:rPr>
        <w:t xml:space="preserve"> = 1, </w:t>
      </w:r>
      <w:r w:rsidRPr="00CB6CBA">
        <w:rPr>
          <w:i/>
          <w:lang w:val="en-US"/>
        </w:rPr>
        <w:t>b</w:t>
      </w:r>
      <w:r w:rsidRPr="00CB6CBA">
        <w:rPr>
          <w:vertAlign w:val="subscript"/>
          <w:lang w:val="en-US"/>
        </w:rPr>
        <w:t>2</w:t>
      </w:r>
      <w:r w:rsidRPr="00CB6CBA">
        <w:rPr>
          <w:lang w:val="en-US"/>
        </w:rPr>
        <w:t xml:space="preserve"> = 0.8 and </w:t>
      </w:r>
      <w:r w:rsidRPr="00CB6CBA">
        <w:rPr>
          <w:i/>
          <w:lang w:val="en-US"/>
        </w:rPr>
        <w:t>b</w:t>
      </w:r>
      <w:r w:rsidRPr="00CB6CBA">
        <w:rPr>
          <w:vertAlign w:val="subscript"/>
          <w:lang w:val="en-US"/>
        </w:rPr>
        <w:t>3</w:t>
      </w:r>
      <w:r w:rsidRPr="00CB6CBA">
        <w:rPr>
          <w:lang w:val="en-US"/>
        </w:rPr>
        <w:t xml:space="preserve"> = 0.6. Then, in accordance with equation (</w:t>
      </w:r>
      <w:r>
        <w:rPr>
          <w:lang w:val="en-US"/>
        </w:rPr>
        <w:t>23</w:t>
      </w:r>
      <w:r w:rsidRPr="00CB6CBA">
        <w:rPr>
          <w:lang w:val="en-US"/>
        </w:rPr>
        <w:t>) it follows:</w:t>
      </w:r>
    </w:p>
    <w:p w:rsidR="00CA3B52" w:rsidRDefault="00CA3B52" w:rsidP="00CA3B52">
      <w:pPr>
        <w:pStyle w:val="Blanc"/>
      </w:pPr>
    </w:p>
    <w:p w:rsidR="00CA3B52" w:rsidRPr="00CB6CBA" w:rsidRDefault="00CA3B52" w:rsidP="00CA3B52">
      <w:pPr>
        <w:pStyle w:val="Equation"/>
        <w:rPr>
          <w:lang w:val="en-US"/>
        </w:rPr>
      </w:pPr>
      <w:r w:rsidRPr="00CB6CBA">
        <w:rPr>
          <w:lang w:val="en-US"/>
        </w:rPr>
        <w:tab/>
      </w:r>
      <w:r w:rsidRPr="00CB6CBA">
        <w:rPr>
          <w:lang w:val="en-US"/>
        </w:rPr>
        <w:tab/>
      </w:r>
      <w:r w:rsidRPr="00ED7323">
        <w:rPr>
          <w:position w:val="-14"/>
          <w:lang w:val="en-US"/>
        </w:rPr>
        <w:object w:dxaOrig="5080" w:dyaOrig="400">
          <v:shape id="_x0000_i1058" type="#_x0000_t75" style="width:252.45pt;height:20.55pt" o:ole="" fillcolor="window">
            <v:imagedata r:id="rId86" o:title=""/>
          </v:shape>
          <o:OLEObject Type="Embed" ProgID="Equation.3" ShapeID="_x0000_i1058" DrawAspect="Content" ObjectID="_1511604847" r:id="rId87"/>
        </w:object>
      </w:r>
      <w:r w:rsidRPr="00CB6CBA">
        <w:rPr>
          <w:lang w:val="en-US"/>
        </w:rPr>
        <w:t xml:space="preserve"> km</w:t>
      </w:r>
      <w:r w:rsidRPr="00CB6CBA">
        <w:rPr>
          <w:vertAlign w:val="superscript"/>
          <w:lang w:val="en-US"/>
        </w:rPr>
        <w:t>2</w:t>
      </w:r>
    </w:p>
    <w:p w:rsidR="00CA3B52" w:rsidRPr="00CB6CBA" w:rsidRDefault="00CA3B52" w:rsidP="00CA3B52">
      <w:pPr>
        <w:rPr>
          <w:lang w:val="en-US"/>
        </w:rPr>
      </w:pPr>
      <w:r w:rsidRPr="00CB6CBA">
        <w:rPr>
          <w:lang w:val="en-US"/>
        </w:rPr>
        <w:lastRenderedPageBreak/>
        <w:t>It is instead of 7</w:t>
      </w:r>
      <w:r w:rsidRPr="00CB6CBA">
        <w:rPr>
          <w:rFonts w:ascii="Tms Rmn" w:hAnsi="Tms Rmn"/>
          <w:sz w:val="12"/>
          <w:lang w:val="en-US"/>
        </w:rPr>
        <w:t> </w:t>
      </w:r>
      <w:r w:rsidRPr="00CB6CBA">
        <w:rPr>
          <w:lang w:val="en-US"/>
        </w:rPr>
        <w:t>179 km</w:t>
      </w:r>
      <w:r w:rsidRPr="00CB6CBA">
        <w:rPr>
          <w:vertAlign w:val="superscript"/>
          <w:lang w:val="en-US"/>
        </w:rPr>
        <w:t>2</w:t>
      </w:r>
      <w:r w:rsidRPr="00CB6CBA">
        <w:rPr>
          <w:lang w:val="en-US"/>
        </w:rPr>
        <w:t xml:space="preserve"> when the whole service area lies within one zone having </w:t>
      </w:r>
      <w:r w:rsidRPr="00CB6CBA">
        <w:rPr>
          <w:i/>
          <w:iCs/>
          <w:lang w:val="en-US"/>
        </w:rPr>
        <w:t>b</w:t>
      </w:r>
      <w:r w:rsidRPr="00CB6CBA">
        <w:rPr>
          <w:lang w:val="en-US"/>
        </w:rPr>
        <w:t xml:space="preserve"> </w:t>
      </w:r>
      <w:r>
        <w:rPr>
          <w:rFonts w:asciiTheme="majorBidi" w:hAnsiTheme="majorBidi" w:cstheme="majorBidi"/>
          <w:lang w:val="en-US"/>
        </w:rPr>
        <w:t>=</w:t>
      </w:r>
      <w:r w:rsidRPr="00CB6CBA">
        <w:rPr>
          <w:lang w:val="en-US"/>
        </w:rPr>
        <w:t xml:space="preserve"> 1.</w:t>
      </w:r>
    </w:p>
    <w:p w:rsidR="00CA3B52" w:rsidRPr="00CB6CBA" w:rsidRDefault="00CA3B52" w:rsidP="00CA3B52">
      <w:pPr>
        <w:pStyle w:val="Headingb"/>
        <w:rPr>
          <w:lang w:val="en-US"/>
        </w:rPr>
      </w:pPr>
      <w:r w:rsidRPr="00CB6CBA">
        <w:rPr>
          <w:lang w:val="en-US"/>
        </w:rPr>
        <w:t>d)</w:t>
      </w:r>
      <w:r w:rsidRPr="00CB6CBA">
        <w:rPr>
          <w:lang w:val="en-US"/>
        </w:rPr>
        <w:tab/>
        <w:t>Spectral resource used</w:t>
      </w:r>
    </w:p>
    <w:p w:rsidR="00CA3B52" w:rsidRDefault="00CA3B52" w:rsidP="00CA3B52">
      <w:pPr>
        <w:rPr>
          <w:lang w:val="en-US"/>
        </w:rPr>
      </w:pPr>
      <w:r w:rsidRPr="00CB6CBA">
        <w:rPr>
          <w:lang w:val="en-US"/>
        </w:rPr>
        <w:t>Substituting values calculated in (b) and (c) to equation (</w:t>
      </w:r>
      <w:r>
        <w:rPr>
          <w:lang w:val="en-US"/>
        </w:rPr>
        <w:t>20</w:t>
      </w:r>
      <w:r w:rsidRPr="00CB6CBA">
        <w:rPr>
          <w:lang w:val="en-US"/>
        </w:rPr>
        <w:t>), using values of weighting coefficients presented in Table 2 and taking into account non-sharing conditions (</w:t>
      </w:r>
      <w:r w:rsidRPr="0064519E">
        <w:sym w:font="Symbol" w:char="F062"/>
      </w:r>
      <w:r w:rsidRPr="0097049F">
        <w:rPr>
          <w:lang w:val="en-US"/>
        </w:rPr>
        <w:t xml:space="preserve"> </w:t>
      </w:r>
      <w:r w:rsidRPr="00CB6CBA">
        <w:rPr>
          <w:lang w:val="en-US"/>
        </w:rPr>
        <w:t>= 1), we get finally:</w:t>
      </w:r>
    </w:p>
    <w:p w:rsidR="00CA3B52" w:rsidRDefault="00CA3B52" w:rsidP="00CA3B52">
      <w:pPr>
        <w:pStyle w:val="Blanc"/>
      </w:pPr>
    </w:p>
    <w:p w:rsidR="00CA3B52" w:rsidRPr="00CB6CBA" w:rsidRDefault="00CA3B52" w:rsidP="00F65451">
      <w:pPr>
        <w:pStyle w:val="Equation"/>
        <w:rPr>
          <w:lang w:val="en-US"/>
        </w:rPr>
      </w:pPr>
      <w:r w:rsidRPr="00CB6CBA">
        <w:rPr>
          <w:i/>
          <w:lang w:val="en-US"/>
        </w:rPr>
        <w:tab/>
      </w:r>
      <w:r w:rsidRPr="00CB6CBA">
        <w:rPr>
          <w:i/>
          <w:lang w:val="en-US"/>
        </w:rPr>
        <w:tab/>
        <w:t>W</w:t>
      </w:r>
      <w:r w:rsidRPr="00CB6CBA">
        <w:rPr>
          <w:lang w:val="en-US"/>
        </w:rPr>
        <w:t> </w:t>
      </w:r>
      <w:r>
        <w:rPr>
          <w:lang w:val="en-US"/>
        </w:rPr>
        <w:t>=</w:t>
      </w:r>
      <w:r w:rsidRPr="00CB6CBA">
        <w:rPr>
          <w:lang w:val="en-US"/>
        </w:rPr>
        <w:t> 2.4 </w:t>
      </w:r>
      <w:r>
        <w:rPr>
          <w:rFonts w:asciiTheme="majorBidi" w:hAnsiTheme="majorBidi" w:cstheme="majorBidi"/>
          <w:lang w:val="en-US"/>
        </w:rPr>
        <w:t>×</w:t>
      </w:r>
      <w:r w:rsidRPr="00CB6CBA">
        <w:rPr>
          <w:lang w:val="en-US"/>
        </w:rPr>
        <w:t> 1 </w:t>
      </w:r>
      <w:r>
        <w:rPr>
          <w:rFonts w:asciiTheme="majorBidi" w:hAnsiTheme="majorBidi" w:cstheme="majorBidi"/>
          <w:lang w:val="en-US"/>
        </w:rPr>
        <w:t>×</w:t>
      </w:r>
      <w:r w:rsidRPr="00CB6CBA">
        <w:rPr>
          <w:lang w:val="en-US"/>
        </w:rPr>
        <w:t> 1 </w:t>
      </w:r>
      <w:r>
        <w:rPr>
          <w:rFonts w:asciiTheme="majorBidi" w:hAnsiTheme="majorBidi" w:cstheme="majorBidi"/>
          <w:lang w:val="en-US"/>
        </w:rPr>
        <w:t>×</w:t>
      </w:r>
      <w:r w:rsidRPr="00CB6CBA">
        <w:rPr>
          <w:lang w:val="en-US"/>
        </w:rPr>
        <w:t> 1 </w:t>
      </w:r>
      <w:r>
        <w:rPr>
          <w:rFonts w:asciiTheme="majorBidi" w:hAnsiTheme="majorBidi" w:cstheme="majorBidi"/>
          <w:lang w:val="en-US"/>
        </w:rPr>
        <w:t>×</w:t>
      </w:r>
      <w:r w:rsidRPr="00CB6CBA">
        <w:rPr>
          <w:lang w:val="en-US"/>
        </w:rPr>
        <w:t> 1 </w:t>
      </w:r>
      <w:r>
        <w:rPr>
          <w:rFonts w:asciiTheme="majorBidi" w:hAnsiTheme="majorBidi" w:cstheme="majorBidi"/>
          <w:lang w:val="en-US"/>
        </w:rPr>
        <w:t>×</w:t>
      </w:r>
      <w:r w:rsidRPr="00CB6CBA">
        <w:rPr>
          <w:lang w:val="en-US"/>
        </w:rPr>
        <w:t> 0.18 </w:t>
      </w:r>
      <w:r>
        <w:rPr>
          <w:rFonts w:asciiTheme="majorBidi" w:hAnsiTheme="majorBidi" w:cstheme="majorBidi"/>
          <w:lang w:val="en-US"/>
        </w:rPr>
        <w:t>×</w:t>
      </w:r>
      <w:r w:rsidRPr="00CB6CBA">
        <w:rPr>
          <w:lang w:val="en-US"/>
        </w:rPr>
        <w:t> 6</w:t>
      </w:r>
      <w:r>
        <w:rPr>
          <w:lang w:val="en-US"/>
        </w:rPr>
        <w:t> </w:t>
      </w:r>
      <w:r w:rsidRPr="00CB6CBA">
        <w:rPr>
          <w:lang w:val="en-US"/>
        </w:rPr>
        <w:t>777 </w:t>
      </w:r>
      <w:r>
        <w:rPr>
          <w:rFonts w:asciiTheme="majorBidi" w:hAnsiTheme="majorBidi" w:cstheme="majorBidi"/>
          <w:lang w:val="en-US"/>
        </w:rPr>
        <w:t>×</w:t>
      </w:r>
      <w:r w:rsidRPr="00CB6CBA">
        <w:rPr>
          <w:lang w:val="en-US"/>
        </w:rPr>
        <w:t> 0.83 </w:t>
      </w:r>
      <w:r>
        <w:rPr>
          <w:lang w:val="en-US"/>
        </w:rPr>
        <w:t>=</w:t>
      </w:r>
      <w:r w:rsidRPr="00CB6CBA">
        <w:rPr>
          <w:lang w:val="en-US"/>
        </w:rPr>
        <w:t> 2</w:t>
      </w:r>
      <w:r w:rsidRPr="00CB6CBA">
        <w:rPr>
          <w:rFonts w:ascii="Tms Rmn" w:hAnsi="Tms Rmn"/>
          <w:sz w:val="12"/>
          <w:lang w:val="en-US"/>
        </w:rPr>
        <w:t> </w:t>
      </w:r>
      <w:r>
        <w:rPr>
          <w:lang w:val="en-US"/>
        </w:rPr>
        <w:t>430          </w:t>
      </w:r>
      <w:r w:rsidRPr="00CB6CBA">
        <w:rPr>
          <w:lang w:val="en-US"/>
        </w:rPr>
        <w:t xml:space="preserve">MHz </w:t>
      </w:r>
      <w:r w:rsidRPr="00CB6CBA">
        <w:rPr>
          <w:szCs w:val="24"/>
          <w:lang w:val="en-US"/>
        </w:rPr>
        <w:sym w:font="Symbol" w:char="F0D7"/>
      </w:r>
      <w:r w:rsidRPr="00CB6CBA">
        <w:rPr>
          <w:lang w:val="en-US"/>
        </w:rPr>
        <w:t xml:space="preserve"> km</w:t>
      </w:r>
      <w:r w:rsidRPr="00CB6CBA">
        <w:rPr>
          <w:vertAlign w:val="superscript"/>
          <w:lang w:val="en-US"/>
        </w:rPr>
        <w:t>2</w:t>
      </w:r>
      <w:r w:rsidRPr="00CB6CBA">
        <w:rPr>
          <w:sz w:val="20"/>
          <w:lang w:val="en-US"/>
        </w:rPr>
        <w:t xml:space="preserve"> </w:t>
      </w:r>
      <w:r w:rsidRPr="00CB6CBA">
        <w:rPr>
          <w:szCs w:val="24"/>
          <w:lang w:val="en-US"/>
        </w:rPr>
        <w:sym w:font="Symbol" w:char="F0D7"/>
      </w:r>
      <w:r w:rsidRPr="00CB6CBA">
        <w:rPr>
          <w:lang w:val="en-US"/>
        </w:rPr>
        <w:t xml:space="preserve"> 1 year</w:t>
      </w:r>
    </w:p>
    <w:p w:rsidR="00CA3B52" w:rsidRDefault="00CA3B52" w:rsidP="00CA3B52">
      <w:pPr>
        <w:pStyle w:val="Blanc"/>
      </w:pPr>
    </w:p>
    <w:p w:rsidR="00CA3B52" w:rsidRDefault="00CA3B52" w:rsidP="00CA3B52">
      <w:pPr>
        <w:pStyle w:val="Heading3"/>
        <w:rPr>
          <w:lang w:val="en-US"/>
        </w:rPr>
      </w:pPr>
      <w:bookmarkStart w:id="1415" w:name="_Toc289868845"/>
      <w:bookmarkStart w:id="1416" w:name="_Toc289869005"/>
      <w:bookmarkStart w:id="1417" w:name="_Toc289932313"/>
      <w:bookmarkStart w:id="1418" w:name="_Toc289933359"/>
      <w:bookmarkStart w:id="1419" w:name="_Toc291852922"/>
      <w:bookmarkStart w:id="1420" w:name="_Toc392515908"/>
      <w:r w:rsidRPr="00CB6CBA">
        <w:rPr>
          <w:lang w:val="en-US"/>
        </w:rPr>
        <w:t>4.</w:t>
      </w:r>
      <w:r>
        <w:rPr>
          <w:lang w:val="en-US"/>
        </w:rPr>
        <w:t>7</w:t>
      </w:r>
      <w:r w:rsidRPr="00CB6CBA">
        <w:rPr>
          <w:lang w:val="en-US"/>
        </w:rPr>
        <w:t>.3</w:t>
      </w:r>
      <w:r w:rsidRPr="00CB6CBA">
        <w:rPr>
          <w:lang w:val="en-US"/>
        </w:rPr>
        <w:tab/>
        <w:t>LF-HF sound broadcasting</w:t>
      </w:r>
      <w:bookmarkEnd w:id="1415"/>
      <w:bookmarkEnd w:id="1416"/>
      <w:bookmarkEnd w:id="1417"/>
      <w:bookmarkEnd w:id="1418"/>
      <w:bookmarkEnd w:id="1419"/>
      <w:bookmarkEnd w:id="1420"/>
    </w:p>
    <w:p w:rsidR="00CA3B52" w:rsidRPr="00CB6CBA" w:rsidRDefault="00CA3B52" w:rsidP="00CA3B52">
      <w:pPr>
        <w:rPr>
          <w:lang w:val="en-US"/>
        </w:rPr>
      </w:pPr>
      <w:r w:rsidRPr="00CB6CBA">
        <w:rPr>
          <w:lang w:val="en-US"/>
        </w:rPr>
        <w:t xml:space="preserve">For LF-HF sound broadcasting stations time and frequency resources used are determined similarly to </w:t>
      </w:r>
      <w:r>
        <w:rPr>
          <w:lang w:val="en-US"/>
        </w:rPr>
        <w:t>§ </w:t>
      </w:r>
      <w:r w:rsidRPr="00CB6CBA">
        <w:rPr>
          <w:lang w:val="en-US"/>
        </w:rPr>
        <w:t>4.</w:t>
      </w:r>
      <w:r>
        <w:rPr>
          <w:lang w:val="en-US"/>
        </w:rPr>
        <w:t>7</w:t>
      </w:r>
      <w:r w:rsidRPr="00CB6CBA">
        <w:rPr>
          <w:lang w:val="en-US"/>
        </w:rPr>
        <w:t>.1(b). Necessary bandwidths are calculated in accordance with Recommendation ITU</w:t>
      </w:r>
      <w:r>
        <w:rPr>
          <w:lang w:val="en-US"/>
        </w:rPr>
        <w:noBreakHyphen/>
      </w:r>
      <w:r w:rsidRPr="00CB6CBA">
        <w:rPr>
          <w:lang w:val="en-US"/>
        </w:rPr>
        <w:t>R</w:t>
      </w:r>
      <w:r>
        <w:rPr>
          <w:lang w:val="en-US"/>
        </w:rPr>
        <w:t> </w:t>
      </w:r>
      <w:r w:rsidRPr="00CB6CBA">
        <w:rPr>
          <w:lang w:val="en-US"/>
        </w:rPr>
        <w:t>SM.1138-2 “Sound broadcasting”, row “Sound broadcasting, double-sideband” (class of emission A3E). It should be noted that for this kind of broadcasting the administrations usually use transmitters with different classes of quality, depending on highest modulating frequency which determines a necessary bandwidth value. Relevant data should be taken from a National Frequency Assignment Database.</w:t>
      </w:r>
    </w:p>
    <w:p w:rsidR="00CA3B52" w:rsidRPr="00CB6CBA" w:rsidRDefault="00CA3B52" w:rsidP="00CA3B52">
      <w:pPr>
        <w:rPr>
          <w:lang w:val="en-US"/>
        </w:rPr>
      </w:pPr>
      <w:r w:rsidRPr="00CB6CBA">
        <w:rPr>
          <w:lang w:val="en-US"/>
        </w:rPr>
        <w:t>As far as it concerns a territorial resource used, its calculation for this case meets some difficulties due to complexity of calculations, especially for HF broadcasting, which hardly to be significantly simplified without losing a minimal necessary accuracy. For MF transmitters service area greatly differ for day-time and night-time operations. Taking account rather low number of LF-HF broadcasting stations in many countries, it is proposed that instead of complicated calculations the relevant data on service area from a National Frequency Assignment Database are used. If those are not available, they can be asked from operators. Operators usually have information on their service areas through calculations and/or monitoring.</w:t>
      </w:r>
    </w:p>
    <w:p w:rsidR="00CA3B52" w:rsidRPr="00CB6CBA" w:rsidRDefault="00CA3B52" w:rsidP="00CA3B52">
      <w:pPr>
        <w:rPr>
          <w:lang w:val="en-US"/>
        </w:rPr>
      </w:pPr>
      <w:r w:rsidRPr="00CB6CBA">
        <w:rPr>
          <w:lang w:val="en-US"/>
        </w:rPr>
        <w:t>On obtaining these data, related spectral resource used can be calculated similarly to the procedure presented in (c). As far as for MF transmitters principally there are two considerable different values of service area for day-time and night-time operations, overall spectral resource used can be determined as a sum of two partial spectral resources which correspond to those different values of the service area.</w:t>
      </w:r>
    </w:p>
    <w:p w:rsidR="00CA3B52" w:rsidRPr="00CB6CBA" w:rsidRDefault="00CA3B52" w:rsidP="00CA3B52">
      <w:pPr>
        <w:rPr>
          <w:lang w:val="en-US"/>
        </w:rPr>
      </w:pPr>
      <w:r w:rsidRPr="00CB6CBA">
        <w:rPr>
          <w:lang w:val="en-US"/>
        </w:rPr>
        <w:t>It should also be noted that service areas of LF, MF (night-time) and HF broadcasting transmitters can be very large and may be extended beyond borders of countries which sizes are relatively small. In this case (determined in co-operation with relevant operators) the service area may be considered as a whole territory of the country, or its larger part. Areas of zones belonging to different categories are determined by relevant administrative documentation or estimated by maps.</w:t>
      </w:r>
    </w:p>
    <w:p w:rsidR="00CA3B52" w:rsidRPr="00CB6CBA" w:rsidRDefault="00CA3B52" w:rsidP="00CA3B52">
      <w:pPr>
        <w:rPr>
          <w:lang w:val="en-US"/>
        </w:rPr>
      </w:pPr>
      <w:r w:rsidRPr="00CB6CBA">
        <w:rPr>
          <w:lang w:val="en-US"/>
        </w:rPr>
        <w:t>In case of directional transmitting antennas application, a “service sector” concept, given by Recommendation ITU-R F.162-3, can be used.</w:t>
      </w:r>
    </w:p>
    <w:p w:rsidR="00CA3B52" w:rsidRDefault="00CA3B52" w:rsidP="00CA3B52">
      <w:pPr>
        <w:pStyle w:val="Heading3"/>
        <w:rPr>
          <w:lang w:val="en-US"/>
        </w:rPr>
      </w:pPr>
      <w:bookmarkStart w:id="1421" w:name="_Toc289868846"/>
      <w:bookmarkStart w:id="1422" w:name="_Toc289869006"/>
      <w:bookmarkStart w:id="1423" w:name="_Toc289932314"/>
      <w:bookmarkStart w:id="1424" w:name="_Toc289933360"/>
      <w:bookmarkStart w:id="1425" w:name="_Toc291852923"/>
      <w:bookmarkStart w:id="1426" w:name="_Toc392515909"/>
      <w:r w:rsidRPr="00CB6CBA">
        <w:rPr>
          <w:lang w:val="en-US"/>
        </w:rPr>
        <w:t>4.</w:t>
      </w:r>
      <w:r>
        <w:rPr>
          <w:lang w:val="en-US"/>
        </w:rPr>
        <w:t>7</w:t>
      </w:r>
      <w:r w:rsidRPr="00CB6CBA">
        <w:rPr>
          <w:lang w:val="en-US"/>
        </w:rPr>
        <w:t>.4</w:t>
      </w:r>
      <w:r w:rsidRPr="00CB6CBA">
        <w:rPr>
          <w:lang w:val="en-US"/>
        </w:rPr>
        <w:tab/>
        <w:t>Mobile radio services</w:t>
      </w:r>
      <w:bookmarkEnd w:id="1421"/>
      <w:bookmarkEnd w:id="1422"/>
      <w:bookmarkEnd w:id="1423"/>
      <w:bookmarkEnd w:id="1424"/>
      <w:bookmarkEnd w:id="1425"/>
      <w:bookmarkEnd w:id="1426"/>
    </w:p>
    <w:p w:rsidR="00CA3B52" w:rsidRDefault="00CA3B52" w:rsidP="00CA3B52">
      <w:pPr>
        <w:pStyle w:val="Heading4"/>
        <w:rPr>
          <w:lang w:val="en-US"/>
        </w:rPr>
      </w:pPr>
      <w:r w:rsidRPr="00CB6CBA">
        <w:rPr>
          <w:lang w:val="en-US"/>
        </w:rPr>
        <w:t>4.</w:t>
      </w:r>
      <w:r>
        <w:rPr>
          <w:lang w:val="en-US"/>
        </w:rPr>
        <w:t>7</w:t>
      </w:r>
      <w:r w:rsidRPr="00CB6CBA">
        <w:rPr>
          <w:lang w:val="en-US"/>
        </w:rPr>
        <w:t>.4.1</w:t>
      </w:r>
      <w:r w:rsidRPr="00CB6CBA">
        <w:rPr>
          <w:lang w:val="en-US"/>
        </w:rPr>
        <w:tab/>
        <w:t>Land mobile radio service</w:t>
      </w:r>
    </w:p>
    <w:p w:rsidR="00CA3B52" w:rsidRPr="00CB6CBA" w:rsidRDefault="00CA3B52" w:rsidP="00CA3B52">
      <w:pPr>
        <w:pStyle w:val="Headingb"/>
        <w:rPr>
          <w:lang w:val="en-US"/>
        </w:rPr>
      </w:pPr>
      <w:r w:rsidRPr="00CB6CBA">
        <w:rPr>
          <w:lang w:val="en-US"/>
        </w:rPr>
        <w:t>a)</w:t>
      </w:r>
      <w:r w:rsidRPr="00CB6CBA">
        <w:rPr>
          <w:lang w:val="en-US"/>
        </w:rPr>
        <w:tab/>
        <w:t>Background of calculation procedures</w:t>
      </w:r>
    </w:p>
    <w:p w:rsidR="00CA3B52" w:rsidRPr="00CB6CBA" w:rsidRDefault="00CA3B52" w:rsidP="00CA3B52">
      <w:pPr>
        <w:rPr>
          <w:snapToGrid w:val="0"/>
          <w:lang w:val="en-US"/>
        </w:rPr>
      </w:pPr>
      <w:r w:rsidRPr="00CB6CBA">
        <w:rPr>
          <w:snapToGrid w:val="0"/>
          <w:lang w:val="en-US"/>
        </w:rPr>
        <w:t>The procedure generally follows radio wave propagation model known as modified Okamura-Hata one, some information on which is given in Annex 8 to Recommendation ITU-R P.1546-4. The model assumes existence of homogeneous urban development in limits of the service area, lack of direct visibility between the transmitter of the BS and mobile personal receiver, heights of transmitting and receiving antennas are in limits 20-200 m (but in the majority of cases they are 40</w:t>
      </w:r>
      <w:r>
        <w:rPr>
          <w:snapToGrid w:val="0"/>
          <w:lang w:val="en-US"/>
        </w:rPr>
        <w:noBreakHyphen/>
      </w:r>
      <w:r w:rsidRPr="00CB6CBA">
        <w:rPr>
          <w:snapToGrid w:val="0"/>
          <w:lang w:val="en-US"/>
        </w:rPr>
        <w:t>100 m) and 1.5-10 m correspondingly.</w:t>
      </w:r>
    </w:p>
    <w:p w:rsidR="00CA3B52" w:rsidRPr="00CB6CBA" w:rsidRDefault="00CA3B52" w:rsidP="00CA3B52">
      <w:pPr>
        <w:rPr>
          <w:snapToGrid w:val="0"/>
          <w:lang w:val="en-US"/>
        </w:rPr>
      </w:pPr>
      <w:r w:rsidRPr="00CB6CBA">
        <w:rPr>
          <w:snapToGrid w:val="0"/>
          <w:lang w:val="en-US"/>
        </w:rPr>
        <w:lastRenderedPageBreak/>
        <w:t xml:space="preserve">Considering, for purposes of the given model, that antenna feeder losses at transmitting and receiving sides are both equal zero, the power of a signal </w:t>
      </w:r>
      <w:r w:rsidRPr="00CB6CBA">
        <w:rPr>
          <w:i/>
          <w:snapToGrid w:val="0"/>
          <w:lang w:val="en-US"/>
        </w:rPr>
        <w:t>P</w:t>
      </w:r>
      <w:r w:rsidRPr="00CB6CBA">
        <w:rPr>
          <w:i/>
          <w:snapToGrid w:val="0"/>
          <w:vertAlign w:val="subscript"/>
          <w:lang w:val="en-US"/>
        </w:rPr>
        <w:t>r</w:t>
      </w:r>
      <w:r w:rsidRPr="00CB6CBA">
        <w:rPr>
          <w:snapToGrid w:val="0"/>
          <w:lang w:val="en-US"/>
        </w:rPr>
        <w:t xml:space="preserve"> (dB</w:t>
      </w:r>
      <w:r w:rsidRPr="00CB6CBA">
        <w:rPr>
          <w:iCs/>
          <w:snapToGrid w:val="0"/>
          <w:lang w:val="en-US"/>
        </w:rPr>
        <w:t>W</w:t>
      </w:r>
      <w:r w:rsidRPr="00CB6CBA">
        <w:rPr>
          <w:snapToGrid w:val="0"/>
          <w:lang w:val="en-US"/>
        </w:rPr>
        <w:t>) at an input of the receiver can be presented as:</w:t>
      </w:r>
    </w:p>
    <w:p w:rsidR="00CA3B52" w:rsidRDefault="00CA3B52" w:rsidP="00CA3B52">
      <w:pPr>
        <w:pStyle w:val="Blanc"/>
      </w:pPr>
    </w:p>
    <w:p w:rsidR="00CA3B52" w:rsidRDefault="00CA3B52" w:rsidP="00CA3B52">
      <w:pPr>
        <w:pStyle w:val="Equation"/>
        <w:rPr>
          <w:snapToGrid w:val="0"/>
          <w:lang w:val="pt-BR"/>
        </w:rPr>
      </w:pPr>
      <w:r w:rsidRPr="00CB6CBA">
        <w:rPr>
          <w:snapToGrid w:val="0"/>
          <w:lang w:val="en-US"/>
        </w:rPr>
        <w:tab/>
      </w:r>
      <w:r w:rsidRPr="00CB6CBA">
        <w:rPr>
          <w:snapToGrid w:val="0"/>
          <w:lang w:val="en-US"/>
        </w:rPr>
        <w:tab/>
      </w:r>
      <w:r w:rsidRPr="007E1DE1">
        <w:rPr>
          <w:i/>
          <w:iCs/>
          <w:snapToGrid w:val="0"/>
          <w:lang w:val="pt-BR"/>
        </w:rPr>
        <w:t>P</w:t>
      </w:r>
      <w:r w:rsidRPr="007E1DE1">
        <w:rPr>
          <w:i/>
          <w:iCs/>
          <w:vertAlign w:val="subscript"/>
          <w:lang w:val="pt-BR"/>
        </w:rPr>
        <w:t>r</w:t>
      </w:r>
      <w:r w:rsidRPr="007E1DE1">
        <w:rPr>
          <w:snapToGrid w:val="0"/>
          <w:lang w:val="pt-BR"/>
        </w:rPr>
        <w:t xml:space="preserve"> </w:t>
      </w:r>
      <w:r>
        <w:rPr>
          <w:snapToGrid w:val="0"/>
          <w:lang w:val="pt-BR"/>
        </w:rPr>
        <w:t>=</w:t>
      </w:r>
      <w:r w:rsidRPr="007E1DE1">
        <w:rPr>
          <w:snapToGrid w:val="0"/>
          <w:lang w:val="pt-BR"/>
        </w:rPr>
        <w:t xml:space="preserve"> </w:t>
      </w:r>
      <w:r w:rsidRPr="007E1DE1">
        <w:rPr>
          <w:i/>
          <w:iCs/>
          <w:snapToGrid w:val="0"/>
          <w:lang w:val="pt-BR"/>
        </w:rPr>
        <w:t>P</w:t>
      </w:r>
      <w:r w:rsidRPr="007E1DE1">
        <w:rPr>
          <w:i/>
          <w:iCs/>
          <w:vertAlign w:val="subscript"/>
          <w:lang w:val="pt-BR"/>
        </w:rPr>
        <w:t>t</w:t>
      </w:r>
      <w:r w:rsidRPr="007E1DE1">
        <w:rPr>
          <w:snapToGrid w:val="0"/>
          <w:lang w:val="pt-BR"/>
        </w:rPr>
        <w:t xml:space="preserve"> </w:t>
      </w:r>
      <w:r>
        <w:rPr>
          <w:snapToGrid w:val="0"/>
          <w:lang w:val="pt-BR"/>
        </w:rPr>
        <w:t>+</w:t>
      </w:r>
      <w:r w:rsidRPr="007E1DE1">
        <w:rPr>
          <w:snapToGrid w:val="0"/>
          <w:lang w:val="pt-BR"/>
        </w:rPr>
        <w:t xml:space="preserve"> </w:t>
      </w:r>
      <w:r w:rsidRPr="007E1DE1">
        <w:rPr>
          <w:i/>
          <w:iCs/>
          <w:snapToGrid w:val="0"/>
          <w:lang w:val="pt-BR"/>
        </w:rPr>
        <w:t>G</w:t>
      </w:r>
      <w:r w:rsidRPr="007E1DE1">
        <w:rPr>
          <w:i/>
          <w:iCs/>
          <w:vertAlign w:val="subscript"/>
          <w:lang w:val="pt-BR"/>
        </w:rPr>
        <w:t>t</w:t>
      </w:r>
      <w:r w:rsidRPr="007E1DE1">
        <w:rPr>
          <w:snapToGrid w:val="0"/>
          <w:lang w:val="pt-BR"/>
        </w:rPr>
        <w:t xml:space="preserve"> </w:t>
      </w:r>
      <w:r>
        <w:rPr>
          <w:snapToGrid w:val="0"/>
          <w:lang w:val="pt-BR"/>
        </w:rPr>
        <w:t>+</w:t>
      </w:r>
      <w:r w:rsidRPr="007E1DE1">
        <w:rPr>
          <w:snapToGrid w:val="0"/>
          <w:lang w:val="pt-BR"/>
        </w:rPr>
        <w:t xml:space="preserve"> </w:t>
      </w:r>
      <w:r w:rsidRPr="007E1DE1">
        <w:rPr>
          <w:i/>
          <w:iCs/>
          <w:snapToGrid w:val="0"/>
          <w:lang w:val="pt-BR"/>
        </w:rPr>
        <w:t>G</w:t>
      </w:r>
      <w:r w:rsidRPr="007E1DE1">
        <w:rPr>
          <w:i/>
          <w:iCs/>
          <w:vertAlign w:val="subscript"/>
          <w:lang w:val="pt-BR"/>
        </w:rPr>
        <w:t>r</w:t>
      </w:r>
      <w:r w:rsidRPr="007E1DE1">
        <w:rPr>
          <w:lang w:val="pt-BR"/>
        </w:rPr>
        <w:t xml:space="preserve"> </w:t>
      </w:r>
      <w:r>
        <w:rPr>
          <w:lang w:val="pt-BR"/>
        </w:rPr>
        <w:t>–</w:t>
      </w:r>
      <w:r w:rsidRPr="007E1DE1">
        <w:rPr>
          <w:snapToGrid w:val="0"/>
          <w:lang w:val="pt-BR"/>
        </w:rPr>
        <w:t xml:space="preserve"> </w:t>
      </w:r>
      <w:r w:rsidRPr="007E1DE1">
        <w:rPr>
          <w:i/>
          <w:snapToGrid w:val="0"/>
          <w:lang w:val="pt-BR"/>
        </w:rPr>
        <w:t>L</w:t>
      </w:r>
      <w:r w:rsidRPr="007E1DE1">
        <w:rPr>
          <w:snapToGrid w:val="0"/>
          <w:lang w:val="pt-BR"/>
        </w:rPr>
        <w:t>(</w:t>
      </w:r>
      <w:r w:rsidRPr="007E1DE1">
        <w:rPr>
          <w:i/>
          <w:snapToGrid w:val="0"/>
          <w:lang w:val="pt-BR"/>
        </w:rPr>
        <w:t>R</w:t>
      </w:r>
      <w:r w:rsidRPr="007E1DE1">
        <w:rPr>
          <w:snapToGrid w:val="0"/>
          <w:lang w:val="pt-BR"/>
        </w:rPr>
        <w:t xml:space="preserve">)                dBW </w:t>
      </w:r>
      <w:r w:rsidRPr="007E1DE1">
        <w:rPr>
          <w:snapToGrid w:val="0"/>
          <w:lang w:val="pt-BR"/>
        </w:rPr>
        <w:tab/>
        <w:t>(</w:t>
      </w:r>
      <w:r w:rsidRPr="0024702C">
        <w:rPr>
          <w:snapToGrid w:val="0"/>
          <w:lang w:val="pt-BR"/>
        </w:rPr>
        <w:t>37</w:t>
      </w:r>
      <w:r w:rsidRPr="007E1DE1">
        <w:rPr>
          <w:snapToGrid w:val="0"/>
          <w:lang w:val="pt-BR"/>
        </w:rPr>
        <w:t>)</w:t>
      </w:r>
    </w:p>
    <w:p w:rsidR="00CA3B52" w:rsidRPr="00CB6CBA" w:rsidRDefault="00CA3B52" w:rsidP="00CA3B52">
      <w:pPr>
        <w:rPr>
          <w:snapToGrid w:val="0"/>
          <w:lang w:val="en-US"/>
        </w:rPr>
      </w:pPr>
      <w:r w:rsidRPr="00CB6CBA">
        <w:rPr>
          <w:snapToGrid w:val="0"/>
          <w:lang w:val="en-US"/>
        </w:rPr>
        <w:t>where:</w:t>
      </w:r>
    </w:p>
    <w:p w:rsidR="00CA3B52" w:rsidRPr="00CB6CBA" w:rsidRDefault="00CA3B52" w:rsidP="00CA3B52">
      <w:pPr>
        <w:pStyle w:val="Equationlegend"/>
        <w:rPr>
          <w:snapToGrid w:val="0"/>
        </w:rPr>
      </w:pPr>
      <w:r w:rsidRPr="00CB6CBA">
        <w:rPr>
          <w:i/>
          <w:snapToGrid w:val="0"/>
        </w:rPr>
        <w:tab/>
        <w:t>P</w:t>
      </w:r>
      <w:r w:rsidRPr="00CB6CBA">
        <w:rPr>
          <w:i/>
          <w:snapToGrid w:val="0"/>
          <w:vertAlign w:val="subscript"/>
        </w:rPr>
        <w:t>t</w:t>
      </w:r>
      <w:r w:rsidRPr="00CB6CBA">
        <w:t xml:space="preserve"> </w:t>
      </w:r>
      <w:r w:rsidRPr="00CB6CBA">
        <w:rPr>
          <w:snapToGrid w:val="0"/>
        </w:rPr>
        <w:t>:</w:t>
      </w:r>
      <w:r w:rsidRPr="00CB6CBA">
        <w:rPr>
          <w:snapToGrid w:val="0"/>
        </w:rPr>
        <w:tab/>
        <w:t>transmitter power (dBW)</w:t>
      </w:r>
    </w:p>
    <w:p w:rsidR="00CA3B52" w:rsidRPr="007E1DE1" w:rsidRDefault="00CA3B52" w:rsidP="00CA3B52">
      <w:pPr>
        <w:pStyle w:val="Equationlegend"/>
        <w:rPr>
          <w:snapToGrid w:val="0"/>
          <w:lang w:val="sv-SE"/>
        </w:rPr>
      </w:pPr>
      <w:r w:rsidRPr="00CB6CBA">
        <w:rPr>
          <w:i/>
          <w:snapToGrid w:val="0"/>
        </w:rPr>
        <w:tab/>
      </w:r>
      <w:r w:rsidRPr="007E1DE1">
        <w:rPr>
          <w:i/>
          <w:snapToGrid w:val="0"/>
          <w:lang w:val="sv-SE"/>
        </w:rPr>
        <w:t>G</w:t>
      </w:r>
      <w:r w:rsidRPr="007E1DE1">
        <w:rPr>
          <w:i/>
          <w:snapToGrid w:val="0"/>
          <w:vertAlign w:val="subscript"/>
          <w:lang w:val="sv-SE"/>
        </w:rPr>
        <w:t>t</w:t>
      </w:r>
      <w:r w:rsidRPr="007E1DE1">
        <w:rPr>
          <w:lang w:val="sv-SE"/>
        </w:rPr>
        <w:t xml:space="preserve"> </w:t>
      </w:r>
      <w:r w:rsidRPr="007E1DE1">
        <w:rPr>
          <w:snapToGrid w:val="0"/>
          <w:lang w:val="sv-SE"/>
        </w:rPr>
        <w:t>:</w:t>
      </w:r>
      <w:r w:rsidRPr="007E1DE1">
        <w:rPr>
          <w:snapToGrid w:val="0"/>
          <w:lang w:val="sv-SE"/>
        </w:rPr>
        <w:tab/>
        <w:t>transmitter antenna gain (dB)</w:t>
      </w:r>
    </w:p>
    <w:p w:rsidR="00CA3B52" w:rsidRPr="00CB6CBA" w:rsidRDefault="00CA3B52" w:rsidP="00CA3B52">
      <w:pPr>
        <w:pStyle w:val="Equationlegend"/>
        <w:rPr>
          <w:snapToGrid w:val="0"/>
        </w:rPr>
      </w:pPr>
      <w:r w:rsidRPr="007E1DE1">
        <w:rPr>
          <w:i/>
          <w:snapToGrid w:val="0"/>
          <w:lang w:val="sv-SE"/>
        </w:rPr>
        <w:tab/>
      </w:r>
      <w:r w:rsidRPr="00CB6CBA">
        <w:rPr>
          <w:i/>
          <w:snapToGrid w:val="0"/>
        </w:rPr>
        <w:t>G</w:t>
      </w:r>
      <w:r w:rsidRPr="00CB6CBA">
        <w:rPr>
          <w:i/>
          <w:snapToGrid w:val="0"/>
          <w:vertAlign w:val="subscript"/>
        </w:rPr>
        <w:t>r</w:t>
      </w:r>
      <w:r w:rsidRPr="00CB6CBA">
        <w:t xml:space="preserve"> </w:t>
      </w:r>
      <w:r w:rsidRPr="00CB6CBA">
        <w:rPr>
          <w:snapToGrid w:val="0"/>
        </w:rPr>
        <w:t>:</w:t>
      </w:r>
      <w:r w:rsidRPr="00CB6CBA">
        <w:rPr>
          <w:snapToGrid w:val="0"/>
        </w:rPr>
        <w:tab/>
        <w:t>receiver antenna gain (dB)</w:t>
      </w:r>
    </w:p>
    <w:p w:rsidR="00CA3B52" w:rsidRPr="00CB6CBA" w:rsidRDefault="00CA3B52" w:rsidP="00CA3B52">
      <w:pPr>
        <w:pStyle w:val="Equationlegend"/>
        <w:rPr>
          <w:snapToGrid w:val="0"/>
        </w:rPr>
      </w:pPr>
      <w:r w:rsidRPr="00CB6CBA">
        <w:rPr>
          <w:snapToGrid w:val="0"/>
        </w:rPr>
        <w:tab/>
      </w:r>
      <w:r w:rsidRPr="00CB6CBA">
        <w:rPr>
          <w:i/>
          <w:snapToGrid w:val="0"/>
        </w:rPr>
        <w:t>L</w:t>
      </w:r>
      <w:r w:rsidRPr="00CB6CBA">
        <w:rPr>
          <w:iCs/>
          <w:snapToGrid w:val="0"/>
        </w:rPr>
        <w:t>(</w:t>
      </w:r>
      <w:r w:rsidRPr="00CB6CBA">
        <w:rPr>
          <w:i/>
          <w:snapToGrid w:val="0"/>
        </w:rPr>
        <w:t>R</w:t>
      </w:r>
      <w:r w:rsidRPr="00CB6CBA">
        <w:rPr>
          <w:iCs/>
          <w:snapToGrid w:val="0"/>
        </w:rPr>
        <w:t>)</w:t>
      </w:r>
      <w:r w:rsidRPr="00CB6CBA">
        <w:t xml:space="preserve"> </w:t>
      </w:r>
      <w:r w:rsidRPr="00CB6CBA">
        <w:rPr>
          <w:snapToGrid w:val="0"/>
        </w:rPr>
        <w:t>:</w:t>
      </w:r>
      <w:r w:rsidRPr="00CB6CBA">
        <w:rPr>
          <w:snapToGrid w:val="0"/>
        </w:rPr>
        <w:tab/>
        <w:t>transmission losses between transmitter and receiver (dB).</w:t>
      </w:r>
    </w:p>
    <w:p w:rsidR="00CA3B52" w:rsidRPr="00CB6CBA" w:rsidRDefault="00CA3B52" w:rsidP="00CA3B52">
      <w:pPr>
        <w:rPr>
          <w:snapToGrid w:val="0"/>
          <w:lang w:val="en-US"/>
        </w:rPr>
      </w:pPr>
      <w:r w:rsidRPr="00CB6CBA">
        <w:rPr>
          <w:snapToGrid w:val="0"/>
          <w:lang w:val="en-US"/>
        </w:rPr>
        <w:t>To provide the necessary quality of the received signal at a border of the service area the following condition should generally be met:</w:t>
      </w:r>
    </w:p>
    <w:p w:rsidR="00CA3B52" w:rsidRDefault="00CA3B52" w:rsidP="00CA3B52">
      <w:pPr>
        <w:pStyle w:val="Blanc"/>
      </w:pPr>
    </w:p>
    <w:p w:rsidR="00CA3B52" w:rsidRPr="00CB6CBA" w:rsidRDefault="00CA3B52" w:rsidP="00CA3B52">
      <w:pPr>
        <w:pStyle w:val="Equation"/>
        <w:rPr>
          <w:snapToGrid w:val="0"/>
          <w:lang w:val="en-US"/>
        </w:rPr>
      </w:pPr>
      <w:r w:rsidRPr="00CB6CBA">
        <w:rPr>
          <w:i/>
          <w:snapToGrid w:val="0"/>
          <w:lang w:val="en-US"/>
        </w:rPr>
        <w:tab/>
      </w:r>
      <w:r w:rsidRPr="00CB6CBA">
        <w:rPr>
          <w:i/>
          <w:snapToGrid w:val="0"/>
          <w:lang w:val="en-US"/>
        </w:rPr>
        <w:tab/>
        <w:t>P</w:t>
      </w:r>
      <w:r w:rsidRPr="00CB6CBA">
        <w:rPr>
          <w:i/>
          <w:snapToGrid w:val="0"/>
          <w:vertAlign w:val="subscript"/>
          <w:lang w:val="en-US"/>
        </w:rPr>
        <w:t>r</w:t>
      </w:r>
      <w:r w:rsidRPr="00CB6CBA">
        <w:rPr>
          <w:i/>
          <w:snapToGrid w:val="0"/>
          <w:lang w:val="en-US"/>
        </w:rPr>
        <w:t xml:space="preserve"> </w:t>
      </w:r>
      <w:r w:rsidRPr="00C90AB1">
        <w:rPr>
          <w:iCs/>
          <w:snapToGrid w:val="0"/>
          <w:lang w:val="en-US"/>
        </w:rPr>
        <w:t>=</w:t>
      </w:r>
      <w:r w:rsidRPr="00CB6CBA">
        <w:rPr>
          <w:i/>
          <w:snapToGrid w:val="0"/>
          <w:lang w:val="en-US"/>
        </w:rPr>
        <w:t xml:space="preserve"> P</w:t>
      </w:r>
      <w:r w:rsidRPr="00CB6CBA">
        <w:rPr>
          <w:i/>
          <w:snapToGrid w:val="0"/>
          <w:vertAlign w:val="subscript"/>
          <w:lang w:val="en-US"/>
        </w:rPr>
        <w:t>min</w:t>
      </w:r>
      <w:r w:rsidRPr="00CB6CBA">
        <w:rPr>
          <w:i/>
          <w:snapToGrid w:val="0"/>
          <w:lang w:val="en-US"/>
        </w:rPr>
        <w:t xml:space="preserve"> </w:t>
      </w:r>
      <w:r>
        <w:rPr>
          <w:i/>
          <w:snapToGrid w:val="0"/>
          <w:lang w:val="en-US"/>
        </w:rPr>
        <w:t>+</w:t>
      </w:r>
      <w:r w:rsidRPr="00CB6CBA">
        <w:rPr>
          <w:i/>
          <w:snapToGrid w:val="0"/>
          <w:lang w:val="en-US"/>
        </w:rPr>
        <w:t xml:space="preserve"> k</w:t>
      </w:r>
      <w:r w:rsidRPr="00CB6CBA">
        <w:rPr>
          <w:i/>
          <w:snapToGrid w:val="0"/>
          <w:vertAlign w:val="subscript"/>
          <w:lang w:val="en-US"/>
        </w:rPr>
        <w:t>f</w:t>
      </w:r>
      <w:r w:rsidRPr="00CB6CBA">
        <w:rPr>
          <w:snapToGrid w:val="0"/>
          <w:lang w:val="en-US"/>
        </w:rPr>
        <w:t xml:space="preserve"> </w:t>
      </w:r>
      <w:r w:rsidRPr="00CB6CBA">
        <w:rPr>
          <w:snapToGrid w:val="0"/>
          <w:szCs w:val="24"/>
          <w:lang w:val="en-US"/>
        </w:rPr>
        <w:sym w:font="Symbol" w:char="F073"/>
      </w:r>
    </w:p>
    <w:p w:rsidR="00CA3B52" w:rsidRPr="00CB6CBA" w:rsidRDefault="00CA3B52" w:rsidP="00CA3B52">
      <w:pPr>
        <w:rPr>
          <w:snapToGrid w:val="0"/>
          <w:lang w:val="en-US"/>
        </w:rPr>
      </w:pPr>
      <w:r w:rsidRPr="00CB6CBA">
        <w:rPr>
          <w:snapToGrid w:val="0"/>
          <w:lang w:val="en-US"/>
        </w:rPr>
        <w:t>where:</w:t>
      </w:r>
    </w:p>
    <w:p w:rsidR="00CA3B52" w:rsidRPr="00CB6CBA" w:rsidRDefault="00CA3B52" w:rsidP="00CA3B52">
      <w:pPr>
        <w:pStyle w:val="Equationlegend"/>
        <w:rPr>
          <w:snapToGrid w:val="0"/>
        </w:rPr>
      </w:pPr>
      <w:r w:rsidRPr="00CB6CBA">
        <w:rPr>
          <w:i/>
          <w:snapToGrid w:val="0"/>
        </w:rPr>
        <w:tab/>
        <w:t>P</w:t>
      </w:r>
      <w:r w:rsidRPr="00CB6CBA">
        <w:rPr>
          <w:i/>
          <w:snapToGrid w:val="0"/>
          <w:vertAlign w:val="subscript"/>
        </w:rPr>
        <w:t>min</w:t>
      </w:r>
      <w:r>
        <w:t xml:space="preserve"> </w:t>
      </w:r>
      <w:r w:rsidRPr="00CB6CBA">
        <w:rPr>
          <w:snapToGrid w:val="0"/>
        </w:rPr>
        <w:t>:</w:t>
      </w:r>
      <w:r w:rsidRPr="00CB6CBA">
        <w:rPr>
          <w:snapToGrid w:val="0"/>
        </w:rPr>
        <w:tab/>
        <w:t>minimal power of a received signal which equals to a sensitivity of the receiver (dBW)</w:t>
      </w:r>
    </w:p>
    <w:p w:rsidR="00CA3B52" w:rsidRPr="00CB6CBA" w:rsidRDefault="00CA3B52" w:rsidP="00CA3B52">
      <w:pPr>
        <w:pStyle w:val="Equationlegend"/>
        <w:rPr>
          <w:snapToGrid w:val="0"/>
        </w:rPr>
      </w:pPr>
      <w:r w:rsidRPr="00CB6CBA">
        <w:rPr>
          <w:i/>
          <w:snapToGrid w:val="0"/>
        </w:rPr>
        <w:tab/>
        <w:t>k</w:t>
      </w:r>
      <w:r w:rsidRPr="00CB6CBA">
        <w:rPr>
          <w:i/>
          <w:snapToGrid w:val="0"/>
          <w:vertAlign w:val="subscript"/>
        </w:rPr>
        <w:t>f</w:t>
      </w:r>
      <w:r w:rsidRPr="00CB6CBA">
        <w:t xml:space="preserve"> </w:t>
      </w:r>
      <w:r w:rsidRPr="00CB6CBA">
        <w:rPr>
          <w:snapToGrid w:val="0"/>
        </w:rPr>
        <w:t>:</w:t>
      </w:r>
      <w:r w:rsidRPr="00CB6CBA">
        <w:rPr>
          <w:snapToGrid w:val="0"/>
        </w:rPr>
        <w:tab/>
        <w:t>fading allowance a signal for a given time of the signal quality deterioration</w:t>
      </w:r>
    </w:p>
    <w:p w:rsidR="00CA3B52" w:rsidRPr="00CB6CBA" w:rsidRDefault="00CA3B52" w:rsidP="00CA3B52">
      <w:pPr>
        <w:pStyle w:val="Equationlegend"/>
        <w:rPr>
          <w:snapToGrid w:val="0"/>
        </w:rPr>
      </w:pPr>
      <w:r w:rsidRPr="00CB6CBA">
        <w:rPr>
          <w:snapToGrid w:val="0"/>
        </w:rPr>
        <w:tab/>
      </w:r>
      <w:r w:rsidRPr="00CB6CBA">
        <w:rPr>
          <w:snapToGrid w:val="0"/>
          <w:szCs w:val="24"/>
        </w:rPr>
        <w:sym w:font="Symbol" w:char="F073"/>
      </w:r>
      <w:r>
        <w:rPr>
          <w:snapToGrid w:val="0"/>
          <w:szCs w:val="24"/>
        </w:rPr>
        <w:t xml:space="preserve"> </w:t>
      </w:r>
      <w:r w:rsidRPr="00CB6CBA">
        <w:rPr>
          <w:snapToGrid w:val="0"/>
        </w:rPr>
        <w:t>:</w:t>
      </w:r>
      <w:r w:rsidRPr="00CB6CBA">
        <w:rPr>
          <w:snapToGrid w:val="0"/>
        </w:rPr>
        <w:tab/>
        <w:t>mean square value of a signal fluctuations (dB).</w:t>
      </w:r>
    </w:p>
    <w:p w:rsidR="00CA3B52" w:rsidRPr="00CB6CBA" w:rsidRDefault="00CA3B52" w:rsidP="00CA3B52">
      <w:pPr>
        <w:rPr>
          <w:snapToGrid w:val="0"/>
          <w:lang w:val="en-US"/>
        </w:rPr>
      </w:pPr>
      <w:r w:rsidRPr="00CB6CBA">
        <w:rPr>
          <w:snapToGrid w:val="0"/>
          <w:lang w:val="en-US"/>
        </w:rPr>
        <w:t xml:space="preserve">For 50% of time </w:t>
      </w:r>
      <w:r w:rsidRPr="00CB6CBA">
        <w:rPr>
          <w:i/>
          <w:snapToGrid w:val="0"/>
          <w:lang w:val="en-US"/>
        </w:rPr>
        <w:t>k</w:t>
      </w:r>
      <w:r w:rsidRPr="00CB6CBA">
        <w:rPr>
          <w:i/>
          <w:snapToGrid w:val="0"/>
          <w:vertAlign w:val="subscript"/>
          <w:lang w:val="en-US"/>
        </w:rPr>
        <w:t>f</w:t>
      </w:r>
      <w:r w:rsidRPr="00CB6CBA">
        <w:rPr>
          <w:snapToGrid w:val="0"/>
          <w:lang w:val="en-US"/>
        </w:rPr>
        <w:t xml:space="preserve"> </w:t>
      </w:r>
      <w:r>
        <w:rPr>
          <w:snapToGrid w:val="0"/>
          <w:lang w:val="en-US"/>
        </w:rPr>
        <w:t>=</w:t>
      </w:r>
      <w:r w:rsidRPr="00CB6CBA">
        <w:rPr>
          <w:snapToGrid w:val="0"/>
          <w:lang w:val="en-US"/>
        </w:rPr>
        <w:t xml:space="preserve"> 0, for 95% of time </w:t>
      </w:r>
      <w:r w:rsidRPr="00CB6CBA">
        <w:rPr>
          <w:i/>
          <w:snapToGrid w:val="0"/>
          <w:lang w:val="en-US"/>
        </w:rPr>
        <w:t>k</w:t>
      </w:r>
      <w:r w:rsidRPr="00CB6CBA">
        <w:rPr>
          <w:i/>
          <w:snapToGrid w:val="0"/>
          <w:vertAlign w:val="subscript"/>
          <w:lang w:val="en-US"/>
        </w:rPr>
        <w:t>f</w:t>
      </w:r>
      <w:r w:rsidRPr="00CB6CBA">
        <w:rPr>
          <w:snapToGrid w:val="0"/>
          <w:lang w:val="en-US"/>
        </w:rPr>
        <w:t xml:space="preserve"> </w:t>
      </w:r>
      <w:r>
        <w:rPr>
          <w:snapToGrid w:val="0"/>
          <w:lang w:val="en-US"/>
        </w:rPr>
        <w:t>=</w:t>
      </w:r>
      <w:r w:rsidRPr="00CB6CBA">
        <w:rPr>
          <w:snapToGrid w:val="0"/>
          <w:lang w:val="en-US"/>
        </w:rPr>
        <w:t xml:space="preserve"> 1.65. For conventional urban areas </w:t>
      </w:r>
      <w:r w:rsidRPr="00CB6CBA">
        <w:rPr>
          <w:snapToGrid w:val="0"/>
          <w:szCs w:val="24"/>
          <w:lang w:val="en-US"/>
        </w:rPr>
        <w:sym w:font="Symbol" w:char="F073"/>
      </w:r>
      <w:r w:rsidRPr="00CB6CBA">
        <w:rPr>
          <w:snapToGrid w:val="0"/>
          <w:lang w:val="en-US"/>
        </w:rPr>
        <w:t xml:space="preserve"> varies from 6 to</w:t>
      </w:r>
      <w:r>
        <w:rPr>
          <w:snapToGrid w:val="0"/>
          <w:lang w:val="en-US"/>
        </w:rPr>
        <w:t> </w:t>
      </w:r>
      <w:r w:rsidRPr="00CB6CBA">
        <w:rPr>
          <w:snapToGrid w:val="0"/>
          <w:lang w:val="en-US"/>
        </w:rPr>
        <w:t>8</w:t>
      </w:r>
      <w:r>
        <w:rPr>
          <w:snapToGrid w:val="0"/>
          <w:lang w:val="en-US"/>
        </w:rPr>
        <w:t> </w:t>
      </w:r>
      <w:r w:rsidRPr="00CB6CBA">
        <w:rPr>
          <w:snapToGrid w:val="0"/>
          <w:lang w:val="en-US"/>
        </w:rPr>
        <w:t xml:space="preserve">dB. Accepting, similarly to broadcasting, that a service area is determined by the criterion of 50% time i.e. </w:t>
      </w:r>
      <w:r w:rsidRPr="00CB6CBA">
        <w:rPr>
          <w:i/>
          <w:snapToGrid w:val="0"/>
          <w:lang w:val="en-US"/>
        </w:rPr>
        <w:t>k</w:t>
      </w:r>
      <w:r w:rsidRPr="00CB6CBA">
        <w:rPr>
          <w:i/>
          <w:snapToGrid w:val="0"/>
          <w:vertAlign w:val="subscript"/>
          <w:lang w:val="en-US"/>
        </w:rPr>
        <w:t>f</w:t>
      </w:r>
      <w:r>
        <w:rPr>
          <w:snapToGrid w:val="0"/>
          <w:lang w:val="en-US"/>
        </w:rPr>
        <w:t> =</w:t>
      </w:r>
      <w:r w:rsidRPr="00CB6CBA">
        <w:rPr>
          <w:snapToGrid w:val="0"/>
          <w:lang w:val="en-US"/>
        </w:rPr>
        <w:t xml:space="preserve"> 0, overall coefficient </w:t>
      </w:r>
      <w:r w:rsidRPr="00CB6CBA">
        <w:rPr>
          <w:i/>
          <w:snapToGrid w:val="0"/>
          <w:lang w:val="en-US"/>
        </w:rPr>
        <w:t>k</w:t>
      </w:r>
      <w:r w:rsidRPr="00CB6CBA">
        <w:rPr>
          <w:i/>
          <w:snapToGrid w:val="0"/>
          <w:vertAlign w:val="subscript"/>
          <w:lang w:val="en-US"/>
        </w:rPr>
        <w:t>f</w:t>
      </w:r>
      <w:r w:rsidRPr="00CB6CBA">
        <w:rPr>
          <w:snapToGrid w:val="0"/>
          <w:lang w:val="en-US"/>
        </w:rPr>
        <w:t xml:space="preserve"> </w:t>
      </w:r>
      <w:r w:rsidRPr="00CB6CBA">
        <w:rPr>
          <w:snapToGrid w:val="0"/>
          <w:szCs w:val="24"/>
          <w:lang w:val="en-US"/>
        </w:rPr>
        <w:sym w:font="Symbol" w:char="F073"/>
      </w:r>
      <w:r w:rsidRPr="00CB6CBA">
        <w:rPr>
          <w:snapToGrid w:val="0"/>
          <w:lang w:val="en-US"/>
        </w:rPr>
        <w:t xml:space="preserve"> becomes equal to zero and:</w:t>
      </w:r>
    </w:p>
    <w:p w:rsidR="00CA3B52" w:rsidRPr="000F686E" w:rsidRDefault="00CA3B52" w:rsidP="00CA3B52">
      <w:pPr>
        <w:pStyle w:val="Blanc"/>
        <w:rPr>
          <w:lang w:val="en-US"/>
        </w:rPr>
      </w:pPr>
    </w:p>
    <w:p w:rsidR="00CA3B52" w:rsidRDefault="00CA3B52" w:rsidP="00CA3B52">
      <w:pPr>
        <w:pStyle w:val="Equation"/>
        <w:rPr>
          <w:snapToGrid w:val="0"/>
          <w:lang w:val="en-US"/>
        </w:rPr>
      </w:pPr>
      <w:r w:rsidRPr="00CB6CBA">
        <w:rPr>
          <w:i/>
          <w:snapToGrid w:val="0"/>
          <w:lang w:val="en-US"/>
        </w:rPr>
        <w:tab/>
      </w:r>
      <w:r w:rsidRPr="00CB6CBA">
        <w:rPr>
          <w:i/>
          <w:snapToGrid w:val="0"/>
          <w:lang w:val="en-US"/>
        </w:rPr>
        <w:tab/>
        <w:t>P</w:t>
      </w:r>
      <w:r w:rsidRPr="00CB6CBA">
        <w:rPr>
          <w:i/>
          <w:snapToGrid w:val="0"/>
          <w:vertAlign w:val="subscript"/>
          <w:lang w:val="en-US"/>
        </w:rPr>
        <w:t>r</w:t>
      </w:r>
      <w:r w:rsidRPr="00CB6CBA">
        <w:rPr>
          <w:i/>
          <w:snapToGrid w:val="0"/>
          <w:lang w:val="en-US"/>
        </w:rPr>
        <w:t xml:space="preserve"> </w:t>
      </w:r>
      <w:r>
        <w:rPr>
          <w:i/>
          <w:snapToGrid w:val="0"/>
          <w:lang w:val="en-US"/>
        </w:rPr>
        <w:t>=</w:t>
      </w:r>
      <w:r w:rsidRPr="00CB6CBA">
        <w:rPr>
          <w:i/>
          <w:snapToGrid w:val="0"/>
          <w:lang w:val="en-US"/>
        </w:rPr>
        <w:t xml:space="preserve"> P</w:t>
      </w:r>
      <w:r w:rsidRPr="00CB6CBA">
        <w:rPr>
          <w:i/>
          <w:snapToGrid w:val="0"/>
          <w:vertAlign w:val="subscript"/>
          <w:lang w:val="en-US"/>
        </w:rPr>
        <w:t>min</w:t>
      </w:r>
      <w:r w:rsidRPr="00CB6CBA">
        <w:rPr>
          <w:snapToGrid w:val="0"/>
          <w:lang w:val="en-US"/>
        </w:rPr>
        <w:tab/>
        <w:t>(</w:t>
      </w:r>
      <w:r>
        <w:rPr>
          <w:snapToGrid w:val="0"/>
          <w:lang w:val="en-US"/>
        </w:rPr>
        <w:t>38</w:t>
      </w:r>
      <w:r w:rsidRPr="00CB6CBA">
        <w:rPr>
          <w:snapToGrid w:val="0"/>
          <w:lang w:val="en-US"/>
        </w:rPr>
        <w:t>)</w:t>
      </w:r>
    </w:p>
    <w:p w:rsidR="00CA3B52" w:rsidRDefault="00CA3B52" w:rsidP="00CA3B52">
      <w:pPr>
        <w:pStyle w:val="Blanc"/>
      </w:pPr>
    </w:p>
    <w:p w:rsidR="00CA3B52" w:rsidRDefault="00CA3B52" w:rsidP="00CA3B52">
      <w:pPr>
        <w:rPr>
          <w:snapToGrid w:val="0"/>
          <w:lang w:val="en-US"/>
        </w:rPr>
      </w:pPr>
      <w:r w:rsidRPr="00CB6CBA">
        <w:rPr>
          <w:snapToGrid w:val="0"/>
          <w:lang w:val="en-US"/>
        </w:rPr>
        <w:t>Equating right parts of equations (</w:t>
      </w:r>
      <w:r>
        <w:rPr>
          <w:snapToGrid w:val="0"/>
          <w:lang w:val="en-US"/>
        </w:rPr>
        <w:t>37</w:t>
      </w:r>
      <w:r w:rsidRPr="00CB6CBA">
        <w:rPr>
          <w:snapToGrid w:val="0"/>
          <w:lang w:val="en-US"/>
        </w:rPr>
        <w:t>) and (</w:t>
      </w:r>
      <w:r>
        <w:rPr>
          <w:snapToGrid w:val="0"/>
          <w:lang w:val="en-US"/>
        </w:rPr>
        <w:t>38</w:t>
      </w:r>
      <w:r w:rsidRPr="00CB6CBA">
        <w:rPr>
          <w:snapToGrid w:val="0"/>
          <w:lang w:val="en-US"/>
        </w:rPr>
        <w:t>) to meet condition at the border of the service area, we get:</w:t>
      </w:r>
    </w:p>
    <w:p w:rsidR="00CA3B52" w:rsidRDefault="00CA3B52" w:rsidP="00CA3B52">
      <w:pPr>
        <w:pStyle w:val="Blanc"/>
      </w:pPr>
    </w:p>
    <w:p w:rsidR="00CA3B52" w:rsidRPr="00D2341F" w:rsidRDefault="00CA3B52" w:rsidP="00CA3B52">
      <w:pPr>
        <w:pStyle w:val="Equation"/>
        <w:rPr>
          <w:snapToGrid w:val="0"/>
          <w:lang w:val="en-US"/>
        </w:rPr>
      </w:pPr>
      <w:r w:rsidRPr="00CB6CBA">
        <w:rPr>
          <w:snapToGrid w:val="0"/>
          <w:lang w:val="en-US"/>
        </w:rPr>
        <w:tab/>
      </w:r>
      <w:r w:rsidRPr="00CB6CBA">
        <w:rPr>
          <w:snapToGrid w:val="0"/>
          <w:lang w:val="en-US"/>
        </w:rPr>
        <w:tab/>
      </w:r>
      <w:r w:rsidRPr="00D2341F">
        <w:rPr>
          <w:i/>
          <w:iCs/>
          <w:snapToGrid w:val="0"/>
          <w:lang w:val="en-US"/>
        </w:rPr>
        <w:t>P</w:t>
      </w:r>
      <w:r w:rsidRPr="00D2341F">
        <w:rPr>
          <w:i/>
          <w:iCs/>
          <w:snapToGrid w:val="0"/>
          <w:vertAlign w:val="subscript"/>
          <w:lang w:val="en-US"/>
        </w:rPr>
        <w:t>t</w:t>
      </w:r>
      <w:r w:rsidRPr="00D2341F">
        <w:rPr>
          <w:snapToGrid w:val="0"/>
          <w:lang w:val="en-US"/>
        </w:rPr>
        <w:t xml:space="preserve"> + </w:t>
      </w:r>
      <w:r w:rsidRPr="00D2341F">
        <w:rPr>
          <w:i/>
          <w:iCs/>
          <w:snapToGrid w:val="0"/>
          <w:lang w:val="en-US"/>
        </w:rPr>
        <w:t>G</w:t>
      </w:r>
      <w:r w:rsidRPr="00D2341F">
        <w:rPr>
          <w:i/>
          <w:iCs/>
          <w:snapToGrid w:val="0"/>
          <w:vertAlign w:val="subscript"/>
          <w:lang w:val="en-US"/>
        </w:rPr>
        <w:t>t</w:t>
      </w:r>
      <w:r w:rsidRPr="00D2341F">
        <w:rPr>
          <w:snapToGrid w:val="0"/>
          <w:lang w:val="en-US"/>
        </w:rPr>
        <w:t xml:space="preserve"> + </w:t>
      </w:r>
      <w:r w:rsidRPr="00D2341F">
        <w:rPr>
          <w:i/>
          <w:iCs/>
          <w:snapToGrid w:val="0"/>
          <w:lang w:val="en-US"/>
        </w:rPr>
        <w:t>G</w:t>
      </w:r>
      <w:r w:rsidRPr="00D2341F">
        <w:rPr>
          <w:i/>
          <w:iCs/>
          <w:snapToGrid w:val="0"/>
          <w:vertAlign w:val="subscript"/>
          <w:lang w:val="en-US"/>
        </w:rPr>
        <w:t>r</w:t>
      </w:r>
      <w:r w:rsidRPr="00D2341F">
        <w:rPr>
          <w:snapToGrid w:val="0"/>
          <w:lang w:val="en-US"/>
        </w:rPr>
        <w:t xml:space="preserve"> – </w:t>
      </w:r>
      <w:r w:rsidRPr="00D2341F">
        <w:rPr>
          <w:i/>
          <w:iCs/>
          <w:snapToGrid w:val="0"/>
          <w:lang w:val="en-US"/>
        </w:rPr>
        <w:t>L</w:t>
      </w:r>
      <w:r w:rsidRPr="00D2341F">
        <w:rPr>
          <w:snapToGrid w:val="0"/>
          <w:lang w:val="en-US"/>
        </w:rPr>
        <w:t>(</w:t>
      </w:r>
      <w:r w:rsidRPr="00D2341F">
        <w:rPr>
          <w:i/>
          <w:iCs/>
          <w:snapToGrid w:val="0"/>
          <w:lang w:val="en-US"/>
        </w:rPr>
        <w:t>R</w:t>
      </w:r>
      <w:r w:rsidRPr="00D2341F">
        <w:rPr>
          <w:snapToGrid w:val="0"/>
          <w:lang w:val="en-US"/>
        </w:rPr>
        <w:t>) =</w:t>
      </w:r>
      <w:r w:rsidRPr="00D2341F">
        <w:rPr>
          <w:i/>
          <w:iCs/>
          <w:snapToGrid w:val="0"/>
          <w:lang w:val="en-US"/>
        </w:rPr>
        <w:t>P</w:t>
      </w:r>
      <w:r w:rsidRPr="00D2341F">
        <w:rPr>
          <w:i/>
          <w:iCs/>
          <w:snapToGrid w:val="0"/>
          <w:vertAlign w:val="subscript"/>
          <w:lang w:val="en-US"/>
        </w:rPr>
        <w:t>min</w:t>
      </w:r>
    </w:p>
    <w:p w:rsidR="00CA3B52" w:rsidRPr="00CB6CBA" w:rsidRDefault="00CA3B52" w:rsidP="00CA3B52">
      <w:pPr>
        <w:rPr>
          <w:snapToGrid w:val="0"/>
          <w:lang w:val="en-US"/>
        </w:rPr>
      </w:pPr>
      <w:r w:rsidRPr="00CB6CBA">
        <w:rPr>
          <w:snapToGrid w:val="0"/>
          <w:lang w:val="en-US"/>
        </w:rPr>
        <w:t>where:</w:t>
      </w:r>
    </w:p>
    <w:p w:rsidR="00CA3B52" w:rsidRDefault="00CA3B52" w:rsidP="00CA3B52">
      <w:pPr>
        <w:pStyle w:val="Blanc"/>
      </w:pPr>
    </w:p>
    <w:p w:rsidR="00CA3B52" w:rsidRPr="0024702C" w:rsidRDefault="00CA3B52" w:rsidP="00CA3B52">
      <w:pPr>
        <w:pStyle w:val="Equation"/>
        <w:rPr>
          <w:snapToGrid w:val="0"/>
          <w:lang w:val="en-US"/>
        </w:rPr>
      </w:pPr>
      <w:r w:rsidRPr="00CB6CBA">
        <w:rPr>
          <w:snapToGrid w:val="0"/>
          <w:lang w:val="en-US"/>
        </w:rPr>
        <w:tab/>
      </w:r>
      <w:r w:rsidRPr="00CB6CBA">
        <w:rPr>
          <w:snapToGrid w:val="0"/>
          <w:lang w:val="en-US"/>
        </w:rPr>
        <w:tab/>
      </w:r>
      <w:r w:rsidRPr="0024702C">
        <w:rPr>
          <w:i/>
          <w:iCs/>
          <w:snapToGrid w:val="0"/>
          <w:lang w:val="en-US"/>
        </w:rPr>
        <w:t>L</w:t>
      </w:r>
      <w:r w:rsidRPr="0024702C">
        <w:rPr>
          <w:snapToGrid w:val="0"/>
          <w:lang w:val="en-US"/>
        </w:rPr>
        <w:t>(</w:t>
      </w:r>
      <w:r w:rsidRPr="0024702C">
        <w:rPr>
          <w:i/>
          <w:iCs/>
          <w:snapToGrid w:val="0"/>
          <w:lang w:val="en-US"/>
        </w:rPr>
        <w:t>R</w:t>
      </w:r>
      <w:r w:rsidRPr="0024702C">
        <w:rPr>
          <w:snapToGrid w:val="0"/>
          <w:lang w:val="en-US"/>
        </w:rPr>
        <w:t xml:space="preserve">) </w:t>
      </w:r>
      <w:r>
        <w:rPr>
          <w:snapToGrid w:val="0"/>
          <w:lang w:val="en-US"/>
        </w:rPr>
        <w:t xml:space="preserve">= </w:t>
      </w:r>
      <w:r w:rsidRPr="0024702C">
        <w:rPr>
          <w:i/>
          <w:iCs/>
          <w:snapToGrid w:val="0"/>
          <w:lang w:val="en-US"/>
        </w:rPr>
        <w:t>P</w:t>
      </w:r>
      <w:r w:rsidRPr="0024702C">
        <w:rPr>
          <w:i/>
          <w:iCs/>
          <w:snapToGrid w:val="0"/>
          <w:vertAlign w:val="subscript"/>
          <w:lang w:val="en-US"/>
        </w:rPr>
        <w:t>t</w:t>
      </w:r>
      <w:r w:rsidRPr="0024702C">
        <w:rPr>
          <w:snapToGrid w:val="0"/>
          <w:lang w:val="en-US"/>
        </w:rPr>
        <w:t xml:space="preserve"> + </w:t>
      </w:r>
      <w:r w:rsidRPr="0024702C">
        <w:rPr>
          <w:i/>
          <w:iCs/>
          <w:snapToGrid w:val="0"/>
          <w:lang w:val="en-US"/>
        </w:rPr>
        <w:t>G</w:t>
      </w:r>
      <w:r w:rsidRPr="0024702C">
        <w:rPr>
          <w:i/>
          <w:iCs/>
          <w:snapToGrid w:val="0"/>
          <w:vertAlign w:val="subscript"/>
          <w:lang w:val="en-US"/>
        </w:rPr>
        <w:t>t</w:t>
      </w:r>
      <w:r w:rsidRPr="0024702C">
        <w:rPr>
          <w:snapToGrid w:val="0"/>
          <w:lang w:val="en-US"/>
        </w:rPr>
        <w:t xml:space="preserve"> + </w:t>
      </w:r>
      <w:r w:rsidRPr="0024702C">
        <w:rPr>
          <w:i/>
          <w:iCs/>
          <w:snapToGrid w:val="0"/>
          <w:lang w:val="en-US"/>
        </w:rPr>
        <w:t>G</w:t>
      </w:r>
      <w:r w:rsidRPr="0024702C">
        <w:rPr>
          <w:i/>
          <w:iCs/>
          <w:snapToGrid w:val="0"/>
          <w:vertAlign w:val="subscript"/>
          <w:lang w:val="en-US"/>
        </w:rPr>
        <w:t>r</w:t>
      </w:r>
      <w:r w:rsidRPr="0024702C">
        <w:rPr>
          <w:lang w:val="en-US"/>
        </w:rPr>
        <w:t xml:space="preserve"> </w:t>
      </w:r>
      <w:r w:rsidRPr="0024702C">
        <w:rPr>
          <w:snapToGrid w:val="0"/>
          <w:lang w:val="en-US"/>
        </w:rPr>
        <w:t xml:space="preserve">– </w:t>
      </w:r>
      <w:r w:rsidRPr="0024702C">
        <w:rPr>
          <w:i/>
          <w:iCs/>
          <w:snapToGrid w:val="0"/>
          <w:lang w:val="en-US"/>
        </w:rPr>
        <w:t>P</w:t>
      </w:r>
      <w:r w:rsidRPr="0024702C">
        <w:rPr>
          <w:i/>
          <w:iCs/>
          <w:snapToGrid w:val="0"/>
          <w:vertAlign w:val="subscript"/>
          <w:lang w:val="en-US"/>
        </w:rPr>
        <w:t>min</w:t>
      </w:r>
      <w:r w:rsidRPr="0024702C">
        <w:rPr>
          <w:snapToGrid w:val="0"/>
          <w:lang w:val="en-US"/>
        </w:rPr>
        <w:tab/>
        <w:t>(39)</w:t>
      </w:r>
    </w:p>
    <w:p w:rsidR="00CA3B52" w:rsidRDefault="00CA3B52" w:rsidP="00CA3B52">
      <w:pPr>
        <w:pStyle w:val="Blanc"/>
      </w:pPr>
    </w:p>
    <w:p w:rsidR="00CA3B52" w:rsidRPr="00CB6CBA" w:rsidRDefault="00CA3B52" w:rsidP="00CA3B52">
      <w:pPr>
        <w:rPr>
          <w:snapToGrid w:val="0"/>
          <w:lang w:val="en-US"/>
        </w:rPr>
      </w:pPr>
      <w:r w:rsidRPr="00CB6CBA">
        <w:rPr>
          <w:snapToGrid w:val="0"/>
          <w:lang w:val="en-US"/>
        </w:rPr>
        <w:t xml:space="preserve">In accordance with modified Okamura-Hata radio wave propagation model, accurate for a signal median value (i.e. for 50% of time): </w:t>
      </w:r>
    </w:p>
    <w:p w:rsidR="00CA3B52" w:rsidRDefault="00CA3B52" w:rsidP="00CA3B52">
      <w:pPr>
        <w:pStyle w:val="Blanc"/>
      </w:pPr>
    </w:p>
    <w:p w:rsidR="00CA3B52" w:rsidRDefault="00CA3B52" w:rsidP="00CA3B52">
      <w:pPr>
        <w:pStyle w:val="Equation"/>
        <w:rPr>
          <w:snapToGrid w:val="0"/>
          <w:lang w:val="en-US"/>
        </w:rPr>
      </w:pPr>
      <w:r w:rsidRPr="00CB6CBA">
        <w:rPr>
          <w:i/>
          <w:snapToGrid w:val="0"/>
          <w:lang w:val="en-US"/>
        </w:rPr>
        <w:tab/>
      </w:r>
      <w:r w:rsidRPr="00CB6CBA">
        <w:rPr>
          <w:i/>
          <w:snapToGrid w:val="0"/>
          <w:lang w:val="en-US"/>
        </w:rPr>
        <w:tab/>
      </w:r>
      <w:r w:rsidRPr="00CB6CBA">
        <w:rPr>
          <w:snapToGrid w:val="0"/>
          <w:position w:val="-10"/>
          <w:lang w:val="en-US"/>
        </w:rPr>
        <w:object w:dxaOrig="1840" w:dyaOrig="320">
          <v:shape id="_x0000_i1059" type="#_x0000_t75" style="width:92.1pt;height:16.85pt" o:ole="" fillcolor="window">
            <v:imagedata r:id="rId88" o:title=""/>
          </v:shape>
          <o:OLEObject Type="Embed" ProgID="Equation.3" ShapeID="_x0000_i1059" DrawAspect="Content" ObjectID="_1511604848" r:id="rId89"/>
        </w:object>
      </w:r>
      <w:r w:rsidRPr="00CB6CBA">
        <w:rPr>
          <w:snapToGrid w:val="0"/>
          <w:lang w:val="en-US"/>
        </w:rPr>
        <w:tab/>
        <w:t>(</w:t>
      </w:r>
      <w:r>
        <w:rPr>
          <w:snapToGrid w:val="0"/>
          <w:lang w:val="en-US"/>
        </w:rPr>
        <w:t>40</w:t>
      </w:r>
      <w:r w:rsidRPr="00CB6CBA">
        <w:rPr>
          <w:snapToGrid w:val="0"/>
          <w:lang w:val="en-US"/>
        </w:rPr>
        <w:t>)</w:t>
      </w:r>
    </w:p>
    <w:p w:rsidR="00CA3B52" w:rsidRDefault="00CA3B52" w:rsidP="00CA3B52">
      <w:pPr>
        <w:pStyle w:val="Blanc"/>
      </w:pPr>
    </w:p>
    <w:p w:rsidR="00CA3B52" w:rsidRPr="00CB6CBA" w:rsidRDefault="00CA3B52" w:rsidP="00CA3B52">
      <w:pPr>
        <w:rPr>
          <w:snapToGrid w:val="0"/>
          <w:lang w:val="en-US"/>
        </w:rPr>
      </w:pPr>
      <w:r w:rsidRPr="00CB6CBA">
        <w:rPr>
          <w:snapToGrid w:val="0"/>
          <w:lang w:val="en-US"/>
        </w:rPr>
        <w:t xml:space="preserve">where </w:t>
      </w:r>
      <w:r>
        <w:rPr>
          <w:rFonts w:asciiTheme="majorBidi" w:hAnsiTheme="majorBidi" w:cstheme="majorBidi"/>
          <w:snapToGrid w:val="0"/>
          <w:lang w:val="en-US"/>
        </w:rPr>
        <w:sym w:font="Symbol" w:char="F04A"/>
      </w:r>
      <w:r>
        <w:rPr>
          <w:rFonts w:asciiTheme="majorBidi" w:hAnsiTheme="majorBidi" w:cstheme="majorBidi"/>
          <w:snapToGrid w:val="0"/>
          <w:lang w:val="en-US"/>
        </w:rPr>
        <w:t xml:space="preserve"> </w:t>
      </w:r>
      <w:r w:rsidRPr="00CB6CBA">
        <w:rPr>
          <w:snapToGrid w:val="0"/>
          <w:lang w:val="en-US"/>
        </w:rPr>
        <w:t xml:space="preserve">and </w:t>
      </w:r>
      <w:r>
        <w:rPr>
          <w:rFonts w:asciiTheme="majorBidi" w:hAnsiTheme="majorBidi" w:cstheme="majorBidi"/>
          <w:iCs/>
          <w:snapToGrid w:val="0"/>
          <w:lang w:val="en-US"/>
        </w:rPr>
        <w:sym w:font="Symbol" w:char="F078"/>
      </w:r>
      <w:r w:rsidRPr="00CB6CBA">
        <w:rPr>
          <w:snapToGrid w:val="0"/>
          <w:lang w:val="en-US"/>
        </w:rPr>
        <w:t xml:space="preserve"> are coefficients in dB whose values depend on frequency and heights of a transmitter and receiver. For conventional urban areas:</w:t>
      </w:r>
    </w:p>
    <w:p w:rsidR="00CA3B52" w:rsidRDefault="00CA3B52" w:rsidP="00CA3B52">
      <w:pPr>
        <w:pStyle w:val="Blanc"/>
      </w:pPr>
    </w:p>
    <w:p w:rsidR="00CA3B52" w:rsidRDefault="00CA3B52" w:rsidP="00CA3B52">
      <w:pPr>
        <w:pStyle w:val="Equation"/>
        <w:rPr>
          <w:snapToGrid w:val="0"/>
          <w:lang w:val="en-US"/>
        </w:rPr>
      </w:pPr>
      <w:r w:rsidRPr="00CB6CBA">
        <w:rPr>
          <w:snapToGrid w:val="0"/>
          <w:lang w:val="en-US"/>
        </w:rPr>
        <w:tab/>
      </w:r>
      <w:r w:rsidRPr="00CB6CBA">
        <w:rPr>
          <w:snapToGrid w:val="0"/>
          <w:lang w:val="en-US"/>
        </w:rPr>
        <w:tab/>
      </w:r>
      <w:r>
        <w:rPr>
          <w:rFonts w:asciiTheme="majorBidi" w:hAnsiTheme="majorBidi" w:cstheme="majorBidi"/>
          <w:iCs/>
          <w:snapToGrid w:val="0"/>
          <w:lang w:val="en-US"/>
        </w:rPr>
        <w:sym w:font="Symbol" w:char="F078"/>
      </w:r>
      <w:r>
        <w:rPr>
          <w:rFonts w:asciiTheme="majorBidi" w:hAnsiTheme="majorBidi" w:cstheme="majorBidi"/>
          <w:iCs/>
          <w:snapToGrid w:val="0"/>
          <w:lang w:val="en-US"/>
        </w:rPr>
        <w:t xml:space="preserve"> </w:t>
      </w:r>
      <w:r w:rsidRPr="00CB6CBA">
        <w:rPr>
          <w:rFonts w:ascii="Symbol" w:hAnsi="Symbol"/>
          <w:snapToGrid w:val="0"/>
          <w:lang w:val="en-US"/>
        </w:rPr>
        <w:t></w:t>
      </w:r>
      <w:r w:rsidRPr="00CB6CBA">
        <w:rPr>
          <w:snapToGrid w:val="0"/>
          <w:lang w:val="en-US"/>
        </w:rPr>
        <w:t xml:space="preserve"> 44.9 – 6.55 </w:t>
      </w:r>
      <w:r w:rsidRPr="00CB6CBA">
        <w:rPr>
          <w:iCs/>
          <w:snapToGrid w:val="0"/>
          <w:lang w:val="en-US"/>
        </w:rPr>
        <w:t>log</w:t>
      </w:r>
      <w:r w:rsidRPr="00CB6CBA">
        <w:rPr>
          <w:i/>
          <w:snapToGrid w:val="0"/>
          <w:lang w:val="en-US"/>
        </w:rPr>
        <w:t xml:space="preserve"> h</w:t>
      </w:r>
      <w:r w:rsidRPr="00CB6CBA">
        <w:rPr>
          <w:i/>
          <w:snapToGrid w:val="0"/>
          <w:vertAlign w:val="subscript"/>
          <w:lang w:val="en-US"/>
        </w:rPr>
        <w:t>t</w:t>
      </w:r>
      <w:r w:rsidRPr="00CB6CBA">
        <w:rPr>
          <w:i/>
          <w:snapToGrid w:val="0"/>
          <w:lang w:val="en-US"/>
        </w:rPr>
        <w:tab/>
      </w:r>
      <w:r w:rsidRPr="00CB6CBA">
        <w:rPr>
          <w:snapToGrid w:val="0"/>
          <w:lang w:val="en-US"/>
        </w:rPr>
        <w:t>(</w:t>
      </w:r>
      <w:r>
        <w:rPr>
          <w:snapToGrid w:val="0"/>
          <w:lang w:val="en-US"/>
        </w:rPr>
        <w:t>41</w:t>
      </w:r>
      <w:r w:rsidRPr="00CB6CBA">
        <w:rPr>
          <w:snapToGrid w:val="0"/>
          <w:lang w:val="en-US"/>
        </w:rPr>
        <w:t>)</w:t>
      </w:r>
    </w:p>
    <w:p w:rsidR="00CA3B52" w:rsidRDefault="00CA3B52" w:rsidP="00F65451">
      <w:pPr>
        <w:pStyle w:val="Equation"/>
        <w:rPr>
          <w:snapToGrid w:val="0"/>
          <w:lang w:val="en-US"/>
        </w:rPr>
      </w:pPr>
      <w:r>
        <w:rPr>
          <w:snapToGrid w:val="0"/>
          <w:lang w:val="en-US"/>
        </w:rPr>
        <w:tab/>
      </w:r>
      <w:r>
        <w:rPr>
          <w:snapToGrid w:val="0"/>
          <w:lang w:val="en-US"/>
        </w:rPr>
        <w:tab/>
      </w:r>
      <w:r>
        <w:rPr>
          <w:rFonts w:asciiTheme="majorBidi" w:hAnsiTheme="majorBidi" w:cstheme="majorBidi"/>
          <w:snapToGrid w:val="0"/>
          <w:lang w:val="en-US"/>
        </w:rPr>
        <w:sym w:font="Symbol" w:char="F04A"/>
      </w:r>
      <w:r>
        <w:rPr>
          <w:rFonts w:asciiTheme="majorBidi" w:hAnsiTheme="majorBidi" w:cstheme="majorBidi"/>
          <w:snapToGrid w:val="0"/>
          <w:lang w:val="en-US"/>
        </w:rPr>
        <w:t xml:space="preserve"> =</w:t>
      </w:r>
      <w:r w:rsidRPr="00CB6CBA">
        <w:rPr>
          <w:snapToGrid w:val="0"/>
          <w:lang w:val="en-US"/>
        </w:rPr>
        <w:t xml:space="preserve"> 65.55 – 6.16 </w:t>
      </w:r>
      <w:r w:rsidRPr="00CB6CBA">
        <w:rPr>
          <w:iCs/>
          <w:snapToGrid w:val="0"/>
          <w:lang w:val="en-US"/>
        </w:rPr>
        <w:t>log</w:t>
      </w:r>
      <w:r w:rsidRPr="00CB6CBA">
        <w:rPr>
          <w:i/>
          <w:snapToGrid w:val="0"/>
          <w:lang w:val="en-US"/>
        </w:rPr>
        <w:t xml:space="preserve"> f</w:t>
      </w:r>
      <w:r w:rsidRPr="00CB6CBA">
        <w:rPr>
          <w:snapToGrid w:val="0"/>
          <w:lang w:val="en-US"/>
        </w:rPr>
        <w:t xml:space="preserve"> </w:t>
      </w:r>
      <w:r>
        <w:rPr>
          <w:snapToGrid w:val="0"/>
          <w:lang w:val="en-US"/>
        </w:rPr>
        <w:t>+</w:t>
      </w:r>
      <w:r w:rsidRPr="00CB6CBA">
        <w:rPr>
          <w:snapToGrid w:val="0"/>
          <w:lang w:val="en-US"/>
        </w:rPr>
        <w:t xml:space="preserve"> 13.82 </w:t>
      </w:r>
      <w:r w:rsidRPr="00CB6CBA">
        <w:rPr>
          <w:iCs/>
          <w:snapToGrid w:val="0"/>
          <w:lang w:val="en-US"/>
        </w:rPr>
        <w:t>log</w:t>
      </w:r>
      <w:r w:rsidRPr="00CB6CBA">
        <w:rPr>
          <w:i/>
          <w:snapToGrid w:val="0"/>
          <w:lang w:val="en-US"/>
        </w:rPr>
        <w:t xml:space="preserve"> h</w:t>
      </w:r>
      <w:r w:rsidRPr="00CB6CBA">
        <w:rPr>
          <w:i/>
          <w:snapToGrid w:val="0"/>
          <w:vertAlign w:val="subscript"/>
          <w:lang w:val="en-US"/>
        </w:rPr>
        <w:t>t</w:t>
      </w:r>
      <w:r w:rsidRPr="00CB6CBA">
        <w:rPr>
          <w:i/>
          <w:snapToGrid w:val="0"/>
          <w:lang w:val="en-US"/>
        </w:rPr>
        <w:t xml:space="preserve"> </w:t>
      </w:r>
      <w:r>
        <w:rPr>
          <w:iCs/>
          <w:snapToGrid w:val="0"/>
          <w:lang w:val="en-US"/>
        </w:rPr>
        <w:t>+</w:t>
      </w:r>
      <w:r w:rsidRPr="00CB6CBA">
        <w:rPr>
          <w:i/>
          <w:snapToGrid w:val="0"/>
          <w:lang w:val="en-US"/>
        </w:rPr>
        <w:t xml:space="preserve"> a</w:t>
      </w:r>
      <w:r w:rsidRPr="00CB6CBA">
        <w:rPr>
          <w:i/>
          <w:snapToGrid w:val="0"/>
          <w:vertAlign w:val="subscript"/>
          <w:lang w:val="en-US"/>
        </w:rPr>
        <w:t>r</w:t>
      </w:r>
      <w:r w:rsidRPr="00CB6CBA">
        <w:rPr>
          <w:iCs/>
          <w:snapToGrid w:val="0"/>
          <w:lang w:val="en-US"/>
        </w:rPr>
        <w:t>(</w:t>
      </w:r>
      <w:r w:rsidRPr="00CB6CBA">
        <w:rPr>
          <w:i/>
          <w:snapToGrid w:val="0"/>
          <w:lang w:val="en-US"/>
        </w:rPr>
        <w:t>h</w:t>
      </w:r>
      <w:r w:rsidRPr="00CB6CBA">
        <w:rPr>
          <w:i/>
          <w:snapToGrid w:val="0"/>
          <w:vertAlign w:val="subscript"/>
          <w:lang w:val="en-US"/>
        </w:rPr>
        <w:t>r</w:t>
      </w:r>
      <w:r w:rsidRPr="00CB6CBA">
        <w:rPr>
          <w:iCs/>
          <w:snapToGrid w:val="0"/>
          <w:lang w:val="en-US"/>
        </w:rPr>
        <w:t>)</w:t>
      </w:r>
      <w:r>
        <w:rPr>
          <w:iCs/>
          <w:snapToGrid w:val="0"/>
          <w:lang w:val="en-US"/>
        </w:rPr>
        <w:t xml:space="preserve">    </w:t>
      </w:r>
      <w:r w:rsidRPr="00CB6CBA">
        <w:rPr>
          <w:snapToGrid w:val="0"/>
          <w:lang w:val="en-US"/>
        </w:rPr>
        <w:t>for</w:t>
      </w:r>
      <w:r>
        <w:rPr>
          <w:snapToGrid w:val="0"/>
          <w:lang w:val="en-US"/>
        </w:rPr>
        <w:t xml:space="preserve">   </w:t>
      </w:r>
      <w:r w:rsidRPr="00CB6CBA">
        <w:rPr>
          <w:i/>
          <w:snapToGrid w:val="0"/>
          <w:lang w:val="en-US"/>
        </w:rPr>
        <w:t>f </w:t>
      </w:r>
      <w:r>
        <w:rPr>
          <w:rFonts w:asciiTheme="majorBidi" w:hAnsiTheme="majorBidi" w:cstheme="majorBidi"/>
          <w:iCs/>
          <w:snapToGrid w:val="0"/>
          <w:lang w:val="en-US"/>
        </w:rPr>
        <w:sym w:font="Symbol" w:char="F0A3"/>
      </w:r>
      <w:r w:rsidRPr="00CB6CBA">
        <w:rPr>
          <w:i/>
          <w:snapToGrid w:val="0"/>
          <w:lang w:val="en-US"/>
        </w:rPr>
        <w:t> </w:t>
      </w:r>
      <w:r w:rsidRPr="00CB6CBA">
        <w:rPr>
          <w:snapToGrid w:val="0"/>
          <w:lang w:val="en-US"/>
        </w:rPr>
        <w:t>1 GHz</w:t>
      </w:r>
      <w:r w:rsidRPr="00CB6CBA">
        <w:rPr>
          <w:snapToGrid w:val="0"/>
          <w:lang w:val="en-US"/>
        </w:rPr>
        <w:tab/>
        <w:t>(</w:t>
      </w:r>
      <w:r>
        <w:rPr>
          <w:snapToGrid w:val="0"/>
          <w:lang w:val="en-US"/>
        </w:rPr>
        <w:t>42</w:t>
      </w:r>
      <w:r w:rsidRPr="00CB6CBA">
        <w:rPr>
          <w:snapToGrid w:val="0"/>
          <w:lang w:val="en-US"/>
        </w:rPr>
        <w:t>)</w:t>
      </w:r>
    </w:p>
    <w:p w:rsidR="00CA3B52" w:rsidRDefault="00CA3B52" w:rsidP="00F65451">
      <w:pPr>
        <w:pStyle w:val="Equation"/>
        <w:rPr>
          <w:snapToGrid w:val="0"/>
          <w:lang w:val="en-US"/>
        </w:rPr>
      </w:pPr>
      <w:r>
        <w:rPr>
          <w:snapToGrid w:val="0"/>
          <w:lang w:val="en-US"/>
        </w:rPr>
        <w:tab/>
      </w:r>
      <w:r w:rsidRPr="00CB6CBA">
        <w:rPr>
          <w:snapToGrid w:val="0"/>
          <w:lang w:val="en-US"/>
        </w:rPr>
        <w:tab/>
      </w:r>
      <w:r>
        <w:rPr>
          <w:rFonts w:asciiTheme="majorBidi" w:hAnsiTheme="majorBidi" w:cstheme="majorBidi"/>
          <w:snapToGrid w:val="0"/>
          <w:lang w:val="en-US"/>
        </w:rPr>
        <w:sym w:font="Symbol" w:char="F04A"/>
      </w:r>
      <w:r>
        <w:rPr>
          <w:rFonts w:asciiTheme="majorBidi" w:hAnsiTheme="majorBidi" w:cstheme="majorBidi"/>
          <w:snapToGrid w:val="0"/>
          <w:lang w:val="en-US"/>
        </w:rPr>
        <w:t xml:space="preserve"> =</w:t>
      </w:r>
      <w:r w:rsidRPr="00CB6CBA">
        <w:rPr>
          <w:snapToGrid w:val="0"/>
          <w:lang w:val="en-US"/>
        </w:rPr>
        <w:t xml:space="preserve"> 46.3 – 33.9 log </w:t>
      </w:r>
      <w:r w:rsidRPr="00CB6CBA">
        <w:rPr>
          <w:i/>
          <w:iCs/>
          <w:snapToGrid w:val="0"/>
          <w:lang w:val="en-US"/>
        </w:rPr>
        <w:t>f</w:t>
      </w:r>
      <w:r w:rsidRPr="00CB6CBA">
        <w:rPr>
          <w:snapToGrid w:val="0"/>
          <w:lang w:val="en-US"/>
        </w:rPr>
        <w:t xml:space="preserve"> </w:t>
      </w:r>
      <w:r>
        <w:rPr>
          <w:snapToGrid w:val="0"/>
          <w:lang w:val="en-US"/>
        </w:rPr>
        <w:t>+</w:t>
      </w:r>
      <w:r w:rsidRPr="00CB6CBA">
        <w:rPr>
          <w:snapToGrid w:val="0"/>
          <w:lang w:val="en-US"/>
        </w:rPr>
        <w:t xml:space="preserve"> 13.</w:t>
      </w:r>
      <w:r w:rsidRPr="00CB6CBA">
        <w:rPr>
          <w:rFonts w:ascii="Symbol" w:hAnsi="Symbol"/>
          <w:snapToGrid w:val="0"/>
          <w:lang w:val="en-US"/>
        </w:rPr>
        <w:t></w:t>
      </w:r>
      <w:r w:rsidRPr="00CB6CBA">
        <w:rPr>
          <w:rFonts w:ascii="Symbol" w:hAnsi="Symbol"/>
          <w:snapToGrid w:val="0"/>
          <w:lang w:val="en-US"/>
        </w:rPr>
        <w:t></w:t>
      </w:r>
      <w:r w:rsidRPr="00CB6CBA">
        <w:rPr>
          <w:snapToGrid w:val="0"/>
          <w:lang w:val="en-US"/>
        </w:rPr>
        <w:t xml:space="preserve"> log </w:t>
      </w:r>
      <w:r w:rsidRPr="00CB6CBA">
        <w:rPr>
          <w:i/>
          <w:iCs/>
          <w:snapToGrid w:val="0"/>
          <w:lang w:val="en-US"/>
        </w:rPr>
        <w:t>h</w:t>
      </w:r>
      <w:r w:rsidRPr="00CB6CBA">
        <w:rPr>
          <w:i/>
          <w:iCs/>
          <w:snapToGrid w:val="0"/>
          <w:vertAlign w:val="subscript"/>
          <w:lang w:val="en-US"/>
        </w:rPr>
        <w:t>t</w:t>
      </w:r>
      <w:r w:rsidRPr="00CB6CBA">
        <w:rPr>
          <w:snapToGrid w:val="0"/>
          <w:lang w:val="en-US"/>
        </w:rPr>
        <w:t xml:space="preserve"> </w:t>
      </w:r>
      <w:r>
        <w:rPr>
          <w:snapToGrid w:val="0"/>
          <w:lang w:val="en-US"/>
        </w:rPr>
        <w:t>+</w:t>
      </w:r>
      <w:r w:rsidRPr="00CB6CBA">
        <w:rPr>
          <w:snapToGrid w:val="0"/>
          <w:lang w:val="en-US"/>
        </w:rPr>
        <w:t xml:space="preserve"> </w:t>
      </w:r>
      <w:r w:rsidRPr="00CB6CBA">
        <w:rPr>
          <w:i/>
          <w:iCs/>
          <w:snapToGrid w:val="0"/>
          <w:lang w:val="en-US"/>
        </w:rPr>
        <w:t>a</w:t>
      </w:r>
      <w:r w:rsidRPr="00CB6CBA">
        <w:rPr>
          <w:i/>
          <w:iCs/>
          <w:snapToGrid w:val="0"/>
          <w:vertAlign w:val="subscript"/>
          <w:lang w:val="en-US"/>
        </w:rPr>
        <w:t>r</w:t>
      </w:r>
      <w:r w:rsidRPr="00CB6CBA">
        <w:rPr>
          <w:snapToGrid w:val="0"/>
          <w:lang w:val="en-US"/>
        </w:rPr>
        <w:t>(</w:t>
      </w:r>
      <w:r w:rsidRPr="00CB6CBA">
        <w:rPr>
          <w:i/>
          <w:iCs/>
          <w:snapToGrid w:val="0"/>
          <w:lang w:val="en-US"/>
        </w:rPr>
        <w:t>h</w:t>
      </w:r>
      <w:r w:rsidRPr="00CB6CBA">
        <w:rPr>
          <w:i/>
          <w:iCs/>
          <w:snapToGrid w:val="0"/>
          <w:vertAlign w:val="subscript"/>
          <w:lang w:val="en-US"/>
        </w:rPr>
        <w:t>r</w:t>
      </w:r>
      <w:r>
        <w:rPr>
          <w:snapToGrid w:val="0"/>
          <w:lang w:val="en-US"/>
        </w:rPr>
        <w:t xml:space="preserve">)         </w:t>
      </w:r>
      <w:r w:rsidRPr="00CB6CBA">
        <w:rPr>
          <w:snapToGrid w:val="0"/>
          <w:lang w:val="en-US"/>
        </w:rPr>
        <w:t>for</w:t>
      </w:r>
      <w:r>
        <w:rPr>
          <w:snapToGrid w:val="0"/>
          <w:lang w:val="en-US"/>
        </w:rPr>
        <w:t xml:space="preserve">  </w:t>
      </w:r>
      <w:r w:rsidRPr="00CB6CBA">
        <w:rPr>
          <w:snapToGrid w:val="0"/>
          <w:lang w:val="en-US"/>
        </w:rPr>
        <w:t xml:space="preserve"> </w:t>
      </w:r>
      <w:r w:rsidRPr="00CB6CBA">
        <w:rPr>
          <w:i/>
          <w:iCs/>
          <w:snapToGrid w:val="0"/>
          <w:lang w:val="en-US"/>
        </w:rPr>
        <w:t>f</w:t>
      </w:r>
      <w:r w:rsidRPr="00CB6CBA">
        <w:rPr>
          <w:snapToGrid w:val="0"/>
          <w:lang w:val="en-US"/>
        </w:rPr>
        <w:t> </w:t>
      </w:r>
      <w:r>
        <w:rPr>
          <w:rFonts w:asciiTheme="majorBidi" w:hAnsiTheme="majorBidi" w:cstheme="majorBidi"/>
          <w:snapToGrid w:val="0"/>
          <w:lang w:val="en-US"/>
        </w:rPr>
        <w:sym w:font="Symbol" w:char="F0B3"/>
      </w:r>
      <w:r w:rsidRPr="00CB6CBA">
        <w:rPr>
          <w:snapToGrid w:val="0"/>
          <w:lang w:val="en-US"/>
        </w:rPr>
        <w:t> 1.5 GHz</w:t>
      </w:r>
      <w:r>
        <w:rPr>
          <w:snapToGrid w:val="0"/>
          <w:lang w:val="en-US"/>
        </w:rPr>
        <w:tab/>
      </w:r>
      <w:r w:rsidRPr="00CB6CBA">
        <w:rPr>
          <w:snapToGrid w:val="0"/>
          <w:lang w:val="en-US"/>
        </w:rPr>
        <w:t>(</w:t>
      </w:r>
      <w:r>
        <w:rPr>
          <w:snapToGrid w:val="0"/>
          <w:lang w:val="en-US"/>
        </w:rPr>
        <w:t>43</w:t>
      </w:r>
      <w:r w:rsidRPr="00CB6CBA">
        <w:rPr>
          <w:snapToGrid w:val="0"/>
          <w:lang w:val="en-US"/>
        </w:rPr>
        <w:t>)</w:t>
      </w:r>
    </w:p>
    <w:p w:rsidR="00CA3B52" w:rsidRPr="00CB6CBA" w:rsidRDefault="00CA3B52" w:rsidP="00CA3B52">
      <w:pPr>
        <w:rPr>
          <w:snapToGrid w:val="0"/>
          <w:lang w:val="en-US"/>
        </w:rPr>
      </w:pPr>
      <w:r w:rsidRPr="00CB6CBA">
        <w:rPr>
          <w:snapToGrid w:val="0"/>
          <w:lang w:val="en-US"/>
        </w:rPr>
        <w:lastRenderedPageBreak/>
        <w:t>where:</w:t>
      </w:r>
    </w:p>
    <w:p w:rsidR="00CA3B52" w:rsidRPr="00CB6CBA" w:rsidRDefault="00CA3B52" w:rsidP="00F65451">
      <w:pPr>
        <w:pStyle w:val="Equationlegend"/>
        <w:rPr>
          <w:snapToGrid w:val="0"/>
        </w:rPr>
      </w:pPr>
      <w:r w:rsidRPr="00CB6CBA">
        <w:rPr>
          <w:i/>
          <w:iCs/>
          <w:snapToGrid w:val="0"/>
        </w:rPr>
        <w:tab/>
        <w:t>f</w:t>
      </w:r>
      <w:r w:rsidRPr="00CB6CBA">
        <w:t xml:space="preserve"> </w:t>
      </w:r>
      <w:r w:rsidRPr="00CB6CBA">
        <w:rPr>
          <w:snapToGrid w:val="0"/>
        </w:rPr>
        <w:t>:</w:t>
      </w:r>
      <w:r w:rsidRPr="00CB6CBA">
        <w:rPr>
          <w:snapToGrid w:val="0"/>
        </w:rPr>
        <w:tab/>
        <w:t>working frequency (MHz)</w:t>
      </w:r>
    </w:p>
    <w:p w:rsidR="00CA3B52" w:rsidRPr="00CB6CBA" w:rsidRDefault="00CA3B52" w:rsidP="00CA3B52">
      <w:pPr>
        <w:pStyle w:val="Equationlegend"/>
      </w:pPr>
      <w:r w:rsidRPr="00CB6CBA">
        <w:rPr>
          <w:i/>
        </w:rPr>
        <w:tab/>
        <w:t>h</w:t>
      </w:r>
      <w:r w:rsidRPr="00CB6CBA">
        <w:rPr>
          <w:i/>
          <w:vertAlign w:val="subscript"/>
        </w:rPr>
        <w:t>t</w:t>
      </w:r>
      <w:r w:rsidRPr="00CB6CBA">
        <w:t xml:space="preserve"> </w:t>
      </w:r>
      <w:r w:rsidRPr="00CB6CBA">
        <w:rPr>
          <w:iCs/>
        </w:rPr>
        <w:t>:</w:t>
      </w:r>
      <w:r w:rsidRPr="00CB6CBA">
        <w:rPr>
          <w:iCs/>
        </w:rPr>
        <w:tab/>
        <w:t>effective</w:t>
      </w:r>
      <w:r w:rsidRPr="00CB6CBA">
        <w:t xml:space="preserve"> height of transmitting antenna (m)</w:t>
      </w:r>
    </w:p>
    <w:p w:rsidR="00CA3B52" w:rsidRPr="00CB6CBA" w:rsidRDefault="00CA3B52" w:rsidP="00CA3B52">
      <w:pPr>
        <w:pStyle w:val="Equationlegend"/>
      </w:pPr>
      <w:r w:rsidRPr="00CB6CBA">
        <w:rPr>
          <w:i/>
        </w:rPr>
        <w:tab/>
        <w:t>h</w:t>
      </w:r>
      <w:r w:rsidRPr="00CB6CBA">
        <w:rPr>
          <w:i/>
          <w:vertAlign w:val="subscript"/>
        </w:rPr>
        <w:t>r</w:t>
      </w:r>
      <w:r w:rsidRPr="00CB6CBA">
        <w:t xml:space="preserve"> :</w:t>
      </w:r>
      <w:r w:rsidRPr="00CB6CBA">
        <w:tab/>
      </w:r>
      <w:r w:rsidRPr="00CB6CBA">
        <w:rPr>
          <w:iCs/>
        </w:rPr>
        <w:t>effective</w:t>
      </w:r>
      <w:r w:rsidRPr="00CB6CBA">
        <w:t xml:space="preserve"> height of receiving antenna (m)</w:t>
      </w:r>
    </w:p>
    <w:p w:rsidR="00CA3B52" w:rsidRPr="00CB6CBA" w:rsidRDefault="00CA3B52" w:rsidP="00CA3B52">
      <w:pPr>
        <w:pStyle w:val="Equation"/>
        <w:rPr>
          <w:snapToGrid w:val="0"/>
          <w:lang w:val="en-US"/>
        </w:rPr>
      </w:pPr>
      <w:r w:rsidRPr="00CB6CBA">
        <w:rPr>
          <w:lang w:val="en-US"/>
        </w:rPr>
        <w:tab/>
      </w:r>
      <w:r w:rsidRPr="00CB6CBA">
        <w:rPr>
          <w:i/>
          <w:snapToGrid w:val="0"/>
          <w:lang w:val="en-US"/>
        </w:rPr>
        <w:t>a</w:t>
      </w:r>
      <w:r w:rsidRPr="00CB6CBA">
        <w:rPr>
          <w:i/>
          <w:snapToGrid w:val="0"/>
          <w:vertAlign w:val="subscript"/>
          <w:lang w:val="en-US"/>
        </w:rPr>
        <w:t>r</w:t>
      </w:r>
      <w:r w:rsidRPr="00CB6CBA">
        <w:rPr>
          <w:rFonts w:ascii="Tms Rmn" w:hAnsi="Tms Rmn"/>
          <w:iCs/>
          <w:snapToGrid w:val="0"/>
          <w:sz w:val="6"/>
          <w:lang w:val="en-US"/>
        </w:rPr>
        <w:t> </w:t>
      </w:r>
      <w:r w:rsidRPr="00CB6CBA">
        <w:rPr>
          <w:lang w:val="en-US"/>
        </w:rPr>
        <w:t>(</w:t>
      </w:r>
      <w:r w:rsidRPr="00CB6CBA">
        <w:rPr>
          <w:i/>
          <w:snapToGrid w:val="0"/>
          <w:lang w:val="en-US"/>
        </w:rPr>
        <w:t>h</w:t>
      </w:r>
      <w:r w:rsidRPr="00CB6CBA">
        <w:rPr>
          <w:i/>
          <w:snapToGrid w:val="0"/>
          <w:vertAlign w:val="subscript"/>
          <w:lang w:val="en-US"/>
        </w:rPr>
        <w:t>r</w:t>
      </w:r>
      <w:r w:rsidRPr="00CB6CBA">
        <w:rPr>
          <w:lang w:val="en-US"/>
        </w:rPr>
        <w:t>)  </w:t>
      </w:r>
      <w:r w:rsidRPr="00CB6CBA">
        <w:rPr>
          <w:rFonts w:ascii="Symbol" w:hAnsi="Symbol"/>
          <w:snapToGrid w:val="0"/>
          <w:lang w:val="en-US"/>
        </w:rPr>
        <w:t></w:t>
      </w:r>
      <w:r w:rsidRPr="00CB6CBA">
        <w:rPr>
          <w:snapToGrid w:val="0"/>
          <w:lang w:val="en-US"/>
        </w:rPr>
        <w:t xml:space="preserve">  (1.1 </w:t>
      </w:r>
      <w:r w:rsidRPr="00CB6CBA">
        <w:rPr>
          <w:lang w:val="en-US"/>
        </w:rPr>
        <w:t>log</w:t>
      </w:r>
      <w:r w:rsidRPr="00CB6CBA">
        <w:rPr>
          <w:i/>
          <w:snapToGrid w:val="0"/>
          <w:lang w:val="en-US"/>
        </w:rPr>
        <w:t xml:space="preserve"> </w:t>
      </w:r>
      <w:r w:rsidRPr="00CB6CBA">
        <w:rPr>
          <w:rFonts w:ascii="Tms Rmn" w:hAnsi="Tms Rmn"/>
          <w:i/>
          <w:snapToGrid w:val="0"/>
          <w:sz w:val="12"/>
          <w:lang w:val="en-US"/>
        </w:rPr>
        <w:t> </w:t>
      </w:r>
      <w:r w:rsidRPr="00CB6CBA">
        <w:rPr>
          <w:i/>
          <w:snapToGrid w:val="0"/>
          <w:lang w:val="en-US"/>
        </w:rPr>
        <w:t>f</w:t>
      </w:r>
      <w:r w:rsidRPr="00CB6CBA">
        <w:rPr>
          <w:snapToGrid w:val="0"/>
          <w:lang w:val="en-US"/>
        </w:rPr>
        <w:t xml:space="preserve"> </w:t>
      </w:r>
      <w:r w:rsidRPr="00CB6CBA">
        <w:rPr>
          <w:rFonts w:ascii="Tms Rmn" w:hAnsi="Tms Rmn"/>
          <w:snapToGrid w:val="0"/>
          <w:sz w:val="12"/>
          <w:lang w:val="en-US"/>
        </w:rPr>
        <w:t> </w:t>
      </w:r>
      <w:r w:rsidRPr="00CB6CBA">
        <w:rPr>
          <w:snapToGrid w:val="0"/>
          <w:lang w:val="en-US"/>
        </w:rPr>
        <w:t xml:space="preserve">– 0.7) </w:t>
      </w:r>
      <w:r w:rsidRPr="00CB6CBA">
        <w:rPr>
          <w:i/>
          <w:snapToGrid w:val="0"/>
          <w:lang w:val="en-US"/>
        </w:rPr>
        <w:t>h</w:t>
      </w:r>
      <w:r w:rsidRPr="00CB6CBA">
        <w:rPr>
          <w:i/>
          <w:snapToGrid w:val="0"/>
          <w:vertAlign w:val="subscript"/>
          <w:lang w:val="en-US"/>
        </w:rPr>
        <w:t>r</w:t>
      </w:r>
      <w:r w:rsidRPr="00CB6CBA">
        <w:rPr>
          <w:snapToGrid w:val="0"/>
          <w:lang w:val="en-US"/>
        </w:rPr>
        <w:t xml:space="preserve"> – (1.56 </w:t>
      </w:r>
      <w:r w:rsidRPr="00CB6CBA">
        <w:rPr>
          <w:lang w:val="en-US"/>
        </w:rPr>
        <w:t>log</w:t>
      </w:r>
      <w:r w:rsidRPr="00CB6CBA">
        <w:rPr>
          <w:i/>
          <w:snapToGrid w:val="0"/>
          <w:lang w:val="en-US"/>
        </w:rPr>
        <w:t xml:space="preserve">  f</w:t>
      </w:r>
      <w:r w:rsidRPr="00CB6CBA">
        <w:rPr>
          <w:snapToGrid w:val="0"/>
          <w:lang w:val="en-US"/>
        </w:rPr>
        <w:t xml:space="preserve">  – 0.8) (dB).</w:t>
      </w:r>
    </w:p>
    <w:p w:rsidR="00CA3B52" w:rsidRPr="00CB6CBA" w:rsidRDefault="00CA3B52" w:rsidP="00CA3B52">
      <w:pPr>
        <w:rPr>
          <w:snapToGrid w:val="0"/>
          <w:lang w:val="en-US"/>
        </w:rPr>
      </w:pPr>
      <w:r w:rsidRPr="00CB6CBA">
        <w:rPr>
          <w:lang w:val="en-US"/>
        </w:rPr>
        <w:t xml:space="preserve">Effective </w:t>
      </w:r>
      <w:r w:rsidRPr="00CB6CBA">
        <w:rPr>
          <w:snapToGrid w:val="0"/>
          <w:lang w:val="en-US"/>
        </w:rPr>
        <w:t xml:space="preserve">height of </w:t>
      </w:r>
      <w:r w:rsidRPr="00CB6CBA">
        <w:rPr>
          <w:lang w:val="en-US"/>
        </w:rPr>
        <w:t>transmitting</w:t>
      </w:r>
      <w:r w:rsidRPr="00CB6CBA">
        <w:rPr>
          <w:snapToGrid w:val="0"/>
          <w:lang w:val="en-US"/>
        </w:rPr>
        <w:t xml:space="preserve"> </w:t>
      </w:r>
      <w:r w:rsidRPr="00CB6CBA">
        <w:rPr>
          <w:lang w:val="en-US"/>
        </w:rPr>
        <w:t xml:space="preserve">antenna is to be determined as it is presented in </w:t>
      </w:r>
      <w:r w:rsidRPr="00CB6CBA">
        <w:rPr>
          <w:snapToGrid w:val="0"/>
          <w:lang w:val="en-US"/>
        </w:rPr>
        <w:t xml:space="preserve">Recommendation ITU-R P.1546-4, i.e. by procedure demonstrated in </w:t>
      </w:r>
      <w:r>
        <w:rPr>
          <w:lang w:val="en-US"/>
        </w:rPr>
        <w:t xml:space="preserve">§§ </w:t>
      </w:r>
      <w:r w:rsidRPr="00CB6CBA">
        <w:rPr>
          <w:snapToGrid w:val="0"/>
          <w:lang w:val="en-US"/>
        </w:rPr>
        <w:t>4.</w:t>
      </w:r>
      <w:r>
        <w:rPr>
          <w:snapToGrid w:val="0"/>
          <w:lang w:val="en-US"/>
        </w:rPr>
        <w:t>7</w:t>
      </w:r>
      <w:r w:rsidRPr="00CB6CBA">
        <w:rPr>
          <w:snapToGrid w:val="0"/>
          <w:lang w:val="en-US"/>
        </w:rPr>
        <w:t>.1(b) and 4.</w:t>
      </w:r>
      <w:r>
        <w:rPr>
          <w:snapToGrid w:val="0"/>
          <w:lang w:val="en-US"/>
        </w:rPr>
        <w:t>7</w:t>
      </w:r>
      <w:r w:rsidRPr="00CB6CBA">
        <w:rPr>
          <w:snapToGrid w:val="0"/>
          <w:lang w:val="en-US"/>
        </w:rPr>
        <w:t>.1(c). However, taking into account that recently powers of base stations are not too high and, therefore, related service areas are relatively small, for great majority of urban areas situated at a plain terrain, effective height of transmitting antenna can be approximated by its height above ground at a place of its installation. The antenna height of a mobile or portable station is taken as its height above the ground. These assumptions are taken for purposes of the given licence fees calculation model.</w:t>
      </w:r>
    </w:p>
    <w:p w:rsidR="00CA3B52" w:rsidRDefault="00CA3B52" w:rsidP="00CA3B52">
      <w:pPr>
        <w:rPr>
          <w:snapToGrid w:val="0"/>
          <w:lang w:val="en-US"/>
        </w:rPr>
      </w:pPr>
      <w:r w:rsidRPr="00CB6CBA">
        <w:rPr>
          <w:snapToGrid w:val="0"/>
          <w:lang w:val="en-US"/>
        </w:rPr>
        <w:t>Following equations (</w:t>
      </w:r>
      <w:r>
        <w:rPr>
          <w:snapToGrid w:val="0"/>
          <w:lang w:val="en-US"/>
        </w:rPr>
        <w:t>39</w:t>
      </w:r>
      <w:r w:rsidRPr="00CB6CBA">
        <w:rPr>
          <w:snapToGrid w:val="0"/>
          <w:lang w:val="en-US"/>
        </w:rPr>
        <w:t>) to (</w:t>
      </w:r>
      <w:r>
        <w:rPr>
          <w:snapToGrid w:val="0"/>
          <w:lang w:val="en-US"/>
        </w:rPr>
        <w:t>43</w:t>
      </w:r>
      <w:r w:rsidRPr="00CB6CBA">
        <w:rPr>
          <w:snapToGrid w:val="0"/>
          <w:lang w:val="en-US"/>
        </w:rPr>
        <w:t xml:space="preserve">), a service area radius </w:t>
      </w:r>
      <w:r w:rsidRPr="00CB6CBA">
        <w:rPr>
          <w:i/>
          <w:snapToGrid w:val="0"/>
          <w:lang w:val="en-US"/>
        </w:rPr>
        <w:t>R</w:t>
      </w:r>
      <w:r w:rsidRPr="00CB6CBA">
        <w:rPr>
          <w:snapToGrid w:val="0"/>
          <w:lang w:val="en-US"/>
        </w:rPr>
        <w:t xml:space="preserve"> can be calculated as:</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CB6CBA">
        <w:rPr>
          <w:position w:val="-10"/>
          <w:lang w:val="en-US"/>
        </w:rPr>
        <w:object w:dxaOrig="1359" w:dyaOrig="740">
          <v:shape id="_x0000_i1060" type="#_x0000_t75" style="width:67.8pt;height:36pt" o:ole="">
            <v:imagedata r:id="rId90" o:title=""/>
          </v:shape>
          <o:OLEObject Type="Embed" ProgID="Equation.3" ShapeID="_x0000_i1060" DrawAspect="Content" ObjectID="_1511604849" r:id="rId91"/>
        </w:object>
      </w:r>
      <w:r w:rsidRPr="00CB6CBA">
        <w:rPr>
          <w:lang w:val="en-US"/>
        </w:rPr>
        <w:tab/>
      </w:r>
      <w:r w:rsidRPr="00CB6CBA">
        <w:rPr>
          <w:snapToGrid w:val="0"/>
          <w:lang w:val="en-US"/>
        </w:rPr>
        <w:t>(</w:t>
      </w:r>
      <w:r>
        <w:rPr>
          <w:snapToGrid w:val="0"/>
          <w:lang w:val="en-US"/>
        </w:rPr>
        <w:t>44)</w:t>
      </w:r>
    </w:p>
    <w:p w:rsidR="00CA3B52" w:rsidRPr="00CB6CBA" w:rsidRDefault="00CA3B52" w:rsidP="00CA3B52">
      <w:pPr>
        <w:rPr>
          <w:snapToGrid w:val="0"/>
          <w:lang w:val="en-US"/>
        </w:rPr>
      </w:pPr>
      <w:r w:rsidRPr="00CB6CBA">
        <w:rPr>
          <w:snapToGrid w:val="0"/>
          <w:lang w:val="en-US"/>
        </w:rPr>
        <w:t>where:</w:t>
      </w:r>
    </w:p>
    <w:p w:rsidR="00CA3B52" w:rsidRPr="00CB6CBA" w:rsidRDefault="00CA3B52" w:rsidP="00CA3B52">
      <w:pPr>
        <w:pStyle w:val="Equationlegend"/>
        <w:rPr>
          <w:snapToGrid w:val="0"/>
        </w:rPr>
      </w:pPr>
      <w:r w:rsidRPr="00CB6CBA">
        <w:rPr>
          <w:i/>
          <w:snapToGrid w:val="0"/>
        </w:rPr>
        <w:tab/>
        <w:t xml:space="preserve">R </w:t>
      </w:r>
      <w:r w:rsidRPr="00CB6CBA">
        <w:rPr>
          <w:snapToGrid w:val="0"/>
        </w:rPr>
        <w:t>:</w:t>
      </w:r>
      <w:r w:rsidRPr="00CB6CBA">
        <w:rPr>
          <w:snapToGrid w:val="0"/>
        </w:rPr>
        <w:tab/>
        <w:t>service area radius (km)</w:t>
      </w:r>
    </w:p>
    <w:p w:rsidR="00CA3B52" w:rsidRPr="00CB6CBA" w:rsidRDefault="00CA3B52" w:rsidP="00CA3B52">
      <w:pPr>
        <w:pStyle w:val="Equationlegend"/>
        <w:rPr>
          <w:snapToGrid w:val="0"/>
        </w:rPr>
      </w:pPr>
      <w:r w:rsidRPr="00CB6CBA">
        <w:rPr>
          <w:snapToGrid w:val="0"/>
        </w:rPr>
        <w:tab/>
      </w:r>
      <w:r w:rsidRPr="00CB6CBA">
        <w:rPr>
          <w:i/>
          <w:snapToGrid w:val="0"/>
        </w:rPr>
        <w:t>z</w:t>
      </w:r>
      <w:r w:rsidRPr="00CB6CBA">
        <w:rPr>
          <w:snapToGrid w:val="0"/>
        </w:rPr>
        <w:t xml:space="preserve"> :</w:t>
      </w:r>
      <w:r w:rsidRPr="00CB6CBA">
        <w:rPr>
          <w:snapToGrid w:val="0"/>
        </w:rPr>
        <w:tab/>
        <w:t>easily determined generalized power parameter (dB) calculated as:</w:t>
      </w:r>
    </w:p>
    <w:p w:rsidR="00CA3B52" w:rsidRDefault="00CA3B52" w:rsidP="00CA3B52">
      <w:pPr>
        <w:pStyle w:val="Blanc"/>
      </w:pPr>
    </w:p>
    <w:p w:rsidR="00CA3B52" w:rsidRDefault="00CA3B52" w:rsidP="00CA3B52">
      <w:pPr>
        <w:pStyle w:val="Equation"/>
        <w:rPr>
          <w:snapToGrid w:val="0"/>
          <w:lang w:val="en-US"/>
        </w:rPr>
      </w:pPr>
      <w:r w:rsidRPr="00CB6CBA">
        <w:rPr>
          <w:snapToGrid w:val="0"/>
          <w:lang w:val="en-US"/>
        </w:rPr>
        <w:tab/>
      </w:r>
      <w:r w:rsidRPr="00CB6CBA">
        <w:rPr>
          <w:snapToGrid w:val="0"/>
          <w:lang w:val="en-US"/>
        </w:rPr>
        <w:tab/>
      </w:r>
      <w:r w:rsidRPr="00CB6CBA">
        <w:rPr>
          <w:i/>
          <w:iCs/>
          <w:snapToGrid w:val="0"/>
          <w:lang w:val="en-US"/>
        </w:rPr>
        <w:t>z</w:t>
      </w:r>
      <w:r w:rsidRPr="00CB6CBA">
        <w:rPr>
          <w:snapToGrid w:val="0"/>
          <w:lang w:val="en-US"/>
        </w:rPr>
        <w:t xml:space="preserve"> </w:t>
      </w:r>
      <w:r w:rsidRPr="00CB6CBA">
        <w:rPr>
          <w:rFonts w:ascii="Symbol" w:hAnsi="Symbol"/>
          <w:snapToGrid w:val="0"/>
          <w:lang w:val="en-US"/>
        </w:rPr>
        <w:t></w:t>
      </w:r>
      <w:r w:rsidRPr="00CB6CBA">
        <w:rPr>
          <w:snapToGrid w:val="0"/>
          <w:lang w:val="en-US"/>
        </w:rPr>
        <w:t xml:space="preserve"> </w:t>
      </w:r>
      <w:r w:rsidRPr="00CB6CBA">
        <w:rPr>
          <w:i/>
          <w:iCs/>
          <w:snapToGrid w:val="0"/>
          <w:lang w:val="en-US"/>
        </w:rPr>
        <w:t>P</w:t>
      </w:r>
      <w:r w:rsidRPr="00CB6CBA">
        <w:rPr>
          <w:i/>
          <w:iCs/>
          <w:snapToGrid w:val="0"/>
          <w:vertAlign w:val="subscript"/>
          <w:lang w:val="en-US"/>
        </w:rPr>
        <w:t>t</w:t>
      </w:r>
      <w:r w:rsidRPr="00CB6CBA">
        <w:rPr>
          <w:snapToGrid w:val="0"/>
          <w:lang w:val="en-US"/>
        </w:rPr>
        <w:t xml:space="preserve"> </w:t>
      </w:r>
      <w:r w:rsidRPr="00CB6CBA">
        <w:rPr>
          <w:rFonts w:ascii="Symbol" w:hAnsi="Symbol"/>
          <w:snapToGrid w:val="0"/>
          <w:lang w:val="en-US"/>
        </w:rPr>
        <w:t></w:t>
      </w:r>
      <w:r w:rsidRPr="00CB6CBA">
        <w:rPr>
          <w:snapToGrid w:val="0"/>
          <w:lang w:val="en-US"/>
        </w:rPr>
        <w:t xml:space="preserve"> </w:t>
      </w:r>
      <w:r w:rsidRPr="00CB6CBA">
        <w:rPr>
          <w:i/>
          <w:iCs/>
          <w:snapToGrid w:val="0"/>
          <w:lang w:val="en-US"/>
        </w:rPr>
        <w:t>G</w:t>
      </w:r>
      <w:r w:rsidRPr="00CB6CBA">
        <w:rPr>
          <w:i/>
          <w:iCs/>
          <w:snapToGrid w:val="0"/>
          <w:vertAlign w:val="subscript"/>
          <w:lang w:val="en-US"/>
        </w:rPr>
        <w:t>t</w:t>
      </w:r>
      <w:r w:rsidRPr="00CB6CBA">
        <w:rPr>
          <w:snapToGrid w:val="0"/>
          <w:lang w:val="en-US"/>
        </w:rPr>
        <w:t xml:space="preserve"> + </w:t>
      </w:r>
      <w:r w:rsidRPr="00CB6CBA">
        <w:rPr>
          <w:i/>
          <w:iCs/>
          <w:snapToGrid w:val="0"/>
          <w:lang w:val="en-US"/>
        </w:rPr>
        <w:t>G</w:t>
      </w:r>
      <w:r w:rsidRPr="00CB6CBA">
        <w:rPr>
          <w:i/>
          <w:iCs/>
          <w:snapToGrid w:val="0"/>
          <w:vertAlign w:val="subscript"/>
          <w:lang w:val="en-US"/>
        </w:rPr>
        <w:t>r</w:t>
      </w:r>
      <w:r w:rsidRPr="00CB6CBA">
        <w:rPr>
          <w:snapToGrid w:val="0"/>
          <w:lang w:val="en-US"/>
        </w:rPr>
        <w:t xml:space="preserve"> – </w:t>
      </w:r>
      <w:r w:rsidRPr="00CB6CBA">
        <w:rPr>
          <w:i/>
          <w:iCs/>
          <w:snapToGrid w:val="0"/>
          <w:lang w:val="en-US"/>
        </w:rPr>
        <w:t>P</w:t>
      </w:r>
      <w:r w:rsidRPr="00CB6CBA">
        <w:rPr>
          <w:i/>
          <w:iCs/>
          <w:snapToGrid w:val="0"/>
          <w:vertAlign w:val="subscript"/>
          <w:lang w:val="en-US"/>
        </w:rPr>
        <w:t>min</w:t>
      </w:r>
      <w:r w:rsidRPr="00CB6CBA">
        <w:rPr>
          <w:snapToGrid w:val="0"/>
          <w:lang w:val="en-US"/>
        </w:rPr>
        <w:tab/>
        <w:t>(</w:t>
      </w:r>
      <w:r>
        <w:rPr>
          <w:snapToGrid w:val="0"/>
          <w:lang w:val="en-US"/>
        </w:rPr>
        <w:t>45</w:t>
      </w:r>
      <w:r w:rsidRPr="00CB6CBA">
        <w:rPr>
          <w:snapToGrid w:val="0"/>
          <w:lang w:val="en-US"/>
        </w:rPr>
        <w:t>)</w:t>
      </w:r>
    </w:p>
    <w:p w:rsidR="00CA3B52" w:rsidRDefault="00CA3B52" w:rsidP="00CA3B52">
      <w:pPr>
        <w:pStyle w:val="Blanc"/>
      </w:pPr>
    </w:p>
    <w:p w:rsidR="00CA3B52" w:rsidRDefault="00CA3B52" w:rsidP="00CA3B52">
      <w:pPr>
        <w:rPr>
          <w:snapToGrid w:val="0"/>
          <w:lang w:val="en-US"/>
        </w:rPr>
      </w:pPr>
      <w:r w:rsidRPr="00CB6CBA">
        <w:rPr>
          <w:snapToGrid w:val="0"/>
          <w:lang w:val="en-US"/>
        </w:rPr>
        <w:t xml:space="preserve">Graphs of relationships </w:t>
      </w:r>
      <w:r w:rsidRPr="00CB6CBA">
        <w:rPr>
          <w:i/>
          <w:iCs/>
          <w:snapToGrid w:val="0"/>
          <w:lang w:val="en-US"/>
        </w:rPr>
        <w:t>R</w:t>
      </w:r>
      <w:r w:rsidRPr="00CB6CBA">
        <w:rPr>
          <w:snapToGrid w:val="0"/>
          <w:lang w:val="en-US"/>
        </w:rPr>
        <w:t> </w:t>
      </w:r>
      <w:r w:rsidRPr="00CB6CBA">
        <w:rPr>
          <w:rFonts w:ascii="Symbol" w:hAnsi="Symbol"/>
          <w:snapToGrid w:val="0"/>
          <w:lang w:val="en-US"/>
        </w:rPr>
        <w:t></w:t>
      </w:r>
      <w:r w:rsidRPr="00CB6CBA">
        <w:rPr>
          <w:snapToGrid w:val="0"/>
          <w:lang w:val="en-US"/>
        </w:rPr>
        <w:t> </w:t>
      </w:r>
      <w:r w:rsidRPr="00CB6CBA">
        <w:rPr>
          <w:rFonts w:ascii="Symbol" w:hAnsi="Symbol"/>
          <w:snapToGrid w:val="0"/>
          <w:lang w:val="en-US"/>
        </w:rPr>
        <w:t></w:t>
      </w:r>
      <w:r w:rsidRPr="00CB6CBA">
        <w:rPr>
          <w:rFonts w:ascii="Symbol" w:hAnsi="Symbol"/>
          <w:snapToGrid w:val="0"/>
          <w:lang w:val="en-US"/>
        </w:rPr>
        <w:t></w:t>
      </w:r>
      <w:r w:rsidRPr="00CB6CBA">
        <w:rPr>
          <w:i/>
          <w:snapToGrid w:val="0"/>
          <w:lang w:val="en-US"/>
        </w:rPr>
        <w:t>z</w:t>
      </w:r>
      <w:r w:rsidRPr="00CB6CBA">
        <w:rPr>
          <w:rFonts w:ascii="Symbol" w:hAnsi="Symbol"/>
          <w:snapToGrid w:val="0"/>
          <w:lang w:val="en-US"/>
        </w:rPr>
        <w:t></w:t>
      </w:r>
      <w:r w:rsidRPr="00CB6CBA">
        <w:rPr>
          <w:snapToGrid w:val="0"/>
          <w:lang w:val="en-US"/>
        </w:rPr>
        <w:t>, calculated in accordance with equations (</w:t>
      </w:r>
      <w:r>
        <w:rPr>
          <w:snapToGrid w:val="0"/>
          <w:lang w:val="en-US"/>
        </w:rPr>
        <w:t>44</w:t>
      </w:r>
      <w:r w:rsidRPr="00CB6CBA">
        <w:rPr>
          <w:snapToGrid w:val="0"/>
          <w:lang w:val="en-US"/>
        </w:rPr>
        <w:t>) and (</w:t>
      </w:r>
      <w:r>
        <w:rPr>
          <w:snapToGrid w:val="0"/>
          <w:lang w:val="en-US"/>
        </w:rPr>
        <w:t>45</w:t>
      </w:r>
      <w:r w:rsidRPr="00CB6CBA">
        <w:rPr>
          <w:snapToGrid w:val="0"/>
          <w:lang w:val="en-US"/>
        </w:rPr>
        <w:t>), for frequencies below 1 GHz and above 1.5 GHz are presented at Figs</w:t>
      </w:r>
      <w:r w:rsidRPr="00B7146F">
        <w:rPr>
          <w:snapToGrid w:val="0"/>
          <w:lang w:val="en-US"/>
        </w:rPr>
        <w:t xml:space="preserve"> </w:t>
      </w:r>
      <w:r>
        <w:rPr>
          <w:snapToGrid w:val="0"/>
          <w:lang w:val="en-US"/>
        </w:rPr>
        <w:t>7</w:t>
      </w:r>
      <w:r w:rsidRPr="00B7146F">
        <w:rPr>
          <w:snapToGrid w:val="0"/>
          <w:lang w:val="en-US"/>
        </w:rPr>
        <w:t>-</w:t>
      </w:r>
      <w:r>
        <w:rPr>
          <w:snapToGrid w:val="0"/>
          <w:lang w:val="en-US"/>
        </w:rPr>
        <w:t>8</w:t>
      </w:r>
      <w:r w:rsidRPr="00B7146F">
        <w:rPr>
          <w:snapToGrid w:val="0"/>
          <w:lang w:val="en-US"/>
        </w:rPr>
        <w:t xml:space="preserve"> and </w:t>
      </w:r>
      <w:r>
        <w:rPr>
          <w:snapToGrid w:val="0"/>
          <w:lang w:val="en-US"/>
        </w:rPr>
        <w:t>9-10</w:t>
      </w:r>
      <w:r w:rsidRPr="00B7146F">
        <w:rPr>
          <w:snapToGrid w:val="0"/>
          <w:lang w:val="en-US"/>
        </w:rPr>
        <w:t xml:space="preserve"> accordingly. Figures </w:t>
      </w:r>
      <w:r>
        <w:rPr>
          <w:snapToGrid w:val="0"/>
          <w:lang w:val="en-US"/>
        </w:rPr>
        <w:t>7</w:t>
      </w:r>
      <w:r w:rsidRPr="00B7146F">
        <w:rPr>
          <w:snapToGrid w:val="0"/>
          <w:lang w:val="en-US"/>
        </w:rPr>
        <w:t xml:space="preserve"> and </w:t>
      </w:r>
      <w:r>
        <w:rPr>
          <w:snapToGrid w:val="0"/>
          <w:lang w:val="en-US"/>
        </w:rPr>
        <w:t>9</w:t>
      </w:r>
      <w:r w:rsidRPr="00B7146F">
        <w:rPr>
          <w:snapToGrid w:val="0"/>
          <w:lang w:val="en-US"/>
        </w:rPr>
        <w:t xml:space="preserve"> correspond to transmitter antenna heights, </w:t>
      </w:r>
      <w:r w:rsidRPr="00B7146F">
        <w:rPr>
          <w:i/>
          <w:snapToGrid w:val="0"/>
          <w:lang w:val="en-US"/>
        </w:rPr>
        <w:t>h</w:t>
      </w:r>
      <w:r w:rsidRPr="00B7146F">
        <w:rPr>
          <w:i/>
          <w:snapToGrid w:val="0"/>
          <w:vertAlign w:val="subscript"/>
          <w:lang w:val="en-US"/>
        </w:rPr>
        <w:t>t</w:t>
      </w:r>
      <w:r>
        <w:rPr>
          <w:iCs/>
          <w:snapToGrid w:val="0"/>
          <w:lang w:val="en-US"/>
        </w:rPr>
        <w:t>, equal to 40 m and Figs</w:t>
      </w:r>
      <w:r w:rsidRPr="00B7146F">
        <w:rPr>
          <w:iCs/>
          <w:snapToGrid w:val="0"/>
          <w:lang w:val="en-US"/>
        </w:rPr>
        <w:t xml:space="preserve"> </w:t>
      </w:r>
      <w:r>
        <w:rPr>
          <w:iCs/>
          <w:snapToGrid w:val="0"/>
          <w:lang w:val="en-US"/>
        </w:rPr>
        <w:t>8</w:t>
      </w:r>
      <w:r w:rsidRPr="00B7146F">
        <w:rPr>
          <w:iCs/>
          <w:snapToGrid w:val="0"/>
          <w:lang w:val="en-US"/>
        </w:rPr>
        <w:t xml:space="preserve"> and </w:t>
      </w:r>
      <w:r>
        <w:rPr>
          <w:iCs/>
          <w:snapToGrid w:val="0"/>
          <w:lang w:val="en-US"/>
        </w:rPr>
        <w:t>10</w:t>
      </w:r>
      <w:r w:rsidRPr="00B7146F">
        <w:rPr>
          <w:iCs/>
          <w:snapToGrid w:val="0"/>
          <w:lang w:val="en-US"/>
        </w:rPr>
        <w:t xml:space="preserve"> to 100</w:t>
      </w:r>
      <w:r>
        <w:rPr>
          <w:iCs/>
          <w:snapToGrid w:val="0"/>
          <w:lang w:val="en-US"/>
        </w:rPr>
        <w:t> </w:t>
      </w:r>
      <w:r w:rsidRPr="00B7146F">
        <w:rPr>
          <w:iCs/>
          <w:snapToGrid w:val="0"/>
          <w:lang w:val="en-US"/>
        </w:rPr>
        <w:t xml:space="preserve">m. In all figures line 1 corresponds to receiver antenna height, </w:t>
      </w:r>
      <w:r w:rsidRPr="00B7146F">
        <w:rPr>
          <w:i/>
          <w:snapToGrid w:val="0"/>
          <w:lang w:val="en-US"/>
        </w:rPr>
        <w:t>h</w:t>
      </w:r>
      <w:r w:rsidRPr="00B7146F">
        <w:rPr>
          <w:i/>
          <w:snapToGrid w:val="0"/>
          <w:vertAlign w:val="subscript"/>
          <w:lang w:val="en-US"/>
        </w:rPr>
        <w:t>r</w:t>
      </w:r>
      <w:r w:rsidRPr="00B7146F">
        <w:rPr>
          <w:iCs/>
          <w:snapToGrid w:val="0"/>
          <w:lang w:val="en-US"/>
        </w:rPr>
        <w:t>, equal to 1.5 m and line 2 to 10</w:t>
      </w:r>
      <w:r>
        <w:rPr>
          <w:iCs/>
          <w:snapToGrid w:val="0"/>
          <w:lang w:val="en-US"/>
        </w:rPr>
        <w:t> </w:t>
      </w:r>
      <w:r w:rsidRPr="00B7146F">
        <w:rPr>
          <w:iCs/>
          <w:snapToGrid w:val="0"/>
          <w:lang w:val="en-US"/>
        </w:rPr>
        <w:t xml:space="preserve">m. The last </w:t>
      </w:r>
      <w:r w:rsidRPr="00B7146F">
        <w:rPr>
          <w:snapToGrid w:val="0"/>
          <w:lang w:val="en-US"/>
        </w:rPr>
        <w:t>allows to use these graphs for calculations associated with VHF/UHF fixed communications and “point-multipoint” program distribution systems, when the collective reception antennas are placed on roofs of buildings. Line 3 indicates dependencies for free-space propagation conditions. It can be used for calculations associated with short distance VHF/UHF fixed communications with line-of-sight propagation conditions. For other antenna heights lying within above-mentioned limits, service area radius values can be obtained from Figs 7-10 by interpolation.</w:t>
      </w:r>
    </w:p>
    <w:p w:rsidR="00CA3B52" w:rsidRDefault="00CA3B52" w:rsidP="00CA3B52">
      <w:pPr>
        <w:rPr>
          <w:snapToGrid w:val="0"/>
          <w:lang w:val="en-US"/>
        </w:rPr>
      </w:pPr>
      <w:r w:rsidRPr="00B7146F">
        <w:rPr>
          <w:snapToGrid w:val="0"/>
          <w:lang w:val="en-US"/>
        </w:rPr>
        <w:t>Somewhat typical values of parameters appeared in equation (</w:t>
      </w:r>
      <w:r>
        <w:rPr>
          <w:snapToGrid w:val="0"/>
          <w:lang w:val="en-US"/>
        </w:rPr>
        <w:t>45</w:t>
      </w:r>
      <w:r w:rsidRPr="00B7146F">
        <w:rPr>
          <w:snapToGrid w:val="0"/>
          <w:lang w:val="en-US"/>
        </w:rPr>
        <w:t>), for a number of land</w:t>
      </w:r>
      <w:r w:rsidRPr="00CB6CBA">
        <w:rPr>
          <w:snapToGrid w:val="0"/>
          <w:lang w:val="en-US"/>
        </w:rPr>
        <w:t xml:space="preserve"> mobile radiocommunication systems including equipment for </w:t>
      </w:r>
      <w:r w:rsidRPr="00CB6CBA">
        <w:rPr>
          <w:lang w:val="en-US"/>
        </w:rPr>
        <w:t xml:space="preserve">digitally enhanced cordless telecommunications (DECT) and </w:t>
      </w:r>
      <w:r w:rsidRPr="00CB6CBA">
        <w:rPr>
          <w:snapToGrid w:val="0"/>
          <w:lang w:val="en-US"/>
        </w:rPr>
        <w:t>private mobile radio (PMR), are presented in Table 11.</w:t>
      </w:r>
    </w:p>
    <w:p w:rsidR="00CA3B52" w:rsidRPr="00CB6CBA" w:rsidRDefault="00CA3B52" w:rsidP="00CA3B52">
      <w:pPr>
        <w:pStyle w:val="TableNo"/>
        <w:rPr>
          <w:lang w:val="en-US"/>
        </w:rPr>
      </w:pPr>
      <w:r w:rsidRPr="00CB6CBA">
        <w:rPr>
          <w:lang w:val="en-US"/>
        </w:rPr>
        <w:t>TABLE 11</w:t>
      </w:r>
    </w:p>
    <w:p w:rsidR="00CA3B52" w:rsidRPr="00CB6CBA" w:rsidRDefault="00CA3B52" w:rsidP="00CA3B52">
      <w:pPr>
        <w:pStyle w:val="Tabletitle"/>
        <w:rPr>
          <w:lang w:val="en-US"/>
        </w:rPr>
      </w:pPr>
      <w:r w:rsidRPr="00CB6CBA">
        <w:rPr>
          <w:lang w:val="en-US"/>
        </w:rPr>
        <w:t>Values of equipment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0"/>
        <w:gridCol w:w="964"/>
        <w:gridCol w:w="851"/>
        <w:gridCol w:w="851"/>
        <w:gridCol w:w="851"/>
        <w:gridCol w:w="851"/>
        <w:gridCol w:w="851"/>
      </w:tblGrid>
      <w:tr w:rsidR="00CA3B52" w:rsidRPr="00CB6CBA" w:rsidTr="00C65B68">
        <w:trPr>
          <w:jc w:val="center"/>
        </w:trPr>
        <w:tc>
          <w:tcPr>
            <w:tcW w:w="4423" w:type="dxa"/>
            <w:tcBorders>
              <w:top w:val="single" w:sz="4" w:space="0" w:color="auto"/>
              <w:left w:val="single" w:sz="4" w:space="0" w:color="auto"/>
              <w:bottom w:val="single" w:sz="4" w:space="0" w:color="auto"/>
              <w:right w:val="single" w:sz="4" w:space="0" w:color="auto"/>
              <w:tl2br w:val="single" w:sz="4" w:space="0" w:color="auto"/>
            </w:tcBorders>
            <w:vAlign w:val="center"/>
          </w:tcPr>
          <w:p w:rsidR="00CA3B52" w:rsidRPr="00C90AB1" w:rsidRDefault="00CA3B52" w:rsidP="00F65451">
            <w:pPr>
              <w:pStyle w:val="Tablehead"/>
              <w:jc w:val="right"/>
            </w:pPr>
            <w:r w:rsidRPr="00C90AB1">
              <w:t>System</w:t>
            </w:r>
          </w:p>
          <w:p w:rsidR="00CA3B52" w:rsidRPr="00C90AB1" w:rsidRDefault="00CA3B52" w:rsidP="002D1D5C">
            <w:pPr>
              <w:pStyle w:val="Tablehead"/>
              <w:jc w:val="left"/>
            </w:pPr>
            <w:r w:rsidRPr="00C90AB1">
              <w:t>Parameter</w:t>
            </w:r>
          </w:p>
        </w:tc>
        <w:tc>
          <w:tcPr>
            <w:tcW w:w="964" w:type="dxa"/>
            <w:tcBorders>
              <w:top w:val="single" w:sz="4" w:space="0" w:color="auto"/>
              <w:left w:val="single" w:sz="4" w:space="0" w:color="auto"/>
              <w:bottom w:val="single" w:sz="4" w:space="0" w:color="auto"/>
              <w:right w:val="single" w:sz="4" w:space="0" w:color="auto"/>
            </w:tcBorders>
          </w:tcPr>
          <w:p w:rsidR="00CA3B52" w:rsidRPr="00C90AB1" w:rsidRDefault="00CA3B52" w:rsidP="002D1D5C">
            <w:pPr>
              <w:pStyle w:val="Tablehead"/>
            </w:pPr>
            <w:r w:rsidRPr="00C90AB1">
              <w:t>CDMA</w:t>
            </w:r>
          </w:p>
        </w:tc>
        <w:tc>
          <w:tcPr>
            <w:tcW w:w="851" w:type="dxa"/>
            <w:tcBorders>
              <w:top w:val="single" w:sz="4" w:space="0" w:color="auto"/>
              <w:left w:val="single" w:sz="4" w:space="0" w:color="auto"/>
              <w:bottom w:val="single" w:sz="4" w:space="0" w:color="auto"/>
              <w:right w:val="single" w:sz="4" w:space="0" w:color="auto"/>
            </w:tcBorders>
          </w:tcPr>
          <w:p w:rsidR="00CA3B52" w:rsidRPr="00C90AB1" w:rsidRDefault="00CA3B52" w:rsidP="002D1D5C">
            <w:pPr>
              <w:pStyle w:val="Tablehead"/>
            </w:pPr>
            <w:r w:rsidRPr="00C90AB1">
              <w:t>GSM</w:t>
            </w:r>
          </w:p>
        </w:tc>
        <w:tc>
          <w:tcPr>
            <w:tcW w:w="851" w:type="dxa"/>
            <w:tcBorders>
              <w:top w:val="single" w:sz="4" w:space="0" w:color="auto"/>
              <w:left w:val="single" w:sz="4" w:space="0" w:color="auto"/>
              <w:bottom w:val="single" w:sz="4" w:space="0" w:color="auto"/>
              <w:right w:val="single" w:sz="4" w:space="0" w:color="auto"/>
            </w:tcBorders>
          </w:tcPr>
          <w:p w:rsidR="00CA3B52" w:rsidRPr="00C90AB1" w:rsidRDefault="00CA3B52" w:rsidP="002D1D5C">
            <w:pPr>
              <w:pStyle w:val="Tablehead"/>
            </w:pPr>
            <w:r w:rsidRPr="00C90AB1">
              <w:t>AMPS</w:t>
            </w:r>
          </w:p>
        </w:tc>
        <w:tc>
          <w:tcPr>
            <w:tcW w:w="851" w:type="dxa"/>
            <w:tcBorders>
              <w:top w:val="single" w:sz="4" w:space="0" w:color="auto"/>
              <w:left w:val="single" w:sz="4" w:space="0" w:color="auto"/>
              <w:bottom w:val="single" w:sz="4" w:space="0" w:color="auto"/>
              <w:right w:val="single" w:sz="4" w:space="0" w:color="auto"/>
            </w:tcBorders>
          </w:tcPr>
          <w:p w:rsidR="00CA3B52" w:rsidRPr="00C90AB1" w:rsidRDefault="00CA3B52" w:rsidP="002D1D5C">
            <w:pPr>
              <w:pStyle w:val="Tablehead"/>
            </w:pPr>
            <w:r w:rsidRPr="00C90AB1">
              <w:t>NMT</w:t>
            </w:r>
          </w:p>
        </w:tc>
        <w:tc>
          <w:tcPr>
            <w:tcW w:w="851" w:type="dxa"/>
            <w:tcBorders>
              <w:top w:val="single" w:sz="4" w:space="0" w:color="auto"/>
              <w:left w:val="single" w:sz="4" w:space="0" w:color="auto"/>
              <w:bottom w:val="single" w:sz="4" w:space="0" w:color="auto"/>
              <w:right w:val="single" w:sz="4" w:space="0" w:color="auto"/>
            </w:tcBorders>
          </w:tcPr>
          <w:p w:rsidR="00CA3B52" w:rsidRPr="00C90AB1" w:rsidRDefault="00CA3B52" w:rsidP="002D1D5C">
            <w:pPr>
              <w:pStyle w:val="Tablehead"/>
            </w:pPr>
            <w:r w:rsidRPr="00C90AB1">
              <w:t>DECT</w:t>
            </w:r>
          </w:p>
        </w:tc>
        <w:tc>
          <w:tcPr>
            <w:tcW w:w="851" w:type="dxa"/>
            <w:tcBorders>
              <w:top w:val="single" w:sz="4" w:space="0" w:color="auto"/>
              <w:left w:val="single" w:sz="4" w:space="0" w:color="auto"/>
              <w:bottom w:val="single" w:sz="4" w:space="0" w:color="auto"/>
              <w:right w:val="single" w:sz="4" w:space="0" w:color="auto"/>
            </w:tcBorders>
          </w:tcPr>
          <w:p w:rsidR="00CA3B52" w:rsidRPr="00C90AB1" w:rsidRDefault="00CA3B52" w:rsidP="002D1D5C">
            <w:pPr>
              <w:pStyle w:val="Tablehead"/>
            </w:pPr>
            <w:r w:rsidRPr="00C90AB1">
              <w:t>PMR</w:t>
            </w:r>
          </w:p>
        </w:tc>
      </w:tr>
      <w:tr w:rsidR="00CA3B52" w:rsidRPr="00CB6CBA" w:rsidTr="00C65B68">
        <w:trPr>
          <w:jc w:val="center"/>
        </w:trPr>
        <w:tc>
          <w:tcPr>
            <w:tcW w:w="4423" w:type="dxa"/>
            <w:tcBorders>
              <w:top w:val="single" w:sz="4" w:space="0" w:color="auto"/>
              <w:left w:val="single" w:sz="4" w:space="0" w:color="auto"/>
              <w:bottom w:val="single" w:sz="4" w:space="0" w:color="auto"/>
              <w:right w:val="single" w:sz="4" w:space="0" w:color="auto"/>
            </w:tcBorders>
          </w:tcPr>
          <w:p w:rsidR="00CA3B52" w:rsidRPr="00CB6CBA" w:rsidRDefault="00CA3B52" w:rsidP="002D1D5C">
            <w:pPr>
              <w:pStyle w:val="Tabletext"/>
              <w:rPr>
                <w:szCs w:val="22"/>
                <w:lang w:val="en-US"/>
              </w:rPr>
            </w:pPr>
            <w:r w:rsidRPr="00CB6CBA">
              <w:rPr>
                <w:szCs w:val="22"/>
                <w:lang w:val="en-US"/>
              </w:rPr>
              <w:t xml:space="preserve">Transmitting antenna gain </w:t>
            </w:r>
            <w:r w:rsidRPr="00CB6CBA">
              <w:rPr>
                <w:i/>
                <w:snapToGrid w:val="0"/>
                <w:color w:val="000000"/>
                <w:szCs w:val="22"/>
                <w:lang w:val="en-US"/>
              </w:rPr>
              <w:t>G</w:t>
            </w:r>
            <w:r w:rsidRPr="00CB6CBA">
              <w:rPr>
                <w:i/>
                <w:snapToGrid w:val="0"/>
                <w:color w:val="000000"/>
                <w:szCs w:val="22"/>
                <w:vertAlign w:val="subscript"/>
                <w:lang w:val="en-US"/>
              </w:rPr>
              <w:t>t</w:t>
            </w:r>
            <w:r w:rsidRPr="00CB6CBA">
              <w:rPr>
                <w:iCs/>
                <w:snapToGrid w:val="0"/>
                <w:color w:val="000000"/>
                <w:szCs w:val="22"/>
                <w:lang w:val="en-US"/>
              </w:rPr>
              <w:t xml:space="preserve"> (</w:t>
            </w:r>
            <w:r w:rsidRPr="00CB6CBA">
              <w:rPr>
                <w:szCs w:val="22"/>
                <w:lang w:val="en-US"/>
              </w:rPr>
              <w:t>dB)</w:t>
            </w:r>
          </w:p>
        </w:tc>
        <w:tc>
          <w:tcPr>
            <w:tcW w:w="964"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Cs w:val="22"/>
                <w:lang w:val="en-US"/>
              </w:rPr>
            </w:pPr>
            <w:r w:rsidRPr="00CB6CBA">
              <w:rPr>
                <w:szCs w:val="22"/>
                <w:lang w:val="en-US"/>
              </w:rPr>
              <w:t>13</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Cs w:val="22"/>
                <w:lang w:val="en-US"/>
              </w:rPr>
            </w:pPr>
            <w:r w:rsidRPr="00CB6CBA">
              <w:rPr>
                <w:szCs w:val="22"/>
                <w:lang w:val="en-US"/>
              </w:rPr>
              <w:t>18</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Cs w:val="22"/>
                <w:lang w:val="en-US"/>
              </w:rPr>
            </w:pPr>
            <w:r w:rsidRPr="00CB6CBA">
              <w:rPr>
                <w:szCs w:val="22"/>
                <w:lang w:val="en-US"/>
              </w:rPr>
              <w:t>17</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Cs w:val="22"/>
                <w:lang w:val="en-US"/>
              </w:rPr>
            </w:pPr>
            <w:r w:rsidRPr="00CB6CBA">
              <w:rPr>
                <w:szCs w:val="22"/>
                <w:lang w:val="en-US"/>
              </w:rPr>
              <w:t>10-17</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Cs w:val="22"/>
                <w:lang w:val="en-US"/>
              </w:rPr>
            </w:pPr>
            <w:r w:rsidRPr="00CB6CBA">
              <w:rPr>
                <w:szCs w:val="22"/>
                <w:lang w:val="en-US"/>
              </w:rPr>
              <w:t>3</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Cs w:val="22"/>
                <w:lang w:val="en-US"/>
              </w:rPr>
            </w:pPr>
            <w:r w:rsidRPr="00CB6CBA">
              <w:rPr>
                <w:szCs w:val="22"/>
                <w:lang w:val="en-US"/>
              </w:rPr>
              <w:t>6-15</w:t>
            </w:r>
          </w:p>
        </w:tc>
      </w:tr>
      <w:tr w:rsidR="00CA3B52" w:rsidRPr="00CB6CBA" w:rsidTr="00C65B68">
        <w:trPr>
          <w:jc w:val="center"/>
        </w:trPr>
        <w:tc>
          <w:tcPr>
            <w:tcW w:w="4423" w:type="dxa"/>
            <w:tcBorders>
              <w:top w:val="single" w:sz="4" w:space="0" w:color="auto"/>
              <w:left w:val="single" w:sz="4" w:space="0" w:color="auto"/>
              <w:bottom w:val="single" w:sz="4" w:space="0" w:color="auto"/>
              <w:right w:val="single" w:sz="4" w:space="0" w:color="auto"/>
            </w:tcBorders>
          </w:tcPr>
          <w:p w:rsidR="00CA3B52" w:rsidRPr="00CB6CBA" w:rsidRDefault="00CA3B52" w:rsidP="002D1D5C">
            <w:pPr>
              <w:pStyle w:val="Tabletext"/>
              <w:rPr>
                <w:szCs w:val="22"/>
                <w:lang w:val="en-US"/>
              </w:rPr>
            </w:pPr>
            <w:r w:rsidRPr="00CB6CBA">
              <w:rPr>
                <w:szCs w:val="22"/>
                <w:lang w:val="en-US"/>
              </w:rPr>
              <w:t xml:space="preserve">Receiving antenna gain </w:t>
            </w:r>
            <w:r w:rsidRPr="00CB6CBA">
              <w:rPr>
                <w:i/>
                <w:snapToGrid w:val="0"/>
                <w:color w:val="000000"/>
                <w:szCs w:val="22"/>
                <w:lang w:val="en-US"/>
              </w:rPr>
              <w:t>G</w:t>
            </w:r>
            <w:r w:rsidRPr="00CB6CBA">
              <w:rPr>
                <w:i/>
                <w:snapToGrid w:val="0"/>
                <w:color w:val="000000"/>
                <w:szCs w:val="22"/>
                <w:vertAlign w:val="subscript"/>
                <w:lang w:val="en-US"/>
              </w:rPr>
              <w:t>r</w:t>
            </w:r>
            <w:r w:rsidRPr="00CB6CBA">
              <w:rPr>
                <w:iCs/>
                <w:snapToGrid w:val="0"/>
                <w:color w:val="000000"/>
                <w:szCs w:val="22"/>
                <w:lang w:val="en-US"/>
              </w:rPr>
              <w:t xml:space="preserve"> (</w:t>
            </w:r>
            <w:r w:rsidRPr="00CB6CBA">
              <w:rPr>
                <w:szCs w:val="22"/>
                <w:lang w:val="en-US"/>
              </w:rPr>
              <w:t>dB)</w:t>
            </w:r>
          </w:p>
        </w:tc>
        <w:tc>
          <w:tcPr>
            <w:tcW w:w="964"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Cs w:val="22"/>
                <w:lang w:val="en-US"/>
              </w:rPr>
            </w:pPr>
            <w:r w:rsidRPr="00CB6CBA">
              <w:rPr>
                <w:szCs w:val="22"/>
                <w:lang w:val="en-US"/>
              </w:rPr>
              <w:t>0</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Cs w:val="22"/>
                <w:lang w:val="en-US"/>
              </w:rPr>
            </w:pPr>
            <w:r w:rsidRPr="00CB6CBA">
              <w:rPr>
                <w:szCs w:val="22"/>
                <w:lang w:val="en-US"/>
              </w:rPr>
              <w:t>0</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Cs w:val="22"/>
                <w:lang w:val="en-US"/>
              </w:rPr>
            </w:pPr>
            <w:r w:rsidRPr="00CB6CBA">
              <w:rPr>
                <w:szCs w:val="22"/>
                <w:lang w:val="en-US"/>
              </w:rPr>
              <w:t>0</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Cs w:val="22"/>
                <w:lang w:val="en-US"/>
              </w:rPr>
            </w:pPr>
            <w:r w:rsidRPr="00CB6CBA">
              <w:rPr>
                <w:szCs w:val="22"/>
                <w:lang w:val="en-US"/>
              </w:rPr>
              <w:t>6</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Cs w:val="22"/>
                <w:lang w:val="en-US"/>
              </w:rPr>
            </w:pPr>
            <w:r w:rsidRPr="00CB6CBA">
              <w:rPr>
                <w:szCs w:val="22"/>
                <w:lang w:val="en-US"/>
              </w:rPr>
              <w:t>3</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Cs w:val="22"/>
                <w:lang w:val="en-US"/>
              </w:rPr>
            </w:pPr>
            <w:r w:rsidRPr="00CB6CBA">
              <w:rPr>
                <w:szCs w:val="22"/>
                <w:lang w:val="en-US"/>
              </w:rPr>
              <w:t>3-6</w:t>
            </w:r>
          </w:p>
        </w:tc>
      </w:tr>
      <w:tr w:rsidR="00CA3B52" w:rsidRPr="00CB6CBA" w:rsidTr="00C65B68">
        <w:trPr>
          <w:jc w:val="center"/>
        </w:trPr>
        <w:tc>
          <w:tcPr>
            <w:tcW w:w="4423" w:type="dxa"/>
            <w:tcBorders>
              <w:top w:val="single" w:sz="4" w:space="0" w:color="auto"/>
              <w:left w:val="single" w:sz="4" w:space="0" w:color="auto"/>
              <w:bottom w:val="single" w:sz="4" w:space="0" w:color="auto"/>
              <w:right w:val="single" w:sz="4" w:space="0" w:color="auto"/>
            </w:tcBorders>
          </w:tcPr>
          <w:p w:rsidR="00CA3B52" w:rsidRPr="00CB6CBA" w:rsidRDefault="00CA3B52" w:rsidP="002D1D5C">
            <w:pPr>
              <w:pStyle w:val="Tabletext"/>
              <w:rPr>
                <w:szCs w:val="22"/>
                <w:lang w:val="en-US"/>
              </w:rPr>
            </w:pPr>
            <w:r w:rsidRPr="00CB6CBA">
              <w:rPr>
                <w:szCs w:val="22"/>
                <w:lang w:val="en-US"/>
              </w:rPr>
              <w:t xml:space="preserve">Receiver sensitivity </w:t>
            </w:r>
            <w:r w:rsidRPr="00CB6CBA">
              <w:rPr>
                <w:i/>
                <w:iCs/>
                <w:szCs w:val="22"/>
                <w:lang w:val="en-US"/>
              </w:rPr>
              <w:t>P</w:t>
            </w:r>
            <w:r w:rsidRPr="00CB6CBA">
              <w:rPr>
                <w:i/>
                <w:iCs/>
                <w:szCs w:val="22"/>
                <w:vertAlign w:val="subscript"/>
                <w:lang w:val="en-US"/>
              </w:rPr>
              <w:t>min</w:t>
            </w:r>
            <w:r w:rsidRPr="00CB6CBA">
              <w:rPr>
                <w:szCs w:val="22"/>
                <w:lang w:val="en-US"/>
              </w:rPr>
              <w:t xml:space="preserve"> (dBW)</w:t>
            </w:r>
          </w:p>
        </w:tc>
        <w:tc>
          <w:tcPr>
            <w:tcW w:w="964"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Cs w:val="22"/>
                <w:lang w:val="en-US"/>
              </w:rPr>
            </w:pPr>
            <w:r w:rsidRPr="00CB6CBA">
              <w:rPr>
                <w:szCs w:val="22"/>
                <w:lang w:val="en-US"/>
              </w:rPr>
              <w:t>–147</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Cs w:val="22"/>
                <w:lang w:val="en-US"/>
              </w:rPr>
            </w:pPr>
            <w:r w:rsidRPr="00CB6CBA">
              <w:rPr>
                <w:szCs w:val="22"/>
                <w:lang w:val="en-US"/>
              </w:rPr>
              <w:t>–138</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Cs w:val="22"/>
                <w:lang w:val="en-US"/>
              </w:rPr>
            </w:pPr>
            <w:r w:rsidRPr="00CB6CBA">
              <w:rPr>
                <w:szCs w:val="22"/>
                <w:lang w:val="en-US"/>
              </w:rPr>
              <w:t>–146</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Cs w:val="22"/>
                <w:lang w:val="en-US"/>
              </w:rPr>
            </w:pPr>
            <w:r w:rsidRPr="00CB6CBA">
              <w:rPr>
                <w:szCs w:val="22"/>
                <w:lang w:val="en-US"/>
              </w:rPr>
              <w:t>–115</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Cs w:val="22"/>
                <w:lang w:val="en-US"/>
              </w:rPr>
            </w:pPr>
            <w:r w:rsidRPr="00CB6CBA">
              <w:rPr>
                <w:szCs w:val="22"/>
                <w:lang w:val="en-US"/>
              </w:rPr>
              <w:t>–112</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szCs w:val="22"/>
                <w:lang w:val="en-US"/>
              </w:rPr>
            </w:pPr>
            <w:r w:rsidRPr="00CB6CBA">
              <w:rPr>
                <w:szCs w:val="22"/>
                <w:lang w:val="en-US"/>
              </w:rPr>
              <w:t>–110</w:t>
            </w:r>
          </w:p>
        </w:tc>
      </w:tr>
    </w:tbl>
    <w:p w:rsidR="00CA3B52" w:rsidRPr="00CB6CBA" w:rsidRDefault="00CA3B52" w:rsidP="00CA3B52">
      <w:pPr>
        <w:pStyle w:val="Tablefin"/>
        <w:rPr>
          <w:lang w:val="en-US"/>
        </w:rPr>
      </w:pPr>
    </w:p>
    <w:p w:rsidR="00CA3B52" w:rsidRDefault="00CA3B52" w:rsidP="00CA3B52">
      <w:pPr>
        <w:rPr>
          <w:lang w:val="en-US"/>
        </w:rPr>
      </w:pPr>
      <w:r w:rsidRPr="00CB6CBA">
        <w:rPr>
          <w:lang w:val="en-US"/>
        </w:rPr>
        <w:lastRenderedPageBreak/>
        <w:t xml:space="preserve">Table </w:t>
      </w:r>
      <w:r>
        <w:rPr>
          <w:lang w:val="en-US"/>
        </w:rPr>
        <w:t xml:space="preserve">11 </w:t>
      </w:r>
      <w:r w:rsidRPr="00CB6CBA">
        <w:rPr>
          <w:lang w:val="en-US"/>
        </w:rPr>
        <w:t>can be amended in future for new, more efficient, land mobile radiocommunications systems.</w:t>
      </w:r>
    </w:p>
    <w:p w:rsidR="00CA3B52" w:rsidRDefault="00CA3B52" w:rsidP="00CA3B52">
      <w:pPr>
        <w:pStyle w:val="FigureNo"/>
        <w:rPr>
          <w:lang w:val="en-US"/>
        </w:rPr>
      </w:pPr>
      <w:r>
        <w:rPr>
          <w:lang w:val="en-US"/>
        </w:rPr>
        <w:t>Figure 7</w:t>
      </w:r>
    </w:p>
    <w:p w:rsidR="00CA3B52" w:rsidRDefault="00CA3B52" w:rsidP="00CA3B52">
      <w:pPr>
        <w:pStyle w:val="Figuretitle"/>
        <w:rPr>
          <w:lang w:val="en-US"/>
        </w:rPr>
      </w:pPr>
      <w:r>
        <w:rPr>
          <w:lang w:val="en-US"/>
        </w:rPr>
        <w:t xml:space="preserve">Service area radius calculation for frequencies below 1 000 MHz, </w:t>
      </w:r>
      <w:r w:rsidRPr="00C90AB1">
        <w:rPr>
          <w:rFonts w:ascii="Times New Roman"/>
          <w:bCs/>
          <w:i/>
          <w:iCs/>
          <w:lang w:val="en-US"/>
        </w:rPr>
        <w:t>h</w:t>
      </w:r>
      <w:r>
        <w:rPr>
          <w:i/>
          <w:iCs/>
          <w:vertAlign w:val="subscript"/>
          <w:lang w:val="en-US"/>
        </w:rPr>
        <w:t>t</w:t>
      </w:r>
      <w:r>
        <w:rPr>
          <w:i/>
          <w:iCs/>
          <w:lang w:val="en-US"/>
        </w:rPr>
        <w:t xml:space="preserve"> </w:t>
      </w:r>
      <w:r>
        <w:rPr>
          <w:lang w:val="en-US"/>
        </w:rPr>
        <w:t>= 40 m</w:t>
      </w:r>
      <w:r>
        <w:rPr>
          <w:lang w:val="en-US"/>
        </w:rPr>
        <w:br/>
      </w:r>
      <w:r>
        <w:rPr>
          <w:rFonts w:ascii="Times New Roman"/>
          <w:bCs/>
          <w:lang w:val="en-US"/>
        </w:rPr>
        <w:t xml:space="preserve">1: </w:t>
      </w:r>
      <w:r w:rsidRPr="00C90AB1">
        <w:rPr>
          <w:rFonts w:ascii="Times New Roman"/>
          <w:bCs/>
          <w:i/>
          <w:iCs/>
          <w:lang w:val="en-US"/>
        </w:rPr>
        <w:t>h</w:t>
      </w:r>
      <w:r>
        <w:rPr>
          <w:i/>
          <w:iCs/>
          <w:vertAlign w:val="subscript"/>
          <w:lang w:val="en-US"/>
        </w:rPr>
        <w:t>r</w:t>
      </w:r>
      <w:r>
        <w:rPr>
          <w:i/>
          <w:iCs/>
          <w:lang w:val="en-US"/>
        </w:rPr>
        <w:t xml:space="preserve"> </w:t>
      </w:r>
      <w:r>
        <w:rPr>
          <w:lang w:val="en-US"/>
        </w:rPr>
        <w:t>= 1.5 m,  </w:t>
      </w:r>
      <w:r>
        <w:rPr>
          <w:rFonts w:ascii="Times New Roman"/>
          <w:bCs/>
          <w:lang w:val="en-US"/>
        </w:rPr>
        <w:t xml:space="preserve">2: </w:t>
      </w:r>
      <w:r w:rsidRPr="00C90AB1">
        <w:rPr>
          <w:rFonts w:ascii="Times New Roman"/>
          <w:bCs/>
          <w:i/>
          <w:iCs/>
          <w:lang w:val="en-US"/>
        </w:rPr>
        <w:t>h</w:t>
      </w:r>
      <w:r>
        <w:rPr>
          <w:i/>
          <w:iCs/>
          <w:vertAlign w:val="subscript"/>
          <w:lang w:val="en-US"/>
        </w:rPr>
        <w:t>r</w:t>
      </w:r>
      <w:r>
        <w:rPr>
          <w:i/>
          <w:iCs/>
          <w:lang w:val="en-US"/>
        </w:rPr>
        <w:t xml:space="preserve"> </w:t>
      </w:r>
      <w:r>
        <w:rPr>
          <w:lang w:val="en-US"/>
        </w:rPr>
        <w:t>= 10 m, 3: free space propagation</w:t>
      </w:r>
    </w:p>
    <w:p w:rsidR="00CA3B52" w:rsidRPr="00C90AB1" w:rsidRDefault="00CA3B52" w:rsidP="00CA3B52">
      <w:pPr>
        <w:pStyle w:val="Figure"/>
        <w:rPr>
          <w:lang w:val="en-US"/>
        </w:rPr>
      </w:pPr>
      <w:r>
        <w:rPr>
          <w:lang w:val="en-US"/>
        </w:rPr>
        <w:object w:dxaOrig="6345" w:dyaOrig="4133">
          <v:shape id="_x0000_i1061" type="#_x0000_t75" style="width:356.75pt;height:233.3pt;mso-position-horizontal:absolute" o:ole="">
            <v:imagedata r:id="rId92" o:title=""/>
          </v:shape>
          <o:OLEObject Type="Embed" ProgID="CorelDRAW.Graphic.14" ShapeID="_x0000_i1061" DrawAspect="Content" ObjectID="_1511604850" r:id="rId93"/>
        </w:object>
      </w:r>
    </w:p>
    <w:p w:rsidR="00CA3B52" w:rsidRDefault="00CA3B52" w:rsidP="00CA3B52">
      <w:pPr>
        <w:pStyle w:val="FigureNo"/>
        <w:rPr>
          <w:lang w:val="en-US"/>
        </w:rPr>
      </w:pPr>
      <w:r>
        <w:rPr>
          <w:lang w:val="en-US"/>
        </w:rPr>
        <w:t>Figure 8</w:t>
      </w:r>
    </w:p>
    <w:p w:rsidR="00CA3B52" w:rsidRDefault="00CA3B52" w:rsidP="00CA3B52">
      <w:pPr>
        <w:pStyle w:val="Figuretitle"/>
        <w:rPr>
          <w:lang w:val="en-US"/>
        </w:rPr>
      </w:pPr>
      <w:r>
        <w:rPr>
          <w:lang w:val="en-US"/>
        </w:rPr>
        <w:t xml:space="preserve">Service area radius calculation for frequencies below 1 000 MHz, </w:t>
      </w:r>
      <w:r w:rsidRPr="00C90AB1">
        <w:rPr>
          <w:rFonts w:ascii="Times New Roman"/>
          <w:bCs/>
          <w:i/>
          <w:iCs/>
          <w:lang w:val="en-US"/>
        </w:rPr>
        <w:t>h</w:t>
      </w:r>
      <w:r>
        <w:rPr>
          <w:i/>
          <w:iCs/>
          <w:vertAlign w:val="subscript"/>
          <w:lang w:val="en-US"/>
        </w:rPr>
        <w:t>t</w:t>
      </w:r>
      <w:r>
        <w:rPr>
          <w:i/>
          <w:iCs/>
          <w:lang w:val="en-US"/>
        </w:rPr>
        <w:t xml:space="preserve"> </w:t>
      </w:r>
      <w:r>
        <w:rPr>
          <w:lang w:val="en-US"/>
        </w:rPr>
        <w:t>= 100 m</w:t>
      </w:r>
      <w:r>
        <w:rPr>
          <w:lang w:val="en-US"/>
        </w:rPr>
        <w:br/>
      </w:r>
      <w:r>
        <w:rPr>
          <w:rFonts w:ascii="Times New Roman"/>
          <w:bCs/>
          <w:lang w:val="en-US"/>
        </w:rPr>
        <w:t xml:space="preserve">1: </w:t>
      </w:r>
      <w:r w:rsidRPr="00C90AB1">
        <w:rPr>
          <w:rFonts w:ascii="Times New Roman"/>
          <w:bCs/>
          <w:i/>
          <w:iCs/>
          <w:lang w:val="en-US"/>
        </w:rPr>
        <w:t>h</w:t>
      </w:r>
      <w:r>
        <w:rPr>
          <w:i/>
          <w:iCs/>
          <w:vertAlign w:val="subscript"/>
          <w:lang w:val="en-US"/>
        </w:rPr>
        <w:t>r</w:t>
      </w:r>
      <w:r>
        <w:rPr>
          <w:i/>
          <w:iCs/>
          <w:lang w:val="en-US"/>
        </w:rPr>
        <w:t xml:space="preserve"> </w:t>
      </w:r>
      <w:r>
        <w:rPr>
          <w:lang w:val="en-US"/>
        </w:rPr>
        <w:t>= 1.5 m,  </w:t>
      </w:r>
      <w:r>
        <w:rPr>
          <w:rFonts w:ascii="Times New Roman"/>
          <w:bCs/>
          <w:lang w:val="en-US"/>
        </w:rPr>
        <w:t xml:space="preserve">2: </w:t>
      </w:r>
      <w:r w:rsidRPr="00C90AB1">
        <w:rPr>
          <w:rFonts w:ascii="Times New Roman"/>
          <w:bCs/>
          <w:i/>
          <w:iCs/>
          <w:lang w:val="en-US"/>
        </w:rPr>
        <w:t>h</w:t>
      </w:r>
      <w:r>
        <w:rPr>
          <w:i/>
          <w:iCs/>
          <w:vertAlign w:val="subscript"/>
          <w:lang w:val="en-US"/>
        </w:rPr>
        <w:t>r</w:t>
      </w:r>
      <w:r>
        <w:rPr>
          <w:i/>
          <w:iCs/>
          <w:lang w:val="en-US"/>
        </w:rPr>
        <w:t xml:space="preserve"> </w:t>
      </w:r>
      <w:r>
        <w:rPr>
          <w:lang w:val="en-US"/>
        </w:rPr>
        <w:t>= 10 m, 3: free space propagation</w:t>
      </w:r>
    </w:p>
    <w:p w:rsidR="00CA3B52" w:rsidRPr="00C90AB1" w:rsidRDefault="00CA3B52" w:rsidP="00CA3B52">
      <w:pPr>
        <w:pStyle w:val="Figure"/>
        <w:rPr>
          <w:lang w:val="en-US"/>
        </w:rPr>
      </w:pPr>
      <w:r>
        <w:rPr>
          <w:lang w:val="en-US"/>
        </w:rPr>
        <w:object w:dxaOrig="6338" w:dyaOrig="4133">
          <v:shape id="_x0000_i1062" type="#_x0000_t75" style="width:357.2pt;height:233.3pt" o:ole="">
            <v:imagedata r:id="rId94" o:title=""/>
          </v:shape>
          <o:OLEObject Type="Embed" ProgID="CorelDRAW.Graphic.14" ShapeID="_x0000_i1062" DrawAspect="Content" ObjectID="_1511604851" r:id="rId95"/>
        </w:object>
      </w:r>
    </w:p>
    <w:p w:rsidR="00CA3B52" w:rsidRDefault="00CA3B52" w:rsidP="00CA3B52">
      <w:pPr>
        <w:pStyle w:val="FigureNo"/>
        <w:rPr>
          <w:lang w:val="en-US"/>
        </w:rPr>
      </w:pPr>
      <w:r>
        <w:rPr>
          <w:lang w:val="en-US"/>
        </w:rPr>
        <w:lastRenderedPageBreak/>
        <w:t>Figure 9</w:t>
      </w:r>
    </w:p>
    <w:p w:rsidR="00CA3B52" w:rsidRDefault="00CA3B52" w:rsidP="00CA3B52">
      <w:pPr>
        <w:pStyle w:val="Figuretitle"/>
        <w:rPr>
          <w:lang w:val="en-US"/>
        </w:rPr>
      </w:pPr>
      <w:r>
        <w:rPr>
          <w:lang w:val="en-US"/>
        </w:rPr>
        <w:t xml:space="preserve">Service area radius calculation for frequencies below 1 500 MHz, </w:t>
      </w:r>
      <w:r w:rsidRPr="00C90AB1">
        <w:rPr>
          <w:rFonts w:ascii="Times New Roman"/>
          <w:bCs/>
          <w:i/>
          <w:iCs/>
          <w:lang w:val="en-US"/>
        </w:rPr>
        <w:t>h</w:t>
      </w:r>
      <w:r>
        <w:rPr>
          <w:i/>
          <w:iCs/>
          <w:vertAlign w:val="subscript"/>
          <w:lang w:val="en-US"/>
        </w:rPr>
        <w:t>t</w:t>
      </w:r>
      <w:r>
        <w:rPr>
          <w:i/>
          <w:iCs/>
          <w:lang w:val="en-US"/>
        </w:rPr>
        <w:t xml:space="preserve"> </w:t>
      </w:r>
      <w:r>
        <w:rPr>
          <w:lang w:val="en-US"/>
        </w:rPr>
        <w:t>= 100 m</w:t>
      </w:r>
      <w:r>
        <w:rPr>
          <w:lang w:val="en-US"/>
        </w:rPr>
        <w:br/>
      </w:r>
      <w:r>
        <w:rPr>
          <w:rFonts w:ascii="Times New Roman"/>
          <w:bCs/>
          <w:lang w:val="en-US"/>
        </w:rPr>
        <w:t xml:space="preserve">1: </w:t>
      </w:r>
      <w:r w:rsidRPr="00C90AB1">
        <w:rPr>
          <w:rFonts w:ascii="Times New Roman"/>
          <w:bCs/>
          <w:i/>
          <w:iCs/>
          <w:lang w:val="en-US"/>
        </w:rPr>
        <w:t>h</w:t>
      </w:r>
      <w:r>
        <w:rPr>
          <w:i/>
          <w:iCs/>
          <w:vertAlign w:val="subscript"/>
          <w:lang w:val="en-US"/>
        </w:rPr>
        <w:t>r</w:t>
      </w:r>
      <w:r>
        <w:rPr>
          <w:i/>
          <w:iCs/>
          <w:lang w:val="en-US"/>
        </w:rPr>
        <w:t xml:space="preserve"> </w:t>
      </w:r>
      <w:r>
        <w:rPr>
          <w:lang w:val="en-US"/>
        </w:rPr>
        <w:t>= 1.5 m,  </w:t>
      </w:r>
      <w:r>
        <w:rPr>
          <w:rFonts w:ascii="Times New Roman"/>
          <w:bCs/>
          <w:lang w:val="en-US"/>
        </w:rPr>
        <w:t xml:space="preserve">2: </w:t>
      </w:r>
      <w:r w:rsidRPr="00C90AB1">
        <w:rPr>
          <w:rFonts w:ascii="Times New Roman"/>
          <w:bCs/>
          <w:i/>
          <w:iCs/>
          <w:lang w:val="en-US"/>
        </w:rPr>
        <w:t>h</w:t>
      </w:r>
      <w:r>
        <w:rPr>
          <w:i/>
          <w:iCs/>
          <w:vertAlign w:val="subscript"/>
          <w:lang w:val="en-US"/>
        </w:rPr>
        <w:t>r</w:t>
      </w:r>
      <w:r>
        <w:rPr>
          <w:i/>
          <w:iCs/>
          <w:lang w:val="en-US"/>
        </w:rPr>
        <w:t xml:space="preserve"> </w:t>
      </w:r>
      <w:r>
        <w:rPr>
          <w:lang w:val="en-US"/>
        </w:rPr>
        <w:t>= 10 m, 3: free space propagation</w:t>
      </w:r>
    </w:p>
    <w:p w:rsidR="00CA3B52" w:rsidRDefault="00CA3B52" w:rsidP="00CA3B52">
      <w:pPr>
        <w:pStyle w:val="Figure"/>
        <w:rPr>
          <w:lang w:val="en-US"/>
        </w:rPr>
      </w:pPr>
      <w:r>
        <w:rPr>
          <w:lang w:val="en-US"/>
        </w:rPr>
        <w:object w:dxaOrig="6330" w:dyaOrig="4144">
          <v:shape id="_x0000_i1063" type="#_x0000_t75" style="width:357.65pt;height:233.3pt" o:ole="">
            <v:imagedata r:id="rId96" o:title=""/>
          </v:shape>
          <o:OLEObject Type="Embed" ProgID="CorelDRAW.Graphic.14" ShapeID="_x0000_i1063" DrawAspect="Content" ObjectID="_1511604852" r:id="rId97"/>
        </w:object>
      </w:r>
    </w:p>
    <w:p w:rsidR="00CA3B52" w:rsidRDefault="00CA3B52" w:rsidP="00CA3B52">
      <w:pPr>
        <w:pStyle w:val="FigureNo"/>
        <w:rPr>
          <w:lang w:val="en-US"/>
        </w:rPr>
      </w:pPr>
      <w:r>
        <w:rPr>
          <w:lang w:val="en-US"/>
        </w:rPr>
        <w:t>Figure 10</w:t>
      </w:r>
    </w:p>
    <w:p w:rsidR="00CA3B52" w:rsidRDefault="00CA3B52" w:rsidP="00CA3B52">
      <w:pPr>
        <w:pStyle w:val="Figuretitle"/>
        <w:rPr>
          <w:lang w:val="en-US"/>
        </w:rPr>
      </w:pPr>
      <w:r>
        <w:rPr>
          <w:lang w:val="en-US"/>
        </w:rPr>
        <w:t xml:space="preserve">Service area radius calculation for frequencies below 1 500 MHz, </w:t>
      </w:r>
      <w:r w:rsidRPr="00C90AB1">
        <w:rPr>
          <w:rFonts w:ascii="Times New Roman"/>
          <w:bCs/>
          <w:i/>
          <w:iCs/>
          <w:lang w:val="en-US"/>
        </w:rPr>
        <w:t>h</w:t>
      </w:r>
      <w:r>
        <w:rPr>
          <w:i/>
          <w:iCs/>
          <w:vertAlign w:val="subscript"/>
          <w:lang w:val="en-US"/>
        </w:rPr>
        <w:t>t</w:t>
      </w:r>
      <w:r>
        <w:rPr>
          <w:i/>
          <w:iCs/>
          <w:lang w:val="en-US"/>
        </w:rPr>
        <w:t xml:space="preserve"> </w:t>
      </w:r>
      <w:r>
        <w:rPr>
          <w:lang w:val="en-US"/>
        </w:rPr>
        <w:t>= 100 m</w:t>
      </w:r>
      <w:r>
        <w:rPr>
          <w:lang w:val="en-US"/>
        </w:rPr>
        <w:br/>
      </w:r>
      <w:r>
        <w:rPr>
          <w:rFonts w:ascii="Times New Roman"/>
          <w:bCs/>
          <w:lang w:val="en-US"/>
        </w:rPr>
        <w:t xml:space="preserve">1: </w:t>
      </w:r>
      <w:r w:rsidRPr="00C90AB1">
        <w:rPr>
          <w:rFonts w:ascii="Times New Roman"/>
          <w:bCs/>
          <w:i/>
          <w:iCs/>
          <w:lang w:val="en-US"/>
        </w:rPr>
        <w:t>h</w:t>
      </w:r>
      <w:r>
        <w:rPr>
          <w:i/>
          <w:iCs/>
          <w:vertAlign w:val="subscript"/>
          <w:lang w:val="en-US"/>
        </w:rPr>
        <w:t>r</w:t>
      </w:r>
      <w:r>
        <w:rPr>
          <w:i/>
          <w:iCs/>
          <w:lang w:val="en-US"/>
        </w:rPr>
        <w:t xml:space="preserve"> </w:t>
      </w:r>
      <w:r>
        <w:rPr>
          <w:lang w:val="en-US"/>
        </w:rPr>
        <w:t>= 1.5 m,  </w:t>
      </w:r>
      <w:r>
        <w:rPr>
          <w:rFonts w:ascii="Times New Roman"/>
          <w:bCs/>
          <w:lang w:val="en-US"/>
        </w:rPr>
        <w:t xml:space="preserve">2: </w:t>
      </w:r>
      <w:r w:rsidRPr="00C90AB1">
        <w:rPr>
          <w:rFonts w:ascii="Times New Roman"/>
          <w:bCs/>
          <w:i/>
          <w:iCs/>
          <w:lang w:val="en-US"/>
        </w:rPr>
        <w:t>h</w:t>
      </w:r>
      <w:r>
        <w:rPr>
          <w:i/>
          <w:iCs/>
          <w:vertAlign w:val="subscript"/>
          <w:lang w:val="en-US"/>
        </w:rPr>
        <w:t>r</w:t>
      </w:r>
      <w:r>
        <w:rPr>
          <w:i/>
          <w:iCs/>
          <w:lang w:val="en-US"/>
        </w:rPr>
        <w:t xml:space="preserve"> </w:t>
      </w:r>
      <w:r>
        <w:rPr>
          <w:lang w:val="en-US"/>
        </w:rPr>
        <w:t>= 10 m, 3: free space propagation</w:t>
      </w:r>
    </w:p>
    <w:p w:rsidR="00CA3B52" w:rsidRPr="00E12379" w:rsidRDefault="00CA3B52" w:rsidP="00CA3B52">
      <w:pPr>
        <w:pStyle w:val="Figure"/>
        <w:rPr>
          <w:lang w:val="en-US"/>
        </w:rPr>
      </w:pPr>
      <w:r>
        <w:rPr>
          <w:lang w:val="en-US"/>
        </w:rPr>
        <w:object w:dxaOrig="6330" w:dyaOrig="4123">
          <v:shape id="_x0000_i1064" type="#_x0000_t75" style="width:357.65pt;height:231.9pt" o:ole="">
            <v:imagedata r:id="rId98" o:title=""/>
          </v:shape>
          <o:OLEObject Type="Embed" ProgID="CorelDRAW.Graphic.14" ShapeID="_x0000_i1064" DrawAspect="Content" ObjectID="_1511604853" r:id="rId99"/>
        </w:object>
      </w:r>
    </w:p>
    <w:p w:rsidR="00CA3B52" w:rsidRDefault="00CA3B52" w:rsidP="00CA3B52">
      <w:pPr>
        <w:rPr>
          <w:lang w:val="en-US"/>
        </w:rPr>
      </w:pPr>
    </w:p>
    <w:p w:rsidR="00CA3B52" w:rsidRPr="00CB6CBA" w:rsidRDefault="00CA3B52" w:rsidP="00CA3B52">
      <w:pPr>
        <w:pStyle w:val="Headingb"/>
        <w:rPr>
          <w:lang w:val="en-US"/>
        </w:rPr>
      </w:pPr>
      <w:r w:rsidRPr="00CB6CBA">
        <w:rPr>
          <w:lang w:val="en-US"/>
        </w:rPr>
        <w:t>b)</w:t>
      </w:r>
      <w:r w:rsidRPr="00CB6CBA">
        <w:rPr>
          <w:lang w:val="en-US"/>
        </w:rPr>
        <w:tab/>
        <w:t>Calculation procedures</w:t>
      </w:r>
    </w:p>
    <w:p w:rsidR="00CA3B52" w:rsidRDefault="00CA3B52" w:rsidP="00CA3B52">
      <w:pPr>
        <w:rPr>
          <w:lang w:val="en-US"/>
        </w:rPr>
      </w:pPr>
      <w:r w:rsidRPr="00CB6CBA">
        <w:rPr>
          <w:lang w:val="en-US"/>
        </w:rPr>
        <w:t xml:space="preserve">Having got graphs presented at Figs </w:t>
      </w:r>
      <w:r>
        <w:rPr>
          <w:lang w:val="en-US"/>
        </w:rPr>
        <w:t>7</w:t>
      </w:r>
      <w:r w:rsidRPr="00CB6CBA">
        <w:rPr>
          <w:lang w:val="en-US"/>
        </w:rPr>
        <w:t xml:space="preserve"> to </w:t>
      </w:r>
      <w:r>
        <w:rPr>
          <w:lang w:val="en-US"/>
        </w:rPr>
        <w:t>10</w:t>
      </w:r>
      <w:r w:rsidRPr="00CB6CBA">
        <w:rPr>
          <w:lang w:val="en-US"/>
        </w:rPr>
        <w:t xml:space="preserve"> calculation procedure becomes a quite simple one. It</w:t>
      </w:r>
      <w:r>
        <w:rPr>
          <w:lang w:val="en-US"/>
        </w:rPr>
        <w:t xml:space="preserve"> </w:t>
      </w:r>
      <w:r w:rsidRPr="00CB6CBA">
        <w:rPr>
          <w:lang w:val="en-US"/>
        </w:rPr>
        <w:t>is only necessary to insert into equation (</w:t>
      </w:r>
      <w:r>
        <w:rPr>
          <w:lang w:val="en-US"/>
        </w:rPr>
        <w:t>45</w:t>
      </w:r>
      <w:r w:rsidRPr="00CB6CBA">
        <w:rPr>
          <w:lang w:val="en-US"/>
        </w:rPr>
        <w:t xml:space="preserve">) required parameters, taken from the national frequency assignment database (or, in their absence, from Table 11), and to read related service area radius </w:t>
      </w:r>
      <w:r w:rsidRPr="00CB6CBA">
        <w:rPr>
          <w:i/>
          <w:lang w:val="en-US"/>
        </w:rPr>
        <w:t>R</w:t>
      </w:r>
      <w:r w:rsidRPr="00CB6CBA">
        <w:rPr>
          <w:lang w:val="en-US"/>
        </w:rPr>
        <w:t xml:space="preserve"> for calculated value of parameter </w:t>
      </w:r>
      <w:r w:rsidRPr="00CB6CBA">
        <w:rPr>
          <w:i/>
          <w:lang w:val="en-US"/>
        </w:rPr>
        <w:t>z</w:t>
      </w:r>
      <w:r w:rsidRPr="00CB6CBA">
        <w:rPr>
          <w:lang w:val="en-US"/>
        </w:rPr>
        <w:t xml:space="preserve"> directly from Figs </w:t>
      </w:r>
      <w:r>
        <w:rPr>
          <w:lang w:val="en-US"/>
        </w:rPr>
        <w:t>7</w:t>
      </w:r>
      <w:r w:rsidRPr="00CB6CBA">
        <w:rPr>
          <w:lang w:val="en-US"/>
        </w:rPr>
        <w:t xml:space="preserve"> and </w:t>
      </w:r>
      <w:r>
        <w:rPr>
          <w:lang w:val="en-US"/>
        </w:rPr>
        <w:t>8</w:t>
      </w:r>
      <w:r w:rsidRPr="00CB6CBA">
        <w:rPr>
          <w:lang w:val="en-US"/>
        </w:rPr>
        <w:t xml:space="preserve">, depending on working frequency and antenna heights. Due to the fact, that for land mobile service, and especially for cellular systems, service areas of individual base stations are rather small ones, they will usually lie within only one </w:t>
      </w:r>
      <w:r w:rsidRPr="00CB6CBA">
        <w:rPr>
          <w:lang w:val="en-US"/>
        </w:rPr>
        <w:lastRenderedPageBreak/>
        <w:t xml:space="preserve">zone of license fees category. Thereby service areas usually can be calculated by simple </w:t>
      </w:r>
      <w:r>
        <w:rPr>
          <w:lang w:val="en-US"/>
        </w:rPr>
        <w:t>e</w:t>
      </w:r>
      <w:r w:rsidRPr="00CB6CBA">
        <w:rPr>
          <w:lang w:val="en-US"/>
        </w:rPr>
        <w:t>quation</w:t>
      </w:r>
      <w:r>
        <w:rPr>
          <w:lang w:val="en-US"/>
        </w:rPr>
        <w:t> </w:t>
      </w:r>
      <w:r w:rsidRPr="00CB6CBA">
        <w:rPr>
          <w:lang w:val="en-US"/>
        </w:rPr>
        <w:t>(</w:t>
      </w:r>
      <w:r>
        <w:rPr>
          <w:lang w:val="en-US"/>
        </w:rPr>
        <w:t>31</w:t>
      </w:r>
      <w:r w:rsidRPr="00CB6CBA">
        <w:rPr>
          <w:lang w:val="en-US"/>
        </w:rPr>
        <w:t>).</w:t>
      </w:r>
    </w:p>
    <w:p w:rsidR="00CA3B52" w:rsidRPr="00CB6CBA" w:rsidRDefault="00CA3B52" w:rsidP="00CA3B52">
      <w:pPr>
        <w:rPr>
          <w:lang w:val="en-US"/>
        </w:rPr>
      </w:pPr>
      <w:r w:rsidRPr="00CB6CBA">
        <w:rPr>
          <w:lang w:val="en-US"/>
        </w:rPr>
        <w:t xml:space="preserve">After determining service area value, procedure of used spectral resource calculation follows the same one, which is presented in </w:t>
      </w:r>
      <w:r>
        <w:rPr>
          <w:lang w:val="en-US"/>
        </w:rPr>
        <w:t>§ </w:t>
      </w:r>
      <w:r w:rsidRPr="00CB6CBA">
        <w:rPr>
          <w:lang w:val="en-US"/>
        </w:rPr>
        <w:t>4.</w:t>
      </w:r>
      <w:r>
        <w:rPr>
          <w:lang w:val="en-US"/>
        </w:rPr>
        <w:t>7</w:t>
      </w:r>
      <w:r w:rsidRPr="00CB6CBA">
        <w:rPr>
          <w:lang w:val="en-US"/>
        </w:rPr>
        <w:t>.1(b).</w:t>
      </w:r>
    </w:p>
    <w:p w:rsidR="00CA3B52" w:rsidRDefault="00CA3B52" w:rsidP="00CA3B52">
      <w:pPr>
        <w:pStyle w:val="Heading4"/>
        <w:rPr>
          <w:lang w:val="en-US"/>
        </w:rPr>
      </w:pPr>
      <w:r w:rsidRPr="00CB6CBA">
        <w:rPr>
          <w:lang w:val="en-US"/>
        </w:rPr>
        <w:t>4.</w:t>
      </w:r>
      <w:r>
        <w:rPr>
          <w:lang w:val="en-US"/>
        </w:rPr>
        <w:t>7</w:t>
      </w:r>
      <w:r w:rsidRPr="00CB6CBA">
        <w:rPr>
          <w:lang w:val="en-US"/>
        </w:rPr>
        <w:t>.4.2</w:t>
      </w:r>
      <w:r w:rsidRPr="00CB6CBA">
        <w:rPr>
          <w:lang w:val="en-US"/>
        </w:rPr>
        <w:tab/>
        <w:t>Example of calculations</w:t>
      </w:r>
    </w:p>
    <w:p w:rsidR="00CA3B52" w:rsidRPr="00CB6CBA" w:rsidRDefault="00CA3B52" w:rsidP="00CA3B52">
      <w:pPr>
        <w:pStyle w:val="Headingb"/>
        <w:rPr>
          <w:lang w:val="en-US"/>
        </w:rPr>
      </w:pPr>
      <w:r w:rsidRPr="00CB6CBA">
        <w:rPr>
          <w:lang w:val="en-US"/>
        </w:rPr>
        <w:t>a)</w:t>
      </w:r>
      <w:r w:rsidRPr="00CB6CBA">
        <w:rPr>
          <w:lang w:val="en-US"/>
        </w:rPr>
        <w:tab/>
        <w:t>Incoming parameters</w:t>
      </w:r>
    </w:p>
    <w:p w:rsidR="00CA3B52" w:rsidRPr="00CB6CBA" w:rsidRDefault="00CA3B52" w:rsidP="00CA3B52">
      <w:pPr>
        <w:rPr>
          <w:lang w:val="en-US"/>
        </w:rPr>
      </w:pPr>
      <w:r w:rsidRPr="00CB6CBA">
        <w:rPr>
          <w:lang w:val="en-US"/>
        </w:rPr>
        <w:t xml:space="preserve">Let us calculate a spectral resource used by a base station of GSM 900 MHz cellular system working with power 2.5 W without interruption 24 h per each day, without sharing, in a city with population 40 000 inhabitants (i.e. according to Table 1, </w:t>
      </w:r>
      <w:r w:rsidRPr="00CB6CBA">
        <w:rPr>
          <w:i/>
          <w:iCs/>
          <w:lang w:val="en-US"/>
        </w:rPr>
        <w:t>b</w:t>
      </w:r>
      <w:r w:rsidRPr="00CB6CBA">
        <w:rPr>
          <w:i/>
          <w:iCs/>
          <w:vertAlign w:val="subscript"/>
          <w:lang w:val="en-US"/>
        </w:rPr>
        <w:t>j</w:t>
      </w:r>
      <w:r w:rsidRPr="00CB6CBA">
        <w:rPr>
          <w:lang w:val="en-US"/>
        </w:rPr>
        <w:t xml:space="preserve"> </w:t>
      </w:r>
      <w:r>
        <w:rPr>
          <w:rFonts w:asciiTheme="majorBidi" w:hAnsiTheme="majorBidi" w:cstheme="majorBidi"/>
          <w:lang w:val="en-US"/>
        </w:rPr>
        <w:t>=</w:t>
      </w:r>
      <w:r w:rsidRPr="00CB6CBA">
        <w:rPr>
          <w:lang w:val="en-US"/>
        </w:rPr>
        <w:t xml:space="preserve"> 1.2). Overall frequency bands used for base – mobile and mobile – base transmissions are equal 0.8 MHz each. Transmitting and receiving antenna heights are 40 m and 1.5 m correspondently. Let us assume that other parameters correspond to Table 11.</w:t>
      </w:r>
    </w:p>
    <w:p w:rsidR="00CA3B52" w:rsidRPr="00CB6CBA" w:rsidRDefault="00CA3B52" w:rsidP="00CA3B52">
      <w:pPr>
        <w:pStyle w:val="Headingb"/>
        <w:rPr>
          <w:lang w:val="en-US"/>
        </w:rPr>
      </w:pPr>
      <w:r w:rsidRPr="00CB6CBA">
        <w:rPr>
          <w:lang w:val="en-US"/>
        </w:rPr>
        <w:t>b)</w:t>
      </w:r>
      <w:r w:rsidRPr="00CB6CBA">
        <w:rPr>
          <w:lang w:val="en-US"/>
        </w:rPr>
        <w:tab/>
        <w:t>Time and frequency resources used</w:t>
      </w:r>
    </w:p>
    <w:p w:rsidR="00CA3B52" w:rsidRDefault="00CA3B52" w:rsidP="00CA3B52">
      <w:pPr>
        <w:rPr>
          <w:lang w:val="en-US"/>
        </w:rPr>
      </w:pPr>
      <w:r w:rsidRPr="00CB6CBA">
        <w:rPr>
          <w:lang w:val="en-US"/>
        </w:rPr>
        <w:t>In accordance with equation (</w:t>
      </w:r>
      <w:r>
        <w:rPr>
          <w:lang w:val="en-US"/>
        </w:rPr>
        <w:t>21</w:t>
      </w:r>
      <w:r w:rsidRPr="00CB6CBA">
        <w:rPr>
          <w:lang w:val="en-US"/>
        </w:rPr>
        <w:t>), used time resource is:</w:t>
      </w:r>
    </w:p>
    <w:p w:rsidR="00CA3B52" w:rsidRPr="00CB6CBA" w:rsidRDefault="00CA3B52" w:rsidP="00CA3B52">
      <w:pPr>
        <w:pStyle w:val="Equation"/>
        <w:rPr>
          <w:lang w:val="en-US"/>
        </w:rPr>
      </w:pPr>
      <w:r w:rsidRPr="00CB6CBA">
        <w:rPr>
          <w:lang w:val="en-US"/>
        </w:rPr>
        <w:tab/>
      </w:r>
      <w:r w:rsidRPr="00CB6CBA">
        <w:rPr>
          <w:lang w:val="en-US"/>
        </w:rPr>
        <w:tab/>
      </w:r>
      <w:r w:rsidRPr="00CB6CBA">
        <w:rPr>
          <w:i/>
          <w:lang w:val="en-US"/>
        </w:rPr>
        <w:t>T</w:t>
      </w:r>
      <w:r w:rsidRPr="00CB6CBA">
        <w:rPr>
          <w:lang w:val="en-US"/>
        </w:rPr>
        <w:t xml:space="preserve"> </w:t>
      </w:r>
      <w:r>
        <w:rPr>
          <w:lang w:val="en-US"/>
        </w:rPr>
        <w:t>=</w:t>
      </w:r>
      <w:r w:rsidRPr="00CB6CBA">
        <w:rPr>
          <w:lang w:val="en-US"/>
        </w:rPr>
        <w:t xml:space="preserve"> 24/24 (each day) = year</w:t>
      </w:r>
    </w:p>
    <w:p w:rsidR="00CA3B52" w:rsidRPr="00CB6CBA" w:rsidRDefault="00CA3B52" w:rsidP="00CA3B52">
      <w:pPr>
        <w:rPr>
          <w:lang w:val="en-US"/>
        </w:rPr>
      </w:pPr>
      <w:r w:rsidRPr="00CB6CBA">
        <w:rPr>
          <w:lang w:val="en-US"/>
        </w:rPr>
        <w:t>As far as the system within the same service area uses two sets of frequency bands, one for base – mobile and other for mobile – base transmissions, the overall used frequency resource, accepting in formula (25)</w:t>
      </w:r>
      <w:r>
        <w:rPr>
          <w:lang w:val="en-US"/>
        </w:rPr>
        <w:t xml:space="preserve"> </w:t>
      </w:r>
      <w:r>
        <w:rPr>
          <w:lang w:val="en-US"/>
        </w:rPr>
        <w:sym w:font="Symbol" w:char="F063"/>
      </w:r>
      <w:r>
        <w:rPr>
          <w:lang w:val="en-US"/>
        </w:rPr>
        <w:t xml:space="preserve"> =</w:t>
      </w:r>
      <w:r w:rsidRPr="00CB6CBA">
        <w:rPr>
          <w:lang w:val="en-US"/>
        </w:rPr>
        <w:t xml:space="preserve"> 1, can be found as:</w:t>
      </w:r>
    </w:p>
    <w:p w:rsidR="00CA3B52" w:rsidRPr="00CB6CBA" w:rsidRDefault="00CA3B52" w:rsidP="00CA3B52">
      <w:pPr>
        <w:pStyle w:val="Equation"/>
        <w:rPr>
          <w:lang w:val="en-US"/>
        </w:rPr>
      </w:pPr>
      <w:r w:rsidRPr="00CB6CBA">
        <w:rPr>
          <w:lang w:val="en-US"/>
        </w:rPr>
        <w:tab/>
      </w:r>
      <w:r w:rsidRPr="00CB6CBA">
        <w:rPr>
          <w:lang w:val="en-US"/>
        </w:rPr>
        <w:tab/>
      </w:r>
      <w:r w:rsidRPr="00CB6CBA">
        <w:rPr>
          <w:i/>
          <w:lang w:val="en-US"/>
        </w:rPr>
        <w:t>F</w:t>
      </w:r>
      <w:r w:rsidRPr="00CB6CBA">
        <w:rPr>
          <w:lang w:val="en-US"/>
        </w:rPr>
        <w:t xml:space="preserve"> </w:t>
      </w:r>
      <w:r>
        <w:rPr>
          <w:lang w:val="en-US"/>
        </w:rPr>
        <w:t>=</w:t>
      </w:r>
      <w:r w:rsidRPr="00CB6CBA">
        <w:rPr>
          <w:lang w:val="en-US"/>
        </w:rPr>
        <w:t xml:space="preserve"> 2 </w:t>
      </w:r>
      <w:r>
        <w:rPr>
          <w:lang w:val="en-US"/>
        </w:rPr>
        <w:t>×</w:t>
      </w:r>
      <w:r w:rsidRPr="00CB6CBA">
        <w:rPr>
          <w:lang w:val="en-US"/>
        </w:rPr>
        <w:t xml:space="preserve"> 0.8 </w:t>
      </w:r>
      <w:r>
        <w:rPr>
          <w:lang w:val="en-US"/>
        </w:rPr>
        <w:t>=</w:t>
      </w:r>
      <w:r w:rsidRPr="00CB6CBA">
        <w:rPr>
          <w:lang w:val="en-US"/>
        </w:rPr>
        <w:t xml:space="preserve"> 1.6 MHz</w:t>
      </w:r>
    </w:p>
    <w:p w:rsidR="00CA3B52" w:rsidRPr="00CB6CBA" w:rsidRDefault="00CA3B52" w:rsidP="00CA3B52">
      <w:pPr>
        <w:pStyle w:val="Headingb"/>
        <w:rPr>
          <w:lang w:val="en-US"/>
        </w:rPr>
      </w:pPr>
      <w:r w:rsidRPr="00CB6CBA">
        <w:rPr>
          <w:lang w:val="en-US"/>
        </w:rPr>
        <w:t>c)</w:t>
      </w:r>
      <w:r w:rsidRPr="00CB6CBA">
        <w:rPr>
          <w:lang w:val="en-US"/>
        </w:rPr>
        <w:tab/>
        <w:t>Territorial resource used</w:t>
      </w:r>
    </w:p>
    <w:p w:rsidR="00CA3B52" w:rsidRDefault="00CA3B52" w:rsidP="00CA3B52">
      <w:pPr>
        <w:rPr>
          <w:lang w:val="en-US"/>
        </w:rPr>
      </w:pPr>
      <w:r w:rsidRPr="00CB6CBA">
        <w:rPr>
          <w:lang w:val="en-US"/>
        </w:rPr>
        <w:t xml:space="preserve">Substituting relevant data from </w:t>
      </w:r>
      <w:r>
        <w:rPr>
          <w:lang w:val="en-US"/>
        </w:rPr>
        <w:t>§ </w:t>
      </w:r>
      <w:r w:rsidRPr="00CB6CBA">
        <w:rPr>
          <w:lang w:val="en-US"/>
        </w:rPr>
        <w:t>4.</w:t>
      </w:r>
      <w:r>
        <w:rPr>
          <w:lang w:val="en-US"/>
        </w:rPr>
        <w:t>7</w:t>
      </w:r>
      <w:r w:rsidRPr="00CB6CBA">
        <w:rPr>
          <w:lang w:val="en-US"/>
        </w:rPr>
        <w:t>.1 and Table 11 to equation (</w:t>
      </w:r>
      <w:r>
        <w:rPr>
          <w:lang w:val="en-US"/>
        </w:rPr>
        <w:t>45</w:t>
      </w:r>
      <w:r w:rsidRPr="00CB6CBA">
        <w:rPr>
          <w:lang w:val="en-US"/>
        </w:rPr>
        <w:t>) we get:</w:t>
      </w:r>
    </w:p>
    <w:p w:rsidR="00CA3B52" w:rsidRPr="00CB6CBA" w:rsidRDefault="00CA3B52" w:rsidP="00CA3B52">
      <w:pPr>
        <w:pStyle w:val="Equation"/>
        <w:rPr>
          <w:snapToGrid w:val="0"/>
          <w:lang w:val="en-US"/>
        </w:rPr>
      </w:pPr>
      <w:r w:rsidRPr="00CB6CBA">
        <w:rPr>
          <w:i/>
          <w:snapToGrid w:val="0"/>
          <w:lang w:val="en-US"/>
        </w:rPr>
        <w:tab/>
      </w:r>
      <w:r w:rsidRPr="00CB6CBA">
        <w:rPr>
          <w:i/>
          <w:snapToGrid w:val="0"/>
          <w:lang w:val="en-US"/>
        </w:rPr>
        <w:tab/>
        <w:t>z</w:t>
      </w:r>
      <w:r w:rsidRPr="00CB6CBA">
        <w:rPr>
          <w:snapToGrid w:val="0"/>
          <w:lang w:val="en-US"/>
        </w:rPr>
        <w:t xml:space="preserve"> </w:t>
      </w:r>
      <w:r>
        <w:rPr>
          <w:snapToGrid w:val="0"/>
          <w:lang w:val="en-US"/>
        </w:rPr>
        <w:t>=</w:t>
      </w:r>
      <w:r w:rsidRPr="00CB6CBA">
        <w:rPr>
          <w:snapToGrid w:val="0"/>
          <w:lang w:val="en-US"/>
        </w:rPr>
        <w:t xml:space="preserve"> 10 </w:t>
      </w:r>
      <w:r w:rsidRPr="00CB6CBA">
        <w:rPr>
          <w:iCs/>
          <w:snapToGrid w:val="0"/>
          <w:lang w:val="en-US"/>
        </w:rPr>
        <w:t>log</w:t>
      </w:r>
      <w:r w:rsidRPr="00CB6CBA">
        <w:rPr>
          <w:snapToGrid w:val="0"/>
          <w:lang w:val="en-US"/>
        </w:rPr>
        <w:t xml:space="preserve"> 2.5</w:t>
      </w:r>
      <w:r w:rsidRPr="00CB6CBA">
        <w:rPr>
          <w:i/>
          <w:snapToGrid w:val="0"/>
          <w:lang w:val="en-US"/>
        </w:rPr>
        <w:t xml:space="preserve"> </w:t>
      </w:r>
      <w:r>
        <w:rPr>
          <w:i/>
          <w:snapToGrid w:val="0"/>
          <w:lang w:val="en-US"/>
        </w:rPr>
        <w:t>+</w:t>
      </w:r>
      <w:r w:rsidRPr="00CB6CBA">
        <w:rPr>
          <w:i/>
          <w:snapToGrid w:val="0"/>
          <w:lang w:val="en-US"/>
        </w:rPr>
        <w:t xml:space="preserve"> </w:t>
      </w:r>
      <w:r w:rsidRPr="00CB6CBA">
        <w:rPr>
          <w:snapToGrid w:val="0"/>
          <w:lang w:val="en-US"/>
        </w:rPr>
        <w:t xml:space="preserve">18 </w:t>
      </w:r>
      <w:r>
        <w:rPr>
          <w:snapToGrid w:val="0"/>
          <w:lang w:val="en-US"/>
        </w:rPr>
        <w:t>+</w:t>
      </w:r>
      <w:r w:rsidRPr="00CB6CBA">
        <w:rPr>
          <w:i/>
          <w:snapToGrid w:val="0"/>
          <w:lang w:val="en-US"/>
        </w:rPr>
        <w:t xml:space="preserve"> </w:t>
      </w:r>
      <w:r w:rsidRPr="00CB6CBA">
        <w:rPr>
          <w:snapToGrid w:val="0"/>
          <w:lang w:val="en-US"/>
        </w:rPr>
        <w:t>0</w:t>
      </w:r>
      <w:r w:rsidRPr="00CB6CBA">
        <w:rPr>
          <w:i/>
          <w:snapToGrid w:val="0"/>
          <w:lang w:val="en-US"/>
        </w:rPr>
        <w:t xml:space="preserve"> </w:t>
      </w:r>
      <w:r>
        <w:rPr>
          <w:i/>
          <w:snapToGrid w:val="0"/>
          <w:lang w:val="en-US"/>
        </w:rPr>
        <w:t>–</w:t>
      </w:r>
      <w:r w:rsidRPr="00CB6CBA">
        <w:rPr>
          <w:i/>
          <w:snapToGrid w:val="0"/>
          <w:lang w:val="en-US"/>
        </w:rPr>
        <w:t xml:space="preserve"> </w:t>
      </w:r>
      <w:r w:rsidRPr="00CB6CBA">
        <w:rPr>
          <w:snapToGrid w:val="0"/>
          <w:lang w:val="en-US"/>
        </w:rPr>
        <w:t xml:space="preserve">(–138) </w:t>
      </w:r>
      <w:r>
        <w:rPr>
          <w:snapToGrid w:val="0"/>
          <w:lang w:val="en-US"/>
        </w:rPr>
        <w:t xml:space="preserve">= </w:t>
      </w:r>
      <w:r w:rsidRPr="00CB6CBA">
        <w:rPr>
          <w:snapToGrid w:val="0"/>
          <w:lang w:val="en-US"/>
        </w:rPr>
        <w:t>160 dB</w:t>
      </w:r>
    </w:p>
    <w:p w:rsidR="00CA3B52" w:rsidRDefault="00CA3B52" w:rsidP="00CA3B52">
      <w:pPr>
        <w:rPr>
          <w:lang w:val="en-US"/>
        </w:rPr>
      </w:pPr>
      <w:r w:rsidRPr="00CB6CBA">
        <w:rPr>
          <w:lang w:val="en-US"/>
        </w:rPr>
        <w:t xml:space="preserve">For this </w:t>
      </w:r>
      <w:r w:rsidRPr="00CB6CBA">
        <w:rPr>
          <w:i/>
          <w:iCs/>
          <w:lang w:val="en-US"/>
        </w:rPr>
        <w:t>z</w:t>
      </w:r>
      <w:r w:rsidRPr="00CB6CBA">
        <w:rPr>
          <w:lang w:val="en-US"/>
        </w:rPr>
        <w:t xml:space="preserve"> value from line 1 of Fig.</w:t>
      </w:r>
      <w:r>
        <w:rPr>
          <w:lang w:val="en-US"/>
        </w:rPr>
        <w:t> 7</w:t>
      </w:r>
      <w:r w:rsidRPr="00CB6CBA">
        <w:rPr>
          <w:lang w:val="en-US"/>
        </w:rPr>
        <w:t xml:space="preserve"> and formula (</w:t>
      </w:r>
      <w:r>
        <w:rPr>
          <w:lang w:val="en-US"/>
        </w:rPr>
        <w:t>31</w:t>
      </w:r>
      <w:r w:rsidRPr="00CB6CBA">
        <w:rPr>
          <w:lang w:val="en-US"/>
        </w:rPr>
        <w:t>) it follows:</w:t>
      </w:r>
    </w:p>
    <w:p w:rsidR="00CA3B52" w:rsidRPr="00CB6CBA" w:rsidRDefault="00CA3B52" w:rsidP="00CA3B52">
      <w:pPr>
        <w:pStyle w:val="Equation"/>
        <w:rPr>
          <w:lang w:val="en-US"/>
        </w:rPr>
      </w:pPr>
      <w:r w:rsidRPr="00CB6CBA">
        <w:rPr>
          <w:lang w:val="en-US"/>
        </w:rPr>
        <w:tab/>
      </w:r>
      <w:r w:rsidRPr="00CB6CBA">
        <w:rPr>
          <w:lang w:val="en-US"/>
        </w:rPr>
        <w:tab/>
      </w:r>
      <w:r w:rsidRPr="00CB6CBA">
        <w:rPr>
          <w:i/>
          <w:iCs/>
          <w:lang w:val="en-US"/>
        </w:rPr>
        <w:t>R</w:t>
      </w:r>
      <w:r w:rsidRPr="00CB6CBA">
        <w:rPr>
          <w:lang w:val="en-US"/>
        </w:rPr>
        <w:t xml:space="preserve"> </w:t>
      </w:r>
      <w:r>
        <w:rPr>
          <w:lang w:val="en-US"/>
        </w:rPr>
        <w:t>=</w:t>
      </w:r>
      <w:r w:rsidRPr="00CB6CBA">
        <w:rPr>
          <w:lang w:val="en-US"/>
        </w:rPr>
        <w:t xml:space="preserve"> 10 km,   </w:t>
      </w:r>
      <w:r w:rsidRPr="00CB6CBA">
        <w:rPr>
          <w:i/>
          <w:iCs/>
          <w:lang w:val="en-US"/>
        </w:rPr>
        <w:t xml:space="preserve">S </w:t>
      </w:r>
      <w:r>
        <w:rPr>
          <w:i/>
          <w:iCs/>
          <w:lang w:val="en-US"/>
        </w:rPr>
        <w:t>=</w:t>
      </w:r>
      <w:r w:rsidRPr="00CB6CBA">
        <w:rPr>
          <w:lang w:val="en-US"/>
        </w:rPr>
        <w:t xml:space="preserve"> 314 km</w:t>
      </w:r>
      <w:r w:rsidRPr="00CB6CBA">
        <w:rPr>
          <w:vertAlign w:val="superscript"/>
          <w:lang w:val="en-US"/>
        </w:rPr>
        <w:t>2</w:t>
      </w:r>
    </w:p>
    <w:p w:rsidR="00CA3B52" w:rsidRDefault="00CA3B52" w:rsidP="00CA3B52">
      <w:pPr>
        <w:rPr>
          <w:lang w:val="en-US"/>
        </w:rPr>
      </w:pPr>
      <w:r w:rsidRPr="00CB6CBA">
        <w:rPr>
          <w:lang w:val="en-US"/>
        </w:rPr>
        <w:t>From equation (</w:t>
      </w:r>
      <w:r>
        <w:rPr>
          <w:lang w:val="en-US"/>
        </w:rPr>
        <w:t>22</w:t>
      </w:r>
      <w:r w:rsidRPr="00CB6CBA">
        <w:rPr>
          <w:lang w:val="en-US"/>
        </w:rPr>
        <w:t xml:space="preserve">), taking into account relevant data from Table </w:t>
      </w:r>
      <w:r>
        <w:rPr>
          <w:lang w:val="en-US"/>
        </w:rPr>
        <w:t>31</w:t>
      </w:r>
      <w:r w:rsidRPr="00CB6CBA">
        <w:rPr>
          <w:lang w:val="en-US"/>
        </w:rPr>
        <w:t>, it follows:</w:t>
      </w:r>
    </w:p>
    <w:p w:rsidR="00CA3B52" w:rsidRPr="00CB6CBA" w:rsidRDefault="00CA3B52" w:rsidP="00CA3B52">
      <w:pPr>
        <w:pStyle w:val="Equation"/>
        <w:rPr>
          <w:lang w:val="en-US"/>
        </w:rPr>
      </w:pPr>
      <w:r w:rsidRPr="00CB6CBA">
        <w:rPr>
          <w:lang w:val="en-US"/>
        </w:rPr>
        <w:tab/>
      </w:r>
      <w:r w:rsidRPr="00CB6CBA">
        <w:rPr>
          <w:lang w:val="en-US"/>
        </w:rPr>
        <w:tab/>
      </w:r>
      <w:r w:rsidRPr="00CB6CBA">
        <w:rPr>
          <w:i/>
          <w:iCs/>
          <w:lang w:val="en-US"/>
        </w:rPr>
        <w:t>S</w:t>
      </w:r>
      <w:r w:rsidRPr="00CB6CBA">
        <w:rPr>
          <w:i/>
          <w:iCs/>
          <w:vertAlign w:val="subscript"/>
          <w:lang w:val="en-US"/>
        </w:rPr>
        <w:t>i</w:t>
      </w:r>
      <w:r w:rsidRPr="00CB6CBA">
        <w:rPr>
          <w:lang w:val="en-US"/>
        </w:rPr>
        <w:t xml:space="preserve"> </w:t>
      </w:r>
      <w:r>
        <w:rPr>
          <w:lang w:val="en-US"/>
        </w:rPr>
        <w:t>=</w:t>
      </w:r>
      <w:r w:rsidRPr="00CB6CBA">
        <w:rPr>
          <w:lang w:val="en-US"/>
        </w:rPr>
        <w:t xml:space="preserve"> 1.2 </w:t>
      </w:r>
      <w:r>
        <w:rPr>
          <w:lang w:val="en-US"/>
        </w:rPr>
        <w:t>×</w:t>
      </w:r>
      <w:r w:rsidRPr="00CB6CBA">
        <w:rPr>
          <w:lang w:val="en-US"/>
        </w:rPr>
        <w:t xml:space="preserve"> 314 </w:t>
      </w:r>
      <w:r>
        <w:rPr>
          <w:lang w:val="en-US"/>
        </w:rPr>
        <w:t>=</w:t>
      </w:r>
      <w:r w:rsidRPr="00CB6CBA">
        <w:rPr>
          <w:lang w:val="en-US"/>
        </w:rPr>
        <w:t xml:space="preserve"> 377</w:t>
      </w:r>
      <w:r>
        <w:rPr>
          <w:lang w:val="en-US"/>
        </w:rPr>
        <w:t> </w:t>
      </w:r>
      <w:r w:rsidRPr="00CB6CBA">
        <w:rPr>
          <w:lang w:val="en-US"/>
        </w:rPr>
        <w:t>km</w:t>
      </w:r>
      <w:r w:rsidRPr="00CB6CBA">
        <w:rPr>
          <w:vertAlign w:val="superscript"/>
          <w:lang w:val="en-US"/>
        </w:rPr>
        <w:t>2</w:t>
      </w:r>
    </w:p>
    <w:p w:rsidR="00CA3B52" w:rsidRPr="00CB6CBA" w:rsidRDefault="00CA3B52" w:rsidP="00CA3B52">
      <w:pPr>
        <w:pStyle w:val="Headingb"/>
        <w:rPr>
          <w:lang w:val="en-US"/>
        </w:rPr>
      </w:pPr>
      <w:r w:rsidRPr="00CB6CBA">
        <w:rPr>
          <w:lang w:val="en-US"/>
        </w:rPr>
        <w:t>d)</w:t>
      </w:r>
      <w:r w:rsidRPr="00CB6CBA">
        <w:rPr>
          <w:lang w:val="en-US"/>
        </w:rPr>
        <w:tab/>
        <w:t>Spectral resource used</w:t>
      </w:r>
    </w:p>
    <w:p w:rsidR="00CA3B52" w:rsidRDefault="00CA3B52" w:rsidP="00CA3B52">
      <w:pPr>
        <w:rPr>
          <w:lang w:val="en-US"/>
        </w:rPr>
      </w:pPr>
      <w:r w:rsidRPr="00CB6CBA">
        <w:rPr>
          <w:lang w:val="en-US"/>
        </w:rPr>
        <w:t>Substituting values calculated in §§ 1.3.1.3.2 and 1.3.1.2.3 to equation (</w:t>
      </w:r>
      <w:r>
        <w:rPr>
          <w:lang w:val="en-US"/>
        </w:rPr>
        <w:t>20</w:t>
      </w:r>
      <w:r w:rsidRPr="00CB6CBA">
        <w:rPr>
          <w:lang w:val="en-US"/>
        </w:rPr>
        <w:t>), using values of weighting coefficients presented in Table 2 and taking into account non-sharing conditions (</w:t>
      </w:r>
      <w:r>
        <w:rPr>
          <w:lang w:val="en-US"/>
        </w:rPr>
        <w:sym w:font="Symbol" w:char="F062"/>
      </w:r>
      <w:r>
        <w:rPr>
          <w:lang w:val="en-US"/>
        </w:rPr>
        <w:t xml:space="preserve"> = </w:t>
      </w:r>
      <w:r w:rsidRPr="00CB6CBA">
        <w:rPr>
          <w:lang w:val="en-US"/>
        </w:rPr>
        <w:t>1), we get finally:</w:t>
      </w:r>
    </w:p>
    <w:p w:rsidR="00CA3B52" w:rsidRPr="00CB6CBA" w:rsidRDefault="00CA3B52" w:rsidP="00CA3B52">
      <w:pPr>
        <w:pStyle w:val="Equation"/>
        <w:rPr>
          <w:lang w:val="en-US"/>
        </w:rPr>
      </w:pPr>
      <w:r w:rsidRPr="00CB6CBA">
        <w:rPr>
          <w:lang w:val="en-US"/>
        </w:rPr>
        <w:tab/>
      </w:r>
      <w:r w:rsidRPr="00CB6CBA">
        <w:rPr>
          <w:i/>
          <w:lang w:val="en-US"/>
        </w:rPr>
        <w:tab/>
        <w:t>W</w:t>
      </w:r>
      <w:r w:rsidRPr="00CB6CBA">
        <w:rPr>
          <w:lang w:val="en-US"/>
        </w:rPr>
        <w:t xml:space="preserve"> </w:t>
      </w:r>
      <w:r>
        <w:rPr>
          <w:lang w:val="en-US"/>
        </w:rPr>
        <w:t>=</w:t>
      </w:r>
      <w:r w:rsidRPr="00CB6CBA">
        <w:rPr>
          <w:lang w:val="en-US"/>
        </w:rPr>
        <w:t xml:space="preserve"> 3 </w:t>
      </w:r>
      <w:r>
        <w:rPr>
          <w:lang w:val="en-US"/>
        </w:rPr>
        <w:t>×</w:t>
      </w:r>
      <w:r w:rsidRPr="00CB6CBA">
        <w:rPr>
          <w:lang w:val="en-US"/>
        </w:rPr>
        <w:t xml:space="preserve"> 1.2 </w:t>
      </w:r>
      <w:r>
        <w:rPr>
          <w:lang w:val="en-US"/>
        </w:rPr>
        <w:t>×</w:t>
      </w:r>
      <w:r w:rsidRPr="00CB6CBA">
        <w:rPr>
          <w:lang w:val="en-US"/>
        </w:rPr>
        <w:t xml:space="preserve"> 1 </w:t>
      </w:r>
      <w:r>
        <w:rPr>
          <w:lang w:val="en-US"/>
        </w:rPr>
        <w:t>×</w:t>
      </w:r>
      <w:r w:rsidRPr="00CB6CBA">
        <w:rPr>
          <w:lang w:val="en-US"/>
        </w:rPr>
        <w:t xml:space="preserve"> 1 </w:t>
      </w:r>
      <w:r>
        <w:rPr>
          <w:lang w:val="en-US"/>
        </w:rPr>
        <w:t>×</w:t>
      </w:r>
      <w:r w:rsidRPr="00CB6CBA">
        <w:rPr>
          <w:lang w:val="en-US"/>
        </w:rPr>
        <w:t xml:space="preserve"> 1 </w:t>
      </w:r>
      <w:r>
        <w:rPr>
          <w:lang w:val="en-US"/>
        </w:rPr>
        <w:t>×</w:t>
      </w:r>
      <w:r w:rsidRPr="00CB6CBA">
        <w:rPr>
          <w:lang w:val="en-US"/>
        </w:rPr>
        <w:t xml:space="preserve"> 1.6 </w:t>
      </w:r>
      <w:r>
        <w:rPr>
          <w:lang w:val="en-US"/>
        </w:rPr>
        <w:t>×</w:t>
      </w:r>
      <w:r w:rsidRPr="00CB6CBA">
        <w:rPr>
          <w:lang w:val="en-US"/>
        </w:rPr>
        <w:t xml:space="preserve"> 377 </w:t>
      </w:r>
      <w:r>
        <w:rPr>
          <w:lang w:val="en-US"/>
        </w:rPr>
        <w:t>×</w:t>
      </w:r>
      <w:r w:rsidRPr="00CB6CBA">
        <w:rPr>
          <w:lang w:val="en-US"/>
        </w:rPr>
        <w:t xml:space="preserve"> 1 </w:t>
      </w:r>
      <w:r>
        <w:rPr>
          <w:lang w:val="en-US"/>
        </w:rPr>
        <w:t>=</w:t>
      </w:r>
      <w:r w:rsidRPr="00CB6CBA">
        <w:rPr>
          <w:lang w:val="en-US"/>
        </w:rPr>
        <w:t xml:space="preserve"> 2</w:t>
      </w:r>
      <w:r w:rsidRPr="00CB6CBA">
        <w:rPr>
          <w:rFonts w:ascii="Tms Rmn" w:hAnsi="Tms Rmn"/>
          <w:sz w:val="12"/>
          <w:lang w:val="en-US"/>
        </w:rPr>
        <w:t> </w:t>
      </w:r>
      <w:r w:rsidRPr="00CB6CBA">
        <w:rPr>
          <w:lang w:val="en-US"/>
        </w:rPr>
        <w:t xml:space="preserve">172          MHz </w:t>
      </w:r>
      <w:r w:rsidRPr="00CB6CBA">
        <w:rPr>
          <w:szCs w:val="24"/>
          <w:lang w:val="en-US"/>
        </w:rPr>
        <w:sym w:font="Symbol" w:char="F0D7"/>
      </w:r>
      <w:r w:rsidRPr="00CB6CBA">
        <w:rPr>
          <w:lang w:val="en-US"/>
        </w:rPr>
        <w:t xml:space="preserve"> km</w:t>
      </w:r>
      <w:r w:rsidRPr="00CB6CBA">
        <w:rPr>
          <w:vertAlign w:val="superscript"/>
          <w:lang w:val="en-US"/>
        </w:rPr>
        <w:t>2</w:t>
      </w:r>
      <w:r w:rsidRPr="00CB6CBA">
        <w:rPr>
          <w:lang w:val="en-US"/>
        </w:rPr>
        <w:t xml:space="preserve"> </w:t>
      </w:r>
      <w:r w:rsidRPr="00CB6CBA">
        <w:rPr>
          <w:szCs w:val="24"/>
          <w:lang w:val="en-US"/>
        </w:rPr>
        <w:sym w:font="Symbol" w:char="F0D7"/>
      </w:r>
      <w:r w:rsidRPr="00CB6CBA">
        <w:rPr>
          <w:lang w:val="en-US"/>
        </w:rPr>
        <w:t xml:space="preserve"> 1 year</w:t>
      </w:r>
    </w:p>
    <w:p w:rsidR="00CA3B52" w:rsidRDefault="00CA3B52" w:rsidP="00CA3B52">
      <w:pPr>
        <w:pStyle w:val="Heading3"/>
        <w:rPr>
          <w:lang w:val="en-US"/>
        </w:rPr>
      </w:pPr>
      <w:bookmarkStart w:id="1427" w:name="_Toc289868847"/>
      <w:bookmarkStart w:id="1428" w:name="_Toc289869007"/>
      <w:bookmarkStart w:id="1429" w:name="_Toc289932315"/>
      <w:bookmarkStart w:id="1430" w:name="_Toc289933361"/>
      <w:bookmarkStart w:id="1431" w:name="_Toc291852924"/>
      <w:bookmarkStart w:id="1432" w:name="_Toc392515910"/>
      <w:r w:rsidRPr="00CB6CBA">
        <w:rPr>
          <w:lang w:val="en-US"/>
        </w:rPr>
        <w:t>4.</w:t>
      </w:r>
      <w:r>
        <w:rPr>
          <w:lang w:val="en-US"/>
        </w:rPr>
        <w:t>7</w:t>
      </w:r>
      <w:r w:rsidRPr="00CB6CBA">
        <w:rPr>
          <w:lang w:val="en-US"/>
        </w:rPr>
        <w:t>.5</w:t>
      </w:r>
      <w:r w:rsidRPr="00CB6CBA">
        <w:rPr>
          <w:lang w:val="en-US"/>
        </w:rPr>
        <w:tab/>
        <w:t>Maritime mobile radio service</w:t>
      </w:r>
      <w:bookmarkEnd w:id="1427"/>
      <w:bookmarkEnd w:id="1428"/>
      <w:bookmarkEnd w:id="1429"/>
      <w:bookmarkEnd w:id="1430"/>
      <w:bookmarkEnd w:id="1431"/>
      <w:bookmarkEnd w:id="1432"/>
    </w:p>
    <w:p w:rsidR="00CA3B52" w:rsidRPr="00CB6CBA" w:rsidRDefault="00CA3B52" w:rsidP="00CA3B52">
      <w:pPr>
        <w:pStyle w:val="Headingb"/>
        <w:rPr>
          <w:lang w:val="en-US"/>
        </w:rPr>
      </w:pPr>
      <w:r w:rsidRPr="00CB6CBA">
        <w:rPr>
          <w:lang w:val="en-US"/>
        </w:rPr>
        <w:t>a)</w:t>
      </w:r>
      <w:r w:rsidRPr="00CB6CBA">
        <w:rPr>
          <w:lang w:val="en-US"/>
        </w:rPr>
        <w:tab/>
        <w:t>Background of calculation procedures</w:t>
      </w:r>
    </w:p>
    <w:p w:rsidR="00CA3B52" w:rsidRPr="00CB6CBA" w:rsidRDefault="00CA3B52" w:rsidP="00CA3B52">
      <w:pPr>
        <w:rPr>
          <w:lang w:val="en-US"/>
        </w:rPr>
      </w:pPr>
      <w:r w:rsidRPr="00CB6CBA">
        <w:rPr>
          <w:lang w:val="en-US"/>
        </w:rPr>
        <w:t>For coast and ship stations of maritime mobile service working in VLF and HF frequency bands, proposed provisions for LF and HF broadcasting stations can be used taking into account limitations by national maritime economical border (usually 200 miles, i.e. 360 km). In cases of directional transmitting antennas applications, a “service sector” concept, given by Recommendation ITU</w:t>
      </w:r>
      <w:r>
        <w:rPr>
          <w:lang w:val="en-US"/>
        </w:rPr>
        <w:noBreakHyphen/>
      </w:r>
      <w:r w:rsidRPr="00CB6CBA">
        <w:rPr>
          <w:lang w:val="en-US"/>
        </w:rPr>
        <w:t>R</w:t>
      </w:r>
      <w:r>
        <w:rPr>
          <w:lang w:val="en-US"/>
        </w:rPr>
        <w:t> </w:t>
      </w:r>
      <w:r w:rsidRPr="00CB6CBA">
        <w:rPr>
          <w:lang w:val="en-US"/>
        </w:rPr>
        <w:t>F.162-3, can be used.</w:t>
      </w:r>
    </w:p>
    <w:p w:rsidR="00CA3B52" w:rsidRPr="00CB6CBA" w:rsidRDefault="00CA3B52" w:rsidP="00CA3B52">
      <w:pPr>
        <w:keepNext/>
        <w:keepLines/>
        <w:rPr>
          <w:lang w:val="en-US"/>
        </w:rPr>
      </w:pPr>
      <w:r w:rsidRPr="00CB6CBA">
        <w:rPr>
          <w:lang w:val="en-US"/>
        </w:rPr>
        <w:lastRenderedPageBreak/>
        <w:t>Service areas of VHF coast and ship stations working in 156-174 MHz frequency bands (RR</w:t>
      </w:r>
      <w:r>
        <w:rPr>
          <w:lang w:val="en-US"/>
        </w:rPr>
        <w:t> </w:t>
      </w:r>
      <w:r w:rsidRPr="00CB6CBA">
        <w:rPr>
          <w:lang w:val="en-US"/>
        </w:rPr>
        <w:t xml:space="preserve">Appendix </w:t>
      </w:r>
      <w:r w:rsidRPr="00B277B9">
        <w:rPr>
          <w:lang w:val="en-US"/>
        </w:rPr>
        <w:t xml:space="preserve">18 </w:t>
      </w:r>
      <w:r w:rsidRPr="00CB6CBA">
        <w:rPr>
          <w:lang w:val="en-US"/>
        </w:rPr>
        <w:t xml:space="preserve">are determined by propagation curves given in Annex 2 to Recommendation </w:t>
      </w:r>
      <w:r w:rsidRPr="00B277B9">
        <w:rPr>
          <w:lang w:val="en-US"/>
        </w:rPr>
        <w:t>ITU</w:t>
      </w:r>
      <w:r>
        <w:rPr>
          <w:lang w:val="en-US"/>
        </w:rPr>
        <w:noBreakHyphen/>
      </w:r>
      <w:r w:rsidRPr="00B277B9">
        <w:rPr>
          <w:lang w:val="en-US"/>
        </w:rPr>
        <w:t>R</w:t>
      </w:r>
      <w:r>
        <w:rPr>
          <w:lang w:val="en-US"/>
        </w:rPr>
        <w:t> </w:t>
      </w:r>
      <w:r w:rsidRPr="00CB6CBA">
        <w:rPr>
          <w:lang w:val="en-US"/>
        </w:rPr>
        <w:t>P.1546-4, i.e. on the same basis as for broadcasting. Technical characteristics of equipment are described in Recommendation ITU-R M.489-2.</w:t>
      </w:r>
    </w:p>
    <w:p w:rsidR="00CA3B52" w:rsidRPr="00CB6CBA" w:rsidRDefault="00CA3B52" w:rsidP="00CA3B52">
      <w:pPr>
        <w:rPr>
          <w:lang w:val="en-US"/>
        </w:rPr>
      </w:pPr>
      <w:r w:rsidRPr="00CB6CBA">
        <w:rPr>
          <w:lang w:val="en-US"/>
        </w:rPr>
        <w:t xml:space="preserve">For ship stations having omnidirectional antennas service areas, </w:t>
      </w:r>
      <w:r w:rsidRPr="00CB6CBA">
        <w:rPr>
          <w:i/>
          <w:iCs/>
          <w:lang w:val="en-US"/>
        </w:rPr>
        <w:t>s</w:t>
      </w:r>
      <w:r w:rsidRPr="00CB6CBA">
        <w:rPr>
          <w:lang w:val="en-US"/>
        </w:rPr>
        <w:t>, are calculated as:</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CB6CBA">
        <w:rPr>
          <w:position w:val="-12"/>
          <w:lang w:val="en-US"/>
        </w:rPr>
        <w:object w:dxaOrig="2439" w:dyaOrig="420">
          <v:shape id="_x0000_i1065" type="#_x0000_t75" style="width:119.7pt;height:21.5pt" o:ole="">
            <v:imagedata r:id="rId100" o:title=""/>
          </v:shape>
          <o:OLEObject Type="Embed" ProgID="Equation.3" ShapeID="_x0000_i1065" DrawAspect="Content" ObjectID="_1511604854" r:id="rId101"/>
        </w:object>
      </w:r>
      <w:r w:rsidRPr="00CB6CBA">
        <w:rPr>
          <w:lang w:val="en-US"/>
        </w:rPr>
        <w:tab/>
        <w:t>(</w:t>
      </w:r>
      <w:r>
        <w:rPr>
          <w:lang w:val="en-US"/>
        </w:rPr>
        <w:t>46</w:t>
      </w:r>
      <w:r w:rsidRPr="00CB6CBA">
        <w:rPr>
          <w:lang w:val="en-US"/>
        </w:rPr>
        <w:t>)</w:t>
      </w:r>
    </w:p>
    <w:p w:rsidR="00CA3B52" w:rsidRPr="00CB6CBA" w:rsidRDefault="00CA3B52" w:rsidP="00CA3B52">
      <w:pPr>
        <w:rPr>
          <w:lang w:val="en-US"/>
        </w:rPr>
      </w:pPr>
      <w:r w:rsidRPr="00CB6CBA">
        <w:rPr>
          <w:lang w:val="en-US"/>
        </w:rPr>
        <w:t>where:</w:t>
      </w:r>
    </w:p>
    <w:p w:rsidR="00CA3B52" w:rsidRPr="00CB6CBA" w:rsidRDefault="00CA3B52" w:rsidP="00CA3B52">
      <w:pPr>
        <w:pStyle w:val="Equationlegend"/>
      </w:pPr>
      <w:r w:rsidRPr="00CB6CBA">
        <w:rPr>
          <w:i/>
          <w:iCs/>
        </w:rPr>
        <w:tab/>
        <w:t>R</w:t>
      </w:r>
      <w:r w:rsidRPr="00CB6CBA">
        <w:rPr>
          <w:i/>
          <w:vertAlign w:val="subscript"/>
        </w:rPr>
        <w:t>s</w:t>
      </w:r>
      <w:r>
        <w:rPr>
          <w:i/>
          <w:vertAlign w:val="subscript"/>
        </w:rPr>
        <w:t xml:space="preserve"> </w:t>
      </w:r>
      <w:r w:rsidRPr="00CB6CBA">
        <w:t>:</w:t>
      </w:r>
      <w:r w:rsidRPr="00CB6CBA">
        <w:rPr>
          <w:vertAlign w:val="subscript"/>
        </w:rPr>
        <w:tab/>
      </w:r>
      <w:r w:rsidRPr="00CB6CBA">
        <w:t>radius of circular service area calculated from propagation curves of Recommendation ITU-R P.1546-4 for 30-300 MHz frequency band, sea, 50% of time and 50% of locations (Fig. 4 of Recommendation ITU-R P.1546</w:t>
      </w:r>
      <w:r>
        <w:t>-4</w:t>
      </w:r>
      <w:r w:rsidRPr="00CB6CBA">
        <w:t>).</w:t>
      </w:r>
    </w:p>
    <w:p w:rsidR="00CA3B52" w:rsidRPr="00CB6CBA" w:rsidRDefault="00CA3B52" w:rsidP="00CA3B52">
      <w:pPr>
        <w:rPr>
          <w:lang w:val="en-US"/>
        </w:rPr>
      </w:pPr>
      <w:r w:rsidRPr="00CB6CBA">
        <w:rPr>
          <w:lang w:val="en-US"/>
        </w:rPr>
        <w:t>It is necessary to note, that for this particular case the curves are the same for cold and warm seas. Transmitting antenna heights are actual antenna heights above the sea level. For simplicity, receiving antenna heights for purposes of this particular calculation model are accepted as to be equal 10 m in all cases. However it should be noted that in reality, to provide equal communication conditions between coast and ship stations in both directions, receiving antennas of coast stations are usually have the same heights than their transmitting antennas.</w:t>
      </w:r>
    </w:p>
    <w:p w:rsidR="00CA3B52" w:rsidRPr="00CB6CBA" w:rsidRDefault="00CA3B52" w:rsidP="00CA3B52">
      <w:pPr>
        <w:rPr>
          <w:lang w:val="en-US"/>
        </w:rPr>
      </w:pPr>
      <w:r w:rsidRPr="00CB6CBA">
        <w:rPr>
          <w:lang w:val="en-US"/>
        </w:rPr>
        <w:t xml:space="preserve">For coast stations it is accepted that one half of an occupied area, being a service one, with a radius </w:t>
      </w:r>
      <w:r w:rsidRPr="00CB6CBA">
        <w:rPr>
          <w:i/>
          <w:iCs/>
          <w:lang w:val="en-US"/>
        </w:rPr>
        <w:t>R</w:t>
      </w:r>
      <w:r w:rsidRPr="00CB6CBA">
        <w:rPr>
          <w:i/>
          <w:iCs/>
          <w:vertAlign w:val="subscript"/>
          <w:lang w:val="en-US"/>
        </w:rPr>
        <w:t>s</w:t>
      </w:r>
      <w:r w:rsidRPr="00CB6CBA">
        <w:rPr>
          <w:lang w:val="en-US"/>
        </w:rPr>
        <w:t xml:space="preserve"> lies at a surface of sea and the second half with a radius </w:t>
      </w:r>
      <w:r w:rsidRPr="00CB6CBA">
        <w:rPr>
          <w:i/>
          <w:iCs/>
          <w:lang w:val="en-US"/>
        </w:rPr>
        <w:t>R</w:t>
      </w:r>
      <w:r w:rsidRPr="00CB6CBA">
        <w:rPr>
          <w:i/>
          <w:iCs/>
          <w:vertAlign w:val="subscript"/>
          <w:lang w:val="en-US"/>
        </w:rPr>
        <w:t>l</w:t>
      </w:r>
      <w:r w:rsidRPr="00CB6CBA">
        <w:rPr>
          <w:lang w:val="en-US"/>
        </w:rPr>
        <w:t>, at a surface of land, i.e.:</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CB6CBA">
        <w:rPr>
          <w:position w:val="-12"/>
          <w:lang w:val="en-US"/>
        </w:rPr>
        <w:object w:dxaOrig="3440" w:dyaOrig="420">
          <v:shape id="_x0000_i1066" type="#_x0000_t75" style="width:170.65pt;height:21.5pt" o:ole="">
            <v:imagedata r:id="rId102" o:title=""/>
          </v:shape>
          <o:OLEObject Type="Embed" ProgID="Equation.3" ShapeID="_x0000_i1066" DrawAspect="Content" ObjectID="_1511604855" r:id="rId103"/>
        </w:object>
      </w:r>
      <w:r w:rsidRPr="00CB6CBA">
        <w:rPr>
          <w:lang w:val="en-US"/>
        </w:rPr>
        <w:tab/>
        <w:t>(</w:t>
      </w:r>
      <w:r>
        <w:rPr>
          <w:lang w:val="en-US"/>
        </w:rPr>
        <w:t>47</w:t>
      </w:r>
      <w:r w:rsidRPr="00CB6CBA">
        <w:rPr>
          <w:lang w:val="en-US"/>
        </w:rPr>
        <w:t>)</w:t>
      </w:r>
    </w:p>
    <w:p w:rsidR="00CA3B52" w:rsidRPr="00CB6CBA" w:rsidRDefault="00CA3B52" w:rsidP="00CA3B52">
      <w:pPr>
        <w:rPr>
          <w:lang w:val="en-US"/>
        </w:rPr>
      </w:pPr>
      <w:r w:rsidRPr="00CB6CBA">
        <w:rPr>
          <w:lang w:val="en-US"/>
        </w:rPr>
        <w:t>where:</w:t>
      </w:r>
    </w:p>
    <w:p w:rsidR="00CA3B52" w:rsidRDefault="00CA3B52" w:rsidP="00CA3B52">
      <w:pPr>
        <w:pStyle w:val="Equationlegend"/>
      </w:pPr>
      <w:r w:rsidRPr="00CB6CBA">
        <w:rPr>
          <w:i/>
          <w:iCs/>
        </w:rPr>
        <w:tab/>
        <w:t>R</w:t>
      </w:r>
      <w:r w:rsidRPr="00CB6CBA">
        <w:rPr>
          <w:i/>
          <w:iCs/>
          <w:vertAlign w:val="subscript"/>
        </w:rPr>
        <w:t>l</w:t>
      </w:r>
      <w:r>
        <w:rPr>
          <w:i/>
          <w:iCs/>
          <w:vertAlign w:val="subscript"/>
        </w:rPr>
        <w:t xml:space="preserve"> </w:t>
      </w:r>
      <w:r w:rsidRPr="00CB6CBA">
        <w:t>:</w:t>
      </w:r>
      <w:r w:rsidRPr="00CB6CBA">
        <w:tab/>
        <w:t>radius of half-circular service area calculated from propagation curves of Recommendation ITU-R P.1546-4 for 30-300 MHz frequency band, land, 50% of time and 50% of locations (Fig. 1 of Recommendation ITU-R P.1546</w:t>
      </w:r>
      <w:r>
        <w:noBreakHyphen/>
      </w:r>
      <w:r w:rsidRPr="00CB6CBA">
        <w:t xml:space="preserve">4, see Fig. </w:t>
      </w:r>
      <w:r>
        <w:t>2</w:t>
      </w:r>
      <w:r w:rsidRPr="00CB6CBA">
        <w:t>).</w:t>
      </w:r>
    </w:p>
    <w:p w:rsidR="00CA3B52" w:rsidRPr="00CB6CBA" w:rsidRDefault="00CA3B52" w:rsidP="00CA3B52">
      <w:pPr>
        <w:rPr>
          <w:lang w:val="en-US"/>
        </w:rPr>
      </w:pPr>
      <w:r w:rsidRPr="00CB6CBA">
        <w:rPr>
          <w:lang w:val="en-US"/>
        </w:rPr>
        <w:t>Effective antenna height calculations for land service area are provided similarly to broadcasting case.</w:t>
      </w:r>
    </w:p>
    <w:p w:rsidR="00CA3B52" w:rsidRPr="00CB6CBA" w:rsidRDefault="00CA3B52" w:rsidP="00CA3B52">
      <w:pPr>
        <w:rPr>
          <w:i/>
          <w:lang w:val="en-US"/>
        </w:rPr>
      </w:pPr>
      <w:r w:rsidRPr="00CB6CBA">
        <w:rPr>
          <w:lang w:val="en-US"/>
        </w:rPr>
        <w:t xml:space="preserve">Taking into account that maritime mobile service belongs to safety services its reliability should be sufficiently high. Taking this into account, minimal usable field strength at the border of service area is accepted to be 30 dB above receiver reference sensitivity (2.0 </w:t>
      </w:r>
      <w:r w:rsidRPr="00CB6CBA">
        <w:rPr>
          <w:rFonts w:ascii="Symbol" w:hAnsi="Symbol"/>
          <w:lang w:val="en-US"/>
        </w:rPr>
        <w:t></w:t>
      </w:r>
      <w:r w:rsidRPr="00CB6CBA">
        <w:rPr>
          <w:lang w:val="en-US"/>
        </w:rPr>
        <w:t>V in accordance with Recommendation ITU-R M.489</w:t>
      </w:r>
      <w:r>
        <w:rPr>
          <w:lang w:val="en-US"/>
        </w:rPr>
        <w:t>-2</w:t>
      </w:r>
      <w:r w:rsidRPr="00CB6CBA">
        <w:rPr>
          <w:lang w:val="en-US"/>
        </w:rPr>
        <w:t xml:space="preserve">), i.e. </w:t>
      </w:r>
      <w:r w:rsidRPr="00CB6CBA">
        <w:rPr>
          <w:i/>
          <w:lang w:val="en-US"/>
        </w:rPr>
        <w:t>E</w:t>
      </w:r>
      <w:r w:rsidRPr="00CB6CBA">
        <w:rPr>
          <w:i/>
          <w:vertAlign w:val="subscript"/>
          <w:lang w:val="en-US"/>
        </w:rPr>
        <w:t>mu</w:t>
      </w:r>
      <w:r w:rsidRPr="00CB6CBA">
        <w:rPr>
          <w:lang w:val="en-US"/>
        </w:rPr>
        <w:t> </w:t>
      </w:r>
      <w:r w:rsidRPr="00CB6CBA">
        <w:rPr>
          <w:rFonts w:ascii="Symbol" w:hAnsi="Symbol"/>
          <w:i/>
          <w:lang w:val="en-US"/>
        </w:rPr>
        <w:t></w:t>
      </w:r>
      <w:r w:rsidRPr="00CB6CBA">
        <w:rPr>
          <w:i/>
          <w:lang w:val="en-US"/>
        </w:rPr>
        <w:t> </w:t>
      </w:r>
      <w:r w:rsidRPr="00CB6CBA">
        <w:rPr>
          <w:lang w:val="en-US"/>
        </w:rPr>
        <w:t>36 dB(</w:t>
      </w:r>
      <w:r w:rsidRPr="00CB6CBA">
        <w:rPr>
          <w:rFonts w:ascii="Symbol" w:hAnsi="Symbol"/>
          <w:lang w:val="en-US"/>
        </w:rPr>
        <w:t></w:t>
      </w:r>
      <w:r w:rsidRPr="00CB6CBA">
        <w:rPr>
          <w:lang w:val="en-US"/>
        </w:rPr>
        <w:t>V/m)</w:t>
      </w:r>
      <w:r w:rsidRPr="00CB6CBA">
        <w:rPr>
          <w:i/>
          <w:lang w:val="en-US"/>
        </w:rPr>
        <w:t>.</w:t>
      </w:r>
    </w:p>
    <w:p w:rsidR="00CA3B52" w:rsidRPr="00CB6CBA" w:rsidRDefault="00CA3B52" w:rsidP="00CA3B52">
      <w:pPr>
        <w:rPr>
          <w:lang w:val="en-US"/>
        </w:rPr>
      </w:pPr>
      <w:r w:rsidRPr="00CB6CBA">
        <w:rPr>
          <w:iCs/>
          <w:lang w:val="en-US"/>
        </w:rPr>
        <w:t>Based on the above parameters and assumptions and accepting all antennas gains equal to 6 dB, relevant service/occupied areas radiuses were calculated for different transmitter powers from 10 W to 50 W (maximal carrier power of coast stations in accordance with Recommendation ITU</w:t>
      </w:r>
      <w:r w:rsidRPr="00CB6CBA">
        <w:rPr>
          <w:iCs/>
          <w:lang w:val="en-US"/>
        </w:rPr>
        <w:noBreakHyphen/>
        <w:t xml:space="preserve">R M.489-2) and various effective antenna heights presented in Recommendation </w:t>
      </w:r>
      <w:r w:rsidRPr="00CB6CBA">
        <w:rPr>
          <w:lang w:val="en-US"/>
        </w:rPr>
        <w:t>ITU</w:t>
      </w:r>
      <w:r w:rsidRPr="00CB6CBA">
        <w:rPr>
          <w:lang w:val="en-US"/>
        </w:rPr>
        <w:noBreakHyphen/>
        <w:t>R P.1546-4. Results of calculations are presented in Table 12.</w:t>
      </w:r>
    </w:p>
    <w:p w:rsidR="00CA3B52" w:rsidRPr="00CB6CBA" w:rsidRDefault="00CA3B52" w:rsidP="00CA3B52">
      <w:pPr>
        <w:pStyle w:val="TableNo"/>
        <w:rPr>
          <w:lang w:val="en-US"/>
        </w:rPr>
      </w:pPr>
      <w:r w:rsidRPr="00CB6CBA">
        <w:rPr>
          <w:lang w:val="en-US"/>
        </w:rPr>
        <w:lastRenderedPageBreak/>
        <w:t>TABLE 12</w:t>
      </w:r>
    </w:p>
    <w:p w:rsidR="00CA3B52" w:rsidRPr="00CB6CBA" w:rsidRDefault="00CA3B52" w:rsidP="00CA3B52">
      <w:pPr>
        <w:pStyle w:val="Tabletitle"/>
        <w:rPr>
          <w:lang w:val="en-US"/>
        </w:rPr>
      </w:pPr>
      <w:r w:rsidRPr="00CB6CBA">
        <w:rPr>
          <w:lang w:val="en-US"/>
        </w:rPr>
        <w:t>Radiuses of occupied areas by sea and by land (km) for maritime radio</w:t>
      </w:r>
      <w:r w:rsidRPr="00CB6CBA">
        <w:rPr>
          <w:lang w:val="en-US"/>
        </w:rPr>
        <w:br/>
        <w:t>communications in 156-174 MHz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CA3B52" w:rsidRPr="00CB6CBA" w:rsidTr="008F35B9">
        <w:trPr>
          <w:cantSplit/>
          <w:trHeight w:val="20"/>
          <w:jc w:val="center"/>
        </w:trPr>
        <w:tc>
          <w:tcPr>
            <w:tcW w:w="1247" w:type="dxa"/>
            <w:vAlign w:val="center"/>
          </w:tcPr>
          <w:p w:rsidR="00CA3B52" w:rsidRPr="00D125A3" w:rsidRDefault="00CA3B52" w:rsidP="002D1D5C">
            <w:pPr>
              <w:pStyle w:val="Tablehead"/>
              <w:rPr>
                <w:lang w:val="en-US"/>
              </w:rPr>
            </w:pPr>
          </w:p>
        </w:tc>
        <w:tc>
          <w:tcPr>
            <w:tcW w:w="8393" w:type="dxa"/>
            <w:gridSpan w:val="7"/>
            <w:vAlign w:val="center"/>
          </w:tcPr>
          <w:p w:rsidR="00CA3B52" w:rsidRPr="00B277B9" w:rsidRDefault="00CA3B52" w:rsidP="002D1D5C">
            <w:pPr>
              <w:pStyle w:val="Tablehead"/>
            </w:pPr>
            <w:r w:rsidRPr="00931E13">
              <w:rPr>
                <w:i/>
                <w:iCs/>
              </w:rPr>
              <w:t>H</w:t>
            </w:r>
            <w:r w:rsidRPr="00931E13">
              <w:rPr>
                <w:rFonts w:ascii="Times New Roman Bold" w:hAnsi="Times New Roman Bold" w:cs="Times New Roman Bold"/>
                <w:bCs/>
                <w:i/>
                <w:iCs/>
                <w:vertAlign w:val="subscript"/>
              </w:rPr>
              <w:t>ef</w:t>
            </w:r>
            <w:r w:rsidRPr="00B277B9">
              <w:br/>
              <w:t>(m)</w:t>
            </w:r>
          </w:p>
        </w:tc>
      </w:tr>
      <w:tr w:rsidR="00CA3B52" w:rsidRPr="00CB6CBA" w:rsidTr="008F35B9">
        <w:trPr>
          <w:cantSplit/>
          <w:trHeight w:val="20"/>
          <w:jc w:val="center"/>
        </w:trPr>
        <w:tc>
          <w:tcPr>
            <w:tcW w:w="1247" w:type="dxa"/>
            <w:vAlign w:val="center"/>
          </w:tcPr>
          <w:p w:rsidR="00CA3B52" w:rsidRPr="00B277B9" w:rsidRDefault="00CA3B52" w:rsidP="002D1D5C">
            <w:pPr>
              <w:pStyle w:val="Tablehead"/>
            </w:pPr>
            <w:r w:rsidRPr="00B277B9">
              <w:t>P(W)</w:t>
            </w:r>
          </w:p>
        </w:tc>
        <w:tc>
          <w:tcPr>
            <w:tcW w:w="1247" w:type="dxa"/>
          </w:tcPr>
          <w:p w:rsidR="00CA3B52" w:rsidRPr="00B277B9" w:rsidRDefault="00CA3B52" w:rsidP="002D1D5C">
            <w:pPr>
              <w:pStyle w:val="Tablehead"/>
            </w:pPr>
            <w:r w:rsidRPr="00B277B9">
              <w:t>Paths</w:t>
            </w:r>
          </w:p>
        </w:tc>
        <w:tc>
          <w:tcPr>
            <w:tcW w:w="1191" w:type="dxa"/>
            <w:vAlign w:val="center"/>
          </w:tcPr>
          <w:p w:rsidR="00CA3B52" w:rsidRPr="00B277B9" w:rsidRDefault="00CA3B52" w:rsidP="002D1D5C">
            <w:pPr>
              <w:pStyle w:val="Tablehead"/>
            </w:pPr>
            <w:r w:rsidRPr="00B277B9">
              <w:t>10</w:t>
            </w:r>
          </w:p>
        </w:tc>
        <w:tc>
          <w:tcPr>
            <w:tcW w:w="1191" w:type="dxa"/>
            <w:vAlign w:val="center"/>
          </w:tcPr>
          <w:p w:rsidR="00CA3B52" w:rsidRPr="00B277B9" w:rsidRDefault="00CA3B52" w:rsidP="002D1D5C">
            <w:pPr>
              <w:pStyle w:val="Tablehead"/>
            </w:pPr>
            <w:r w:rsidRPr="00B277B9">
              <w:t>20</w:t>
            </w:r>
          </w:p>
        </w:tc>
        <w:tc>
          <w:tcPr>
            <w:tcW w:w="1191" w:type="dxa"/>
            <w:vAlign w:val="center"/>
          </w:tcPr>
          <w:p w:rsidR="00CA3B52" w:rsidRPr="00B277B9" w:rsidRDefault="00CA3B52" w:rsidP="002D1D5C">
            <w:pPr>
              <w:pStyle w:val="Tablehead"/>
            </w:pPr>
            <w:r w:rsidRPr="00B277B9">
              <w:t>37.5</w:t>
            </w:r>
          </w:p>
        </w:tc>
        <w:tc>
          <w:tcPr>
            <w:tcW w:w="1191" w:type="dxa"/>
            <w:vAlign w:val="center"/>
          </w:tcPr>
          <w:p w:rsidR="00CA3B52" w:rsidRPr="00B277B9" w:rsidRDefault="00CA3B52" w:rsidP="002D1D5C">
            <w:pPr>
              <w:pStyle w:val="Tablehead"/>
            </w:pPr>
            <w:r w:rsidRPr="00B277B9">
              <w:t>75</w:t>
            </w:r>
          </w:p>
        </w:tc>
        <w:tc>
          <w:tcPr>
            <w:tcW w:w="1191" w:type="dxa"/>
            <w:vAlign w:val="center"/>
          </w:tcPr>
          <w:p w:rsidR="00CA3B52" w:rsidRPr="00B277B9" w:rsidRDefault="00CA3B52" w:rsidP="002D1D5C">
            <w:pPr>
              <w:pStyle w:val="Tablehead"/>
            </w:pPr>
            <w:r w:rsidRPr="00B277B9">
              <w:t>150</w:t>
            </w:r>
          </w:p>
        </w:tc>
        <w:tc>
          <w:tcPr>
            <w:tcW w:w="1191" w:type="dxa"/>
            <w:vAlign w:val="center"/>
          </w:tcPr>
          <w:p w:rsidR="00CA3B52" w:rsidRPr="00B277B9" w:rsidRDefault="00CA3B52" w:rsidP="002D1D5C">
            <w:pPr>
              <w:pStyle w:val="Tablehead"/>
            </w:pPr>
            <w:r w:rsidRPr="00B277B9">
              <w:t>300</w:t>
            </w:r>
          </w:p>
        </w:tc>
      </w:tr>
      <w:tr w:rsidR="00CA3B52" w:rsidRPr="00CB6CBA" w:rsidTr="008F35B9">
        <w:trPr>
          <w:cantSplit/>
          <w:trHeight w:val="20"/>
          <w:jc w:val="center"/>
        </w:trPr>
        <w:tc>
          <w:tcPr>
            <w:tcW w:w="1247" w:type="dxa"/>
          </w:tcPr>
          <w:p w:rsidR="00CA3B52" w:rsidRPr="00CB6CBA" w:rsidRDefault="00CA3B52" w:rsidP="002D1D5C">
            <w:pPr>
              <w:pStyle w:val="Tabletext"/>
              <w:jc w:val="center"/>
              <w:rPr>
                <w:lang w:val="en-US"/>
              </w:rPr>
            </w:pPr>
            <w:r w:rsidRPr="00CB6CBA">
              <w:rPr>
                <w:lang w:val="en-US"/>
              </w:rPr>
              <w:t>10</w:t>
            </w:r>
          </w:p>
        </w:tc>
        <w:tc>
          <w:tcPr>
            <w:tcW w:w="1247" w:type="dxa"/>
          </w:tcPr>
          <w:p w:rsidR="00CA3B52" w:rsidRPr="00CB6CBA" w:rsidRDefault="00CA3B52" w:rsidP="00F65451">
            <w:pPr>
              <w:pStyle w:val="Tabletext"/>
              <w:jc w:val="center"/>
              <w:rPr>
                <w:lang w:val="en-US"/>
              </w:rPr>
            </w:pPr>
            <w:r w:rsidRPr="00CB6CBA">
              <w:rPr>
                <w:lang w:val="en-US"/>
              </w:rPr>
              <w:t>Land</w:t>
            </w:r>
          </w:p>
        </w:tc>
        <w:tc>
          <w:tcPr>
            <w:tcW w:w="1191" w:type="dxa"/>
          </w:tcPr>
          <w:p w:rsidR="00CA3B52" w:rsidRPr="00CB6CBA" w:rsidRDefault="00CA3B52" w:rsidP="00F65451">
            <w:pPr>
              <w:pStyle w:val="Tabletext"/>
              <w:jc w:val="center"/>
              <w:rPr>
                <w:lang w:val="en-US"/>
              </w:rPr>
            </w:pPr>
            <w:r w:rsidRPr="00CB6CBA">
              <w:rPr>
                <w:lang w:val="en-US"/>
              </w:rPr>
              <w:t>11</w:t>
            </w:r>
          </w:p>
        </w:tc>
        <w:tc>
          <w:tcPr>
            <w:tcW w:w="1191" w:type="dxa"/>
          </w:tcPr>
          <w:p w:rsidR="00CA3B52" w:rsidRPr="00CB6CBA" w:rsidRDefault="00CA3B52" w:rsidP="00F65451">
            <w:pPr>
              <w:pStyle w:val="Tabletext"/>
              <w:jc w:val="center"/>
              <w:rPr>
                <w:lang w:val="en-US"/>
              </w:rPr>
            </w:pPr>
            <w:r w:rsidRPr="00CB6CBA">
              <w:rPr>
                <w:lang w:val="en-US"/>
              </w:rPr>
              <w:t>14</w:t>
            </w:r>
          </w:p>
        </w:tc>
        <w:tc>
          <w:tcPr>
            <w:tcW w:w="1191" w:type="dxa"/>
          </w:tcPr>
          <w:p w:rsidR="00CA3B52" w:rsidRPr="00CB6CBA" w:rsidRDefault="00CA3B52" w:rsidP="00F65451">
            <w:pPr>
              <w:pStyle w:val="Tabletext"/>
              <w:jc w:val="center"/>
              <w:rPr>
                <w:lang w:val="en-US"/>
              </w:rPr>
            </w:pPr>
            <w:r w:rsidRPr="00CB6CBA">
              <w:rPr>
                <w:lang w:val="en-US"/>
              </w:rPr>
              <w:t>19</w:t>
            </w:r>
          </w:p>
        </w:tc>
        <w:tc>
          <w:tcPr>
            <w:tcW w:w="1191" w:type="dxa"/>
          </w:tcPr>
          <w:p w:rsidR="00CA3B52" w:rsidRPr="00CB6CBA" w:rsidRDefault="00CA3B52" w:rsidP="00F65451">
            <w:pPr>
              <w:pStyle w:val="Tabletext"/>
              <w:jc w:val="center"/>
              <w:rPr>
                <w:lang w:val="en-US"/>
              </w:rPr>
            </w:pPr>
            <w:r w:rsidRPr="00CB6CBA">
              <w:rPr>
                <w:lang w:val="en-US"/>
              </w:rPr>
              <w:t>25</w:t>
            </w:r>
          </w:p>
        </w:tc>
        <w:tc>
          <w:tcPr>
            <w:tcW w:w="1191" w:type="dxa"/>
          </w:tcPr>
          <w:p w:rsidR="00CA3B52" w:rsidRPr="00CB6CBA" w:rsidRDefault="00CA3B52" w:rsidP="00F65451">
            <w:pPr>
              <w:pStyle w:val="Tabletext"/>
              <w:jc w:val="center"/>
              <w:rPr>
                <w:lang w:val="en-US"/>
              </w:rPr>
            </w:pPr>
            <w:r w:rsidRPr="00CB6CBA">
              <w:rPr>
                <w:lang w:val="en-US"/>
              </w:rPr>
              <w:t>35</w:t>
            </w:r>
          </w:p>
        </w:tc>
        <w:tc>
          <w:tcPr>
            <w:tcW w:w="1191" w:type="dxa"/>
          </w:tcPr>
          <w:p w:rsidR="00CA3B52" w:rsidRPr="00CB6CBA" w:rsidRDefault="00CA3B52" w:rsidP="00F65451">
            <w:pPr>
              <w:pStyle w:val="Tabletext"/>
              <w:jc w:val="center"/>
              <w:rPr>
                <w:lang w:val="en-US"/>
              </w:rPr>
            </w:pPr>
            <w:r w:rsidRPr="00CB6CBA">
              <w:rPr>
                <w:lang w:val="en-US"/>
              </w:rPr>
              <w:t>48</w:t>
            </w:r>
          </w:p>
        </w:tc>
      </w:tr>
      <w:tr w:rsidR="00CA3B52" w:rsidRPr="00CB6CBA" w:rsidTr="008F35B9">
        <w:trPr>
          <w:cantSplit/>
          <w:trHeight w:val="20"/>
          <w:jc w:val="center"/>
        </w:trPr>
        <w:tc>
          <w:tcPr>
            <w:tcW w:w="1247" w:type="dxa"/>
          </w:tcPr>
          <w:p w:rsidR="00CA3B52" w:rsidRPr="00CB6CBA" w:rsidRDefault="00CA3B52" w:rsidP="002D1D5C">
            <w:pPr>
              <w:pStyle w:val="Tabletext"/>
              <w:jc w:val="center"/>
              <w:rPr>
                <w:lang w:val="en-US"/>
              </w:rPr>
            </w:pPr>
          </w:p>
        </w:tc>
        <w:tc>
          <w:tcPr>
            <w:tcW w:w="1247" w:type="dxa"/>
          </w:tcPr>
          <w:p w:rsidR="00CA3B52" w:rsidRPr="00CB6CBA" w:rsidRDefault="00CA3B52" w:rsidP="00F65451">
            <w:pPr>
              <w:pStyle w:val="Tabletext"/>
              <w:jc w:val="center"/>
              <w:rPr>
                <w:lang w:val="en-US"/>
              </w:rPr>
            </w:pPr>
            <w:r w:rsidRPr="00CB6CBA">
              <w:rPr>
                <w:lang w:val="en-US"/>
              </w:rPr>
              <w:t>Sea</w:t>
            </w:r>
          </w:p>
        </w:tc>
        <w:tc>
          <w:tcPr>
            <w:tcW w:w="1191" w:type="dxa"/>
          </w:tcPr>
          <w:p w:rsidR="00CA3B52" w:rsidRPr="00CB6CBA" w:rsidRDefault="00CA3B52" w:rsidP="00F65451">
            <w:pPr>
              <w:pStyle w:val="Tabletext"/>
              <w:jc w:val="center"/>
              <w:rPr>
                <w:lang w:val="en-US"/>
              </w:rPr>
            </w:pPr>
            <w:r w:rsidRPr="00CB6CBA">
              <w:rPr>
                <w:lang w:val="en-US"/>
              </w:rPr>
              <w:t>24</w:t>
            </w:r>
          </w:p>
        </w:tc>
        <w:tc>
          <w:tcPr>
            <w:tcW w:w="1191" w:type="dxa"/>
          </w:tcPr>
          <w:p w:rsidR="00CA3B52" w:rsidRPr="00CB6CBA" w:rsidRDefault="00CA3B52" w:rsidP="00F65451">
            <w:pPr>
              <w:pStyle w:val="Tabletext"/>
              <w:jc w:val="center"/>
              <w:rPr>
                <w:lang w:val="en-US"/>
              </w:rPr>
            </w:pPr>
            <w:r w:rsidRPr="00CB6CBA">
              <w:rPr>
                <w:lang w:val="en-US"/>
              </w:rPr>
              <w:t>28</w:t>
            </w:r>
          </w:p>
        </w:tc>
        <w:tc>
          <w:tcPr>
            <w:tcW w:w="1191" w:type="dxa"/>
          </w:tcPr>
          <w:p w:rsidR="00CA3B52" w:rsidRPr="00CB6CBA" w:rsidRDefault="00CA3B52" w:rsidP="00F65451">
            <w:pPr>
              <w:pStyle w:val="Tabletext"/>
              <w:jc w:val="center"/>
              <w:rPr>
                <w:lang w:val="en-US"/>
              </w:rPr>
            </w:pPr>
            <w:r w:rsidRPr="00CB6CBA">
              <w:rPr>
                <w:lang w:val="en-US"/>
              </w:rPr>
              <w:t>35</w:t>
            </w:r>
          </w:p>
        </w:tc>
        <w:tc>
          <w:tcPr>
            <w:tcW w:w="1191" w:type="dxa"/>
          </w:tcPr>
          <w:p w:rsidR="00CA3B52" w:rsidRPr="00CB6CBA" w:rsidRDefault="00CA3B52" w:rsidP="00F65451">
            <w:pPr>
              <w:pStyle w:val="Tabletext"/>
              <w:jc w:val="center"/>
              <w:rPr>
                <w:lang w:val="en-US"/>
              </w:rPr>
            </w:pPr>
            <w:r w:rsidRPr="00CB6CBA">
              <w:rPr>
                <w:lang w:val="en-US"/>
              </w:rPr>
              <w:t>43</w:t>
            </w:r>
          </w:p>
        </w:tc>
        <w:tc>
          <w:tcPr>
            <w:tcW w:w="1191" w:type="dxa"/>
          </w:tcPr>
          <w:p w:rsidR="00CA3B52" w:rsidRPr="00CB6CBA" w:rsidRDefault="00CA3B52" w:rsidP="00F65451">
            <w:pPr>
              <w:pStyle w:val="Tabletext"/>
              <w:jc w:val="center"/>
              <w:rPr>
                <w:lang w:val="en-US"/>
              </w:rPr>
            </w:pPr>
            <w:r w:rsidRPr="00CB6CBA">
              <w:rPr>
                <w:lang w:val="en-US"/>
              </w:rPr>
              <w:t>53</w:t>
            </w:r>
          </w:p>
        </w:tc>
        <w:tc>
          <w:tcPr>
            <w:tcW w:w="1191" w:type="dxa"/>
          </w:tcPr>
          <w:p w:rsidR="00CA3B52" w:rsidRPr="00CB6CBA" w:rsidRDefault="00CA3B52" w:rsidP="00F65451">
            <w:pPr>
              <w:pStyle w:val="Tabletext"/>
              <w:jc w:val="center"/>
              <w:rPr>
                <w:lang w:val="en-US"/>
              </w:rPr>
            </w:pPr>
            <w:r w:rsidRPr="00CB6CBA">
              <w:rPr>
                <w:lang w:val="en-US"/>
              </w:rPr>
              <w:t>68</w:t>
            </w:r>
          </w:p>
        </w:tc>
      </w:tr>
      <w:tr w:rsidR="00CA3B52" w:rsidRPr="00CB6CBA" w:rsidTr="008F35B9">
        <w:trPr>
          <w:cantSplit/>
          <w:trHeight w:val="20"/>
          <w:jc w:val="center"/>
        </w:trPr>
        <w:tc>
          <w:tcPr>
            <w:tcW w:w="1247" w:type="dxa"/>
          </w:tcPr>
          <w:p w:rsidR="00CA3B52" w:rsidRPr="00CB6CBA" w:rsidRDefault="00CA3B52" w:rsidP="00F65451">
            <w:pPr>
              <w:pStyle w:val="Tabletext"/>
              <w:jc w:val="center"/>
              <w:rPr>
                <w:lang w:val="en-US"/>
              </w:rPr>
            </w:pPr>
            <w:r w:rsidRPr="00CB6CBA">
              <w:rPr>
                <w:lang w:val="en-US"/>
              </w:rPr>
              <w:t>20</w:t>
            </w:r>
          </w:p>
        </w:tc>
        <w:tc>
          <w:tcPr>
            <w:tcW w:w="1247" w:type="dxa"/>
          </w:tcPr>
          <w:p w:rsidR="00CA3B52" w:rsidRPr="00CB6CBA" w:rsidRDefault="00CA3B52" w:rsidP="00F65451">
            <w:pPr>
              <w:pStyle w:val="Tabletext"/>
              <w:jc w:val="center"/>
              <w:rPr>
                <w:lang w:val="en-US"/>
              </w:rPr>
            </w:pPr>
            <w:r w:rsidRPr="00CB6CBA">
              <w:rPr>
                <w:lang w:val="en-US"/>
              </w:rPr>
              <w:t>Land</w:t>
            </w:r>
          </w:p>
        </w:tc>
        <w:tc>
          <w:tcPr>
            <w:tcW w:w="1191" w:type="dxa"/>
          </w:tcPr>
          <w:p w:rsidR="00CA3B52" w:rsidRPr="00CB6CBA" w:rsidRDefault="00CA3B52" w:rsidP="00F65451">
            <w:pPr>
              <w:pStyle w:val="Tabletext"/>
              <w:jc w:val="center"/>
              <w:rPr>
                <w:lang w:val="en-US"/>
              </w:rPr>
            </w:pPr>
            <w:r w:rsidRPr="00CB6CBA">
              <w:rPr>
                <w:lang w:val="en-US"/>
              </w:rPr>
              <w:t>13</w:t>
            </w:r>
          </w:p>
        </w:tc>
        <w:tc>
          <w:tcPr>
            <w:tcW w:w="1191" w:type="dxa"/>
          </w:tcPr>
          <w:p w:rsidR="00CA3B52" w:rsidRPr="00CB6CBA" w:rsidRDefault="00CA3B52" w:rsidP="00F65451">
            <w:pPr>
              <w:pStyle w:val="Tabletext"/>
              <w:jc w:val="center"/>
              <w:rPr>
                <w:lang w:val="en-US"/>
              </w:rPr>
            </w:pPr>
            <w:r w:rsidRPr="00CB6CBA">
              <w:rPr>
                <w:lang w:val="en-US"/>
              </w:rPr>
              <w:t>16</w:t>
            </w:r>
          </w:p>
        </w:tc>
        <w:tc>
          <w:tcPr>
            <w:tcW w:w="1191" w:type="dxa"/>
          </w:tcPr>
          <w:p w:rsidR="00CA3B52" w:rsidRPr="00CB6CBA" w:rsidRDefault="00CA3B52" w:rsidP="00F65451">
            <w:pPr>
              <w:pStyle w:val="Tabletext"/>
              <w:jc w:val="center"/>
              <w:rPr>
                <w:lang w:val="en-US"/>
              </w:rPr>
            </w:pPr>
            <w:r w:rsidRPr="00CB6CBA">
              <w:rPr>
                <w:lang w:val="en-US"/>
              </w:rPr>
              <w:t>22</w:t>
            </w:r>
          </w:p>
        </w:tc>
        <w:tc>
          <w:tcPr>
            <w:tcW w:w="1191" w:type="dxa"/>
          </w:tcPr>
          <w:p w:rsidR="00CA3B52" w:rsidRPr="00CB6CBA" w:rsidRDefault="00CA3B52" w:rsidP="00F65451">
            <w:pPr>
              <w:pStyle w:val="Tabletext"/>
              <w:jc w:val="center"/>
              <w:rPr>
                <w:lang w:val="en-US"/>
              </w:rPr>
            </w:pPr>
            <w:r w:rsidRPr="00CB6CBA">
              <w:rPr>
                <w:lang w:val="en-US"/>
              </w:rPr>
              <w:t>29</w:t>
            </w:r>
          </w:p>
        </w:tc>
        <w:tc>
          <w:tcPr>
            <w:tcW w:w="1191" w:type="dxa"/>
          </w:tcPr>
          <w:p w:rsidR="00CA3B52" w:rsidRPr="00CB6CBA" w:rsidRDefault="00CA3B52" w:rsidP="00F65451">
            <w:pPr>
              <w:pStyle w:val="Tabletext"/>
              <w:jc w:val="center"/>
              <w:rPr>
                <w:lang w:val="en-US"/>
              </w:rPr>
            </w:pPr>
            <w:r w:rsidRPr="00CB6CBA">
              <w:rPr>
                <w:lang w:val="en-US"/>
              </w:rPr>
              <w:t>40</w:t>
            </w:r>
          </w:p>
        </w:tc>
        <w:tc>
          <w:tcPr>
            <w:tcW w:w="1191" w:type="dxa"/>
          </w:tcPr>
          <w:p w:rsidR="00CA3B52" w:rsidRPr="00CB6CBA" w:rsidRDefault="00CA3B52" w:rsidP="00F65451">
            <w:pPr>
              <w:pStyle w:val="Tabletext"/>
              <w:jc w:val="center"/>
              <w:rPr>
                <w:lang w:val="en-US"/>
              </w:rPr>
            </w:pPr>
            <w:r w:rsidRPr="00CB6CBA">
              <w:rPr>
                <w:lang w:val="en-US"/>
              </w:rPr>
              <w:t>53</w:t>
            </w:r>
          </w:p>
        </w:tc>
      </w:tr>
      <w:tr w:rsidR="00CA3B52" w:rsidRPr="00CB6CBA" w:rsidTr="008F35B9">
        <w:trPr>
          <w:cantSplit/>
          <w:trHeight w:val="20"/>
          <w:jc w:val="center"/>
        </w:trPr>
        <w:tc>
          <w:tcPr>
            <w:tcW w:w="1247" w:type="dxa"/>
          </w:tcPr>
          <w:p w:rsidR="00CA3B52" w:rsidRPr="00CB6CBA" w:rsidRDefault="00CA3B52" w:rsidP="002D1D5C">
            <w:pPr>
              <w:pStyle w:val="Tabletext"/>
              <w:jc w:val="center"/>
              <w:rPr>
                <w:lang w:val="en-US"/>
              </w:rPr>
            </w:pPr>
          </w:p>
        </w:tc>
        <w:tc>
          <w:tcPr>
            <w:tcW w:w="1247" w:type="dxa"/>
          </w:tcPr>
          <w:p w:rsidR="00CA3B52" w:rsidRPr="00CB6CBA" w:rsidRDefault="00CA3B52" w:rsidP="00F65451">
            <w:pPr>
              <w:pStyle w:val="Tabletext"/>
              <w:jc w:val="center"/>
              <w:rPr>
                <w:lang w:val="en-US"/>
              </w:rPr>
            </w:pPr>
            <w:r w:rsidRPr="00CB6CBA">
              <w:rPr>
                <w:lang w:val="en-US"/>
              </w:rPr>
              <w:t>Sea</w:t>
            </w:r>
          </w:p>
        </w:tc>
        <w:tc>
          <w:tcPr>
            <w:tcW w:w="1191" w:type="dxa"/>
          </w:tcPr>
          <w:p w:rsidR="00CA3B52" w:rsidRPr="00CB6CBA" w:rsidRDefault="00CA3B52" w:rsidP="00F65451">
            <w:pPr>
              <w:pStyle w:val="Tabletext"/>
              <w:jc w:val="center"/>
              <w:rPr>
                <w:lang w:val="en-US"/>
              </w:rPr>
            </w:pPr>
            <w:r w:rsidRPr="00CB6CBA">
              <w:rPr>
                <w:lang w:val="en-US"/>
              </w:rPr>
              <w:t>27</w:t>
            </w:r>
          </w:p>
        </w:tc>
        <w:tc>
          <w:tcPr>
            <w:tcW w:w="1191" w:type="dxa"/>
          </w:tcPr>
          <w:p w:rsidR="00CA3B52" w:rsidRPr="00CB6CBA" w:rsidRDefault="00CA3B52" w:rsidP="00F65451">
            <w:pPr>
              <w:pStyle w:val="Tabletext"/>
              <w:jc w:val="center"/>
              <w:rPr>
                <w:lang w:val="en-US"/>
              </w:rPr>
            </w:pPr>
            <w:r w:rsidRPr="00CB6CBA">
              <w:rPr>
                <w:lang w:val="en-US"/>
              </w:rPr>
              <w:t>31</w:t>
            </w:r>
          </w:p>
        </w:tc>
        <w:tc>
          <w:tcPr>
            <w:tcW w:w="1191" w:type="dxa"/>
          </w:tcPr>
          <w:p w:rsidR="00CA3B52" w:rsidRPr="00CB6CBA" w:rsidRDefault="00CA3B52" w:rsidP="00F65451">
            <w:pPr>
              <w:pStyle w:val="Tabletext"/>
              <w:jc w:val="center"/>
              <w:rPr>
                <w:lang w:val="en-US"/>
              </w:rPr>
            </w:pPr>
            <w:r w:rsidRPr="00CB6CBA">
              <w:rPr>
                <w:lang w:val="en-US"/>
              </w:rPr>
              <w:t>39</w:t>
            </w:r>
          </w:p>
        </w:tc>
        <w:tc>
          <w:tcPr>
            <w:tcW w:w="1191" w:type="dxa"/>
          </w:tcPr>
          <w:p w:rsidR="00CA3B52" w:rsidRPr="00CB6CBA" w:rsidRDefault="00CA3B52" w:rsidP="00F65451">
            <w:pPr>
              <w:pStyle w:val="Tabletext"/>
              <w:jc w:val="center"/>
              <w:rPr>
                <w:lang w:val="en-US"/>
              </w:rPr>
            </w:pPr>
            <w:r w:rsidRPr="00CB6CBA">
              <w:rPr>
                <w:lang w:val="en-US"/>
              </w:rPr>
              <w:t>47</w:t>
            </w:r>
          </w:p>
        </w:tc>
        <w:tc>
          <w:tcPr>
            <w:tcW w:w="1191" w:type="dxa"/>
          </w:tcPr>
          <w:p w:rsidR="00CA3B52" w:rsidRPr="00CB6CBA" w:rsidRDefault="00CA3B52" w:rsidP="00F65451">
            <w:pPr>
              <w:pStyle w:val="Tabletext"/>
              <w:jc w:val="center"/>
              <w:rPr>
                <w:lang w:val="en-US"/>
              </w:rPr>
            </w:pPr>
            <w:r w:rsidRPr="00CB6CBA">
              <w:rPr>
                <w:lang w:val="en-US"/>
              </w:rPr>
              <w:t>59</w:t>
            </w:r>
          </w:p>
        </w:tc>
        <w:tc>
          <w:tcPr>
            <w:tcW w:w="1191" w:type="dxa"/>
          </w:tcPr>
          <w:p w:rsidR="00CA3B52" w:rsidRPr="00CB6CBA" w:rsidRDefault="00CA3B52" w:rsidP="00F65451">
            <w:pPr>
              <w:pStyle w:val="Tabletext"/>
              <w:jc w:val="center"/>
              <w:rPr>
                <w:lang w:val="en-US"/>
              </w:rPr>
            </w:pPr>
            <w:r w:rsidRPr="00CB6CBA">
              <w:rPr>
                <w:lang w:val="en-US"/>
              </w:rPr>
              <w:t>74</w:t>
            </w:r>
          </w:p>
        </w:tc>
      </w:tr>
      <w:tr w:rsidR="00CA3B52" w:rsidRPr="00CB6CBA" w:rsidTr="008F35B9">
        <w:trPr>
          <w:cantSplit/>
          <w:trHeight w:val="20"/>
          <w:jc w:val="center"/>
        </w:trPr>
        <w:tc>
          <w:tcPr>
            <w:tcW w:w="1247" w:type="dxa"/>
          </w:tcPr>
          <w:p w:rsidR="00CA3B52" w:rsidRPr="00CB6CBA" w:rsidRDefault="00CA3B52" w:rsidP="00F65451">
            <w:pPr>
              <w:pStyle w:val="Tabletext"/>
              <w:jc w:val="center"/>
              <w:rPr>
                <w:lang w:val="en-US"/>
              </w:rPr>
            </w:pPr>
            <w:r w:rsidRPr="00CB6CBA">
              <w:rPr>
                <w:lang w:val="en-US"/>
              </w:rPr>
              <w:t>30</w:t>
            </w:r>
          </w:p>
        </w:tc>
        <w:tc>
          <w:tcPr>
            <w:tcW w:w="1247" w:type="dxa"/>
          </w:tcPr>
          <w:p w:rsidR="00CA3B52" w:rsidRPr="00CB6CBA" w:rsidRDefault="00CA3B52" w:rsidP="00F65451">
            <w:pPr>
              <w:pStyle w:val="Tabletext"/>
              <w:jc w:val="center"/>
              <w:rPr>
                <w:lang w:val="en-US"/>
              </w:rPr>
            </w:pPr>
            <w:r w:rsidRPr="00CB6CBA">
              <w:rPr>
                <w:lang w:val="en-US"/>
              </w:rPr>
              <w:t>Land</w:t>
            </w:r>
          </w:p>
        </w:tc>
        <w:tc>
          <w:tcPr>
            <w:tcW w:w="1191" w:type="dxa"/>
          </w:tcPr>
          <w:p w:rsidR="00CA3B52" w:rsidRPr="00CB6CBA" w:rsidRDefault="00CA3B52" w:rsidP="00F65451">
            <w:pPr>
              <w:pStyle w:val="Tabletext"/>
              <w:jc w:val="center"/>
              <w:rPr>
                <w:lang w:val="en-US"/>
              </w:rPr>
            </w:pPr>
            <w:r w:rsidRPr="00CB6CBA">
              <w:rPr>
                <w:lang w:val="en-US"/>
              </w:rPr>
              <w:t>14</w:t>
            </w:r>
          </w:p>
        </w:tc>
        <w:tc>
          <w:tcPr>
            <w:tcW w:w="1191" w:type="dxa"/>
          </w:tcPr>
          <w:p w:rsidR="00CA3B52" w:rsidRPr="00CB6CBA" w:rsidRDefault="00CA3B52" w:rsidP="00F65451">
            <w:pPr>
              <w:pStyle w:val="Tabletext"/>
              <w:jc w:val="center"/>
              <w:rPr>
                <w:lang w:val="en-US"/>
              </w:rPr>
            </w:pPr>
            <w:r w:rsidRPr="00CB6CBA">
              <w:rPr>
                <w:lang w:val="en-US"/>
              </w:rPr>
              <w:t>17</w:t>
            </w:r>
          </w:p>
        </w:tc>
        <w:tc>
          <w:tcPr>
            <w:tcW w:w="1191" w:type="dxa"/>
          </w:tcPr>
          <w:p w:rsidR="00CA3B52" w:rsidRPr="00CB6CBA" w:rsidRDefault="00CA3B52" w:rsidP="00F65451">
            <w:pPr>
              <w:pStyle w:val="Tabletext"/>
              <w:jc w:val="center"/>
              <w:rPr>
                <w:lang w:val="en-US"/>
              </w:rPr>
            </w:pPr>
            <w:r w:rsidRPr="00CB6CBA">
              <w:rPr>
                <w:lang w:val="en-US"/>
              </w:rPr>
              <w:t>24</w:t>
            </w:r>
          </w:p>
        </w:tc>
        <w:tc>
          <w:tcPr>
            <w:tcW w:w="1191" w:type="dxa"/>
          </w:tcPr>
          <w:p w:rsidR="00CA3B52" w:rsidRPr="00CB6CBA" w:rsidRDefault="00CA3B52" w:rsidP="00F65451">
            <w:pPr>
              <w:pStyle w:val="Tabletext"/>
              <w:jc w:val="center"/>
              <w:rPr>
                <w:lang w:val="en-US"/>
              </w:rPr>
            </w:pPr>
            <w:r w:rsidRPr="00CB6CBA">
              <w:rPr>
                <w:lang w:val="en-US"/>
              </w:rPr>
              <w:t>32</w:t>
            </w:r>
          </w:p>
        </w:tc>
        <w:tc>
          <w:tcPr>
            <w:tcW w:w="1191" w:type="dxa"/>
          </w:tcPr>
          <w:p w:rsidR="00CA3B52" w:rsidRPr="00CB6CBA" w:rsidRDefault="00CA3B52" w:rsidP="00F65451">
            <w:pPr>
              <w:pStyle w:val="Tabletext"/>
              <w:jc w:val="center"/>
              <w:rPr>
                <w:lang w:val="en-US"/>
              </w:rPr>
            </w:pPr>
            <w:r w:rsidRPr="00CB6CBA">
              <w:rPr>
                <w:lang w:val="en-US"/>
              </w:rPr>
              <w:t>43</w:t>
            </w:r>
          </w:p>
        </w:tc>
        <w:tc>
          <w:tcPr>
            <w:tcW w:w="1191" w:type="dxa"/>
          </w:tcPr>
          <w:p w:rsidR="00CA3B52" w:rsidRPr="00CB6CBA" w:rsidRDefault="00CA3B52" w:rsidP="00F65451">
            <w:pPr>
              <w:pStyle w:val="Tabletext"/>
              <w:jc w:val="center"/>
              <w:rPr>
                <w:lang w:val="en-US"/>
              </w:rPr>
            </w:pPr>
            <w:r w:rsidRPr="00CB6CBA">
              <w:rPr>
                <w:lang w:val="en-US"/>
              </w:rPr>
              <w:t>57</w:t>
            </w:r>
          </w:p>
        </w:tc>
      </w:tr>
      <w:tr w:rsidR="00CA3B52" w:rsidRPr="00CB6CBA" w:rsidTr="008F35B9">
        <w:trPr>
          <w:cantSplit/>
          <w:trHeight w:val="20"/>
          <w:jc w:val="center"/>
        </w:trPr>
        <w:tc>
          <w:tcPr>
            <w:tcW w:w="1247" w:type="dxa"/>
          </w:tcPr>
          <w:p w:rsidR="00CA3B52" w:rsidRPr="00CB6CBA" w:rsidRDefault="00CA3B52" w:rsidP="002D1D5C">
            <w:pPr>
              <w:pStyle w:val="Tabletext"/>
              <w:jc w:val="center"/>
              <w:rPr>
                <w:lang w:val="en-US"/>
              </w:rPr>
            </w:pPr>
          </w:p>
        </w:tc>
        <w:tc>
          <w:tcPr>
            <w:tcW w:w="1247" w:type="dxa"/>
          </w:tcPr>
          <w:p w:rsidR="00CA3B52" w:rsidRPr="00CB6CBA" w:rsidRDefault="00CA3B52" w:rsidP="00F65451">
            <w:pPr>
              <w:pStyle w:val="Tabletext"/>
              <w:jc w:val="center"/>
              <w:rPr>
                <w:lang w:val="en-US"/>
              </w:rPr>
            </w:pPr>
            <w:r w:rsidRPr="00CB6CBA">
              <w:rPr>
                <w:lang w:val="en-US"/>
              </w:rPr>
              <w:t>Sea</w:t>
            </w:r>
          </w:p>
        </w:tc>
        <w:tc>
          <w:tcPr>
            <w:tcW w:w="1191" w:type="dxa"/>
          </w:tcPr>
          <w:p w:rsidR="00CA3B52" w:rsidRPr="00CB6CBA" w:rsidRDefault="00CA3B52" w:rsidP="00F65451">
            <w:pPr>
              <w:pStyle w:val="Tabletext"/>
              <w:jc w:val="center"/>
              <w:rPr>
                <w:lang w:val="en-US"/>
              </w:rPr>
            </w:pPr>
            <w:r w:rsidRPr="00CB6CBA">
              <w:rPr>
                <w:lang w:val="en-US"/>
              </w:rPr>
              <w:t>29</w:t>
            </w:r>
          </w:p>
        </w:tc>
        <w:tc>
          <w:tcPr>
            <w:tcW w:w="1191" w:type="dxa"/>
          </w:tcPr>
          <w:p w:rsidR="00CA3B52" w:rsidRPr="00CB6CBA" w:rsidRDefault="00CA3B52" w:rsidP="00F65451">
            <w:pPr>
              <w:pStyle w:val="Tabletext"/>
              <w:jc w:val="center"/>
              <w:rPr>
                <w:lang w:val="en-US"/>
              </w:rPr>
            </w:pPr>
            <w:r w:rsidRPr="00CB6CBA">
              <w:rPr>
                <w:lang w:val="en-US"/>
              </w:rPr>
              <w:t>34</w:t>
            </w:r>
          </w:p>
        </w:tc>
        <w:tc>
          <w:tcPr>
            <w:tcW w:w="1191" w:type="dxa"/>
          </w:tcPr>
          <w:p w:rsidR="00CA3B52" w:rsidRPr="00CB6CBA" w:rsidRDefault="00CA3B52" w:rsidP="00F65451">
            <w:pPr>
              <w:pStyle w:val="Tabletext"/>
              <w:jc w:val="center"/>
              <w:rPr>
                <w:lang w:val="en-US"/>
              </w:rPr>
            </w:pPr>
            <w:r w:rsidRPr="00CB6CBA">
              <w:rPr>
                <w:lang w:val="en-US"/>
              </w:rPr>
              <w:t>42</w:t>
            </w:r>
          </w:p>
        </w:tc>
        <w:tc>
          <w:tcPr>
            <w:tcW w:w="1191" w:type="dxa"/>
          </w:tcPr>
          <w:p w:rsidR="00CA3B52" w:rsidRPr="00CB6CBA" w:rsidRDefault="00CA3B52" w:rsidP="00F65451">
            <w:pPr>
              <w:pStyle w:val="Tabletext"/>
              <w:jc w:val="center"/>
              <w:rPr>
                <w:lang w:val="en-US"/>
              </w:rPr>
            </w:pPr>
            <w:r w:rsidRPr="00CB6CBA">
              <w:rPr>
                <w:lang w:val="en-US"/>
              </w:rPr>
              <w:t>51</w:t>
            </w:r>
          </w:p>
        </w:tc>
        <w:tc>
          <w:tcPr>
            <w:tcW w:w="1191" w:type="dxa"/>
          </w:tcPr>
          <w:p w:rsidR="00CA3B52" w:rsidRPr="00CB6CBA" w:rsidRDefault="00CA3B52" w:rsidP="00F65451">
            <w:pPr>
              <w:pStyle w:val="Tabletext"/>
              <w:jc w:val="center"/>
              <w:rPr>
                <w:lang w:val="en-US"/>
              </w:rPr>
            </w:pPr>
            <w:r w:rsidRPr="00CB6CBA">
              <w:rPr>
                <w:lang w:val="en-US"/>
              </w:rPr>
              <w:t>62</w:t>
            </w:r>
          </w:p>
        </w:tc>
        <w:tc>
          <w:tcPr>
            <w:tcW w:w="1191" w:type="dxa"/>
          </w:tcPr>
          <w:p w:rsidR="00CA3B52" w:rsidRPr="00CB6CBA" w:rsidRDefault="00CA3B52" w:rsidP="00F65451">
            <w:pPr>
              <w:pStyle w:val="Tabletext"/>
              <w:jc w:val="center"/>
              <w:rPr>
                <w:lang w:val="en-US"/>
              </w:rPr>
            </w:pPr>
            <w:r w:rsidRPr="00CB6CBA">
              <w:rPr>
                <w:lang w:val="en-US"/>
              </w:rPr>
              <w:t>77</w:t>
            </w:r>
          </w:p>
        </w:tc>
      </w:tr>
      <w:tr w:rsidR="00CA3B52" w:rsidRPr="00CB6CBA" w:rsidTr="008F35B9">
        <w:trPr>
          <w:cantSplit/>
          <w:trHeight w:val="20"/>
          <w:jc w:val="center"/>
        </w:trPr>
        <w:tc>
          <w:tcPr>
            <w:tcW w:w="1247" w:type="dxa"/>
          </w:tcPr>
          <w:p w:rsidR="00CA3B52" w:rsidRPr="00CB6CBA" w:rsidRDefault="00CA3B52" w:rsidP="00F65451">
            <w:pPr>
              <w:pStyle w:val="Tabletext"/>
              <w:jc w:val="center"/>
              <w:rPr>
                <w:lang w:val="en-US"/>
              </w:rPr>
            </w:pPr>
            <w:r w:rsidRPr="00CB6CBA">
              <w:rPr>
                <w:lang w:val="en-US"/>
              </w:rPr>
              <w:t>40</w:t>
            </w:r>
          </w:p>
        </w:tc>
        <w:tc>
          <w:tcPr>
            <w:tcW w:w="1247" w:type="dxa"/>
          </w:tcPr>
          <w:p w:rsidR="00CA3B52" w:rsidRPr="00CB6CBA" w:rsidRDefault="00CA3B52" w:rsidP="00F65451">
            <w:pPr>
              <w:pStyle w:val="Tabletext"/>
              <w:jc w:val="center"/>
              <w:rPr>
                <w:lang w:val="en-US"/>
              </w:rPr>
            </w:pPr>
            <w:r w:rsidRPr="00CB6CBA">
              <w:rPr>
                <w:lang w:val="en-US"/>
              </w:rPr>
              <w:t>Land</w:t>
            </w:r>
          </w:p>
        </w:tc>
        <w:tc>
          <w:tcPr>
            <w:tcW w:w="1191" w:type="dxa"/>
          </w:tcPr>
          <w:p w:rsidR="00CA3B52" w:rsidRPr="00CB6CBA" w:rsidRDefault="00CA3B52" w:rsidP="00F65451">
            <w:pPr>
              <w:pStyle w:val="Tabletext"/>
              <w:jc w:val="center"/>
              <w:rPr>
                <w:lang w:val="en-US"/>
              </w:rPr>
            </w:pPr>
            <w:r w:rsidRPr="00CB6CBA">
              <w:rPr>
                <w:lang w:val="en-US"/>
              </w:rPr>
              <w:t>14</w:t>
            </w:r>
          </w:p>
        </w:tc>
        <w:tc>
          <w:tcPr>
            <w:tcW w:w="1191" w:type="dxa"/>
          </w:tcPr>
          <w:p w:rsidR="00CA3B52" w:rsidRPr="00CB6CBA" w:rsidRDefault="00CA3B52" w:rsidP="00F65451">
            <w:pPr>
              <w:pStyle w:val="Tabletext"/>
              <w:jc w:val="center"/>
              <w:rPr>
                <w:lang w:val="en-US"/>
              </w:rPr>
            </w:pPr>
            <w:r w:rsidRPr="00CB6CBA">
              <w:rPr>
                <w:lang w:val="en-US"/>
              </w:rPr>
              <w:t>19</w:t>
            </w:r>
          </w:p>
        </w:tc>
        <w:tc>
          <w:tcPr>
            <w:tcW w:w="1191" w:type="dxa"/>
          </w:tcPr>
          <w:p w:rsidR="00CA3B52" w:rsidRPr="00CB6CBA" w:rsidRDefault="00CA3B52" w:rsidP="00F65451">
            <w:pPr>
              <w:pStyle w:val="Tabletext"/>
              <w:jc w:val="center"/>
              <w:rPr>
                <w:lang w:val="en-US"/>
              </w:rPr>
            </w:pPr>
            <w:r w:rsidRPr="00CB6CBA">
              <w:rPr>
                <w:lang w:val="en-US"/>
              </w:rPr>
              <w:t>25</w:t>
            </w:r>
          </w:p>
        </w:tc>
        <w:tc>
          <w:tcPr>
            <w:tcW w:w="1191" w:type="dxa"/>
          </w:tcPr>
          <w:p w:rsidR="00CA3B52" w:rsidRPr="00CB6CBA" w:rsidRDefault="00CA3B52" w:rsidP="00F65451">
            <w:pPr>
              <w:pStyle w:val="Tabletext"/>
              <w:jc w:val="center"/>
              <w:rPr>
                <w:lang w:val="en-US"/>
              </w:rPr>
            </w:pPr>
            <w:r w:rsidRPr="00CB6CBA">
              <w:rPr>
                <w:lang w:val="en-US"/>
              </w:rPr>
              <w:t>34</w:t>
            </w:r>
          </w:p>
        </w:tc>
        <w:tc>
          <w:tcPr>
            <w:tcW w:w="1191" w:type="dxa"/>
          </w:tcPr>
          <w:p w:rsidR="00CA3B52" w:rsidRPr="00CB6CBA" w:rsidRDefault="00CA3B52" w:rsidP="00F65451">
            <w:pPr>
              <w:pStyle w:val="Tabletext"/>
              <w:jc w:val="center"/>
              <w:rPr>
                <w:lang w:val="en-US"/>
              </w:rPr>
            </w:pPr>
            <w:r w:rsidRPr="00CB6CBA">
              <w:rPr>
                <w:lang w:val="en-US"/>
              </w:rPr>
              <w:t>45</w:t>
            </w:r>
          </w:p>
        </w:tc>
        <w:tc>
          <w:tcPr>
            <w:tcW w:w="1191" w:type="dxa"/>
          </w:tcPr>
          <w:p w:rsidR="00CA3B52" w:rsidRPr="00CB6CBA" w:rsidRDefault="00CA3B52" w:rsidP="00F65451">
            <w:pPr>
              <w:pStyle w:val="Tabletext"/>
              <w:jc w:val="center"/>
              <w:rPr>
                <w:lang w:val="en-US"/>
              </w:rPr>
            </w:pPr>
            <w:r w:rsidRPr="00CB6CBA">
              <w:rPr>
                <w:lang w:val="en-US"/>
              </w:rPr>
              <w:t>59</w:t>
            </w:r>
          </w:p>
        </w:tc>
      </w:tr>
      <w:tr w:rsidR="00CA3B52" w:rsidRPr="00CB6CBA" w:rsidTr="008F35B9">
        <w:trPr>
          <w:cantSplit/>
          <w:trHeight w:val="20"/>
          <w:jc w:val="center"/>
        </w:trPr>
        <w:tc>
          <w:tcPr>
            <w:tcW w:w="1247" w:type="dxa"/>
          </w:tcPr>
          <w:p w:rsidR="00CA3B52" w:rsidRPr="00CB6CBA" w:rsidRDefault="00CA3B52" w:rsidP="002D1D5C">
            <w:pPr>
              <w:pStyle w:val="Tabletext"/>
              <w:jc w:val="center"/>
              <w:rPr>
                <w:lang w:val="en-US"/>
              </w:rPr>
            </w:pPr>
          </w:p>
        </w:tc>
        <w:tc>
          <w:tcPr>
            <w:tcW w:w="1247" w:type="dxa"/>
          </w:tcPr>
          <w:p w:rsidR="00CA3B52" w:rsidRPr="00CB6CBA" w:rsidRDefault="00CA3B52" w:rsidP="00F65451">
            <w:pPr>
              <w:pStyle w:val="Tabletext"/>
              <w:jc w:val="center"/>
              <w:rPr>
                <w:lang w:val="en-US"/>
              </w:rPr>
            </w:pPr>
            <w:r w:rsidRPr="00CB6CBA">
              <w:rPr>
                <w:lang w:val="en-US"/>
              </w:rPr>
              <w:t>Sea</w:t>
            </w:r>
          </w:p>
        </w:tc>
        <w:tc>
          <w:tcPr>
            <w:tcW w:w="1191" w:type="dxa"/>
          </w:tcPr>
          <w:p w:rsidR="00CA3B52" w:rsidRPr="00CB6CBA" w:rsidRDefault="00CA3B52" w:rsidP="00F65451">
            <w:pPr>
              <w:pStyle w:val="Tabletext"/>
              <w:jc w:val="center"/>
              <w:rPr>
                <w:lang w:val="en-US"/>
              </w:rPr>
            </w:pPr>
            <w:r w:rsidRPr="00CB6CBA">
              <w:rPr>
                <w:lang w:val="en-US"/>
              </w:rPr>
              <w:t>30</w:t>
            </w:r>
          </w:p>
        </w:tc>
        <w:tc>
          <w:tcPr>
            <w:tcW w:w="1191" w:type="dxa"/>
          </w:tcPr>
          <w:p w:rsidR="00CA3B52" w:rsidRPr="00CB6CBA" w:rsidRDefault="00CA3B52" w:rsidP="00F65451">
            <w:pPr>
              <w:pStyle w:val="Tabletext"/>
              <w:jc w:val="center"/>
              <w:rPr>
                <w:lang w:val="en-US"/>
              </w:rPr>
            </w:pPr>
            <w:r w:rsidRPr="00CB6CBA">
              <w:rPr>
                <w:lang w:val="en-US"/>
              </w:rPr>
              <w:t>36</w:t>
            </w:r>
          </w:p>
        </w:tc>
        <w:tc>
          <w:tcPr>
            <w:tcW w:w="1191" w:type="dxa"/>
          </w:tcPr>
          <w:p w:rsidR="00CA3B52" w:rsidRPr="00CB6CBA" w:rsidRDefault="00CA3B52" w:rsidP="00F65451">
            <w:pPr>
              <w:pStyle w:val="Tabletext"/>
              <w:jc w:val="center"/>
              <w:rPr>
                <w:lang w:val="en-US"/>
              </w:rPr>
            </w:pPr>
            <w:r w:rsidRPr="00CB6CBA">
              <w:rPr>
                <w:lang w:val="en-US"/>
              </w:rPr>
              <w:t>44</w:t>
            </w:r>
          </w:p>
        </w:tc>
        <w:tc>
          <w:tcPr>
            <w:tcW w:w="1191" w:type="dxa"/>
          </w:tcPr>
          <w:p w:rsidR="00CA3B52" w:rsidRPr="00CB6CBA" w:rsidRDefault="00CA3B52" w:rsidP="00F65451">
            <w:pPr>
              <w:pStyle w:val="Tabletext"/>
              <w:jc w:val="center"/>
              <w:rPr>
                <w:lang w:val="en-US"/>
              </w:rPr>
            </w:pPr>
            <w:r w:rsidRPr="00CB6CBA">
              <w:rPr>
                <w:lang w:val="en-US"/>
              </w:rPr>
              <w:t>53</w:t>
            </w:r>
          </w:p>
        </w:tc>
        <w:tc>
          <w:tcPr>
            <w:tcW w:w="1191" w:type="dxa"/>
          </w:tcPr>
          <w:p w:rsidR="00CA3B52" w:rsidRPr="00CB6CBA" w:rsidRDefault="00CA3B52" w:rsidP="00F65451">
            <w:pPr>
              <w:pStyle w:val="Tabletext"/>
              <w:jc w:val="center"/>
              <w:rPr>
                <w:lang w:val="en-US"/>
              </w:rPr>
            </w:pPr>
            <w:r w:rsidRPr="00CB6CBA">
              <w:rPr>
                <w:lang w:val="en-US"/>
              </w:rPr>
              <w:t>64</w:t>
            </w:r>
          </w:p>
        </w:tc>
        <w:tc>
          <w:tcPr>
            <w:tcW w:w="1191" w:type="dxa"/>
          </w:tcPr>
          <w:p w:rsidR="00CA3B52" w:rsidRPr="00CB6CBA" w:rsidRDefault="00CA3B52" w:rsidP="00F65451">
            <w:pPr>
              <w:pStyle w:val="Tabletext"/>
              <w:jc w:val="center"/>
              <w:rPr>
                <w:lang w:val="en-US"/>
              </w:rPr>
            </w:pPr>
            <w:r w:rsidRPr="00CB6CBA">
              <w:rPr>
                <w:lang w:val="en-US"/>
              </w:rPr>
              <w:t>80</w:t>
            </w:r>
          </w:p>
        </w:tc>
      </w:tr>
      <w:tr w:rsidR="00CA3B52" w:rsidRPr="00CB6CBA" w:rsidTr="008F35B9">
        <w:trPr>
          <w:cantSplit/>
          <w:trHeight w:val="20"/>
          <w:jc w:val="center"/>
        </w:trPr>
        <w:tc>
          <w:tcPr>
            <w:tcW w:w="1247" w:type="dxa"/>
          </w:tcPr>
          <w:p w:rsidR="00CA3B52" w:rsidRPr="00CB6CBA" w:rsidRDefault="00CA3B52" w:rsidP="00F65451">
            <w:pPr>
              <w:pStyle w:val="Tabletext"/>
              <w:jc w:val="center"/>
              <w:rPr>
                <w:lang w:val="en-US"/>
              </w:rPr>
            </w:pPr>
            <w:r w:rsidRPr="00CB6CBA">
              <w:rPr>
                <w:lang w:val="en-US"/>
              </w:rPr>
              <w:t>50</w:t>
            </w:r>
          </w:p>
        </w:tc>
        <w:tc>
          <w:tcPr>
            <w:tcW w:w="1247" w:type="dxa"/>
          </w:tcPr>
          <w:p w:rsidR="00CA3B52" w:rsidRPr="00CB6CBA" w:rsidRDefault="00CA3B52" w:rsidP="00F65451">
            <w:pPr>
              <w:pStyle w:val="Tabletext"/>
              <w:jc w:val="center"/>
              <w:rPr>
                <w:lang w:val="en-US"/>
              </w:rPr>
            </w:pPr>
            <w:r w:rsidRPr="00CB6CBA">
              <w:rPr>
                <w:lang w:val="en-US"/>
              </w:rPr>
              <w:t>Land</w:t>
            </w:r>
          </w:p>
        </w:tc>
        <w:tc>
          <w:tcPr>
            <w:tcW w:w="1191" w:type="dxa"/>
          </w:tcPr>
          <w:p w:rsidR="00CA3B52" w:rsidRPr="00CB6CBA" w:rsidRDefault="00CA3B52" w:rsidP="00F65451">
            <w:pPr>
              <w:pStyle w:val="Tabletext"/>
              <w:jc w:val="center"/>
              <w:rPr>
                <w:lang w:val="en-US"/>
              </w:rPr>
            </w:pPr>
            <w:r w:rsidRPr="00CB6CBA">
              <w:rPr>
                <w:lang w:val="en-US"/>
              </w:rPr>
              <w:t>15</w:t>
            </w:r>
          </w:p>
        </w:tc>
        <w:tc>
          <w:tcPr>
            <w:tcW w:w="1191" w:type="dxa"/>
          </w:tcPr>
          <w:p w:rsidR="00CA3B52" w:rsidRPr="00CB6CBA" w:rsidRDefault="00CA3B52" w:rsidP="00F65451">
            <w:pPr>
              <w:pStyle w:val="Tabletext"/>
              <w:jc w:val="center"/>
              <w:rPr>
                <w:lang w:val="en-US"/>
              </w:rPr>
            </w:pPr>
            <w:r w:rsidRPr="00CB6CBA">
              <w:rPr>
                <w:lang w:val="en-US"/>
              </w:rPr>
              <w:t>19</w:t>
            </w:r>
          </w:p>
        </w:tc>
        <w:tc>
          <w:tcPr>
            <w:tcW w:w="1191" w:type="dxa"/>
          </w:tcPr>
          <w:p w:rsidR="00CA3B52" w:rsidRPr="00CB6CBA" w:rsidRDefault="00CA3B52" w:rsidP="00F65451">
            <w:pPr>
              <w:pStyle w:val="Tabletext"/>
              <w:jc w:val="center"/>
              <w:rPr>
                <w:lang w:val="en-US"/>
              </w:rPr>
            </w:pPr>
            <w:r w:rsidRPr="00CB6CBA">
              <w:rPr>
                <w:lang w:val="en-US"/>
              </w:rPr>
              <w:t>27</w:t>
            </w:r>
          </w:p>
        </w:tc>
        <w:tc>
          <w:tcPr>
            <w:tcW w:w="1191" w:type="dxa"/>
          </w:tcPr>
          <w:p w:rsidR="00CA3B52" w:rsidRPr="00CB6CBA" w:rsidRDefault="00CA3B52" w:rsidP="00F65451">
            <w:pPr>
              <w:pStyle w:val="Tabletext"/>
              <w:jc w:val="center"/>
              <w:rPr>
                <w:lang w:val="en-US"/>
              </w:rPr>
            </w:pPr>
            <w:r w:rsidRPr="00CB6CBA">
              <w:rPr>
                <w:lang w:val="en-US"/>
              </w:rPr>
              <w:t>35</w:t>
            </w:r>
          </w:p>
        </w:tc>
        <w:tc>
          <w:tcPr>
            <w:tcW w:w="1191" w:type="dxa"/>
          </w:tcPr>
          <w:p w:rsidR="00CA3B52" w:rsidRPr="00CB6CBA" w:rsidRDefault="00CA3B52" w:rsidP="00F65451">
            <w:pPr>
              <w:pStyle w:val="Tabletext"/>
              <w:jc w:val="center"/>
              <w:rPr>
                <w:lang w:val="en-US"/>
              </w:rPr>
            </w:pPr>
            <w:r w:rsidRPr="00CB6CBA">
              <w:rPr>
                <w:lang w:val="en-US"/>
              </w:rPr>
              <w:t>47</w:t>
            </w:r>
          </w:p>
        </w:tc>
        <w:tc>
          <w:tcPr>
            <w:tcW w:w="1191" w:type="dxa"/>
          </w:tcPr>
          <w:p w:rsidR="00CA3B52" w:rsidRPr="00CB6CBA" w:rsidRDefault="00CA3B52" w:rsidP="00F65451">
            <w:pPr>
              <w:pStyle w:val="Tabletext"/>
              <w:jc w:val="center"/>
              <w:rPr>
                <w:lang w:val="en-US"/>
              </w:rPr>
            </w:pPr>
            <w:r w:rsidRPr="00CB6CBA">
              <w:rPr>
                <w:lang w:val="en-US"/>
              </w:rPr>
              <w:t>61</w:t>
            </w:r>
          </w:p>
        </w:tc>
      </w:tr>
      <w:tr w:rsidR="00CA3B52" w:rsidRPr="00CB6CBA" w:rsidTr="008F35B9">
        <w:trPr>
          <w:cantSplit/>
          <w:trHeight w:val="20"/>
          <w:jc w:val="center"/>
        </w:trPr>
        <w:tc>
          <w:tcPr>
            <w:tcW w:w="1247" w:type="dxa"/>
          </w:tcPr>
          <w:p w:rsidR="00CA3B52" w:rsidRPr="00CB6CBA" w:rsidRDefault="00CA3B52" w:rsidP="002D1D5C">
            <w:pPr>
              <w:pStyle w:val="Tabletext"/>
              <w:jc w:val="center"/>
              <w:rPr>
                <w:lang w:val="en-US"/>
              </w:rPr>
            </w:pPr>
          </w:p>
        </w:tc>
        <w:tc>
          <w:tcPr>
            <w:tcW w:w="1247" w:type="dxa"/>
          </w:tcPr>
          <w:p w:rsidR="00CA3B52" w:rsidRPr="00CB6CBA" w:rsidRDefault="00CA3B52" w:rsidP="00F65451">
            <w:pPr>
              <w:pStyle w:val="Tabletext"/>
              <w:jc w:val="center"/>
              <w:rPr>
                <w:lang w:val="en-US"/>
              </w:rPr>
            </w:pPr>
            <w:r w:rsidRPr="00CB6CBA">
              <w:rPr>
                <w:lang w:val="en-US"/>
              </w:rPr>
              <w:t>Sea</w:t>
            </w:r>
          </w:p>
        </w:tc>
        <w:tc>
          <w:tcPr>
            <w:tcW w:w="1191" w:type="dxa"/>
          </w:tcPr>
          <w:p w:rsidR="00CA3B52" w:rsidRPr="00CB6CBA" w:rsidRDefault="00CA3B52" w:rsidP="00F65451">
            <w:pPr>
              <w:pStyle w:val="Tabletext"/>
              <w:jc w:val="center"/>
              <w:rPr>
                <w:lang w:val="en-US"/>
              </w:rPr>
            </w:pPr>
            <w:r w:rsidRPr="00CB6CBA">
              <w:rPr>
                <w:lang w:val="en-US"/>
              </w:rPr>
              <w:t>32</w:t>
            </w:r>
          </w:p>
        </w:tc>
        <w:tc>
          <w:tcPr>
            <w:tcW w:w="1191" w:type="dxa"/>
          </w:tcPr>
          <w:p w:rsidR="00CA3B52" w:rsidRPr="00CB6CBA" w:rsidRDefault="00CA3B52" w:rsidP="00F65451">
            <w:pPr>
              <w:pStyle w:val="Tabletext"/>
              <w:jc w:val="center"/>
              <w:rPr>
                <w:lang w:val="en-US"/>
              </w:rPr>
            </w:pPr>
            <w:r w:rsidRPr="00CB6CBA">
              <w:rPr>
                <w:lang w:val="en-US"/>
              </w:rPr>
              <w:t>37</w:t>
            </w:r>
          </w:p>
        </w:tc>
        <w:tc>
          <w:tcPr>
            <w:tcW w:w="1191" w:type="dxa"/>
          </w:tcPr>
          <w:p w:rsidR="00CA3B52" w:rsidRPr="00CB6CBA" w:rsidRDefault="00CA3B52" w:rsidP="00F65451">
            <w:pPr>
              <w:pStyle w:val="Tabletext"/>
              <w:jc w:val="center"/>
              <w:rPr>
                <w:lang w:val="en-US"/>
              </w:rPr>
            </w:pPr>
            <w:r w:rsidRPr="00CB6CBA">
              <w:rPr>
                <w:lang w:val="en-US"/>
              </w:rPr>
              <w:t>45</w:t>
            </w:r>
          </w:p>
        </w:tc>
        <w:tc>
          <w:tcPr>
            <w:tcW w:w="1191" w:type="dxa"/>
          </w:tcPr>
          <w:p w:rsidR="00CA3B52" w:rsidRPr="00CB6CBA" w:rsidRDefault="00CA3B52" w:rsidP="00F65451">
            <w:pPr>
              <w:pStyle w:val="Tabletext"/>
              <w:jc w:val="center"/>
              <w:rPr>
                <w:lang w:val="en-US"/>
              </w:rPr>
            </w:pPr>
            <w:r w:rsidRPr="00CB6CBA">
              <w:rPr>
                <w:lang w:val="en-US"/>
              </w:rPr>
              <w:t>55</w:t>
            </w:r>
          </w:p>
        </w:tc>
        <w:tc>
          <w:tcPr>
            <w:tcW w:w="1191" w:type="dxa"/>
          </w:tcPr>
          <w:p w:rsidR="00CA3B52" w:rsidRPr="00CB6CBA" w:rsidRDefault="00CA3B52" w:rsidP="00F65451">
            <w:pPr>
              <w:pStyle w:val="Tabletext"/>
              <w:jc w:val="center"/>
              <w:rPr>
                <w:lang w:val="en-US"/>
              </w:rPr>
            </w:pPr>
            <w:r w:rsidRPr="00CB6CBA">
              <w:rPr>
                <w:lang w:val="en-US"/>
              </w:rPr>
              <w:t>66</w:t>
            </w:r>
          </w:p>
        </w:tc>
        <w:tc>
          <w:tcPr>
            <w:tcW w:w="1191" w:type="dxa"/>
          </w:tcPr>
          <w:p w:rsidR="00CA3B52" w:rsidRPr="00CB6CBA" w:rsidRDefault="00CA3B52" w:rsidP="00F65451">
            <w:pPr>
              <w:pStyle w:val="Tabletext"/>
              <w:jc w:val="center"/>
              <w:rPr>
                <w:lang w:val="en-US"/>
              </w:rPr>
            </w:pPr>
            <w:r w:rsidRPr="00CB6CBA">
              <w:rPr>
                <w:lang w:val="en-US"/>
              </w:rPr>
              <w:t>82</w:t>
            </w:r>
          </w:p>
        </w:tc>
      </w:tr>
    </w:tbl>
    <w:p w:rsidR="00CA3B52" w:rsidRPr="00CB6CBA" w:rsidRDefault="00CA3B52" w:rsidP="00CA3B52">
      <w:pPr>
        <w:pStyle w:val="Tablefin"/>
        <w:rPr>
          <w:lang w:val="en-US"/>
        </w:rPr>
      </w:pPr>
    </w:p>
    <w:p w:rsidR="00CA3B52" w:rsidRDefault="00CA3B52" w:rsidP="00CA3B52">
      <w:pPr>
        <w:rPr>
          <w:lang w:val="en-US"/>
        </w:rPr>
      </w:pPr>
      <w:r w:rsidRPr="00CB6CBA">
        <w:rPr>
          <w:lang w:val="en-US"/>
        </w:rPr>
        <w:t xml:space="preserve">It is necessary to note that a land half-circle area of a coast station is only occupied but not service one because there are no ship stations there. Therefore its subdivision to different zones belonging to different license fees categories (like it is presented in </w:t>
      </w:r>
      <w:bookmarkStart w:id="1433" w:name="OLE_LINK1"/>
      <w:bookmarkStart w:id="1434" w:name="OLE_LINK2"/>
      <w:r>
        <w:rPr>
          <w:lang w:val="en-US"/>
        </w:rPr>
        <w:t>§ </w:t>
      </w:r>
      <w:r w:rsidRPr="00CB6CBA">
        <w:rPr>
          <w:lang w:val="en-US"/>
        </w:rPr>
        <w:t>4.</w:t>
      </w:r>
      <w:r>
        <w:rPr>
          <w:lang w:val="en-US"/>
        </w:rPr>
        <w:t>7</w:t>
      </w:r>
      <w:r w:rsidRPr="00CB6CBA">
        <w:rPr>
          <w:lang w:val="en-US"/>
        </w:rPr>
        <w:t>.1</w:t>
      </w:r>
      <w:bookmarkEnd w:id="1433"/>
      <w:bookmarkEnd w:id="1434"/>
      <w:r w:rsidRPr="00CB6CBA">
        <w:rPr>
          <w:lang w:val="en-US"/>
        </w:rPr>
        <w:t xml:space="preserve">(c)) can be eliminated and the only one category, corresponding to the largest occupied area, can be used. Moreover, an administration may decide not to include this land half-circle area to territorial resource used. In this case radius </w:t>
      </w:r>
      <w:r w:rsidRPr="00CB6CBA">
        <w:rPr>
          <w:i/>
          <w:iCs/>
          <w:lang w:val="en-US"/>
        </w:rPr>
        <w:t>R</w:t>
      </w:r>
      <w:r w:rsidRPr="00CB6CBA">
        <w:rPr>
          <w:i/>
          <w:iCs/>
          <w:vertAlign w:val="subscript"/>
          <w:lang w:val="en-US"/>
        </w:rPr>
        <w:t xml:space="preserve">l </w:t>
      </w:r>
      <w:r w:rsidRPr="00CB6CBA">
        <w:rPr>
          <w:lang w:val="en-US"/>
        </w:rPr>
        <w:t xml:space="preserve"> in equation (</w:t>
      </w:r>
      <w:r>
        <w:rPr>
          <w:lang w:val="en-US"/>
        </w:rPr>
        <w:t>47</w:t>
      </w:r>
      <w:r w:rsidRPr="00CB6CBA">
        <w:rPr>
          <w:lang w:val="en-US"/>
        </w:rPr>
        <w:t>) should be equal zero.</w:t>
      </w:r>
    </w:p>
    <w:p w:rsidR="00CA3B52" w:rsidRPr="00CB6CBA" w:rsidRDefault="00CA3B52" w:rsidP="00CA3B52">
      <w:pPr>
        <w:rPr>
          <w:lang w:val="en-US"/>
        </w:rPr>
      </w:pPr>
      <w:r w:rsidRPr="00CB6CBA">
        <w:rPr>
          <w:lang w:val="en-US"/>
        </w:rPr>
        <w:t>For coast stations situated along rivers or and rather narrow lakes the whole circular service/ occupied are is calculated by land propagation paths radius, i.e.:</w:t>
      </w:r>
    </w:p>
    <w:p w:rsidR="00CA3B52" w:rsidRDefault="00CA3B52" w:rsidP="00CA3B52">
      <w:pPr>
        <w:pStyle w:val="Equation"/>
        <w:rPr>
          <w:lang w:val="en-US"/>
        </w:rPr>
      </w:pPr>
      <w:r w:rsidRPr="00CB6CBA">
        <w:rPr>
          <w:lang w:val="en-US"/>
        </w:rPr>
        <w:tab/>
      </w:r>
      <w:r w:rsidRPr="00CB6CBA">
        <w:rPr>
          <w:lang w:val="en-US"/>
        </w:rPr>
        <w:tab/>
      </w:r>
      <w:r w:rsidRPr="00CB6CBA">
        <w:rPr>
          <w:position w:val="-12"/>
          <w:lang w:val="en-US"/>
        </w:rPr>
        <w:object w:dxaOrig="2439" w:dyaOrig="420">
          <v:shape id="_x0000_i1067" type="#_x0000_t75" style="width:119.7pt;height:21.5pt" o:ole="">
            <v:imagedata r:id="rId104" o:title=""/>
          </v:shape>
          <o:OLEObject Type="Embed" ProgID="Equation.3" ShapeID="_x0000_i1067" DrawAspect="Content" ObjectID="_1511604856" r:id="rId105"/>
        </w:object>
      </w:r>
      <w:r w:rsidRPr="00CB6CBA">
        <w:rPr>
          <w:lang w:val="en-US"/>
        </w:rPr>
        <w:tab/>
        <w:t>(</w:t>
      </w:r>
      <w:r>
        <w:rPr>
          <w:lang w:val="en-US"/>
        </w:rPr>
        <w:t>48</w:t>
      </w:r>
      <w:r w:rsidRPr="00CB6CBA">
        <w:rPr>
          <w:lang w:val="en-US"/>
        </w:rPr>
        <w:t>)</w:t>
      </w:r>
    </w:p>
    <w:p w:rsidR="00CA3B52" w:rsidRPr="00CB6CBA" w:rsidRDefault="00CA3B52" w:rsidP="00CA3B52">
      <w:pPr>
        <w:pStyle w:val="Headingb"/>
        <w:rPr>
          <w:lang w:val="en-US"/>
        </w:rPr>
      </w:pPr>
      <w:r w:rsidRPr="00CB6CBA">
        <w:rPr>
          <w:lang w:val="en-US"/>
        </w:rPr>
        <w:t>b)</w:t>
      </w:r>
      <w:r w:rsidRPr="00CB6CBA">
        <w:rPr>
          <w:lang w:val="en-US"/>
        </w:rPr>
        <w:tab/>
        <w:t>Calculation procedures</w:t>
      </w:r>
    </w:p>
    <w:p w:rsidR="00CA3B52" w:rsidRDefault="00CA3B52" w:rsidP="00CA3B52">
      <w:pPr>
        <w:rPr>
          <w:lang w:val="en-US"/>
        </w:rPr>
      </w:pPr>
      <w:r w:rsidRPr="00CB6CBA">
        <w:rPr>
          <w:lang w:val="en-US"/>
        </w:rPr>
        <w:t>Using known transmitter power and its antenna height above the sea level, relevant service area radius by see can be determined directly from Table 12. The usual procedure of linear interpolation can be used for intermediate power and height values. Based on this radius service area for a ship station or see half-circle service area for a coast station can be calculated by equation</w:t>
      </w:r>
      <w:r>
        <w:rPr>
          <w:lang w:val="en-US"/>
        </w:rPr>
        <w:t>s</w:t>
      </w:r>
      <w:r w:rsidRPr="00CB6CBA">
        <w:rPr>
          <w:lang w:val="en-US"/>
        </w:rPr>
        <w:t xml:space="preserve"> (</w:t>
      </w:r>
      <w:r>
        <w:rPr>
          <w:lang w:val="en-US"/>
        </w:rPr>
        <w:t>46</w:t>
      </w:r>
      <w:r w:rsidRPr="00CB6CBA">
        <w:rPr>
          <w:lang w:val="en-US"/>
        </w:rPr>
        <w:t>) or (</w:t>
      </w:r>
      <w:r>
        <w:rPr>
          <w:lang w:val="en-US"/>
        </w:rPr>
        <w:t>47</w:t>
      </w:r>
      <w:r w:rsidRPr="00CB6CBA">
        <w:rPr>
          <w:lang w:val="en-US"/>
        </w:rPr>
        <w:t>). For determination of a land half-circle radius for the coast station, antenna effective height against the terrain should be firstly calculated in accordance with methodology, presented in (b). For this particular application, the procedure can be simplified by calculation of effective terrain height only in one direction to be perpendicular to a generalized shoreline (see example below). After determination by Table 12 of relevant land half-circle radius, overall service/occupied area then can be calculated by equation (</w:t>
      </w:r>
      <w:r>
        <w:rPr>
          <w:lang w:val="en-US"/>
        </w:rPr>
        <w:t>47</w:t>
      </w:r>
      <w:r w:rsidRPr="00CB6CBA">
        <w:rPr>
          <w:lang w:val="en-US"/>
        </w:rPr>
        <w:t>).</w:t>
      </w:r>
    </w:p>
    <w:p w:rsidR="00CA3B52" w:rsidRDefault="00CA3B52" w:rsidP="00CA3B52">
      <w:pPr>
        <w:pStyle w:val="Heading4"/>
        <w:rPr>
          <w:lang w:val="en-US"/>
        </w:rPr>
      </w:pPr>
      <w:r w:rsidRPr="00CB6CBA">
        <w:rPr>
          <w:lang w:val="en-US"/>
        </w:rPr>
        <w:t>4.</w:t>
      </w:r>
      <w:r>
        <w:rPr>
          <w:lang w:val="en-US"/>
        </w:rPr>
        <w:t>7</w:t>
      </w:r>
      <w:r w:rsidRPr="00CB6CBA">
        <w:rPr>
          <w:lang w:val="en-US"/>
        </w:rPr>
        <w:t>.5.1</w:t>
      </w:r>
      <w:r w:rsidRPr="00CB6CBA">
        <w:rPr>
          <w:lang w:val="en-US"/>
        </w:rPr>
        <w:tab/>
        <w:t>Example of calculations</w:t>
      </w:r>
    </w:p>
    <w:p w:rsidR="00CA3B52" w:rsidRPr="00CB6CBA" w:rsidRDefault="00CA3B52" w:rsidP="00CA3B52">
      <w:pPr>
        <w:pStyle w:val="Headingb"/>
        <w:rPr>
          <w:lang w:val="en-US"/>
        </w:rPr>
      </w:pPr>
      <w:r w:rsidRPr="00CB6CBA">
        <w:rPr>
          <w:lang w:val="en-US"/>
        </w:rPr>
        <w:t>a)</w:t>
      </w:r>
      <w:r w:rsidRPr="00CB6CBA">
        <w:rPr>
          <w:lang w:val="en-US"/>
        </w:rPr>
        <w:tab/>
        <w:t>Incoming parameters</w:t>
      </w:r>
    </w:p>
    <w:p w:rsidR="00CA3B52" w:rsidRDefault="00CA3B52" w:rsidP="00CA3B52">
      <w:pPr>
        <w:rPr>
          <w:lang w:val="en-US"/>
        </w:rPr>
      </w:pPr>
      <w:r w:rsidRPr="00CB6CBA">
        <w:rPr>
          <w:lang w:val="en-US"/>
        </w:rPr>
        <w:t xml:space="preserve">Let us calculate a spectral resource used by a VHF coast station situated in rural but highly developed area (let coefficient </w:t>
      </w:r>
      <w:r w:rsidRPr="00CB6CBA">
        <w:rPr>
          <w:i/>
          <w:iCs/>
          <w:lang w:val="en-US"/>
        </w:rPr>
        <w:t>b</w:t>
      </w:r>
      <w:r w:rsidRPr="00CB6CBA">
        <w:rPr>
          <w:i/>
          <w:iCs/>
          <w:vertAlign w:val="subscript"/>
          <w:lang w:val="en-US"/>
        </w:rPr>
        <w:t xml:space="preserve">j </w:t>
      </w:r>
      <w:r w:rsidRPr="00CB6CBA">
        <w:rPr>
          <w:lang w:val="en-US"/>
        </w:rPr>
        <w:t xml:space="preserve">= 1 in Table 1) near the shoreline generally stretched in East to West direction, see is southward. Let us assume that transmitting antenna, having mast height 30 m, </w:t>
      </w:r>
      <w:r w:rsidRPr="00CB6CBA">
        <w:rPr>
          <w:lang w:val="en-US"/>
        </w:rPr>
        <w:lastRenderedPageBreak/>
        <w:t xml:space="preserve">situated at the top of a hill with ground height 270 m above the sea level. Terrain situation around the transmitter corresponds to example presented in (b), i.e. effective height of the ground between distances of 3 and 15 km in the northern direction from the transmitter, calculated from column “North” of Table 10, equals to 265 m. In accordance with </w:t>
      </w:r>
      <w:r>
        <w:rPr>
          <w:lang w:val="en-US"/>
        </w:rPr>
        <w:t>§ </w:t>
      </w:r>
      <w:r w:rsidRPr="00CB6CBA">
        <w:rPr>
          <w:lang w:val="en-US"/>
        </w:rPr>
        <w:t>4.</w:t>
      </w:r>
      <w:r>
        <w:rPr>
          <w:lang w:val="en-US"/>
        </w:rPr>
        <w:t>7</w:t>
      </w:r>
      <w:r w:rsidRPr="00CB6CBA">
        <w:rPr>
          <w:lang w:val="en-US"/>
        </w:rPr>
        <w:t xml:space="preserve">.1(b) for this application it represents average level of the ground, </w:t>
      </w:r>
      <w:r w:rsidRPr="00CB6CBA">
        <w:rPr>
          <w:i/>
          <w:lang w:val="en-US"/>
        </w:rPr>
        <w:t>h</w:t>
      </w:r>
      <w:r w:rsidRPr="00CB6CBA">
        <w:rPr>
          <w:i/>
          <w:vertAlign w:val="subscript"/>
          <w:lang w:val="en-US"/>
        </w:rPr>
        <w:t>av</w:t>
      </w:r>
      <w:r w:rsidRPr="00CB6CBA">
        <w:rPr>
          <w:lang w:val="en-US"/>
        </w:rPr>
        <w:t>, in equation (</w:t>
      </w:r>
      <w:r>
        <w:rPr>
          <w:lang w:val="en-US"/>
        </w:rPr>
        <w:t>30</w:t>
      </w:r>
      <w:r w:rsidRPr="00CB6CBA">
        <w:rPr>
          <w:lang w:val="en-US"/>
        </w:rPr>
        <w:t>).</w:t>
      </w:r>
    </w:p>
    <w:p w:rsidR="00CA3B52" w:rsidRPr="00CB6CBA" w:rsidRDefault="00CA3B52" w:rsidP="00CA3B52">
      <w:pPr>
        <w:rPr>
          <w:b/>
          <w:bCs/>
          <w:lang w:val="en-US"/>
        </w:rPr>
      </w:pPr>
      <w:r w:rsidRPr="00CB6CBA">
        <w:rPr>
          <w:lang w:val="en-US"/>
        </w:rPr>
        <w:t xml:space="preserve">Let us further assume that the transmitter power is 50 W and it works around the clock. Modulation conditions correspond to Recommendation ITU-R M. 489-2: class of emission F3E, deviation </w:t>
      </w:r>
      <w:r w:rsidRPr="0064519E">
        <w:sym w:font="Symbol" w:char="F0B1"/>
      </w:r>
      <w:r w:rsidRPr="00CB6CBA">
        <w:rPr>
          <w:lang w:val="en-US"/>
        </w:rPr>
        <w:t>5 kHz, necessary bandwidth 16 kHz. That also corresponds to Recommendation ITU</w:t>
      </w:r>
      <w:r>
        <w:rPr>
          <w:lang w:val="en-US"/>
        </w:rPr>
        <w:noBreakHyphen/>
      </w:r>
      <w:r w:rsidRPr="00CB6CBA">
        <w:rPr>
          <w:lang w:val="en-US"/>
        </w:rPr>
        <w:t>R</w:t>
      </w:r>
      <w:r>
        <w:rPr>
          <w:lang w:val="en-US"/>
        </w:rPr>
        <w:t> </w:t>
      </w:r>
      <w:r w:rsidRPr="00CB6CBA">
        <w:rPr>
          <w:lang w:val="en-US"/>
        </w:rPr>
        <w:t>SM.1138</w:t>
      </w:r>
      <w:r>
        <w:rPr>
          <w:lang w:val="en-US"/>
        </w:rPr>
        <w:noBreakHyphen/>
      </w:r>
      <w:r w:rsidRPr="00CB6CBA">
        <w:rPr>
          <w:lang w:val="en-US"/>
        </w:rPr>
        <w:t xml:space="preserve">2 under Section III-A “Frequency modulation”, </w:t>
      </w:r>
      <w:r>
        <w:rPr>
          <w:lang w:val="en-US"/>
        </w:rPr>
        <w:t>I</w:t>
      </w:r>
      <w:r w:rsidRPr="00CB6CBA">
        <w:rPr>
          <w:lang w:val="en-US"/>
        </w:rPr>
        <w:t>tem 2 “Telephony (commercial quality)” (class of emission F3E).</w:t>
      </w:r>
    </w:p>
    <w:p w:rsidR="00CA3B52" w:rsidRPr="00CB6CBA" w:rsidRDefault="00CA3B52" w:rsidP="00CA3B52">
      <w:pPr>
        <w:pStyle w:val="Headingb"/>
        <w:rPr>
          <w:rFonts w:eastAsia="SimSun"/>
          <w:lang w:val="en-US" w:eastAsia="zh-CN"/>
        </w:rPr>
      </w:pPr>
      <w:r w:rsidRPr="00CB6CBA">
        <w:rPr>
          <w:rFonts w:eastAsia="SimSun"/>
          <w:lang w:val="en-US" w:eastAsia="zh-CN"/>
        </w:rPr>
        <w:t>b)</w:t>
      </w:r>
      <w:r w:rsidRPr="00CB6CBA">
        <w:rPr>
          <w:rFonts w:eastAsia="SimSun"/>
          <w:lang w:val="en-US" w:eastAsia="zh-CN"/>
        </w:rPr>
        <w:tab/>
        <w:t>Time and frequency resources used</w:t>
      </w:r>
    </w:p>
    <w:p w:rsidR="00CA3B52" w:rsidRDefault="00CA3B52" w:rsidP="00CA3B52">
      <w:pPr>
        <w:rPr>
          <w:lang w:val="en-US"/>
        </w:rPr>
      </w:pPr>
      <w:r w:rsidRPr="00CB6CBA">
        <w:rPr>
          <w:lang w:val="en-US"/>
        </w:rPr>
        <w:t>In accordance with equation (</w:t>
      </w:r>
      <w:r>
        <w:rPr>
          <w:lang w:val="en-US"/>
        </w:rPr>
        <w:t>21</w:t>
      </w:r>
      <w:r w:rsidRPr="00CB6CBA">
        <w:rPr>
          <w:lang w:val="en-US"/>
        </w:rPr>
        <w:t>), used time resource is:</w:t>
      </w:r>
    </w:p>
    <w:p w:rsidR="00CA3B52" w:rsidRDefault="00CA3B52" w:rsidP="00CA3B52">
      <w:pPr>
        <w:pStyle w:val="Blanc"/>
      </w:pPr>
    </w:p>
    <w:p w:rsidR="00CA3B52" w:rsidRPr="00CB6CBA" w:rsidRDefault="00CA3B52" w:rsidP="00CA3B52">
      <w:pPr>
        <w:pStyle w:val="Equation"/>
        <w:rPr>
          <w:lang w:val="en-US"/>
        </w:rPr>
      </w:pPr>
      <w:r w:rsidRPr="00CB6CBA">
        <w:rPr>
          <w:lang w:val="en-US"/>
        </w:rPr>
        <w:tab/>
      </w:r>
      <w:r w:rsidRPr="00CB6CBA">
        <w:rPr>
          <w:lang w:val="en-US"/>
        </w:rPr>
        <w:tab/>
      </w:r>
      <w:r w:rsidRPr="00CB6CBA">
        <w:rPr>
          <w:i/>
          <w:lang w:val="en-US"/>
        </w:rPr>
        <w:t>T</w:t>
      </w:r>
      <w:r w:rsidRPr="00CB6CBA">
        <w:rPr>
          <w:lang w:val="en-US"/>
        </w:rPr>
        <w:t xml:space="preserve"> </w:t>
      </w:r>
      <w:r>
        <w:rPr>
          <w:lang w:val="en-US"/>
        </w:rPr>
        <w:t>=</w:t>
      </w:r>
      <w:r w:rsidRPr="00CB6CBA">
        <w:rPr>
          <w:lang w:val="en-US"/>
        </w:rPr>
        <w:t xml:space="preserve"> 24/24 (each day) </w:t>
      </w:r>
      <w:r>
        <w:rPr>
          <w:lang w:val="en-US"/>
        </w:rPr>
        <w:t>=</w:t>
      </w:r>
      <w:r w:rsidRPr="00CB6CBA">
        <w:rPr>
          <w:lang w:val="en-US"/>
        </w:rPr>
        <w:t xml:space="preserve"> 1 year</w:t>
      </w:r>
    </w:p>
    <w:p w:rsidR="00CA3B52" w:rsidRDefault="00CA3B52" w:rsidP="00CA3B52">
      <w:pPr>
        <w:pStyle w:val="Blanc"/>
      </w:pPr>
    </w:p>
    <w:p w:rsidR="00CA3B52" w:rsidRDefault="00CA3B52" w:rsidP="00CA3B52">
      <w:pPr>
        <w:rPr>
          <w:lang w:val="en-US"/>
        </w:rPr>
      </w:pPr>
      <w:r w:rsidRPr="00CB6CBA">
        <w:rPr>
          <w:lang w:val="en-US"/>
        </w:rPr>
        <w:t>Used frequency resource, accepting in equation (</w:t>
      </w:r>
      <w:r>
        <w:rPr>
          <w:lang w:val="en-US"/>
        </w:rPr>
        <w:t>24</w:t>
      </w:r>
      <w:r w:rsidRPr="00CB6CBA">
        <w:rPr>
          <w:lang w:val="en-US"/>
        </w:rPr>
        <w:t>)</w:t>
      </w:r>
      <w:r>
        <w:rPr>
          <w:lang w:val="en-US"/>
        </w:rPr>
        <w:t> </w:t>
      </w:r>
      <w:r>
        <w:rPr>
          <w:lang w:val="en-US"/>
        </w:rPr>
        <w:sym w:font="Symbol" w:char="F063"/>
      </w:r>
      <w:r>
        <w:rPr>
          <w:lang w:val="en-US"/>
        </w:rPr>
        <w:t xml:space="preserve"> = 1</w:t>
      </w:r>
      <w:r w:rsidRPr="00CB6CBA">
        <w:rPr>
          <w:lang w:val="en-US"/>
        </w:rPr>
        <w:t>, can be found as:</w:t>
      </w:r>
    </w:p>
    <w:p w:rsidR="00CA3B52" w:rsidRDefault="00CA3B52" w:rsidP="00CA3B52">
      <w:pPr>
        <w:pStyle w:val="Blanc"/>
      </w:pPr>
    </w:p>
    <w:p w:rsidR="00CA3B52" w:rsidRPr="00CB6CBA" w:rsidRDefault="00CA3B52" w:rsidP="00CA3B52">
      <w:pPr>
        <w:pStyle w:val="Equation"/>
        <w:rPr>
          <w:lang w:val="en-US"/>
        </w:rPr>
      </w:pPr>
      <w:r w:rsidRPr="00CB6CBA">
        <w:rPr>
          <w:lang w:val="en-US"/>
        </w:rPr>
        <w:tab/>
      </w:r>
      <w:r w:rsidRPr="00CB6CBA">
        <w:rPr>
          <w:lang w:val="en-US"/>
        </w:rPr>
        <w:tab/>
      </w:r>
      <w:r w:rsidRPr="00CB6CBA">
        <w:rPr>
          <w:i/>
          <w:lang w:val="en-US"/>
        </w:rPr>
        <w:t>F</w:t>
      </w:r>
      <w:r w:rsidRPr="00CB6CBA">
        <w:rPr>
          <w:lang w:val="en-US"/>
        </w:rPr>
        <w:t xml:space="preserve"> =  0.016 MHz</w:t>
      </w:r>
    </w:p>
    <w:p w:rsidR="00CA3B52" w:rsidRDefault="00CA3B52" w:rsidP="00CA3B52">
      <w:pPr>
        <w:pStyle w:val="Blanc"/>
      </w:pPr>
    </w:p>
    <w:p w:rsidR="00CA3B52" w:rsidRPr="00CB6CBA" w:rsidRDefault="00CA3B52" w:rsidP="00CA3B52">
      <w:pPr>
        <w:pStyle w:val="Headingb"/>
        <w:rPr>
          <w:rFonts w:eastAsia="SimSun"/>
          <w:lang w:val="en-US"/>
        </w:rPr>
      </w:pPr>
      <w:r w:rsidRPr="00CB6CBA">
        <w:rPr>
          <w:rFonts w:eastAsia="SimSun"/>
          <w:lang w:val="en-US"/>
        </w:rPr>
        <w:t>c)</w:t>
      </w:r>
      <w:r w:rsidRPr="00CB6CBA">
        <w:rPr>
          <w:rFonts w:eastAsia="SimSun"/>
          <w:lang w:val="en-US"/>
        </w:rPr>
        <w:tab/>
        <w:t>Territorial resource used</w:t>
      </w:r>
    </w:p>
    <w:p w:rsidR="00CA3B52" w:rsidRPr="00CB6CBA" w:rsidRDefault="00CA3B52" w:rsidP="00CA3B52">
      <w:pPr>
        <w:rPr>
          <w:lang w:val="en-US"/>
        </w:rPr>
      </w:pPr>
      <w:r w:rsidRPr="00CB6CBA">
        <w:rPr>
          <w:szCs w:val="24"/>
          <w:lang w:val="en-US"/>
        </w:rPr>
        <w:t>Following approach and data presented for</w:t>
      </w:r>
      <w:r w:rsidRPr="00CB6CBA">
        <w:rPr>
          <w:lang w:val="en-US"/>
        </w:rPr>
        <w:t xml:space="preserve"> effective antenna height for sea propagation paths equals to sum of antenna mast and site ground heights, i.e. (see also b)</w:t>
      </w:r>
      <w:r>
        <w:rPr>
          <w:lang w:val="en-US"/>
        </w:rPr>
        <w:t>)</w:t>
      </w:r>
      <w:r w:rsidRPr="00CB6CBA">
        <w:rPr>
          <w:lang w:val="en-US"/>
        </w:rPr>
        <w:t>:</w:t>
      </w:r>
    </w:p>
    <w:p w:rsidR="00CA3B52" w:rsidRDefault="00CA3B52" w:rsidP="00CA3B52">
      <w:pPr>
        <w:pStyle w:val="Blanc"/>
      </w:pPr>
    </w:p>
    <w:p w:rsidR="00CA3B52" w:rsidRPr="00CB6CBA" w:rsidRDefault="00CA3B52" w:rsidP="00CA3B52">
      <w:pPr>
        <w:pStyle w:val="Equation"/>
        <w:rPr>
          <w:lang w:val="en-US"/>
        </w:rPr>
      </w:pPr>
      <w:r w:rsidRPr="00CB6CBA">
        <w:rPr>
          <w:lang w:val="en-US"/>
        </w:rPr>
        <w:tab/>
      </w:r>
      <w:r w:rsidRPr="00CB6CBA">
        <w:rPr>
          <w:lang w:val="en-US"/>
        </w:rPr>
        <w:tab/>
      </w:r>
      <w:r w:rsidRPr="00CB6CBA">
        <w:rPr>
          <w:i/>
          <w:lang w:val="en-US"/>
        </w:rPr>
        <w:t>h</w:t>
      </w:r>
      <w:r w:rsidRPr="00CB6CBA">
        <w:rPr>
          <w:i/>
          <w:vertAlign w:val="subscript"/>
          <w:lang w:val="en-US"/>
        </w:rPr>
        <w:t>ef</w:t>
      </w:r>
      <w:r w:rsidRPr="00CB6CBA">
        <w:rPr>
          <w:lang w:val="en-US"/>
        </w:rPr>
        <w:t xml:space="preserve"> </w:t>
      </w:r>
      <w:r>
        <w:rPr>
          <w:lang w:val="en-US"/>
        </w:rPr>
        <w:t>=</w:t>
      </w:r>
      <w:r w:rsidRPr="00CB6CBA">
        <w:rPr>
          <w:lang w:val="en-US"/>
        </w:rPr>
        <w:t xml:space="preserve"> </w:t>
      </w:r>
      <w:r w:rsidRPr="00CB6CBA">
        <w:rPr>
          <w:i/>
          <w:lang w:val="en-US"/>
        </w:rPr>
        <w:t>h</w:t>
      </w:r>
      <w:r w:rsidRPr="00CB6CBA">
        <w:rPr>
          <w:i/>
          <w:vertAlign w:val="subscript"/>
          <w:lang w:val="en-US"/>
        </w:rPr>
        <w:t>s</w:t>
      </w:r>
      <w:r w:rsidRPr="00CB6CBA">
        <w:rPr>
          <w:lang w:val="en-US"/>
        </w:rPr>
        <w:t xml:space="preserve"> </w:t>
      </w:r>
      <w:r>
        <w:rPr>
          <w:lang w:val="en-US"/>
        </w:rPr>
        <w:t>=</w:t>
      </w:r>
      <w:r w:rsidRPr="00CB6CBA">
        <w:rPr>
          <w:lang w:val="en-US"/>
        </w:rPr>
        <w:t xml:space="preserve"> 30 </w:t>
      </w:r>
      <w:r>
        <w:rPr>
          <w:lang w:val="en-US"/>
        </w:rPr>
        <w:t>+</w:t>
      </w:r>
      <w:r w:rsidRPr="00CB6CBA">
        <w:rPr>
          <w:lang w:val="en-US"/>
        </w:rPr>
        <w:t xml:space="preserve"> 230 </w:t>
      </w:r>
      <w:r>
        <w:rPr>
          <w:lang w:val="en-US"/>
        </w:rPr>
        <w:t>=</w:t>
      </w:r>
      <w:r w:rsidRPr="00CB6CBA">
        <w:rPr>
          <w:lang w:val="en-US"/>
        </w:rPr>
        <w:t xml:space="preserve"> 300 m</w:t>
      </w:r>
    </w:p>
    <w:p w:rsidR="00CA3B52" w:rsidRDefault="00CA3B52" w:rsidP="00CA3B52">
      <w:pPr>
        <w:pStyle w:val="Blanc"/>
      </w:pPr>
    </w:p>
    <w:p w:rsidR="00CA3B52" w:rsidRPr="00CB6CBA" w:rsidRDefault="00CA3B52" w:rsidP="00CA3B52">
      <w:pPr>
        <w:rPr>
          <w:lang w:val="en-US"/>
        </w:rPr>
      </w:pPr>
      <w:r w:rsidRPr="00CB6CBA">
        <w:rPr>
          <w:lang w:val="en-US"/>
        </w:rPr>
        <w:t>From Table 12 for transmitter with power 50 W and antenna height 300 m, sea propagation paths, it</w:t>
      </w:r>
      <w:r>
        <w:rPr>
          <w:lang w:val="en-US"/>
        </w:rPr>
        <w:t> </w:t>
      </w:r>
      <w:r w:rsidRPr="00CB6CBA">
        <w:rPr>
          <w:lang w:val="en-US"/>
        </w:rPr>
        <w:t xml:space="preserve">follows: </w:t>
      </w:r>
      <w:r w:rsidRPr="00CB6CBA">
        <w:rPr>
          <w:i/>
          <w:lang w:val="en-US"/>
        </w:rPr>
        <w:t>R</w:t>
      </w:r>
      <w:r w:rsidRPr="00CB6CBA">
        <w:rPr>
          <w:i/>
          <w:vertAlign w:val="subscript"/>
          <w:lang w:val="en-US"/>
        </w:rPr>
        <w:t>s</w:t>
      </w:r>
      <w:r w:rsidRPr="00CB6CBA">
        <w:rPr>
          <w:lang w:val="en-US"/>
        </w:rPr>
        <w:t xml:space="preserve"> = 82 km.</w:t>
      </w:r>
    </w:p>
    <w:p w:rsidR="00CA3B52" w:rsidRDefault="00CA3B52" w:rsidP="00CA3B52">
      <w:pPr>
        <w:rPr>
          <w:lang w:val="en-US"/>
        </w:rPr>
      </w:pPr>
      <w:r w:rsidRPr="00CB6CBA">
        <w:rPr>
          <w:lang w:val="en-US"/>
        </w:rPr>
        <w:t>For land propagation paths in accordance with data and equation (</w:t>
      </w:r>
      <w:r>
        <w:rPr>
          <w:lang w:val="en-US"/>
        </w:rPr>
        <w:t>30</w:t>
      </w:r>
      <w:r w:rsidRPr="00CB6CBA">
        <w:rPr>
          <w:lang w:val="en-US"/>
        </w:rPr>
        <w:t>):</w:t>
      </w:r>
    </w:p>
    <w:p w:rsidR="00CA3B52" w:rsidRDefault="00CA3B52" w:rsidP="00CA3B52">
      <w:pPr>
        <w:pStyle w:val="Blanc"/>
      </w:pPr>
    </w:p>
    <w:p w:rsidR="00CA3B52" w:rsidRPr="00CB6CBA" w:rsidRDefault="00CA3B52" w:rsidP="00F65451">
      <w:pPr>
        <w:pStyle w:val="Equation"/>
        <w:rPr>
          <w:lang w:val="en-US"/>
        </w:rPr>
      </w:pPr>
      <w:r>
        <w:rPr>
          <w:i/>
          <w:lang w:val="en-US"/>
        </w:rPr>
        <w:tab/>
      </w:r>
      <w:r>
        <w:rPr>
          <w:i/>
          <w:lang w:val="en-US"/>
        </w:rPr>
        <w:tab/>
      </w:r>
      <w:r w:rsidRPr="00CB6CBA">
        <w:rPr>
          <w:i/>
          <w:lang w:val="en-US"/>
        </w:rPr>
        <w:t>h</w:t>
      </w:r>
      <w:r w:rsidRPr="00CB6CBA">
        <w:rPr>
          <w:i/>
          <w:vertAlign w:val="subscript"/>
          <w:lang w:val="en-US"/>
        </w:rPr>
        <w:t>ef</w:t>
      </w:r>
      <w:r w:rsidRPr="00CB6CBA">
        <w:rPr>
          <w:lang w:val="en-US"/>
        </w:rPr>
        <w:t> </w:t>
      </w:r>
      <w:r>
        <w:rPr>
          <w:lang w:val="en-US"/>
        </w:rPr>
        <w:t>=</w:t>
      </w:r>
      <w:r w:rsidRPr="00CB6CBA">
        <w:rPr>
          <w:lang w:val="en-US"/>
        </w:rPr>
        <w:t xml:space="preserve"> 300 m – 265 m </w:t>
      </w:r>
      <w:r>
        <w:rPr>
          <w:lang w:val="en-US"/>
        </w:rPr>
        <w:t>=</w:t>
      </w:r>
      <w:r w:rsidRPr="00CB6CBA">
        <w:rPr>
          <w:lang w:val="en-US"/>
        </w:rPr>
        <w:t xml:space="preserve"> 35 m </w:t>
      </w:r>
      <w:r w:rsidRPr="00CB6CBA">
        <w:rPr>
          <w:position w:val="-4"/>
          <w:lang w:val="en-US"/>
        </w:rPr>
        <w:object w:dxaOrig="200" w:dyaOrig="200">
          <v:shape id="_x0000_i1068" type="#_x0000_t75" style="width:9.8pt;height:9.8pt" o:ole="">
            <v:imagedata r:id="rId106" o:title=""/>
          </v:shape>
          <o:OLEObject Type="Embed" ProgID="Equation.3" ShapeID="_x0000_i1068" DrawAspect="Content" ObjectID="_1511604857" r:id="rId107"/>
        </w:object>
      </w:r>
      <w:r w:rsidRPr="00CB6CBA">
        <w:rPr>
          <w:lang w:val="en-US"/>
        </w:rPr>
        <w:t xml:space="preserve"> 37.5 m</w:t>
      </w:r>
    </w:p>
    <w:p w:rsidR="00CA3B52" w:rsidRDefault="00CA3B52" w:rsidP="00CA3B52">
      <w:pPr>
        <w:pStyle w:val="Blanc"/>
      </w:pPr>
    </w:p>
    <w:p w:rsidR="00CA3B52" w:rsidRPr="00CB6CBA" w:rsidRDefault="00CA3B52" w:rsidP="00CA3B52">
      <w:pPr>
        <w:rPr>
          <w:lang w:val="en-US"/>
        </w:rPr>
      </w:pPr>
      <w:r w:rsidRPr="00CB6CBA">
        <w:rPr>
          <w:lang w:val="en-US"/>
        </w:rPr>
        <w:t xml:space="preserve">From Table 12 for transmitter with power 50 W and antenna height 37.5 m, land propagation paths, it follows: </w:t>
      </w:r>
      <w:r w:rsidRPr="00CB6CBA">
        <w:rPr>
          <w:i/>
          <w:lang w:val="en-US"/>
        </w:rPr>
        <w:t>R</w:t>
      </w:r>
      <w:r w:rsidRPr="00CB6CBA">
        <w:rPr>
          <w:i/>
          <w:vertAlign w:val="subscript"/>
          <w:lang w:val="en-US"/>
        </w:rPr>
        <w:t>l</w:t>
      </w:r>
      <w:r w:rsidRPr="00CB6CBA">
        <w:rPr>
          <w:lang w:val="en-US"/>
        </w:rPr>
        <w:t xml:space="preserve"> </w:t>
      </w:r>
      <w:r>
        <w:rPr>
          <w:lang w:val="en-US"/>
        </w:rPr>
        <w:t>=</w:t>
      </w:r>
      <w:r w:rsidRPr="00CB6CBA">
        <w:rPr>
          <w:lang w:val="en-US"/>
        </w:rPr>
        <w:t xml:space="preserve"> 27 km.</w:t>
      </w:r>
    </w:p>
    <w:p w:rsidR="00CA3B52" w:rsidRDefault="00CA3B52" w:rsidP="00CA3B52">
      <w:pPr>
        <w:rPr>
          <w:lang w:val="en-US"/>
        </w:rPr>
      </w:pPr>
      <w:r w:rsidRPr="00CB6CBA">
        <w:rPr>
          <w:lang w:val="en-US"/>
        </w:rPr>
        <w:t>Substituting calculated radiuses to equation (</w:t>
      </w:r>
      <w:r>
        <w:rPr>
          <w:lang w:val="en-US"/>
        </w:rPr>
        <w:t>47</w:t>
      </w:r>
      <w:r w:rsidRPr="00CB6CBA">
        <w:rPr>
          <w:lang w:val="en-US"/>
        </w:rPr>
        <w:t>) we get:</w:t>
      </w:r>
    </w:p>
    <w:p w:rsidR="00CA3B52" w:rsidRDefault="00CA3B52" w:rsidP="00CA3B52">
      <w:pPr>
        <w:pStyle w:val="Blanc"/>
      </w:pPr>
    </w:p>
    <w:p w:rsidR="00CA3B52" w:rsidRPr="00CB6CBA" w:rsidRDefault="00CA3B52" w:rsidP="00CA3B52">
      <w:pPr>
        <w:pStyle w:val="Equation"/>
        <w:rPr>
          <w:lang w:val="en-US"/>
        </w:rPr>
      </w:pPr>
      <w:r w:rsidRPr="00CB6CBA">
        <w:rPr>
          <w:lang w:val="en-US"/>
        </w:rPr>
        <w:tab/>
      </w:r>
      <w:r w:rsidRPr="00CB6CBA">
        <w:rPr>
          <w:lang w:val="en-US"/>
        </w:rPr>
        <w:tab/>
        <w:t xml:space="preserve">S = 0.5 </w:t>
      </w:r>
      <w:r w:rsidRPr="00CB6CBA">
        <w:rPr>
          <w:szCs w:val="24"/>
          <w:lang w:val="en-US"/>
        </w:rPr>
        <w:sym w:font="Symbol" w:char="F070"/>
      </w:r>
      <w:r w:rsidRPr="00CB6CBA">
        <w:rPr>
          <w:lang w:val="en-US"/>
        </w:rPr>
        <w:t xml:space="preserve"> (82</w:t>
      </w:r>
      <w:r w:rsidRPr="00CB6CBA">
        <w:rPr>
          <w:szCs w:val="24"/>
          <w:vertAlign w:val="superscript"/>
          <w:lang w:val="en-US"/>
        </w:rPr>
        <w:t>2</w:t>
      </w:r>
      <w:r w:rsidRPr="00CB6CBA">
        <w:rPr>
          <w:lang w:val="en-US"/>
        </w:rPr>
        <w:t xml:space="preserve"> </w:t>
      </w:r>
      <w:r w:rsidRPr="00CB6CBA">
        <w:rPr>
          <w:szCs w:val="24"/>
          <w:lang w:val="en-US"/>
        </w:rPr>
        <w:sym w:font="Symbol" w:char="F02B"/>
      </w:r>
      <w:r w:rsidRPr="00CB6CBA">
        <w:rPr>
          <w:lang w:val="en-US"/>
        </w:rPr>
        <w:t xml:space="preserve"> 27</w:t>
      </w:r>
      <w:r w:rsidRPr="00CB6CBA">
        <w:rPr>
          <w:szCs w:val="24"/>
          <w:vertAlign w:val="superscript"/>
          <w:lang w:val="en-US"/>
        </w:rPr>
        <w:t>2</w:t>
      </w:r>
      <w:r w:rsidRPr="00CB6CBA">
        <w:rPr>
          <w:lang w:val="en-US"/>
        </w:rPr>
        <w:t>) = 11 701 km</w:t>
      </w:r>
      <w:r w:rsidRPr="00CB6CBA">
        <w:rPr>
          <w:szCs w:val="24"/>
          <w:vertAlign w:val="superscript"/>
          <w:lang w:val="en-US"/>
        </w:rPr>
        <w:t>2</w:t>
      </w:r>
    </w:p>
    <w:p w:rsidR="00CA3B52" w:rsidRDefault="00CA3B52" w:rsidP="00CA3B52">
      <w:pPr>
        <w:pStyle w:val="Blanc"/>
      </w:pPr>
    </w:p>
    <w:p w:rsidR="00CA3B52" w:rsidRDefault="00CA3B52" w:rsidP="00CA3B52">
      <w:pPr>
        <w:rPr>
          <w:lang w:val="en-US"/>
        </w:rPr>
      </w:pPr>
      <w:r w:rsidRPr="00CB6CBA">
        <w:rPr>
          <w:lang w:val="en-US"/>
        </w:rPr>
        <w:t xml:space="preserve">and, taking into account that </w:t>
      </w:r>
      <w:r w:rsidRPr="00CB6CBA">
        <w:rPr>
          <w:i/>
          <w:iCs/>
          <w:lang w:val="en-US"/>
        </w:rPr>
        <w:t>b</w:t>
      </w:r>
      <w:r w:rsidRPr="00CB6CBA">
        <w:rPr>
          <w:i/>
          <w:iCs/>
          <w:vertAlign w:val="subscript"/>
          <w:lang w:val="en-US"/>
        </w:rPr>
        <w:t>j</w:t>
      </w:r>
      <w:r w:rsidRPr="00CB6CBA">
        <w:rPr>
          <w:lang w:val="en-US"/>
        </w:rPr>
        <w:t xml:space="preserve"> = 1, from equation (</w:t>
      </w:r>
      <w:r>
        <w:rPr>
          <w:lang w:val="en-US"/>
        </w:rPr>
        <w:t>22</w:t>
      </w:r>
      <w:r w:rsidRPr="00CB6CBA">
        <w:rPr>
          <w:lang w:val="en-US"/>
        </w:rPr>
        <w:t>) it follows:</w:t>
      </w:r>
    </w:p>
    <w:p w:rsidR="00CA3B52" w:rsidRDefault="00CA3B52" w:rsidP="00CA3B52">
      <w:pPr>
        <w:pStyle w:val="Blanc"/>
      </w:pPr>
    </w:p>
    <w:p w:rsidR="00CA3B52" w:rsidRPr="00CB6CBA" w:rsidRDefault="00CA3B52" w:rsidP="00F65451">
      <w:pPr>
        <w:pStyle w:val="Equation"/>
        <w:rPr>
          <w:lang w:val="en-US"/>
        </w:rPr>
      </w:pPr>
      <w:r>
        <w:rPr>
          <w:i/>
          <w:iCs/>
          <w:lang w:val="en-US"/>
        </w:rPr>
        <w:tab/>
      </w:r>
      <w:r>
        <w:rPr>
          <w:i/>
          <w:iCs/>
          <w:lang w:val="en-US"/>
        </w:rPr>
        <w:tab/>
      </w:r>
      <w:r w:rsidRPr="00CB6CBA">
        <w:rPr>
          <w:i/>
          <w:iCs/>
          <w:lang w:val="en-US"/>
        </w:rPr>
        <w:t>S</w:t>
      </w:r>
      <w:r w:rsidRPr="00CB6CBA">
        <w:rPr>
          <w:lang w:val="en-US"/>
        </w:rPr>
        <w:t> </w:t>
      </w:r>
      <w:r>
        <w:rPr>
          <w:lang w:val="en-US"/>
        </w:rPr>
        <w:t>=</w:t>
      </w:r>
      <w:r w:rsidRPr="00CB6CBA">
        <w:rPr>
          <w:lang w:val="en-US"/>
        </w:rPr>
        <w:t> </w:t>
      </w:r>
      <w:r w:rsidRPr="00CB6CBA">
        <w:rPr>
          <w:i/>
          <w:iCs/>
          <w:lang w:val="en-US"/>
        </w:rPr>
        <w:t>s</w:t>
      </w:r>
      <w:r w:rsidRPr="00CB6CBA">
        <w:rPr>
          <w:lang w:val="en-US"/>
        </w:rPr>
        <w:t> </w:t>
      </w:r>
      <w:r>
        <w:rPr>
          <w:lang w:val="en-US"/>
        </w:rPr>
        <w:t>=</w:t>
      </w:r>
      <w:r w:rsidRPr="00CB6CBA">
        <w:rPr>
          <w:lang w:val="en-US"/>
        </w:rPr>
        <w:t> 11</w:t>
      </w:r>
      <w:r w:rsidRPr="00CB6CBA">
        <w:rPr>
          <w:rFonts w:ascii="Tms Rmn" w:hAnsi="Tms Rmn"/>
          <w:sz w:val="12"/>
          <w:lang w:val="en-US"/>
        </w:rPr>
        <w:t> </w:t>
      </w:r>
      <w:r w:rsidRPr="00CB6CBA">
        <w:rPr>
          <w:lang w:val="en-US"/>
        </w:rPr>
        <w:t xml:space="preserve">701 </w:t>
      </w:r>
      <w:r w:rsidRPr="00CB6CBA">
        <w:rPr>
          <w:bCs/>
          <w:lang w:val="en-US"/>
        </w:rPr>
        <w:t>km</w:t>
      </w:r>
      <w:r w:rsidRPr="00CB6CBA">
        <w:rPr>
          <w:vertAlign w:val="superscript"/>
          <w:lang w:val="en-US"/>
        </w:rPr>
        <w:t>2</w:t>
      </w:r>
    </w:p>
    <w:p w:rsidR="00CA3B52" w:rsidRDefault="00CA3B52" w:rsidP="00CA3B52">
      <w:pPr>
        <w:pStyle w:val="Blanc"/>
      </w:pPr>
    </w:p>
    <w:p w:rsidR="00CA3B52" w:rsidRPr="00CB6CBA" w:rsidRDefault="00CA3B52" w:rsidP="00CA3B52">
      <w:pPr>
        <w:pStyle w:val="Headingb"/>
        <w:rPr>
          <w:rFonts w:eastAsia="SimSun"/>
          <w:lang w:val="en-US" w:eastAsia="zh-CN"/>
        </w:rPr>
      </w:pPr>
      <w:r w:rsidRPr="00CB6CBA">
        <w:rPr>
          <w:rFonts w:eastAsia="SimSun"/>
          <w:lang w:val="en-US" w:eastAsia="zh-CN"/>
        </w:rPr>
        <w:t>d)</w:t>
      </w:r>
      <w:r w:rsidRPr="00CB6CBA">
        <w:rPr>
          <w:rFonts w:eastAsia="SimSun"/>
          <w:lang w:val="en-US" w:eastAsia="zh-CN"/>
        </w:rPr>
        <w:tab/>
        <w:t>Spectral resource used</w:t>
      </w:r>
    </w:p>
    <w:p w:rsidR="00CA3B52" w:rsidRDefault="00CA3B52" w:rsidP="00CA3B52">
      <w:pPr>
        <w:rPr>
          <w:lang w:val="en-US"/>
        </w:rPr>
      </w:pPr>
      <w:r w:rsidRPr="00CB6CBA">
        <w:rPr>
          <w:lang w:val="en-US"/>
        </w:rPr>
        <w:t>Substituting values calculated to equation (</w:t>
      </w:r>
      <w:r>
        <w:rPr>
          <w:lang w:val="en-US"/>
        </w:rPr>
        <w:t>20</w:t>
      </w:r>
      <w:r w:rsidRPr="00CB6CBA">
        <w:rPr>
          <w:lang w:val="en-US"/>
        </w:rPr>
        <w:t>), using values of weighting coefficients presented in Table 2 and taking into account non-sharing conditions (</w:t>
      </w:r>
      <w:r w:rsidRPr="00CB6CBA">
        <w:rPr>
          <w:rFonts w:ascii="Symbol" w:hAnsi="Symbol"/>
          <w:lang w:val="en-US"/>
        </w:rPr>
        <w:t></w:t>
      </w:r>
      <w:r w:rsidRPr="00CB6CBA">
        <w:rPr>
          <w:lang w:val="en-US"/>
        </w:rPr>
        <w:t> </w:t>
      </w:r>
      <w:r w:rsidRPr="00CB6CBA">
        <w:rPr>
          <w:rFonts w:ascii="Symbol" w:hAnsi="Symbol"/>
          <w:lang w:val="en-US"/>
        </w:rPr>
        <w:t></w:t>
      </w:r>
      <w:r w:rsidRPr="00CB6CBA">
        <w:rPr>
          <w:lang w:val="en-US"/>
        </w:rPr>
        <w:t> 1), we get finally:</w:t>
      </w:r>
    </w:p>
    <w:p w:rsidR="00CA3B52" w:rsidRDefault="00CA3B52" w:rsidP="00CA3B52">
      <w:pPr>
        <w:pStyle w:val="Blanc"/>
      </w:pPr>
    </w:p>
    <w:p w:rsidR="00CA3B52" w:rsidRPr="00CB6CBA" w:rsidRDefault="00CA3B52" w:rsidP="00F65451">
      <w:pPr>
        <w:pStyle w:val="Equation"/>
        <w:rPr>
          <w:lang w:val="en-US"/>
        </w:rPr>
      </w:pPr>
      <w:r>
        <w:rPr>
          <w:i/>
          <w:lang w:val="en-US"/>
        </w:rPr>
        <w:tab/>
      </w:r>
      <w:r w:rsidRPr="00CB6CBA">
        <w:rPr>
          <w:i/>
          <w:lang w:val="en-US"/>
        </w:rPr>
        <w:t>W</w:t>
      </w:r>
      <w:r w:rsidRPr="00CB6CBA">
        <w:rPr>
          <w:lang w:val="en-US"/>
        </w:rPr>
        <w:t> </w:t>
      </w:r>
      <w:r w:rsidRPr="00CB6CBA">
        <w:rPr>
          <w:rFonts w:ascii="Symbol" w:hAnsi="Symbol"/>
          <w:lang w:val="en-US"/>
        </w:rPr>
        <w:t></w:t>
      </w:r>
      <w:r w:rsidRPr="00CB6CBA">
        <w:rPr>
          <w:lang w:val="en-US"/>
        </w:rPr>
        <w:t> 1 </w:t>
      </w:r>
      <w:r>
        <w:rPr>
          <w:lang w:val="en-US"/>
        </w:rPr>
        <w:t>×</w:t>
      </w:r>
      <w:r w:rsidRPr="00CB6CBA">
        <w:rPr>
          <w:lang w:val="en-US"/>
        </w:rPr>
        <w:t> 0.2 </w:t>
      </w:r>
      <w:r>
        <w:rPr>
          <w:lang w:val="en-US"/>
        </w:rPr>
        <w:t>×</w:t>
      </w:r>
      <w:r w:rsidRPr="00CB6CBA">
        <w:rPr>
          <w:lang w:val="en-US"/>
        </w:rPr>
        <w:t> 0.1 </w:t>
      </w:r>
      <w:r>
        <w:rPr>
          <w:lang w:val="en-US"/>
        </w:rPr>
        <w:t>×</w:t>
      </w:r>
      <w:r w:rsidRPr="00CB6CBA">
        <w:rPr>
          <w:lang w:val="en-US"/>
        </w:rPr>
        <w:t> 1 </w:t>
      </w:r>
      <w:r>
        <w:rPr>
          <w:lang w:val="en-US"/>
        </w:rPr>
        <w:t>×</w:t>
      </w:r>
      <w:r w:rsidRPr="00CB6CBA">
        <w:rPr>
          <w:lang w:val="en-US"/>
        </w:rPr>
        <w:t> 1 </w:t>
      </w:r>
      <w:r>
        <w:rPr>
          <w:lang w:val="en-US"/>
        </w:rPr>
        <w:t>×</w:t>
      </w:r>
      <w:r w:rsidRPr="00CB6CBA">
        <w:rPr>
          <w:lang w:val="en-US"/>
        </w:rPr>
        <w:t> 0016 </w:t>
      </w:r>
      <w:r>
        <w:rPr>
          <w:lang w:val="en-US"/>
        </w:rPr>
        <w:t>×</w:t>
      </w:r>
      <w:r w:rsidRPr="00CB6CBA">
        <w:rPr>
          <w:lang w:val="en-US"/>
        </w:rPr>
        <w:t> 11</w:t>
      </w:r>
      <w:r w:rsidRPr="00CB6CBA">
        <w:rPr>
          <w:rFonts w:ascii="Tms Rmn" w:hAnsi="Tms Rmn"/>
          <w:sz w:val="12"/>
          <w:lang w:val="en-US"/>
        </w:rPr>
        <w:t> </w:t>
      </w:r>
      <w:r w:rsidRPr="00CB6CBA">
        <w:rPr>
          <w:lang w:val="en-US"/>
        </w:rPr>
        <w:t>701 </w:t>
      </w:r>
      <w:r>
        <w:rPr>
          <w:lang w:val="en-US"/>
        </w:rPr>
        <w:t>×</w:t>
      </w:r>
      <w:r w:rsidRPr="00CB6CBA">
        <w:rPr>
          <w:lang w:val="en-US"/>
        </w:rPr>
        <w:t> 1 </w:t>
      </w:r>
      <w:r>
        <w:rPr>
          <w:lang w:val="en-US"/>
        </w:rPr>
        <w:t>=</w:t>
      </w:r>
      <w:r w:rsidRPr="00CB6CBA">
        <w:rPr>
          <w:lang w:val="en-US"/>
        </w:rPr>
        <w:t xml:space="preserve"> 3.7           MHz </w:t>
      </w:r>
      <w:r w:rsidRPr="00CB6CBA">
        <w:rPr>
          <w:szCs w:val="24"/>
          <w:lang w:val="en-US"/>
        </w:rPr>
        <w:sym w:font="Symbol" w:char="F0D7"/>
      </w:r>
      <w:r w:rsidRPr="00CB6CBA">
        <w:rPr>
          <w:lang w:val="en-US"/>
        </w:rPr>
        <w:t xml:space="preserve"> km</w:t>
      </w:r>
      <w:r w:rsidRPr="00CB6CBA">
        <w:rPr>
          <w:vertAlign w:val="superscript"/>
          <w:lang w:val="en-US"/>
        </w:rPr>
        <w:t>2</w:t>
      </w:r>
      <w:r w:rsidRPr="00CB6CBA">
        <w:rPr>
          <w:lang w:val="en-US"/>
        </w:rPr>
        <w:t xml:space="preserve"> </w:t>
      </w:r>
      <w:r w:rsidRPr="00CB6CBA">
        <w:rPr>
          <w:szCs w:val="24"/>
          <w:lang w:val="en-US"/>
        </w:rPr>
        <w:sym w:font="Symbol" w:char="F0D7"/>
      </w:r>
      <w:r w:rsidRPr="00CB6CBA">
        <w:rPr>
          <w:lang w:val="en-US"/>
        </w:rPr>
        <w:t xml:space="preserve"> 1 year</w:t>
      </w:r>
    </w:p>
    <w:p w:rsidR="00CA3B52" w:rsidRDefault="00CA3B52" w:rsidP="00CA3B52">
      <w:pPr>
        <w:pStyle w:val="Heading3"/>
        <w:rPr>
          <w:rFonts w:eastAsia="SimSun"/>
          <w:lang w:val="en-US" w:eastAsia="zh-CN"/>
        </w:rPr>
      </w:pPr>
      <w:bookmarkStart w:id="1435" w:name="_Toc289868848"/>
      <w:bookmarkStart w:id="1436" w:name="_Toc289869008"/>
      <w:bookmarkStart w:id="1437" w:name="_Toc289932316"/>
      <w:bookmarkStart w:id="1438" w:name="_Toc289933362"/>
      <w:bookmarkStart w:id="1439" w:name="_Toc291852925"/>
      <w:bookmarkStart w:id="1440" w:name="_Toc392515911"/>
      <w:r w:rsidRPr="00CB6CBA">
        <w:rPr>
          <w:rFonts w:eastAsia="SimSun"/>
          <w:lang w:val="en-US" w:eastAsia="zh-CN"/>
        </w:rPr>
        <w:lastRenderedPageBreak/>
        <w:t>4.</w:t>
      </w:r>
      <w:r>
        <w:rPr>
          <w:rFonts w:eastAsia="SimSun"/>
          <w:lang w:val="en-US" w:eastAsia="zh-CN"/>
        </w:rPr>
        <w:t>7</w:t>
      </w:r>
      <w:r w:rsidRPr="00CB6CBA">
        <w:rPr>
          <w:rFonts w:eastAsia="SimSun"/>
          <w:lang w:val="en-US" w:eastAsia="zh-CN"/>
        </w:rPr>
        <w:t>.6</w:t>
      </w:r>
      <w:r w:rsidRPr="00CB6CBA">
        <w:rPr>
          <w:rFonts w:eastAsia="SimSun"/>
          <w:lang w:val="en-US" w:eastAsia="zh-CN"/>
        </w:rPr>
        <w:tab/>
        <w:t>Aeronautical mobile, radionavigation and radiolocation services</w:t>
      </w:r>
      <w:bookmarkEnd w:id="1435"/>
      <w:bookmarkEnd w:id="1436"/>
      <w:bookmarkEnd w:id="1437"/>
      <w:bookmarkEnd w:id="1438"/>
      <w:bookmarkEnd w:id="1439"/>
      <w:bookmarkEnd w:id="1440"/>
    </w:p>
    <w:p w:rsidR="00CA3B52" w:rsidRPr="00CB6CBA" w:rsidRDefault="00CA3B52" w:rsidP="00CA3B52">
      <w:pPr>
        <w:pStyle w:val="Headingb"/>
        <w:rPr>
          <w:lang w:val="en-US"/>
        </w:rPr>
      </w:pPr>
      <w:r w:rsidRPr="00CB6CBA">
        <w:rPr>
          <w:lang w:val="en-US"/>
        </w:rPr>
        <w:t>a)</w:t>
      </w:r>
      <w:r w:rsidRPr="00CB6CBA">
        <w:rPr>
          <w:lang w:val="en-US"/>
        </w:rPr>
        <w:tab/>
        <w:t>Calculation procedures</w:t>
      </w:r>
    </w:p>
    <w:p w:rsidR="00CA3B52" w:rsidRPr="00CB6CBA" w:rsidRDefault="00CA3B52" w:rsidP="00CA3B52">
      <w:pPr>
        <w:rPr>
          <w:lang w:val="en-US"/>
        </w:rPr>
      </w:pPr>
      <w:r w:rsidRPr="00CB6CBA">
        <w:rPr>
          <w:lang w:val="en-US"/>
        </w:rPr>
        <w:t xml:space="preserve">Common feature of these services is the fact that they provide radio communication (or location) operations with highly flying aircrafts. It leads to large service areas which borders are determined by distances up to radio horizon. If refraction of radio waves in the Earth’s atmosphere is taken into account, a distance up to a radio horizon, </w:t>
      </w:r>
      <w:r w:rsidRPr="00CB6CBA">
        <w:rPr>
          <w:i/>
          <w:iCs/>
          <w:lang w:val="en-US"/>
        </w:rPr>
        <w:t>R</w:t>
      </w:r>
      <w:r w:rsidRPr="00CB6CBA">
        <w:rPr>
          <w:i/>
          <w:iCs/>
          <w:vertAlign w:val="subscript"/>
          <w:lang w:val="en-US"/>
        </w:rPr>
        <w:t>g</w:t>
      </w:r>
      <w:r w:rsidRPr="00CB6CBA">
        <w:rPr>
          <w:lang w:val="en-US"/>
        </w:rPr>
        <w:t>,</w:t>
      </w:r>
      <w:r w:rsidRPr="00CB6CBA">
        <w:rPr>
          <w:i/>
          <w:iCs/>
          <w:lang w:val="en-US"/>
        </w:rPr>
        <w:t xml:space="preserve"> </w:t>
      </w:r>
      <w:r w:rsidRPr="00CB6CBA">
        <w:rPr>
          <w:lang w:val="en-US"/>
        </w:rPr>
        <w:t xml:space="preserve">can be calculated by formula: </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CB6CBA">
        <w:rPr>
          <w:position w:val="-14"/>
          <w:lang w:val="en-US"/>
        </w:rPr>
        <w:object w:dxaOrig="3640" w:dyaOrig="420">
          <v:shape id="_x0000_i1069" type="#_x0000_t75" style="width:178.15pt;height:21.5pt" o:ole="">
            <v:imagedata r:id="rId108" o:title=""/>
          </v:shape>
          <o:OLEObject Type="Embed" ProgID="Equation.3" ShapeID="_x0000_i1069" DrawAspect="Content" ObjectID="_1511604858" r:id="rId109"/>
        </w:object>
      </w:r>
      <w:r w:rsidRPr="00CB6CBA">
        <w:rPr>
          <w:lang w:val="en-US"/>
        </w:rPr>
        <w:tab/>
        <w:t>(</w:t>
      </w:r>
      <w:r>
        <w:rPr>
          <w:lang w:val="en-US"/>
        </w:rPr>
        <w:t>49</w:t>
      </w:r>
      <w:r w:rsidRPr="00CB6CBA">
        <w:rPr>
          <w:lang w:val="en-US"/>
        </w:rPr>
        <w:t>)</w:t>
      </w:r>
    </w:p>
    <w:p w:rsidR="00CA3B52" w:rsidRPr="00CB6CBA" w:rsidRDefault="00CA3B52" w:rsidP="00CA3B52">
      <w:pPr>
        <w:rPr>
          <w:lang w:val="en-US"/>
        </w:rPr>
      </w:pPr>
      <w:r w:rsidRPr="00CB6CBA">
        <w:rPr>
          <w:lang w:val="en-US"/>
        </w:rPr>
        <w:t>where:</w:t>
      </w:r>
    </w:p>
    <w:p w:rsidR="00CA3B52" w:rsidRPr="00CB6CBA" w:rsidRDefault="00CA3B52" w:rsidP="00CA3B52">
      <w:pPr>
        <w:pStyle w:val="Equationlegend"/>
      </w:pPr>
      <w:r w:rsidRPr="00CB6CBA">
        <w:rPr>
          <w:i/>
          <w:iCs/>
        </w:rPr>
        <w:tab/>
        <w:t>h</w:t>
      </w:r>
      <w:r w:rsidRPr="00CB6CBA">
        <w:rPr>
          <w:i/>
          <w:iCs/>
          <w:vertAlign w:val="subscript"/>
        </w:rPr>
        <w:t>t</w:t>
      </w:r>
      <w:r>
        <w:rPr>
          <w:i/>
          <w:iCs/>
          <w:vertAlign w:val="subscript"/>
        </w:rPr>
        <w:t xml:space="preserve"> </w:t>
      </w:r>
      <w:r w:rsidRPr="00CB6CBA">
        <w:t>:</w:t>
      </w:r>
      <w:r w:rsidRPr="00CB6CBA">
        <w:tab/>
        <w:t>height of transmitting antenna above the averaged ground surface (at the ground or at the aircraft) (m)</w:t>
      </w:r>
    </w:p>
    <w:p w:rsidR="00CA3B52" w:rsidRPr="00CB6CBA" w:rsidRDefault="00CA3B52" w:rsidP="00CA3B52">
      <w:pPr>
        <w:pStyle w:val="Equationlegend"/>
      </w:pPr>
      <w:r w:rsidRPr="00CB6CBA">
        <w:rPr>
          <w:i/>
          <w:iCs/>
        </w:rPr>
        <w:tab/>
        <w:t>h</w:t>
      </w:r>
      <w:r w:rsidRPr="00CB6CBA">
        <w:rPr>
          <w:i/>
          <w:iCs/>
          <w:vertAlign w:val="subscript"/>
        </w:rPr>
        <w:t>r</w:t>
      </w:r>
      <w:r>
        <w:rPr>
          <w:i/>
          <w:iCs/>
          <w:vertAlign w:val="subscript"/>
        </w:rPr>
        <w:t xml:space="preserve"> </w:t>
      </w:r>
      <w:r w:rsidRPr="00CB6CBA">
        <w:t>:</w:t>
      </w:r>
      <w:r w:rsidRPr="00CB6CBA">
        <w:tab/>
        <w:t>height of receiving antenna above the averaged ground surface (at the ground or at the aircraft) (m).</w:t>
      </w:r>
    </w:p>
    <w:p w:rsidR="00CA3B52" w:rsidRDefault="00CA3B52" w:rsidP="00CA3B52">
      <w:pPr>
        <w:rPr>
          <w:lang w:val="en-US"/>
        </w:rPr>
      </w:pPr>
      <w:r w:rsidRPr="00CB6CBA">
        <w:rPr>
          <w:lang w:val="en-US"/>
        </w:rPr>
        <w:t>With height of the aircraft, 10</w:t>
      </w:r>
      <w:r w:rsidRPr="00CB6CBA">
        <w:rPr>
          <w:rFonts w:ascii="Tms Rmn" w:hAnsi="Tms Rmn"/>
          <w:sz w:val="12"/>
          <w:lang w:val="en-US"/>
        </w:rPr>
        <w:t> </w:t>
      </w:r>
      <w:r w:rsidRPr="00CB6CBA">
        <w:rPr>
          <w:lang w:val="en-US"/>
        </w:rPr>
        <w:t>000 m and terrestrial antenna height, 15 m, equation (</w:t>
      </w:r>
      <w:r>
        <w:rPr>
          <w:lang w:val="en-US"/>
        </w:rPr>
        <w:t>48</w:t>
      </w:r>
      <w:r w:rsidRPr="00CB6CBA">
        <w:rPr>
          <w:lang w:val="en-US"/>
        </w:rPr>
        <w:t>) gives radio horizon distance equals 429 km. Beyond the radio horizon the field strength sharply drops, as it is clearly demonstrated by curves of Recommendation ITU-R P.528-2. Therefore, in the given particular case, service area radius is accepted as to be equal to the distance up to the radio horizon irrespective to transmitter power and receiver sensitivity. The last parameters mainly determine only reliability of radio communication in the vicinity of service area borders in real influence environment that is very important for these of services as to be safety ones. Omnidirectional antennas are widely used. In case of directional transmitting antennas applications (mainly in radionavigation and sectorial radiolocation), a “service sector” concept, given by Recommendation ITU-R F.162-3, can be used.</w:t>
      </w:r>
    </w:p>
    <w:p w:rsidR="00CA3B52" w:rsidRPr="00CB6CBA" w:rsidRDefault="00CA3B52" w:rsidP="00CA3B52">
      <w:pPr>
        <w:rPr>
          <w:lang w:val="en-US"/>
        </w:rPr>
      </w:pPr>
      <w:r w:rsidRPr="00CB6CBA">
        <w:rPr>
          <w:lang w:val="en-US"/>
        </w:rPr>
        <w:t>Taking into account that spectral resource used for these services, as to be safety ones, will not be too high, for simplicity reasons subdivision of the service area to different zones belonging to different license fees categories can be eliminated and the only one category, corresponding to the largest occupied area, can be used.</w:t>
      </w:r>
    </w:p>
    <w:p w:rsidR="00CA3B52" w:rsidRDefault="00CA3B52" w:rsidP="00CA3B52">
      <w:pPr>
        <w:rPr>
          <w:lang w:val="en-US"/>
        </w:rPr>
      </w:pPr>
      <w:r w:rsidRPr="00CB6CBA">
        <w:rPr>
          <w:lang w:val="en-US"/>
        </w:rPr>
        <w:t>Given approach to the determination of service areas for aeronautical mobile, radionavigation and radiolocation services is proposed to be use for purposes of this calculation Model. The same approach can be accepted and for maritime radionavigation and radiolocation applications by using in equation (</w:t>
      </w:r>
      <w:r>
        <w:rPr>
          <w:lang w:val="en-US"/>
        </w:rPr>
        <w:t>49</w:t>
      </w:r>
      <w:r w:rsidRPr="00CB6CBA">
        <w:rPr>
          <w:lang w:val="en-US"/>
        </w:rPr>
        <w:t>) a target height equals about 10 m.</w:t>
      </w:r>
    </w:p>
    <w:p w:rsidR="00CA3B52" w:rsidRDefault="00CA3B52" w:rsidP="00CA3B52">
      <w:pPr>
        <w:pStyle w:val="Heading3"/>
        <w:rPr>
          <w:rFonts w:eastAsia="SimSun"/>
          <w:lang w:val="en-US" w:eastAsia="zh-CN"/>
        </w:rPr>
      </w:pPr>
      <w:bookmarkStart w:id="1441" w:name="_Toc289868849"/>
      <w:bookmarkStart w:id="1442" w:name="_Toc289869009"/>
      <w:bookmarkStart w:id="1443" w:name="_Toc289932317"/>
      <w:bookmarkStart w:id="1444" w:name="_Toc289933363"/>
      <w:bookmarkStart w:id="1445" w:name="_Toc291852926"/>
      <w:bookmarkStart w:id="1446" w:name="_Toc392515912"/>
      <w:r w:rsidRPr="00CB6CBA">
        <w:rPr>
          <w:rFonts w:eastAsia="SimSun"/>
          <w:lang w:val="en-US" w:eastAsia="zh-CN"/>
        </w:rPr>
        <w:t>4.</w:t>
      </w:r>
      <w:r>
        <w:rPr>
          <w:rFonts w:eastAsia="SimSun"/>
          <w:lang w:val="en-US" w:eastAsia="zh-CN"/>
        </w:rPr>
        <w:t>7</w:t>
      </w:r>
      <w:r w:rsidRPr="00CB6CBA">
        <w:rPr>
          <w:rFonts w:eastAsia="SimSun"/>
          <w:lang w:val="en-US" w:eastAsia="zh-CN"/>
        </w:rPr>
        <w:t>.7</w:t>
      </w:r>
      <w:r w:rsidRPr="00CB6CBA">
        <w:rPr>
          <w:rFonts w:eastAsia="SimSun"/>
          <w:lang w:val="en-US" w:eastAsia="zh-CN"/>
        </w:rPr>
        <w:tab/>
        <w:t>Examples of calculations</w:t>
      </w:r>
      <w:bookmarkEnd w:id="1441"/>
      <w:bookmarkEnd w:id="1442"/>
      <w:bookmarkEnd w:id="1443"/>
      <w:bookmarkEnd w:id="1444"/>
      <w:bookmarkEnd w:id="1445"/>
      <w:bookmarkEnd w:id="1446"/>
    </w:p>
    <w:p w:rsidR="00CA3B52" w:rsidRDefault="00CA3B52" w:rsidP="00CA3B52">
      <w:pPr>
        <w:pStyle w:val="Heading4"/>
        <w:rPr>
          <w:lang w:val="en-US"/>
        </w:rPr>
      </w:pPr>
      <w:r w:rsidRPr="00CB6CBA">
        <w:rPr>
          <w:lang w:val="en-US"/>
        </w:rPr>
        <w:t>4.</w:t>
      </w:r>
      <w:r>
        <w:rPr>
          <w:lang w:val="en-US"/>
        </w:rPr>
        <w:t>7</w:t>
      </w:r>
      <w:r w:rsidRPr="00CB6CBA">
        <w:rPr>
          <w:lang w:val="en-US"/>
        </w:rPr>
        <w:t>.7.1</w:t>
      </w:r>
      <w:r w:rsidRPr="00CB6CBA">
        <w:rPr>
          <w:lang w:val="en-US"/>
        </w:rPr>
        <w:tab/>
        <w:t>Aeronautical radio communications</w:t>
      </w:r>
    </w:p>
    <w:p w:rsidR="00CA3B52" w:rsidRPr="00CB6CBA" w:rsidRDefault="00CA3B52" w:rsidP="00CA3B52">
      <w:pPr>
        <w:pStyle w:val="Headingb"/>
        <w:rPr>
          <w:lang w:val="en-US"/>
        </w:rPr>
      </w:pPr>
      <w:r w:rsidRPr="00CB6CBA">
        <w:rPr>
          <w:lang w:val="en-US"/>
        </w:rPr>
        <w:t>a)</w:t>
      </w:r>
      <w:r w:rsidRPr="00CB6CBA">
        <w:rPr>
          <w:lang w:val="en-US"/>
        </w:rPr>
        <w:tab/>
        <w:t>Incoming parameters</w:t>
      </w:r>
    </w:p>
    <w:p w:rsidR="00CA3B52" w:rsidRPr="00CB6CBA" w:rsidRDefault="00CA3B52" w:rsidP="00CA3B52">
      <w:pPr>
        <w:rPr>
          <w:lang w:val="en-US"/>
        </w:rPr>
      </w:pPr>
      <w:r w:rsidRPr="00CB6CBA">
        <w:rPr>
          <w:lang w:val="en-US"/>
        </w:rPr>
        <w:t xml:space="preserve">Let us calculate a spectral resource used by an aeronautical radiocommunication station working around the clock in 118-136 MHz band. Omnidirectional transmitting antenna height is 15 m and communications are provided with aircrafts flying at 10 000 m and higher, i.e. in accordance with </w:t>
      </w:r>
      <w:r w:rsidRPr="00CB6CBA">
        <w:rPr>
          <w:i/>
          <w:iCs/>
          <w:color w:val="000000"/>
          <w:lang w:val="en-US"/>
        </w:rPr>
        <w:t>R</w:t>
      </w:r>
      <w:r w:rsidRPr="00CB6CBA">
        <w:rPr>
          <w:i/>
          <w:iCs/>
          <w:color w:val="000000"/>
          <w:vertAlign w:val="subscript"/>
          <w:lang w:val="en-US"/>
        </w:rPr>
        <w:t xml:space="preserve">g </w:t>
      </w:r>
      <w:r w:rsidRPr="00CB6CBA">
        <w:rPr>
          <w:rFonts w:ascii="Symbol" w:hAnsi="Symbol"/>
          <w:color w:val="000000"/>
          <w:lang w:val="en-US"/>
        </w:rPr>
        <w:t></w:t>
      </w:r>
      <w:r w:rsidRPr="00CB6CBA">
        <w:rPr>
          <w:color w:val="000000"/>
          <w:lang w:val="en-US"/>
        </w:rPr>
        <w:t xml:space="preserve"> 429 km. </w:t>
      </w:r>
      <w:r w:rsidRPr="00CB6CBA">
        <w:rPr>
          <w:lang w:val="en-US"/>
        </w:rPr>
        <w:t>Let the largest occupied area lies in rural zone categorized by Table 1 as 0.8. Usual double-side AM is used (class of emission A3E), commercial quality.</w:t>
      </w:r>
    </w:p>
    <w:p w:rsidR="00CA3B52" w:rsidRPr="00CB6CBA" w:rsidRDefault="00CA3B52" w:rsidP="00CA3B52">
      <w:pPr>
        <w:pStyle w:val="Headingb"/>
        <w:rPr>
          <w:rFonts w:eastAsia="SimSun"/>
          <w:lang w:val="en-US" w:eastAsia="zh-CN"/>
        </w:rPr>
      </w:pPr>
      <w:r w:rsidRPr="00CB6CBA">
        <w:rPr>
          <w:rFonts w:eastAsia="SimSun"/>
          <w:lang w:val="en-US" w:eastAsia="zh-CN"/>
        </w:rPr>
        <w:t>b)</w:t>
      </w:r>
      <w:r w:rsidRPr="00CB6CBA">
        <w:rPr>
          <w:rFonts w:eastAsia="SimSun"/>
          <w:lang w:val="en-US" w:eastAsia="zh-CN"/>
        </w:rPr>
        <w:tab/>
        <w:t>Time and frequency resources used</w:t>
      </w:r>
    </w:p>
    <w:p w:rsidR="00CA3B52" w:rsidRDefault="00CA3B52" w:rsidP="00CA3B52">
      <w:pPr>
        <w:rPr>
          <w:lang w:val="en-US"/>
        </w:rPr>
      </w:pPr>
      <w:r w:rsidRPr="00CB6CBA">
        <w:rPr>
          <w:lang w:val="en-US"/>
        </w:rPr>
        <w:t>In accordance with equation (</w:t>
      </w:r>
      <w:r>
        <w:rPr>
          <w:lang w:val="en-US"/>
        </w:rPr>
        <w:t>21</w:t>
      </w:r>
      <w:r w:rsidRPr="00CB6CBA">
        <w:rPr>
          <w:lang w:val="en-US"/>
        </w:rPr>
        <w:t>), used time resource is:</w:t>
      </w:r>
    </w:p>
    <w:p w:rsidR="00CA3B52" w:rsidRDefault="00CA3B52" w:rsidP="00CA3B52">
      <w:pPr>
        <w:pStyle w:val="Blanc"/>
      </w:pPr>
    </w:p>
    <w:p w:rsidR="00CA3B52" w:rsidRPr="00CB6CBA" w:rsidRDefault="00CA3B52" w:rsidP="00CA3B52">
      <w:pPr>
        <w:pStyle w:val="Equation"/>
        <w:rPr>
          <w:lang w:val="en-US"/>
        </w:rPr>
      </w:pPr>
      <w:r w:rsidRPr="00CB6CBA">
        <w:rPr>
          <w:lang w:val="en-US"/>
        </w:rPr>
        <w:tab/>
      </w:r>
      <w:r w:rsidRPr="00CB6CBA">
        <w:rPr>
          <w:lang w:val="en-US"/>
        </w:rPr>
        <w:tab/>
      </w:r>
      <w:r w:rsidRPr="00CB6CBA">
        <w:rPr>
          <w:i/>
          <w:lang w:val="en-US"/>
        </w:rPr>
        <w:t>T</w:t>
      </w:r>
      <w:r w:rsidRPr="00CB6CBA">
        <w:rPr>
          <w:lang w:val="en-US"/>
        </w:rPr>
        <w:t xml:space="preserve"> = 24/24 (each day) </w:t>
      </w:r>
      <w:r w:rsidRPr="00CB6CBA">
        <w:rPr>
          <w:rFonts w:ascii="Symbol" w:hAnsi="Symbol"/>
          <w:lang w:val="en-US"/>
        </w:rPr>
        <w:t></w:t>
      </w:r>
      <w:r w:rsidRPr="00CB6CBA">
        <w:rPr>
          <w:lang w:val="en-US"/>
        </w:rPr>
        <w:t xml:space="preserve"> 1 year</w:t>
      </w:r>
    </w:p>
    <w:p w:rsidR="00CA3B52" w:rsidRDefault="00CA3B52" w:rsidP="00CA3B52">
      <w:pPr>
        <w:rPr>
          <w:lang w:val="en-US"/>
        </w:rPr>
      </w:pPr>
      <w:r w:rsidRPr="00CB6CBA">
        <w:rPr>
          <w:lang w:val="en-US"/>
        </w:rPr>
        <w:lastRenderedPageBreak/>
        <w:t xml:space="preserve">Following Recommendation ITU-R SM.1138-2, “Amplitude modulation”, </w:t>
      </w:r>
      <w:r>
        <w:rPr>
          <w:lang w:val="en-US"/>
        </w:rPr>
        <w:t>I</w:t>
      </w:r>
      <w:r w:rsidRPr="00CB6CBA">
        <w:rPr>
          <w:lang w:val="en-US"/>
        </w:rPr>
        <w:t>tem 2 “Telephony (commercial quality)”, double-sideband (class of emission A3E), related necessary bandwidth is 6</w:t>
      </w:r>
      <w:r>
        <w:rPr>
          <w:lang w:val="en-US"/>
        </w:rPr>
        <w:t> </w:t>
      </w:r>
      <w:r w:rsidRPr="00CB6CBA">
        <w:rPr>
          <w:lang w:val="en-US"/>
        </w:rPr>
        <w:t>kHz. Therefore, used frequency resource, accepting in equation (</w:t>
      </w:r>
      <w:r>
        <w:rPr>
          <w:lang w:val="en-US"/>
        </w:rPr>
        <w:t>24</w:t>
      </w:r>
      <w:r w:rsidRPr="00CB6CBA">
        <w:rPr>
          <w:lang w:val="en-US"/>
        </w:rPr>
        <w:t>)</w:t>
      </w:r>
      <w:r>
        <w:rPr>
          <w:lang w:val="en-US"/>
        </w:rPr>
        <w:t xml:space="preserve"> </w:t>
      </w:r>
      <w:r>
        <w:rPr>
          <w:lang w:val="en-US"/>
        </w:rPr>
        <w:sym w:font="Symbol" w:char="F063"/>
      </w:r>
      <w:r w:rsidRPr="00CB6CBA">
        <w:rPr>
          <w:lang w:val="en-US"/>
        </w:rPr>
        <w:t> </w:t>
      </w:r>
      <w:r>
        <w:rPr>
          <w:lang w:val="en-US"/>
        </w:rPr>
        <w:t>=</w:t>
      </w:r>
      <w:r w:rsidRPr="00CB6CBA">
        <w:rPr>
          <w:lang w:val="en-US"/>
        </w:rPr>
        <w:t> 1, can be found as:</w:t>
      </w:r>
    </w:p>
    <w:p w:rsidR="00CA3B52" w:rsidRDefault="00CA3B52" w:rsidP="00CA3B52">
      <w:pPr>
        <w:pStyle w:val="Blanc"/>
      </w:pPr>
    </w:p>
    <w:p w:rsidR="00CA3B52" w:rsidRPr="00CB6CBA" w:rsidRDefault="00CA3B52" w:rsidP="00CA3B52">
      <w:pPr>
        <w:pStyle w:val="Equation"/>
        <w:rPr>
          <w:lang w:val="en-US"/>
        </w:rPr>
      </w:pPr>
      <w:r w:rsidRPr="00CB6CBA">
        <w:rPr>
          <w:lang w:val="en-US"/>
        </w:rPr>
        <w:tab/>
      </w:r>
      <w:r w:rsidRPr="00CB6CBA">
        <w:rPr>
          <w:lang w:val="en-US"/>
        </w:rPr>
        <w:tab/>
      </w:r>
      <w:r w:rsidRPr="00CB6CBA">
        <w:rPr>
          <w:i/>
          <w:lang w:val="en-US"/>
        </w:rPr>
        <w:t>F</w:t>
      </w:r>
      <w:r w:rsidRPr="00CB6CBA">
        <w:rPr>
          <w:lang w:val="en-US"/>
        </w:rPr>
        <w:t xml:space="preserve"> </w:t>
      </w:r>
      <w:r w:rsidRPr="00CB6CBA">
        <w:rPr>
          <w:rFonts w:ascii="Symbol" w:hAnsi="Symbol"/>
          <w:lang w:val="en-US"/>
        </w:rPr>
        <w:t></w:t>
      </w:r>
      <w:r>
        <w:rPr>
          <w:lang w:val="en-US"/>
        </w:rPr>
        <w:t xml:space="preserve"> 0.006 MHz</w:t>
      </w:r>
    </w:p>
    <w:p w:rsidR="00CA3B52" w:rsidRDefault="00CA3B52" w:rsidP="00CA3B52">
      <w:pPr>
        <w:pStyle w:val="Blanc"/>
      </w:pPr>
    </w:p>
    <w:p w:rsidR="00CA3B52" w:rsidRPr="00CB6CBA" w:rsidRDefault="00CA3B52" w:rsidP="00CA3B52">
      <w:pPr>
        <w:pStyle w:val="Headingb"/>
        <w:rPr>
          <w:rFonts w:eastAsia="SimSun"/>
          <w:lang w:val="en-US" w:eastAsia="zh-CN"/>
        </w:rPr>
      </w:pPr>
      <w:r w:rsidRPr="00CB6CBA">
        <w:rPr>
          <w:rFonts w:eastAsia="SimSun"/>
          <w:lang w:val="en-US" w:eastAsia="zh-CN"/>
        </w:rPr>
        <w:t>c)</w:t>
      </w:r>
      <w:r w:rsidRPr="00CB6CBA">
        <w:rPr>
          <w:rFonts w:eastAsia="SimSun"/>
          <w:lang w:val="en-US" w:eastAsia="zh-CN"/>
        </w:rPr>
        <w:tab/>
        <w:t>Territorial resource used</w:t>
      </w:r>
    </w:p>
    <w:p w:rsidR="00CA3B52" w:rsidRDefault="00CA3B52" w:rsidP="00CA3B52">
      <w:pPr>
        <w:rPr>
          <w:lang w:val="en-US"/>
        </w:rPr>
      </w:pPr>
      <w:r w:rsidRPr="00CB6CBA">
        <w:rPr>
          <w:lang w:val="en-US"/>
        </w:rPr>
        <w:t xml:space="preserve">Substituting </w:t>
      </w:r>
      <w:r w:rsidRPr="00CB6CBA">
        <w:rPr>
          <w:i/>
          <w:iCs/>
          <w:lang w:val="en-US"/>
        </w:rPr>
        <w:t>R</w:t>
      </w:r>
      <w:r w:rsidRPr="00CB6CBA">
        <w:rPr>
          <w:i/>
          <w:iCs/>
          <w:vertAlign w:val="subscript"/>
          <w:lang w:val="en-US"/>
        </w:rPr>
        <w:t xml:space="preserve">g </w:t>
      </w:r>
      <w:r w:rsidRPr="00CB6CBA">
        <w:rPr>
          <w:rFonts w:ascii="Symbol" w:hAnsi="Symbol"/>
          <w:lang w:val="en-US"/>
        </w:rPr>
        <w:t></w:t>
      </w:r>
      <w:r w:rsidRPr="00CB6CBA">
        <w:rPr>
          <w:lang w:val="en-US"/>
        </w:rPr>
        <w:t xml:space="preserve"> 429 km into equation (</w:t>
      </w:r>
      <w:r>
        <w:rPr>
          <w:lang w:val="en-US"/>
        </w:rPr>
        <w:t>31</w:t>
      </w:r>
      <w:r w:rsidRPr="00CB6CBA">
        <w:rPr>
          <w:lang w:val="en-US"/>
        </w:rPr>
        <w:t>) we get:</w:t>
      </w:r>
    </w:p>
    <w:p w:rsidR="00CA3B52" w:rsidRDefault="00CA3B52" w:rsidP="00CA3B52">
      <w:pPr>
        <w:pStyle w:val="Blanc"/>
      </w:pPr>
    </w:p>
    <w:p w:rsidR="00CA3B52" w:rsidRPr="00CB6CBA" w:rsidRDefault="00CA3B52" w:rsidP="00F65451">
      <w:pPr>
        <w:pStyle w:val="Equation"/>
        <w:rPr>
          <w:lang w:val="en-US"/>
        </w:rPr>
      </w:pPr>
      <w:r>
        <w:rPr>
          <w:i/>
          <w:iCs/>
          <w:lang w:val="en-US"/>
        </w:rPr>
        <w:tab/>
      </w:r>
      <w:r>
        <w:rPr>
          <w:i/>
          <w:iCs/>
          <w:lang w:val="en-US"/>
        </w:rPr>
        <w:tab/>
      </w:r>
      <w:r w:rsidRPr="00CB6CBA">
        <w:rPr>
          <w:i/>
          <w:iCs/>
          <w:lang w:val="en-US"/>
        </w:rPr>
        <w:t>s</w:t>
      </w:r>
      <w:r w:rsidRPr="00CB6CBA">
        <w:rPr>
          <w:lang w:val="en-US"/>
        </w:rPr>
        <w:t xml:space="preserve"> </w:t>
      </w:r>
      <w:r w:rsidRPr="00CB6CBA">
        <w:rPr>
          <w:rFonts w:ascii="Symbol" w:hAnsi="Symbol"/>
          <w:lang w:val="en-US"/>
        </w:rPr>
        <w:t></w:t>
      </w:r>
      <w:r w:rsidRPr="00CB6CBA">
        <w:rPr>
          <w:lang w:val="en-US"/>
        </w:rPr>
        <w:t xml:space="preserve"> </w:t>
      </w:r>
      <w:r>
        <w:rPr>
          <w:rFonts w:asciiTheme="majorBidi" w:hAnsiTheme="majorBidi" w:cstheme="majorBidi"/>
          <w:lang w:val="en-US"/>
        </w:rPr>
        <w:sym w:font="Symbol" w:char="F070"/>
      </w:r>
      <w:r w:rsidRPr="00CB6CBA">
        <w:rPr>
          <w:lang w:val="en-US"/>
        </w:rPr>
        <w:t xml:space="preserve"> </w:t>
      </w:r>
      <w:r>
        <w:rPr>
          <w:lang w:val="en-US"/>
        </w:rPr>
        <w:sym w:font="Symbol" w:char="F0D7"/>
      </w:r>
      <w:r w:rsidRPr="00CB6CBA">
        <w:rPr>
          <w:lang w:val="en-US"/>
        </w:rPr>
        <w:t xml:space="preserve"> 429</w:t>
      </w:r>
      <w:r w:rsidRPr="00CB6CBA">
        <w:rPr>
          <w:vertAlign w:val="superscript"/>
          <w:lang w:val="en-US"/>
        </w:rPr>
        <w:t>2</w:t>
      </w:r>
      <w:r w:rsidRPr="00CB6CBA">
        <w:rPr>
          <w:lang w:val="en-US"/>
        </w:rPr>
        <w:t xml:space="preserve"> </w:t>
      </w:r>
      <w:r>
        <w:rPr>
          <w:lang w:val="en-US"/>
        </w:rPr>
        <w:t>=</w:t>
      </w:r>
      <w:r w:rsidRPr="00CB6CBA">
        <w:rPr>
          <w:lang w:val="en-US"/>
        </w:rPr>
        <w:t xml:space="preserve"> 578</w:t>
      </w:r>
      <w:r w:rsidRPr="00CB6CBA">
        <w:rPr>
          <w:rFonts w:ascii="Tms Rmn" w:hAnsi="Tms Rmn"/>
          <w:sz w:val="12"/>
          <w:lang w:val="en-US"/>
        </w:rPr>
        <w:t> </w:t>
      </w:r>
      <w:r w:rsidRPr="00CB6CBA">
        <w:rPr>
          <w:lang w:val="en-US"/>
        </w:rPr>
        <w:t xml:space="preserve">182 </w:t>
      </w:r>
      <w:r w:rsidRPr="00CB6CBA">
        <w:rPr>
          <w:bCs/>
          <w:lang w:val="en-US"/>
        </w:rPr>
        <w:t>km</w:t>
      </w:r>
      <w:r w:rsidRPr="00CB6CBA">
        <w:rPr>
          <w:bCs/>
          <w:vertAlign w:val="superscript"/>
          <w:lang w:val="en-US"/>
        </w:rPr>
        <w:t>2</w:t>
      </w:r>
    </w:p>
    <w:p w:rsidR="00CA3B52" w:rsidRDefault="00CA3B52" w:rsidP="00CA3B52">
      <w:pPr>
        <w:pStyle w:val="Blanc"/>
      </w:pPr>
    </w:p>
    <w:p w:rsidR="00CA3B52" w:rsidRDefault="00CA3B52" w:rsidP="00CA3B52">
      <w:pPr>
        <w:rPr>
          <w:lang w:val="en-US"/>
        </w:rPr>
      </w:pPr>
      <w:r w:rsidRPr="00CB6CBA">
        <w:rPr>
          <w:lang w:val="en-US"/>
        </w:rPr>
        <w:t xml:space="preserve">and, taking into account that </w:t>
      </w:r>
      <w:r w:rsidRPr="00CB6CBA">
        <w:rPr>
          <w:i/>
          <w:iCs/>
          <w:lang w:val="en-US"/>
        </w:rPr>
        <w:t>b</w:t>
      </w:r>
      <w:r w:rsidRPr="00CB6CBA">
        <w:rPr>
          <w:i/>
          <w:iCs/>
          <w:vertAlign w:val="subscript"/>
          <w:lang w:val="en-US"/>
        </w:rPr>
        <w:t>j</w:t>
      </w:r>
      <w:r w:rsidRPr="00CB6CBA">
        <w:rPr>
          <w:lang w:val="en-US"/>
        </w:rPr>
        <w:t xml:space="preserve"> = 0.8, from equation (</w:t>
      </w:r>
      <w:r>
        <w:rPr>
          <w:lang w:val="en-US"/>
        </w:rPr>
        <w:t>22</w:t>
      </w:r>
      <w:r w:rsidRPr="00CB6CBA">
        <w:rPr>
          <w:lang w:val="en-US"/>
        </w:rPr>
        <w:t>) it follows:</w:t>
      </w:r>
    </w:p>
    <w:p w:rsidR="00CA3B52" w:rsidRDefault="00CA3B52" w:rsidP="00CA3B52">
      <w:pPr>
        <w:pStyle w:val="Blanc"/>
      </w:pPr>
    </w:p>
    <w:p w:rsidR="00CA3B52" w:rsidRPr="00CB6CBA" w:rsidRDefault="00CA3B52" w:rsidP="00F65451">
      <w:pPr>
        <w:pStyle w:val="Equation"/>
        <w:rPr>
          <w:lang w:val="en-US"/>
        </w:rPr>
      </w:pPr>
      <w:r>
        <w:rPr>
          <w:i/>
          <w:iCs/>
          <w:lang w:val="en-US"/>
        </w:rPr>
        <w:tab/>
      </w:r>
      <w:r>
        <w:rPr>
          <w:i/>
          <w:iCs/>
          <w:lang w:val="en-US"/>
        </w:rPr>
        <w:tab/>
      </w:r>
      <w:r w:rsidRPr="00CB6CBA">
        <w:rPr>
          <w:i/>
          <w:iCs/>
          <w:lang w:val="en-US"/>
        </w:rPr>
        <w:t>S</w:t>
      </w:r>
      <w:r w:rsidRPr="00CB6CBA">
        <w:rPr>
          <w:lang w:val="en-US"/>
        </w:rPr>
        <w:t xml:space="preserve"> </w:t>
      </w:r>
      <w:r>
        <w:rPr>
          <w:lang w:val="en-US"/>
        </w:rPr>
        <w:t>=</w:t>
      </w:r>
      <w:r w:rsidRPr="00CB6CBA">
        <w:rPr>
          <w:lang w:val="en-US"/>
        </w:rPr>
        <w:t xml:space="preserve"> 0.8 </w:t>
      </w:r>
      <w:r>
        <w:rPr>
          <w:lang w:val="en-US"/>
        </w:rPr>
        <w:t>×</w:t>
      </w:r>
      <w:r w:rsidRPr="00CB6CBA">
        <w:rPr>
          <w:lang w:val="en-US"/>
        </w:rPr>
        <w:t xml:space="preserve"> </w:t>
      </w:r>
      <w:r w:rsidRPr="00CB6CBA">
        <w:rPr>
          <w:color w:val="000000"/>
          <w:lang w:val="en-US"/>
        </w:rPr>
        <w:t>578</w:t>
      </w:r>
      <w:r w:rsidRPr="00CB6CBA">
        <w:rPr>
          <w:rFonts w:ascii="Tms Rmn" w:hAnsi="Tms Rmn"/>
          <w:color w:val="000000"/>
          <w:sz w:val="12"/>
          <w:lang w:val="en-US"/>
        </w:rPr>
        <w:t> </w:t>
      </w:r>
      <w:r w:rsidRPr="00CB6CBA">
        <w:rPr>
          <w:color w:val="000000"/>
          <w:lang w:val="en-US"/>
        </w:rPr>
        <w:t xml:space="preserve">182 </w:t>
      </w:r>
      <w:r>
        <w:rPr>
          <w:color w:val="000000"/>
          <w:lang w:val="en-US"/>
        </w:rPr>
        <w:t>=</w:t>
      </w:r>
      <w:r w:rsidRPr="00CB6CBA">
        <w:rPr>
          <w:color w:val="000000"/>
          <w:lang w:val="en-US"/>
        </w:rPr>
        <w:t xml:space="preserve"> 462</w:t>
      </w:r>
      <w:r w:rsidRPr="00CB6CBA">
        <w:rPr>
          <w:rFonts w:ascii="Tms Rmn" w:hAnsi="Tms Rmn"/>
          <w:color w:val="000000"/>
          <w:sz w:val="12"/>
          <w:lang w:val="en-US"/>
        </w:rPr>
        <w:t> </w:t>
      </w:r>
      <w:r w:rsidRPr="00CB6CBA">
        <w:rPr>
          <w:color w:val="000000"/>
          <w:lang w:val="en-US"/>
        </w:rPr>
        <w:t xml:space="preserve">546 </w:t>
      </w:r>
      <w:r w:rsidRPr="00CB6CBA">
        <w:rPr>
          <w:bCs/>
          <w:lang w:val="en-US"/>
        </w:rPr>
        <w:t>km</w:t>
      </w:r>
      <w:r w:rsidRPr="00CB6CBA">
        <w:rPr>
          <w:bCs/>
          <w:vertAlign w:val="superscript"/>
          <w:lang w:val="en-US"/>
        </w:rPr>
        <w:t>2</w:t>
      </w:r>
    </w:p>
    <w:p w:rsidR="00CA3B52" w:rsidRDefault="00CA3B52" w:rsidP="00CA3B52">
      <w:pPr>
        <w:pStyle w:val="Blanc"/>
      </w:pPr>
    </w:p>
    <w:p w:rsidR="00CA3B52" w:rsidRPr="00CB6CBA" w:rsidRDefault="00CA3B52" w:rsidP="00CA3B52">
      <w:pPr>
        <w:pStyle w:val="Headingb"/>
        <w:rPr>
          <w:lang w:val="en-US"/>
        </w:rPr>
      </w:pPr>
      <w:r w:rsidRPr="00CB6CBA">
        <w:rPr>
          <w:lang w:val="en-US"/>
        </w:rPr>
        <w:t>d)</w:t>
      </w:r>
      <w:r w:rsidRPr="00CB6CBA">
        <w:rPr>
          <w:lang w:val="en-US"/>
        </w:rPr>
        <w:tab/>
        <w:t>Spectral resource used</w:t>
      </w:r>
    </w:p>
    <w:p w:rsidR="00CA3B52" w:rsidRDefault="00CA3B52" w:rsidP="00CA3B52">
      <w:pPr>
        <w:rPr>
          <w:lang w:val="en-US"/>
        </w:rPr>
      </w:pPr>
      <w:r w:rsidRPr="00CB6CBA">
        <w:rPr>
          <w:lang w:val="en-US"/>
        </w:rPr>
        <w:t>Substituting values calculated in (b) and (c) to equation (</w:t>
      </w:r>
      <w:r>
        <w:rPr>
          <w:lang w:val="en-US"/>
        </w:rPr>
        <w:t>20</w:t>
      </w:r>
      <w:r w:rsidRPr="00CB6CBA">
        <w:rPr>
          <w:lang w:val="en-US"/>
        </w:rPr>
        <w:t>), using values of weighting coefficients presented in Table 2 and taking into account non-sharing conditions (</w:t>
      </w:r>
      <w:r>
        <w:rPr>
          <w:lang w:val="en-US"/>
        </w:rPr>
        <w:sym w:font="Symbol" w:char="F062"/>
      </w:r>
      <w:r w:rsidRPr="00CB6CBA">
        <w:rPr>
          <w:lang w:val="en-US"/>
        </w:rPr>
        <w:t> </w:t>
      </w:r>
      <w:r>
        <w:rPr>
          <w:lang w:val="en-US"/>
        </w:rPr>
        <w:t>=</w:t>
      </w:r>
      <w:r w:rsidRPr="00CB6CBA">
        <w:rPr>
          <w:lang w:val="en-US"/>
        </w:rPr>
        <w:t> 1), we get finally:</w:t>
      </w:r>
    </w:p>
    <w:p w:rsidR="00CA3B52" w:rsidRDefault="00CA3B52" w:rsidP="00CA3B52">
      <w:pPr>
        <w:pStyle w:val="Blanc"/>
      </w:pPr>
    </w:p>
    <w:p w:rsidR="00CA3B52" w:rsidRPr="00CB6CBA" w:rsidRDefault="00CA3B52" w:rsidP="00F65451">
      <w:pPr>
        <w:pStyle w:val="Equation"/>
        <w:rPr>
          <w:lang w:val="en-US"/>
        </w:rPr>
      </w:pPr>
      <w:r>
        <w:rPr>
          <w:i/>
          <w:lang w:val="en-US"/>
        </w:rPr>
        <w:tab/>
      </w:r>
      <w:r>
        <w:rPr>
          <w:i/>
          <w:lang w:val="en-US"/>
        </w:rPr>
        <w:tab/>
      </w:r>
      <w:r w:rsidRPr="00CB6CBA">
        <w:rPr>
          <w:i/>
          <w:lang w:val="en-US"/>
        </w:rPr>
        <w:t>W</w:t>
      </w:r>
      <w:r w:rsidRPr="00CB6CBA">
        <w:rPr>
          <w:lang w:val="en-US"/>
        </w:rPr>
        <w:t xml:space="preserve"> </w:t>
      </w:r>
      <w:r>
        <w:rPr>
          <w:lang w:val="en-US"/>
        </w:rPr>
        <w:t>=</w:t>
      </w:r>
      <w:r w:rsidRPr="00CB6CBA">
        <w:rPr>
          <w:lang w:val="en-US"/>
        </w:rPr>
        <w:t xml:space="preserve"> 0.1 </w:t>
      </w:r>
      <w:r>
        <w:rPr>
          <w:lang w:val="en-US"/>
        </w:rPr>
        <w:t>×</w:t>
      </w:r>
      <w:r w:rsidRPr="00CB6CBA">
        <w:rPr>
          <w:lang w:val="en-US"/>
        </w:rPr>
        <w:t> 0.2 </w:t>
      </w:r>
      <w:r>
        <w:rPr>
          <w:lang w:val="en-US"/>
        </w:rPr>
        <w:t>×</w:t>
      </w:r>
      <w:r w:rsidRPr="00CB6CBA">
        <w:rPr>
          <w:lang w:val="en-US"/>
        </w:rPr>
        <w:t> 0.1 </w:t>
      </w:r>
      <w:r>
        <w:rPr>
          <w:lang w:val="en-US"/>
        </w:rPr>
        <w:t>×</w:t>
      </w:r>
      <w:r w:rsidRPr="00CB6CBA">
        <w:rPr>
          <w:lang w:val="en-US"/>
        </w:rPr>
        <w:t> 0.8 </w:t>
      </w:r>
      <w:r>
        <w:rPr>
          <w:lang w:val="en-US"/>
        </w:rPr>
        <w:t>×</w:t>
      </w:r>
      <w:r w:rsidRPr="00CB6CBA">
        <w:rPr>
          <w:lang w:val="en-US"/>
        </w:rPr>
        <w:t> 1 </w:t>
      </w:r>
      <w:r>
        <w:rPr>
          <w:lang w:val="en-US"/>
        </w:rPr>
        <w:t>×</w:t>
      </w:r>
      <w:r w:rsidRPr="00CB6CBA">
        <w:rPr>
          <w:lang w:val="en-US"/>
        </w:rPr>
        <w:t> 0.006 </w:t>
      </w:r>
      <w:r>
        <w:rPr>
          <w:lang w:val="en-US"/>
        </w:rPr>
        <w:t>×</w:t>
      </w:r>
      <w:r w:rsidRPr="00CB6CBA">
        <w:rPr>
          <w:lang w:val="en-US"/>
        </w:rPr>
        <w:t> 462</w:t>
      </w:r>
      <w:r w:rsidRPr="00CB6CBA">
        <w:rPr>
          <w:rFonts w:ascii="Tms Rmn" w:hAnsi="Tms Rmn"/>
          <w:sz w:val="12"/>
          <w:lang w:val="en-US"/>
        </w:rPr>
        <w:t> </w:t>
      </w:r>
      <w:r w:rsidRPr="00CB6CBA">
        <w:rPr>
          <w:lang w:val="en-US"/>
        </w:rPr>
        <w:t>546 </w:t>
      </w:r>
      <w:r>
        <w:rPr>
          <w:lang w:val="en-US"/>
        </w:rPr>
        <w:t>×</w:t>
      </w:r>
      <w:r w:rsidRPr="00CB6CBA">
        <w:rPr>
          <w:lang w:val="en-US"/>
        </w:rPr>
        <w:t> 1 </w:t>
      </w:r>
      <w:r>
        <w:rPr>
          <w:lang w:val="en-US"/>
        </w:rPr>
        <w:t>= 4.4       </w:t>
      </w:r>
      <w:r w:rsidRPr="00CB6CBA">
        <w:rPr>
          <w:lang w:val="en-US"/>
        </w:rPr>
        <w:t xml:space="preserve">MHz </w:t>
      </w:r>
      <w:r w:rsidRPr="00CB6CBA">
        <w:rPr>
          <w:szCs w:val="24"/>
          <w:lang w:val="en-US"/>
        </w:rPr>
        <w:sym w:font="Symbol" w:char="F0D7"/>
      </w:r>
      <w:r w:rsidRPr="00CB6CBA">
        <w:rPr>
          <w:lang w:val="en-US"/>
        </w:rPr>
        <w:t xml:space="preserve"> km</w:t>
      </w:r>
      <w:r w:rsidRPr="00CB6CBA">
        <w:rPr>
          <w:vertAlign w:val="superscript"/>
          <w:lang w:val="en-US"/>
        </w:rPr>
        <w:t>2</w:t>
      </w:r>
      <w:r w:rsidRPr="00CB6CBA">
        <w:rPr>
          <w:lang w:val="en-US"/>
        </w:rPr>
        <w:t xml:space="preserve"> </w:t>
      </w:r>
      <w:r w:rsidRPr="00CB6CBA">
        <w:rPr>
          <w:szCs w:val="24"/>
          <w:lang w:val="en-US"/>
        </w:rPr>
        <w:sym w:font="Symbol" w:char="F0D7"/>
      </w:r>
      <w:r w:rsidRPr="00CB6CBA">
        <w:rPr>
          <w:lang w:val="en-US"/>
        </w:rPr>
        <w:t xml:space="preserve"> 1 year</w:t>
      </w:r>
    </w:p>
    <w:p w:rsidR="00CA3B52" w:rsidRDefault="00CA3B52" w:rsidP="00CA3B52">
      <w:pPr>
        <w:pStyle w:val="Blanc"/>
      </w:pPr>
    </w:p>
    <w:p w:rsidR="00CA3B52" w:rsidRDefault="00CA3B52" w:rsidP="00CA3B52">
      <w:pPr>
        <w:pStyle w:val="Heading4"/>
        <w:rPr>
          <w:rFonts w:eastAsia="SimSun"/>
          <w:lang w:val="en-US" w:eastAsia="zh-CN"/>
        </w:rPr>
      </w:pPr>
      <w:r w:rsidRPr="00CB6CBA">
        <w:rPr>
          <w:rFonts w:eastAsia="SimSun"/>
          <w:lang w:val="en-US" w:eastAsia="zh-CN"/>
        </w:rPr>
        <w:t>4.</w:t>
      </w:r>
      <w:r>
        <w:rPr>
          <w:rFonts w:eastAsia="SimSun"/>
          <w:lang w:val="en-US" w:eastAsia="zh-CN"/>
        </w:rPr>
        <w:t>7</w:t>
      </w:r>
      <w:r w:rsidRPr="00CB6CBA">
        <w:rPr>
          <w:rFonts w:eastAsia="SimSun"/>
          <w:lang w:val="en-US" w:eastAsia="zh-CN"/>
        </w:rPr>
        <w:t>.7.2</w:t>
      </w:r>
      <w:r w:rsidRPr="00CB6CBA">
        <w:rPr>
          <w:rFonts w:eastAsia="SimSun"/>
          <w:lang w:val="en-US" w:eastAsia="zh-CN"/>
        </w:rPr>
        <w:tab/>
        <w:t>Primary radars</w:t>
      </w:r>
    </w:p>
    <w:p w:rsidR="00CA3B52" w:rsidRPr="00CB6CBA" w:rsidRDefault="00CA3B52" w:rsidP="00CA3B52">
      <w:pPr>
        <w:pStyle w:val="Headingb"/>
        <w:rPr>
          <w:lang w:val="en-US"/>
        </w:rPr>
      </w:pPr>
      <w:r w:rsidRPr="00CB6CBA">
        <w:rPr>
          <w:lang w:val="en-US"/>
        </w:rPr>
        <w:t>a)</w:t>
      </w:r>
      <w:r w:rsidRPr="00CB6CBA">
        <w:rPr>
          <w:lang w:val="en-US"/>
        </w:rPr>
        <w:tab/>
        <w:t>Incoming parameters</w:t>
      </w:r>
    </w:p>
    <w:p w:rsidR="00CA3B52" w:rsidRPr="00CB6CBA" w:rsidRDefault="00CA3B52" w:rsidP="00CA3B52">
      <w:pPr>
        <w:rPr>
          <w:lang w:val="en-US"/>
        </w:rPr>
      </w:pPr>
      <w:r w:rsidRPr="00CB6CBA">
        <w:rPr>
          <w:lang w:val="en-US"/>
        </w:rPr>
        <w:t xml:space="preserve">Let us calculate a spectral resource used by an aeronautical primary radar working around the clock with circularly rotating antenna of 15 m height and set aside for locating aircrafts flying at 10 000 m and higher. It means that in accordance with </w:t>
      </w:r>
      <w:r w:rsidRPr="00CB6CBA">
        <w:rPr>
          <w:i/>
          <w:iCs/>
          <w:color w:val="000000"/>
          <w:lang w:val="en-US"/>
        </w:rPr>
        <w:t>R</w:t>
      </w:r>
      <w:r w:rsidRPr="00CB6CBA">
        <w:rPr>
          <w:i/>
          <w:iCs/>
          <w:color w:val="000000"/>
          <w:vertAlign w:val="subscript"/>
          <w:lang w:val="en-US"/>
        </w:rPr>
        <w:t xml:space="preserve">g </w:t>
      </w:r>
      <w:r w:rsidRPr="00D125A3">
        <w:rPr>
          <w:lang w:val="en-US"/>
        </w:rPr>
        <w:t>=</w:t>
      </w:r>
      <w:r w:rsidRPr="00CB6CBA">
        <w:rPr>
          <w:color w:val="000000"/>
          <w:lang w:val="en-US"/>
        </w:rPr>
        <w:t xml:space="preserve"> 429 km. </w:t>
      </w:r>
      <w:r w:rsidRPr="00CB6CBA">
        <w:rPr>
          <w:lang w:val="en-US"/>
        </w:rPr>
        <w:t>Let the largest occupied area lies in rural zone categorized by Table 1 as 0.5. Radar uses shaped radio pulses with a half-amplitude duration equals 1 </w:t>
      </w:r>
      <w:r>
        <w:rPr>
          <w:lang w:val="en-US"/>
        </w:rPr>
        <w:sym w:font="Symbol" w:char="F06D"/>
      </w:r>
      <w:r w:rsidRPr="00CB6CBA">
        <w:rPr>
          <w:lang w:val="en-US"/>
        </w:rPr>
        <w:t>s.</w:t>
      </w:r>
    </w:p>
    <w:p w:rsidR="00CA3B52" w:rsidRPr="00CB6CBA" w:rsidRDefault="00CA3B52" w:rsidP="00CA3B52">
      <w:pPr>
        <w:pStyle w:val="Headingb"/>
        <w:rPr>
          <w:lang w:val="en-US"/>
        </w:rPr>
      </w:pPr>
      <w:r w:rsidRPr="00CB6CBA">
        <w:rPr>
          <w:lang w:val="en-US"/>
        </w:rPr>
        <w:t>b)</w:t>
      </w:r>
      <w:r w:rsidRPr="00CB6CBA">
        <w:rPr>
          <w:lang w:val="en-US"/>
        </w:rPr>
        <w:tab/>
        <w:t>Time and frequency resources used</w:t>
      </w:r>
    </w:p>
    <w:p w:rsidR="00CA3B52" w:rsidRDefault="00CA3B52" w:rsidP="00CA3B52">
      <w:pPr>
        <w:rPr>
          <w:lang w:val="en-US"/>
        </w:rPr>
      </w:pPr>
      <w:r w:rsidRPr="00CB6CBA">
        <w:rPr>
          <w:lang w:val="en-US"/>
        </w:rPr>
        <w:t>In accordance with equation (</w:t>
      </w:r>
      <w:r>
        <w:rPr>
          <w:lang w:val="en-US"/>
        </w:rPr>
        <w:t>21</w:t>
      </w:r>
      <w:r w:rsidRPr="00CB6CBA">
        <w:rPr>
          <w:lang w:val="en-US"/>
        </w:rPr>
        <w:t>), used time resource is:</w:t>
      </w:r>
    </w:p>
    <w:p w:rsidR="00CA3B52" w:rsidRDefault="00CA3B52" w:rsidP="00CA3B52">
      <w:pPr>
        <w:pStyle w:val="Blanc"/>
      </w:pPr>
    </w:p>
    <w:p w:rsidR="00CA3B52" w:rsidRPr="008A1E35" w:rsidRDefault="00CA3B52" w:rsidP="00CA3B52">
      <w:pPr>
        <w:pStyle w:val="Equation"/>
        <w:rPr>
          <w:rFonts w:asciiTheme="majorBidi" w:hAnsiTheme="majorBidi" w:cstheme="majorBidi"/>
          <w:lang w:val="en-US"/>
        </w:rPr>
      </w:pPr>
      <w:r w:rsidRPr="00CB6CBA">
        <w:rPr>
          <w:lang w:val="en-US"/>
        </w:rPr>
        <w:tab/>
      </w:r>
      <w:r w:rsidRPr="00CB6CBA">
        <w:rPr>
          <w:lang w:val="en-US"/>
        </w:rPr>
        <w:tab/>
      </w:r>
      <w:r w:rsidRPr="008A1E35">
        <w:rPr>
          <w:rFonts w:asciiTheme="majorBidi" w:hAnsiTheme="majorBidi" w:cstheme="majorBidi"/>
          <w:i/>
          <w:lang w:val="en-US"/>
        </w:rPr>
        <w:t>T</w:t>
      </w:r>
      <w:r w:rsidRPr="008A1E35">
        <w:rPr>
          <w:rFonts w:asciiTheme="majorBidi" w:hAnsiTheme="majorBidi" w:cstheme="majorBidi"/>
          <w:lang w:val="en-US"/>
        </w:rPr>
        <w:t xml:space="preserve"> </w:t>
      </w:r>
      <w:r>
        <w:rPr>
          <w:rFonts w:asciiTheme="majorBidi" w:hAnsiTheme="majorBidi" w:cstheme="majorBidi"/>
          <w:lang w:val="en-US"/>
        </w:rPr>
        <w:t>=</w:t>
      </w:r>
      <w:r w:rsidRPr="008A1E35">
        <w:rPr>
          <w:rFonts w:asciiTheme="majorBidi" w:hAnsiTheme="majorBidi" w:cstheme="majorBidi"/>
          <w:lang w:val="en-US"/>
        </w:rPr>
        <w:t xml:space="preserve"> 24/24 (each day) </w:t>
      </w:r>
      <w:r>
        <w:rPr>
          <w:rFonts w:asciiTheme="majorBidi" w:hAnsiTheme="majorBidi" w:cstheme="majorBidi"/>
          <w:lang w:val="en-US"/>
        </w:rPr>
        <w:t>=</w:t>
      </w:r>
      <w:r w:rsidRPr="008A1E35">
        <w:rPr>
          <w:rFonts w:asciiTheme="majorBidi" w:hAnsiTheme="majorBidi" w:cstheme="majorBidi"/>
          <w:lang w:val="en-US"/>
        </w:rPr>
        <w:t xml:space="preserve"> 1 year</w:t>
      </w:r>
    </w:p>
    <w:p w:rsidR="00CA3B52" w:rsidRDefault="00CA3B52" w:rsidP="00CA3B52">
      <w:pPr>
        <w:pStyle w:val="Blanc"/>
      </w:pPr>
    </w:p>
    <w:p w:rsidR="00CA3B52" w:rsidRDefault="00CA3B52" w:rsidP="00CA3B52">
      <w:pPr>
        <w:rPr>
          <w:lang w:val="en-US"/>
        </w:rPr>
      </w:pPr>
      <w:r w:rsidRPr="00CB6CBA">
        <w:rPr>
          <w:lang w:val="en-US"/>
        </w:rPr>
        <w:t xml:space="preserve">Following Recommendation ITU-R SM.1138-2 “Pulse modulation”, </w:t>
      </w:r>
      <w:r>
        <w:rPr>
          <w:lang w:val="en-US"/>
        </w:rPr>
        <w:t>I</w:t>
      </w:r>
      <w:r w:rsidRPr="00CB6CBA">
        <w:rPr>
          <w:lang w:val="en-US"/>
        </w:rPr>
        <w:t>tem 1“Radar”, primary radar (class of emission P0N), related necessary bandwidth is 3 MHz. Therefore, used frequency resource, accepting in equation (</w:t>
      </w:r>
      <w:r>
        <w:rPr>
          <w:lang w:val="en-US"/>
        </w:rPr>
        <w:t>24</w:t>
      </w:r>
      <w:r w:rsidRPr="00CB6CBA">
        <w:rPr>
          <w:lang w:val="en-US"/>
        </w:rPr>
        <w:t>)</w:t>
      </w:r>
      <w:r>
        <w:rPr>
          <w:lang w:val="en-US"/>
        </w:rPr>
        <w:t xml:space="preserve"> </w:t>
      </w:r>
      <w:r>
        <w:rPr>
          <w:lang w:val="en-US"/>
        </w:rPr>
        <w:sym w:font="Symbol" w:char="F063"/>
      </w:r>
      <w:r w:rsidRPr="00CB6CBA">
        <w:rPr>
          <w:lang w:val="en-US"/>
        </w:rPr>
        <w:t> = 0.1, can be found as:</w:t>
      </w:r>
    </w:p>
    <w:p w:rsidR="00CA3B52" w:rsidRDefault="00CA3B52" w:rsidP="00CA3B52">
      <w:pPr>
        <w:pStyle w:val="Blanc"/>
      </w:pPr>
    </w:p>
    <w:p w:rsidR="00CA3B52" w:rsidRPr="00CB6CBA" w:rsidRDefault="00CA3B52" w:rsidP="00F65451">
      <w:pPr>
        <w:pStyle w:val="Equation"/>
        <w:rPr>
          <w:lang w:val="en-US"/>
        </w:rPr>
      </w:pPr>
      <w:r>
        <w:rPr>
          <w:i/>
          <w:lang w:val="en-US"/>
        </w:rPr>
        <w:tab/>
      </w:r>
      <w:r>
        <w:rPr>
          <w:i/>
          <w:lang w:val="en-US"/>
        </w:rPr>
        <w:tab/>
      </w:r>
      <w:r w:rsidRPr="00CB6CBA">
        <w:rPr>
          <w:i/>
          <w:lang w:val="en-US"/>
        </w:rPr>
        <w:t>F</w:t>
      </w:r>
      <w:r w:rsidRPr="00CB6CBA">
        <w:rPr>
          <w:lang w:val="en-US"/>
        </w:rPr>
        <w:t xml:space="preserve"> </w:t>
      </w:r>
      <w:r w:rsidRPr="00CB6CBA">
        <w:rPr>
          <w:rFonts w:ascii="Symbol" w:hAnsi="Symbol"/>
          <w:lang w:val="en-US"/>
        </w:rPr>
        <w:t></w:t>
      </w:r>
      <w:r w:rsidRPr="00CB6CBA">
        <w:rPr>
          <w:lang w:val="en-US"/>
        </w:rPr>
        <w:t xml:space="preserve"> 0.1 </w:t>
      </w:r>
      <w:r>
        <w:rPr>
          <w:lang w:val="en-US"/>
        </w:rPr>
        <w:t>×</w:t>
      </w:r>
      <w:r w:rsidRPr="00CB6CBA">
        <w:rPr>
          <w:lang w:val="en-US"/>
        </w:rPr>
        <w:t xml:space="preserve"> 3 </w:t>
      </w:r>
      <w:r>
        <w:rPr>
          <w:lang w:val="en-US"/>
        </w:rPr>
        <w:t>=</w:t>
      </w:r>
      <w:r w:rsidRPr="00CB6CBA">
        <w:rPr>
          <w:lang w:val="en-US"/>
        </w:rPr>
        <w:t xml:space="preserve"> 0.3 MHz</w:t>
      </w:r>
    </w:p>
    <w:p w:rsidR="00CA3B52" w:rsidRDefault="00CA3B52" w:rsidP="00CA3B52">
      <w:pPr>
        <w:pStyle w:val="Blanc"/>
      </w:pPr>
    </w:p>
    <w:p w:rsidR="00CA3B52" w:rsidRPr="00CB6CBA" w:rsidRDefault="00CA3B52" w:rsidP="00CA3B52">
      <w:pPr>
        <w:pStyle w:val="Headingb"/>
        <w:rPr>
          <w:lang w:val="en-US"/>
        </w:rPr>
      </w:pPr>
      <w:r w:rsidRPr="00CB6CBA">
        <w:rPr>
          <w:lang w:val="en-US"/>
        </w:rPr>
        <w:t>c)</w:t>
      </w:r>
      <w:r w:rsidRPr="00CB6CBA">
        <w:rPr>
          <w:lang w:val="en-US"/>
        </w:rPr>
        <w:tab/>
        <w:t>Territorial resource used</w:t>
      </w:r>
    </w:p>
    <w:p w:rsidR="00CA3B52" w:rsidRDefault="00CA3B52" w:rsidP="00CA3B52">
      <w:pPr>
        <w:rPr>
          <w:lang w:val="en-US"/>
        </w:rPr>
      </w:pPr>
      <w:r w:rsidRPr="00CB6CBA">
        <w:rPr>
          <w:lang w:val="en-US"/>
        </w:rPr>
        <w:t xml:space="preserve">Substituting </w:t>
      </w:r>
      <w:r w:rsidRPr="00CB6CBA">
        <w:rPr>
          <w:i/>
          <w:iCs/>
          <w:lang w:val="en-US"/>
        </w:rPr>
        <w:t>R</w:t>
      </w:r>
      <w:r w:rsidRPr="00CB6CBA">
        <w:rPr>
          <w:i/>
          <w:iCs/>
          <w:vertAlign w:val="subscript"/>
          <w:lang w:val="en-US"/>
        </w:rPr>
        <w:t xml:space="preserve">g </w:t>
      </w:r>
      <w:r w:rsidRPr="00D125A3">
        <w:rPr>
          <w:lang w:val="en-US"/>
        </w:rPr>
        <w:t>=</w:t>
      </w:r>
      <w:r w:rsidRPr="00CB6CBA">
        <w:rPr>
          <w:lang w:val="en-US"/>
        </w:rPr>
        <w:t xml:space="preserve"> 429 km to equation (</w:t>
      </w:r>
      <w:r>
        <w:rPr>
          <w:lang w:val="en-US"/>
        </w:rPr>
        <w:t>31</w:t>
      </w:r>
      <w:r w:rsidRPr="00CB6CBA">
        <w:rPr>
          <w:lang w:val="en-US"/>
        </w:rPr>
        <w:t>) we get:</w:t>
      </w:r>
    </w:p>
    <w:p w:rsidR="00CA3B52" w:rsidRDefault="00CA3B52" w:rsidP="00CA3B52">
      <w:pPr>
        <w:pStyle w:val="Blanc"/>
      </w:pPr>
    </w:p>
    <w:p w:rsidR="00CA3B52" w:rsidRPr="00CB6CBA" w:rsidRDefault="00CA3B52" w:rsidP="00F65451">
      <w:pPr>
        <w:pStyle w:val="Equation"/>
        <w:rPr>
          <w:lang w:val="en-US"/>
        </w:rPr>
      </w:pPr>
      <w:r>
        <w:rPr>
          <w:i/>
          <w:iCs/>
          <w:lang w:val="en-US"/>
        </w:rPr>
        <w:tab/>
      </w:r>
      <w:r>
        <w:rPr>
          <w:i/>
          <w:iCs/>
          <w:lang w:val="en-US"/>
        </w:rPr>
        <w:tab/>
      </w:r>
      <w:r w:rsidRPr="00CB6CBA">
        <w:rPr>
          <w:i/>
          <w:iCs/>
          <w:lang w:val="en-US"/>
        </w:rPr>
        <w:t>s</w:t>
      </w:r>
      <w:r w:rsidRPr="00CB6CBA">
        <w:rPr>
          <w:lang w:val="en-US"/>
        </w:rPr>
        <w:t xml:space="preserve"> </w:t>
      </w:r>
      <w:r>
        <w:rPr>
          <w:lang w:val="en-US"/>
        </w:rPr>
        <w:t>=</w:t>
      </w:r>
      <w:r w:rsidRPr="00CB6CBA">
        <w:rPr>
          <w:lang w:val="en-US"/>
        </w:rPr>
        <w:t xml:space="preserve"> </w:t>
      </w:r>
      <w:r>
        <w:rPr>
          <w:lang w:val="en-US"/>
        </w:rPr>
        <w:sym w:font="Symbol" w:char="F070"/>
      </w:r>
      <w:r w:rsidRPr="00CB6CBA">
        <w:rPr>
          <w:lang w:val="en-US"/>
        </w:rPr>
        <w:t xml:space="preserve"> </w:t>
      </w:r>
      <w:r>
        <w:rPr>
          <w:lang w:val="en-US"/>
        </w:rPr>
        <w:sym w:font="Symbol" w:char="F0D7"/>
      </w:r>
      <w:r w:rsidRPr="00CB6CBA">
        <w:rPr>
          <w:lang w:val="en-US"/>
        </w:rPr>
        <w:t xml:space="preserve"> 429</w:t>
      </w:r>
      <w:r w:rsidRPr="00CB6CBA">
        <w:rPr>
          <w:vertAlign w:val="superscript"/>
          <w:lang w:val="en-US"/>
        </w:rPr>
        <w:t>2</w:t>
      </w:r>
      <w:r>
        <w:rPr>
          <w:vertAlign w:val="superscript"/>
          <w:lang w:val="en-US"/>
        </w:rPr>
        <w:t xml:space="preserve"> </w:t>
      </w:r>
      <w:r w:rsidRPr="008A1E35">
        <w:rPr>
          <w:lang w:val="en-US"/>
        </w:rPr>
        <w:t>=</w:t>
      </w:r>
      <w:r>
        <w:rPr>
          <w:lang w:val="en-US"/>
        </w:rPr>
        <w:t> </w:t>
      </w:r>
      <w:r w:rsidRPr="00CB6CBA">
        <w:rPr>
          <w:lang w:val="en-US"/>
        </w:rPr>
        <w:t>578</w:t>
      </w:r>
      <w:r w:rsidRPr="00CB6CBA">
        <w:rPr>
          <w:rFonts w:ascii="Tms Rmn" w:hAnsi="Tms Rmn"/>
          <w:sz w:val="12"/>
          <w:lang w:val="en-US"/>
        </w:rPr>
        <w:t> </w:t>
      </w:r>
      <w:r w:rsidRPr="00CB6CBA">
        <w:rPr>
          <w:lang w:val="en-US"/>
        </w:rPr>
        <w:t xml:space="preserve">182 </w:t>
      </w:r>
      <w:r w:rsidRPr="00CB6CBA">
        <w:rPr>
          <w:bCs/>
          <w:lang w:val="en-US"/>
        </w:rPr>
        <w:t>km</w:t>
      </w:r>
      <w:r w:rsidRPr="00CB6CBA">
        <w:rPr>
          <w:bCs/>
          <w:vertAlign w:val="superscript"/>
          <w:lang w:val="en-US"/>
        </w:rPr>
        <w:t>2</w:t>
      </w:r>
    </w:p>
    <w:p w:rsidR="00CA3B52" w:rsidRDefault="00CA3B52" w:rsidP="00CA3B52">
      <w:pPr>
        <w:keepNext/>
        <w:keepLines/>
        <w:rPr>
          <w:lang w:val="en-US"/>
        </w:rPr>
      </w:pPr>
      <w:r w:rsidRPr="00CB6CBA">
        <w:rPr>
          <w:lang w:val="en-US"/>
        </w:rPr>
        <w:lastRenderedPageBreak/>
        <w:t xml:space="preserve">and, taking into account that </w:t>
      </w:r>
      <w:r w:rsidRPr="00CB6CBA">
        <w:rPr>
          <w:i/>
          <w:iCs/>
          <w:lang w:val="en-US"/>
        </w:rPr>
        <w:t>b</w:t>
      </w:r>
      <w:r w:rsidRPr="00CB6CBA">
        <w:rPr>
          <w:i/>
          <w:iCs/>
          <w:vertAlign w:val="subscript"/>
          <w:lang w:val="en-US"/>
        </w:rPr>
        <w:t>j</w:t>
      </w:r>
      <w:r w:rsidRPr="00CB6CBA">
        <w:rPr>
          <w:lang w:val="en-US"/>
        </w:rPr>
        <w:t xml:space="preserve"> = 0.5, from equation (</w:t>
      </w:r>
      <w:r>
        <w:rPr>
          <w:lang w:val="en-US"/>
        </w:rPr>
        <w:t>22</w:t>
      </w:r>
      <w:r w:rsidRPr="00CB6CBA">
        <w:rPr>
          <w:lang w:val="en-US"/>
        </w:rPr>
        <w:t>) it follows:</w:t>
      </w:r>
    </w:p>
    <w:p w:rsidR="00CA3B52" w:rsidRDefault="00CA3B52" w:rsidP="00CA3B52">
      <w:pPr>
        <w:pStyle w:val="Blanc"/>
      </w:pPr>
    </w:p>
    <w:p w:rsidR="00CA3B52" w:rsidRPr="00CB6CBA" w:rsidRDefault="00CA3B52" w:rsidP="00F65451">
      <w:pPr>
        <w:pStyle w:val="Equation"/>
        <w:keepNext/>
        <w:keepLines/>
        <w:rPr>
          <w:lang w:val="en-US"/>
        </w:rPr>
      </w:pPr>
      <w:r>
        <w:rPr>
          <w:i/>
          <w:iCs/>
          <w:lang w:val="en-US"/>
        </w:rPr>
        <w:tab/>
      </w:r>
      <w:r>
        <w:rPr>
          <w:i/>
          <w:iCs/>
          <w:lang w:val="en-US"/>
        </w:rPr>
        <w:tab/>
      </w:r>
      <w:r w:rsidRPr="00CB6CBA">
        <w:rPr>
          <w:i/>
          <w:iCs/>
          <w:lang w:val="en-US"/>
        </w:rPr>
        <w:t>S</w:t>
      </w:r>
      <w:r w:rsidRPr="00CB6CBA">
        <w:rPr>
          <w:lang w:val="en-US"/>
        </w:rPr>
        <w:t xml:space="preserve"> </w:t>
      </w:r>
      <w:r w:rsidRPr="00CB6CBA">
        <w:rPr>
          <w:rFonts w:ascii="Symbol" w:hAnsi="Symbol"/>
          <w:lang w:val="en-US"/>
        </w:rPr>
        <w:t></w:t>
      </w:r>
      <w:r w:rsidRPr="00CB6CBA">
        <w:rPr>
          <w:lang w:val="en-US"/>
        </w:rPr>
        <w:t xml:space="preserve"> 0.5 </w:t>
      </w:r>
      <w:r>
        <w:rPr>
          <w:lang w:val="en-US"/>
        </w:rPr>
        <w:t>×</w:t>
      </w:r>
      <w:r w:rsidRPr="00CB6CBA">
        <w:rPr>
          <w:lang w:val="en-US"/>
        </w:rPr>
        <w:t> </w:t>
      </w:r>
      <w:r w:rsidRPr="00CB6CBA">
        <w:rPr>
          <w:color w:val="000000"/>
          <w:lang w:val="en-US"/>
        </w:rPr>
        <w:t>578</w:t>
      </w:r>
      <w:r w:rsidRPr="00CB6CBA">
        <w:rPr>
          <w:rFonts w:ascii="Tms Rmn" w:hAnsi="Tms Rmn"/>
          <w:color w:val="000000"/>
          <w:sz w:val="12"/>
          <w:lang w:val="en-US"/>
        </w:rPr>
        <w:t> </w:t>
      </w:r>
      <w:r w:rsidRPr="00CB6CBA">
        <w:rPr>
          <w:color w:val="000000"/>
          <w:lang w:val="en-US"/>
        </w:rPr>
        <w:t xml:space="preserve">182 </w:t>
      </w:r>
      <w:r w:rsidRPr="00CB6CBA">
        <w:rPr>
          <w:rFonts w:ascii="Symbol" w:hAnsi="Symbol"/>
          <w:color w:val="000000"/>
          <w:lang w:val="en-US"/>
        </w:rPr>
        <w:t></w:t>
      </w:r>
      <w:r w:rsidRPr="00CB6CBA">
        <w:rPr>
          <w:color w:val="000000"/>
          <w:lang w:val="en-US"/>
        </w:rPr>
        <w:t xml:space="preserve"> 289</w:t>
      </w:r>
      <w:r w:rsidRPr="00CB6CBA">
        <w:rPr>
          <w:rFonts w:ascii="Tms Rmn" w:hAnsi="Tms Rmn"/>
          <w:color w:val="000000"/>
          <w:sz w:val="12"/>
          <w:lang w:val="en-US"/>
        </w:rPr>
        <w:t> </w:t>
      </w:r>
      <w:r w:rsidRPr="00CB6CBA">
        <w:rPr>
          <w:color w:val="000000"/>
          <w:lang w:val="en-US"/>
        </w:rPr>
        <w:t xml:space="preserve">091 </w:t>
      </w:r>
      <w:r w:rsidRPr="00CB6CBA">
        <w:rPr>
          <w:bCs/>
          <w:lang w:val="en-US"/>
        </w:rPr>
        <w:t>km</w:t>
      </w:r>
      <w:r w:rsidRPr="00CB6CBA">
        <w:rPr>
          <w:vertAlign w:val="superscript"/>
          <w:lang w:val="en-US"/>
        </w:rPr>
        <w:t>2</w:t>
      </w:r>
    </w:p>
    <w:p w:rsidR="00CA3B52" w:rsidRDefault="00CA3B52" w:rsidP="00CA3B52">
      <w:pPr>
        <w:pStyle w:val="Blanc"/>
      </w:pPr>
    </w:p>
    <w:p w:rsidR="00CA3B52" w:rsidRPr="00CB6CBA" w:rsidRDefault="00CA3B52" w:rsidP="00CA3B52">
      <w:pPr>
        <w:pStyle w:val="Headingb"/>
        <w:rPr>
          <w:lang w:val="en-US"/>
        </w:rPr>
      </w:pPr>
      <w:r w:rsidRPr="00CB6CBA">
        <w:rPr>
          <w:lang w:val="en-US"/>
        </w:rPr>
        <w:t>d)</w:t>
      </w:r>
      <w:r w:rsidRPr="00CB6CBA">
        <w:rPr>
          <w:lang w:val="en-US"/>
        </w:rPr>
        <w:tab/>
        <w:t>Spectral resource used</w:t>
      </w:r>
    </w:p>
    <w:p w:rsidR="00CA3B52" w:rsidRDefault="00CA3B52" w:rsidP="00CA3B52">
      <w:pPr>
        <w:rPr>
          <w:lang w:val="en-US"/>
        </w:rPr>
      </w:pPr>
      <w:r w:rsidRPr="00CB6CBA">
        <w:rPr>
          <w:lang w:val="en-US"/>
        </w:rPr>
        <w:t>Substituting values calculated in §</w:t>
      </w:r>
      <w:r>
        <w:rPr>
          <w:lang w:val="en-US"/>
        </w:rPr>
        <w:t>§</w:t>
      </w:r>
      <w:r w:rsidRPr="00CB6CBA">
        <w:rPr>
          <w:lang w:val="en-US"/>
        </w:rPr>
        <w:t xml:space="preserve"> 1.3.3.3.2.2 and 1.3.3.3.2.3 to equation (</w:t>
      </w:r>
      <w:r>
        <w:rPr>
          <w:lang w:val="en-US"/>
        </w:rPr>
        <w:t>20</w:t>
      </w:r>
      <w:r w:rsidRPr="00CB6CBA">
        <w:rPr>
          <w:lang w:val="en-US"/>
        </w:rPr>
        <w:t>), using values of weighting coefficients presented in Table 2 and taking into account non-sharing conditions (</w:t>
      </w:r>
      <w:r>
        <w:rPr>
          <w:lang w:val="en-US"/>
        </w:rPr>
        <w:sym w:font="Symbol" w:char="F062"/>
      </w:r>
      <w:r w:rsidRPr="00CB6CBA">
        <w:rPr>
          <w:lang w:val="en-US"/>
        </w:rPr>
        <w:t> </w:t>
      </w:r>
      <w:r>
        <w:rPr>
          <w:lang w:val="en-US"/>
        </w:rPr>
        <w:t>=</w:t>
      </w:r>
      <w:r w:rsidRPr="00CB6CBA">
        <w:rPr>
          <w:lang w:val="en-US"/>
        </w:rPr>
        <w:t> 1), we get finally:</w:t>
      </w:r>
    </w:p>
    <w:p w:rsidR="00CA3B52" w:rsidRDefault="00CA3B52" w:rsidP="00CA3B52">
      <w:pPr>
        <w:pStyle w:val="Blanc"/>
      </w:pPr>
    </w:p>
    <w:p w:rsidR="00CA3B52" w:rsidRPr="00CB6CBA" w:rsidRDefault="00CA3B52" w:rsidP="00F65451">
      <w:pPr>
        <w:pStyle w:val="Equation"/>
        <w:rPr>
          <w:lang w:val="en-US"/>
        </w:rPr>
      </w:pPr>
      <w:r>
        <w:rPr>
          <w:i/>
          <w:lang w:val="en-US"/>
        </w:rPr>
        <w:tab/>
      </w:r>
      <w:r w:rsidRPr="00CB6CBA">
        <w:rPr>
          <w:i/>
          <w:lang w:val="en-US"/>
        </w:rPr>
        <w:t>W</w:t>
      </w:r>
      <w:r w:rsidRPr="00CB6CBA">
        <w:rPr>
          <w:lang w:val="en-US"/>
        </w:rPr>
        <w:t xml:space="preserve"> </w:t>
      </w:r>
      <w:r>
        <w:rPr>
          <w:lang w:val="en-US"/>
        </w:rPr>
        <w:t>=</w:t>
      </w:r>
      <w:r w:rsidRPr="00CB6CBA">
        <w:rPr>
          <w:lang w:val="en-US"/>
        </w:rPr>
        <w:t xml:space="preserve"> 0.1 </w:t>
      </w:r>
      <w:r>
        <w:rPr>
          <w:lang w:val="en-US"/>
        </w:rPr>
        <w:t>×</w:t>
      </w:r>
      <w:r w:rsidRPr="00CB6CBA">
        <w:rPr>
          <w:lang w:val="en-US"/>
        </w:rPr>
        <w:t> 0.02 </w:t>
      </w:r>
      <w:r>
        <w:rPr>
          <w:lang w:val="en-US"/>
        </w:rPr>
        <w:t>×</w:t>
      </w:r>
      <w:r w:rsidRPr="00CB6CBA">
        <w:rPr>
          <w:lang w:val="en-US"/>
        </w:rPr>
        <w:t> 0.1 </w:t>
      </w:r>
      <w:r>
        <w:rPr>
          <w:lang w:val="en-US"/>
        </w:rPr>
        <w:t>×</w:t>
      </w:r>
      <w:r w:rsidRPr="00CB6CBA">
        <w:rPr>
          <w:lang w:val="en-US"/>
        </w:rPr>
        <w:t> 0.2 </w:t>
      </w:r>
      <w:r>
        <w:rPr>
          <w:lang w:val="en-US"/>
        </w:rPr>
        <w:t>×</w:t>
      </w:r>
      <w:r w:rsidRPr="00CB6CBA">
        <w:rPr>
          <w:lang w:val="en-US"/>
        </w:rPr>
        <w:t> 1 </w:t>
      </w:r>
      <w:r>
        <w:rPr>
          <w:lang w:val="en-US"/>
        </w:rPr>
        <w:t>×</w:t>
      </w:r>
      <w:r w:rsidRPr="00CB6CBA">
        <w:rPr>
          <w:lang w:val="en-US"/>
        </w:rPr>
        <w:t> 0.3 </w:t>
      </w:r>
      <w:r>
        <w:rPr>
          <w:lang w:val="en-US"/>
        </w:rPr>
        <w:t>×</w:t>
      </w:r>
      <w:r w:rsidRPr="00CB6CBA">
        <w:rPr>
          <w:lang w:val="en-US"/>
        </w:rPr>
        <w:t> 289</w:t>
      </w:r>
      <w:r w:rsidRPr="00CB6CBA">
        <w:rPr>
          <w:rFonts w:ascii="Tms Rmn" w:hAnsi="Tms Rmn"/>
          <w:sz w:val="12"/>
          <w:lang w:val="en-US"/>
        </w:rPr>
        <w:t> </w:t>
      </w:r>
      <w:r w:rsidRPr="00CB6CBA">
        <w:rPr>
          <w:lang w:val="en-US"/>
        </w:rPr>
        <w:t>091 </w:t>
      </w:r>
      <w:r>
        <w:rPr>
          <w:lang w:val="en-US"/>
        </w:rPr>
        <w:t>×</w:t>
      </w:r>
      <w:r w:rsidRPr="00CB6CBA">
        <w:rPr>
          <w:lang w:val="en-US"/>
        </w:rPr>
        <w:t> 1 </w:t>
      </w:r>
      <w:r>
        <w:rPr>
          <w:lang w:val="en-US"/>
        </w:rPr>
        <w:t>=</w:t>
      </w:r>
      <w:r w:rsidRPr="00CB6CBA">
        <w:rPr>
          <w:lang w:val="en-US"/>
        </w:rPr>
        <w:t xml:space="preserve"> 3.5         MHz </w:t>
      </w:r>
      <w:r w:rsidRPr="00CB6CBA">
        <w:rPr>
          <w:szCs w:val="24"/>
          <w:lang w:val="en-US"/>
        </w:rPr>
        <w:sym w:font="Symbol" w:char="F0D7"/>
      </w:r>
      <w:r w:rsidRPr="00CB6CBA">
        <w:rPr>
          <w:lang w:val="en-US"/>
        </w:rPr>
        <w:t xml:space="preserve"> km</w:t>
      </w:r>
      <w:r w:rsidRPr="00CB6CBA">
        <w:rPr>
          <w:vertAlign w:val="superscript"/>
          <w:lang w:val="en-US"/>
        </w:rPr>
        <w:t>2</w:t>
      </w:r>
      <w:r w:rsidRPr="00CB6CBA">
        <w:rPr>
          <w:lang w:val="en-US"/>
        </w:rPr>
        <w:t xml:space="preserve"> </w:t>
      </w:r>
      <w:r w:rsidRPr="00CB6CBA">
        <w:rPr>
          <w:szCs w:val="24"/>
          <w:lang w:val="en-US"/>
        </w:rPr>
        <w:sym w:font="Symbol" w:char="F0D7"/>
      </w:r>
      <w:r w:rsidRPr="00CB6CBA">
        <w:rPr>
          <w:lang w:val="en-US"/>
        </w:rPr>
        <w:t xml:space="preserve"> 1 year</w:t>
      </w:r>
    </w:p>
    <w:p w:rsidR="00CA3B52" w:rsidRDefault="00CA3B52" w:rsidP="00CA3B52">
      <w:pPr>
        <w:pStyle w:val="Blanc"/>
      </w:pPr>
    </w:p>
    <w:p w:rsidR="00CA3B52" w:rsidRDefault="00CA3B52" w:rsidP="00CA3B52">
      <w:pPr>
        <w:pStyle w:val="Heading4"/>
        <w:rPr>
          <w:lang w:val="en-US"/>
        </w:rPr>
      </w:pPr>
      <w:r w:rsidRPr="00CB6CBA">
        <w:rPr>
          <w:rFonts w:eastAsia="SimSun"/>
          <w:lang w:val="en-US" w:eastAsia="zh-CN"/>
        </w:rPr>
        <w:t>4.</w:t>
      </w:r>
      <w:r>
        <w:rPr>
          <w:rFonts w:eastAsia="SimSun"/>
          <w:lang w:val="en-US" w:eastAsia="zh-CN"/>
        </w:rPr>
        <w:t>7</w:t>
      </w:r>
      <w:r w:rsidRPr="00CB6CBA">
        <w:rPr>
          <w:rFonts w:eastAsia="SimSun"/>
          <w:lang w:val="en-US" w:eastAsia="zh-CN"/>
        </w:rPr>
        <w:t>.7.3</w:t>
      </w:r>
      <w:r w:rsidRPr="00CB6CBA">
        <w:rPr>
          <w:rFonts w:eastAsia="SimSun"/>
          <w:lang w:val="en-US" w:eastAsia="zh-CN"/>
        </w:rPr>
        <w:tab/>
      </w:r>
      <w:r w:rsidRPr="00CB6CBA">
        <w:rPr>
          <w:lang w:val="en-US"/>
        </w:rPr>
        <w:t>Fixed radio services</w:t>
      </w:r>
    </w:p>
    <w:p w:rsidR="00CA3B52" w:rsidRPr="00CB6CBA" w:rsidRDefault="00CA3B52" w:rsidP="00CA3B52">
      <w:pPr>
        <w:pStyle w:val="Headingb"/>
        <w:rPr>
          <w:lang w:val="en-US"/>
        </w:rPr>
      </w:pPr>
      <w:r w:rsidRPr="00CB6CBA">
        <w:rPr>
          <w:rFonts w:eastAsia="SimSun"/>
          <w:lang w:val="en-US" w:eastAsia="zh-CN"/>
        </w:rPr>
        <w:t>a)</w:t>
      </w:r>
      <w:r w:rsidRPr="00CB6CBA">
        <w:rPr>
          <w:rFonts w:eastAsia="SimSun"/>
          <w:lang w:val="en-US" w:eastAsia="zh-CN"/>
        </w:rPr>
        <w:tab/>
      </w:r>
      <w:r w:rsidRPr="00CB6CBA">
        <w:rPr>
          <w:lang w:val="en-US"/>
        </w:rPr>
        <w:t>Calculation procedures</w:t>
      </w:r>
    </w:p>
    <w:p w:rsidR="00CA3B52" w:rsidRPr="00CB6CBA" w:rsidRDefault="00CA3B52" w:rsidP="00CA3B52">
      <w:pPr>
        <w:rPr>
          <w:lang w:val="en-US"/>
        </w:rPr>
      </w:pPr>
      <w:r w:rsidRPr="00CB6CBA">
        <w:rPr>
          <w:lang w:val="en-US"/>
        </w:rPr>
        <w:t>All fixed radiocommunications, HF radio links and UHF/SHF radio relay links (RRL), nowadays use directional and highly directional antennas. Taking this into account, for calculation of area occupied by an emission a “service sector” concept, given by Recommendation ITU-R F.162-3, can be used. This Recommendation states that for HF fixed links the service sector is very close to twice the angular width of the main beam measured to the half-power (–3 dB) point. Taking into account the same physical background, for purposes of the given license fee calculation Model, this concept is accepted for RRL links and for all other radio applications when directional antennas are used.</w:t>
      </w:r>
    </w:p>
    <w:p w:rsidR="00CA3B52" w:rsidRPr="00CB6CBA" w:rsidRDefault="00CA3B52" w:rsidP="00CA3B52">
      <w:pPr>
        <w:rPr>
          <w:lang w:val="en-US"/>
        </w:rPr>
      </w:pPr>
      <w:r w:rsidRPr="00CB6CBA">
        <w:rPr>
          <w:lang w:val="en-US"/>
        </w:rPr>
        <w:t>Therefore, if relevant antenna beam-width is known (from the national frequency assignment database or, on special request, from the operator or user) relevant emission occupied area can be determined as</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CB6CBA">
        <w:rPr>
          <w:position w:val="-24"/>
          <w:lang w:val="en-US"/>
        </w:rPr>
        <w:object w:dxaOrig="2900" w:dyaOrig="620">
          <v:shape id="_x0000_i1070" type="#_x0000_t75" style="width:145.4pt;height:30.85pt" o:ole="" fillcolor="window">
            <v:imagedata r:id="rId110" o:title=""/>
          </v:shape>
          <o:OLEObject Type="Embed" ProgID="Equation.3" ShapeID="_x0000_i1070" DrawAspect="Content" ObjectID="_1511604859" r:id="rId111"/>
        </w:object>
      </w:r>
      <w:r w:rsidRPr="00CB6CBA">
        <w:rPr>
          <w:lang w:val="en-US"/>
        </w:rPr>
        <w:tab/>
        <w:t>(</w:t>
      </w:r>
      <w:r>
        <w:rPr>
          <w:lang w:val="en-US"/>
        </w:rPr>
        <w:t>50</w:t>
      </w:r>
      <w:r w:rsidRPr="00CB6CBA">
        <w:rPr>
          <w:lang w:val="en-US"/>
        </w:rPr>
        <w:t>)</w:t>
      </w:r>
    </w:p>
    <w:p w:rsidR="00CA3B52" w:rsidRDefault="00CA3B52" w:rsidP="00CA3B52">
      <w:pPr>
        <w:pStyle w:val="Blanc"/>
      </w:pPr>
    </w:p>
    <w:p w:rsidR="00CA3B52" w:rsidRPr="00CB6CBA" w:rsidRDefault="00CA3B52" w:rsidP="00CA3B52">
      <w:pPr>
        <w:rPr>
          <w:lang w:val="en-US"/>
        </w:rPr>
      </w:pPr>
      <w:r w:rsidRPr="00CB6CBA">
        <w:rPr>
          <w:lang w:val="en-US"/>
        </w:rPr>
        <w:t>where:</w:t>
      </w:r>
    </w:p>
    <w:p w:rsidR="00CA3B52" w:rsidRPr="00CB6CBA" w:rsidRDefault="00CA3B52" w:rsidP="00CA3B52">
      <w:pPr>
        <w:pStyle w:val="Equationlegend"/>
      </w:pPr>
      <w:r w:rsidRPr="00CB6CBA">
        <w:rPr>
          <w:i/>
          <w:iCs/>
        </w:rPr>
        <w:tab/>
        <w:t>S</w:t>
      </w:r>
      <w:r w:rsidRPr="00CB6CBA">
        <w:rPr>
          <w:i/>
          <w:iCs/>
          <w:vertAlign w:val="subscript"/>
        </w:rPr>
        <w:t>o</w:t>
      </w:r>
      <w:r w:rsidRPr="00CF1E05">
        <w:rPr>
          <w:rFonts w:asciiTheme="majorBidi" w:hAnsiTheme="majorBidi" w:cstheme="majorBidi"/>
          <w:sz w:val="12"/>
        </w:rPr>
        <w:t> </w:t>
      </w:r>
      <w:r w:rsidRPr="00CB6CBA">
        <w:t>:</w:t>
      </w:r>
      <w:r w:rsidRPr="00CB6CBA">
        <w:tab/>
        <w:t>area occupied by an emission (km</w:t>
      </w:r>
      <w:r w:rsidRPr="00CB6CBA">
        <w:rPr>
          <w:vertAlign w:val="superscript"/>
        </w:rPr>
        <w:t>2</w:t>
      </w:r>
      <w:r w:rsidRPr="00CB6CBA">
        <w:t>)</w:t>
      </w:r>
    </w:p>
    <w:p w:rsidR="00CA3B52" w:rsidRPr="00CB6CBA" w:rsidRDefault="00CA3B52" w:rsidP="00CA3B52">
      <w:pPr>
        <w:pStyle w:val="Equationlegend"/>
      </w:pPr>
      <w:r w:rsidRPr="00CB6CBA">
        <w:tab/>
      </w:r>
      <w:r>
        <w:sym w:font="Symbol" w:char="F071"/>
      </w:r>
      <w:r w:rsidRPr="00CF1E05">
        <w:rPr>
          <w:rFonts w:asciiTheme="majorBidi" w:hAnsiTheme="majorBidi" w:cstheme="majorBidi"/>
          <w:sz w:val="12"/>
        </w:rPr>
        <w:t> </w:t>
      </w:r>
      <w:r w:rsidRPr="00CB6CBA">
        <w:t>:</w:t>
      </w:r>
      <w:r w:rsidRPr="00CB6CBA">
        <w:tab/>
        <w:t>antenna beam-width (degrees)</w:t>
      </w:r>
    </w:p>
    <w:p w:rsidR="00CA3B52" w:rsidRPr="00CB6CBA" w:rsidRDefault="00CA3B52" w:rsidP="00CA3B52">
      <w:pPr>
        <w:pStyle w:val="Equationlegend"/>
      </w:pPr>
      <w:r w:rsidRPr="00CB6CBA">
        <w:tab/>
      </w:r>
      <w:r w:rsidRPr="00CB6CBA">
        <w:rPr>
          <w:i/>
          <w:iCs/>
        </w:rPr>
        <w:t>L</w:t>
      </w:r>
      <w:r w:rsidRPr="00CB6CBA">
        <w:rPr>
          <w:i/>
          <w:iCs/>
          <w:vertAlign w:val="subscript"/>
        </w:rPr>
        <w:t>c</w:t>
      </w:r>
      <w:r w:rsidRPr="00CF1E05">
        <w:rPr>
          <w:rFonts w:asciiTheme="majorBidi" w:hAnsiTheme="majorBidi" w:cstheme="majorBidi"/>
          <w:sz w:val="12"/>
        </w:rPr>
        <w:t> </w:t>
      </w:r>
      <w:r w:rsidRPr="00CB6CBA">
        <w:t>:</w:t>
      </w:r>
      <w:r w:rsidRPr="00CB6CBA">
        <w:tab/>
        <w:t>length of the radio link (km).</w:t>
      </w:r>
    </w:p>
    <w:p w:rsidR="00CA3B52" w:rsidRPr="00CB6CBA" w:rsidRDefault="00CA3B52" w:rsidP="00CA3B52">
      <w:pPr>
        <w:pStyle w:val="Normalaftertitle"/>
        <w:rPr>
          <w:lang w:val="en-US"/>
        </w:rPr>
      </w:pPr>
      <w:r w:rsidRPr="00CB6CBA">
        <w:rPr>
          <w:lang w:val="en-US"/>
        </w:rPr>
        <w:t xml:space="preserve">Fixed radio links, especially RRL, usually are planned very carefully, planning methods are sophisticated and significant fading allowances are usually used. Taking this into account and aiming to avoid complicated calculations, for purposes of the given model it is proposed to use exact distance between relevant transmitter and receiver as the length of the radio link </w:t>
      </w:r>
      <w:r w:rsidRPr="00CB6CBA">
        <w:rPr>
          <w:i/>
          <w:iCs/>
          <w:lang w:val="en-US"/>
        </w:rPr>
        <w:t>L</w:t>
      </w:r>
      <w:r w:rsidRPr="00CB6CBA">
        <w:rPr>
          <w:i/>
          <w:iCs/>
          <w:vertAlign w:val="subscript"/>
          <w:lang w:val="en-US"/>
        </w:rPr>
        <w:t>c</w:t>
      </w:r>
      <w:r w:rsidRPr="00CB6CBA">
        <w:rPr>
          <w:lang w:val="en-US"/>
        </w:rPr>
        <w:t>. For RRL it will be one hop between two RRL stations.</w:t>
      </w:r>
    </w:p>
    <w:p w:rsidR="00CA3B52" w:rsidRDefault="00CA3B52" w:rsidP="00CA3B52">
      <w:pPr>
        <w:widowControl w:val="0"/>
        <w:rPr>
          <w:lang w:val="en-US"/>
        </w:rPr>
      </w:pPr>
      <w:r w:rsidRPr="00CB6CBA">
        <w:rPr>
          <w:lang w:val="en-US"/>
        </w:rPr>
        <w:t xml:space="preserve">On determination of </w:t>
      </w:r>
      <w:r w:rsidRPr="00CB6CBA">
        <w:rPr>
          <w:i/>
          <w:lang w:val="en-US"/>
        </w:rPr>
        <w:t>S</w:t>
      </w:r>
      <w:r w:rsidRPr="00CB6CBA">
        <w:rPr>
          <w:i/>
          <w:vertAlign w:val="subscript"/>
          <w:lang w:val="en-US"/>
        </w:rPr>
        <w:t>o</w:t>
      </w:r>
      <w:r w:rsidRPr="00CB6CBA">
        <w:rPr>
          <w:lang w:val="en-US"/>
        </w:rPr>
        <w:t>, related territorial resource can be calculated in accordance with equation</w:t>
      </w:r>
      <w:r>
        <w:rPr>
          <w:lang w:val="en-US"/>
        </w:rPr>
        <w:t> </w:t>
      </w:r>
      <w:r w:rsidRPr="00CB6CBA">
        <w:rPr>
          <w:lang w:val="en-US"/>
        </w:rPr>
        <w:t>(</w:t>
      </w:r>
      <w:r>
        <w:rPr>
          <w:lang w:val="en-US"/>
        </w:rPr>
        <w:t>22</w:t>
      </w:r>
      <w:r w:rsidRPr="00CB6CBA">
        <w:rPr>
          <w:lang w:val="en-US"/>
        </w:rPr>
        <w:t xml:space="preserve">). Provisions concerning coverage of several zones belonging to different license fees categories are the same although here influence of this factor is considerable smaller, especially for RRL, due to considerably smaller values of sector widths. Nevertheless, if an administration likes to increase calculation accuracy, the following equation is applicable for the case when a service sector crosses two areas in approximately perpendicular direction at a distance </w:t>
      </w:r>
      <w:r w:rsidRPr="00CB6CBA">
        <w:rPr>
          <w:i/>
          <w:iCs/>
          <w:lang w:val="en-US"/>
        </w:rPr>
        <w:t>L</w:t>
      </w:r>
      <w:r w:rsidRPr="00CB6CBA">
        <w:rPr>
          <w:i/>
          <w:iCs/>
          <w:vertAlign w:val="subscript"/>
          <w:lang w:val="en-US"/>
        </w:rPr>
        <w:t>b</w:t>
      </w:r>
      <w:r w:rsidRPr="00CB6CBA">
        <w:rPr>
          <w:lang w:val="en-US"/>
        </w:rPr>
        <w:t xml:space="preserve"> from the transmitter:</w:t>
      </w:r>
    </w:p>
    <w:p w:rsidR="00CA3B52" w:rsidRPr="00CB6CBA" w:rsidRDefault="00CA3B52" w:rsidP="00F65451">
      <w:pPr>
        <w:pStyle w:val="Equation"/>
        <w:rPr>
          <w:lang w:val="en-US"/>
        </w:rPr>
      </w:pPr>
      <w:r w:rsidRPr="00D125A3">
        <w:rPr>
          <w:lang w:val="en-US"/>
        </w:rPr>
        <w:tab/>
      </w:r>
      <w:r w:rsidRPr="00D125A3">
        <w:rPr>
          <w:lang w:val="en-US"/>
        </w:rPr>
        <w:tab/>
      </w:r>
      <w:r w:rsidRPr="00CB6CBA">
        <w:rPr>
          <w:position w:val="-24"/>
          <w:lang w:val="en-US"/>
        </w:rPr>
        <w:object w:dxaOrig="1520" w:dyaOrig="620">
          <v:shape id="_x0000_i1071" type="#_x0000_t75" style="width:74.35pt;height:30.85pt" o:ole="" fillcolor="window">
            <v:imagedata r:id="rId112" o:title=""/>
          </v:shape>
          <o:OLEObject Type="Embed" ProgID="Equation.3" ShapeID="_x0000_i1071" DrawAspect="Content" ObjectID="_1511604860" r:id="rId113"/>
        </w:object>
      </w:r>
    </w:p>
    <w:p w:rsidR="00CA3B52" w:rsidRPr="00CB6CBA" w:rsidRDefault="00CA3B52" w:rsidP="00F65451">
      <w:pPr>
        <w:pStyle w:val="Equation"/>
        <w:rPr>
          <w:lang w:val="en-US"/>
        </w:rPr>
      </w:pPr>
      <w:r>
        <w:lastRenderedPageBreak/>
        <w:tab/>
      </w:r>
      <w:r>
        <w:tab/>
      </w:r>
      <w:r w:rsidRPr="00407AD7">
        <w:rPr>
          <w:position w:val="-24"/>
        </w:rPr>
        <w:object w:dxaOrig="2220" w:dyaOrig="620">
          <v:shape id="_x0000_i1072" type="#_x0000_t75" style="width:111.25pt;height:30.85pt" o:ole="" fillcolor="window">
            <v:imagedata r:id="rId114" o:title=""/>
          </v:shape>
          <o:OLEObject Type="Embed" ProgID="Equation.3" ShapeID="_x0000_i1072" DrawAspect="Content" ObjectID="_1511604861" r:id="rId115"/>
        </w:object>
      </w:r>
    </w:p>
    <w:p w:rsidR="00CA3B52" w:rsidRDefault="00CA3B52" w:rsidP="00CA3B52">
      <w:pPr>
        <w:pStyle w:val="Blanc"/>
      </w:pPr>
    </w:p>
    <w:p w:rsidR="00CA3B52" w:rsidRPr="00CB6CBA" w:rsidRDefault="00CA3B52" w:rsidP="00CA3B52">
      <w:pPr>
        <w:rPr>
          <w:lang w:val="en-US"/>
        </w:rPr>
      </w:pPr>
      <w:r w:rsidRPr="00CB6CBA">
        <w:rPr>
          <w:lang w:val="en-US"/>
        </w:rPr>
        <w:t xml:space="preserve">In accordance with the concept presented in </w:t>
      </w:r>
      <w:r>
        <w:rPr>
          <w:lang w:val="en-US"/>
        </w:rPr>
        <w:t xml:space="preserve">§ </w:t>
      </w:r>
      <w:r w:rsidRPr="00CB6CBA">
        <w:rPr>
          <w:lang w:val="en-US"/>
        </w:rPr>
        <w:t>4.</w:t>
      </w:r>
      <w:r>
        <w:rPr>
          <w:lang w:val="en-US"/>
        </w:rPr>
        <w:t>7</w:t>
      </w:r>
      <w:r w:rsidRPr="00CB6CBA">
        <w:rPr>
          <w:lang w:val="en-US"/>
        </w:rPr>
        <w:t xml:space="preserve">.1, for overseas HF communications </w:t>
      </w:r>
      <w:r w:rsidRPr="00CB6CBA">
        <w:rPr>
          <w:i/>
          <w:iCs/>
          <w:lang w:val="en-US"/>
        </w:rPr>
        <w:t>L</w:t>
      </w:r>
      <w:r w:rsidRPr="00CB6CBA">
        <w:rPr>
          <w:i/>
          <w:iCs/>
          <w:vertAlign w:val="subscript"/>
          <w:lang w:val="en-US"/>
        </w:rPr>
        <w:t>c</w:t>
      </w:r>
      <w:r w:rsidRPr="00CB6CBA">
        <w:rPr>
          <w:lang w:val="en-US"/>
        </w:rPr>
        <w:t xml:space="preserve"> is determined by the distance from the transmitter to the country border in the direction of the transmission.</w:t>
      </w:r>
    </w:p>
    <w:p w:rsidR="00CA3B52" w:rsidRPr="00CB6CBA" w:rsidRDefault="00CA3B52" w:rsidP="00CA3B52">
      <w:pPr>
        <w:rPr>
          <w:lang w:val="en-US"/>
        </w:rPr>
      </w:pPr>
      <w:r w:rsidRPr="00CB6CBA">
        <w:rPr>
          <w:lang w:val="en-US"/>
        </w:rPr>
        <w:t>Frequency and time resources and, then, spectral resource are calculated similarly to other cases above. As far as multi-station RRL can carry different numbers of channels at different hops due to branching and hop-lengths are different, spectral resources are calculated separately for each hop and then all values are summed.</w:t>
      </w:r>
    </w:p>
    <w:p w:rsidR="00CA3B52" w:rsidRDefault="00CA3B52" w:rsidP="00CA3B52">
      <w:pPr>
        <w:pStyle w:val="Heading4"/>
        <w:rPr>
          <w:lang w:val="en-US"/>
        </w:rPr>
      </w:pPr>
      <w:r w:rsidRPr="00CB6CBA">
        <w:rPr>
          <w:rFonts w:eastAsia="SimSun"/>
          <w:lang w:val="en-US" w:eastAsia="zh-CN"/>
        </w:rPr>
        <w:t>4.</w:t>
      </w:r>
      <w:r>
        <w:rPr>
          <w:rFonts w:eastAsia="SimSun"/>
          <w:lang w:val="en-US" w:eastAsia="zh-CN"/>
        </w:rPr>
        <w:t>7.7.4</w:t>
      </w:r>
      <w:r w:rsidRPr="00CB6CBA">
        <w:rPr>
          <w:rFonts w:eastAsia="SimSun"/>
          <w:lang w:val="en-US" w:eastAsia="zh-CN"/>
        </w:rPr>
        <w:tab/>
      </w:r>
      <w:r w:rsidRPr="00CB6CBA">
        <w:rPr>
          <w:lang w:val="en-US"/>
        </w:rPr>
        <w:t>Example of calculations</w:t>
      </w:r>
    </w:p>
    <w:p w:rsidR="00CA3B52" w:rsidRPr="00CB6CBA" w:rsidRDefault="00CA3B52" w:rsidP="00CA3B52">
      <w:pPr>
        <w:pStyle w:val="Headingb"/>
        <w:rPr>
          <w:lang w:val="en-US"/>
        </w:rPr>
      </w:pPr>
      <w:r w:rsidRPr="00CB6CBA">
        <w:rPr>
          <w:lang w:val="en-US"/>
        </w:rPr>
        <w:t>a)</w:t>
      </w:r>
      <w:r w:rsidRPr="00CB6CBA">
        <w:rPr>
          <w:lang w:val="en-US"/>
        </w:rPr>
        <w:tab/>
        <w:t>Incoming parameters</w:t>
      </w:r>
    </w:p>
    <w:p w:rsidR="00CA3B52" w:rsidRPr="00CB6CBA" w:rsidRDefault="00CA3B52" w:rsidP="00CA3B52">
      <w:pPr>
        <w:rPr>
          <w:lang w:val="en-US"/>
        </w:rPr>
      </w:pPr>
      <w:r w:rsidRPr="00CB6CBA">
        <w:rPr>
          <w:lang w:val="en-US"/>
        </w:rPr>
        <w:t>Let us calculate a spectral resource used by one hop of a RRL in 2 GHz frequency band. Hop-length is 45 km, antenna beam-widths of both stations are 1.5</w:t>
      </w:r>
      <w:r w:rsidRPr="00CB6CBA">
        <w:rPr>
          <w:szCs w:val="24"/>
          <w:lang w:val="en-US"/>
        </w:rPr>
        <w:sym w:font="Symbol" w:char="F0B0"/>
      </w:r>
      <w:r w:rsidRPr="00CB6CBA">
        <w:rPr>
          <w:lang w:val="en-US"/>
        </w:rPr>
        <w:t xml:space="preserve"> each (and it corresponds to </w:t>
      </w:r>
      <w:r w:rsidRPr="00CB6CBA">
        <w:rPr>
          <w:position w:val="-6"/>
          <w:lang w:val="en-US"/>
        </w:rPr>
        <w:object w:dxaOrig="440" w:dyaOrig="279">
          <v:shape id="_x0000_i1073" type="#_x0000_t75" style="width:21.5pt;height:13.55pt" o:ole="" fillcolor="window">
            <v:imagedata r:id="rId116" o:title=""/>
          </v:shape>
          <o:OLEObject Type="Embed" ProgID="Equation.3" ShapeID="_x0000_i1073" DrawAspect="Content" ObjectID="_1511604862" r:id="rId117"/>
        </w:object>
      </w:r>
      <w:r w:rsidRPr="00CB6CBA">
        <w:rPr>
          <w:lang w:val="en-US"/>
        </w:rPr>
        <w:t xml:space="preserve"> 40 dB). This hop lies within one zone categorized by Table 1 as 0.4 and carries 960 telephone channels in both directions with parameters corresponding those indicated in Recommendation ITU</w:t>
      </w:r>
      <w:r>
        <w:rPr>
          <w:lang w:val="en-US"/>
        </w:rPr>
        <w:noBreakHyphen/>
      </w:r>
      <w:r w:rsidRPr="00CB6CBA">
        <w:rPr>
          <w:lang w:val="en-US"/>
        </w:rPr>
        <w:t>R</w:t>
      </w:r>
      <w:r>
        <w:rPr>
          <w:lang w:val="en-US"/>
        </w:rPr>
        <w:t> </w:t>
      </w:r>
      <w:r w:rsidRPr="00CB6CBA">
        <w:rPr>
          <w:lang w:val="en-US"/>
        </w:rPr>
        <w:t>SM.1138-2 “Frequency modulation”, subsection 5 “Composite emissions”, RRL with 960</w:t>
      </w:r>
      <w:r>
        <w:rPr>
          <w:lang w:val="en-US"/>
        </w:rPr>
        <w:t> </w:t>
      </w:r>
      <w:r w:rsidRPr="00CB6CBA">
        <w:rPr>
          <w:lang w:val="en-US"/>
        </w:rPr>
        <w:t>channels.</w:t>
      </w:r>
    </w:p>
    <w:p w:rsidR="00CA3B52" w:rsidRPr="00CB6CBA" w:rsidRDefault="00CA3B52" w:rsidP="00CA3B52">
      <w:pPr>
        <w:pStyle w:val="Headingb"/>
        <w:rPr>
          <w:lang w:val="en-US"/>
        </w:rPr>
      </w:pPr>
      <w:r w:rsidRPr="00CB6CBA">
        <w:rPr>
          <w:lang w:val="en-US"/>
        </w:rPr>
        <w:t>b)</w:t>
      </w:r>
      <w:r w:rsidRPr="00CB6CBA">
        <w:rPr>
          <w:lang w:val="en-US"/>
        </w:rPr>
        <w:tab/>
        <w:t>Time and frequency resources used</w:t>
      </w:r>
    </w:p>
    <w:p w:rsidR="00CA3B52" w:rsidRDefault="00CA3B52" w:rsidP="00CA3B52">
      <w:pPr>
        <w:rPr>
          <w:lang w:val="en-US"/>
        </w:rPr>
      </w:pPr>
      <w:r w:rsidRPr="00CB6CBA">
        <w:rPr>
          <w:lang w:val="en-US"/>
        </w:rPr>
        <w:t>Taking into account principally continuous mode of RRL operation, from equation (</w:t>
      </w:r>
      <w:r>
        <w:rPr>
          <w:lang w:val="en-US"/>
        </w:rPr>
        <w:t>21</w:t>
      </w:r>
      <w:r w:rsidRPr="00CB6CBA">
        <w:rPr>
          <w:lang w:val="en-US"/>
        </w:rPr>
        <w:t>) it follows:</w:t>
      </w:r>
    </w:p>
    <w:p w:rsidR="00CA3B52" w:rsidRDefault="00CA3B52" w:rsidP="00CA3B52">
      <w:pPr>
        <w:pStyle w:val="Blanc"/>
      </w:pPr>
    </w:p>
    <w:p w:rsidR="00CA3B52" w:rsidRPr="00CB6CBA" w:rsidRDefault="00CA3B52" w:rsidP="00CA3B52">
      <w:pPr>
        <w:pStyle w:val="Equation"/>
        <w:rPr>
          <w:lang w:val="en-US"/>
        </w:rPr>
      </w:pPr>
      <w:r w:rsidRPr="00CB6CBA">
        <w:rPr>
          <w:lang w:val="en-US"/>
        </w:rPr>
        <w:tab/>
      </w:r>
      <w:r w:rsidRPr="00CB6CBA">
        <w:rPr>
          <w:lang w:val="en-US"/>
        </w:rPr>
        <w:tab/>
      </w:r>
      <w:r w:rsidRPr="00CB6CBA">
        <w:rPr>
          <w:i/>
          <w:lang w:val="en-US"/>
        </w:rPr>
        <w:t>T</w:t>
      </w:r>
      <w:r w:rsidRPr="00CB6CBA">
        <w:rPr>
          <w:lang w:val="en-US"/>
        </w:rPr>
        <w:t xml:space="preserve"> </w:t>
      </w:r>
      <w:r>
        <w:rPr>
          <w:lang w:val="en-US"/>
        </w:rPr>
        <w:t>=</w:t>
      </w:r>
      <w:r w:rsidRPr="00CB6CBA">
        <w:rPr>
          <w:lang w:val="en-US"/>
        </w:rPr>
        <w:t xml:space="preserve"> 24/24 (each day) </w:t>
      </w:r>
      <w:r>
        <w:rPr>
          <w:lang w:val="en-US"/>
        </w:rPr>
        <w:t>=</w:t>
      </w:r>
      <w:r w:rsidRPr="00CB6CBA">
        <w:rPr>
          <w:lang w:val="en-US"/>
        </w:rPr>
        <w:t xml:space="preserve"> 1 year</w:t>
      </w:r>
    </w:p>
    <w:p w:rsidR="00CA3B52" w:rsidRDefault="00CA3B52" w:rsidP="00CA3B52">
      <w:pPr>
        <w:pStyle w:val="Blanc"/>
      </w:pPr>
    </w:p>
    <w:p w:rsidR="00CA3B52" w:rsidRDefault="00CA3B52" w:rsidP="00CA3B52">
      <w:pPr>
        <w:rPr>
          <w:lang w:val="en-US"/>
        </w:rPr>
      </w:pPr>
      <w:r w:rsidRPr="00CB6CBA">
        <w:rPr>
          <w:lang w:val="en-US"/>
        </w:rPr>
        <w:t>In accordance with data, presented in above mentioned subsection of Recommendation ITU</w:t>
      </w:r>
      <w:r w:rsidRPr="00CB6CBA">
        <w:rPr>
          <w:lang w:val="en-US"/>
        </w:rPr>
        <w:noBreakHyphen/>
        <w:t xml:space="preserve">R SM.1138-2, </w:t>
      </w:r>
      <w:r w:rsidRPr="00CB6CBA">
        <w:rPr>
          <w:i/>
          <w:lang w:val="en-US"/>
        </w:rPr>
        <w:t>B</w:t>
      </w:r>
      <w:r w:rsidRPr="00CB6CBA">
        <w:rPr>
          <w:i/>
          <w:vertAlign w:val="subscript"/>
          <w:lang w:val="en-US"/>
        </w:rPr>
        <w:t>n</w:t>
      </w:r>
      <w:r w:rsidRPr="00CB6CBA">
        <w:rPr>
          <w:lang w:val="en-US"/>
        </w:rPr>
        <w:t xml:space="preserve"> = 16.32 MHz (for both transmission directions). Therefore the overall used frequency resource, accepting in equation (</w:t>
      </w:r>
      <w:r>
        <w:rPr>
          <w:lang w:val="en-US"/>
        </w:rPr>
        <w:t>24</w:t>
      </w:r>
      <w:r w:rsidRPr="00CB6CBA">
        <w:rPr>
          <w:lang w:val="en-US"/>
        </w:rPr>
        <w:t>)</w:t>
      </w:r>
      <w:r>
        <w:fldChar w:fldCharType="begin"/>
      </w:r>
      <w:r>
        <w:fldChar w:fldCharType="end"/>
      </w:r>
      <w:r w:rsidRPr="00CB6CBA">
        <w:rPr>
          <w:lang w:val="en-US"/>
        </w:rPr>
        <w:t>, can be found as:</w:t>
      </w:r>
    </w:p>
    <w:p w:rsidR="00CA3B52" w:rsidRDefault="00CA3B52" w:rsidP="00CA3B52">
      <w:pPr>
        <w:pStyle w:val="Blanc"/>
      </w:pPr>
    </w:p>
    <w:p w:rsidR="00CA3B52" w:rsidRPr="00CB6CBA" w:rsidRDefault="00CA3B52" w:rsidP="00F65451">
      <w:pPr>
        <w:pStyle w:val="Equation"/>
        <w:rPr>
          <w:lang w:val="en-US"/>
        </w:rPr>
      </w:pPr>
      <w:r>
        <w:rPr>
          <w:i/>
          <w:lang w:val="en-US"/>
        </w:rPr>
        <w:tab/>
      </w:r>
      <w:r>
        <w:rPr>
          <w:i/>
          <w:lang w:val="en-US"/>
        </w:rPr>
        <w:tab/>
      </w:r>
      <w:r w:rsidRPr="00CB6CBA">
        <w:rPr>
          <w:i/>
          <w:lang w:val="en-US"/>
        </w:rPr>
        <w:t>F</w:t>
      </w:r>
      <w:r w:rsidRPr="00CB6CBA">
        <w:rPr>
          <w:lang w:val="en-US"/>
        </w:rPr>
        <w:t xml:space="preserve"> </w:t>
      </w:r>
      <w:r>
        <w:rPr>
          <w:lang w:val="en-US"/>
        </w:rPr>
        <w:t>=</w:t>
      </w:r>
      <w:r w:rsidRPr="00CB6CBA">
        <w:rPr>
          <w:lang w:val="en-US"/>
        </w:rPr>
        <w:t xml:space="preserve"> 2 </w:t>
      </w:r>
      <w:r>
        <w:rPr>
          <w:lang w:val="en-US"/>
        </w:rPr>
        <w:t>×</w:t>
      </w:r>
      <w:r w:rsidRPr="00CB6CBA">
        <w:rPr>
          <w:lang w:val="en-US"/>
        </w:rPr>
        <w:t xml:space="preserve"> 16.3 </w:t>
      </w:r>
      <w:r>
        <w:rPr>
          <w:lang w:val="en-US"/>
        </w:rPr>
        <w:t>=</w:t>
      </w:r>
      <w:r w:rsidRPr="00CB6CBA">
        <w:rPr>
          <w:lang w:val="en-US"/>
        </w:rPr>
        <w:t xml:space="preserve"> 32.6 MHz</w:t>
      </w:r>
    </w:p>
    <w:p w:rsidR="00CA3B52" w:rsidRDefault="00CA3B52" w:rsidP="00CA3B52">
      <w:pPr>
        <w:pStyle w:val="Blanc"/>
      </w:pPr>
    </w:p>
    <w:p w:rsidR="00CA3B52" w:rsidRPr="00CB6CBA" w:rsidRDefault="00CA3B52" w:rsidP="00CA3B52">
      <w:pPr>
        <w:pStyle w:val="Headingb"/>
        <w:rPr>
          <w:lang w:val="en-US"/>
        </w:rPr>
      </w:pPr>
      <w:r w:rsidRPr="00CB6CBA">
        <w:rPr>
          <w:lang w:val="en-US"/>
        </w:rPr>
        <w:t>c)</w:t>
      </w:r>
      <w:r w:rsidRPr="00CB6CBA">
        <w:rPr>
          <w:lang w:val="en-US"/>
        </w:rPr>
        <w:tab/>
        <w:t>Territorial resource used</w:t>
      </w:r>
    </w:p>
    <w:p w:rsidR="00CA3B52" w:rsidRDefault="00CA3B52" w:rsidP="00CA3B52">
      <w:pPr>
        <w:rPr>
          <w:lang w:val="en-US"/>
        </w:rPr>
      </w:pPr>
      <w:r w:rsidRPr="00CB6CBA">
        <w:rPr>
          <w:lang w:val="en-US"/>
        </w:rPr>
        <w:t>Substituting relevant data from § 1.4.2.1 to equation (</w:t>
      </w:r>
      <w:r>
        <w:rPr>
          <w:lang w:val="en-US"/>
        </w:rPr>
        <w:t>50</w:t>
      </w:r>
      <w:r w:rsidRPr="00CB6CBA">
        <w:rPr>
          <w:lang w:val="en-US"/>
        </w:rPr>
        <w:t>) we get:</w:t>
      </w:r>
    </w:p>
    <w:p w:rsidR="00CA3B52" w:rsidRDefault="00CA3B52" w:rsidP="00CA3B52">
      <w:pPr>
        <w:pStyle w:val="Blanc"/>
      </w:pPr>
    </w:p>
    <w:p w:rsidR="00CA3B52" w:rsidRPr="00CB6CBA" w:rsidRDefault="00CA3B52" w:rsidP="00F65451">
      <w:pPr>
        <w:pStyle w:val="Equation"/>
        <w:rPr>
          <w:lang w:val="en-US"/>
        </w:rPr>
      </w:pPr>
      <w:r>
        <w:rPr>
          <w:i/>
          <w:iCs/>
          <w:lang w:val="en-US"/>
        </w:rPr>
        <w:tab/>
      </w:r>
      <w:r>
        <w:rPr>
          <w:i/>
          <w:iCs/>
          <w:lang w:val="en-US"/>
        </w:rPr>
        <w:tab/>
      </w:r>
      <w:r w:rsidRPr="00CB6CBA">
        <w:rPr>
          <w:i/>
          <w:iCs/>
          <w:lang w:val="en-US"/>
        </w:rPr>
        <w:t>s</w:t>
      </w:r>
      <w:r w:rsidRPr="00CB6CBA">
        <w:rPr>
          <w:i/>
          <w:iCs/>
          <w:vertAlign w:val="subscript"/>
          <w:lang w:val="en-US"/>
        </w:rPr>
        <w:t>o</w:t>
      </w:r>
      <w:r w:rsidRPr="00CB6CBA">
        <w:rPr>
          <w:lang w:val="en-US"/>
        </w:rPr>
        <w:t xml:space="preserve"> </w:t>
      </w:r>
      <w:r>
        <w:rPr>
          <w:lang w:val="en-US"/>
        </w:rPr>
        <w:t>=</w:t>
      </w:r>
      <w:r w:rsidRPr="00CB6CBA">
        <w:rPr>
          <w:lang w:val="en-US"/>
        </w:rPr>
        <w:t xml:space="preserve"> (1.5/180) </w:t>
      </w:r>
      <w:r>
        <w:rPr>
          <w:lang w:val="en-US"/>
        </w:rPr>
        <w:t>×</w:t>
      </w:r>
      <w:r w:rsidRPr="00CB6CBA">
        <w:rPr>
          <w:lang w:val="en-US"/>
        </w:rPr>
        <w:t> 3.14 </w:t>
      </w:r>
      <w:r>
        <w:rPr>
          <w:lang w:val="en-US"/>
        </w:rPr>
        <w:t>×</w:t>
      </w:r>
      <w:r w:rsidRPr="00CB6CBA">
        <w:rPr>
          <w:lang w:val="en-US"/>
        </w:rPr>
        <w:t> 45</w:t>
      </w:r>
      <w:r w:rsidRPr="00CB6CBA">
        <w:rPr>
          <w:vertAlign w:val="superscript"/>
          <w:lang w:val="en-US"/>
        </w:rPr>
        <w:t>2</w:t>
      </w:r>
      <w:r w:rsidRPr="00CB6CBA">
        <w:rPr>
          <w:lang w:val="en-US"/>
        </w:rPr>
        <w:t xml:space="preserve"> </w:t>
      </w:r>
      <w:r>
        <w:rPr>
          <w:lang w:val="en-US"/>
        </w:rPr>
        <w:t>=</w:t>
      </w:r>
      <w:r w:rsidRPr="00CB6CBA">
        <w:rPr>
          <w:lang w:val="en-US"/>
        </w:rPr>
        <w:t xml:space="preserve"> 53 km</w:t>
      </w:r>
      <w:r w:rsidRPr="00CB6CBA">
        <w:rPr>
          <w:vertAlign w:val="superscript"/>
          <w:lang w:val="en-US"/>
        </w:rPr>
        <w:t>2</w:t>
      </w:r>
    </w:p>
    <w:p w:rsidR="00CA3B52" w:rsidRDefault="00CA3B52" w:rsidP="00CA3B52">
      <w:pPr>
        <w:keepNext/>
        <w:keepLines/>
        <w:rPr>
          <w:lang w:val="en-US"/>
        </w:rPr>
      </w:pPr>
      <w:r w:rsidRPr="00CB6CBA">
        <w:rPr>
          <w:lang w:val="en-US"/>
        </w:rPr>
        <w:t>From equation (</w:t>
      </w:r>
      <w:r>
        <w:rPr>
          <w:lang w:val="en-US"/>
        </w:rPr>
        <w:t>22</w:t>
      </w:r>
      <w:r w:rsidRPr="00CB6CBA">
        <w:rPr>
          <w:lang w:val="en-US"/>
        </w:rPr>
        <w:t>), taking into account the zone category, it follows:</w:t>
      </w:r>
    </w:p>
    <w:p w:rsidR="00CA3B52" w:rsidRDefault="00CA3B52" w:rsidP="00CA3B52">
      <w:pPr>
        <w:pStyle w:val="Blanc"/>
      </w:pPr>
    </w:p>
    <w:p w:rsidR="00CA3B52" w:rsidRPr="00CB6CBA" w:rsidRDefault="00CA3B52" w:rsidP="00F65451">
      <w:pPr>
        <w:pStyle w:val="Equation"/>
        <w:rPr>
          <w:lang w:val="en-US"/>
        </w:rPr>
      </w:pPr>
      <w:r>
        <w:rPr>
          <w:i/>
          <w:iCs/>
          <w:lang w:val="en-US"/>
        </w:rPr>
        <w:tab/>
      </w:r>
      <w:r>
        <w:rPr>
          <w:i/>
          <w:iCs/>
          <w:lang w:val="en-US"/>
        </w:rPr>
        <w:tab/>
      </w:r>
      <w:r w:rsidRPr="00CB6CBA">
        <w:rPr>
          <w:i/>
          <w:iCs/>
          <w:lang w:val="en-US"/>
        </w:rPr>
        <w:t>S</w:t>
      </w:r>
      <w:r w:rsidRPr="00CB6CBA">
        <w:rPr>
          <w:lang w:val="en-US"/>
        </w:rPr>
        <w:t xml:space="preserve"> </w:t>
      </w:r>
      <w:r>
        <w:rPr>
          <w:lang w:val="en-US"/>
        </w:rPr>
        <w:t>=</w:t>
      </w:r>
      <w:r w:rsidRPr="00CB6CBA">
        <w:rPr>
          <w:lang w:val="en-US"/>
        </w:rPr>
        <w:t xml:space="preserve"> 0.4 </w:t>
      </w:r>
      <w:r>
        <w:rPr>
          <w:lang w:val="en-US"/>
        </w:rPr>
        <w:t>×</w:t>
      </w:r>
      <w:r w:rsidRPr="00CB6CBA">
        <w:rPr>
          <w:lang w:val="en-US"/>
        </w:rPr>
        <w:t xml:space="preserve"> 53 </w:t>
      </w:r>
      <w:r>
        <w:rPr>
          <w:lang w:val="en-US"/>
        </w:rPr>
        <w:t>=</w:t>
      </w:r>
      <w:r w:rsidRPr="00CB6CBA">
        <w:rPr>
          <w:lang w:val="en-US"/>
        </w:rPr>
        <w:t xml:space="preserve"> 21 km</w:t>
      </w:r>
      <w:r w:rsidRPr="00CB6CBA">
        <w:rPr>
          <w:vertAlign w:val="superscript"/>
          <w:lang w:val="en-US"/>
        </w:rPr>
        <w:t>2</w:t>
      </w:r>
    </w:p>
    <w:p w:rsidR="00CA3B52" w:rsidRDefault="00CA3B52" w:rsidP="00CA3B52">
      <w:pPr>
        <w:pStyle w:val="Blanc"/>
      </w:pPr>
    </w:p>
    <w:p w:rsidR="00CA3B52" w:rsidRPr="00CB6CBA" w:rsidRDefault="00CA3B52" w:rsidP="00CA3B52">
      <w:pPr>
        <w:pStyle w:val="Headingb"/>
        <w:rPr>
          <w:lang w:val="en-US"/>
        </w:rPr>
      </w:pPr>
      <w:r w:rsidRPr="00CB6CBA">
        <w:rPr>
          <w:lang w:val="en-US"/>
        </w:rPr>
        <w:t>d)</w:t>
      </w:r>
      <w:r w:rsidRPr="00CB6CBA">
        <w:rPr>
          <w:lang w:val="en-US"/>
        </w:rPr>
        <w:tab/>
        <w:t>Spectral resource used</w:t>
      </w:r>
    </w:p>
    <w:p w:rsidR="00CA3B52" w:rsidRDefault="00CA3B52" w:rsidP="00CA3B52">
      <w:pPr>
        <w:rPr>
          <w:lang w:val="en-US"/>
        </w:rPr>
      </w:pPr>
      <w:r w:rsidRPr="00CB6CBA">
        <w:rPr>
          <w:lang w:val="en-US"/>
        </w:rPr>
        <w:t>Substituting values calculated in (b) and (c) to equation (</w:t>
      </w:r>
      <w:r>
        <w:rPr>
          <w:lang w:val="en-US"/>
        </w:rPr>
        <w:t>20</w:t>
      </w:r>
      <w:r w:rsidRPr="00CB6CBA">
        <w:rPr>
          <w:lang w:val="en-US"/>
        </w:rPr>
        <w:t>), using values of weighting coefficients presented in Table 2 and taking into account non-sharing conditions (</w:t>
      </w:r>
      <w:r>
        <w:rPr>
          <w:lang w:val="en-US"/>
        </w:rPr>
        <w:sym w:font="Symbol" w:char="F062"/>
      </w:r>
      <w:r w:rsidRPr="00CB6CBA">
        <w:rPr>
          <w:lang w:val="en-US"/>
        </w:rPr>
        <w:t> </w:t>
      </w:r>
      <w:r>
        <w:rPr>
          <w:lang w:val="en-US"/>
        </w:rPr>
        <w:t>=</w:t>
      </w:r>
      <w:r w:rsidRPr="00CB6CBA">
        <w:rPr>
          <w:lang w:val="en-US"/>
        </w:rPr>
        <w:t> 1), we get finally:</w:t>
      </w:r>
    </w:p>
    <w:p w:rsidR="00CA3B52" w:rsidRDefault="00CA3B52" w:rsidP="00CA3B52">
      <w:pPr>
        <w:pStyle w:val="Blanc"/>
      </w:pPr>
    </w:p>
    <w:p w:rsidR="00CA3B52" w:rsidRPr="00CB6CBA" w:rsidRDefault="00CA3B52" w:rsidP="00F65451">
      <w:pPr>
        <w:pStyle w:val="Equation"/>
        <w:rPr>
          <w:lang w:val="en-US"/>
        </w:rPr>
      </w:pPr>
      <w:r>
        <w:rPr>
          <w:i/>
          <w:lang w:val="en-US"/>
        </w:rPr>
        <w:tab/>
      </w:r>
      <w:r w:rsidRPr="00CB6CBA">
        <w:rPr>
          <w:i/>
          <w:lang w:val="en-US"/>
        </w:rPr>
        <w:t>W</w:t>
      </w:r>
      <w:r w:rsidRPr="00CB6CBA">
        <w:rPr>
          <w:lang w:val="en-US"/>
        </w:rPr>
        <w:t xml:space="preserve"> </w:t>
      </w:r>
      <w:r>
        <w:rPr>
          <w:lang w:val="en-US"/>
        </w:rPr>
        <w:t>=</w:t>
      </w:r>
      <w:r w:rsidRPr="00CB6CBA">
        <w:rPr>
          <w:lang w:val="en-US"/>
        </w:rPr>
        <w:t xml:space="preserve"> 0.1 </w:t>
      </w:r>
      <w:r>
        <w:rPr>
          <w:lang w:val="en-US"/>
        </w:rPr>
        <w:t>×</w:t>
      </w:r>
      <w:r w:rsidRPr="00CB6CBA">
        <w:rPr>
          <w:lang w:val="en-US"/>
        </w:rPr>
        <w:t> 0.1 </w:t>
      </w:r>
      <w:r>
        <w:rPr>
          <w:lang w:val="en-US"/>
        </w:rPr>
        <w:t>×</w:t>
      </w:r>
      <w:r w:rsidRPr="00CB6CBA">
        <w:rPr>
          <w:lang w:val="en-US"/>
        </w:rPr>
        <w:t> 1 </w:t>
      </w:r>
      <w:r>
        <w:rPr>
          <w:lang w:val="en-US"/>
        </w:rPr>
        <w:t>×</w:t>
      </w:r>
      <w:r w:rsidRPr="00CB6CBA">
        <w:rPr>
          <w:lang w:val="en-US"/>
        </w:rPr>
        <w:t> 0.2 </w:t>
      </w:r>
      <w:r>
        <w:rPr>
          <w:lang w:val="en-US"/>
        </w:rPr>
        <w:t>×</w:t>
      </w:r>
      <w:r w:rsidRPr="00CB6CBA">
        <w:rPr>
          <w:lang w:val="en-US"/>
        </w:rPr>
        <w:t> 1 </w:t>
      </w:r>
      <w:r>
        <w:rPr>
          <w:lang w:val="en-US"/>
        </w:rPr>
        <w:t>×</w:t>
      </w:r>
      <w:r w:rsidRPr="00CB6CBA">
        <w:rPr>
          <w:lang w:val="en-US"/>
        </w:rPr>
        <w:t> 32.6 </w:t>
      </w:r>
      <w:r>
        <w:rPr>
          <w:lang w:val="en-US"/>
        </w:rPr>
        <w:t>×</w:t>
      </w:r>
      <w:r w:rsidRPr="00CB6CBA">
        <w:rPr>
          <w:lang w:val="en-US"/>
        </w:rPr>
        <w:t> 21 </w:t>
      </w:r>
      <w:r>
        <w:rPr>
          <w:lang w:val="en-US"/>
        </w:rPr>
        <w:t>×</w:t>
      </w:r>
      <w:r w:rsidRPr="00CB6CBA">
        <w:rPr>
          <w:lang w:val="en-US"/>
        </w:rPr>
        <w:t xml:space="preserve"> 1 </w:t>
      </w:r>
      <w:r>
        <w:rPr>
          <w:lang w:val="en-US"/>
        </w:rPr>
        <w:t>=</w:t>
      </w:r>
      <w:r w:rsidRPr="00CB6CBA">
        <w:rPr>
          <w:lang w:val="en-US"/>
        </w:rPr>
        <w:t xml:space="preserve"> 1.4         MHz </w:t>
      </w:r>
      <w:r w:rsidRPr="00CB6CBA">
        <w:rPr>
          <w:szCs w:val="24"/>
          <w:lang w:val="en-US"/>
        </w:rPr>
        <w:sym w:font="Symbol" w:char="F0D7"/>
      </w:r>
      <w:r w:rsidRPr="00CB6CBA">
        <w:rPr>
          <w:lang w:val="en-US"/>
        </w:rPr>
        <w:t xml:space="preserve"> km</w:t>
      </w:r>
      <w:r w:rsidRPr="00CB6CBA">
        <w:rPr>
          <w:vertAlign w:val="superscript"/>
          <w:lang w:val="en-US"/>
        </w:rPr>
        <w:t>2</w:t>
      </w:r>
      <w:r w:rsidRPr="00CB6CBA">
        <w:rPr>
          <w:lang w:val="en-US"/>
        </w:rPr>
        <w:t xml:space="preserve"> </w:t>
      </w:r>
      <w:r w:rsidRPr="00CB6CBA">
        <w:rPr>
          <w:szCs w:val="24"/>
          <w:lang w:val="en-US"/>
        </w:rPr>
        <w:sym w:font="Symbol" w:char="F0D7"/>
      </w:r>
      <w:r w:rsidRPr="00CB6CBA">
        <w:rPr>
          <w:lang w:val="en-US"/>
        </w:rPr>
        <w:t xml:space="preserve"> 1 year</w:t>
      </w:r>
    </w:p>
    <w:p w:rsidR="00CA3B52" w:rsidRDefault="00CA3B52" w:rsidP="00CA3B52">
      <w:pPr>
        <w:pStyle w:val="Heading3"/>
        <w:rPr>
          <w:lang w:val="en-US"/>
        </w:rPr>
      </w:pPr>
      <w:bookmarkStart w:id="1447" w:name="_Toc289868850"/>
      <w:bookmarkStart w:id="1448" w:name="_Toc289869010"/>
      <w:bookmarkStart w:id="1449" w:name="_Toc289932318"/>
      <w:bookmarkStart w:id="1450" w:name="_Toc289933364"/>
      <w:bookmarkStart w:id="1451" w:name="_Toc291852927"/>
      <w:bookmarkStart w:id="1452" w:name="_Toc392515913"/>
      <w:r w:rsidRPr="00CB6CBA">
        <w:rPr>
          <w:lang w:val="en-US"/>
        </w:rPr>
        <w:lastRenderedPageBreak/>
        <w:t>4.</w:t>
      </w:r>
      <w:r>
        <w:rPr>
          <w:lang w:val="en-US"/>
        </w:rPr>
        <w:t>7</w:t>
      </w:r>
      <w:r w:rsidRPr="00CB6CBA">
        <w:rPr>
          <w:lang w:val="en-US"/>
        </w:rPr>
        <w:t>.8</w:t>
      </w:r>
      <w:r w:rsidRPr="00CB6CBA">
        <w:rPr>
          <w:lang w:val="en-US"/>
        </w:rPr>
        <w:tab/>
        <w:t>Earth stations of satellite communications</w:t>
      </w:r>
      <w:bookmarkEnd w:id="1447"/>
      <w:bookmarkEnd w:id="1448"/>
      <w:bookmarkEnd w:id="1449"/>
      <w:bookmarkEnd w:id="1450"/>
      <w:bookmarkEnd w:id="1451"/>
      <w:bookmarkEnd w:id="1452"/>
    </w:p>
    <w:p w:rsidR="00CA3B52" w:rsidRDefault="00CA3B52" w:rsidP="00CA3B52">
      <w:pPr>
        <w:pStyle w:val="Heading4"/>
        <w:rPr>
          <w:lang w:val="en-US"/>
        </w:rPr>
      </w:pPr>
      <w:r w:rsidRPr="00CB6CBA">
        <w:rPr>
          <w:lang w:val="en-US"/>
        </w:rPr>
        <w:t>4.</w:t>
      </w:r>
      <w:r>
        <w:rPr>
          <w:lang w:val="en-US"/>
        </w:rPr>
        <w:t>7</w:t>
      </w:r>
      <w:r w:rsidRPr="00CB6CBA">
        <w:rPr>
          <w:lang w:val="en-US"/>
        </w:rPr>
        <w:t>.8.1</w:t>
      </w:r>
      <w:r w:rsidRPr="00CB6CBA">
        <w:rPr>
          <w:lang w:val="en-US"/>
        </w:rPr>
        <w:tab/>
        <w:t>Calculation procedures</w:t>
      </w:r>
    </w:p>
    <w:p w:rsidR="00CA3B52" w:rsidRPr="00CB6CBA" w:rsidRDefault="00CA3B52" w:rsidP="00CA3B52">
      <w:pPr>
        <w:rPr>
          <w:lang w:val="en-US"/>
        </w:rPr>
      </w:pPr>
      <w:r w:rsidRPr="00CB6CBA">
        <w:rPr>
          <w:lang w:val="en-US"/>
        </w:rPr>
        <w:t xml:space="preserve">Similarly to the case of fixed radio communication services presented in </w:t>
      </w:r>
      <w:r>
        <w:rPr>
          <w:lang w:val="en-US"/>
        </w:rPr>
        <w:t>§ </w:t>
      </w:r>
      <w:r w:rsidRPr="00CB6CBA">
        <w:rPr>
          <w:lang w:val="en-US"/>
        </w:rPr>
        <w:t>4.</w:t>
      </w:r>
      <w:r>
        <w:rPr>
          <w:lang w:val="en-US"/>
        </w:rPr>
        <w:t>7</w:t>
      </w:r>
      <w:r w:rsidRPr="00CB6CBA">
        <w:rPr>
          <w:lang w:val="en-US"/>
        </w:rPr>
        <w:t>.7.3, for the calculation of occupied areas a “service sector” concept, given by Recommendation ITU</w:t>
      </w:r>
      <w:r w:rsidRPr="00CB6CBA">
        <w:rPr>
          <w:lang w:val="en-US"/>
        </w:rPr>
        <w:noBreakHyphen/>
        <w:t>R F.162-3 is proposed to be used.</w:t>
      </w:r>
    </w:p>
    <w:p w:rsidR="00CA3B52" w:rsidRPr="00CB6CBA" w:rsidRDefault="00CA3B52" w:rsidP="00CA3B52">
      <w:pPr>
        <w:rPr>
          <w:lang w:val="en-US"/>
        </w:rPr>
      </w:pPr>
      <w:r w:rsidRPr="00CB6CBA">
        <w:rPr>
          <w:lang w:val="en-US"/>
        </w:rPr>
        <w:t>As it was already indicated, due to great difficulties in exact calculation of occupied areas of Earth stations of satellite communication systems, it is proposed to determine them on the basis of coordination distances agreed during the process of coordination and notification of frequency and orbital assignments in the ITU-R. If these are not available universal coordination distances of 350</w:t>
      </w:r>
      <w:r>
        <w:rPr>
          <w:lang w:val="en-US"/>
        </w:rPr>
        <w:t> </w:t>
      </w:r>
      <w:r w:rsidRPr="00CB6CBA">
        <w:rPr>
          <w:lang w:val="en-US"/>
        </w:rPr>
        <w:t>km for VSATs and 750 km for other stations are proposed to be used. In some cases values agreed between administration and operator can also be used.</w:t>
      </w:r>
    </w:p>
    <w:p w:rsidR="00CA3B52" w:rsidRPr="00CB6CBA" w:rsidRDefault="00CA3B52" w:rsidP="00CA3B52">
      <w:pPr>
        <w:rPr>
          <w:lang w:val="en-US"/>
        </w:rPr>
      </w:pPr>
      <w:r w:rsidRPr="00CB6CBA">
        <w:rPr>
          <w:lang w:val="en-US"/>
        </w:rPr>
        <w:t>Occupied (necessary) bandwidth of an emission, or a bandwidth of a received signal, due to their absence in Recommendation ITU-R SM.1138-2, should be taken from related frequency assignment data, stored in a national spectrum management database or received from an operator on a special request.</w:t>
      </w:r>
    </w:p>
    <w:p w:rsidR="00CA3B52" w:rsidRPr="00CB6CBA" w:rsidRDefault="00CA3B52" w:rsidP="00CA3B52">
      <w:pPr>
        <w:pStyle w:val="Heading5"/>
        <w:rPr>
          <w:lang w:val="en-US"/>
        </w:rPr>
      </w:pPr>
      <w:r w:rsidRPr="00CB6CBA">
        <w:rPr>
          <w:lang w:val="en-US"/>
        </w:rPr>
        <w:t>4.</w:t>
      </w:r>
      <w:r>
        <w:rPr>
          <w:lang w:val="en-US"/>
        </w:rPr>
        <w:t>7</w:t>
      </w:r>
      <w:r w:rsidRPr="00CB6CBA">
        <w:rPr>
          <w:lang w:val="en-US"/>
        </w:rPr>
        <w:t>.8.2</w:t>
      </w:r>
      <w:r w:rsidRPr="00CB6CBA">
        <w:rPr>
          <w:lang w:val="en-US"/>
        </w:rPr>
        <w:tab/>
        <w:t>Examples of calculations</w:t>
      </w:r>
    </w:p>
    <w:p w:rsidR="00CA3B52" w:rsidRPr="00CB6CBA" w:rsidRDefault="00CA3B52" w:rsidP="00CA3B52">
      <w:pPr>
        <w:pStyle w:val="Heading5"/>
        <w:rPr>
          <w:lang w:val="en-US"/>
        </w:rPr>
      </w:pPr>
      <w:r w:rsidRPr="00CB6CBA">
        <w:rPr>
          <w:lang w:val="en-US"/>
        </w:rPr>
        <w:t>4.</w:t>
      </w:r>
      <w:r>
        <w:rPr>
          <w:lang w:val="en-US"/>
        </w:rPr>
        <w:t>7</w:t>
      </w:r>
      <w:r w:rsidRPr="00CB6CBA">
        <w:rPr>
          <w:lang w:val="en-US"/>
        </w:rPr>
        <w:t>.8.3</w:t>
      </w:r>
      <w:r w:rsidRPr="00CB6CBA">
        <w:rPr>
          <w:lang w:val="en-US"/>
        </w:rPr>
        <w:tab/>
        <w:t>Transmitting earth station</w:t>
      </w:r>
    </w:p>
    <w:p w:rsidR="00CA3B52" w:rsidRPr="00CB6CBA" w:rsidRDefault="00CA3B52" w:rsidP="00CA3B52">
      <w:pPr>
        <w:pStyle w:val="Headingb"/>
        <w:rPr>
          <w:lang w:val="en-US"/>
        </w:rPr>
      </w:pPr>
      <w:r w:rsidRPr="00CB6CBA">
        <w:rPr>
          <w:lang w:val="en-US"/>
        </w:rPr>
        <w:t>a)</w:t>
      </w:r>
      <w:r w:rsidRPr="00CB6CBA">
        <w:rPr>
          <w:lang w:val="en-US"/>
        </w:rPr>
        <w:tab/>
        <w:t>Incoming parameters</w:t>
      </w:r>
    </w:p>
    <w:p w:rsidR="00CA3B52" w:rsidRPr="00CB6CBA" w:rsidRDefault="00CA3B52" w:rsidP="00CA3B52">
      <w:pPr>
        <w:rPr>
          <w:lang w:val="en-US"/>
        </w:rPr>
      </w:pPr>
      <w:r w:rsidRPr="00CB6CBA">
        <w:rPr>
          <w:lang w:val="en-US"/>
        </w:rPr>
        <w:t>Let us calculate a spectral resource used by an earth station providing feeder link for non-GSO satellites operating in the mobile-satellite service. Due to absence of more detailed data, coordination distance is accepted as to be 750 km. The station is situated in rural area and its antenna beam-widths is 0.5</w:t>
      </w:r>
      <w:r w:rsidRPr="00CB6CBA">
        <w:rPr>
          <w:vertAlign w:val="superscript"/>
          <w:lang w:val="en-US"/>
        </w:rPr>
        <w:t>o</w:t>
      </w:r>
      <w:r w:rsidRPr="00CB6CBA">
        <w:rPr>
          <w:lang w:val="en-US"/>
        </w:rPr>
        <w:t>. Occupied area of the emission lies within one zone categorized by Table 1 as 0.2. Let us assume that, in accordance with relevant frequency assignment recorded in the national spectrum management database, the bandwidth of the emission is 200 MHz.</w:t>
      </w:r>
    </w:p>
    <w:p w:rsidR="00CA3B52" w:rsidRPr="00CB6CBA" w:rsidRDefault="00CA3B52" w:rsidP="00CA3B52">
      <w:pPr>
        <w:pStyle w:val="Headingb"/>
        <w:rPr>
          <w:lang w:val="en-US"/>
        </w:rPr>
      </w:pPr>
      <w:r w:rsidRPr="00CB6CBA">
        <w:rPr>
          <w:lang w:val="en-US"/>
        </w:rPr>
        <w:t>b)</w:t>
      </w:r>
      <w:r w:rsidRPr="00CB6CBA">
        <w:rPr>
          <w:lang w:val="en-US"/>
        </w:rPr>
        <w:tab/>
        <w:t>Time and frequency resources used</w:t>
      </w:r>
    </w:p>
    <w:p w:rsidR="00CA3B52" w:rsidRDefault="00CA3B52" w:rsidP="00CA3B52">
      <w:pPr>
        <w:rPr>
          <w:lang w:val="en-US"/>
        </w:rPr>
      </w:pPr>
      <w:r w:rsidRPr="00CB6CBA">
        <w:rPr>
          <w:lang w:val="en-US"/>
        </w:rPr>
        <w:t>Taking into account principally continuous mode of feeder link operation, from equation (</w:t>
      </w:r>
      <w:r>
        <w:rPr>
          <w:lang w:val="en-US"/>
        </w:rPr>
        <w:t>21</w:t>
      </w:r>
      <w:r w:rsidRPr="00CB6CBA">
        <w:rPr>
          <w:lang w:val="en-US"/>
        </w:rPr>
        <w:t>) it follows:</w:t>
      </w:r>
    </w:p>
    <w:p w:rsidR="00CA3B52" w:rsidRDefault="00CA3B52" w:rsidP="00CA3B52">
      <w:pPr>
        <w:pStyle w:val="Blanc"/>
      </w:pPr>
    </w:p>
    <w:p w:rsidR="00CA3B52" w:rsidRPr="00CB6CBA" w:rsidRDefault="00CA3B52" w:rsidP="00CA3B52">
      <w:pPr>
        <w:pStyle w:val="Equation"/>
        <w:rPr>
          <w:lang w:val="en-US"/>
        </w:rPr>
      </w:pPr>
      <w:r w:rsidRPr="00CB6CBA">
        <w:rPr>
          <w:lang w:val="en-US"/>
        </w:rPr>
        <w:tab/>
      </w:r>
      <w:r w:rsidRPr="00CB6CBA">
        <w:rPr>
          <w:lang w:val="en-US"/>
        </w:rPr>
        <w:tab/>
      </w:r>
      <w:r w:rsidRPr="00CB6CBA">
        <w:rPr>
          <w:i/>
          <w:lang w:val="en-US"/>
        </w:rPr>
        <w:t>T</w:t>
      </w:r>
      <w:r w:rsidRPr="00CB6CBA">
        <w:rPr>
          <w:lang w:val="en-US"/>
        </w:rPr>
        <w:t xml:space="preserve"> </w:t>
      </w:r>
      <w:r>
        <w:rPr>
          <w:lang w:val="en-US"/>
        </w:rPr>
        <w:t>=</w:t>
      </w:r>
      <w:r w:rsidRPr="00CB6CBA">
        <w:rPr>
          <w:lang w:val="en-US"/>
        </w:rPr>
        <w:t xml:space="preserve"> 24/24 (each day) </w:t>
      </w:r>
      <w:r>
        <w:rPr>
          <w:lang w:val="en-US"/>
        </w:rPr>
        <w:t>=</w:t>
      </w:r>
      <w:r w:rsidRPr="00CB6CBA">
        <w:rPr>
          <w:lang w:val="en-US"/>
        </w:rPr>
        <w:t xml:space="preserve"> 1 year</w:t>
      </w:r>
    </w:p>
    <w:p w:rsidR="00CA3B52" w:rsidRDefault="00CA3B52" w:rsidP="00CA3B52">
      <w:pPr>
        <w:pStyle w:val="Blanc"/>
      </w:pPr>
    </w:p>
    <w:p w:rsidR="00CA3B52" w:rsidRDefault="00CA3B52" w:rsidP="00CA3B52">
      <w:pPr>
        <w:rPr>
          <w:lang w:val="en-US"/>
        </w:rPr>
      </w:pPr>
      <w:r w:rsidRPr="00CB6CBA">
        <w:rPr>
          <w:lang w:val="en-US"/>
        </w:rPr>
        <w:t>In accordance with data presented in § 1.5.2.1.1 used frequency resource, accepting in equation (</w:t>
      </w:r>
      <w:r>
        <w:rPr>
          <w:lang w:val="en-US"/>
        </w:rPr>
        <w:t>24</w:t>
      </w:r>
      <w:r w:rsidRPr="00CB6CBA">
        <w:rPr>
          <w:lang w:val="en-US"/>
        </w:rPr>
        <w:t>)</w:t>
      </w:r>
      <w:r>
        <w:rPr>
          <w:lang w:val="en-US"/>
        </w:rPr>
        <w:t xml:space="preserve"> </w:t>
      </w:r>
      <w:r>
        <w:rPr>
          <w:lang w:val="en-US"/>
        </w:rPr>
        <w:sym w:font="Symbol" w:char="F063"/>
      </w:r>
      <w:r w:rsidRPr="00CB6CBA">
        <w:rPr>
          <w:lang w:val="en-US"/>
        </w:rPr>
        <w:t> = 1, can be found as:</w:t>
      </w:r>
    </w:p>
    <w:p w:rsidR="00CA3B52" w:rsidRDefault="00CA3B52" w:rsidP="00CA3B52">
      <w:pPr>
        <w:pStyle w:val="Blanc"/>
      </w:pPr>
    </w:p>
    <w:p w:rsidR="00CA3B52" w:rsidRPr="00CB6CBA" w:rsidRDefault="00CA3B52" w:rsidP="00CA3B52">
      <w:pPr>
        <w:pStyle w:val="Equation"/>
        <w:rPr>
          <w:lang w:val="en-US"/>
        </w:rPr>
      </w:pPr>
      <w:r w:rsidRPr="00CB6CBA">
        <w:rPr>
          <w:lang w:val="en-US"/>
        </w:rPr>
        <w:tab/>
      </w:r>
      <w:r w:rsidRPr="00CB6CBA">
        <w:rPr>
          <w:lang w:val="en-US"/>
        </w:rPr>
        <w:tab/>
      </w:r>
      <w:r w:rsidRPr="00CB6CBA">
        <w:rPr>
          <w:i/>
          <w:lang w:val="en-US"/>
        </w:rPr>
        <w:t>F</w:t>
      </w:r>
      <w:r w:rsidRPr="00CB6CBA">
        <w:rPr>
          <w:lang w:val="en-US"/>
        </w:rPr>
        <w:t xml:space="preserve"> </w:t>
      </w:r>
      <w:r w:rsidRPr="00CB6CBA">
        <w:rPr>
          <w:rFonts w:ascii="Symbol" w:hAnsi="Symbol"/>
          <w:lang w:val="en-US"/>
        </w:rPr>
        <w:t></w:t>
      </w:r>
      <w:r w:rsidRPr="00CB6CBA">
        <w:rPr>
          <w:lang w:val="en-US"/>
        </w:rPr>
        <w:t xml:space="preserve"> 200 MHz</w:t>
      </w:r>
    </w:p>
    <w:p w:rsidR="00CA3B52" w:rsidRPr="00CB6CBA" w:rsidRDefault="00CA3B52" w:rsidP="00CA3B52">
      <w:pPr>
        <w:pStyle w:val="Headingb"/>
        <w:rPr>
          <w:lang w:val="en-US"/>
        </w:rPr>
      </w:pPr>
      <w:r w:rsidRPr="00CB6CBA">
        <w:rPr>
          <w:lang w:val="en-US"/>
        </w:rPr>
        <w:t>c)</w:t>
      </w:r>
      <w:r w:rsidRPr="00CB6CBA">
        <w:rPr>
          <w:lang w:val="en-US"/>
        </w:rPr>
        <w:tab/>
        <w:t>Territorial resource used</w:t>
      </w:r>
    </w:p>
    <w:p w:rsidR="00CA3B52" w:rsidRDefault="00CA3B52" w:rsidP="00CA3B52">
      <w:pPr>
        <w:rPr>
          <w:lang w:val="en-US"/>
        </w:rPr>
      </w:pPr>
      <w:r w:rsidRPr="00CB6CBA">
        <w:rPr>
          <w:lang w:val="en-US"/>
        </w:rPr>
        <w:t>Substituting related data to equation (</w:t>
      </w:r>
      <w:r>
        <w:rPr>
          <w:lang w:val="en-US"/>
        </w:rPr>
        <w:t>50</w:t>
      </w:r>
      <w:r w:rsidRPr="00CB6CBA">
        <w:rPr>
          <w:lang w:val="en-US"/>
        </w:rPr>
        <w:t xml:space="preserve">), where </w:t>
      </w:r>
      <w:r w:rsidRPr="00CB6CBA">
        <w:rPr>
          <w:i/>
          <w:lang w:val="en-US"/>
        </w:rPr>
        <w:t>L</w:t>
      </w:r>
      <w:r w:rsidRPr="00CB6CBA">
        <w:rPr>
          <w:i/>
          <w:vertAlign w:val="subscript"/>
          <w:lang w:val="en-US"/>
        </w:rPr>
        <w:t>c</w:t>
      </w:r>
      <w:r w:rsidRPr="00CB6CBA">
        <w:rPr>
          <w:lang w:val="en-US"/>
        </w:rPr>
        <w:t xml:space="preserve"> represents coordination distance, we get:</w:t>
      </w:r>
    </w:p>
    <w:p w:rsidR="00CA3B52" w:rsidRPr="00CB6CBA" w:rsidRDefault="00CA3B52" w:rsidP="00F65451">
      <w:pPr>
        <w:pStyle w:val="Equation"/>
        <w:rPr>
          <w:lang w:val="en-US"/>
        </w:rPr>
      </w:pPr>
      <w:r>
        <w:rPr>
          <w:i/>
          <w:iCs/>
          <w:lang w:val="en-US"/>
        </w:rPr>
        <w:tab/>
      </w:r>
      <w:r>
        <w:rPr>
          <w:i/>
          <w:iCs/>
          <w:lang w:val="en-US"/>
        </w:rPr>
        <w:tab/>
      </w:r>
      <w:r w:rsidRPr="00CB6CBA">
        <w:rPr>
          <w:i/>
          <w:iCs/>
          <w:lang w:val="en-US"/>
        </w:rPr>
        <w:t>s</w:t>
      </w:r>
      <w:r w:rsidRPr="00CB6CBA">
        <w:rPr>
          <w:i/>
          <w:iCs/>
          <w:vertAlign w:val="subscript"/>
          <w:lang w:val="en-US"/>
        </w:rPr>
        <w:t>o</w:t>
      </w:r>
      <w:r w:rsidRPr="00CB6CBA">
        <w:rPr>
          <w:lang w:val="en-US"/>
        </w:rPr>
        <w:t xml:space="preserve"> </w:t>
      </w:r>
      <w:r w:rsidRPr="00CB6CBA">
        <w:rPr>
          <w:rFonts w:ascii="Symbol" w:hAnsi="Symbol"/>
          <w:lang w:val="en-US"/>
        </w:rPr>
        <w:t></w:t>
      </w:r>
      <w:r w:rsidRPr="00CB6CBA">
        <w:rPr>
          <w:lang w:val="en-US"/>
        </w:rPr>
        <w:t xml:space="preserve"> (0.5/180) </w:t>
      </w:r>
      <w:r w:rsidRPr="00CB6CBA">
        <w:rPr>
          <w:rFonts w:ascii="Symbol" w:hAnsi="Symbol"/>
          <w:lang w:val="en-US"/>
        </w:rPr>
        <w:t></w:t>
      </w:r>
      <w:r w:rsidRPr="00CB6CBA">
        <w:rPr>
          <w:lang w:val="en-US"/>
        </w:rPr>
        <w:t> </w:t>
      </w:r>
      <w:r w:rsidRPr="00CB6CBA">
        <w:rPr>
          <w:rFonts w:ascii="Symbol" w:hAnsi="Symbol"/>
          <w:lang w:val="en-US"/>
        </w:rPr>
        <w:t></w:t>
      </w:r>
      <w:r w:rsidRPr="00CB6CBA">
        <w:rPr>
          <w:lang w:val="en-US"/>
        </w:rPr>
        <w:t> </w:t>
      </w:r>
      <w:r w:rsidRPr="00CB6CBA">
        <w:rPr>
          <w:rFonts w:ascii="Symbol" w:hAnsi="Symbol"/>
          <w:lang w:val="en-US"/>
        </w:rPr>
        <w:t></w:t>
      </w:r>
      <w:r w:rsidRPr="00CB6CBA">
        <w:rPr>
          <w:lang w:val="en-US"/>
        </w:rPr>
        <w:t> 750</w:t>
      </w:r>
      <w:r w:rsidRPr="00CB6CBA">
        <w:rPr>
          <w:vertAlign w:val="superscript"/>
          <w:lang w:val="en-US"/>
        </w:rPr>
        <w:t>2</w:t>
      </w:r>
      <w:r w:rsidRPr="00CB6CBA">
        <w:rPr>
          <w:lang w:val="en-US"/>
        </w:rPr>
        <w:t xml:space="preserve"> </w:t>
      </w:r>
      <w:r w:rsidRPr="00CB6CBA">
        <w:rPr>
          <w:rFonts w:ascii="Symbol" w:hAnsi="Symbol"/>
          <w:lang w:val="en-US"/>
        </w:rPr>
        <w:t></w:t>
      </w:r>
      <w:r w:rsidRPr="00CB6CBA">
        <w:rPr>
          <w:lang w:val="en-US"/>
        </w:rPr>
        <w:t xml:space="preserve"> 4</w:t>
      </w:r>
      <w:r w:rsidRPr="00CB6CBA">
        <w:rPr>
          <w:rFonts w:ascii="Tms Rmn" w:hAnsi="Tms Rmn"/>
          <w:sz w:val="12"/>
          <w:lang w:val="en-US"/>
        </w:rPr>
        <w:t> </w:t>
      </w:r>
      <w:r w:rsidRPr="00CB6CBA">
        <w:rPr>
          <w:lang w:val="en-US"/>
        </w:rPr>
        <w:t>909 km</w:t>
      </w:r>
      <w:r w:rsidRPr="00CB6CBA">
        <w:rPr>
          <w:vertAlign w:val="superscript"/>
          <w:lang w:val="en-US"/>
        </w:rPr>
        <w:t>2</w:t>
      </w:r>
    </w:p>
    <w:p w:rsidR="00CA3B52" w:rsidRDefault="00CA3B52" w:rsidP="00CA3B52">
      <w:pPr>
        <w:rPr>
          <w:lang w:val="en-US"/>
        </w:rPr>
      </w:pPr>
      <w:r w:rsidRPr="00CB6CBA">
        <w:rPr>
          <w:lang w:val="en-US"/>
        </w:rPr>
        <w:t>From equation (</w:t>
      </w:r>
      <w:r>
        <w:rPr>
          <w:lang w:val="en-US"/>
        </w:rPr>
        <w:t>22</w:t>
      </w:r>
      <w:r w:rsidRPr="00CB6CBA">
        <w:rPr>
          <w:lang w:val="en-US"/>
        </w:rPr>
        <w:t>), taking into account the zone category, it follows:</w:t>
      </w:r>
    </w:p>
    <w:p w:rsidR="00CA3B52" w:rsidRDefault="00CA3B52" w:rsidP="00CA3B52">
      <w:pPr>
        <w:pStyle w:val="Blanc"/>
      </w:pPr>
    </w:p>
    <w:p w:rsidR="00CA3B52" w:rsidRPr="00CB6CBA" w:rsidRDefault="00CA3B52" w:rsidP="00CA3B52">
      <w:pPr>
        <w:pStyle w:val="Equation"/>
        <w:rPr>
          <w:lang w:val="en-US"/>
        </w:rPr>
      </w:pPr>
      <w:r w:rsidRPr="00CB6CBA">
        <w:rPr>
          <w:i/>
          <w:iCs/>
          <w:lang w:val="en-US"/>
        </w:rPr>
        <w:tab/>
      </w:r>
      <w:r w:rsidRPr="00CB6CBA">
        <w:rPr>
          <w:i/>
          <w:iCs/>
          <w:lang w:val="en-US"/>
        </w:rPr>
        <w:tab/>
        <w:t>S</w:t>
      </w:r>
      <w:r w:rsidRPr="00CB6CBA">
        <w:rPr>
          <w:lang w:val="en-US"/>
        </w:rPr>
        <w:t xml:space="preserve"> </w:t>
      </w:r>
      <w:r>
        <w:rPr>
          <w:lang w:val="en-US"/>
        </w:rPr>
        <w:t>=</w:t>
      </w:r>
      <w:r w:rsidRPr="00CB6CBA">
        <w:rPr>
          <w:lang w:val="en-US"/>
        </w:rPr>
        <w:t xml:space="preserve"> 0.2 </w:t>
      </w:r>
      <w:r>
        <w:rPr>
          <w:lang w:val="en-US"/>
        </w:rPr>
        <w:t>×</w:t>
      </w:r>
      <w:r w:rsidRPr="00CB6CBA">
        <w:rPr>
          <w:lang w:val="en-US"/>
        </w:rPr>
        <w:t> 4</w:t>
      </w:r>
      <w:r w:rsidRPr="00CB6CBA">
        <w:rPr>
          <w:rFonts w:ascii="Tms Rmn" w:hAnsi="Tms Rmn"/>
          <w:sz w:val="12"/>
          <w:lang w:val="en-US"/>
        </w:rPr>
        <w:t> </w:t>
      </w:r>
      <w:r w:rsidRPr="00CB6CBA">
        <w:rPr>
          <w:lang w:val="en-US"/>
        </w:rPr>
        <w:t xml:space="preserve">909 </w:t>
      </w:r>
      <w:r>
        <w:rPr>
          <w:lang w:val="en-US"/>
        </w:rPr>
        <w:t>=</w:t>
      </w:r>
      <w:r w:rsidRPr="00CB6CBA">
        <w:rPr>
          <w:lang w:val="en-US"/>
        </w:rPr>
        <w:t xml:space="preserve"> 982 km</w:t>
      </w:r>
      <w:r w:rsidRPr="00CB6CBA">
        <w:rPr>
          <w:vertAlign w:val="superscript"/>
          <w:lang w:val="en-US"/>
        </w:rPr>
        <w:t>2</w:t>
      </w:r>
    </w:p>
    <w:p w:rsidR="00CA3B52" w:rsidRPr="00CB6CBA" w:rsidRDefault="00CA3B52" w:rsidP="00CA3B52">
      <w:pPr>
        <w:pStyle w:val="Headingb"/>
        <w:rPr>
          <w:lang w:val="en-US"/>
        </w:rPr>
      </w:pPr>
      <w:r w:rsidRPr="00CB6CBA">
        <w:rPr>
          <w:lang w:val="en-US"/>
        </w:rPr>
        <w:lastRenderedPageBreak/>
        <w:t>d)</w:t>
      </w:r>
      <w:r w:rsidRPr="00CB6CBA">
        <w:rPr>
          <w:lang w:val="en-US"/>
        </w:rPr>
        <w:tab/>
        <w:t>Spectral resource used</w:t>
      </w:r>
    </w:p>
    <w:p w:rsidR="00CA3B52" w:rsidRDefault="00CA3B52" w:rsidP="00CA3B52">
      <w:pPr>
        <w:rPr>
          <w:lang w:val="en-US"/>
        </w:rPr>
      </w:pPr>
      <w:r w:rsidRPr="00CB6CBA">
        <w:rPr>
          <w:lang w:val="en-US"/>
        </w:rPr>
        <w:t>Substituting values calculated to equation (</w:t>
      </w:r>
      <w:r>
        <w:rPr>
          <w:lang w:val="en-US"/>
        </w:rPr>
        <w:t>20</w:t>
      </w:r>
      <w:r w:rsidRPr="00CB6CBA">
        <w:rPr>
          <w:lang w:val="en-US"/>
        </w:rPr>
        <w:t>), using values of weighting coefficients presented in Table 2 and taking into account non-sharing conditions (</w:t>
      </w:r>
      <w:r>
        <w:rPr>
          <w:lang w:val="en-US"/>
        </w:rPr>
        <w:sym w:font="Symbol" w:char="F062"/>
      </w:r>
      <w:r w:rsidRPr="00CB6CBA">
        <w:rPr>
          <w:lang w:val="en-US"/>
        </w:rPr>
        <w:t> </w:t>
      </w:r>
      <w:r>
        <w:rPr>
          <w:lang w:val="en-US"/>
        </w:rPr>
        <w:t>=</w:t>
      </w:r>
      <w:r w:rsidRPr="00CB6CBA">
        <w:rPr>
          <w:lang w:val="en-US"/>
        </w:rPr>
        <w:t> 1), we get finally:</w:t>
      </w:r>
    </w:p>
    <w:p w:rsidR="00CA3B52" w:rsidRPr="00CB6CBA" w:rsidRDefault="00CA3B52" w:rsidP="00F65451">
      <w:pPr>
        <w:pStyle w:val="Equation"/>
        <w:rPr>
          <w:i/>
          <w:lang w:val="en-US"/>
        </w:rPr>
      </w:pPr>
      <w:r>
        <w:rPr>
          <w:i/>
          <w:lang w:val="en-US"/>
        </w:rPr>
        <w:tab/>
      </w:r>
      <w:r w:rsidRPr="00CB6CBA">
        <w:rPr>
          <w:i/>
          <w:lang w:val="en-US"/>
        </w:rPr>
        <w:t>W</w:t>
      </w:r>
      <w:r w:rsidRPr="00CB6CBA">
        <w:rPr>
          <w:lang w:val="en-US"/>
        </w:rPr>
        <w:t xml:space="preserve"> </w:t>
      </w:r>
      <w:r>
        <w:rPr>
          <w:lang w:val="en-US"/>
        </w:rPr>
        <w:t>=</w:t>
      </w:r>
      <w:r w:rsidRPr="00CB6CBA">
        <w:rPr>
          <w:lang w:val="en-US"/>
        </w:rPr>
        <w:t xml:space="preserve"> 1.4 </w:t>
      </w:r>
      <w:r>
        <w:rPr>
          <w:lang w:val="en-US"/>
        </w:rPr>
        <w:t>×</w:t>
      </w:r>
      <w:r w:rsidRPr="00CB6CBA">
        <w:rPr>
          <w:lang w:val="en-US"/>
        </w:rPr>
        <w:t> 0.1 </w:t>
      </w:r>
      <w:r>
        <w:rPr>
          <w:lang w:val="en-US"/>
        </w:rPr>
        <w:t>× </w:t>
      </w:r>
      <w:r w:rsidRPr="00CB6CBA">
        <w:rPr>
          <w:lang w:val="en-US"/>
        </w:rPr>
        <w:t>0.1 </w:t>
      </w:r>
      <w:r>
        <w:rPr>
          <w:lang w:val="en-US"/>
        </w:rPr>
        <w:t>×</w:t>
      </w:r>
      <w:r w:rsidRPr="00CB6CBA">
        <w:rPr>
          <w:lang w:val="en-US"/>
        </w:rPr>
        <w:t> 0.2 </w:t>
      </w:r>
      <w:r>
        <w:rPr>
          <w:lang w:val="en-US"/>
        </w:rPr>
        <w:t>×</w:t>
      </w:r>
      <w:r w:rsidRPr="00CB6CBA">
        <w:rPr>
          <w:lang w:val="en-US"/>
        </w:rPr>
        <w:t> 1 </w:t>
      </w:r>
      <w:r>
        <w:rPr>
          <w:lang w:val="en-US"/>
        </w:rPr>
        <w:t>×</w:t>
      </w:r>
      <w:r w:rsidRPr="00CB6CBA">
        <w:rPr>
          <w:lang w:val="en-US"/>
        </w:rPr>
        <w:t> 200 </w:t>
      </w:r>
      <w:r>
        <w:rPr>
          <w:lang w:val="en-US"/>
        </w:rPr>
        <w:t>×</w:t>
      </w:r>
      <w:r w:rsidRPr="00CB6CBA">
        <w:rPr>
          <w:lang w:val="en-US"/>
        </w:rPr>
        <w:t> 982 </w:t>
      </w:r>
      <w:r>
        <w:rPr>
          <w:lang w:val="en-US"/>
        </w:rPr>
        <w:t>×</w:t>
      </w:r>
      <w:r w:rsidRPr="00CB6CBA">
        <w:rPr>
          <w:lang w:val="en-US"/>
        </w:rPr>
        <w:t xml:space="preserve"> 1 </w:t>
      </w:r>
      <w:r>
        <w:rPr>
          <w:lang w:val="en-US"/>
        </w:rPr>
        <w:t>=</w:t>
      </w:r>
      <w:r w:rsidRPr="00CB6CBA">
        <w:rPr>
          <w:lang w:val="en-US"/>
        </w:rPr>
        <w:t xml:space="preserve"> 550           MHz </w:t>
      </w:r>
      <w:r w:rsidRPr="00CB6CBA">
        <w:rPr>
          <w:szCs w:val="24"/>
          <w:lang w:val="en-US"/>
        </w:rPr>
        <w:sym w:font="Symbol" w:char="F0D7"/>
      </w:r>
      <w:r w:rsidRPr="00CB6CBA">
        <w:rPr>
          <w:lang w:val="en-US"/>
        </w:rPr>
        <w:t xml:space="preserve"> km</w:t>
      </w:r>
      <w:r w:rsidRPr="00CB6CBA">
        <w:rPr>
          <w:vertAlign w:val="superscript"/>
          <w:lang w:val="en-US"/>
        </w:rPr>
        <w:t>2</w:t>
      </w:r>
      <w:r w:rsidRPr="00CB6CBA">
        <w:rPr>
          <w:lang w:val="en-US"/>
        </w:rPr>
        <w:t xml:space="preserve"> </w:t>
      </w:r>
      <w:r w:rsidRPr="00CB6CBA">
        <w:rPr>
          <w:szCs w:val="24"/>
          <w:lang w:val="en-US"/>
        </w:rPr>
        <w:sym w:font="Symbol" w:char="F0D7"/>
      </w:r>
      <w:r w:rsidRPr="00CB6CBA">
        <w:rPr>
          <w:lang w:val="en-US"/>
        </w:rPr>
        <w:t xml:space="preserve"> 1 year</w:t>
      </w:r>
    </w:p>
    <w:p w:rsidR="00CA3B52" w:rsidRDefault="00CA3B52" w:rsidP="00CA3B52">
      <w:pPr>
        <w:pStyle w:val="Heading4"/>
        <w:rPr>
          <w:lang w:val="en-US"/>
        </w:rPr>
      </w:pPr>
      <w:r w:rsidRPr="00CB6CBA">
        <w:rPr>
          <w:lang w:val="en-US"/>
        </w:rPr>
        <w:t>4.</w:t>
      </w:r>
      <w:r>
        <w:rPr>
          <w:lang w:val="en-US"/>
        </w:rPr>
        <w:t>7</w:t>
      </w:r>
      <w:r w:rsidRPr="00CB6CBA">
        <w:rPr>
          <w:lang w:val="en-US"/>
        </w:rPr>
        <w:t>.8.4</w:t>
      </w:r>
      <w:r w:rsidRPr="00CB6CBA">
        <w:rPr>
          <w:lang w:val="en-US"/>
        </w:rPr>
        <w:tab/>
        <w:t>Receiving earth station</w:t>
      </w:r>
    </w:p>
    <w:p w:rsidR="00CA3B52" w:rsidRPr="00CB6CBA" w:rsidRDefault="00CA3B52" w:rsidP="00CA3B52">
      <w:pPr>
        <w:pStyle w:val="Headingb"/>
        <w:rPr>
          <w:lang w:val="en-US"/>
        </w:rPr>
      </w:pPr>
      <w:r w:rsidRPr="00CB6CBA">
        <w:rPr>
          <w:lang w:val="en-US"/>
        </w:rPr>
        <w:t>a)</w:t>
      </w:r>
      <w:r w:rsidRPr="00CB6CBA">
        <w:rPr>
          <w:lang w:val="en-US"/>
        </w:rPr>
        <w:tab/>
        <w:t>Incoming parameters</w:t>
      </w:r>
    </w:p>
    <w:p w:rsidR="00CA3B52" w:rsidRPr="00CB6CBA" w:rsidRDefault="00CA3B52" w:rsidP="00CA3B52">
      <w:pPr>
        <w:rPr>
          <w:lang w:val="en-US"/>
        </w:rPr>
      </w:pPr>
      <w:r w:rsidRPr="00CB6CBA">
        <w:rPr>
          <w:lang w:val="en-US"/>
        </w:rPr>
        <w:t xml:space="preserve">Let us calculate a spectral resource used by a receiving VSAT earth station working around the clock. Due to absence more detailed data, coordination distance is taken as 350 km. </w:t>
      </w:r>
      <w:r w:rsidRPr="00CB6CBA">
        <w:rPr>
          <w:color w:val="000000"/>
          <w:lang w:val="en-US"/>
        </w:rPr>
        <w:t xml:space="preserve">The </w:t>
      </w:r>
      <w:r w:rsidRPr="00CB6CBA">
        <w:rPr>
          <w:lang w:val="en-US"/>
        </w:rPr>
        <w:t>station is situated in rural area and its antenna beam-widths is 1</w:t>
      </w:r>
      <w:r w:rsidRPr="00CB6CBA">
        <w:rPr>
          <w:vertAlign w:val="superscript"/>
          <w:lang w:val="en-US"/>
        </w:rPr>
        <w:t>o</w:t>
      </w:r>
      <w:r w:rsidRPr="00CB6CBA">
        <w:rPr>
          <w:lang w:val="en-US"/>
        </w:rPr>
        <w:t>. Occupied area of the emission lies within one zone categorized by Table 1 as 0.3. Let us assume that, in accordance with relevant frequency assignment recorded in the national spectrum management database, the bandwidth of the received signal is 30 MHz.</w:t>
      </w:r>
    </w:p>
    <w:p w:rsidR="00CA3B52" w:rsidRPr="00CB6CBA" w:rsidRDefault="00CA3B52" w:rsidP="00CA3B52">
      <w:pPr>
        <w:pStyle w:val="Headingb"/>
        <w:rPr>
          <w:lang w:val="en-US"/>
        </w:rPr>
      </w:pPr>
      <w:r w:rsidRPr="00CB6CBA">
        <w:rPr>
          <w:lang w:val="en-US"/>
        </w:rPr>
        <w:t>b)</w:t>
      </w:r>
      <w:r w:rsidRPr="00CB6CBA">
        <w:rPr>
          <w:lang w:val="en-US"/>
        </w:rPr>
        <w:tab/>
        <w:t>Time and frequency resources used</w:t>
      </w:r>
    </w:p>
    <w:p w:rsidR="00CA3B52" w:rsidRDefault="00CA3B52" w:rsidP="00CA3B52">
      <w:pPr>
        <w:rPr>
          <w:lang w:val="en-US"/>
        </w:rPr>
      </w:pPr>
      <w:r w:rsidRPr="00CB6CBA">
        <w:rPr>
          <w:lang w:val="en-US"/>
        </w:rPr>
        <w:t>Assuming continuous mode of the station operation, from equation (</w:t>
      </w:r>
      <w:r>
        <w:rPr>
          <w:lang w:val="en-US"/>
        </w:rPr>
        <w:t>21</w:t>
      </w:r>
      <w:r w:rsidRPr="00CB6CBA">
        <w:rPr>
          <w:lang w:val="en-US"/>
        </w:rPr>
        <w:t>) it follows:</w:t>
      </w:r>
    </w:p>
    <w:p w:rsidR="00CA3B52" w:rsidRPr="00CB6CBA" w:rsidRDefault="00CA3B52" w:rsidP="00CA3B52">
      <w:pPr>
        <w:pStyle w:val="Equation"/>
        <w:rPr>
          <w:lang w:val="en-US"/>
        </w:rPr>
      </w:pPr>
      <w:r w:rsidRPr="00CB6CBA">
        <w:rPr>
          <w:lang w:val="en-US"/>
        </w:rPr>
        <w:tab/>
      </w:r>
      <w:r w:rsidRPr="00CB6CBA">
        <w:rPr>
          <w:lang w:val="en-US"/>
        </w:rPr>
        <w:tab/>
      </w:r>
      <w:r w:rsidRPr="00CB6CBA">
        <w:rPr>
          <w:i/>
          <w:lang w:val="en-US"/>
        </w:rPr>
        <w:t>T</w:t>
      </w:r>
      <w:r w:rsidRPr="00CB6CBA">
        <w:rPr>
          <w:lang w:val="en-US"/>
        </w:rPr>
        <w:t xml:space="preserve"> = 24/24 (each day) = 1 year</w:t>
      </w:r>
    </w:p>
    <w:p w:rsidR="00CA3B52" w:rsidRDefault="00CA3B52" w:rsidP="00CA3B52">
      <w:pPr>
        <w:rPr>
          <w:lang w:val="en-US"/>
        </w:rPr>
      </w:pPr>
      <w:r w:rsidRPr="00CB6CBA">
        <w:rPr>
          <w:lang w:val="en-US"/>
        </w:rPr>
        <w:t>In accordance with used frequency resource, accepting in equation (</w:t>
      </w:r>
      <w:r>
        <w:rPr>
          <w:lang w:val="en-US"/>
        </w:rPr>
        <w:t>24</w:t>
      </w:r>
      <w:r w:rsidRPr="00CB6CBA">
        <w:rPr>
          <w:lang w:val="en-US"/>
        </w:rPr>
        <w:t>)</w:t>
      </w:r>
      <w:r>
        <w:rPr>
          <w:lang w:val="en-US"/>
        </w:rPr>
        <w:t xml:space="preserve"> </w:t>
      </w:r>
      <w:r>
        <w:rPr>
          <w:lang w:val="en-US"/>
        </w:rPr>
        <w:sym w:font="Symbol" w:char="F063"/>
      </w:r>
      <w:r w:rsidRPr="00CB6CBA">
        <w:rPr>
          <w:lang w:val="en-US"/>
        </w:rPr>
        <w:t> = 1, can be found as:</w:t>
      </w:r>
    </w:p>
    <w:p w:rsidR="00CA3B52" w:rsidRDefault="00CA3B52" w:rsidP="00CA3B52">
      <w:pPr>
        <w:pStyle w:val="Blanc"/>
      </w:pPr>
    </w:p>
    <w:p w:rsidR="00CA3B52" w:rsidRPr="00CB6CBA" w:rsidRDefault="00CA3B52" w:rsidP="00CA3B52">
      <w:pPr>
        <w:pStyle w:val="Equation"/>
        <w:rPr>
          <w:lang w:val="en-US"/>
        </w:rPr>
      </w:pPr>
      <w:r w:rsidRPr="00CB6CBA">
        <w:rPr>
          <w:lang w:val="en-US"/>
        </w:rPr>
        <w:tab/>
      </w:r>
      <w:r w:rsidRPr="00CB6CBA">
        <w:rPr>
          <w:lang w:val="en-US"/>
        </w:rPr>
        <w:tab/>
      </w:r>
      <w:r w:rsidRPr="00CB6CBA">
        <w:rPr>
          <w:i/>
          <w:lang w:val="en-US"/>
        </w:rPr>
        <w:t>F</w:t>
      </w:r>
      <w:r w:rsidRPr="00CB6CBA">
        <w:rPr>
          <w:lang w:val="en-US"/>
        </w:rPr>
        <w:t xml:space="preserve"> </w:t>
      </w:r>
      <w:r>
        <w:rPr>
          <w:lang w:val="en-US"/>
        </w:rPr>
        <w:t>=</w:t>
      </w:r>
      <w:r w:rsidRPr="00CB6CBA">
        <w:rPr>
          <w:lang w:val="en-US"/>
        </w:rPr>
        <w:t xml:space="preserve"> 30 MHz</w:t>
      </w:r>
    </w:p>
    <w:p w:rsidR="00CA3B52" w:rsidRDefault="00CA3B52" w:rsidP="00CA3B52">
      <w:pPr>
        <w:pStyle w:val="Blanc"/>
      </w:pPr>
    </w:p>
    <w:p w:rsidR="00CA3B52" w:rsidRPr="00CB6CBA" w:rsidRDefault="00CA3B52" w:rsidP="00CA3B52">
      <w:pPr>
        <w:pStyle w:val="Headingb"/>
        <w:rPr>
          <w:lang w:val="en-US"/>
        </w:rPr>
      </w:pPr>
      <w:r w:rsidRPr="00CB6CBA">
        <w:rPr>
          <w:lang w:val="en-US"/>
        </w:rPr>
        <w:t>c)</w:t>
      </w:r>
      <w:r w:rsidRPr="00CB6CBA">
        <w:rPr>
          <w:lang w:val="en-US"/>
        </w:rPr>
        <w:tab/>
        <w:t>Territorial resource used</w:t>
      </w:r>
    </w:p>
    <w:p w:rsidR="00CA3B52" w:rsidRDefault="00CA3B52" w:rsidP="00CA3B52">
      <w:pPr>
        <w:rPr>
          <w:lang w:val="en-US"/>
        </w:rPr>
      </w:pPr>
      <w:r w:rsidRPr="00CB6CBA">
        <w:rPr>
          <w:lang w:val="en-US"/>
        </w:rPr>
        <w:t>Substituting related data to equation (</w:t>
      </w:r>
      <w:r>
        <w:rPr>
          <w:lang w:val="en-US"/>
        </w:rPr>
        <w:t>50</w:t>
      </w:r>
      <w:r w:rsidRPr="00CB6CBA">
        <w:rPr>
          <w:lang w:val="en-US"/>
        </w:rPr>
        <w:t xml:space="preserve">), where </w:t>
      </w:r>
      <w:r w:rsidRPr="00CB6CBA">
        <w:rPr>
          <w:i/>
          <w:lang w:val="en-US"/>
        </w:rPr>
        <w:t>L</w:t>
      </w:r>
      <w:r w:rsidRPr="00CB6CBA">
        <w:rPr>
          <w:i/>
          <w:vertAlign w:val="subscript"/>
          <w:lang w:val="en-US"/>
        </w:rPr>
        <w:t>c</w:t>
      </w:r>
      <w:r w:rsidRPr="00CB6CBA">
        <w:rPr>
          <w:lang w:val="en-US"/>
        </w:rPr>
        <w:t xml:space="preserve"> represents coordination distance, we get:</w:t>
      </w:r>
    </w:p>
    <w:p w:rsidR="00CA3B52" w:rsidRDefault="00CA3B52" w:rsidP="00CA3B52">
      <w:pPr>
        <w:pStyle w:val="Blanc"/>
      </w:pPr>
    </w:p>
    <w:p w:rsidR="00CA3B52" w:rsidRPr="00CB6CBA" w:rsidRDefault="00CA3B52" w:rsidP="00F65451">
      <w:pPr>
        <w:pStyle w:val="Equation"/>
        <w:rPr>
          <w:lang w:val="en-US"/>
        </w:rPr>
      </w:pPr>
      <w:r>
        <w:rPr>
          <w:i/>
          <w:iCs/>
          <w:lang w:val="en-US"/>
        </w:rPr>
        <w:tab/>
      </w:r>
      <w:r>
        <w:rPr>
          <w:i/>
          <w:iCs/>
          <w:lang w:val="en-US"/>
        </w:rPr>
        <w:tab/>
      </w:r>
      <w:r w:rsidRPr="00CB6CBA">
        <w:rPr>
          <w:i/>
          <w:iCs/>
          <w:lang w:val="en-US"/>
        </w:rPr>
        <w:t>s</w:t>
      </w:r>
      <w:r w:rsidRPr="00CB6CBA">
        <w:rPr>
          <w:i/>
          <w:iCs/>
          <w:vertAlign w:val="subscript"/>
          <w:lang w:val="en-US"/>
        </w:rPr>
        <w:t>o</w:t>
      </w:r>
      <w:r w:rsidRPr="00CB6CBA">
        <w:rPr>
          <w:lang w:val="en-US"/>
        </w:rPr>
        <w:t xml:space="preserve"> </w:t>
      </w:r>
      <w:r>
        <w:rPr>
          <w:lang w:val="en-US"/>
        </w:rPr>
        <w:t>=</w:t>
      </w:r>
      <w:r w:rsidRPr="00CB6CBA">
        <w:rPr>
          <w:lang w:val="en-US"/>
        </w:rPr>
        <w:t xml:space="preserve"> (1/180) </w:t>
      </w:r>
      <w:r>
        <w:rPr>
          <w:lang w:val="en-US"/>
        </w:rPr>
        <w:t>×</w:t>
      </w:r>
      <w:r w:rsidRPr="00CB6CBA">
        <w:rPr>
          <w:lang w:val="en-US"/>
        </w:rPr>
        <w:t> </w:t>
      </w:r>
      <w:r w:rsidRPr="00CB6CBA">
        <w:rPr>
          <w:rFonts w:ascii="Symbol" w:hAnsi="Symbol"/>
          <w:lang w:val="en-US"/>
        </w:rPr>
        <w:t></w:t>
      </w:r>
      <w:r w:rsidRPr="00CB6CBA">
        <w:rPr>
          <w:lang w:val="en-US"/>
        </w:rPr>
        <w:t> </w:t>
      </w:r>
      <w:r>
        <w:rPr>
          <w:lang w:val="en-US"/>
        </w:rPr>
        <w:t>×</w:t>
      </w:r>
      <w:r w:rsidRPr="00CB6CBA">
        <w:rPr>
          <w:lang w:val="en-US"/>
        </w:rPr>
        <w:t> 350</w:t>
      </w:r>
      <w:r w:rsidRPr="00CB6CBA">
        <w:rPr>
          <w:vertAlign w:val="superscript"/>
          <w:lang w:val="en-US"/>
        </w:rPr>
        <w:t>2</w:t>
      </w:r>
      <w:r w:rsidRPr="00CB6CBA">
        <w:rPr>
          <w:lang w:val="en-US"/>
        </w:rPr>
        <w:t xml:space="preserve"> </w:t>
      </w:r>
      <w:r>
        <w:rPr>
          <w:lang w:val="en-US"/>
        </w:rPr>
        <w:t>=</w:t>
      </w:r>
      <w:r w:rsidRPr="00CB6CBA">
        <w:rPr>
          <w:lang w:val="en-US"/>
        </w:rPr>
        <w:t xml:space="preserve"> 2</w:t>
      </w:r>
      <w:r w:rsidRPr="00CB6CBA">
        <w:rPr>
          <w:rFonts w:ascii="Tms Rmn" w:hAnsi="Tms Rmn"/>
          <w:sz w:val="12"/>
          <w:lang w:val="en-US"/>
        </w:rPr>
        <w:t> </w:t>
      </w:r>
      <w:r w:rsidRPr="00CB6CBA">
        <w:rPr>
          <w:lang w:val="en-US"/>
        </w:rPr>
        <w:t>138 km</w:t>
      </w:r>
      <w:r w:rsidRPr="00CB6CBA">
        <w:rPr>
          <w:vertAlign w:val="superscript"/>
          <w:lang w:val="en-US"/>
        </w:rPr>
        <w:t>2</w:t>
      </w:r>
    </w:p>
    <w:p w:rsidR="00CA3B52" w:rsidRDefault="00CA3B52" w:rsidP="00CA3B52">
      <w:pPr>
        <w:pStyle w:val="Blanc"/>
      </w:pPr>
    </w:p>
    <w:p w:rsidR="00CA3B52" w:rsidRDefault="00CA3B52" w:rsidP="00CA3B52">
      <w:pPr>
        <w:rPr>
          <w:lang w:val="en-US"/>
        </w:rPr>
      </w:pPr>
      <w:r w:rsidRPr="00CB6CBA">
        <w:rPr>
          <w:lang w:val="en-US"/>
        </w:rPr>
        <w:t>From equation (</w:t>
      </w:r>
      <w:r>
        <w:rPr>
          <w:lang w:val="en-US"/>
        </w:rPr>
        <w:t>22</w:t>
      </w:r>
      <w:r w:rsidRPr="00CB6CBA">
        <w:rPr>
          <w:lang w:val="en-US"/>
        </w:rPr>
        <w:t>), taking into account the zone category, it follows:</w:t>
      </w:r>
    </w:p>
    <w:p w:rsidR="00CA3B52" w:rsidRDefault="00CA3B52" w:rsidP="00CA3B52">
      <w:pPr>
        <w:pStyle w:val="Blanc"/>
      </w:pPr>
    </w:p>
    <w:p w:rsidR="00CA3B52" w:rsidRPr="00CB6CBA" w:rsidRDefault="00CA3B52" w:rsidP="00F65451">
      <w:pPr>
        <w:pStyle w:val="Equation"/>
        <w:rPr>
          <w:lang w:val="en-US"/>
        </w:rPr>
      </w:pPr>
      <w:r>
        <w:rPr>
          <w:i/>
          <w:iCs/>
          <w:lang w:val="en-US"/>
        </w:rPr>
        <w:tab/>
      </w:r>
      <w:r>
        <w:rPr>
          <w:i/>
          <w:iCs/>
          <w:lang w:val="en-US"/>
        </w:rPr>
        <w:tab/>
      </w:r>
      <w:r w:rsidRPr="00CB6CBA">
        <w:rPr>
          <w:i/>
          <w:iCs/>
          <w:lang w:val="en-US"/>
        </w:rPr>
        <w:t>S</w:t>
      </w:r>
      <w:r w:rsidRPr="00CB6CBA">
        <w:rPr>
          <w:lang w:val="en-US"/>
        </w:rPr>
        <w:t xml:space="preserve"> </w:t>
      </w:r>
      <w:r>
        <w:rPr>
          <w:lang w:val="en-US"/>
        </w:rPr>
        <w:t>=</w:t>
      </w:r>
      <w:r w:rsidRPr="00CB6CBA">
        <w:rPr>
          <w:lang w:val="en-US"/>
        </w:rPr>
        <w:t xml:space="preserve"> 0.3 </w:t>
      </w:r>
      <w:r>
        <w:rPr>
          <w:lang w:val="en-US"/>
        </w:rPr>
        <w:t>×</w:t>
      </w:r>
      <w:r w:rsidRPr="00CB6CBA">
        <w:rPr>
          <w:lang w:val="en-US"/>
        </w:rPr>
        <w:t> 2</w:t>
      </w:r>
      <w:r w:rsidRPr="00CB6CBA">
        <w:rPr>
          <w:rFonts w:ascii="Tms Rmn" w:hAnsi="Tms Rmn"/>
          <w:sz w:val="12"/>
          <w:lang w:val="en-US"/>
        </w:rPr>
        <w:t> </w:t>
      </w:r>
      <w:r w:rsidRPr="00CB6CBA">
        <w:rPr>
          <w:lang w:val="en-US"/>
        </w:rPr>
        <w:t xml:space="preserve">138 </w:t>
      </w:r>
      <w:r>
        <w:rPr>
          <w:lang w:val="en-US"/>
        </w:rPr>
        <w:t>=</w:t>
      </w:r>
      <w:r w:rsidRPr="00CB6CBA">
        <w:rPr>
          <w:lang w:val="en-US"/>
        </w:rPr>
        <w:t xml:space="preserve"> 641 km</w:t>
      </w:r>
      <w:r w:rsidRPr="00CB6CBA">
        <w:rPr>
          <w:vertAlign w:val="superscript"/>
          <w:lang w:val="en-US"/>
        </w:rPr>
        <w:t>2</w:t>
      </w:r>
    </w:p>
    <w:p w:rsidR="00CA3B52" w:rsidRPr="00C67A98" w:rsidRDefault="00CA3B52" w:rsidP="00CA3B52">
      <w:pPr>
        <w:pStyle w:val="Blanc"/>
        <w:rPr>
          <w:lang w:val="en-US"/>
        </w:rPr>
      </w:pPr>
    </w:p>
    <w:p w:rsidR="00CA3B52" w:rsidRPr="00CB6CBA" w:rsidRDefault="00CA3B52" w:rsidP="00CA3B52">
      <w:pPr>
        <w:pStyle w:val="Headingb"/>
        <w:rPr>
          <w:lang w:val="en-US"/>
        </w:rPr>
      </w:pPr>
      <w:r w:rsidRPr="00CB6CBA">
        <w:rPr>
          <w:lang w:val="en-US"/>
        </w:rPr>
        <w:t>d)</w:t>
      </w:r>
      <w:r w:rsidRPr="00CB6CBA">
        <w:rPr>
          <w:lang w:val="en-US"/>
        </w:rPr>
        <w:tab/>
        <w:t>Spectral resource used</w:t>
      </w:r>
    </w:p>
    <w:p w:rsidR="00CA3B52" w:rsidRDefault="00CA3B52" w:rsidP="00CA3B52">
      <w:pPr>
        <w:rPr>
          <w:lang w:val="en-US"/>
        </w:rPr>
      </w:pPr>
      <w:r w:rsidRPr="00CB6CBA">
        <w:rPr>
          <w:lang w:val="en-US"/>
        </w:rPr>
        <w:t>Substituting values to equation (</w:t>
      </w:r>
      <w:r>
        <w:rPr>
          <w:lang w:val="en-US"/>
        </w:rPr>
        <w:t>20</w:t>
      </w:r>
      <w:r w:rsidRPr="00CB6CBA">
        <w:rPr>
          <w:lang w:val="en-US"/>
        </w:rPr>
        <w:t>), using values of weighting coefficients presented in Table 2 and taking into account non-sharing conditions (</w:t>
      </w:r>
      <w:r>
        <w:rPr>
          <w:lang w:val="en-US"/>
        </w:rPr>
        <w:sym w:font="Symbol" w:char="F062"/>
      </w:r>
      <w:r w:rsidRPr="00CB6CBA">
        <w:rPr>
          <w:lang w:val="en-US"/>
        </w:rPr>
        <w:t> </w:t>
      </w:r>
      <w:r>
        <w:rPr>
          <w:lang w:val="en-US"/>
        </w:rPr>
        <w:t>=</w:t>
      </w:r>
      <w:r w:rsidRPr="00CB6CBA">
        <w:rPr>
          <w:lang w:val="en-US"/>
        </w:rPr>
        <w:t> 1), we get finally:</w:t>
      </w:r>
    </w:p>
    <w:p w:rsidR="00CA3B52" w:rsidRDefault="00CA3B52" w:rsidP="00CA3B52">
      <w:pPr>
        <w:pStyle w:val="Blanc"/>
      </w:pPr>
    </w:p>
    <w:p w:rsidR="00CA3B52" w:rsidRPr="00CB6CBA" w:rsidRDefault="00CA3B52" w:rsidP="00F65451">
      <w:pPr>
        <w:pStyle w:val="Equation"/>
        <w:rPr>
          <w:i/>
          <w:lang w:val="en-US"/>
        </w:rPr>
      </w:pPr>
      <w:r>
        <w:rPr>
          <w:i/>
          <w:lang w:val="en-US"/>
        </w:rPr>
        <w:tab/>
      </w:r>
      <w:r>
        <w:rPr>
          <w:i/>
          <w:lang w:val="en-US"/>
        </w:rPr>
        <w:tab/>
      </w:r>
      <w:r w:rsidRPr="00CB6CBA">
        <w:rPr>
          <w:i/>
          <w:lang w:val="en-US"/>
        </w:rPr>
        <w:t>W</w:t>
      </w:r>
      <w:r w:rsidRPr="00CB6CBA">
        <w:rPr>
          <w:lang w:val="en-US"/>
        </w:rPr>
        <w:t xml:space="preserve"> </w:t>
      </w:r>
      <w:r>
        <w:rPr>
          <w:lang w:val="en-US"/>
        </w:rPr>
        <w:t>=</w:t>
      </w:r>
      <w:r w:rsidRPr="00CB6CBA">
        <w:rPr>
          <w:lang w:val="en-US"/>
        </w:rPr>
        <w:t xml:space="preserve"> 14 </w:t>
      </w:r>
      <w:r>
        <w:rPr>
          <w:lang w:val="en-US"/>
        </w:rPr>
        <w:t>×</w:t>
      </w:r>
      <w:r w:rsidRPr="00CB6CBA">
        <w:rPr>
          <w:lang w:val="en-US"/>
        </w:rPr>
        <w:t> 0.1 </w:t>
      </w:r>
      <w:r>
        <w:rPr>
          <w:lang w:val="en-US"/>
        </w:rPr>
        <w:t>×</w:t>
      </w:r>
      <w:r w:rsidRPr="00CB6CBA">
        <w:rPr>
          <w:lang w:val="en-US"/>
        </w:rPr>
        <w:t> 0.1 </w:t>
      </w:r>
      <w:r>
        <w:rPr>
          <w:lang w:val="en-US"/>
        </w:rPr>
        <w:t>×</w:t>
      </w:r>
      <w:r w:rsidRPr="00CB6CBA">
        <w:rPr>
          <w:lang w:val="en-US"/>
        </w:rPr>
        <w:t> 0.2 </w:t>
      </w:r>
      <w:r>
        <w:rPr>
          <w:lang w:val="en-US"/>
        </w:rPr>
        <w:t>×</w:t>
      </w:r>
      <w:r w:rsidRPr="00CB6CBA">
        <w:rPr>
          <w:lang w:val="en-US"/>
        </w:rPr>
        <w:t> 1 </w:t>
      </w:r>
      <w:r>
        <w:rPr>
          <w:lang w:val="en-US"/>
        </w:rPr>
        <w:t>×</w:t>
      </w:r>
      <w:r w:rsidRPr="00CB6CBA">
        <w:rPr>
          <w:lang w:val="en-US"/>
        </w:rPr>
        <w:t> 30 </w:t>
      </w:r>
      <w:r>
        <w:rPr>
          <w:lang w:val="en-US"/>
        </w:rPr>
        <w:t>×</w:t>
      </w:r>
      <w:r w:rsidRPr="00CB6CBA">
        <w:rPr>
          <w:lang w:val="en-US"/>
        </w:rPr>
        <w:t> 641 </w:t>
      </w:r>
      <w:r>
        <w:rPr>
          <w:lang w:val="en-US"/>
        </w:rPr>
        <w:t>×</w:t>
      </w:r>
      <w:r w:rsidRPr="00CB6CBA">
        <w:rPr>
          <w:lang w:val="en-US"/>
        </w:rPr>
        <w:t xml:space="preserve"> 1 </w:t>
      </w:r>
      <w:r>
        <w:rPr>
          <w:lang w:val="en-US"/>
        </w:rPr>
        <w:t>= 54           </w:t>
      </w:r>
      <w:r w:rsidRPr="00CB6CBA">
        <w:rPr>
          <w:lang w:val="en-US"/>
        </w:rPr>
        <w:t xml:space="preserve">MHz </w:t>
      </w:r>
      <w:r w:rsidRPr="00CB6CBA">
        <w:rPr>
          <w:szCs w:val="24"/>
          <w:lang w:val="en-US"/>
        </w:rPr>
        <w:sym w:font="Symbol" w:char="F0D7"/>
      </w:r>
      <w:r w:rsidRPr="00CB6CBA">
        <w:rPr>
          <w:lang w:val="en-US"/>
        </w:rPr>
        <w:t xml:space="preserve"> km</w:t>
      </w:r>
      <w:r w:rsidRPr="00CB6CBA">
        <w:rPr>
          <w:vertAlign w:val="superscript"/>
          <w:lang w:val="en-US"/>
        </w:rPr>
        <w:t>2</w:t>
      </w:r>
      <w:r w:rsidRPr="00CB6CBA">
        <w:rPr>
          <w:lang w:val="en-US"/>
        </w:rPr>
        <w:t xml:space="preserve"> </w:t>
      </w:r>
      <w:r w:rsidRPr="00CB6CBA">
        <w:rPr>
          <w:szCs w:val="24"/>
          <w:lang w:val="en-US"/>
        </w:rPr>
        <w:sym w:font="Symbol" w:char="F0D7"/>
      </w:r>
      <w:r w:rsidRPr="00CB6CBA">
        <w:rPr>
          <w:lang w:val="en-US"/>
        </w:rPr>
        <w:t xml:space="preserve"> 1 year</w:t>
      </w:r>
    </w:p>
    <w:p w:rsidR="00CA3B52" w:rsidRPr="00CB6CBA" w:rsidRDefault="00CA3B52" w:rsidP="00CA3B52">
      <w:pPr>
        <w:pStyle w:val="Headingb"/>
        <w:rPr>
          <w:lang w:val="en-US"/>
        </w:rPr>
      </w:pPr>
      <w:r w:rsidRPr="00CB6CBA">
        <w:rPr>
          <w:lang w:val="en-US"/>
        </w:rPr>
        <w:t>e)</w:t>
      </w:r>
      <w:r w:rsidRPr="00CB6CBA">
        <w:rPr>
          <w:lang w:val="en-US"/>
        </w:rPr>
        <w:tab/>
        <w:t>Summary of calculation results</w:t>
      </w:r>
    </w:p>
    <w:p w:rsidR="00CA3B52" w:rsidRPr="00CB6CBA" w:rsidRDefault="00CA3B52" w:rsidP="00CA3B52">
      <w:pPr>
        <w:rPr>
          <w:lang w:val="en-US"/>
        </w:rPr>
      </w:pPr>
      <w:r w:rsidRPr="00CB6CBA">
        <w:rPr>
          <w:lang w:val="en-US"/>
        </w:rPr>
        <w:t>Summary of calculation results for the purpose of comparison and for general orientation is presented in Table 13.</w:t>
      </w:r>
    </w:p>
    <w:p w:rsidR="00C65B68" w:rsidRDefault="00C65B68">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CA3B52" w:rsidRPr="00CB6CBA" w:rsidRDefault="00CA3B52" w:rsidP="00F65451">
      <w:pPr>
        <w:pStyle w:val="TableNo"/>
        <w:rPr>
          <w:lang w:val="en-US"/>
        </w:rPr>
      </w:pPr>
      <w:r w:rsidRPr="00CB6CBA">
        <w:rPr>
          <w:lang w:val="en-US"/>
        </w:rPr>
        <w:lastRenderedPageBreak/>
        <w:t>TABLE 13</w:t>
      </w:r>
    </w:p>
    <w:p w:rsidR="00CA3B52" w:rsidRPr="00CB6CBA" w:rsidRDefault="00CA3B52" w:rsidP="00CA3B52">
      <w:pPr>
        <w:pStyle w:val="Tabletitle"/>
        <w:rPr>
          <w:lang w:val="en-US"/>
        </w:rPr>
      </w:pPr>
      <w:r w:rsidRPr="00CB6CBA">
        <w:rPr>
          <w:lang w:val="en-US"/>
        </w:rPr>
        <w:t>Summary of calculation results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6057"/>
        <w:gridCol w:w="2480"/>
      </w:tblGrid>
      <w:tr w:rsidR="00CA3B52" w:rsidRPr="00F65451" w:rsidTr="00447D7D">
        <w:trPr>
          <w:jc w:val="center"/>
        </w:trPr>
        <w:tc>
          <w:tcPr>
            <w:tcW w:w="1244" w:type="dxa"/>
            <w:vAlign w:val="center"/>
          </w:tcPr>
          <w:p w:rsidR="00CA3B52" w:rsidRPr="00CB6CBA" w:rsidRDefault="00CA3B52" w:rsidP="002D1D5C">
            <w:pPr>
              <w:pStyle w:val="Tablehead"/>
              <w:rPr>
                <w:szCs w:val="22"/>
                <w:lang w:val="en-US"/>
              </w:rPr>
            </w:pPr>
            <w:r w:rsidRPr="00CB6CBA">
              <w:rPr>
                <w:szCs w:val="22"/>
                <w:lang w:val="en-US"/>
              </w:rPr>
              <w:t>Section</w:t>
            </w:r>
          </w:p>
        </w:tc>
        <w:tc>
          <w:tcPr>
            <w:tcW w:w="6057" w:type="dxa"/>
            <w:vAlign w:val="center"/>
          </w:tcPr>
          <w:p w:rsidR="00CA3B52" w:rsidRPr="00CB6CBA" w:rsidRDefault="00CA3B52" w:rsidP="002D1D5C">
            <w:pPr>
              <w:pStyle w:val="Tablehead"/>
              <w:rPr>
                <w:szCs w:val="22"/>
                <w:lang w:val="en-US"/>
              </w:rPr>
            </w:pPr>
            <w:r w:rsidRPr="00CB6CBA">
              <w:rPr>
                <w:szCs w:val="22"/>
                <w:lang w:val="en-US"/>
              </w:rPr>
              <w:t>Radio service, transmitter power</w:t>
            </w:r>
            <w:r w:rsidRPr="00CB6CBA">
              <w:rPr>
                <w:szCs w:val="22"/>
                <w:lang w:val="en-US"/>
              </w:rPr>
              <w:br/>
              <w:t>or radio link characteristic</w:t>
            </w:r>
          </w:p>
        </w:tc>
        <w:tc>
          <w:tcPr>
            <w:tcW w:w="2480" w:type="dxa"/>
            <w:vAlign w:val="center"/>
          </w:tcPr>
          <w:p w:rsidR="00CA3B52" w:rsidRPr="00CB6CBA" w:rsidRDefault="00CA3B52" w:rsidP="00447D7D">
            <w:pPr>
              <w:pStyle w:val="Tablehead"/>
              <w:rPr>
                <w:szCs w:val="22"/>
                <w:lang w:val="en-US"/>
              </w:rPr>
            </w:pPr>
            <w:r w:rsidRPr="00CB6CBA">
              <w:rPr>
                <w:szCs w:val="22"/>
                <w:lang w:val="en-US"/>
              </w:rPr>
              <w:t>Spectral resource used</w:t>
            </w:r>
            <w:r w:rsidRPr="00CB6CBA">
              <w:rPr>
                <w:szCs w:val="22"/>
                <w:lang w:val="en-US"/>
              </w:rPr>
              <w:br/>
              <w:t xml:space="preserve">(MHz </w:t>
            </w:r>
            <w:r w:rsidR="00447D7D">
              <w:rPr>
                <w:lang w:val="en-US"/>
              </w:rPr>
              <w:t>–</w:t>
            </w:r>
            <w:r w:rsidRPr="00CB6CBA">
              <w:rPr>
                <w:szCs w:val="22"/>
                <w:lang w:val="en-US"/>
              </w:rPr>
              <w:t xml:space="preserve"> km</w:t>
            </w:r>
            <w:r w:rsidRPr="00CB6CBA">
              <w:rPr>
                <w:szCs w:val="22"/>
                <w:vertAlign w:val="superscript"/>
                <w:lang w:val="en-US"/>
              </w:rPr>
              <w:t>2</w:t>
            </w:r>
            <w:r w:rsidRPr="00CB6CBA">
              <w:rPr>
                <w:szCs w:val="22"/>
                <w:lang w:val="en-US"/>
              </w:rPr>
              <w:t xml:space="preserve"> </w:t>
            </w:r>
            <w:r w:rsidR="00447D7D">
              <w:rPr>
                <w:lang w:val="en-US"/>
              </w:rPr>
              <w:t>–</w:t>
            </w:r>
            <w:r w:rsidRPr="00CB6CBA">
              <w:rPr>
                <w:szCs w:val="22"/>
                <w:lang w:val="en-US"/>
              </w:rPr>
              <w:t xml:space="preserve"> 1 year)</w:t>
            </w:r>
          </w:p>
        </w:tc>
      </w:tr>
      <w:tr w:rsidR="00CA3B52" w:rsidRPr="00CB6CBA" w:rsidTr="00447D7D">
        <w:trPr>
          <w:jc w:val="center"/>
        </w:trPr>
        <w:tc>
          <w:tcPr>
            <w:tcW w:w="1244" w:type="dxa"/>
          </w:tcPr>
          <w:p w:rsidR="00CA3B52" w:rsidRPr="00CB6CBA" w:rsidRDefault="00CA3B52" w:rsidP="002D1D5C">
            <w:pPr>
              <w:pStyle w:val="Tabletext"/>
              <w:jc w:val="left"/>
              <w:rPr>
                <w:lang w:val="en-US"/>
              </w:rPr>
            </w:pPr>
            <w:r w:rsidRPr="00CB6CBA">
              <w:rPr>
                <w:lang w:val="en-US"/>
              </w:rPr>
              <w:t>1.2.1.2</w:t>
            </w:r>
          </w:p>
        </w:tc>
        <w:tc>
          <w:tcPr>
            <w:tcW w:w="6057" w:type="dxa"/>
          </w:tcPr>
          <w:p w:rsidR="00CA3B52" w:rsidRPr="00CB6CBA" w:rsidRDefault="00CA3B52" w:rsidP="002D1D5C">
            <w:pPr>
              <w:pStyle w:val="Tabletext"/>
              <w:jc w:val="left"/>
              <w:rPr>
                <w:lang w:val="en-US"/>
              </w:rPr>
            </w:pPr>
            <w:r w:rsidRPr="00CB6CBA">
              <w:rPr>
                <w:lang w:val="en-US"/>
              </w:rPr>
              <w:t>FM sound broadcasting, 1.5 kW</w:t>
            </w:r>
          </w:p>
        </w:tc>
        <w:tc>
          <w:tcPr>
            <w:tcW w:w="2480" w:type="dxa"/>
          </w:tcPr>
          <w:p w:rsidR="00CA3B52" w:rsidRPr="00CB6CBA" w:rsidRDefault="00CA3B52" w:rsidP="002D1D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CB6CBA">
              <w:rPr>
                <w:szCs w:val="22"/>
                <w:lang w:val="en-US"/>
              </w:rPr>
              <w:t>2 430</w:t>
            </w:r>
          </w:p>
        </w:tc>
      </w:tr>
      <w:tr w:rsidR="00CA3B52" w:rsidRPr="00CB6CBA" w:rsidTr="00447D7D">
        <w:trPr>
          <w:jc w:val="center"/>
        </w:trPr>
        <w:tc>
          <w:tcPr>
            <w:tcW w:w="1244" w:type="dxa"/>
          </w:tcPr>
          <w:p w:rsidR="00CA3B52" w:rsidRPr="00CB6CBA" w:rsidRDefault="00CA3B52" w:rsidP="002D1D5C">
            <w:pPr>
              <w:pStyle w:val="Tabletext"/>
              <w:jc w:val="left"/>
              <w:rPr>
                <w:lang w:val="en-US"/>
              </w:rPr>
            </w:pPr>
            <w:r w:rsidRPr="00CB6CBA">
              <w:rPr>
                <w:lang w:val="en-US"/>
              </w:rPr>
              <w:t>1.3.1.3</w:t>
            </w:r>
          </w:p>
        </w:tc>
        <w:tc>
          <w:tcPr>
            <w:tcW w:w="6057" w:type="dxa"/>
          </w:tcPr>
          <w:p w:rsidR="00CA3B52" w:rsidRPr="00CB6CBA" w:rsidRDefault="00CA3B52" w:rsidP="002D1D5C">
            <w:pPr>
              <w:pStyle w:val="Tabletext"/>
              <w:jc w:val="left"/>
              <w:rPr>
                <w:lang w:val="en-US"/>
              </w:rPr>
            </w:pPr>
            <w:r w:rsidRPr="00CB6CBA">
              <w:rPr>
                <w:lang w:val="en-US"/>
              </w:rPr>
              <w:t>Land mobile service, GSM base station, 2.5 W</w:t>
            </w:r>
          </w:p>
        </w:tc>
        <w:tc>
          <w:tcPr>
            <w:tcW w:w="2480" w:type="dxa"/>
          </w:tcPr>
          <w:p w:rsidR="00CA3B52" w:rsidRPr="00CB6CBA" w:rsidRDefault="00CA3B52" w:rsidP="002D1D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CB6CBA">
              <w:rPr>
                <w:szCs w:val="22"/>
                <w:lang w:val="en-US"/>
              </w:rPr>
              <w:t>2 172</w:t>
            </w:r>
          </w:p>
        </w:tc>
      </w:tr>
      <w:tr w:rsidR="00CA3B52" w:rsidRPr="00CB6CBA" w:rsidTr="00447D7D">
        <w:trPr>
          <w:jc w:val="center"/>
        </w:trPr>
        <w:tc>
          <w:tcPr>
            <w:tcW w:w="1244" w:type="dxa"/>
          </w:tcPr>
          <w:p w:rsidR="00CA3B52" w:rsidRPr="00CB6CBA" w:rsidRDefault="00CA3B52" w:rsidP="002D1D5C">
            <w:pPr>
              <w:pStyle w:val="Tabletext"/>
              <w:jc w:val="left"/>
              <w:rPr>
                <w:lang w:val="en-US"/>
              </w:rPr>
            </w:pPr>
            <w:r w:rsidRPr="00CB6CBA">
              <w:rPr>
                <w:lang w:val="en-US"/>
              </w:rPr>
              <w:t>1.3.2.3</w:t>
            </w:r>
          </w:p>
        </w:tc>
        <w:tc>
          <w:tcPr>
            <w:tcW w:w="6057" w:type="dxa"/>
          </w:tcPr>
          <w:p w:rsidR="00CA3B52" w:rsidRPr="00CB6CBA" w:rsidRDefault="00CA3B52" w:rsidP="002D1D5C">
            <w:pPr>
              <w:pStyle w:val="Tabletext"/>
              <w:jc w:val="left"/>
              <w:rPr>
                <w:lang w:val="en-US"/>
              </w:rPr>
            </w:pPr>
            <w:r w:rsidRPr="00CB6CBA">
              <w:rPr>
                <w:lang w:val="en-US"/>
              </w:rPr>
              <w:t>Maritime mobile service, coast station, 50 W</w:t>
            </w:r>
          </w:p>
        </w:tc>
        <w:tc>
          <w:tcPr>
            <w:tcW w:w="2480" w:type="dxa"/>
          </w:tcPr>
          <w:p w:rsidR="00CA3B52" w:rsidRPr="00CB6CBA" w:rsidRDefault="00CA3B52" w:rsidP="002D1D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CB6CBA">
              <w:rPr>
                <w:szCs w:val="22"/>
                <w:lang w:val="en-US"/>
              </w:rPr>
              <w:t>3.7</w:t>
            </w:r>
          </w:p>
        </w:tc>
      </w:tr>
      <w:tr w:rsidR="00CA3B52" w:rsidRPr="00CB6CBA" w:rsidTr="00447D7D">
        <w:trPr>
          <w:jc w:val="center"/>
        </w:trPr>
        <w:tc>
          <w:tcPr>
            <w:tcW w:w="1244" w:type="dxa"/>
          </w:tcPr>
          <w:p w:rsidR="00CA3B52" w:rsidRPr="00CB6CBA" w:rsidRDefault="00CA3B52" w:rsidP="002D1D5C">
            <w:pPr>
              <w:pStyle w:val="Tabletext"/>
              <w:jc w:val="left"/>
              <w:rPr>
                <w:lang w:val="en-US"/>
              </w:rPr>
            </w:pPr>
            <w:r w:rsidRPr="00CB6CBA">
              <w:rPr>
                <w:lang w:val="en-US"/>
              </w:rPr>
              <w:t>1.3.3.2.1</w:t>
            </w:r>
          </w:p>
        </w:tc>
        <w:tc>
          <w:tcPr>
            <w:tcW w:w="6057" w:type="dxa"/>
          </w:tcPr>
          <w:p w:rsidR="00CA3B52" w:rsidRPr="00CB6CBA" w:rsidRDefault="00CA3B52" w:rsidP="002D1D5C">
            <w:pPr>
              <w:pStyle w:val="Tabletext"/>
              <w:jc w:val="left"/>
              <w:rPr>
                <w:lang w:val="en-US"/>
              </w:rPr>
            </w:pPr>
            <w:r w:rsidRPr="00CB6CBA">
              <w:rPr>
                <w:lang w:val="en-US"/>
              </w:rPr>
              <w:t>Aeronautical radiocommunication aircraft height 10 000 m</w:t>
            </w:r>
          </w:p>
        </w:tc>
        <w:tc>
          <w:tcPr>
            <w:tcW w:w="2480" w:type="dxa"/>
          </w:tcPr>
          <w:p w:rsidR="00CA3B52" w:rsidRPr="00CB6CBA" w:rsidRDefault="00CA3B52" w:rsidP="002D1D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CB6CBA">
              <w:rPr>
                <w:szCs w:val="22"/>
                <w:lang w:val="en-US"/>
              </w:rPr>
              <w:t>4.4</w:t>
            </w:r>
          </w:p>
        </w:tc>
      </w:tr>
      <w:tr w:rsidR="00CA3B52" w:rsidRPr="00CB6CBA" w:rsidTr="00447D7D">
        <w:trPr>
          <w:jc w:val="center"/>
        </w:trPr>
        <w:tc>
          <w:tcPr>
            <w:tcW w:w="1244" w:type="dxa"/>
          </w:tcPr>
          <w:p w:rsidR="00CA3B52" w:rsidRPr="00CB6CBA" w:rsidRDefault="00CA3B52" w:rsidP="002D1D5C">
            <w:pPr>
              <w:pStyle w:val="Tabletext"/>
              <w:jc w:val="left"/>
              <w:rPr>
                <w:lang w:val="en-US"/>
              </w:rPr>
            </w:pPr>
            <w:r w:rsidRPr="00CB6CBA">
              <w:rPr>
                <w:lang w:val="en-US"/>
              </w:rPr>
              <w:t>1.3.3.2.2</w:t>
            </w:r>
          </w:p>
        </w:tc>
        <w:tc>
          <w:tcPr>
            <w:tcW w:w="6057" w:type="dxa"/>
          </w:tcPr>
          <w:p w:rsidR="00CA3B52" w:rsidRPr="00CB6CBA" w:rsidRDefault="00CA3B52" w:rsidP="002D1D5C">
            <w:pPr>
              <w:pStyle w:val="Tabletext"/>
              <w:jc w:val="left"/>
              <w:rPr>
                <w:lang w:val="en-US"/>
              </w:rPr>
            </w:pPr>
            <w:r w:rsidRPr="00CB6CBA">
              <w:rPr>
                <w:lang w:val="en-US"/>
              </w:rPr>
              <w:t>Primary radar, aircraft height 10 000 m</w:t>
            </w:r>
          </w:p>
        </w:tc>
        <w:tc>
          <w:tcPr>
            <w:tcW w:w="2480" w:type="dxa"/>
          </w:tcPr>
          <w:p w:rsidR="00CA3B52" w:rsidRPr="00CB6CBA" w:rsidRDefault="00CA3B52" w:rsidP="002D1D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CB6CBA">
              <w:rPr>
                <w:szCs w:val="22"/>
                <w:lang w:val="en-US"/>
              </w:rPr>
              <w:t>3.5</w:t>
            </w:r>
          </w:p>
        </w:tc>
      </w:tr>
      <w:tr w:rsidR="00CA3B52" w:rsidRPr="00CB6CBA" w:rsidTr="00447D7D">
        <w:trPr>
          <w:jc w:val="center"/>
        </w:trPr>
        <w:tc>
          <w:tcPr>
            <w:tcW w:w="1244" w:type="dxa"/>
          </w:tcPr>
          <w:p w:rsidR="00CA3B52" w:rsidRPr="00CB6CBA" w:rsidRDefault="00CA3B52" w:rsidP="002D1D5C">
            <w:pPr>
              <w:pStyle w:val="Tabletext"/>
              <w:jc w:val="left"/>
              <w:rPr>
                <w:lang w:val="en-US"/>
              </w:rPr>
            </w:pPr>
            <w:r w:rsidRPr="00CB6CBA">
              <w:rPr>
                <w:lang w:val="en-US"/>
              </w:rPr>
              <w:t>1.4.2</w:t>
            </w:r>
          </w:p>
        </w:tc>
        <w:tc>
          <w:tcPr>
            <w:tcW w:w="6057" w:type="dxa"/>
          </w:tcPr>
          <w:p w:rsidR="00CA3B52" w:rsidRPr="00CB6CBA" w:rsidRDefault="00CA3B52" w:rsidP="002D1D5C">
            <w:pPr>
              <w:pStyle w:val="Tabletext"/>
              <w:jc w:val="left"/>
              <w:rPr>
                <w:lang w:val="en-US"/>
              </w:rPr>
            </w:pPr>
            <w:r w:rsidRPr="00CB6CBA">
              <w:rPr>
                <w:lang w:val="en-US"/>
              </w:rPr>
              <w:t>Fixed service, microwave link, hop-length 45 km</w:t>
            </w:r>
          </w:p>
        </w:tc>
        <w:tc>
          <w:tcPr>
            <w:tcW w:w="2480" w:type="dxa"/>
          </w:tcPr>
          <w:p w:rsidR="00CA3B52" w:rsidRPr="00CB6CBA" w:rsidRDefault="00CA3B52" w:rsidP="002D1D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CB6CBA">
              <w:rPr>
                <w:szCs w:val="22"/>
                <w:lang w:val="en-US"/>
              </w:rPr>
              <w:t>1.4</w:t>
            </w:r>
          </w:p>
        </w:tc>
      </w:tr>
      <w:tr w:rsidR="00CA3B52" w:rsidRPr="00CB6CBA" w:rsidTr="00447D7D">
        <w:trPr>
          <w:jc w:val="center"/>
        </w:trPr>
        <w:tc>
          <w:tcPr>
            <w:tcW w:w="1244" w:type="dxa"/>
          </w:tcPr>
          <w:p w:rsidR="00CA3B52" w:rsidRPr="00CB6CBA" w:rsidRDefault="00CA3B52" w:rsidP="002D1D5C">
            <w:pPr>
              <w:pStyle w:val="Tabletext"/>
              <w:jc w:val="left"/>
              <w:rPr>
                <w:lang w:val="en-US"/>
              </w:rPr>
            </w:pPr>
            <w:r w:rsidRPr="00CB6CBA">
              <w:rPr>
                <w:lang w:val="en-US"/>
              </w:rPr>
              <w:t>1.5.2.1</w:t>
            </w:r>
          </w:p>
        </w:tc>
        <w:tc>
          <w:tcPr>
            <w:tcW w:w="6057" w:type="dxa"/>
          </w:tcPr>
          <w:p w:rsidR="00CA3B52" w:rsidRPr="00CB6CBA" w:rsidRDefault="00CA3B52" w:rsidP="002D1D5C">
            <w:pPr>
              <w:pStyle w:val="Tabletext"/>
              <w:jc w:val="left"/>
              <w:rPr>
                <w:lang w:val="en-US"/>
              </w:rPr>
            </w:pPr>
            <w:r w:rsidRPr="00CB6CBA">
              <w:rPr>
                <w:lang w:val="en-US"/>
              </w:rPr>
              <w:t>Transmitting earth station, MSS feeder link</w:t>
            </w:r>
          </w:p>
        </w:tc>
        <w:tc>
          <w:tcPr>
            <w:tcW w:w="2480" w:type="dxa"/>
          </w:tcPr>
          <w:p w:rsidR="00CA3B52" w:rsidRPr="00CB6CBA" w:rsidRDefault="00CA3B52" w:rsidP="002D1D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CB6CBA">
              <w:rPr>
                <w:szCs w:val="22"/>
                <w:lang w:val="en-US"/>
              </w:rPr>
              <w:t>550</w:t>
            </w:r>
          </w:p>
        </w:tc>
      </w:tr>
      <w:tr w:rsidR="00CA3B52" w:rsidRPr="00CB6CBA" w:rsidTr="00447D7D">
        <w:trPr>
          <w:jc w:val="center"/>
        </w:trPr>
        <w:tc>
          <w:tcPr>
            <w:tcW w:w="1244" w:type="dxa"/>
          </w:tcPr>
          <w:p w:rsidR="00CA3B52" w:rsidRPr="00CB6CBA" w:rsidRDefault="00CA3B52" w:rsidP="002D1D5C">
            <w:pPr>
              <w:pStyle w:val="Tabletext"/>
              <w:jc w:val="left"/>
              <w:rPr>
                <w:lang w:val="en-US"/>
              </w:rPr>
            </w:pPr>
            <w:r w:rsidRPr="00CB6CBA">
              <w:rPr>
                <w:lang w:val="en-US"/>
              </w:rPr>
              <w:t>1.5.2.2</w:t>
            </w:r>
          </w:p>
        </w:tc>
        <w:tc>
          <w:tcPr>
            <w:tcW w:w="6057" w:type="dxa"/>
          </w:tcPr>
          <w:p w:rsidR="00CA3B52" w:rsidRPr="00CB6CBA" w:rsidRDefault="00CA3B52" w:rsidP="002D1D5C">
            <w:pPr>
              <w:pStyle w:val="Tabletext"/>
              <w:jc w:val="left"/>
              <w:rPr>
                <w:lang w:val="en-US"/>
              </w:rPr>
            </w:pPr>
            <w:r w:rsidRPr="00CB6CBA">
              <w:rPr>
                <w:lang w:val="en-US"/>
              </w:rPr>
              <w:t>Receiving VSAT earth station</w:t>
            </w:r>
          </w:p>
        </w:tc>
        <w:tc>
          <w:tcPr>
            <w:tcW w:w="2480" w:type="dxa"/>
          </w:tcPr>
          <w:p w:rsidR="00CA3B52" w:rsidRPr="00CB6CBA" w:rsidRDefault="00CA3B52" w:rsidP="002D1D5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CB6CBA">
              <w:rPr>
                <w:szCs w:val="22"/>
                <w:lang w:val="en-US"/>
              </w:rPr>
              <w:t>54</w:t>
            </w:r>
          </w:p>
        </w:tc>
      </w:tr>
    </w:tbl>
    <w:p w:rsidR="00CA3B52" w:rsidRPr="0057458B" w:rsidRDefault="00CA3B52" w:rsidP="00CA3B52">
      <w:pPr>
        <w:pStyle w:val="Tablefin"/>
      </w:pPr>
    </w:p>
    <w:p w:rsidR="00CA3B52" w:rsidRPr="00CB6CBA" w:rsidRDefault="00CA3B52" w:rsidP="00CA3B52">
      <w:pPr>
        <w:pStyle w:val="Heading2"/>
        <w:rPr>
          <w:lang w:val="en-US"/>
        </w:rPr>
      </w:pPr>
      <w:bookmarkStart w:id="1453" w:name="_Toc289868851"/>
      <w:bookmarkStart w:id="1454" w:name="_Toc289869011"/>
      <w:bookmarkStart w:id="1455" w:name="_Toc289932319"/>
      <w:bookmarkStart w:id="1456" w:name="_Toc289933365"/>
      <w:bookmarkStart w:id="1457" w:name="_Toc291852928"/>
      <w:bookmarkStart w:id="1458" w:name="_Toc392515914"/>
      <w:bookmarkStart w:id="1459" w:name="_Toc394385981"/>
      <w:bookmarkStart w:id="1460" w:name="_Toc394386068"/>
      <w:bookmarkStart w:id="1461" w:name="_Toc395503172"/>
      <w:bookmarkStart w:id="1462" w:name="_Toc459746722"/>
      <w:bookmarkStart w:id="1463" w:name="_Toc459792655"/>
      <w:bookmarkStart w:id="1464" w:name="_Toc459793821"/>
      <w:bookmarkStart w:id="1465" w:name="_Toc459793963"/>
      <w:bookmarkStart w:id="1466" w:name="_Toc459970425"/>
      <w:bookmarkEnd w:id="1165"/>
      <w:bookmarkEnd w:id="1166"/>
      <w:bookmarkEnd w:id="1167"/>
      <w:bookmarkEnd w:id="1168"/>
      <w:bookmarkEnd w:id="1169"/>
      <w:bookmarkEnd w:id="1170"/>
      <w:bookmarkEnd w:id="1171"/>
      <w:bookmarkEnd w:id="1172"/>
      <w:bookmarkEnd w:id="1173"/>
      <w:bookmarkEnd w:id="1174"/>
      <w:r w:rsidRPr="00CB6CBA">
        <w:rPr>
          <w:lang w:val="en-US"/>
        </w:rPr>
        <w:t>4.</w:t>
      </w:r>
      <w:r>
        <w:rPr>
          <w:lang w:val="en-US"/>
        </w:rPr>
        <w:t>8</w:t>
      </w:r>
      <w:r w:rsidRPr="00CB6CBA">
        <w:rPr>
          <w:lang w:val="en-US"/>
        </w:rPr>
        <w:tab/>
        <w:t>Guidelines on applying new fees system</w:t>
      </w:r>
      <w:bookmarkEnd w:id="1453"/>
      <w:bookmarkEnd w:id="1454"/>
      <w:bookmarkEnd w:id="1455"/>
      <w:bookmarkEnd w:id="1456"/>
      <w:bookmarkEnd w:id="1457"/>
      <w:bookmarkEnd w:id="1458"/>
    </w:p>
    <w:p w:rsidR="00CA3B52" w:rsidRPr="00CB6CBA" w:rsidRDefault="00CA3B52" w:rsidP="00CA3B52">
      <w:pPr>
        <w:rPr>
          <w:lang w:val="en-US"/>
        </w:rPr>
      </w:pPr>
      <w:r w:rsidRPr="00CB6CBA">
        <w:rPr>
          <w:lang w:val="en-US"/>
        </w:rPr>
        <w:t>In order not to disturb the market, the new fees system should not impose sudden increase in the fees for the users, Therefore, spectrum manager should design a transition strategy considering many factors including, but not limited to, market status, number of users for each service, current fees system and alternative services.</w:t>
      </w:r>
    </w:p>
    <w:p w:rsidR="00CA3B52" w:rsidRPr="00CB6CBA" w:rsidRDefault="00CA3B52" w:rsidP="00CA3B52">
      <w:pPr>
        <w:rPr>
          <w:lang w:val="en-US"/>
        </w:rPr>
      </w:pPr>
      <w:r w:rsidRPr="00CB6CBA">
        <w:rPr>
          <w:lang w:val="en-US"/>
        </w:rPr>
        <w:t>The following steps could be used when applying a new fees system:</w:t>
      </w:r>
    </w:p>
    <w:p w:rsidR="00CA3B52" w:rsidRPr="00CB6CBA" w:rsidRDefault="00CA3B52" w:rsidP="00CA3B52">
      <w:pPr>
        <w:pStyle w:val="enumlev1"/>
        <w:rPr>
          <w:lang w:val="en-US"/>
        </w:rPr>
      </w:pPr>
      <w:r>
        <w:rPr>
          <w:lang w:val="en-US"/>
        </w:rPr>
        <w:t>1.</w:t>
      </w:r>
      <w:r w:rsidRPr="00CB6CBA">
        <w:rPr>
          <w:lang w:val="en-US"/>
        </w:rPr>
        <w:tab/>
        <w:t>Analyse the current spectrum usage.</w:t>
      </w:r>
    </w:p>
    <w:p w:rsidR="00CA3B52" w:rsidRDefault="00CA3B52" w:rsidP="00CA3B52">
      <w:pPr>
        <w:pStyle w:val="enumlev2"/>
        <w:rPr>
          <w:lang w:val="en-US"/>
        </w:rPr>
      </w:pPr>
      <w:r>
        <w:rPr>
          <w:lang w:val="en-US"/>
        </w:rPr>
        <w:t>–</w:t>
      </w:r>
      <w:r w:rsidRPr="00CB6CBA">
        <w:rPr>
          <w:lang w:val="en-US"/>
        </w:rPr>
        <w:tab/>
        <w:t>Divide users into different groups.</w:t>
      </w:r>
    </w:p>
    <w:p w:rsidR="00CA3B52" w:rsidRDefault="00CA3B52" w:rsidP="00CA3B52">
      <w:pPr>
        <w:pStyle w:val="enumlev2"/>
        <w:rPr>
          <w:lang w:val="en-US"/>
        </w:rPr>
      </w:pPr>
      <w:r>
        <w:rPr>
          <w:lang w:val="en-US"/>
        </w:rPr>
        <w:t>–</w:t>
      </w:r>
      <w:r w:rsidRPr="00CB6CBA">
        <w:rPr>
          <w:lang w:val="en-US"/>
        </w:rPr>
        <w:tab/>
        <w:t>Apply the old formula.</w:t>
      </w:r>
    </w:p>
    <w:p w:rsidR="00CA3B52" w:rsidRDefault="00CA3B52" w:rsidP="00CA3B52">
      <w:pPr>
        <w:pStyle w:val="enumlev2"/>
        <w:rPr>
          <w:lang w:val="en-US"/>
        </w:rPr>
      </w:pPr>
      <w:r>
        <w:rPr>
          <w:lang w:val="en-US"/>
        </w:rPr>
        <w:t>–</w:t>
      </w:r>
      <w:r w:rsidRPr="00CB6CBA">
        <w:rPr>
          <w:lang w:val="en-US"/>
        </w:rPr>
        <w:tab/>
        <w:t>Analyse the results.</w:t>
      </w:r>
    </w:p>
    <w:p w:rsidR="00CA3B52" w:rsidRPr="00CB6CBA" w:rsidRDefault="00CA3B52" w:rsidP="00CA3B52">
      <w:pPr>
        <w:pStyle w:val="enumlev1"/>
        <w:rPr>
          <w:lang w:val="en-US"/>
        </w:rPr>
      </w:pPr>
      <w:r>
        <w:rPr>
          <w:lang w:val="en-US"/>
        </w:rPr>
        <w:t>2.</w:t>
      </w:r>
      <w:r w:rsidRPr="00CB6CBA">
        <w:rPr>
          <w:lang w:val="en-US"/>
        </w:rPr>
        <w:tab/>
        <w:t>Apply the new formula on the current groups of users.</w:t>
      </w:r>
    </w:p>
    <w:p w:rsidR="00CA3B52" w:rsidRDefault="00CA3B52" w:rsidP="00CA3B52">
      <w:pPr>
        <w:pStyle w:val="enumlev2"/>
        <w:rPr>
          <w:lang w:val="en-US"/>
        </w:rPr>
      </w:pPr>
      <w:r>
        <w:rPr>
          <w:lang w:val="en-US"/>
        </w:rPr>
        <w:t>–</w:t>
      </w:r>
      <w:r w:rsidRPr="00CB6CBA">
        <w:rPr>
          <w:lang w:val="en-US"/>
        </w:rPr>
        <w:tab/>
        <w:t>Analyse the results.</w:t>
      </w:r>
    </w:p>
    <w:p w:rsidR="00CA3B52" w:rsidRDefault="00CA3B52" w:rsidP="00CA3B52">
      <w:pPr>
        <w:pStyle w:val="enumlev2"/>
        <w:rPr>
          <w:lang w:val="en-US"/>
        </w:rPr>
      </w:pPr>
      <w:r>
        <w:rPr>
          <w:lang w:val="en-US"/>
        </w:rPr>
        <w:t>–</w:t>
      </w:r>
      <w:r w:rsidRPr="00CB6CBA">
        <w:rPr>
          <w:lang w:val="en-US"/>
        </w:rPr>
        <w:tab/>
        <w:t>Modify formula for the different groups</w:t>
      </w:r>
    </w:p>
    <w:p w:rsidR="00CA3B52" w:rsidRDefault="00CA3B52" w:rsidP="00CA3B52">
      <w:pPr>
        <w:pStyle w:val="enumlev2"/>
        <w:rPr>
          <w:lang w:val="en-US"/>
        </w:rPr>
      </w:pPr>
      <w:r>
        <w:rPr>
          <w:lang w:val="en-US"/>
        </w:rPr>
        <w:t>–</w:t>
      </w:r>
      <w:r w:rsidRPr="00CB6CBA">
        <w:rPr>
          <w:lang w:val="en-US"/>
        </w:rPr>
        <w:tab/>
        <w:t>Apply mitigation policies in order not to disturb the market.</w:t>
      </w:r>
    </w:p>
    <w:p w:rsidR="00CA3B52" w:rsidRPr="00CB6CBA" w:rsidRDefault="00CA3B52" w:rsidP="00CA3B52">
      <w:pPr>
        <w:pStyle w:val="enumlev1"/>
        <w:rPr>
          <w:lang w:val="en-US"/>
        </w:rPr>
      </w:pPr>
      <w:r>
        <w:rPr>
          <w:lang w:val="en-US"/>
        </w:rPr>
        <w:t>3.</w:t>
      </w:r>
      <w:r w:rsidRPr="00CB6CBA">
        <w:rPr>
          <w:lang w:val="en-US"/>
        </w:rPr>
        <w:tab/>
        <w:t>Design transition strategy based on step two.</w:t>
      </w:r>
    </w:p>
    <w:p w:rsidR="00CA3B52" w:rsidRPr="00632E5E" w:rsidRDefault="00CA3B52" w:rsidP="00CA3B52">
      <w:pPr>
        <w:rPr>
          <w:lang w:val="en-US"/>
        </w:rPr>
      </w:pPr>
      <w:r w:rsidRPr="00CB6CBA">
        <w:rPr>
          <w:lang w:val="en-US"/>
        </w:rPr>
        <w:t>There are some principles that could be used in designing the transition strategy in order to move the current fees to its final market related fees</w:t>
      </w:r>
      <w:r w:rsidRPr="00E77DE4">
        <w:rPr>
          <w:szCs w:val="24"/>
          <w:vertAlign w:val="superscript"/>
          <w:lang w:val="en-US"/>
        </w:rPr>
        <w:t>2</w:t>
      </w:r>
      <w:r w:rsidRPr="00E77DE4">
        <w:rPr>
          <w:vertAlign w:val="superscript"/>
          <w:lang w:val="en-US"/>
        </w:rPr>
        <w:t xml:space="preserve">, </w:t>
      </w:r>
      <w:r w:rsidRPr="00E77DE4">
        <w:rPr>
          <w:rStyle w:val="FootnoteReference"/>
          <w:position w:val="0"/>
          <w:sz w:val="24"/>
          <w:vertAlign w:val="superscript"/>
        </w:rPr>
        <w:footnoteReference w:id="4"/>
      </w:r>
      <w:r>
        <w:rPr>
          <w:lang w:val="en-US"/>
        </w:rPr>
        <w:t>.</w:t>
      </w:r>
    </w:p>
    <w:p w:rsidR="00CA3B52" w:rsidRPr="00CB6CBA" w:rsidRDefault="00CA3B52" w:rsidP="00CA3B52">
      <w:pPr>
        <w:pStyle w:val="enumlev1"/>
        <w:rPr>
          <w:lang w:val="en-US"/>
        </w:rPr>
      </w:pPr>
      <w:r>
        <w:rPr>
          <w:lang w:val="en-US"/>
        </w:rPr>
        <w:t>–</w:t>
      </w:r>
      <w:r w:rsidRPr="00CB6CBA">
        <w:rPr>
          <w:lang w:val="en-US"/>
        </w:rPr>
        <w:tab/>
        <w:t>There should be a trade-off between slowly increasing prices, which might not be sufficient to reduce congestion, and setting the prices at high level which might cause an adverse political reaction.</w:t>
      </w:r>
    </w:p>
    <w:p w:rsidR="00CA3B52" w:rsidRPr="00CB6CBA" w:rsidRDefault="00CA3B52" w:rsidP="00CA3B52">
      <w:pPr>
        <w:pStyle w:val="enumlev1"/>
        <w:rPr>
          <w:lang w:val="en-US"/>
        </w:rPr>
      </w:pPr>
      <w:r>
        <w:rPr>
          <w:lang w:val="en-US"/>
        </w:rPr>
        <w:t>–</w:t>
      </w:r>
      <w:r w:rsidRPr="00CB6CBA">
        <w:rPr>
          <w:lang w:val="en-US"/>
        </w:rPr>
        <w:tab/>
        <w:t>Prices should increase at a fraction of the final target increase and in case where the initial prices are too low, doubling or trebling the prices would be appropriate.</w:t>
      </w:r>
    </w:p>
    <w:p w:rsidR="00CA3B52" w:rsidRPr="00CB6CBA" w:rsidRDefault="00CA3B52" w:rsidP="00CA3B52">
      <w:pPr>
        <w:pStyle w:val="enumlev1"/>
        <w:rPr>
          <w:lang w:val="en-US"/>
        </w:rPr>
      </w:pPr>
      <w:r>
        <w:rPr>
          <w:lang w:val="en-US"/>
        </w:rPr>
        <w:t>–</w:t>
      </w:r>
      <w:r w:rsidRPr="00CB6CBA">
        <w:rPr>
          <w:lang w:val="en-US"/>
        </w:rPr>
        <w:tab/>
        <w:t>If the initial increase resulted in relieving the congestion, there would be no need to increase the prices further.</w:t>
      </w:r>
    </w:p>
    <w:p w:rsidR="00CA3B52" w:rsidRPr="00CB6CBA" w:rsidRDefault="00CA3B52" w:rsidP="00CA3B52">
      <w:pPr>
        <w:pStyle w:val="enumlev1"/>
        <w:rPr>
          <w:lang w:val="en-US"/>
        </w:rPr>
      </w:pPr>
      <w:r>
        <w:rPr>
          <w:lang w:val="en-US"/>
        </w:rPr>
        <w:lastRenderedPageBreak/>
        <w:t>–</w:t>
      </w:r>
      <w:r w:rsidRPr="00CB6CBA">
        <w:rPr>
          <w:lang w:val="en-US"/>
        </w:rPr>
        <w:tab/>
        <w:t>Users should know in advance the direction of the prices change in order to adjust their investment decisions.</w:t>
      </w:r>
    </w:p>
    <w:p w:rsidR="00CA3B52" w:rsidRPr="00CB6CBA" w:rsidRDefault="00CA3B52" w:rsidP="00CA3B52">
      <w:pPr>
        <w:pStyle w:val="enumlev1"/>
        <w:rPr>
          <w:lang w:val="en-US"/>
        </w:rPr>
      </w:pPr>
      <w:r>
        <w:rPr>
          <w:lang w:val="en-US"/>
        </w:rPr>
        <w:t>–</w:t>
      </w:r>
      <w:r w:rsidRPr="00CB6CBA">
        <w:rPr>
          <w:lang w:val="en-US"/>
        </w:rPr>
        <w:tab/>
        <w:t>Prices should be related to the market related prices on the long run.</w:t>
      </w:r>
    </w:p>
    <w:p w:rsidR="00CA3B52" w:rsidRPr="00CB6CBA" w:rsidRDefault="00CA3B52" w:rsidP="00CA3B52">
      <w:pPr>
        <w:pStyle w:val="enumlev1"/>
        <w:rPr>
          <w:lang w:val="en-US"/>
        </w:rPr>
      </w:pPr>
      <w:r>
        <w:rPr>
          <w:lang w:val="en-US"/>
        </w:rPr>
        <w:t>–</w:t>
      </w:r>
      <w:r w:rsidRPr="00CB6CBA">
        <w:rPr>
          <w:lang w:val="en-US"/>
        </w:rPr>
        <w:tab/>
        <w:t>A transition period of five years would be reasonable.</w:t>
      </w:r>
    </w:p>
    <w:p w:rsidR="00CA3B52" w:rsidRPr="00CB6CBA" w:rsidRDefault="00CA3B52" w:rsidP="00CA3B52">
      <w:pPr>
        <w:pStyle w:val="enumlev1"/>
        <w:rPr>
          <w:lang w:val="en-US"/>
        </w:rPr>
      </w:pPr>
      <w:r>
        <w:rPr>
          <w:lang w:val="en-US"/>
        </w:rPr>
        <w:t>–</w:t>
      </w:r>
      <w:r w:rsidRPr="00CB6CBA">
        <w:rPr>
          <w:lang w:val="en-US"/>
        </w:rPr>
        <w:tab/>
        <w:t>Existing legislation should be effective and compatible with the new pricing plan.</w:t>
      </w:r>
    </w:p>
    <w:p w:rsidR="00CA3B52" w:rsidRPr="00CB6CBA" w:rsidRDefault="00CA3B52" w:rsidP="00CA3B52">
      <w:pPr>
        <w:pStyle w:val="enumlev1"/>
        <w:rPr>
          <w:lang w:val="en-US"/>
        </w:rPr>
      </w:pPr>
      <w:r>
        <w:rPr>
          <w:lang w:val="en-US"/>
        </w:rPr>
        <w:t>–</w:t>
      </w:r>
      <w:r w:rsidRPr="00CB6CBA">
        <w:rPr>
          <w:lang w:val="en-US"/>
        </w:rPr>
        <w:tab/>
        <w:t>Consultation process is essential in order to reach consensus with stakeholders.</w:t>
      </w:r>
    </w:p>
    <w:p w:rsidR="00CA3B52" w:rsidRPr="00CB6CBA" w:rsidRDefault="00CA3B52" w:rsidP="00CA3B52">
      <w:pPr>
        <w:pStyle w:val="enumlev1"/>
        <w:rPr>
          <w:lang w:val="en-US"/>
        </w:rPr>
      </w:pPr>
      <w:r>
        <w:rPr>
          <w:lang w:val="en-US"/>
        </w:rPr>
        <w:t>–</w:t>
      </w:r>
      <w:r w:rsidRPr="00CB6CBA">
        <w:rPr>
          <w:lang w:val="en-US"/>
        </w:rPr>
        <w:tab/>
        <w:t>New software for calculating the prices should be developed and tested. Besides, the regulator stuff should be trained on the software.</w:t>
      </w:r>
    </w:p>
    <w:p w:rsidR="00CA3B52" w:rsidRPr="00CB6CBA" w:rsidRDefault="00CA3B52" w:rsidP="00CA3B52">
      <w:pPr>
        <w:pStyle w:val="enumlev1"/>
        <w:rPr>
          <w:lang w:val="en-US"/>
        </w:rPr>
      </w:pPr>
      <w:r>
        <w:rPr>
          <w:lang w:val="en-US"/>
        </w:rPr>
        <w:t>–</w:t>
      </w:r>
      <w:r w:rsidRPr="00CB6CBA">
        <w:rPr>
          <w:lang w:val="en-US"/>
        </w:rPr>
        <w:tab/>
        <w:t>Regulator should not depend on the new fees system to increase its funding as the levels of funding may fluctuate with time and also with supply and demand.</w:t>
      </w:r>
    </w:p>
    <w:p w:rsidR="00CA3B52" w:rsidRPr="00CB6CBA" w:rsidRDefault="00CA3B52" w:rsidP="00F65451">
      <w:pPr>
        <w:rPr>
          <w:b/>
          <w:color w:val="000000"/>
          <w:sz w:val="28"/>
          <w:szCs w:val="28"/>
          <w:lang w:val="en-US"/>
        </w:rPr>
      </w:pPr>
    </w:p>
    <w:p w:rsidR="00CA3B52" w:rsidRPr="00CB6CBA" w:rsidRDefault="00CA3B52" w:rsidP="00CA3B52">
      <w:pPr>
        <w:pStyle w:val="ChapNo"/>
        <w:rPr>
          <w:lang w:val="en-US"/>
        </w:rPr>
      </w:pPr>
      <w:bookmarkStart w:id="1467" w:name="_Toc289868852"/>
      <w:bookmarkStart w:id="1468" w:name="_Toc289869012"/>
      <w:bookmarkStart w:id="1469" w:name="_Toc289932320"/>
      <w:bookmarkStart w:id="1470" w:name="_Toc289933366"/>
      <w:bookmarkStart w:id="1471" w:name="_Toc291852929"/>
      <w:r w:rsidRPr="00CB6CBA">
        <w:rPr>
          <w:lang w:val="en-US"/>
        </w:rPr>
        <w:t>CHAPTER 5</w:t>
      </w:r>
      <w:bookmarkEnd w:id="1467"/>
      <w:bookmarkEnd w:id="1468"/>
      <w:bookmarkEnd w:id="1469"/>
      <w:bookmarkEnd w:id="1470"/>
      <w:bookmarkEnd w:id="1471"/>
    </w:p>
    <w:p w:rsidR="00CA3B52" w:rsidRPr="00CB6CBA" w:rsidRDefault="00CA3B52" w:rsidP="00CA3B52">
      <w:pPr>
        <w:pStyle w:val="Chaptitle"/>
        <w:rPr>
          <w:lang w:val="en-US"/>
        </w:rPr>
      </w:pPr>
      <w:bookmarkStart w:id="1472" w:name="_Toc289868853"/>
      <w:bookmarkStart w:id="1473" w:name="_Toc289869013"/>
      <w:bookmarkStart w:id="1474" w:name="_Toc289932321"/>
      <w:bookmarkStart w:id="1475" w:name="_Toc289933367"/>
      <w:bookmarkStart w:id="1476" w:name="_Toc291852930"/>
      <w:r w:rsidRPr="00CB6CBA">
        <w:rPr>
          <w:lang w:val="en-US"/>
        </w:rPr>
        <w:t>Administration’s experience regarding the economic</w:t>
      </w:r>
      <w:r w:rsidRPr="00CB6CBA">
        <w:rPr>
          <w:lang w:val="en-US"/>
        </w:rPr>
        <w:br/>
        <w:t>aspects of spectrum management</w:t>
      </w:r>
      <w:bookmarkEnd w:id="1472"/>
      <w:bookmarkEnd w:id="1473"/>
      <w:bookmarkEnd w:id="1474"/>
      <w:bookmarkEnd w:id="1475"/>
      <w:bookmarkEnd w:id="1476"/>
    </w:p>
    <w:p w:rsidR="00CA3B52" w:rsidRPr="00CB6CBA" w:rsidRDefault="00CA3B52" w:rsidP="00F65451">
      <w:pPr>
        <w:pStyle w:val="Heading2"/>
        <w:rPr>
          <w:lang w:val="en-US"/>
        </w:rPr>
      </w:pPr>
      <w:bookmarkStart w:id="1477" w:name="_Toc497033193"/>
      <w:bookmarkStart w:id="1478" w:name="_Toc497033991"/>
      <w:bookmarkStart w:id="1479" w:name="_Toc289868854"/>
      <w:bookmarkStart w:id="1480" w:name="_Toc289869014"/>
      <w:bookmarkStart w:id="1481" w:name="_Toc289932322"/>
      <w:bookmarkStart w:id="1482" w:name="_Toc289933368"/>
      <w:bookmarkStart w:id="1483" w:name="_Toc291852931"/>
      <w:bookmarkStart w:id="1484" w:name="_Toc392515915"/>
      <w:r w:rsidRPr="00CB6CBA">
        <w:rPr>
          <w:lang w:val="en-US"/>
        </w:rPr>
        <w:t>5.1</w:t>
      </w:r>
      <w:r w:rsidRPr="00CB6CBA">
        <w:rPr>
          <w:lang w:val="en-US"/>
        </w:rPr>
        <w:tab/>
        <w:t>Experience with auctions and transferable property rights</w:t>
      </w:r>
      <w:bookmarkEnd w:id="1459"/>
      <w:bookmarkEnd w:id="1460"/>
      <w:bookmarkEnd w:id="1461"/>
      <w:bookmarkEnd w:id="1462"/>
      <w:bookmarkEnd w:id="1463"/>
      <w:bookmarkEnd w:id="1464"/>
      <w:bookmarkEnd w:id="1465"/>
      <w:bookmarkEnd w:id="1466"/>
      <w:bookmarkEnd w:id="1477"/>
      <w:bookmarkEnd w:id="1478"/>
      <w:bookmarkEnd w:id="1479"/>
      <w:bookmarkEnd w:id="1480"/>
      <w:bookmarkEnd w:id="1481"/>
      <w:bookmarkEnd w:id="1482"/>
      <w:bookmarkEnd w:id="1483"/>
      <w:bookmarkEnd w:id="1484"/>
    </w:p>
    <w:p w:rsidR="00CA3B52" w:rsidRPr="00CB6CBA" w:rsidRDefault="00CA3B52" w:rsidP="00CA3B52">
      <w:pPr>
        <w:rPr>
          <w:lang w:val="en-US"/>
        </w:rPr>
      </w:pPr>
      <w:r w:rsidRPr="00CB6CBA">
        <w:rPr>
          <w:lang w:val="en-US"/>
        </w:rPr>
        <w:t>Since the 1990s, some countries have used auctions to assign licences</w:t>
      </w:r>
      <w:r>
        <w:rPr>
          <w:rStyle w:val="FootnoteReference"/>
          <w:lang w:val="en-US"/>
        </w:rPr>
        <w:footnoteReference w:id="5"/>
      </w:r>
      <w:r w:rsidRPr="00FF4400">
        <w:rPr>
          <w:vertAlign w:val="superscript"/>
          <w:lang w:val="en-US"/>
        </w:rPr>
        <w:t>,</w:t>
      </w:r>
      <w:r w:rsidRPr="00D8694B">
        <w:rPr>
          <w:sz w:val="18"/>
          <w:szCs w:val="18"/>
          <w:vertAlign w:val="superscript"/>
          <w:lang w:val="en-US"/>
        </w:rPr>
        <w:t xml:space="preserve"> </w:t>
      </w:r>
      <w:r w:rsidRPr="00CB6CBA">
        <w:rPr>
          <w:rStyle w:val="FootnoteReference"/>
          <w:lang w:val="en-US"/>
        </w:rPr>
        <w:footnoteReference w:id="6"/>
      </w:r>
      <w:r w:rsidRPr="00CB6CBA">
        <w:rPr>
          <w:lang w:val="en-US"/>
        </w:rPr>
        <w:t>. Additionally, a few of these countries have recently introduced limited systems of transferable property rights, wherein licences to use spectrum may be sold to other parties.</w:t>
      </w:r>
    </w:p>
    <w:p w:rsidR="00CA3B52" w:rsidRPr="00CB6CBA" w:rsidRDefault="00CA3B52" w:rsidP="00CA3B52">
      <w:pPr>
        <w:pStyle w:val="Heading3"/>
        <w:rPr>
          <w:lang w:val="en-US"/>
        </w:rPr>
      </w:pPr>
      <w:bookmarkStart w:id="1485" w:name="_Toc459746723"/>
      <w:bookmarkStart w:id="1486" w:name="_Toc459792656"/>
      <w:bookmarkStart w:id="1487" w:name="_Toc459793822"/>
      <w:bookmarkStart w:id="1488" w:name="_Toc459793964"/>
      <w:bookmarkStart w:id="1489" w:name="_Toc459970426"/>
      <w:bookmarkStart w:id="1490" w:name="_Toc497033194"/>
      <w:bookmarkStart w:id="1491" w:name="_Toc497033992"/>
      <w:bookmarkStart w:id="1492" w:name="_Toc289868855"/>
      <w:bookmarkStart w:id="1493" w:name="_Toc289869015"/>
      <w:bookmarkStart w:id="1494" w:name="_Toc289932323"/>
      <w:bookmarkStart w:id="1495" w:name="_Toc289933369"/>
      <w:bookmarkStart w:id="1496" w:name="_Toc291852932"/>
      <w:bookmarkStart w:id="1497" w:name="_Toc392515916"/>
      <w:r w:rsidRPr="00CB6CBA">
        <w:rPr>
          <w:lang w:val="en-US"/>
        </w:rPr>
        <w:t>5.1.1</w:t>
      </w:r>
      <w:r w:rsidRPr="00CB6CBA">
        <w:rPr>
          <w:lang w:val="en-US"/>
        </w:rPr>
        <w:tab/>
        <w:t>Australia</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rsidR="00CA3B52" w:rsidRPr="00CB6CBA" w:rsidRDefault="00CA3B52" w:rsidP="00CA3B52">
      <w:pPr>
        <w:rPr>
          <w:lang w:val="en-US"/>
        </w:rPr>
      </w:pPr>
      <w:r w:rsidRPr="00CB6CBA">
        <w:rPr>
          <w:lang w:val="en-US"/>
        </w:rPr>
        <w:t>In Australia, the Australian Communications and Media Authority (ACMA) in its role of managing the spectrum is pursuing objectives which include promoting economic efficiency, encouraging technological change and expanding freedom of choice. It has sought to develop an efficient, equitable and transparent system of charging for the use of spectrum, and to ensure an acceptable return to the community. To balance these potentially conflicting objectives, the ACMA has had to adopt a number of innovative approaches to managing spectrum. Its auctions and transferable property rights approaches are outlined below.</w:t>
      </w:r>
    </w:p>
    <w:p w:rsidR="00CA3B52" w:rsidRPr="00CB6CBA" w:rsidRDefault="00CA3B52" w:rsidP="00CA3B52">
      <w:pPr>
        <w:pStyle w:val="Heading4"/>
        <w:rPr>
          <w:lang w:val="en-US"/>
        </w:rPr>
      </w:pPr>
      <w:bookmarkStart w:id="1498" w:name="_Toc391269574"/>
      <w:bookmarkStart w:id="1499" w:name="_Toc459746724"/>
      <w:bookmarkStart w:id="1500" w:name="_Toc497033195"/>
      <w:bookmarkStart w:id="1501" w:name="_Toc497033993"/>
      <w:r w:rsidRPr="00CB6CBA">
        <w:rPr>
          <w:lang w:val="en-US"/>
        </w:rPr>
        <w:t>5.1.1.1</w:t>
      </w:r>
      <w:r w:rsidRPr="00CB6CBA">
        <w:rPr>
          <w:lang w:val="en-US"/>
        </w:rPr>
        <w:tab/>
        <w:t>Making use of price as a tool in assigning licences</w:t>
      </w:r>
      <w:bookmarkEnd w:id="1498"/>
      <w:bookmarkEnd w:id="1499"/>
      <w:bookmarkEnd w:id="1500"/>
      <w:bookmarkEnd w:id="1501"/>
    </w:p>
    <w:p w:rsidR="00CA3B52" w:rsidRPr="00CB6CBA" w:rsidRDefault="00CA3B52" w:rsidP="00CA3B52">
      <w:pPr>
        <w:rPr>
          <w:lang w:val="en-US"/>
        </w:rPr>
      </w:pPr>
      <w:r w:rsidRPr="00CB6CBA">
        <w:rPr>
          <w:lang w:val="en-US"/>
        </w:rPr>
        <w:t xml:space="preserve">Generally, where supply of a particular spectrum band exceeds demand, the ACMA allocates the spectrum over the counter, upon application, for an issue charge and an annual set fee. But where demand for a particular spectrum band is likely to exceed supply, the ACMA will allocate licences by sale at auction. </w:t>
      </w:r>
    </w:p>
    <w:p w:rsidR="00CA3B52" w:rsidRPr="00CB6CBA" w:rsidRDefault="00CA3B52" w:rsidP="00CA3B52">
      <w:pPr>
        <w:rPr>
          <w:lang w:val="en-US"/>
        </w:rPr>
      </w:pPr>
      <w:r w:rsidRPr="00CB6CBA">
        <w:rPr>
          <w:lang w:val="en-US"/>
        </w:rPr>
        <w:t xml:space="preserve">The ACMA can auction spectrum either in the form of </w:t>
      </w:r>
      <w:r w:rsidRPr="00523DCA">
        <w:rPr>
          <w:lang w:val="en-US"/>
        </w:rPr>
        <w:t>spectrum licences</w:t>
      </w:r>
      <w:r w:rsidRPr="00CB6CBA">
        <w:rPr>
          <w:lang w:val="en-US"/>
        </w:rPr>
        <w:t xml:space="preserve">, or less commonly, as </w:t>
      </w:r>
      <w:r w:rsidRPr="00523DCA">
        <w:rPr>
          <w:lang w:val="en-US"/>
        </w:rPr>
        <w:t>apparatus licences.</w:t>
      </w:r>
      <w:r w:rsidRPr="00CB6CBA">
        <w:rPr>
          <w:lang w:val="en-US"/>
        </w:rPr>
        <w:t xml:space="preserve"> </w:t>
      </w:r>
    </w:p>
    <w:p w:rsidR="00CA3B52" w:rsidRPr="00CB6CBA" w:rsidRDefault="00CA3B52" w:rsidP="00CA3B52">
      <w:pPr>
        <w:rPr>
          <w:lang w:val="en-US"/>
        </w:rPr>
      </w:pPr>
      <w:r w:rsidRPr="00CB6CBA">
        <w:rPr>
          <w:lang w:val="en-US"/>
        </w:rPr>
        <w:t xml:space="preserve">Because of the extensive planning, consultation and preparation involved, spectrum auctions are irregular events, and are most often used where there is strong competition for scarce spectrum with a high commercial value. They are seen as a transparent, price-based method for allocating the spectrum within a particular band in discrete parcels known as spectrum lots, which are defined by </w:t>
      </w:r>
      <w:r w:rsidRPr="00CB6CBA">
        <w:rPr>
          <w:lang w:val="en-US"/>
        </w:rPr>
        <w:lastRenderedPageBreak/>
        <w:t xml:space="preserve">geographic area and frequency bandwidth. The combination of frequency bandwidth and geographic area is termed spectrum space. </w:t>
      </w:r>
    </w:p>
    <w:p w:rsidR="00CA3B52" w:rsidRPr="00CB6CBA" w:rsidRDefault="00CA3B52" w:rsidP="00CA3B52">
      <w:pPr>
        <w:rPr>
          <w:lang w:val="en-US"/>
        </w:rPr>
      </w:pPr>
      <w:r w:rsidRPr="00CB6CBA">
        <w:rPr>
          <w:lang w:val="en-US"/>
        </w:rPr>
        <w:t xml:space="preserve">A successful bidder may acquire a number of lots at auction. The buyer can combine or aggregate any contiguous lots to form broader spectrum spaces of greater utility. These aggregated lots can be used in accordance with access </w:t>
      </w:r>
      <w:r w:rsidRPr="00523DCA">
        <w:rPr>
          <w:lang w:val="en-US"/>
        </w:rPr>
        <w:t>licence conditions</w:t>
      </w:r>
      <w:r w:rsidRPr="00CB6CBA">
        <w:rPr>
          <w:lang w:val="en-US"/>
        </w:rPr>
        <w:t xml:space="preserve"> so that any technology or service can be operated within the spectrum space, depending on its size and shape, without interfering with neighbouring services. </w:t>
      </w:r>
    </w:p>
    <w:p w:rsidR="00CA3B52" w:rsidRPr="00CB6CBA" w:rsidRDefault="00CA3B52" w:rsidP="00CA3B52">
      <w:pPr>
        <w:rPr>
          <w:lang w:val="en-US"/>
        </w:rPr>
      </w:pPr>
      <w:r w:rsidRPr="00CB6CBA">
        <w:rPr>
          <w:lang w:val="en-US"/>
        </w:rPr>
        <w:t xml:space="preserve">Of the many </w:t>
      </w:r>
      <w:r w:rsidRPr="00523DCA">
        <w:rPr>
          <w:lang w:val="en-US"/>
        </w:rPr>
        <w:t>types of auctions</w:t>
      </w:r>
      <w:r w:rsidRPr="00CB6CBA">
        <w:rPr>
          <w:lang w:val="en-US"/>
        </w:rPr>
        <w:t xml:space="preserve"> that exist, only two have been used by the ACMA to auction spectrum, namely English open ascending bid and simultaneous multi-round. </w:t>
      </w:r>
    </w:p>
    <w:p w:rsidR="00CA3B52" w:rsidRPr="00CB6CBA" w:rsidRDefault="00CA3B52" w:rsidP="00CA3B52">
      <w:pPr>
        <w:pStyle w:val="Heading4"/>
        <w:rPr>
          <w:lang w:val="en-US"/>
        </w:rPr>
      </w:pPr>
      <w:bookmarkStart w:id="1502" w:name="_Toc391269575"/>
      <w:bookmarkStart w:id="1503" w:name="_Toc459746725"/>
      <w:bookmarkStart w:id="1504" w:name="_Toc497033196"/>
      <w:bookmarkStart w:id="1505" w:name="_Toc497033994"/>
      <w:r w:rsidRPr="00CB6CBA">
        <w:rPr>
          <w:lang w:val="en-US"/>
        </w:rPr>
        <w:t>5.1.1.2</w:t>
      </w:r>
      <w:r w:rsidRPr="00CB6CBA">
        <w:rPr>
          <w:lang w:val="en-US"/>
        </w:rPr>
        <w:tab/>
        <w:t>Introducing a new form of licensing: the spectrum licence</w:t>
      </w:r>
      <w:bookmarkEnd w:id="1502"/>
      <w:bookmarkEnd w:id="1503"/>
      <w:bookmarkEnd w:id="1504"/>
      <w:bookmarkEnd w:id="1505"/>
    </w:p>
    <w:p w:rsidR="00CA3B52" w:rsidRDefault="00CA3B52" w:rsidP="00CA3B52">
      <w:pPr>
        <w:rPr>
          <w:lang w:val="en-US"/>
        </w:rPr>
      </w:pPr>
      <w:r w:rsidRPr="00CB6CBA">
        <w:rPr>
          <w:lang w:val="en-US"/>
        </w:rPr>
        <w:t>The market system is based on the principle that direct marketing of spectrum will result in more efficient spectrum use. Under the market system, users of spectrum will make decisions on their spectrum access recognizing the pressures of demand and supply. To facilitate a more market</w:t>
      </w:r>
      <w:r>
        <w:rPr>
          <w:lang w:val="en-US"/>
        </w:rPr>
        <w:noBreakHyphen/>
      </w:r>
      <w:r w:rsidRPr="00CB6CBA">
        <w:rPr>
          <w:lang w:val="en-US"/>
        </w:rPr>
        <w:t xml:space="preserve">oriented approach to spectrum allocation and management, the ACMA introduced a new type of licence, analogous to a property right, called a spectrum licence. Spectrum licensing, instead of focusing on equipment and its uses (which in turn defines the area covered and the frequency bandwidth used), authorizes the use of spectrum within specified limits of frequency bandwidth and coverage area. Under spectrum licensing, licensees will have the flexibility to change their equipment, antenna, siting, in fact any aspect of their use of spectrum, provided they comply with the core technical conditions of the licence, and any coordination requirements. </w:t>
      </w:r>
    </w:p>
    <w:p w:rsidR="00CA3B52" w:rsidRPr="00CB6CBA" w:rsidRDefault="00CA3B52" w:rsidP="00CA3B52">
      <w:pPr>
        <w:rPr>
          <w:lang w:val="en-US"/>
        </w:rPr>
      </w:pPr>
      <w:r w:rsidRPr="00CB6CBA">
        <w:rPr>
          <w:lang w:val="en-US"/>
        </w:rPr>
        <w:t>In line with ss85</w:t>
      </w:r>
      <w:r>
        <w:rPr>
          <w:lang w:val="en-US"/>
        </w:rPr>
        <w:noBreakHyphen/>
      </w:r>
      <w:r w:rsidRPr="00CB6CBA">
        <w:rPr>
          <w:lang w:val="en-US"/>
        </w:rPr>
        <w:t xml:space="preserve">88 of the </w:t>
      </w:r>
      <w:r w:rsidRPr="00CB6CBA">
        <w:rPr>
          <w:i/>
          <w:iCs/>
          <w:lang w:val="en-US"/>
        </w:rPr>
        <w:t>Radiocommunications Act 1992</w:t>
      </w:r>
      <w:r w:rsidRPr="00CB6CBA">
        <w:rPr>
          <w:lang w:val="en-US"/>
        </w:rPr>
        <w:t xml:space="preserve">, spectrum licences are intended to be traded rather than transferred. They incorporate core conditions that define a spectrum asset or a set of property rights represented by the spectrum licence. Licensees are free to negotiate in the open market with interested persons to buy and sell spectrum space for any legal purpose. </w:t>
      </w:r>
    </w:p>
    <w:p w:rsidR="00CA3B52" w:rsidRPr="00CB6CBA" w:rsidRDefault="00CA3B52" w:rsidP="00CA3B52">
      <w:pPr>
        <w:rPr>
          <w:lang w:val="en-US"/>
        </w:rPr>
      </w:pPr>
      <w:r w:rsidRPr="00CB6CBA">
        <w:rPr>
          <w:lang w:val="en-US"/>
        </w:rPr>
        <w:t xml:space="preserve">Spectrum licences can be regarded as financial assets due to their defined spectrum space and long licence period, which is 15 years. These licences may be combined or sub-divided to form new licences, although they may not be subdivided smaller than a </w:t>
      </w:r>
      <w:r w:rsidRPr="00523DCA">
        <w:rPr>
          <w:lang w:val="en-US"/>
        </w:rPr>
        <w:t>standard trading unit</w:t>
      </w:r>
      <w:r w:rsidRPr="00CB6CBA">
        <w:rPr>
          <w:lang w:val="en-US"/>
        </w:rPr>
        <w:t>. Once a commercial agreement is reached on a particular trade, the transaction must be notified to the ACMA. The trade becomes effective only after the new licence details appear.</w:t>
      </w:r>
    </w:p>
    <w:p w:rsidR="00CA3B52" w:rsidRPr="00CB6CBA" w:rsidRDefault="00CA3B52" w:rsidP="00CA3B52">
      <w:pPr>
        <w:pStyle w:val="Heading3"/>
        <w:rPr>
          <w:lang w:val="en-US"/>
        </w:rPr>
      </w:pPr>
      <w:bookmarkStart w:id="1506" w:name="_Toc459746726"/>
      <w:bookmarkStart w:id="1507" w:name="_Toc459792657"/>
      <w:bookmarkStart w:id="1508" w:name="_Toc459793823"/>
      <w:bookmarkStart w:id="1509" w:name="_Toc459793965"/>
      <w:bookmarkStart w:id="1510" w:name="_Toc459970427"/>
      <w:bookmarkStart w:id="1511" w:name="_Toc497033197"/>
      <w:bookmarkStart w:id="1512" w:name="_Toc497033995"/>
      <w:bookmarkStart w:id="1513" w:name="_Toc289868856"/>
      <w:bookmarkStart w:id="1514" w:name="_Toc289869016"/>
      <w:bookmarkStart w:id="1515" w:name="_Toc289932324"/>
      <w:bookmarkStart w:id="1516" w:name="_Toc289933370"/>
      <w:bookmarkStart w:id="1517" w:name="_Toc291852933"/>
      <w:bookmarkStart w:id="1518" w:name="_Toc392515917"/>
      <w:r w:rsidRPr="00CB6CBA">
        <w:rPr>
          <w:lang w:val="en-US"/>
        </w:rPr>
        <w:t>5.1.2</w:t>
      </w:r>
      <w:r w:rsidRPr="00CB6CBA">
        <w:rPr>
          <w:lang w:val="en-US"/>
        </w:rPr>
        <w:tab/>
        <w:t>Canada</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rsidR="00CA3B52" w:rsidRPr="00CB6CBA" w:rsidRDefault="00CA3B52" w:rsidP="00CA3B52">
      <w:pPr>
        <w:rPr>
          <w:lang w:val="en-US"/>
        </w:rPr>
      </w:pPr>
      <w:r w:rsidRPr="00CB6CBA">
        <w:rPr>
          <w:lang w:val="en-US"/>
        </w:rPr>
        <w:t xml:space="preserve">The Canadian Radiocommunication Act was amended in June 1996 to provide the explicit authority for the use of spectrum assignment auctions in appropriate circumstances.  Auctions offer a number of advantages such as their ability to promote economically efficient use of spectrum, their openness and objectivity as an assignment mechanism, their procedural efficiency, and their ability to return appropriate compensation to Canadian taxpayers for the use of a public resource.  </w:t>
      </w:r>
    </w:p>
    <w:p w:rsidR="00CA3B52" w:rsidRPr="00CB6CBA" w:rsidRDefault="00CA3B52" w:rsidP="00CA3B52">
      <w:pPr>
        <w:rPr>
          <w:lang w:val="en-US"/>
        </w:rPr>
      </w:pPr>
      <w:r w:rsidRPr="00CB6CBA">
        <w:rPr>
          <w:lang w:val="en-US"/>
        </w:rPr>
        <w:t>Industry Canada’s first spectrum auction was conducted in 1999, using a simultaneous multiple round ascending format to award spectrum in the 24 GHz and 38 GHz bands. Within a ten year span, Industry Canada has held seven spectrum auctions, five of which were held over the Internet, using the simultaneous multiple round format, and two of which used a sealed-bid format. As both the theoretical and practical aspects of auction design continue to advance, Industry Canada will continue to examine new auction design developments and adopt them as appropriate.</w:t>
      </w:r>
    </w:p>
    <w:p w:rsidR="00CA3B52" w:rsidRPr="00CB6CBA" w:rsidRDefault="00CA3B52" w:rsidP="00CA3B52">
      <w:pPr>
        <w:rPr>
          <w:lang w:val="en-US"/>
        </w:rPr>
      </w:pPr>
      <w:r w:rsidRPr="00CB6CBA">
        <w:rPr>
          <w:lang w:val="en-US"/>
        </w:rPr>
        <w:t>The following table provides details of all auctions held to date by Industry Canada. Auctions 1 to 5 were conducted using the Simultaneous Multiple Round Ascending (SMRA) design while Auctions</w:t>
      </w:r>
      <w:r>
        <w:rPr>
          <w:lang w:val="en-US"/>
        </w:rPr>
        <w:t> </w:t>
      </w:r>
      <w:r w:rsidRPr="00CB6CBA">
        <w:rPr>
          <w:lang w:val="en-US"/>
        </w:rPr>
        <w:t>6 and 7 were conducted using a sealed-bid, second-price auction design.</w:t>
      </w:r>
    </w:p>
    <w:p w:rsidR="00CA3B52" w:rsidRPr="00CB6CBA" w:rsidRDefault="00CA3B52" w:rsidP="00CA3B52">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058"/>
        <w:gridCol w:w="2881"/>
        <w:gridCol w:w="1622"/>
        <w:gridCol w:w="1097"/>
      </w:tblGrid>
      <w:tr w:rsidR="00CA3B52" w:rsidRPr="00586560" w:rsidTr="00447D7D">
        <w:trPr>
          <w:jc w:val="center"/>
        </w:trPr>
        <w:tc>
          <w:tcPr>
            <w:tcW w:w="1030" w:type="dxa"/>
            <w:shd w:val="clear" w:color="auto" w:fill="auto"/>
            <w:vAlign w:val="center"/>
          </w:tcPr>
          <w:p w:rsidR="00CA3B52" w:rsidRPr="00CB6CBA" w:rsidRDefault="00CA3B52" w:rsidP="002D1D5C">
            <w:pPr>
              <w:pStyle w:val="Tablehead"/>
              <w:rPr>
                <w:lang w:val="en-US"/>
              </w:rPr>
            </w:pPr>
            <w:r w:rsidRPr="00CB6CBA">
              <w:rPr>
                <w:lang w:val="en-US"/>
              </w:rPr>
              <w:lastRenderedPageBreak/>
              <w:t xml:space="preserve">Auction </w:t>
            </w:r>
            <w:r>
              <w:rPr>
                <w:lang w:val="en-US"/>
              </w:rPr>
              <w:t>No.</w:t>
            </w:r>
          </w:p>
        </w:tc>
        <w:tc>
          <w:tcPr>
            <w:tcW w:w="1058" w:type="dxa"/>
            <w:shd w:val="clear" w:color="auto" w:fill="auto"/>
            <w:vAlign w:val="center"/>
          </w:tcPr>
          <w:p w:rsidR="00CA3B52" w:rsidRPr="00CB6CBA" w:rsidRDefault="00CA3B52" w:rsidP="002D1D5C">
            <w:pPr>
              <w:pStyle w:val="Tablehead"/>
              <w:rPr>
                <w:lang w:val="en-US"/>
              </w:rPr>
            </w:pPr>
            <w:r w:rsidRPr="00CB6CBA">
              <w:rPr>
                <w:lang w:val="en-US"/>
              </w:rPr>
              <w:t xml:space="preserve">Year </w:t>
            </w:r>
          </w:p>
        </w:tc>
        <w:tc>
          <w:tcPr>
            <w:tcW w:w="2881" w:type="dxa"/>
            <w:shd w:val="clear" w:color="auto" w:fill="auto"/>
            <w:vAlign w:val="center"/>
          </w:tcPr>
          <w:p w:rsidR="00CA3B52" w:rsidRPr="00CB6CBA" w:rsidRDefault="00CA3B52" w:rsidP="002D1D5C">
            <w:pPr>
              <w:pStyle w:val="Tablehead"/>
              <w:rPr>
                <w:lang w:val="en-US"/>
              </w:rPr>
            </w:pPr>
            <w:r>
              <w:rPr>
                <w:lang w:val="en-US"/>
              </w:rPr>
              <w:t>Frequency Band</w:t>
            </w:r>
            <w:r w:rsidRPr="00CB6CBA">
              <w:rPr>
                <w:lang w:val="en-US"/>
              </w:rPr>
              <w:t>/Range</w:t>
            </w:r>
          </w:p>
        </w:tc>
        <w:tc>
          <w:tcPr>
            <w:tcW w:w="1602" w:type="dxa"/>
            <w:shd w:val="clear" w:color="auto" w:fill="auto"/>
            <w:vAlign w:val="center"/>
          </w:tcPr>
          <w:p w:rsidR="00CA3B52" w:rsidRPr="00CB6CBA" w:rsidRDefault="00CA3B52" w:rsidP="002D1D5C">
            <w:pPr>
              <w:pStyle w:val="Tablehead"/>
              <w:rPr>
                <w:lang w:val="en-US"/>
              </w:rPr>
            </w:pPr>
            <w:r>
              <w:rPr>
                <w:lang w:val="en-US"/>
              </w:rPr>
              <w:t>No.</w:t>
            </w:r>
            <w:r w:rsidRPr="00CB6CBA">
              <w:rPr>
                <w:lang w:val="en-US"/>
              </w:rPr>
              <w:t xml:space="preserve"> of Licences Won/Available</w:t>
            </w:r>
          </w:p>
        </w:tc>
        <w:tc>
          <w:tcPr>
            <w:tcW w:w="1097" w:type="dxa"/>
            <w:shd w:val="clear" w:color="auto" w:fill="auto"/>
            <w:vAlign w:val="center"/>
          </w:tcPr>
          <w:p w:rsidR="00CA3B52" w:rsidRPr="00CB6CBA" w:rsidRDefault="00CA3B52" w:rsidP="002D1D5C">
            <w:pPr>
              <w:pStyle w:val="Tablehead"/>
              <w:rPr>
                <w:lang w:val="en-US"/>
              </w:rPr>
            </w:pPr>
            <w:r>
              <w:rPr>
                <w:lang w:val="en-US"/>
              </w:rPr>
              <w:t>No.</w:t>
            </w:r>
            <w:r w:rsidRPr="00CB6CBA">
              <w:rPr>
                <w:lang w:val="en-US"/>
              </w:rPr>
              <w:t xml:space="preserve"> of Winners</w:t>
            </w:r>
          </w:p>
        </w:tc>
      </w:tr>
      <w:tr w:rsidR="00CA3B52" w:rsidRPr="00586560" w:rsidTr="00447D7D">
        <w:trPr>
          <w:jc w:val="center"/>
        </w:trPr>
        <w:tc>
          <w:tcPr>
            <w:tcW w:w="1030" w:type="dxa"/>
            <w:vAlign w:val="center"/>
          </w:tcPr>
          <w:p w:rsidR="00CA3B52" w:rsidRPr="00CB6CBA" w:rsidRDefault="00CA3B52" w:rsidP="00F65451">
            <w:pPr>
              <w:pStyle w:val="Tabletext"/>
              <w:jc w:val="center"/>
              <w:rPr>
                <w:lang w:val="en-US"/>
              </w:rPr>
            </w:pPr>
            <w:r w:rsidRPr="00CB6CBA">
              <w:rPr>
                <w:lang w:val="en-US"/>
              </w:rPr>
              <w:t>1</w:t>
            </w:r>
          </w:p>
        </w:tc>
        <w:tc>
          <w:tcPr>
            <w:tcW w:w="1058" w:type="dxa"/>
            <w:vAlign w:val="center"/>
          </w:tcPr>
          <w:p w:rsidR="00CA3B52" w:rsidRPr="00CB6CBA" w:rsidRDefault="00CA3B52" w:rsidP="00F65451">
            <w:pPr>
              <w:pStyle w:val="Tabletext"/>
              <w:jc w:val="center"/>
              <w:rPr>
                <w:lang w:val="en-US"/>
              </w:rPr>
            </w:pPr>
            <w:r w:rsidRPr="00CB6CBA">
              <w:rPr>
                <w:lang w:val="en-US"/>
              </w:rPr>
              <w:t>1999</w:t>
            </w:r>
          </w:p>
        </w:tc>
        <w:tc>
          <w:tcPr>
            <w:tcW w:w="2881" w:type="dxa"/>
            <w:vAlign w:val="center"/>
          </w:tcPr>
          <w:p w:rsidR="00CA3B52" w:rsidRPr="00CB6CBA" w:rsidRDefault="00CA3B52" w:rsidP="00F65451">
            <w:pPr>
              <w:pStyle w:val="Tabletext"/>
              <w:jc w:val="left"/>
              <w:rPr>
                <w:lang w:val="en-US"/>
              </w:rPr>
            </w:pPr>
            <w:r w:rsidRPr="00CB6CBA">
              <w:rPr>
                <w:lang w:val="en-US"/>
              </w:rPr>
              <w:t>24 and 38 GHz</w:t>
            </w:r>
          </w:p>
        </w:tc>
        <w:tc>
          <w:tcPr>
            <w:tcW w:w="1602" w:type="dxa"/>
            <w:vAlign w:val="center"/>
          </w:tcPr>
          <w:p w:rsidR="00CA3B52" w:rsidRPr="00CB6CBA" w:rsidRDefault="00CA3B52" w:rsidP="00F65451">
            <w:pPr>
              <w:pStyle w:val="Tabletext"/>
              <w:jc w:val="center"/>
              <w:rPr>
                <w:lang w:val="en-US"/>
              </w:rPr>
            </w:pPr>
            <w:r w:rsidRPr="00CB6CBA">
              <w:rPr>
                <w:lang w:val="en-US"/>
              </w:rPr>
              <w:t>260</w:t>
            </w:r>
            <w:r>
              <w:rPr>
                <w:lang w:val="en-US"/>
              </w:rPr>
              <w:t>/</w:t>
            </w:r>
            <w:r w:rsidRPr="00CB6CBA">
              <w:rPr>
                <w:lang w:val="en-US"/>
              </w:rPr>
              <w:t>354</w:t>
            </w:r>
          </w:p>
        </w:tc>
        <w:tc>
          <w:tcPr>
            <w:tcW w:w="1097" w:type="dxa"/>
            <w:vAlign w:val="center"/>
          </w:tcPr>
          <w:p w:rsidR="00CA3B52" w:rsidRPr="00CB6CBA" w:rsidRDefault="00CA3B52" w:rsidP="00F65451">
            <w:pPr>
              <w:pStyle w:val="Tabletext"/>
              <w:jc w:val="center"/>
              <w:rPr>
                <w:lang w:val="en-US"/>
              </w:rPr>
            </w:pPr>
            <w:r w:rsidRPr="00CB6CBA">
              <w:rPr>
                <w:lang w:val="en-US"/>
              </w:rPr>
              <w:t>12</w:t>
            </w:r>
          </w:p>
        </w:tc>
      </w:tr>
      <w:tr w:rsidR="00CA3B52" w:rsidRPr="00586560" w:rsidTr="00447D7D">
        <w:trPr>
          <w:jc w:val="center"/>
        </w:trPr>
        <w:tc>
          <w:tcPr>
            <w:tcW w:w="1030" w:type="dxa"/>
            <w:vAlign w:val="center"/>
          </w:tcPr>
          <w:p w:rsidR="00CA3B52" w:rsidRPr="00CB6CBA" w:rsidRDefault="00CA3B52" w:rsidP="00F65451">
            <w:pPr>
              <w:pStyle w:val="Tabletext"/>
              <w:jc w:val="center"/>
              <w:rPr>
                <w:lang w:val="en-US"/>
              </w:rPr>
            </w:pPr>
            <w:r w:rsidRPr="00CB6CBA">
              <w:rPr>
                <w:lang w:val="en-US"/>
              </w:rPr>
              <w:t>2</w:t>
            </w:r>
          </w:p>
        </w:tc>
        <w:tc>
          <w:tcPr>
            <w:tcW w:w="1058" w:type="dxa"/>
            <w:vAlign w:val="center"/>
          </w:tcPr>
          <w:p w:rsidR="00CA3B52" w:rsidRPr="00CB6CBA" w:rsidRDefault="00CA3B52" w:rsidP="00F65451">
            <w:pPr>
              <w:pStyle w:val="Tabletext"/>
              <w:jc w:val="center"/>
              <w:rPr>
                <w:lang w:val="en-US"/>
              </w:rPr>
            </w:pPr>
            <w:r w:rsidRPr="00CB6CBA">
              <w:rPr>
                <w:lang w:val="en-US"/>
              </w:rPr>
              <w:t>2001</w:t>
            </w:r>
          </w:p>
        </w:tc>
        <w:tc>
          <w:tcPr>
            <w:tcW w:w="2881" w:type="dxa"/>
            <w:vAlign w:val="center"/>
          </w:tcPr>
          <w:p w:rsidR="00CA3B52" w:rsidRPr="00CB6CBA" w:rsidRDefault="00CA3B52" w:rsidP="00F65451">
            <w:pPr>
              <w:pStyle w:val="Tabletext"/>
              <w:jc w:val="left"/>
              <w:rPr>
                <w:lang w:val="en-US"/>
              </w:rPr>
            </w:pPr>
            <w:r w:rsidRPr="00CB6CBA">
              <w:rPr>
                <w:lang w:val="en-US"/>
              </w:rPr>
              <w:t xml:space="preserve">2 GHz </w:t>
            </w:r>
            <w:r>
              <w:rPr>
                <w:lang w:val="en-US"/>
              </w:rPr>
              <w:t>–</w:t>
            </w:r>
            <w:r w:rsidRPr="00CB6CBA">
              <w:rPr>
                <w:lang w:val="en-US"/>
              </w:rPr>
              <w:t xml:space="preserve"> for Personal Communication Services (PCS)</w:t>
            </w:r>
          </w:p>
        </w:tc>
        <w:tc>
          <w:tcPr>
            <w:tcW w:w="1602" w:type="dxa"/>
            <w:vAlign w:val="center"/>
          </w:tcPr>
          <w:p w:rsidR="00CA3B52" w:rsidRPr="00CB6CBA" w:rsidRDefault="00CA3B52" w:rsidP="00F65451">
            <w:pPr>
              <w:pStyle w:val="Tabletext"/>
              <w:jc w:val="center"/>
              <w:rPr>
                <w:lang w:val="en-US"/>
              </w:rPr>
            </w:pPr>
            <w:r w:rsidRPr="00CB6CBA">
              <w:rPr>
                <w:lang w:val="en-US"/>
              </w:rPr>
              <w:t>52</w:t>
            </w:r>
            <w:r>
              <w:rPr>
                <w:lang w:val="en-US"/>
              </w:rPr>
              <w:t>/</w:t>
            </w:r>
            <w:r w:rsidRPr="00CB6CBA">
              <w:rPr>
                <w:lang w:val="en-US"/>
              </w:rPr>
              <w:t>62</w:t>
            </w:r>
          </w:p>
        </w:tc>
        <w:tc>
          <w:tcPr>
            <w:tcW w:w="1097" w:type="dxa"/>
            <w:vAlign w:val="center"/>
          </w:tcPr>
          <w:p w:rsidR="00CA3B52" w:rsidRPr="00CB6CBA" w:rsidRDefault="00CA3B52" w:rsidP="00F65451">
            <w:pPr>
              <w:pStyle w:val="Tabletext"/>
              <w:jc w:val="center"/>
              <w:rPr>
                <w:lang w:val="en-US"/>
              </w:rPr>
            </w:pPr>
            <w:r w:rsidRPr="00CB6CBA">
              <w:rPr>
                <w:lang w:val="en-US"/>
              </w:rPr>
              <w:t>5</w:t>
            </w:r>
          </w:p>
        </w:tc>
      </w:tr>
      <w:tr w:rsidR="00CA3B52" w:rsidRPr="00CB6CBA" w:rsidTr="00447D7D">
        <w:trPr>
          <w:jc w:val="center"/>
        </w:trPr>
        <w:tc>
          <w:tcPr>
            <w:tcW w:w="1030" w:type="dxa"/>
            <w:vAlign w:val="center"/>
          </w:tcPr>
          <w:p w:rsidR="00CA3B52" w:rsidRPr="00CB6CBA" w:rsidRDefault="00CA3B52" w:rsidP="00F65451">
            <w:pPr>
              <w:pStyle w:val="Tabletext"/>
              <w:jc w:val="center"/>
              <w:rPr>
                <w:lang w:val="en-US"/>
              </w:rPr>
            </w:pPr>
            <w:r w:rsidRPr="00CB6CBA">
              <w:rPr>
                <w:lang w:val="en-US"/>
              </w:rPr>
              <w:t>3</w:t>
            </w:r>
          </w:p>
        </w:tc>
        <w:tc>
          <w:tcPr>
            <w:tcW w:w="1058" w:type="dxa"/>
            <w:vAlign w:val="center"/>
          </w:tcPr>
          <w:p w:rsidR="00CA3B52" w:rsidRPr="00CB6CBA" w:rsidRDefault="00CA3B52" w:rsidP="00F65451">
            <w:pPr>
              <w:pStyle w:val="Tabletext"/>
              <w:jc w:val="center"/>
              <w:rPr>
                <w:lang w:val="en-US"/>
              </w:rPr>
            </w:pPr>
            <w:r w:rsidRPr="00CB6CBA">
              <w:rPr>
                <w:lang w:val="en-US"/>
              </w:rPr>
              <w:t>2004</w:t>
            </w:r>
          </w:p>
        </w:tc>
        <w:tc>
          <w:tcPr>
            <w:tcW w:w="2881" w:type="dxa"/>
            <w:vAlign w:val="center"/>
          </w:tcPr>
          <w:p w:rsidR="00CA3B52" w:rsidRPr="00CB6CBA" w:rsidRDefault="00CA3B52" w:rsidP="00F65451">
            <w:pPr>
              <w:pStyle w:val="Tabletext"/>
              <w:jc w:val="left"/>
              <w:rPr>
                <w:lang w:val="en-US"/>
              </w:rPr>
            </w:pPr>
            <w:r w:rsidRPr="00CB6CBA">
              <w:rPr>
                <w:lang w:val="en-US"/>
              </w:rPr>
              <w:t>2.3 and 3.5 GHz</w:t>
            </w:r>
          </w:p>
        </w:tc>
        <w:tc>
          <w:tcPr>
            <w:tcW w:w="1602" w:type="dxa"/>
            <w:vAlign w:val="center"/>
          </w:tcPr>
          <w:p w:rsidR="00CA3B52" w:rsidRPr="00CB6CBA" w:rsidRDefault="00CA3B52" w:rsidP="00F65451">
            <w:pPr>
              <w:pStyle w:val="Tabletext"/>
              <w:jc w:val="center"/>
              <w:rPr>
                <w:lang w:val="en-US"/>
              </w:rPr>
            </w:pPr>
            <w:r>
              <w:rPr>
                <w:lang w:val="en-US"/>
              </w:rPr>
              <w:t>392/</w:t>
            </w:r>
            <w:r w:rsidRPr="00CB6CBA">
              <w:rPr>
                <w:lang w:val="en-US"/>
              </w:rPr>
              <w:t>848</w:t>
            </w:r>
          </w:p>
        </w:tc>
        <w:tc>
          <w:tcPr>
            <w:tcW w:w="1097" w:type="dxa"/>
            <w:vAlign w:val="center"/>
          </w:tcPr>
          <w:p w:rsidR="00CA3B52" w:rsidRPr="00CB6CBA" w:rsidRDefault="00CA3B52" w:rsidP="00F65451">
            <w:pPr>
              <w:pStyle w:val="Tabletext"/>
              <w:jc w:val="center"/>
              <w:rPr>
                <w:lang w:val="en-US"/>
              </w:rPr>
            </w:pPr>
            <w:r w:rsidRPr="00CB6CBA">
              <w:rPr>
                <w:lang w:val="en-US"/>
              </w:rPr>
              <w:t>22</w:t>
            </w:r>
          </w:p>
        </w:tc>
      </w:tr>
      <w:tr w:rsidR="00CA3B52" w:rsidRPr="00CB6CBA" w:rsidTr="00447D7D">
        <w:trPr>
          <w:jc w:val="center"/>
        </w:trPr>
        <w:tc>
          <w:tcPr>
            <w:tcW w:w="1030" w:type="dxa"/>
            <w:vAlign w:val="center"/>
          </w:tcPr>
          <w:p w:rsidR="00CA3B52" w:rsidRPr="00CB6CBA" w:rsidRDefault="00CA3B52" w:rsidP="00F65451">
            <w:pPr>
              <w:pStyle w:val="Tabletext"/>
              <w:jc w:val="center"/>
              <w:rPr>
                <w:lang w:val="en-US"/>
              </w:rPr>
            </w:pPr>
            <w:r w:rsidRPr="00CB6CBA">
              <w:rPr>
                <w:lang w:val="en-US"/>
              </w:rPr>
              <w:t>4</w:t>
            </w:r>
          </w:p>
        </w:tc>
        <w:tc>
          <w:tcPr>
            <w:tcW w:w="1058" w:type="dxa"/>
            <w:vAlign w:val="center"/>
          </w:tcPr>
          <w:p w:rsidR="00CA3B52" w:rsidRPr="00CB6CBA" w:rsidRDefault="00CA3B52" w:rsidP="00F65451">
            <w:pPr>
              <w:pStyle w:val="Tabletext"/>
              <w:jc w:val="center"/>
              <w:rPr>
                <w:lang w:val="en-US"/>
              </w:rPr>
            </w:pPr>
            <w:r w:rsidRPr="00CB6CBA">
              <w:rPr>
                <w:lang w:val="en-US"/>
              </w:rPr>
              <w:t>2004/05</w:t>
            </w:r>
          </w:p>
        </w:tc>
        <w:tc>
          <w:tcPr>
            <w:tcW w:w="2881" w:type="dxa"/>
            <w:vAlign w:val="center"/>
          </w:tcPr>
          <w:p w:rsidR="00CA3B52" w:rsidRPr="00CB6CBA" w:rsidRDefault="00CA3B52" w:rsidP="00F65451">
            <w:pPr>
              <w:pStyle w:val="Tabletext"/>
              <w:jc w:val="left"/>
              <w:rPr>
                <w:lang w:val="en-US"/>
              </w:rPr>
            </w:pPr>
            <w:r w:rsidRPr="00CB6CBA">
              <w:rPr>
                <w:lang w:val="en-US"/>
              </w:rPr>
              <w:t xml:space="preserve">2.3 and 3.5 GHz </w:t>
            </w:r>
          </w:p>
          <w:p w:rsidR="00CA3B52" w:rsidRPr="00CB6CBA" w:rsidRDefault="00CA3B52" w:rsidP="00F65451">
            <w:pPr>
              <w:pStyle w:val="Tabletext"/>
              <w:jc w:val="left"/>
              <w:rPr>
                <w:lang w:val="en-US"/>
              </w:rPr>
            </w:pPr>
            <w:r w:rsidRPr="00CB6CBA">
              <w:rPr>
                <w:lang w:val="en-US"/>
              </w:rPr>
              <w:t xml:space="preserve">(Phase 2 </w:t>
            </w:r>
            <w:r>
              <w:rPr>
                <w:lang w:val="en-US"/>
              </w:rPr>
              <w:t xml:space="preserve">– </w:t>
            </w:r>
            <w:r w:rsidRPr="00CB6CBA">
              <w:rPr>
                <w:lang w:val="en-US"/>
              </w:rPr>
              <w:t>residual)</w:t>
            </w:r>
          </w:p>
        </w:tc>
        <w:tc>
          <w:tcPr>
            <w:tcW w:w="1602" w:type="dxa"/>
            <w:vAlign w:val="center"/>
          </w:tcPr>
          <w:p w:rsidR="00CA3B52" w:rsidRPr="00CB6CBA" w:rsidRDefault="00CA3B52" w:rsidP="00F65451">
            <w:pPr>
              <w:pStyle w:val="Tabletext"/>
              <w:jc w:val="center"/>
              <w:rPr>
                <w:lang w:val="en-US"/>
              </w:rPr>
            </w:pPr>
            <w:r>
              <w:rPr>
                <w:lang w:val="en-US"/>
              </w:rPr>
              <w:t>450/</w:t>
            </w:r>
            <w:r w:rsidRPr="00CB6CBA">
              <w:rPr>
                <w:lang w:val="en-US"/>
              </w:rPr>
              <w:t>457</w:t>
            </w:r>
          </w:p>
        </w:tc>
        <w:tc>
          <w:tcPr>
            <w:tcW w:w="1097" w:type="dxa"/>
            <w:vAlign w:val="center"/>
          </w:tcPr>
          <w:p w:rsidR="00CA3B52" w:rsidRPr="00CB6CBA" w:rsidRDefault="00CA3B52" w:rsidP="00F65451">
            <w:pPr>
              <w:pStyle w:val="Tabletext"/>
              <w:jc w:val="center"/>
              <w:rPr>
                <w:lang w:val="en-US"/>
              </w:rPr>
            </w:pPr>
            <w:r w:rsidRPr="00CB6CBA">
              <w:rPr>
                <w:lang w:val="en-US"/>
              </w:rPr>
              <w:t>15</w:t>
            </w:r>
          </w:p>
        </w:tc>
      </w:tr>
      <w:tr w:rsidR="00CA3B52" w:rsidRPr="00CB6CBA" w:rsidTr="00447D7D">
        <w:trPr>
          <w:jc w:val="center"/>
        </w:trPr>
        <w:tc>
          <w:tcPr>
            <w:tcW w:w="1030" w:type="dxa"/>
            <w:vAlign w:val="center"/>
          </w:tcPr>
          <w:p w:rsidR="00CA3B52" w:rsidRPr="00CB6CBA" w:rsidRDefault="00CA3B52" w:rsidP="00F65451">
            <w:pPr>
              <w:pStyle w:val="Tabletext"/>
              <w:jc w:val="center"/>
              <w:rPr>
                <w:lang w:val="en-US"/>
              </w:rPr>
            </w:pPr>
            <w:r w:rsidRPr="00CB6CBA">
              <w:rPr>
                <w:lang w:val="en-US"/>
              </w:rPr>
              <w:t>5</w:t>
            </w:r>
          </w:p>
        </w:tc>
        <w:tc>
          <w:tcPr>
            <w:tcW w:w="1058" w:type="dxa"/>
            <w:vAlign w:val="center"/>
          </w:tcPr>
          <w:p w:rsidR="00CA3B52" w:rsidRPr="00CB6CBA" w:rsidRDefault="00CA3B52" w:rsidP="00F65451">
            <w:pPr>
              <w:pStyle w:val="Tabletext"/>
              <w:jc w:val="center"/>
              <w:rPr>
                <w:lang w:val="en-US"/>
              </w:rPr>
            </w:pPr>
            <w:r w:rsidRPr="00CB6CBA">
              <w:rPr>
                <w:lang w:val="en-US"/>
              </w:rPr>
              <w:t>2008</w:t>
            </w:r>
          </w:p>
        </w:tc>
        <w:tc>
          <w:tcPr>
            <w:tcW w:w="2881" w:type="dxa"/>
            <w:vAlign w:val="center"/>
          </w:tcPr>
          <w:p w:rsidR="00CA3B52" w:rsidRPr="00CB6CBA" w:rsidRDefault="00CA3B52" w:rsidP="00F65451">
            <w:pPr>
              <w:pStyle w:val="Tabletext"/>
              <w:jc w:val="left"/>
              <w:rPr>
                <w:lang w:val="en-US"/>
              </w:rPr>
            </w:pPr>
            <w:r w:rsidRPr="00CB6CBA">
              <w:rPr>
                <w:lang w:val="en-US"/>
              </w:rPr>
              <w:t>2 GHz – for Advanced Wireless Services (AWS)</w:t>
            </w:r>
          </w:p>
        </w:tc>
        <w:tc>
          <w:tcPr>
            <w:tcW w:w="1602" w:type="dxa"/>
            <w:vAlign w:val="center"/>
          </w:tcPr>
          <w:p w:rsidR="00CA3B52" w:rsidRPr="00CB6CBA" w:rsidRDefault="00CA3B52" w:rsidP="00F65451">
            <w:pPr>
              <w:pStyle w:val="Tabletext"/>
              <w:jc w:val="center"/>
              <w:rPr>
                <w:lang w:val="en-US"/>
              </w:rPr>
            </w:pPr>
            <w:r>
              <w:rPr>
                <w:lang w:val="en-US"/>
              </w:rPr>
              <w:t>282/</w:t>
            </w:r>
            <w:r w:rsidRPr="00CB6CBA">
              <w:rPr>
                <w:lang w:val="en-US"/>
              </w:rPr>
              <w:t>292</w:t>
            </w:r>
          </w:p>
        </w:tc>
        <w:tc>
          <w:tcPr>
            <w:tcW w:w="1097" w:type="dxa"/>
            <w:vAlign w:val="center"/>
          </w:tcPr>
          <w:p w:rsidR="00CA3B52" w:rsidRPr="00CB6CBA" w:rsidRDefault="00CA3B52" w:rsidP="00F65451">
            <w:pPr>
              <w:pStyle w:val="Tabletext"/>
              <w:jc w:val="center"/>
              <w:rPr>
                <w:lang w:val="en-US"/>
              </w:rPr>
            </w:pPr>
            <w:r w:rsidRPr="00CB6CBA">
              <w:rPr>
                <w:lang w:val="en-US"/>
              </w:rPr>
              <w:t>15</w:t>
            </w:r>
          </w:p>
        </w:tc>
      </w:tr>
      <w:tr w:rsidR="00CA3B52" w:rsidRPr="00CB6CBA" w:rsidTr="00447D7D">
        <w:trPr>
          <w:jc w:val="center"/>
        </w:trPr>
        <w:tc>
          <w:tcPr>
            <w:tcW w:w="1030" w:type="dxa"/>
            <w:vAlign w:val="center"/>
          </w:tcPr>
          <w:p w:rsidR="00CA3B52" w:rsidRPr="00CB6CBA" w:rsidRDefault="00CA3B52" w:rsidP="00F65451">
            <w:pPr>
              <w:pStyle w:val="Tabletext"/>
              <w:jc w:val="center"/>
              <w:rPr>
                <w:lang w:val="en-US"/>
              </w:rPr>
            </w:pPr>
            <w:r w:rsidRPr="00CB6CBA">
              <w:rPr>
                <w:lang w:val="en-US"/>
              </w:rPr>
              <w:t>6</w:t>
            </w:r>
          </w:p>
        </w:tc>
        <w:tc>
          <w:tcPr>
            <w:tcW w:w="1058" w:type="dxa"/>
            <w:vAlign w:val="center"/>
          </w:tcPr>
          <w:p w:rsidR="00CA3B52" w:rsidRPr="00CB6CBA" w:rsidRDefault="00CA3B52" w:rsidP="00F65451">
            <w:pPr>
              <w:pStyle w:val="Tabletext"/>
              <w:jc w:val="center"/>
              <w:rPr>
                <w:lang w:val="en-US"/>
              </w:rPr>
            </w:pPr>
            <w:r w:rsidRPr="00CB6CBA">
              <w:rPr>
                <w:lang w:val="en-US"/>
              </w:rPr>
              <w:t>2009</w:t>
            </w:r>
          </w:p>
        </w:tc>
        <w:tc>
          <w:tcPr>
            <w:tcW w:w="2881" w:type="dxa"/>
            <w:vAlign w:val="center"/>
          </w:tcPr>
          <w:p w:rsidR="00CA3B52" w:rsidRPr="00CB6CBA" w:rsidRDefault="00CA3B52" w:rsidP="00F65451">
            <w:pPr>
              <w:pStyle w:val="Tabletext"/>
              <w:jc w:val="left"/>
              <w:rPr>
                <w:lang w:val="en-US"/>
              </w:rPr>
            </w:pPr>
            <w:r w:rsidRPr="00CB6CBA">
              <w:rPr>
                <w:lang w:val="en-US"/>
              </w:rPr>
              <w:t>849-851 MHz and 894</w:t>
            </w:r>
            <w:r>
              <w:rPr>
                <w:lang w:val="en-US"/>
              </w:rPr>
              <w:noBreakHyphen/>
            </w:r>
            <w:r w:rsidRPr="00CB6CBA">
              <w:rPr>
                <w:lang w:val="en-US"/>
              </w:rPr>
              <w:t>896</w:t>
            </w:r>
            <w:r>
              <w:rPr>
                <w:lang w:val="en-US"/>
              </w:rPr>
              <w:t> </w:t>
            </w:r>
            <w:r w:rsidRPr="00CB6CBA">
              <w:rPr>
                <w:lang w:val="en-US"/>
              </w:rPr>
              <w:t>MHz for Air</w:t>
            </w:r>
            <w:r>
              <w:rPr>
                <w:lang w:val="en-US"/>
              </w:rPr>
              <w:noBreakHyphen/>
            </w:r>
            <w:r w:rsidRPr="00CB6CBA">
              <w:rPr>
                <w:lang w:val="en-US"/>
              </w:rPr>
              <w:t>Ground Services</w:t>
            </w:r>
          </w:p>
        </w:tc>
        <w:tc>
          <w:tcPr>
            <w:tcW w:w="1602" w:type="dxa"/>
            <w:vAlign w:val="center"/>
          </w:tcPr>
          <w:p w:rsidR="00CA3B52" w:rsidRPr="00CB6CBA" w:rsidRDefault="00CA3B52" w:rsidP="00F65451">
            <w:pPr>
              <w:pStyle w:val="Tabletext"/>
              <w:jc w:val="center"/>
              <w:rPr>
                <w:lang w:val="en-US"/>
              </w:rPr>
            </w:pPr>
            <w:r>
              <w:rPr>
                <w:lang w:val="en-US"/>
              </w:rPr>
              <w:t>2/</w:t>
            </w:r>
            <w:r w:rsidRPr="00CB6CBA">
              <w:rPr>
                <w:lang w:val="en-US"/>
              </w:rPr>
              <w:t>2</w:t>
            </w:r>
          </w:p>
        </w:tc>
        <w:tc>
          <w:tcPr>
            <w:tcW w:w="1097" w:type="dxa"/>
            <w:vAlign w:val="center"/>
          </w:tcPr>
          <w:p w:rsidR="00CA3B52" w:rsidRPr="00CB6CBA" w:rsidRDefault="00CA3B52" w:rsidP="00F65451">
            <w:pPr>
              <w:pStyle w:val="Tabletext"/>
              <w:jc w:val="center"/>
              <w:rPr>
                <w:lang w:val="en-US"/>
              </w:rPr>
            </w:pPr>
            <w:r w:rsidRPr="00CB6CBA">
              <w:rPr>
                <w:lang w:val="en-US"/>
              </w:rPr>
              <w:t>1</w:t>
            </w:r>
          </w:p>
        </w:tc>
      </w:tr>
      <w:tr w:rsidR="00CA3B52" w:rsidRPr="00CB6CBA" w:rsidTr="00447D7D">
        <w:trPr>
          <w:jc w:val="center"/>
        </w:trPr>
        <w:tc>
          <w:tcPr>
            <w:tcW w:w="1030" w:type="dxa"/>
            <w:vAlign w:val="center"/>
          </w:tcPr>
          <w:p w:rsidR="00CA3B52" w:rsidRPr="00CB6CBA" w:rsidRDefault="00CA3B52" w:rsidP="00F65451">
            <w:pPr>
              <w:pStyle w:val="Tabletext"/>
              <w:jc w:val="center"/>
              <w:rPr>
                <w:lang w:val="en-US"/>
              </w:rPr>
            </w:pPr>
            <w:r w:rsidRPr="00CB6CBA">
              <w:rPr>
                <w:lang w:val="en-US"/>
              </w:rPr>
              <w:t>7</w:t>
            </w:r>
          </w:p>
        </w:tc>
        <w:tc>
          <w:tcPr>
            <w:tcW w:w="1058" w:type="dxa"/>
            <w:vAlign w:val="center"/>
          </w:tcPr>
          <w:p w:rsidR="00CA3B52" w:rsidRPr="00CB6CBA" w:rsidRDefault="00CA3B52" w:rsidP="00F65451">
            <w:pPr>
              <w:pStyle w:val="Tabletext"/>
              <w:jc w:val="center"/>
              <w:rPr>
                <w:lang w:val="en-US"/>
              </w:rPr>
            </w:pPr>
            <w:r w:rsidRPr="00CB6CBA">
              <w:rPr>
                <w:lang w:val="en-US"/>
              </w:rPr>
              <w:t>2009</w:t>
            </w:r>
          </w:p>
        </w:tc>
        <w:tc>
          <w:tcPr>
            <w:tcW w:w="2881" w:type="dxa"/>
            <w:vAlign w:val="center"/>
          </w:tcPr>
          <w:p w:rsidR="00CA3B52" w:rsidRPr="00CB6CBA" w:rsidRDefault="00CA3B52" w:rsidP="002D1D5C">
            <w:pPr>
              <w:pStyle w:val="Tabletext"/>
              <w:jc w:val="left"/>
              <w:rPr>
                <w:lang w:val="en-US"/>
              </w:rPr>
            </w:pPr>
            <w:r w:rsidRPr="00CB6CBA">
              <w:rPr>
                <w:lang w:val="en-US"/>
              </w:rPr>
              <w:t xml:space="preserve">2.3 and 3.5 GHz </w:t>
            </w:r>
          </w:p>
          <w:p w:rsidR="00CA3B52" w:rsidRPr="00CB6CBA" w:rsidRDefault="00CA3B52" w:rsidP="002D1D5C">
            <w:pPr>
              <w:pStyle w:val="Tabletext"/>
              <w:jc w:val="left"/>
              <w:rPr>
                <w:lang w:val="en-US"/>
              </w:rPr>
            </w:pPr>
            <w:r w:rsidRPr="00CB6CBA">
              <w:rPr>
                <w:lang w:val="en-US"/>
              </w:rPr>
              <w:t xml:space="preserve">(Phase 3 </w:t>
            </w:r>
            <w:r>
              <w:rPr>
                <w:lang w:val="en-US"/>
              </w:rPr>
              <w:t>–</w:t>
            </w:r>
            <w:r w:rsidRPr="00CB6CBA">
              <w:rPr>
                <w:lang w:val="en-US"/>
              </w:rPr>
              <w:t xml:space="preserve"> residual)</w:t>
            </w:r>
          </w:p>
        </w:tc>
        <w:tc>
          <w:tcPr>
            <w:tcW w:w="1602" w:type="dxa"/>
            <w:vAlign w:val="center"/>
          </w:tcPr>
          <w:p w:rsidR="00CA3B52" w:rsidRPr="00CB6CBA" w:rsidRDefault="00CA3B52" w:rsidP="00F65451">
            <w:pPr>
              <w:pStyle w:val="Tabletext"/>
              <w:jc w:val="center"/>
              <w:rPr>
                <w:lang w:val="en-US"/>
              </w:rPr>
            </w:pPr>
            <w:r>
              <w:rPr>
                <w:lang w:val="en-US"/>
              </w:rPr>
              <w:t>10/</w:t>
            </w:r>
            <w:r w:rsidRPr="00CB6CBA">
              <w:rPr>
                <w:lang w:val="en-US"/>
              </w:rPr>
              <w:t>10</w:t>
            </w:r>
          </w:p>
        </w:tc>
        <w:tc>
          <w:tcPr>
            <w:tcW w:w="1097" w:type="dxa"/>
            <w:vAlign w:val="center"/>
          </w:tcPr>
          <w:p w:rsidR="00CA3B52" w:rsidRPr="00CB6CBA" w:rsidRDefault="00CA3B52" w:rsidP="00F65451">
            <w:pPr>
              <w:pStyle w:val="Tabletext"/>
              <w:jc w:val="center"/>
              <w:rPr>
                <w:lang w:val="en-US"/>
              </w:rPr>
            </w:pPr>
            <w:r w:rsidRPr="00CB6CBA">
              <w:rPr>
                <w:lang w:val="en-US"/>
              </w:rPr>
              <w:t>5</w:t>
            </w:r>
          </w:p>
        </w:tc>
      </w:tr>
    </w:tbl>
    <w:p w:rsidR="00CA3B52" w:rsidRPr="00CB6CBA" w:rsidRDefault="00CA3B52" w:rsidP="00F65451">
      <w:pPr>
        <w:pStyle w:val="Tablefin"/>
      </w:pPr>
    </w:p>
    <w:p w:rsidR="00CA3B52" w:rsidRDefault="00CA3B52" w:rsidP="00CA3B52">
      <w:pPr>
        <w:rPr>
          <w:rFonts w:ascii="TimesNewRoman" w:hAnsi="TimesNewRoman" w:cs="TimesNewRoman"/>
          <w:lang w:val="en-US"/>
        </w:rPr>
      </w:pPr>
      <w:r w:rsidRPr="00CB6CBA">
        <w:rPr>
          <w:lang w:val="en-US"/>
        </w:rPr>
        <w:t>Licences acquired through an auction are transferable in whole or in part (divisibility), in both the bandwidth and geographic dimensions to a qualified recipient.</w:t>
      </w:r>
      <w:r w:rsidRPr="00CB6CBA">
        <w:rPr>
          <w:rFonts w:ascii="TimesNewRoman" w:hAnsi="TimesNewRoman" w:cs="TimesNewRoman"/>
          <w:lang w:val="en-US"/>
        </w:rPr>
        <w:t xml:space="preserve"> Auctioned licences have generally been issued for a ten-year term with a high expectation of renewal at the end of this term. </w:t>
      </w:r>
      <w:bookmarkStart w:id="1519" w:name="_Toc459746727"/>
      <w:bookmarkStart w:id="1520" w:name="_Toc459792658"/>
      <w:bookmarkStart w:id="1521" w:name="_Toc459793824"/>
      <w:bookmarkStart w:id="1522" w:name="_Toc459793966"/>
      <w:bookmarkStart w:id="1523" w:name="_Toc459970428"/>
      <w:bookmarkStart w:id="1524" w:name="_Toc497033198"/>
      <w:bookmarkStart w:id="1525" w:name="_Toc497033996"/>
    </w:p>
    <w:p w:rsidR="00CA3B52" w:rsidRPr="00CB6CBA" w:rsidRDefault="00CA3B52" w:rsidP="00CA3B52">
      <w:pPr>
        <w:pStyle w:val="Heading3"/>
        <w:rPr>
          <w:lang w:val="en-US"/>
        </w:rPr>
      </w:pPr>
      <w:bookmarkStart w:id="1526" w:name="_Toc289868857"/>
      <w:bookmarkStart w:id="1527" w:name="_Toc289869017"/>
      <w:bookmarkStart w:id="1528" w:name="_Toc289932325"/>
      <w:bookmarkStart w:id="1529" w:name="_Toc289933371"/>
      <w:bookmarkStart w:id="1530" w:name="_Toc291852934"/>
      <w:bookmarkStart w:id="1531" w:name="_Toc392515918"/>
      <w:r w:rsidRPr="00CB6CBA">
        <w:rPr>
          <w:lang w:val="en-US"/>
        </w:rPr>
        <w:t>5.1.3</w:t>
      </w:r>
      <w:r w:rsidRPr="00CB6CBA">
        <w:rPr>
          <w:lang w:val="en-US"/>
        </w:rPr>
        <w:tab/>
        <w:t>The Russian Federation’s experience with auctions</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rsidR="00CA3B52" w:rsidRPr="00CB6CBA" w:rsidRDefault="00CA3B52" w:rsidP="00CA3B52">
      <w:pPr>
        <w:rPr>
          <w:lang w:val="en-US"/>
        </w:rPr>
      </w:pPr>
      <w:r w:rsidRPr="00CB6CBA">
        <w:rPr>
          <w:lang w:val="en-US"/>
        </w:rPr>
        <w:t>With a view to improving the mechanism for charging for use of the spectrum, in February 1999 the Government of the Russian Federation adopted a decree stipulating that “after the entry into force of this decree, in respect of organizations applying for a licence or other authorization to use the radio</w:t>
      </w:r>
      <w:r w:rsidRPr="00CB6CBA">
        <w:rPr>
          <w:lang w:val="en-US"/>
        </w:rPr>
        <w:noBreakHyphen/>
        <w:t>frequency spectrum for the provision of cellular telephone services in bands above 1</w:t>
      </w:r>
      <w:r w:rsidRPr="00CB6CBA">
        <w:rPr>
          <w:rFonts w:ascii="Tms Rmn" w:hAnsi="Tms Rmn"/>
          <w:sz w:val="12"/>
          <w:lang w:val="en-US"/>
        </w:rPr>
        <w:t> </w:t>
      </w:r>
      <w:r w:rsidRPr="00CB6CBA">
        <w:rPr>
          <w:lang w:val="en-US"/>
        </w:rPr>
        <w:t>800 MHz and television programme distribution services using MMDS, LMDS and MVDS type systems, charges for use of the spectrum will be determined on the basis of the results of competitions for such licences or authorizations conducted under the procedure set by the Government of the Russian Federation” (see Note 1).</w:t>
      </w:r>
    </w:p>
    <w:p w:rsidR="00CA3B52" w:rsidRPr="00803E26" w:rsidRDefault="00CA3B52" w:rsidP="00CA3B52">
      <w:pPr>
        <w:pStyle w:val="Note"/>
        <w:rPr>
          <w:lang w:val="en-US"/>
        </w:rPr>
      </w:pPr>
      <w:r w:rsidRPr="00803E26">
        <w:rPr>
          <w:lang w:val="en-US"/>
        </w:rPr>
        <w:t>NOTE 1 – MMDS: multichannel multipoint distribution system, LMDS: local multipoint distribution system, MVDS: multipoint video distribution system.</w:t>
      </w:r>
    </w:p>
    <w:p w:rsidR="00CA3B52" w:rsidRPr="00CB6CBA" w:rsidRDefault="00CA3B52" w:rsidP="00CA3B52">
      <w:pPr>
        <w:rPr>
          <w:lang w:val="en-US"/>
        </w:rPr>
      </w:pPr>
      <w:r w:rsidRPr="00CB6CBA">
        <w:rPr>
          <w:lang w:val="en-US"/>
        </w:rPr>
        <w:t>In order to define the mechanism for competitive bidding, regulations were also adopted on the competitive award of licences for activities associated with the provision of these types of service. These regulations set forth the competitive procedure, conditions governing participation in the competition, financial arrangements and specifications for the issuing of licences on the basis of the results of the competition.</w:t>
      </w:r>
    </w:p>
    <w:p w:rsidR="00CA3B52" w:rsidRPr="00CB6CBA" w:rsidRDefault="00CA3B52" w:rsidP="00CA3B52">
      <w:pPr>
        <w:rPr>
          <w:lang w:val="en-US"/>
        </w:rPr>
      </w:pPr>
      <w:r w:rsidRPr="00CB6CBA">
        <w:rPr>
          <w:lang w:val="en-US"/>
        </w:rPr>
        <w:t>For the purpose of organizing and conducting competitions, the State Committee for Telecommunications of the Russian Federation (Gostelekom):</w:t>
      </w:r>
    </w:p>
    <w:p w:rsidR="00CA3B52" w:rsidRPr="00CB6CBA" w:rsidRDefault="00CA3B52" w:rsidP="00CA3B52">
      <w:pPr>
        <w:pStyle w:val="enumlev1"/>
        <w:rPr>
          <w:lang w:val="en-US"/>
        </w:rPr>
      </w:pPr>
      <w:r w:rsidRPr="00CB6CBA">
        <w:rPr>
          <w:lang w:val="en-US"/>
        </w:rPr>
        <w:t>–</w:t>
      </w:r>
      <w:r w:rsidRPr="00CB6CBA">
        <w:rPr>
          <w:lang w:val="en-US"/>
        </w:rPr>
        <w:tab/>
        <w:t>forms a commission, decides on its composition and, where necessary, attaches to it the necessary independent experts;</w:t>
      </w:r>
    </w:p>
    <w:p w:rsidR="00CA3B52" w:rsidRPr="00CB6CBA" w:rsidRDefault="00CA3B52" w:rsidP="00CA3B52">
      <w:pPr>
        <w:pStyle w:val="enumlev1"/>
        <w:rPr>
          <w:lang w:val="en-US"/>
        </w:rPr>
      </w:pPr>
      <w:r w:rsidRPr="00CB6CBA">
        <w:rPr>
          <w:lang w:val="en-US"/>
        </w:rPr>
        <w:t>–</w:t>
      </w:r>
      <w:r w:rsidRPr="00CB6CBA">
        <w:rPr>
          <w:lang w:val="en-US"/>
        </w:rPr>
        <w:tab/>
        <w:t>sets the amount of the minimum bid, based on the average annual income and profitability of cellular communication networks. The minimum bid will constitute the minimum annual charge for operations associated with the provision of cellular telephone services using radio frequencies;</w:t>
      </w:r>
    </w:p>
    <w:p w:rsidR="00CA3B52" w:rsidRPr="00CB6CBA" w:rsidRDefault="00CA3B52" w:rsidP="00CA3B52">
      <w:pPr>
        <w:pStyle w:val="enumlev1"/>
        <w:rPr>
          <w:lang w:val="en-US"/>
        </w:rPr>
      </w:pPr>
      <w:r w:rsidRPr="00CB6CBA">
        <w:rPr>
          <w:lang w:val="en-US"/>
        </w:rPr>
        <w:lastRenderedPageBreak/>
        <w:t>–</w:t>
      </w:r>
      <w:r w:rsidRPr="00CB6CBA">
        <w:rPr>
          <w:lang w:val="en-US"/>
        </w:rPr>
        <w:tab/>
        <w:t>organizes the preparation and publication of an information note on the holding of competitions;</w:t>
      </w:r>
    </w:p>
    <w:p w:rsidR="00CA3B52" w:rsidRPr="00CB6CBA" w:rsidRDefault="00CA3B52" w:rsidP="00CA3B52">
      <w:pPr>
        <w:pStyle w:val="enumlev1"/>
        <w:rPr>
          <w:lang w:val="en-US"/>
        </w:rPr>
      </w:pPr>
      <w:r w:rsidRPr="00CB6CBA">
        <w:rPr>
          <w:lang w:val="en-US"/>
        </w:rPr>
        <w:t>–</w:t>
      </w:r>
      <w:r w:rsidRPr="00CB6CBA">
        <w:rPr>
          <w:lang w:val="en-US"/>
        </w:rPr>
        <w:tab/>
        <w:t>receives applications from persons intending to take part in the competitions (hereinafter referred to as “candidates”), entering them in the register of applications in the order of receipt, with a corresponding registration number and an indication of when the documents were tendered (date, month, time in hours and minutes);</w:t>
      </w:r>
    </w:p>
    <w:p w:rsidR="00CA3B52" w:rsidRPr="00CB6CBA" w:rsidRDefault="00CA3B52" w:rsidP="00CA3B52">
      <w:pPr>
        <w:pStyle w:val="enumlev1"/>
        <w:rPr>
          <w:lang w:val="en-US"/>
        </w:rPr>
      </w:pPr>
      <w:r w:rsidRPr="00CB6CBA">
        <w:rPr>
          <w:lang w:val="en-US"/>
        </w:rPr>
        <w:t>–</w:t>
      </w:r>
      <w:r w:rsidRPr="00CB6CBA">
        <w:rPr>
          <w:lang w:val="en-US"/>
        </w:rPr>
        <w:tab/>
        <w:t>verifies that the documents submitted by candidates are in due and proper form;</w:t>
      </w:r>
    </w:p>
    <w:p w:rsidR="00CA3B52" w:rsidRPr="00CB6CBA" w:rsidRDefault="00CA3B52" w:rsidP="00CA3B52">
      <w:pPr>
        <w:pStyle w:val="enumlev1"/>
        <w:rPr>
          <w:lang w:val="en-US"/>
        </w:rPr>
      </w:pPr>
      <w:r w:rsidRPr="00CB6CBA">
        <w:rPr>
          <w:lang w:val="en-US"/>
        </w:rPr>
        <w:t>–</w:t>
      </w:r>
      <w:r w:rsidRPr="00CB6CBA">
        <w:rPr>
          <w:lang w:val="en-US"/>
        </w:rPr>
        <w:tab/>
        <w:t>organizes the receipt of deposits (in the amount of the designated minimum bid) from candidates.</w:t>
      </w:r>
    </w:p>
    <w:p w:rsidR="00CA3B52" w:rsidRPr="00CB6CBA" w:rsidRDefault="00CA3B52" w:rsidP="00CA3B52">
      <w:pPr>
        <w:rPr>
          <w:lang w:val="en-US"/>
        </w:rPr>
      </w:pPr>
      <w:r w:rsidRPr="00CB6CBA">
        <w:rPr>
          <w:lang w:val="en-US"/>
        </w:rPr>
        <w:t>The commission fulfils the following functions:</w:t>
      </w:r>
    </w:p>
    <w:p w:rsidR="00CA3B52" w:rsidRPr="00CB6CBA" w:rsidRDefault="00CA3B52" w:rsidP="00CA3B52">
      <w:pPr>
        <w:pStyle w:val="enumlev1"/>
        <w:rPr>
          <w:lang w:val="en-US"/>
        </w:rPr>
      </w:pPr>
      <w:r w:rsidRPr="00CB6CBA">
        <w:rPr>
          <w:lang w:val="en-US"/>
        </w:rPr>
        <w:t>–</w:t>
      </w:r>
      <w:r w:rsidRPr="00CB6CBA">
        <w:rPr>
          <w:lang w:val="en-US"/>
        </w:rPr>
        <w:tab/>
        <w:t>examines the information transmitted by Gostelekom (or its representative) on applications received;</w:t>
      </w:r>
    </w:p>
    <w:p w:rsidR="00CA3B52" w:rsidRPr="00CB6CBA" w:rsidRDefault="00CA3B52" w:rsidP="00CA3B52">
      <w:pPr>
        <w:pStyle w:val="enumlev1"/>
        <w:rPr>
          <w:lang w:val="en-US"/>
        </w:rPr>
      </w:pPr>
      <w:r w:rsidRPr="00CB6CBA">
        <w:rPr>
          <w:lang w:val="en-US"/>
        </w:rPr>
        <w:t>–</w:t>
      </w:r>
      <w:r w:rsidRPr="00CB6CBA">
        <w:rPr>
          <w:lang w:val="en-US"/>
        </w:rPr>
        <w:tab/>
        <w:t>examines the information transmitted by Gostelekom (or its representative) on the payment of deposits received from candidates and other documents and verifies their conformity with the requirements of Russian law;</w:t>
      </w:r>
    </w:p>
    <w:p w:rsidR="00CA3B52" w:rsidRPr="00CB6CBA" w:rsidRDefault="00CA3B52" w:rsidP="00CA3B52">
      <w:pPr>
        <w:pStyle w:val="enumlev1"/>
        <w:rPr>
          <w:lang w:val="en-US"/>
        </w:rPr>
      </w:pPr>
      <w:r w:rsidRPr="00CB6CBA">
        <w:rPr>
          <w:lang w:val="en-US"/>
        </w:rPr>
        <w:t>–</w:t>
      </w:r>
      <w:r w:rsidRPr="00CB6CBA">
        <w:rPr>
          <w:lang w:val="en-US"/>
        </w:rPr>
        <w:tab/>
        <w:t>upon expiration of the deadline for receipt of applications, on the basis of the information on applications received transmitted by Gostelekom (or its representative), draws up the official list of applications received;</w:t>
      </w:r>
    </w:p>
    <w:p w:rsidR="00CA3B52" w:rsidRPr="00CB6CBA" w:rsidRDefault="00CA3B52" w:rsidP="00CA3B52">
      <w:pPr>
        <w:pStyle w:val="enumlev1"/>
        <w:rPr>
          <w:lang w:val="en-US"/>
        </w:rPr>
      </w:pPr>
      <w:r w:rsidRPr="00CB6CBA">
        <w:rPr>
          <w:lang w:val="en-US"/>
        </w:rPr>
        <w:t>–</w:t>
      </w:r>
      <w:r w:rsidRPr="00CB6CBA">
        <w:rPr>
          <w:lang w:val="en-US"/>
        </w:rPr>
        <w:tab/>
        <w:t>makes a decision on whether or not to allow candidates to take part in the competition and draws up the official list of participants in the competition;</w:t>
      </w:r>
    </w:p>
    <w:p w:rsidR="00CA3B52" w:rsidRPr="00CB6CBA" w:rsidRDefault="00CA3B52" w:rsidP="00CA3B52">
      <w:pPr>
        <w:pStyle w:val="enumlev1"/>
        <w:rPr>
          <w:lang w:val="en-US"/>
        </w:rPr>
      </w:pPr>
      <w:r w:rsidRPr="00CB6CBA">
        <w:rPr>
          <w:lang w:val="en-US"/>
        </w:rPr>
        <w:t>–</w:t>
      </w:r>
      <w:r w:rsidRPr="00CB6CBA">
        <w:rPr>
          <w:lang w:val="en-US"/>
        </w:rPr>
        <w:tab/>
        <w:t>draws up the official record of the results of the competition.</w:t>
      </w:r>
    </w:p>
    <w:p w:rsidR="00CA3B52" w:rsidRPr="00CB6CBA" w:rsidRDefault="00CA3B52" w:rsidP="00CA3B52">
      <w:pPr>
        <w:rPr>
          <w:lang w:val="en-US"/>
        </w:rPr>
      </w:pPr>
      <w:r w:rsidRPr="00CB6CBA">
        <w:rPr>
          <w:lang w:val="en-US"/>
        </w:rPr>
        <w:t>Participation in the competition is open to businesses and individuals who have submitted an application to participate in the competition by the deadline, have submitted in due and proper form the requisite documents listed in the information note published concerning the holding of the competition, and have deposited the requisite sum of money within the specified time</w:t>
      </w:r>
      <w:r w:rsidRPr="00CB6CBA">
        <w:rPr>
          <w:lang w:val="en-US"/>
        </w:rPr>
        <w:noBreakHyphen/>
        <w:t>limit.</w:t>
      </w:r>
    </w:p>
    <w:p w:rsidR="00CA3B52" w:rsidRPr="00CB6CBA" w:rsidRDefault="00CA3B52" w:rsidP="00CA3B52">
      <w:pPr>
        <w:rPr>
          <w:lang w:val="en-US"/>
        </w:rPr>
      </w:pPr>
      <w:r w:rsidRPr="00CB6CBA">
        <w:rPr>
          <w:lang w:val="en-US"/>
        </w:rPr>
        <w:t>An application to participate in the competition from a candidate is deemed to constitute an expression of intent to take part in the competition under the conditions set in the regulations and published in the information note on the holding of the competition. The application form is endorsed by Gostelekom.</w:t>
      </w:r>
    </w:p>
    <w:p w:rsidR="00CA3B52" w:rsidRPr="00CB6CBA" w:rsidRDefault="00CA3B52" w:rsidP="00CA3B52">
      <w:pPr>
        <w:rPr>
          <w:lang w:val="en-US"/>
        </w:rPr>
      </w:pPr>
      <w:r w:rsidRPr="00CB6CBA">
        <w:rPr>
          <w:lang w:val="en-US"/>
        </w:rPr>
        <w:t>The deposit indicated in the information note pertaining to the competition will be transferred to one of the accounts indicated in the information note after submissi</w:t>
      </w:r>
      <w:r>
        <w:rPr>
          <w:lang w:val="en-US"/>
        </w:rPr>
        <w:t>on of the application form. The </w:t>
      </w:r>
      <w:r w:rsidRPr="00CB6CBA">
        <w:rPr>
          <w:lang w:val="en-US"/>
        </w:rPr>
        <w:t>number of the application will be indicated on the payment order.</w:t>
      </w:r>
    </w:p>
    <w:p w:rsidR="00CA3B52" w:rsidRPr="00CB6CBA" w:rsidRDefault="00CA3B52" w:rsidP="00CA3B52">
      <w:pPr>
        <w:rPr>
          <w:lang w:val="en-US"/>
        </w:rPr>
      </w:pPr>
      <w:r w:rsidRPr="00CB6CBA">
        <w:rPr>
          <w:lang w:val="en-US"/>
        </w:rPr>
        <w:t>Confirmation of receipt of deposits in the accounts opened with participating banks: Confirmation of the deposit must be provided to the commission before candidates are recognized as participants in the competition. A candidate assumes the status of participant when the members of the commission sign the official list of participants in the competition.</w:t>
      </w:r>
    </w:p>
    <w:p w:rsidR="00CA3B52" w:rsidRPr="00CB6CBA" w:rsidRDefault="00CA3B52" w:rsidP="00F65451">
      <w:pPr>
        <w:rPr>
          <w:lang w:val="en-US"/>
        </w:rPr>
      </w:pPr>
      <w:r w:rsidRPr="00CB6CBA">
        <w:rPr>
          <w:lang w:val="en-US"/>
        </w:rPr>
        <w:t>In order to determine the winner of the competition, the chairman of the commission opens the bid envelopes in the presence of the members of the commission and representatives of the candidates and announces the proposed amounts of the annual payment. The highest bidder wins. In the event of identical bids, the winner shall be the candidate that submitted its bid earlier.</w:t>
      </w:r>
    </w:p>
    <w:p w:rsidR="00CA3B52" w:rsidRPr="00CB6CBA" w:rsidRDefault="00CA3B52" w:rsidP="00F65451">
      <w:pPr>
        <w:rPr>
          <w:lang w:val="en-US"/>
        </w:rPr>
      </w:pPr>
      <w:r w:rsidRPr="00CB6CBA">
        <w:rPr>
          <w:lang w:val="en-US"/>
        </w:rPr>
        <w:t>The deposits of participants who do not win the competition are returned to them within 15 days after identification of the winner of the competition.</w:t>
      </w:r>
    </w:p>
    <w:p w:rsidR="00CA3B52" w:rsidRPr="00CB6CBA" w:rsidRDefault="00CA3B52" w:rsidP="00F65451">
      <w:pPr>
        <w:rPr>
          <w:lang w:val="en-US"/>
        </w:rPr>
      </w:pPr>
      <w:r w:rsidRPr="00CB6CBA">
        <w:rPr>
          <w:lang w:val="en-US"/>
        </w:rPr>
        <w:t>Upon receipt of the transfer of the full annual payment (equal to the winning bid) from the winner to the account indicated in the information note, the State Committee for Telecommunications of the Russian Federation grants the licence under the established procedure.</w:t>
      </w:r>
    </w:p>
    <w:p w:rsidR="00CA3B52" w:rsidRPr="00CB6CBA" w:rsidRDefault="00CA3B52" w:rsidP="00F65451">
      <w:pPr>
        <w:rPr>
          <w:lang w:val="en-US"/>
        </w:rPr>
      </w:pPr>
      <w:r w:rsidRPr="00CB6CBA">
        <w:rPr>
          <w:lang w:val="en-US"/>
        </w:rPr>
        <w:lastRenderedPageBreak/>
        <w:t>The annual charge payable by the winner of the competition is distributed as follows:</w:t>
      </w:r>
    </w:p>
    <w:p w:rsidR="00CA3B52" w:rsidRPr="00CB6CBA" w:rsidRDefault="00CA3B52" w:rsidP="00CA3B52">
      <w:pPr>
        <w:pStyle w:val="enumlev1"/>
        <w:rPr>
          <w:lang w:val="en-US"/>
        </w:rPr>
      </w:pPr>
      <w:r w:rsidRPr="00CB6CBA">
        <w:rPr>
          <w:lang w:val="en-US"/>
        </w:rPr>
        <w:t>–</w:t>
      </w:r>
      <w:r w:rsidRPr="00CB6CBA">
        <w:rPr>
          <w:lang w:val="en-US"/>
        </w:rPr>
        <w:tab/>
        <w:t>80% as income to the federal budget, to be used in equal proportions to finance the Ministry of Defence of the Russian Federation (to cover expenses associated with releasing frequency bands) and the Russian Space Agency.</w:t>
      </w:r>
    </w:p>
    <w:p w:rsidR="00CA3B52" w:rsidRPr="00CB6CBA" w:rsidRDefault="00CA3B52" w:rsidP="00F65451">
      <w:pPr>
        <w:pStyle w:val="enumlev1"/>
        <w:rPr>
          <w:lang w:val="en-US"/>
        </w:rPr>
      </w:pPr>
      <w:r w:rsidRPr="00CB6CBA">
        <w:rPr>
          <w:lang w:val="en-US"/>
        </w:rPr>
        <w:t>–</w:t>
      </w:r>
      <w:r w:rsidRPr="00CB6CBA">
        <w:rPr>
          <w:lang w:val="en-US"/>
        </w:rPr>
        <w:tab/>
        <w:t>10% as income to the budget of the unit of the Russian Federation in whose territory the licence is valid (if the licence covers the territory of several units of the Russian Federation, the amount is divided among them proportionate to their populations).</w:t>
      </w:r>
    </w:p>
    <w:p w:rsidR="00CA3B52" w:rsidRPr="00CB6CBA" w:rsidRDefault="00CA3B52" w:rsidP="00F65451">
      <w:pPr>
        <w:pStyle w:val="enumlev1"/>
        <w:rPr>
          <w:lang w:val="en-US"/>
        </w:rPr>
      </w:pPr>
      <w:r w:rsidRPr="00CB6CBA">
        <w:rPr>
          <w:lang w:val="en-US"/>
        </w:rPr>
        <w:t>–</w:t>
      </w:r>
      <w:r w:rsidRPr="00CB6CBA">
        <w:rPr>
          <w:lang w:val="en-US"/>
        </w:rPr>
        <w:tab/>
        <w:t>10% to Gostelekom to cover expenses incurred for licensing and the holding of competitions, for registration of radio frequencies and for monitoring services.</w:t>
      </w:r>
    </w:p>
    <w:p w:rsidR="00CA3B52" w:rsidRPr="0024702C" w:rsidRDefault="00CA3B52" w:rsidP="00CA3B52">
      <w:pPr>
        <w:pStyle w:val="Headingb"/>
        <w:rPr>
          <w:rFonts w:ascii="Times" w:hAnsi="Times"/>
          <w:lang w:val="en-GB"/>
        </w:rPr>
      </w:pPr>
      <w:bookmarkStart w:id="1532" w:name="_Toc497033199"/>
      <w:bookmarkStart w:id="1533" w:name="_Toc497033997"/>
      <w:bookmarkStart w:id="1534" w:name="_Toc459746729"/>
      <w:r w:rsidRPr="0024702C">
        <w:rPr>
          <w:lang w:val="en-GB"/>
        </w:rPr>
        <w:t>A method for determining the minimum bid based on an evaluation of the “shadow price” of the radio</w:t>
      </w:r>
      <w:r w:rsidRPr="0024702C">
        <w:rPr>
          <w:lang w:val="en-US"/>
        </w:rPr>
        <w:noBreakHyphen/>
      </w:r>
      <w:r w:rsidRPr="0024702C">
        <w:rPr>
          <w:lang w:val="en-GB"/>
        </w:rPr>
        <w:t>frequency spectrum</w:t>
      </w:r>
      <w:bookmarkEnd w:id="1532"/>
      <w:bookmarkEnd w:id="1533"/>
      <w:bookmarkEnd w:id="1534"/>
    </w:p>
    <w:p w:rsidR="00CA3B52" w:rsidRPr="00CB6CBA" w:rsidRDefault="00CA3B52" w:rsidP="00CA3B52">
      <w:pPr>
        <w:rPr>
          <w:lang w:val="en-US"/>
        </w:rPr>
      </w:pPr>
      <w:r w:rsidRPr="00CB6CBA">
        <w:rPr>
          <w:lang w:val="en-US"/>
        </w:rPr>
        <w:t>While the Russian Federation has not actually conducted an auction the administration has developed a method for determining the minimum bid</w:t>
      </w:r>
      <w:r w:rsidRPr="00CB6CBA">
        <w:rPr>
          <w:rStyle w:val="FootnoteReference"/>
          <w:lang w:val="en-US"/>
        </w:rPr>
        <w:footnoteReference w:id="7"/>
      </w:r>
      <w:r w:rsidRPr="00CB6CBA">
        <w:rPr>
          <w:lang w:val="en-US"/>
        </w:rPr>
        <w:t>. The proposed method hinges on an evaluation of the income index of the mobile communication network as a function of the system bandwidth. This income index provides a gauge of the annual effect of investment in the project with regard to a particular monetary unit, in this case USD 1.</w:t>
      </w:r>
    </w:p>
    <w:p w:rsidR="00CA3B52" w:rsidRPr="00CB6CBA" w:rsidRDefault="00CA3B52" w:rsidP="00F65451">
      <w:pPr>
        <w:rPr>
          <w:lang w:val="en-US"/>
        </w:rPr>
      </w:pPr>
      <w:r w:rsidRPr="00CB6CBA">
        <w:rPr>
          <w:lang w:val="en-US"/>
        </w:rPr>
        <w:t>The basic data required to carry out the analysis may be divided into three groups:</w:t>
      </w:r>
    </w:p>
    <w:p w:rsidR="00CA3B52" w:rsidRPr="00CB6CBA" w:rsidRDefault="00CA3B52" w:rsidP="00CA3B52">
      <w:pPr>
        <w:pStyle w:val="enumlev1"/>
        <w:rPr>
          <w:lang w:val="en-US"/>
        </w:rPr>
      </w:pPr>
      <w:r w:rsidRPr="00CB6CBA">
        <w:rPr>
          <w:lang w:val="en-US"/>
        </w:rPr>
        <w:t>–</w:t>
      </w:r>
      <w:r w:rsidRPr="00CB6CBA">
        <w:rPr>
          <w:lang w:val="en-US"/>
        </w:rPr>
        <w:tab/>
        <w:t>data pertaining to the network’s frequency plan;</w:t>
      </w:r>
    </w:p>
    <w:p w:rsidR="00CA3B52" w:rsidRPr="00CB6CBA" w:rsidRDefault="00CA3B52" w:rsidP="00F65451">
      <w:pPr>
        <w:pStyle w:val="enumlev1"/>
        <w:rPr>
          <w:lang w:val="en-US"/>
        </w:rPr>
      </w:pPr>
      <w:r w:rsidRPr="00CB6CBA">
        <w:rPr>
          <w:lang w:val="en-US"/>
        </w:rPr>
        <w:t>–</w:t>
      </w:r>
      <w:r w:rsidRPr="00CB6CBA">
        <w:rPr>
          <w:lang w:val="en-US"/>
        </w:rPr>
        <w:tab/>
        <w:t>parameters defining the required volume of investment to set up the network;</w:t>
      </w:r>
    </w:p>
    <w:p w:rsidR="00CA3B52" w:rsidRPr="00CB6CBA" w:rsidRDefault="00CA3B52" w:rsidP="00F65451">
      <w:pPr>
        <w:pStyle w:val="enumlev1"/>
        <w:rPr>
          <w:lang w:val="en-US"/>
        </w:rPr>
      </w:pPr>
      <w:r w:rsidRPr="00CB6CBA">
        <w:rPr>
          <w:lang w:val="en-US"/>
        </w:rPr>
        <w:t>–</w:t>
      </w:r>
      <w:r w:rsidRPr="00CB6CBA">
        <w:rPr>
          <w:lang w:val="en-US"/>
        </w:rPr>
        <w:tab/>
        <w:t>parameters defining income from operation of the network.</w:t>
      </w:r>
    </w:p>
    <w:p w:rsidR="00CA3B52" w:rsidRPr="00CB6CBA" w:rsidRDefault="00CA3B52" w:rsidP="00CA3B52">
      <w:pPr>
        <w:rPr>
          <w:lang w:val="en-US"/>
        </w:rPr>
      </w:pPr>
      <w:r w:rsidRPr="00CB6CBA">
        <w:rPr>
          <w:lang w:val="en-US"/>
        </w:rPr>
        <w:t>In the following example the technical parameters of a GSM cellular network are used. Nevertheless, the method can be applied to other cellular and trunking network standards.</w:t>
      </w:r>
    </w:p>
    <w:p w:rsidR="00CA3B52" w:rsidRPr="00CB6CBA" w:rsidRDefault="00CA3B52" w:rsidP="00CA3B52">
      <w:pPr>
        <w:pStyle w:val="enumlev1"/>
        <w:rPr>
          <w:lang w:val="en-US"/>
        </w:rPr>
      </w:pPr>
      <w:r w:rsidRPr="00CB6CBA">
        <w:rPr>
          <w:lang w:val="en-US"/>
        </w:rPr>
        <w:t>a)</w:t>
      </w:r>
      <w:r w:rsidRPr="00CB6CBA">
        <w:rPr>
          <w:lang w:val="en-US"/>
        </w:rPr>
        <w:tab/>
      </w:r>
      <w:r w:rsidRPr="00CB6CBA">
        <w:rPr>
          <w:i/>
          <w:iCs/>
          <w:lang w:val="en-US"/>
        </w:rPr>
        <w:t>Number of base stations (BS) in the mobile network as a function of the bandwidth</w:t>
      </w:r>
    </w:p>
    <w:p w:rsidR="00CA3B52" w:rsidRPr="00CB6CBA" w:rsidRDefault="00CA3B52" w:rsidP="00CA3B52">
      <w:pPr>
        <w:rPr>
          <w:lang w:val="en-US"/>
        </w:rPr>
      </w:pPr>
      <w:r w:rsidRPr="00CB6CBA">
        <w:rPr>
          <w:lang w:val="en-US"/>
        </w:rPr>
        <w:t>The first group of basic data includes the parameters shown in Table 14, which are used to determine the following key parameters of the mobile communication network:</w:t>
      </w:r>
    </w:p>
    <w:p w:rsidR="00CA3B52" w:rsidRPr="00CB6CBA" w:rsidRDefault="00CA3B52" w:rsidP="00CA3B52">
      <w:pPr>
        <w:pStyle w:val="enumlev1"/>
        <w:rPr>
          <w:lang w:val="en-US"/>
        </w:rPr>
      </w:pPr>
      <w:r w:rsidRPr="00CB6CBA">
        <w:rPr>
          <w:lang w:val="en-US"/>
        </w:rPr>
        <w:tab/>
      </w:r>
      <w:r w:rsidRPr="00CB6CBA">
        <w:rPr>
          <w:i/>
          <w:iCs/>
          <w:lang w:val="en-US"/>
        </w:rPr>
        <w:t>N</w:t>
      </w:r>
      <w:r w:rsidRPr="00CB6CBA">
        <w:rPr>
          <w:lang w:val="en-US"/>
        </w:rPr>
        <w:t>:</w:t>
      </w:r>
      <w:r w:rsidRPr="00CB6CBA">
        <w:rPr>
          <w:lang w:val="en-US"/>
        </w:rPr>
        <w:tab/>
        <w:t>cluster size</w:t>
      </w:r>
    </w:p>
    <w:p w:rsidR="00CA3B52" w:rsidRPr="00CB6CBA" w:rsidRDefault="00CA3B52" w:rsidP="00F65451">
      <w:pPr>
        <w:pStyle w:val="enumlev1"/>
        <w:rPr>
          <w:lang w:val="en-US"/>
        </w:rPr>
      </w:pPr>
      <w:r w:rsidRPr="00CB6CBA">
        <w:rPr>
          <w:lang w:val="en-US"/>
        </w:rPr>
        <w:tab/>
      </w:r>
      <w:r w:rsidRPr="00CB6CBA">
        <w:rPr>
          <w:i/>
          <w:iCs/>
          <w:lang w:val="en-US"/>
        </w:rPr>
        <w:t>C</w:t>
      </w:r>
      <w:r w:rsidRPr="00CB6CBA">
        <w:rPr>
          <w:lang w:val="en-US"/>
        </w:rPr>
        <w:t>:</w:t>
      </w:r>
      <w:r w:rsidRPr="00CB6CBA">
        <w:rPr>
          <w:lang w:val="en-US"/>
        </w:rPr>
        <w:tab/>
        <w:t>number of BS that have to be installed in a town</w:t>
      </w:r>
    </w:p>
    <w:p w:rsidR="00CA3B52" w:rsidRPr="00CB6CBA" w:rsidRDefault="00CA3B52" w:rsidP="00F65451">
      <w:pPr>
        <w:pStyle w:val="enumlev1"/>
        <w:rPr>
          <w:lang w:val="en-US"/>
        </w:rPr>
      </w:pPr>
      <w:r w:rsidRPr="00CB6CBA">
        <w:rPr>
          <w:lang w:val="en-US"/>
        </w:rPr>
        <w:tab/>
      </w:r>
      <w:r w:rsidRPr="00CB6CBA">
        <w:rPr>
          <w:i/>
          <w:iCs/>
          <w:lang w:val="en-US"/>
        </w:rPr>
        <w:t>n</w:t>
      </w:r>
      <w:r w:rsidRPr="00CB6CBA">
        <w:rPr>
          <w:i/>
          <w:iCs/>
          <w:position w:val="-4"/>
          <w:sz w:val="16"/>
          <w:lang w:val="en-US"/>
        </w:rPr>
        <w:t>c</w:t>
      </w:r>
      <w:r w:rsidRPr="00CB6CBA">
        <w:rPr>
          <w:lang w:val="en-US"/>
        </w:rPr>
        <w:t>:</w:t>
      </w:r>
      <w:r w:rsidRPr="00CB6CBA">
        <w:rPr>
          <w:lang w:val="en-US"/>
        </w:rPr>
        <w:tab/>
        <w:t>number of telephone channels.</w:t>
      </w:r>
    </w:p>
    <w:p w:rsidR="00447D7D" w:rsidRDefault="00447D7D">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CA3B52" w:rsidRPr="00CB6CBA" w:rsidRDefault="00CA3B52" w:rsidP="00CA3B52">
      <w:pPr>
        <w:pStyle w:val="TableNo"/>
        <w:keepLines/>
        <w:rPr>
          <w:lang w:val="en-US"/>
        </w:rPr>
      </w:pPr>
      <w:r w:rsidRPr="00CB6CBA">
        <w:rPr>
          <w:lang w:val="en-US"/>
        </w:rPr>
        <w:lastRenderedPageBreak/>
        <w:t>TABLE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006"/>
        <w:gridCol w:w="7070"/>
        <w:gridCol w:w="1563"/>
      </w:tblGrid>
      <w:tr w:rsidR="00CA3B52" w:rsidRPr="00CB6CBA" w:rsidTr="006D51AA">
        <w:trPr>
          <w:cantSplit/>
          <w:jc w:val="center"/>
        </w:trPr>
        <w:tc>
          <w:tcPr>
            <w:tcW w:w="1006" w:type="dxa"/>
            <w:vAlign w:val="center"/>
          </w:tcPr>
          <w:p w:rsidR="00CA3B52" w:rsidRPr="00CB6CBA" w:rsidRDefault="00CA3B52" w:rsidP="00447D7D">
            <w:pPr>
              <w:pStyle w:val="Tablehead"/>
              <w:keepLines/>
              <w:rPr>
                <w:i/>
                <w:iCs/>
                <w:sz w:val="20"/>
                <w:lang w:val="en-US"/>
              </w:rPr>
            </w:pPr>
            <w:r w:rsidRPr="00CB6CBA">
              <w:rPr>
                <w:lang w:val="en-US"/>
              </w:rPr>
              <w:t>Symbol</w:t>
            </w:r>
          </w:p>
        </w:tc>
        <w:tc>
          <w:tcPr>
            <w:tcW w:w="7070" w:type="dxa"/>
            <w:vAlign w:val="center"/>
          </w:tcPr>
          <w:p w:rsidR="00CA3B52" w:rsidRPr="00CB6CBA" w:rsidRDefault="00CA3B52" w:rsidP="002D1D5C">
            <w:pPr>
              <w:pStyle w:val="Tablehead"/>
              <w:keepLines/>
              <w:rPr>
                <w:sz w:val="20"/>
                <w:lang w:val="en-US"/>
              </w:rPr>
            </w:pPr>
            <w:r w:rsidRPr="00CB6CBA">
              <w:rPr>
                <w:lang w:val="en-US"/>
              </w:rPr>
              <w:t>Parameter</w:t>
            </w:r>
          </w:p>
        </w:tc>
        <w:tc>
          <w:tcPr>
            <w:tcW w:w="1563" w:type="dxa"/>
          </w:tcPr>
          <w:p w:rsidR="00CA3B52" w:rsidRPr="00CB6CBA" w:rsidRDefault="00CA3B52" w:rsidP="002D1D5C">
            <w:pPr>
              <w:pStyle w:val="Tablehead"/>
              <w:keepLines/>
              <w:rPr>
                <w:sz w:val="20"/>
                <w:lang w:val="en-US"/>
              </w:rPr>
            </w:pPr>
            <w:r w:rsidRPr="00CB6CBA">
              <w:rPr>
                <w:lang w:val="en-US"/>
              </w:rPr>
              <w:t>Calculated value</w:t>
            </w:r>
          </w:p>
        </w:tc>
      </w:tr>
      <w:tr w:rsidR="00CA3B52" w:rsidRPr="00CB6CBA" w:rsidTr="006D51AA">
        <w:trPr>
          <w:cantSplit/>
          <w:jc w:val="center"/>
        </w:trPr>
        <w:tc>
          <w:tcPr>
            <w:tcW w:w="1006" w:type="dxa"/>
          </w:tcPr>
          <w:p w:rsidR="00CA3B52" w:rsidRPr="004A286A" w:rsidRDefault="00CA3B52" w:rsidP="00447D7D">
            <w:pPr>
              <w:pStyle w:val="Tabletext"/>
              <w:jc w:val="center"/>
              <w:rPr>
                <w:lang w:val="en-US"/>
              </w:rPr>
            </w:pPr>
            <w:r w:rsidRPr="004A286A">
              <w:rPr>
                <w:i/>
                <w:iCs/>
                <w:szCs w:val="22"/>
                <w:lang w:val="en-US"/>
              </w:rPr>
              <w:t>F</w:t>
            </w:r>
          </w:p>
        </w:tc>
        <w:tc>
          <w:tcPr>
            <w:tcW w:w="7070" w:type="dxa"/>
          </w:tcPr>
          <w:p w:rsidR="00CA3B52" w:rsidRPr="004A286A" w:rsidRDefault="00CA3B52" w:rsidP="00447D7D">
            <w:pPr>
              <w:pStyle w:val="Tabletext"/>
              <w:rPr>
                <w:lang w:val="en-US"/>
              </w:rPr>
            </w:pPr>
            <w:r w:rsidRPr="004A286A">
              <w:rPr>
                <w:lang w:val="en-US"/>
              </w:rPr>
              <w:t>Bandwidth for the mobile network in the service area</w:t>
            </w:r>
          </w:p>
        </w:tc>
        <w:tc>
          <w:tcPr>
            <w:tcW w:w="1563" w:type="dxa"/>
          </w:tcPr>
          <w:p w:rsidR="00CA3B52" w:rsidRPr="004A286A" w:rsidRDefault="00CA3B52" w:rsidP="00447D7D">
            <w:pPr>
              <w:pStyle w:val="Tabletext"/>
              <w:rPr>
                <w:lang w:val="en-US"/>
              </w:rPr>
            </w:pPr>
            <w:r w:rsidRPr="004A286A">
              <w:rPr>
                <w:lang w:val="en-US"/>
              </w:rPr>
              <w:t>2-25 MHz</w:t>
            </w:r>
          </w:p>
        </w:tc>
      </w:tr>
      <w:tr w:rsidR="00CA3B52" w:rsidRPr="00CB6CBA" w:rsidTr="006D51AA">
        <w:trPr>
          <w:cantSplit/>
          <w:jc w:val="center"/>
        </w:trPr>
        <w:tc>
          <w:tcPr>
            <w:tcW w:w="1006" w:type="dxa"/>
          </w:tcPr>
          <w:p w:rsidR="00CA3B52" w:rsidRPr="004A286A" w:rsidRDefault="00CA3B52" w:rsidP="00447D7D">
            <w:pPr>
              <w:pStyle w:val="Tabletext"/>
              <w:jc w:val="center"/>
              <w:rPr>
                <w:lang w:val="en-US"/>
              </w:rPr>
            </w:pPr>
            <w:r w:rsidRPr="004A286A">
              <w:rPr>
                <w:i/>
                <w:iCs/>
                <w:szCs w:val="22"/>
                <w:lang w:val="en-US"/>
              </w:rPr>
              <w:t>F</w:t>
            </w:r>
            <w:r w:rsidRPr="004A286A">
              <w:rPr>
                <w:i/>
                <w:iCs/>
                <w:szCs w:val="22"/>
                <w:vertAlign w:val="subscript"/>
                <w:lang w:val="en-US"/>
              </w:rPr>
              <w:t>k</w:t>
            </w:r>
          </w:p>
        </w:tc>
        <w:tc>
          <w:tcPr>
            <w:tcW w:w="7070" w:type="dxa"/>
          </w:tcPr>
          <w:p w:rsidR="00CA3B52" w:rsidRPr="004A286A" w:rsidRDefault="00CA3B52" w:rsidP="00447D7D">
            <w:pPr>
              <w:pStyle w:val="Tabletext"/>
              <w:rPr>
                <w:lang w:val="en-US"/>
              </w:rPr>
            </w:pPr>
            <w:r w:rsidRPr="004A286A">
              <w:rPr>
                <w:lang w:val="en-US"/>
              </w:rPr>
              <w:t>Channel bandwidth of the mobile network system (for NMT, AMPS</w:t>
            </w:r>
            <w:r w:rsidRPr="004A286A">
              <w:rPr>
                <w:lang w:val="en-US"/>
              </w:rPr>
              <w:noBreakHyphen/>
              <w:t xml:space="preserve">D and GSM systems, </w:t>
            </w:r>
            <w:r w:rsidRPr="004A286A">
              <w:rPr>
                <w:i/>
                <w:iCs/>
                <w:lang w:val="en-US"/>
              </w:rPr>
              <w:t>F</w:t>
            </w:r>
            <w:r w:rsidRPr="004A286A">
              <w:rPr>
                <w:i/>
                <w:iCs/>
                <w:vertAlign w:val="subscript"/>
                <w:lang w:val="en-US"/>
              </w:rPr>
              <w:t>k</w:t>
            </w:r>
            <w:r w:rsidRPr="004A286A">
              <w:rPr>
                <w:lang w:val="en-US"/>
              </w:rPr>
              <w:t> </w:t>
            </w:r>
            <w:r>
              <w:rPr>
                <w:lang w:val="en-US"/>
              </w:rPr>
              <w:t>=</w:t>
            </w:r>
            <w:r w:rsidRPr="004A286A">
              <w:rPr>
                <w:lang w:val="en-US"/>
              </w:rPr>
              <w:t> 25, 300 and 200 kHz, respectively)</w:t>
            </w:r>
          </w:p>
        </w:tc>
        <w:tc>
          <w:tcPr>
            <w:tcW w:w="1563" w:type="dxa"/>
          </w:tcPr>
          <w:p w:rsidR="00CA3B52" w:rsidRPr="004A286A" w:rsidRDefault="00CA3B52" w:rsidP="00447D7D">
            <w:pPr>
              <w:pStyle w:val="Tabletext"/>
              <w:rPr>
                <w:lang w:val="en-US"/>
              </w:rPr>
            </w:pPr>
            <w:r w:rsidRPr="004A286A">
              <w:rPr>
                <w:lang w:val="en-US"/>
              </w:rPr>
              <w:t>0.2 MHz</w:t>
            </w:r>
          </w:p>
        </w:tc>
      </w:tr>
      <w:tr w:rsidR="00CA3B52" w:rsidRPr="00CB6CBA" w:rsidTr="006D51AA">
        <w:trPr>
          <w:cantSplit/>
          <w:jc w:val="center"/>
        </w:trPr>
        <w:tc>
          <w:tcPr>
            <w:tcW w:w="1006" w:type="dxa"/>
          </w:tcPr>
          <w:p w:rsidR="00CA3B52" w:rsidRPr="00447D7D" w:rsidRDefault="00CA3B52" w:rsidP="00F65451">
            <w:pPr>
              <w:pStyle w:val="Tabletext"/>
              <w:jc w:val="center"/>
              <w:rPr>
                <w:i/>
                <w:iCs/>
                <w:lang w:val="en-US"/>
              </w:rPr>
            </w:pPr>
            <w:r w:rsidRPr="00447D7D">
              <w:rPr>
                <w:i/>
                <w:iCs/>
                <w:lang w:val="en-US"/>
              </w:rPr>
              <w:t>M</w:t>
            </w:r>
          </w:p>
        </w:tc>
        <w:tc>
          <w:tcPr>
            <w:tcW w:w="7070" w:type="dxa"/>
          </w:tcPr>
          <w:p w:rsidR="00CA3B52" w:rsidRPr="004A286A" w:rsidRDefault="00CA3B52" w:rsidP="00F65451">
            <w:pPr>
              <w:pStyle w:val="Tabletext"/>
              <w:rPr>
                <w:lang w:val="en-US"/>
              </w:rPr>
            </w:pPr>
            <w:r w:rsidRPr="004A286A">
              <w:rPr>
                <w:lang w:val="en-US"/>
              </w:rPr>
              <w:t>Number of sectors served in one cell (</w:t>
            </w:r>
            <w:r w:rsidRPr="004A286A">
              <w:rPr>
                <w:i/>
                <w:iCs/>
                <w:lang w:val="en-US"/>
              </w:rPr>
              <w:t>M</w:t>
            </w:r>
            <w:r w:rsidRPr="004A286A">
              <w:rPr>
                <w:lang w:val="en-US"/>
              </w:rPr>
              <w:t> </w:t>
            </w:r>
            <w:r>
              <w:rPr>
                <w:lang w:val="en-US"/>
              </w:rPr>
              <w:t>=</w:t>
            </w:r>
            <w:r w:rsidRPr="004A286A">
              <w:rPr>
                <w:lang w:val="en-US"/>
              </w:rPr>
              <w:t> 1 for</w:t>
            </w:r>
            <w:r>
              <w:rPr>
                <w:lang w:val="en-US"/>
              </w:rPr>
              <w:t xml:space="preserve"> </w:t>
            </w:r>
            <w:r>
              <w:rPr>
                <w:lang w:val="en-US"/>
              </w:rPr>
              <w:sym w:font="Symbol" w:char="F071"/>
            </w:r>
            <w:r w:rsidRPr="004A286A">
              <w:rPr>
                <w:lang w:val="en-US"/>
              </w:rPr>
              <w:t> </w:t>
            </w:r>
            <w:r>
              <w:rPr>
                <w:lang w:val="en-US"/>
              </w:rPr>
              <w:t>=</w:t>
            </w:r>
            <w:r w:rsidRPr="004A286A">
              <w:rPr>
                <w:lang w:val="en-US"/>
              </w:rPr>
              <w:t> 360</w:t>
            </w:r>
            <w:r w:rsidRPr="004A286A">
              <w:rPr>
                <w:rFonts w:ascii="Symbol" w:hAnsi="Symbol"/>
                <w:lang w:val="en-US"/>
              </w:rPr>
              <w:t></w:t>
            </w:r>
            <w:r w:rsidRPr="004A286A">
              <w:rPr>
                <w:lang w:val="en-US"/>
              </w:rPr>
              <w:t xml:space="preserve">; </w:t>
            </w:r>
            <w:r w:rsidRPr="004A286A">
              <w:rPr>
                <w:i/>
                <w:iCs/>
                <w:lang w:val="en-US"/>
              </w:rPr>
              <w:t>M</w:t>
            </w:r>
            <w:r w:rsidRPr="004A286A">
              <w:rPr>
                <w:lang w:val="en-US"/>
              </w:rPr>
              <w:t> </w:t>
            </w:r>
            <w:r>
              <w:rPr>
                <w:lang w:val="en-US"/>
              </w:rPr>
              <w:t>=</w:t>
            </w:r>
            <w:r w:rsidRPr="004A286A">
              <w:rPr>
                <w:lang w:val="en-US"/>
              </w:rPr>
              <w:t> 3 for</w:t>
            </w:r>
            <w:r>
              <w:rPr>
                <w:lang w:val="en-US"/>
              </w:rPr>
              <w:t xml:space="preserve"> </w:t>
            </w:r>
            <w:r>
              <w:rPr>
                <w:lang w:val="en-US"/>
              </w:rPr>
              <w:sym w:font="Symbol" w:char="F071"/>
            </w:r>
            <w:r w:rsidRPr="004A286A">
              <w:rPr>
                <w:lang w:val="en-US"/>
              </w:rPr>
              <w:t> </w:t>
            </w:r>
            <w:r>
              <w:rPr>
                <w:lang w:val="en-US"/>
              </w:rPr>
              <w:t>=</w:t>
            </w:r>
            <w:r w:rsidRPr="004A286A">
              <w:rPr>
                <w:lang w:val="en-US"/>
              </w:rPr>
              <w:t> 120</w:t>
            </w:r>
            <w:r w:rsidRPr="004A286A">
              <w:rPr>
                <w:rFonts w:ascii="Symbol" w:hAnsi="Symbol"/>
                <w:lang w:val="en-US"/>
              </w:rPr>
              <w:t></w:t>
            </w:r>
            <w:r w:rsidRPr="004A286A">
              <w:rPr>
                <w:lang w:val="en-US"/>
              </w:rPr>
              <w:t xml:space="preserve">; </w:t>
            </w:r>
            <w:r w:rsidRPr="004A286A">
              <w:rPr>
                <w:i/>
                <w:iCs/>
                <w:lang w:val="en-US"/>
              </w:rPr>
              <w:t>M</w:t>
            </w:r>
            <w:r w:rsidRPr="004A286A">
              <w:rPr>
                <w:lang w:val="en-US"/>
              </w:rPr>
              <w:t> </w:t>
            </w:r>
            <w:r>
              <w:rPr>
                <w:lang w:val="en-US"/>
              </w:rPr>
              <w:t>=</w:t>
            </w:r>
            <w:r w:rsidRPr="004A286A">
              <w:rPr>
                <w:lang w:val="en-US"/>
              </w:rPr>
              <w:t> 6 for</w:t>
            </w:r>
            <w:r>
              <w:rPr>
                <w:lang w:val="en-US"/>
              </w:rPr>
              <w:t xml:space="preserve"> </w:t>
            </w:r>
            <w:r>
              <w:rPr>
                <w:lang w:val="en-US"/>
              </w:rPr>
              <w:sym w:font="Symbol" w:char="F071"/>
            </w:r>
            <w:r>
              <w:rPr>
                <w:lang w:val="en-US"/>
              </w:rPr>
              <w:t> =</w:t>
            </w:r>
            <w:r w:rsidRPr="004A286A">
              <w:rPr>
                <w:lang w:val="en-US"/>
              </w:rPr>
              <w:t> 60</w:t>
            </w:r>
            <w:r w:rsidRPr="004A286A">
              <w:rPr>
                <w:rFonts w:ascii="Symbol" w:hAnsi="Symbol"/>
                <w:lang w:val="en-US"/>
              </w:rPr>
              <w:t></w:t>
            </w:r>
            <w:r w:rsidRPr="004A286A">
              <w:rPr>
                <w:lang w:val="en-US"/>
              </w:rPr>
              <w:t xml:space="preserve">, where </w:t>
            </w:r>
            <w:r>
              <w:rPr>
                <w:lang w:val="en-US"/>
              </w:rPr>
              <w:sym w:font="Symbol" w:char="F071"/>
            </w:r>
            <w:r w:rsidRPr="004A286A">
              <w:rPr>
                <w:lang w:val="en-US"/>
              </w:rPr>
              <w:t xml:space="preserve"> is the width of the BS antenna radiation pattern)</w:t>
            </w:r>
          </w:p>
        </w:tc>
        <w:tc>
          <w:tcPr>
            <w:tcW w:w="1563" w:type="dxa"/>
          </w:tcPr>
          <w:p w:rsidR="00CA3B52" w:rsidRPr="004A286A" w:rsidRDefault="00CA3B52" w:rsidP="00F65451">
            <w:pPr>
              <w:pStyle w:val="Tabletext"/>
              <w:rPr>
                <w:lang w:val="en-US"/>
              </w:rPr>
            </w:pPr>
            <w:r w:rsidRPr="004A286A">
              <w:rPr>
                <w:lang w:val="en-US"/>
              </w:rPr>
              <w:t>1-6</w:t>
            </w:r>
          </w:p>
        </w:tc>
      </w:tr>
      <w:tr w:rsidR="00CA3B52" w:rsidRPr="00CB6CBA" w:rsidTr="006D51AA">
        <w:trPr>
          <w:cantSplit/>
          <w:jc w:val="center"/>
        </w:trPr>
        <w:tc>
          <w:tcPr>
            <w:tcW w:w="1006" w:type="dxa"/>
          </w:tcPr>
          <w:p w:rsidR="00CA3B52" w:rsidRPr="00447D7D" w:rsidRDefault="00CA3B52" w:rsidP="00F65451">
            <w:pPr>
              <w:pStyle w:val="Tabletext"/>
              <w:jc w:val="center"/>
              <w:rPr>
                <w:i/>
                <w:iCs/>
                <w:lang w:val="en-US"/>
              </w:rPr>
            </w:pPr>
            <w:r w:rsidRPr="00447D7D">
              <w:rPr>
                <w:i/>
                <w:iCs/>
                <w:lang w:val="en-US"/>
              </w:rPr>
              <w:t>n</w:t>
            </w:r>
            <w:r w:rsidRPr="00447D7D">
              <w:rPr>
                <w:i/>
                <w:iCs/>
                <w:vertAlign w:val="subscript"/>
                <w:lang w:val="en-US"/>
              </w:rPr>
              <w:sym w:font="Symbol" w:char="F061"/>
            </w:r>
          </w:p>
        </w:tc>
        <w:tc>
          <w:tcPr>
            <w:tcW w:w="7070" w:type="dxa"/>
          </w:tcPr>
          <w:p w:rsidR="00CA3B52" w:rsidRPr="004A286A" w:rsidRDefault="00CA3B52" w:rsidP="00F65451">
            <w:pPr>
              <w:pStyle w:val="Tabletext"/>
              <w:rPr>
                <w:lang w:val="en-US"/>
              </w:rPr>
            </w:pPr>
            <w:r w:rsidRPr="004A286A">
              <w:rPr>
                <w:lang w:val="en-US"/>
              </w:rPr>
              <w:t>Number of subscribers that can use one frequency channel at the same time (for NMT, AMPS</w:t>
            </w:r>
            <w:r w:rsidRPr="004A286A">
              <w:rPr>
                <w:lang w:val="en-US"/>
              </w:rPr>
              <w:noBreakHyphen/>
              <w:t xml:space="preserve">D and GSM systems, </w:t>
            </w:r>
            <w:r w:rsidRPr="004A286A">
              <w:rPr>
                <w:i/>
                <w:iCs/>
                <w:lang w:val="en-US"/>
              </w:rPr>
              <w:t>n</w:t>
            </w:r>
            <w:r w:rsidRPr="004A286A">
              <w:rPr>
                <w:iCs/>
                <w:vertAlign w:val="subscript"/>
                <w:lang w:val="en-US"/>
              </w:rPr>
              <w:sym w:font="Symbol" w:char="F061"/>
            </w:r>
            <w:r w:rsidRPr="004A286A">
              <w:rPr>
                <w:lang w:val="en-US"/>
              </w:rPr>
              <w:t> </w:t>
            </w:r>
            <w:r>
              <w:rPr>
                <w:lang w:val="en-US"/>
              </w:rPr>
              <w:t>=</w:t>
            </w:r>
            <w:r w:rsidRPr="004A286A">
              <w:rPr>
                <w:lang w:val="en-US"/>
              </w:rPr>
              <w:t> 1, 3 and 8, respectively)</w:t>
            </w:r>
          </w:p>
        </w:tc>
        <w:tc>
          <w:tcPr>
            <w:tcW w:w="1563" w:type="dxa"/>
          </w:tcPr>
          <w:p w:rsidR="00CA3B52" w:rsidRPr="004A286A" w:rsidRDefault="00CA3B52" w:rsidP="00F65451">
            <w:pPr>
              <w:pStyle w:val="Tabletext"/>
              <w:rPr>
                <w:lang w:val="en-US"/>
              </w:rPr>
            </w:pPr>
            <w:r w:rsidRPr="004A286A">
              <w:rPr>
                <w:lang w:val="en-US"/>
              </w:rPr>
              <w:t>8</w:t>
            </w:r>
          </w:p>
        </w:tc>
      </w:tr>
      <w:tr w:rsidR="00CA3B52" w:rsidRPr="00CB6CBA" w:rsidTr="006D51AA">
        <w:trPr>
          <w:cantSplit/>
          <w:jc w:val="center"/>
        </w:trPr>
        <w:tc>
          <w:tcPr>
            <w:tcW w:w="1006" w:type="dxa"/>
          </w:tcPr>
          <w:p w:rsidR="00CA3B52" w:rsidRPr="00447D7D" w:rsidRDefault="00CA3B52" w:rsidP="00F65451">
            <w:pPr>
              <w:pStyle w:val="Tabletext"/>
              <w:jc w:val="center"/>
              <w:rPr>
                <w:i/>
                <w:iCs/>
                <w:lang w:val="en-US"/>
              </w:rPr>
            </w:pPr>
            <w:r w:rsidRPr="00447D7D">
              <w:rPr>
                <w:i/>
                <w:iCs/>
                <w:lang w:val="en-US"/>
              </w:rPr>
              <w:t>N</w:t>
            </w:r>
            <w:r w:rsidRPr="00447D7D">
              <w:rPr>
                <w:i/>
                <w:iCs/>
                <w:vertAlign w:val="subscript"/>
                <w:lang w:val="en-US"/>
              </w:rPr>
              <w:sym w:font="Symbol" w:char="F061"/>
            </w:r>
          </w:p>
        </w:tc>
        <w:tc>
          <w:tcPr>
            <w:tcW w:w="7070" w:type="dxa"/>
          </w:tcPr>
          <w:p w:rsidR="00CA3B52" w:rsidRPr="004A286A" w:rsidRDefault="00CA3B52" w:rsidP="00F65451">
            <w:pPr>
              <w:pStyle w:val="Tabletext"/>
              <w:rPr>
                <w:lang w:val="en-US"/>
              </w:rPr>
            </w:pPr>
            <w:r w:rsidRPr="004A286A">
              <w:rPr>
                <w:lang w:val="en-US"/>
              </w:rPr>
              <w:t>Number of subscribers to be served by the cellular mobile network in a town</w:t>
            </w:r>
          </w:p>
        </w:tc>
        <w:tc>
          <w:tcPr>
            <w:tcW w:w="1563" w:type="dxa"/>
          </w:tcPr>
          <w:p w:rsidR="00CA3B52" w:rsidRPr="004A286A" w:rsidRDefault="00CA3B52" w:rsidP="00F65451">
            <w:pPr>
              <w:pStyle w:val="Tabletext"/>
              <w:rPr>
                <w:lang w:val="en-US"/>
              </w:rPr>
            </w:pPr>
            <w:r w:rsidRPr="004A286A">
              <w:rPr>
                <w:lang w:val="en-US"/>
              </w:rPr>
              <w:t>10</w:t>
            </w:r>
            <w:r w:rsidRPr="004A286A">
              <w:rPr>
                <w:rFonts w:ascii="Tms Rmn" w:hAnsi="Tms Rmn"/>
                <w:lang w:val="en-US"/>
              </w:rPr>
              <w:t> </w:t>
            </w:r>
            <w:r w:rsidRPr="004A286A">
              <w:rPr>
                <w:lang w:val="en-US"/>
              </w:rPr>
              <w:t>000-150</w:t>
            </w:r>
            <w:r w:rsidRPr="004A286A">
              <w:rPr>
                <w:rFonts w:ascii="Tms Rmn" w:hAnsi="Tms Rmn"/>
                <w:lang w:val="en-US"/>
              </w:rPr>
              <w:t> </w:t>
            </w:r>
            <w:r w:rsidRPr="004A286A">
              <w:rPr>
                <w:lang w:val="en-US"/>
              </w:rPr>
              <w:t>000 people</w:t>
            </w:r>
          </w:p>
        </w:tc>
      </w:tr>
      <w:tr w:rsidR="00CA3B52" w:rsidRPr="00CB6CBA" w:rsidTr="006D51AA">
        <w:trPr>
          <w:cantSplit/>
          <w:jc w:val="center"/>
        </w:trPr>
        <w:tc>
          <w:tcPr>
            <w:tcW w:w="1006" w:type="dxa"/>
          </w:tcPr>
          <w:p w:rsidR="00CA3B52" w:rsidRPr="00447D7D" w:rsidRDefault="00CA3B52" w:rsidP="00F65451">
            <w:pPr>
              <w:pStyle w:val="Tabletext"/>
              <w:jc w:val="center"/>
              <w:rPr>
                <w:lang w:val="en-US"/>
              </w:rPr>
            </w:pPr>
            <w:r w:rsidRPr="00447D7D">
              <w:rPr>
                <w:lang w:val="en-US"/>
              </w:rPr>
              <w:sym w:font="Symbol" w:char="F062"/>
            </w:r>
          </w:p>
        </w:tc>
        <w:tc>
          <w:tcPr>
            <w:tcW w:w="7070" w:type="dxa"/>
          </w:tcPr>
          <w:p w:rsidR="00CA3B52" w:rsidRPr="004A286A" w:rsidRDefault="00CA3B52" w:rsidP="00F65451">
            <w:pPr>
              <w:pStyle w:val="Tabletext"/>
              <w:rPr>
                <w:lang w:val="en-US"/>
              </w:rPr>
            </w:pPr>
            <w:r w:rsidRPr="004A286A">
              <w:rPr>
                <w:lang w:val="en-US"/>
              </w:rPr>
              <w:t>Activity of one subscriber at peak traffic times</w:t>
            </w:r>
          </w:p>
        </w:tc>
        <w:tc>
          <w:tcPr>
            <w:tcW w:w="1563" w:type="dxa"/>
          </w:tcPr>
          <w:p w:rsidR="00CA3B52" w:rsidRPr="004A286A" w:rsidRDefault="00CA3B52" w:rsidP="00F65451">
            <w:pPr>
              <w:pStyle w:val="Tabletext"/>
              <w:rPr>
                <w:lang w:val="en-US"/>
              </w:rPr>
            </w:pPr>
            <w:r w:rsidRPr="004A286A">
              <w:rPr>
                <w:lang w:val="en-US"/>
              </w:rPr>
              <w:t>0.025 E</w:t>
            </w:r>
          </w:p>
        </w:tc>
      </w:tr>
      <w:tr w:rsidR="00CA3B52" w:rsidRPr="00CB6CBA" w:rsidTr="006D51AA">
        <w:trPr>
          <w:cantSplit/>
          <w:jc w:val="center"/>
        </w:trPr>
        <w:tc>
          <w:tcPr>
            <w:tcW w:w="1006" w:type="dxa"/>
          </w:tcPr>
          <w:p w:rsidR="00CA3B52" w:rsidRPr="004A286A" w:rsidRDefault="00CA3B52" w:rsidP="00F65451">
            <w:pPr>
              <w:pStyle w:val="Tabletext"/>
              <w:jc w:val="center"/>
              <w:rPr>
                <w:lang w:val="en-US"/>
              </w:rPr>
            </w:pPr>
            <w:r w:rsidRPr="00447D7D">
              <w:rPr>
                <w:i/>
                <w:iCs/>
                <w:lang w:val="en-US"/>
              </w:rPr>
              <w:t>P</w:t>
            </w:r>
            <w:r w:rsidRPr="00447D7D">
              <w:rPr>
                <w:vertAlign w:val="subscript"/>
                <w:lang w:val="en-US"/>
              </w:rPr>
              <w:sym w:font="Symbol" w:char="F061"/>
            </w:r>
          </w:p>
        </w:tc>
        <w:tc>
          <w:tcPr>
            <w:tcW w:w="7070" w:type="dxa"/>
          </w:tcPr>
          <w:p w:rsidR="00CA3B52" w:rsidRPr="004A286A" w:rsidRDefault="00CA3B52" w:rsidP="00F65451">
            <w:pPr>
              <w:pStyle w:val="Tabletext"/>
              <w:rPr>
                <w:lang w:val="en-US"/>
              </w:rPr>
            </w:pPr>
            <w:r w:rsidRPr="004A286A">
              <w:rPr>
                <w:lang w:val="en-US"/>
              </w:rPr>
              <w:t>Permissible probability of call blocking in the mobile network</w:t>
            </w:r>
          </w:p>
        </w:tc>
        <w:tc>
          <w:tcPr>
            <w:tcW w:w="1563" w:type="dxa"/>
          </w:tcPr>
          <w:p w:rsidR="00CA3B52" w:rsidRPr="004A286A" w:rsidRDefault="00CA3B52" w:rsidP="00F65451">
            <w:pPr>
              <w:pStyle w:val="Tabletext"/>
              <w:rPr>
                <w:lang w:val="en-US"/>
              </w:rPr>
            </w:pPr>
            <w:r w:rsidRPr="004A286A">
              <w:rPr>
                <w:lang w:val="en-US"/>
              </w:rPr>
              <w:t>0.1</w:t>
            </w:r>
          </w:p>
        </w:tc>
      </w:tr>
      <w:tr w:rsidR="00CA3B52" w:rsidRPr="00CB6CBA" w:rsidTr="006D51AA">
        <w:trPr>
          <w:cantSplit/>
          <w:jc w:val="center"/>
        </w:trPr>
        <w:tc>
          <w:tcPr>
            <w:tcW w:w="1006" w:type="dxa"/>
          </w:tcPr>
          <w:p w:rsidR="00CA3B52" w:rsidRPr="004A286A" w:rsidRDefault="00CA3B52" w:rsidP="00F65451">
            <w:pPr>
              <w:pStyle w:val="Tabletext"/>
              <w:jc w:val="center"/>
              <w:rPr>
                <w:lang w:val="en-US"/>
              </w:rPr>
            </w:pPr>
            <w:r w:rsidRPr="00447D7D">
              <w:rPr>
                <w:lang w:val="en-US"/>
              </w:rPr>
              <w:sym w:font="Symbol" w:char="F072"/>
            </w:r>
            <w:r w:rsidRPr="00447D7D">
              <w:rPr>
                <w:vertAlign w:val="subscript"/>
                <w:lang w:val="en-US"/>
              </w:rPr>
              <w:t>0</w:t>
            </w:r>
          </w:p>
        </w:tc>
        <w:tc>
          <w:tcPr>
            <w:tcW w:w="7070" w:type="dxa"/>
          </w:tcPr>
          <w:p w:rsidR="00CA3B52" w:rsidRPr="004A286A" w:rsidRDefault="00CA3B52" w:rsidP="00F65451">
            <w:pPr>
              <w:pStyle w:val="Tabletext"/>
              <w:rPr>
                <w:lang w:val="en-US"/>
              </w:rPr>
            </w:pPr>
            <w:r w:rsidRPr="004A286A">
              <w:rPr>
                <w:lang w:val="en-US"/>
              </w:rPr>
              <w:t>Required protection ratio for mobile network receivers (for NMT, AMPS</w:t>
            </w:r>
            <w:r w:rsidRPr="004A286A">
              <w:rPr>
                <w:lang w:val="en-US"/>
              </w:rPr>
              <w:noBreakHyphen/>
              <w:t xml:space="preserve">D and GSM systems, </w:t>
            </w:r>
            <w:r>
              <w:rPr>
                <w:lang w:val="en-US"/>
              </w:rPr>
              <w:sym w:font="Symbol" w:char="F072"/>
            </w:r>
            <w:r w:rsidRPr="004A286A">
              <w:rPr>
                <w:vertAlign w:val="subscript"/>
                <w:lang w:val="en-US"/>
              </w:rPr>
              <w:t>0</w:t>
            </w:r>
            <w:r w:rsidRPr="004A286A">
              <w:rPr>
                <w:lang w:val="en-US"/>
              </w:rPr>
              <w:t> </w:t>
            </w:r>
            <w:r>
              <w:rPr>
                <w:lang w:val="en-US"/>
              </w:rPr>
              <w:t>=</w:t>
            </w:r>
            <w:r w:rsidRPr="004A286A">
              <w:rPr>
                <w:lang w:val="en-US"/>
              </w:rPr>
              <w:t> 18.9 and 9 dB, respectively)</w:t>
            </w:r>
          </w:p>
        </w:tc>
        <w:tc>
          <w:tcPr>
            <w:tcW w:w="1563" w:type="dxa"/>
          </w:tcPr>
          <w:p w:rsidR="00CA3B52" w:rsidRPr="004A286A" w:rsidRDefault="00CA3B52" w:rsidP="00F65451">
            <w:pPr>
              <w:pStyle w:val="Tabletext"/>
              <w:rPr>
                <w:lang w:val="en-US"/>
              </w:rPr>
            </w:pPr>
            <w:r w:rsidRPr="004A286A">
              <w:rPr>
                <w:lang w:val="en-US"/>
              </w:rPr>
              <w:t>9 dB</w:t>
            </w:r>
          </w:p>
        </w:tc>
      </w:tr>
      <w:tr w:rsidR="00CA3B52" w:rsidRPr="00CB6CBA" w:rsidTr="006D51AA">
        <w:trPr>
          <w:cantSplit/>
          <w:jc w:val="center"/>
        </w:trPr>
        <w:tc>
          <w:tcPr>
            <w:tcW w:w="1006" w:type="dxa"/>
          </w:tcPr>
          <w:p w:rsidR="00CA3B52" w:rsidRPr="00447D7D" w:rsidRDefault="00CA3B52" w:rsidP="00F65451">
            <w:pPr>
              <w:pStyle w:val="Tabletext"/>
              <w:jc w:val="center"/>
              <w:rPr>
                <w:i/>
                <w:iCs/>
                <w:lang w:val="en-US"/>
              </w:rPr>
            </w:pPr>
            <w:r w:rsidRPr="00447D7D">
              <w:rPr>
                <w:i/>
                <w:iCs/>
                <w:lang w:val="en-US"/>
              </w:rPr>
              <w:t>P</w:t>
            </w:r>
            <w:r w:rsidRPr="00447D7D">
              <w:rPr>
                <w:i/>
                <w:iCs/>
                <w:vertAlign w:val="subscript"/>
                <w:lang w:val="en-US"/>
              </w:rPr>
              <w:t>t</w:t>
            </w:r>
          </w:p>
        </w:tc>
        <w:tc>
          <w:tcPr>
            <w:tcW w:w="7070" w:type="dxa"/>
          </w:tcPr>
          <w:p w:rsidR="00CA3B52" w:rsidRPr="004A286A" w:rsidRDefault="00CA3B52" w:rsidP="00F65451">
            <w:pPr>
              <w:pStyle w:val="Tabletext"/>
              <w:rPr>
                <w:lang w:val="en-US"/>
              </w:rPr>
            </w:pPr>
            <w:r w:rsidRPr="004A286A">
              <w:rPr>
                <w:lang w:val="en-US"/>
              </w:rPr>
              <w:t xml:space="preserve">Percentage of time during which the signal/interference ratio at the input to the transmitter in the mobile network is allowed to fall below the protection ratio, </w:t>
            </w:r>
            <w:r>
              <w:rPr>
                <w:lang w:val="en-US"/>
              </w:rPr>
              <w:sym w:font="Symbol" w:char="F072"/>
            </w:r>
            <w:r w:rsidRPr="004A286A">
              <w:rPr>
                <w:vertAlign w:val="subscript"/>
                <w:lang w:val="en-US"/>
              </w:rPr>
              <w:t>0</w:t>
            </w:r>
          </w:p>
        </w:tc>
        <w:tc>
          <w:tcPr>
            <w:tcW w:w="1563" w:type="dxa"/>
          </w:tcPr>
          <w:p w:rsidR="00CA3B52" w:rsidRPr="004A286A" w:rsidRDefault="00CA3B52" w:rsidP="00F65451">
            <w:pPr>
              <w:pStyle w:val="Tabletext"/>
              <w:rPr>
                <w:lang w:val="en-US"/>
              </w:rPr>
            </w:pPr>
            <w:r w:rsidRPr="004A286A">
              <w:rPr>
                <w:lang w:val="en-US"/>
              </w:rPr>
              <w:t>10%</w:t>
            </w:r>
          </w:p>
        </w:tc>
      </w:tr>
      <w:tr w:rsidR="00CA3B52" w:rsidRPr="00CB6CBA" w:rsidTr="006D51AA">
        <w:trPr>
          <w:cantSplit/>
          <w:jc w:val="center"/>
        </w:trPr>
        <w:tc>
          <w:tcPr>
            <w:tcW w:w="1006" w:type="dxa"/>
          </w:tcPr>
          <w:p w:rsidR="00CA3B52" w:rsidRPr="004A286A" w:rsidRDefault="00CA3B52" w:rsidP="00F65451">
            <w:pPr>
              <w:pStyle w:val="Tabletext"/>
              <w:jc w:val="center"/>
              <w:rPr>
                <w:lang w:val="en-US"/>
              </w:rPr>
            </w:pPr>
            <w:r w:rsidRPr="00447D7D">
              <w:rPr>
                <w:lang w:val="en-US"/>
              </w:rPr>
              <w:sym w:font="Symbol" w:char="F073"/>
            </w:r>
          </w:p>
        </w:tc>
        <w:tc>
          <w:tcPr>
            <w:tcW w:w="7070" w:type="dxa"/>
          </w:tcPr>
          <w:p w:rsidR="00CA3B52" w:rsidRPr="004A286A" w:rsidRDefault="00CA3B52" w:rsidP="00F65451">
            <w:pPr>
              <w:pStyle w:val="Tabletext"/>
              <w:rPr>
                <w:lang w:val="en-US"/>
              </w:rPr>
            </w:pPr>
            <w:r w:rsidRPr="004A286A">
              <w:rPr>
                <w:lang w:val="en-US"/>
              </w:rPr>
              <w:t>Parameter determining the range of random variations in the received signal level at the place of reception (for mobile network systems,</w:t>
            </w:r>
            <w:r>
              <w:rPr>
                <w:lang w:val="en-US"/>
              </w:rPr>
              <w:t xml:space="preserve"> </w:t>
            </w:r>
            <w:r>
              <w:rPr>
                <w:szCs w:val="22"/>
                <w:lang w:val="en-US"/>
              </w:rPr>
              <w:sym w:font="Symbol" w:char="F073"/>
            </w:r>
            <w:r w:rsidRPr="004A286A">
              <w:rPr>
                <w:lang w:val="en-US"/>
              </w:rPr>
              <w:t> </w:t>
            </w:r>
            <w:r>
              <w:rPr>
                <w:lang w:val="en-US"/>
              </w:rPr>
              <w:t>=</w:t>
            </w:r>
            <w:r w:rsidRPr="004A286A">
              <w:rPr>
                <w:lang w:val="en-US"/>
              </w:rPr>
              <w:t> 4</w:t>
            </w:r>
            <w:r w:rsidR="00447D7D">
              <w:rPr>
                <w:lang w:val="en-US"/>
              </w:rPr>
              <w:t>–</w:t>
            </w:r>
            <w:r w:rsidRPr="004A286A">
              <w:rPr>
                <w:lang w:val="en-US"/>
              </w:rPr>
              <w:t>10 dB)</w:t>
            </w:r>
          </w:p>
        </w:tc>
        <w:tc>
          <w:tcPr>
            <w:tcW w:w="1563" w:type="dxa"/>
          </w:tcPr>
          <w:p w:rsidR="00CA3B52" w:rsidRPr="004A286A" w:rsidRDefault="00CA3B52" w:rsidP="00F65451">
            <w:pPr>
              <w:pStyle w:val="Tabletext"/>
              <w:rPr>
                <w:lang w:val="en-US"/>
              </w:rPr>
            </w:pPr>
            <w:r w:rsidRPr="004A286A">
              <w:rPr>
                <w:lang w:val="en-US"/>
              </w:rPr>
              <w:t>6 dB</w:t>
            </w:r>
          </w:p>
        </w:tc>
      </w:tr>
    </w:tbl>
    <w:p w:rsidR="00CA3B52" w:rsidRPr="00CB6CBA" w:rsidRDefault="00CA3B52" w:rsidP="00CA3B52">
      <w:pPr>
        <w:pStyle w:val="Tablefin"/>
        <w:rPr>
          <w:lang w:val="en-US"/>
        </w:rPr>
      </w:pPr>
    </w:p>
    <w:p w:rsidR="00CA3B52" w:rsidRPr="00CB6CBA" w:rsidRDefault="00CA3B52" w:rsidP="00CA3B52">
      <w:pPr>
        <w:rPr>
          <w:lang w:val="en-US"/>
        </w:rPr>
      </w:pPr>
      <w:r w:rsidRPr="00CB6CBA">
        <w:rPr>
          <w:lang w:val="en-US"/>
        </w:rPr>
        <w:t>A procedure</w:t>
      </w:r>
      <w:r>
        <w:rPr>
          <w:rStyle w:val="FootnoteReference"/>
          <w:lang w:val="en-US"/>
        </w:rPr>
        <w:footnoteReference w:id="8"/>
      </w:r>
      <w:r w:rsidRPr="00CB6CBA">
        <w:rPr>
          <w:lang w:val="en-US"/>
        </w:rPr>
        <w:t xml:space="preserve"> for determining the basic parameters of a cellular mobile network is as follows:</w:t>
      </w:r>
    </w:p>
    <w:p w:rsidR="00CA3B52" w:rsidRPr="00CB6CBA" w:rsidRDefault="00CA3B52" w:rsidP="00CA3B52">
      <w:pPr>
        <w:pStyle w:val="enumlev1"/>
        <w:rPr>
          <w:lang w:val="en-US"/>
        </w:rPr>
      </w:pPr>
      <w:r w:rsidRPr="00CB6CBA">
        <w:rPr>
          <w:lang w:val="en-US"/>
        </w:rPr>
        <w:t>–</w:t>
      </w:r>
      <w:r w:rsidRPr="00CB6CBA">
        <w:rPr>
          <w:lang w:val="en-US"/>
        </w:rPr>
        <w:tab/>
        <w:t>Total number of frequency channels in a cellular mobile network in a town:</w:t>
      </w:r>
    </w:p>
    <w:p w:rsidR="00CA3B52" w:rsidRDefault="00CA3B52" w:rsidP="00CA3B52">
      <w:pPr>
        <w:pStyle w:val="Blanc"/>
      </w:pPr>
    </w:p>
    <w:p w:rsidR="00CA3B52" w:rsidRPr="00CB6CBA" w:rsidRDefault="00CA3B52" w:rsidP="00CA3B52">
      <w:pPr>
        <w:pStyle w:val="Equation"/>
        <w:rPr>
          <w:lang w:val="en-US"/>
        </w:rPr>
      </w:pPr>
      <w:r w:rsidRPr="00CB6CBA">
        <w:rPr>
          <w:i/>
          <w:iCs/>
          <w:lang w:val="en-US"/>
        </w:rPr>
        <w:tab/>
      </w:r>
      <w:r w:rsidRPr="00CB6CBA">
        <w:rPr>
          <w:i/>
          <w:iCs/>
          <w:lang w:val="en-US"/>
        </w:rPr>
        <w:tab/>
        <w:t>n</w:t>
      </w:r>
      <w:r w:rsidRPr="00CB6CBA">
        <w:rPr>
          <w:i/>
          <w:iCs/>
          <w:vertAlign w:val="subscript"/>
          <w:lang w:val="en-US"/>
        </w:rPr>
        <w:t>k</w:t>
      </w:r>
      <w:r w:rsidRPr="00CB6CBA">
        <w:rPr>
          <w:lang w:val="en-US"/>
        </w:rPr>
        <w:t xml:space="preserve">  </w:t>
      </w:r>
      <w:r>
        <w:rPr>
          <w:lang w:val="en-US"/>
        </w:rPr>
        <w:t>=</w:t>
      </w:r>
      <w:r w:rsidRPr="00CB6CBA">
        <w:rPr>
          <w:lang w:val="en-US"/>
        </w:rPr>
        <w:t xml:space="preserve">  int(</w:t>
      </w:r>
      <w:r w:rsidRPr="00CB6CBA">
        <w:rPr>
          <w:i/>
          <w:iCs/>
          <w:lang w:val="en-US"/>
        </w:rPr>
        <w:t>F</w:t>
      </w:r>
      <w:r w:rsidRPr="00CB6CBA">
        <w:rPr>
          <w:rFonts w:ascii="Tms Rmn" w:hAnsi="Tms Rmn"/>
          <w:i/>
          <w:iCs/>
          <w:sz w:val="4"/>
          <w:lang w:val="en-US"/>
        </w:rPr>
        <w:t> </w:t>
      </w:r>
      <w:r w:rsidRPr="00CB6CBA">
        <w:rPr>
          <w:lang w:val="en-US"/>
        </w:rPr>
        <w:t>/</w:t>
      </w:r>
      <w:r w:rsidRPr="00CB6CBA">
        <w:rPr>
          <w:rFonts w:ascii="Tms Rmn" w:hAnsi="Tms Rmn"/>
          <w:i/>
          <w:iCs/>
          <w:sz w:val="4"/>
          <w:lang w:val="en-US"/>
        </w:rPr>
        <w:t> </w:t>
      </w:r>
      <w:r w:rsidRPr="00CB6CBA">
        <w:rPr>
          <w:i/>
          <w:iCs/>
          <w:lang w:val="en-US"/>
        </w:rPr>
        <w:t>F</w:t>
      </w:r>
      <w:r w:rsidRPr="00CB6CBA">
        <w:rPr>
          <w:i/>
          <w:iCs/>
          <w:vertAlign w:val="subscript"/>
          <w:lang w:val="en-US"/>
        </w:rPr>
        <w:t>k</w:t>
      </w:r>
      <w:r w:rsidRPr="00CB6CBA">
        <w:rPr>
          <w:rFonts w:ascii="Tms Rmn" w:hAnsi="Tms Rmn"/>
          <w:i/>
          <w:iCs/>
          <w:sz w:val="4"/>
          <w:lang w:val="en-US"/>
        </w:rPr>
        <w:t> </w:t>
      </w:r>
      <w:r w:rsidRPr="00CB6CBA">
        <w:rPr>
          <w:lang w:val="en-US"/>
        </w:rPr>
        <w:t>)</w:t>
      </w:r>
    </w:p>
    <w:p w:rsidR="00CA3B52" w:rsidRDefault="00CA3B52" w:rsidP="00CA3B52">
      <w:pPr>
        <w:pStyle w:val="Blanc"/>
      </w:pPr>
    </w:p>
    <w:p w:rsidR="00CA3B52" w:rsidRPr="00CB6CBA" w:rsidRDefault="00CA3B52" w:rsidP="00CA3B52">
      <w:pPr>
        <w:pStyle w:val="enumlev1"/>
        <w:rPr>
          <w:lang w:val="en-US"/>
        </w:rPr>
      </w:pPr>
      <w:r w:rsidRPr="00CB6CBA">
        <w:rPr>
          <w:lang w:val="en-US"/>
        </w:rPr>
        <w:tab/>
        <w:t>where int(</w:t>
      </w:r>
      <w:r w:rsidRPr="00CB6CBA">
        <w:rPr>
          <w:i/>
          <w:iCs/>
          <w:lang w:val="en-US"/>
        </w:rPr>
        <w:t>x</w:t>
      </w:r>
      <w:r w:rsidRPr="00CB6CBA">
        <w:rPr>
          <w:lang w:val="en-US"/>
        </w:rPr>
        <w:t xml:space="preserve">) is the integer part of the number </w:t>
      </w:r>
      <w:r w:rsidRPr="00CB6CBA">
        <w:rPr>
          <w:i/>
          <w:iCs/>
          <w:lang w:val="en-US"/>
        </w:rPr>
        <w:t>x</w:t>
      </w:r>
      <w:r w:rsidRPr="00CB6CBA">
        <w:rPr>
          <w:lang w:val="en-US"/>
        </w:rPr>
        <w:t>.</w:t>
      </w:r>
    </w:p>
    <w:p w:rsidR="00CA3B52" w:rsidRDefault="00CA3B52" w:rsidP="00CA3B52">
      <w:pPr>
        <w:pStyle w:val="enumlev1"/>
        <w:rPr>
          <w:lang w:val="en-US"/>
        </w:rPr>
      </w:pPr>
      <w:r w:rsidRPr="00CB6CBA">
        <w:rPr>
          <w:lang w:val="en-US"/>
        </w:rPr>
        <w:t>–</w:t>
      </w:r>
      <w:r w:rsidRPr="00CB6CBA">
        <w:rPr>
          <w:lang w:val="en-US"/>
        </w:rPr>
        <w:tab/>
        <w:t xml:space="preserve">Required cluster size for given values of </w:t>
      </w:r>
      <w:r>
        <w:rPr>
          <w:lang w:val="en-US"/>
        </w:rPr>
        <w:sym w:font="Symbol" w:char="F072"/>
      </w:r>
      <w:r w:rsidRPr="00CB6CBA">
        <w:rPr>
          <w:vertAlign w:val="subscript"/>
          <w:lang w:val="en-US"/>
        </w:rPr>
        <w:t>0</w:t>
      </w:r>
      <w:r w:rsidRPr="00CB6CBA">
        <w:rPr>
          <w:lang w:val="en-US"/>
        </w:rPr>
        <w:t xml:space="preserve"> and </w:t>
      </w:r>
      <w:r w:rsidRPr="00CB6CBA">
        <w:rPr>
          <w:i/>
          <w:iCs/>
          <w:lang w:val="en-US"/>
        </w:rPr>
        <w:t>P</w:t>
      </w:r>
      <w:r w:rsidRPr="00CB6CBA">
        <w:rPr>
          <w:i/>
          <w:iCs/>
          <w:vertAlign w:val="subscript"/>
          <w:lang w:val="en-US"/>
        </w:rPr>
        <w:t>T</w:t>
      </w:r>
      <w:r w:rsidRPr="00CB6CBA">
        <w:rPr>
          <w:lang w:val="en-US"/>
        </w:rPr>
        <w:t>:</w:t>
      </w:r>
    </w:p>
    <w:p w:rsidR="00CA3B52" w:rsidRDefault="00CA3B52" w:rsidP="00CA3B52">
      <w:pPr>
        <w:pStyle w:val="Blanc"/>
      </w:pPr>
    </w:p>
    <w:p w:rsidR="00CA3B52" w:rsidRDefault="00CA3B52" w:rsidP="00CA3B52">
      <w:pPr>
        <w:pStyle w:val="Equation"/>
        <w:rPr>
          <w:position w:val="-58"/>
          <w:sz w:val="20"/>
          <w:lang w:val="en-US"/>
        </w:rPr>
      </w:pPr>
      <w:r w:rsidRPr="000429F2">
        <w:rPr>
          <w:lang w:val="en-US"/>
        </w:rPr>
        <w:tab/>
      </w:r>
      <w:r w:rsidRPr="000429F2">
        <w:rPr>
          <w:lang w:val="en-US"/>
        </w:rPr>
        <w:tab/>
      </w:r>
      <w:r w:rsidRPr="00CB6CBA">
        <w:rPr>
          <w:position w:val="-58"/>
          <w:sz w:val="20"/>
          <w:lang w:val="en-US"/>
        </w:rPr>
        <w:object w:dxaOrig="3300" w:dyaOrig="1180">
          <v:shape id="_x0000_i1074" type="#_x0000_t75" style="width:199.15pt;height:68.25pt" o:ole="" fillcolor="window">
            <v:imagedata r:id="rId118" o:title=""/>
          </v:shape>
          <o:OLEObject Type="Embed" ProgID="Equation.3" ShapeID="_x0000_i1074" DrawAspect="Content" ObjectID="_1511604863" r:id="rId119"/>
        </w:object>
      </w:r>
    </w:p>
    <w:p w:rsidR="00CA3B52" w:rsidRDefault="00CA3B52" w:rsidP="00CA3B52">
      <w:pPr>
        <w:pStyle w:val="Blanc"/>
      </w:pPr>
    </w:p>
    <w:p w:rsidR="00CA3B52" w:rsidRPr="00CB6CBA" w:rsidRDefault="00CA3B52" w:rsidP="00CA3B52">
      <w:pPr>
        <w:pStyle w:val="enumlev1"/>
        <w:rPr>
          <w:lang w:val="en-US"/>
        </w:rPr>
      </w:pPr>
      <w:r w:rsidRPr="00CB6CBA">
        <w:rPr>
          <w:lang w:val="en-US"/>
        </w:rPr>
        <w:tab/>
        <w:t xml:space="preserve">where </w:t>
      </w:r>
      <w:r w:rsidRPr="00CB6CBA">
        <w:rPr>
          <w:i/>
          <w:iCs/>
          <w:lang w:val="en-US"/>
        </w:rPr>
        <w:t>p</w:t>
      </w:r>
      <w:r w:rsidRPr="00CB6CBA">
        <w:rPr>
          <w:lang w:val="en-US"/>
        </w:rPr>
        <w:t>(</w:t>
      </w:r>
      <w:r w:rsidRPr="00CB6CBA">
        <w:rPr>
          <w:rFonts w:ascii="Tms Rmn" w:hAnsi="Tms Rmn"/>
          <w:i/>
          <w:iCs/>
          <w:sz w:val="4"/>
          <w:lang w:val="en-US"/>
        </w:rPr>
        <w:t> </w:t>
      </w:r>
      <w:r w:rsidRPr="00CB6CBA">
        <w:rPr>
          <w:i/>
          <w:iCs/>
          <w:lang w:val="en-US"/>
        </w:rPr>
        <w:t>N</w:t>
      </w:r>
      <w:r w:rsidRPr="00CB6CBA">
        <w:rPr>
          <w:rFonts w:ascii="Tms Rmn" w:hAnsi="Tms Rmn"/>
          <w:i/>
          <w:iCs/>
          <w:sz w:val="4"/>
          <w:lang w:val="en-US"/>
        </w:rPr>
        <w:t> </w:t>
      </w:r>
      <w:r w:rsidRPr="00CB6CBA">
        <w:rPr>
          <w:lang w:val="en-US"/>
        </w:rPr>
        <w:t xml:space="preserve">) is the percentage of time during which the signal/interference ratio at the mobile station receiver input falls below the protection ratio </w:t>
      </w:r>
      <w:r>
        <w:rPr>
          <w:lang w:val="en-US"/>
        </w:rPr>
        <w:sym w:font="Symbol" w:char="F072"/>
      </w:r>
      <w:r w:rsidRPr="00CB6CBA">
        <w:rPr>
          <w:vertAlign w:val="subscript"/>
          <w:lang w:val="en-US"/>
        </w:rPr>
        <w:t>0</w:t>
      </w:r>
      <w:r w:rsidRPr="00CB6CBA">
        <w:rPr>
          <w:lang w:val="en-US"/>
        </w:rPr>
        <w:t xml:space="preserve">. The values </w:t>
      </w:r>
      <w:r>
        <w:rPr>
          <w:lang w:val="en-US"/>
        </w:rPr>
        <w:sym w:font="Symbol" w:char="F062"/>
      </w:r>
      <w:r w:rsidRPr="00CB6CBA">
        <w:rPr>
          <w:i/>
          <w:iCs/>
          <w:vertAlign w:val="subscript"/>
          <w:lang w:val="en-US"/>
        </w:rPr>
        <w:t>e</w:t>
      </w:r>
      <w:r w:rsidRPr="00CB6CBA">
        <w:rPr>
          <w:lang w:val="en-US"/>
        </w:rPr>
        <w:t xml:space="preserve"> and </w:t>
      </w:r>
      <w:r>
        <w:rPr>
          <w:lang w:val="en-US"/>
        </w:rPr>
        <w:sym w:font="Symbol" w:char="F073"/>
      </w:r>
      <w:r w:rsidRPr="00CB6CBA">
        <w:rPr>
          <w:i/>
          <w:iCs/>
          <w:vertAlign w:val="subscript"/>
          <w:lang w:val="en-US"/>
        </w:rPr>
        <w:t>p</w:t>
      </w:r>
      <w:r w:rsidRPr="00CB6CBA">
        <w:rPr>
          <w:lang w:val="en-US"/>
        </w:rPr>
        <w:t xml:space="preserve"> depend on the parameters </w:t>
      </w:r>
      <w:r w:rsidRPr="00586560">
        <w:rPr>
          <w:position w:val="-10"/>
          <w:lang w:val="en-US"/>
        </w:rPr>
        <w:object w:dxaOrig="940" w:dyaOrig="380">
          <v:shape id="_x0000_i1075" type="#_x0000_t75" style="width:47.2pt;height:18.7pt" o:ole="">
            <v:imagedata r:id="rId120" o:title=""/>
          </v:shape>
          <o:OLEObject Type="Embed" ProgID="Equation.3" ShapeID="_x0000_i1075" DrawAspect="Content" ObjectID="_1511604864" r:id="rId121"/>
        </w:object>
      </w:r>
      <w:r>
        <w:rPr>
          <w:lang w:val="en-US"/>
        </w:rPr>
        <w:t xml:space="preserve"> </w:t>
      </w:r>
      <w:r>
        <w:rPr>
          <w:lang w:val="en-US"/>
        </w:rPr>
        <w:sym w:font="Symbol" w:char="F073"/>
      </w:r>
      <w:r w:rsidRPr="00CB6CBA">
        <w:rPr>
          <w:lang w:val="en-US"/>
        </w:rPr>
        <w:t xml:space="preserve"> and </w:t>
      </w:r>
      <w:r w:rsidRPr="00CB6CBA">
        <w:rPr>
          <w:i/>
          <w:iCs/>
          <w:lang w:val="en-US"/>
        </w:rPr>
        <w:t>M</w:t>
      </w:r>
      <w:r w:rsidRPr="00CB6CBA">
        <w:rPr>
          <w:lang w:val="en-US"/>
        </w:rPr>
        <w:t xml:space="preserve">. The value of </w:t>
      </w:r>
      <w:r w:rsidRPr="00CB6CBA">
        <w:rPr>
          <w:i/>
          <w:iCs/>
          <w:lang w:val="en-US"/>
        </w:rPr>
        <w:t>p</w:t>
      </w:r>
      <w:r w:rsidRPr="00CB6CBA">
        <w:rPr>
          <w:lang w:val="en-US"/>
        </w:rPr>
        <w:t>(</w:t>
      </w:r>
      <w:r w:rsidRPr="00CB6CBA">
        <w:rPr>
          <w:rFonts w:ascii="Tms Rmn" w:hAnsi="Tms Rmn"/>
          <w:i/>
          <w:iCs/>
          <w:sz w:val="4"/>
          <w:lang w:val="en-US"/>
        </w:rPr>
        <w:t> </w:t>
      </w:r>
      <w:r w:rsidRPr="00CB6CBA">
        <w:rPr>
          <w:i/>
          <w:iCs/>
          <w:lang w:val="en-US"/>
        </w:rPr>
        <w:t>N</w:t>
      </w:r>
      <w:r w:rsidRPr="00CB6CBA">
        <w:rPr>
          <w:rFonts w:ascii="Tms Rmn" w:hAnsi="Tms Rmn"/>
          <w:i/>
          <w:iCs/>
          <w:sz w:val="4"/>
          <w:lang w:val="en-US"/>
        </w:rPr>
        <w:t> </w:t>
      </w:r>
      <w:r w:rsidRPr="00CB6CBA">
        <w:rPr>
          <w:lang w:val="en-US"/>
        </w:rPr>
        <w:t xml:space="preserve">) decreases as </w:t>
      </w:r>
      <w:r w:rsidRPr="00CB6CBA">
        <w:rPr>
          <w:i/>
          <w:iCs/>
          <w:lang w:val="en-US"/>
        </w:rPr>
        <w:t>N</w:t>
      </w:r>
      <w:r w:rsidRPr="00CB6CBA">
        <w:rPr>
          <w:lang w:val="en-US"/>
        </w:rPr>
        <w:t xml:space="preserve"> increases. For given values of </w:t>
      </w:r>
      <w:r>
        <w:rPr>
          <w:lang w:val="en-US"/>
        </w:rPr>
        <w:sym w:font="Symbol" w:char="F072"/>
      </w:r>
      <w:r w:rsidRPr="00CB6CBA">
        <w:rPr>
          <w:vertAlign w:val="subscript"/>
          <w:lang w:val="en-US"/>
        </w:rPr>
        <w:t>0</w:t>
      </w:r>
      <w:r w:rsidRPr="00CB6CBA">
        <w:rPr>
          <w:lang w:val="en-US"/>
        </w:rPr>
        <w:t xml:space="preserve">, </w:t>
      </w:r>
      <w:r>
        <w:rPr>
          <w:lang w:val="en-US"/>
        </w:rPr>
        <w:sym w:font="Symbol" w:char="F073"/>
      </w:r>
      <w:r>
        <w:rPr>
          <w:lang w:val="en-US"/>
        </w:rPr>
        <w:t xml:space="preserve"> </w:t>
      </w:r>
      <w:r w:rsidRPr="00CB6CBA">
        <w:rPr>
          <w:lang w:val="en-US"/>
        </w:rPr>
        <w:t xml:space="preserve">and M = 1, 3 and 6, values of </w:t>
      </w:r>
      <w:r w:rsidRPr="00CB6CBA">
        <w:rPr>
          <w:i/>
          <w:iCs/>
          <w:lang w:val="en-US"/>
        </w:rPr>
        <w:t>p</w:t>
      </w:r>
      <w:r w:rsidRPr="00CB6CBA">
        <w:rPr>
          <w:lang w:val="en-US"/>
        </w:rPr>
        <w:t>(</w:t>
      </w:r>
      <w:r w:rsidRPr="00CB6CBA">
        <w:rPr>
          <w:rFonts w:ascii="Tms Rmn" w:hAnsi="Tms Rmn"/>
          <w:i/>
          <w:iCs/>
          <w:sz w:val="4"/>
          <w:lang w:val="en-US"/>
        </w:rPr>
        <w:t> </w:t>
      </w:r>
      <w:r w:rsidRPr="00CB6CBA">
        <w:rPr>
          <w:i/>
          <w:iCs/>
          <w:lang w:val="en-US"/>
        </w:rPr>
        <w:t>N</w:t>
      </w:r>
      <w:r w:rsidRPr="00CB6CBA">
        <w:rPr>
          <w:rFonts w:ascii="Tms Rmn" w:hAnsi="Tms Rmn"/>
          <w:i/>
          <w:iCs/>
          <w:sz w:val="4"/>
          <w:lang w:val="en-US"/>
        </w:rPr>
        <w:t> </w:t>
      </w:r>
      <w:r w:rsidRPr="00CB6CBA">
        <w:rPr>
          <w:lang w:val="en-US"/>
        </w:rPr>
        <w:t xml:space="preserve">) are calculated for a number of values of </w:t>
      </w:r>
      <w:r w:rsidRPr="00CB6CBA">
        <w:rPr>
          <w:i/>
          <w:iCs/>
          <w:lang w:val="en-US"/>
        </w:rPr>
        <w:t>N</w:t>
      </w:r>
      <w:r w:rsidRPr="00CB6CBA">
        <w:rPr>
          <w:lang w:val="en-US"/>
        </w:rPr>
        <w:t xml:space="preserve"> (i.e.: </w:t>
      </w:r>
      <w:r w:rsidRPr="00CB6CBA">
        <w:rPr>
          <w:i/>
          <w:iCs/>
          <w:lang w:val="en-US"/>
        </w:rPr>
        <w:t>q</w:t>
      </w:r>
      <w:r w:rsidRPr="00CB6CBA">
        <w:rPr>
          <w:rFonts w:ascii="Tms Rmn" w:hAnsi="Tms Rmn"/>
          <w:sz w:val="4"/>
          <w:lang w:val="en-US"/>
        </w:rPr>
        <w:t> </w:t>
      </w:r>
      <w:r w:rsidRPr="00CB6CBA">
        <w:rPr>
          <w:lang w:val="en-US"/>
        </w:rPr>
        <w:t xml:space="preserve">). The value of </w:t>
      </w:r>
      <w:r w:rsidRPr="00CB6CBA">
        <w:rPr>
          <w:i/>
          <w:iCs/>
          <w:lang w:val="en-US"/>
        </w:rPr>
        <w:t>N</w:t>
      </w:r>
      <w:r w:rsidRPr="00CB6CBA">
        <w:rPr>
          <w:lang w:val="en-US"/>
        </w:rPr>
        <w:t xml:space="preserve"> for which the condition </w:t>
      </w:r>
      <w:r w:rsidRPr="00CB6CBA">
        <w:rPr>
          <w:i/>
          <w:iCs/>
          <w:lang w:val="en-US"/>
        </w:rPr>
        <w:t>p</w:t>
      </w:r>
      <w:r w:rsidRPr="00CB6CBA">
        <w:rPr>
          <w:lang w:val="en-US"/>
        </w:rPr>
        <w:t>(</w:t>
      </w:r>
      <w:r w:rsidRPr="00CB6CBA">
        <w:rPr>
          <w:rFonts w:ascii="Tms Rmn" w:hAnsi="Tms Rmn"/>
          <w:i/>
          <w:iCs/>
          <w:sz w:val="4"/>
          <w:lang w:val="en-US"/>
        </w:rPr>
        <w:t> </w:t>
      </w:r>
      <w:r w:rsidRPr="00CB6CBA">
        <w:rPr>
          <w:i/>
          <w:iCs/>
          <w:lang w:val="en-US"/>
        </w:rPr>
        <w:t>N</w:t>
      </w:r>
      <w:r w:rsidRPr="00CB6CBA">
        <w:rPr>
          <w:rFonts w:ascii="Tms Rmn" w:hAnsi="Tms Rmn"/>
          <w:i/>
          <w:iCs/>
          <w:sz w:val="4"/>
          <w:lang w:val="en-US"/>
        </w:rPr>
        <w:t> </w:t>
      </w:r>
      <w:r w:rsidRPr="00CB6CBA">
        <w:rPr>
          <w:lang w:val="en-US"/>
        </w:rPr>
        <w:t>) </w:t>
      </w:r>
      <w:r w:rsidRPr="00CB6CBA">
        <w:rPr>
          <w:rFonts w:ascii="Symbol" w:hAnsi="Symbol"/>
          <w:szCs w:val="24"/>
          <w:lang w:val="en-US"/>
        </w:rPr>
        <w:sym w:font="Symbol" w:char="F0A3"/>
      </w:r>
      <w:r w:rsidRPr="00CB6CBA">
        <w:rPr>
          <w:lang w:val="en-US"/>
        </w:rPr>
        <w:t> </w:t>
      </w:r>
      <w:r w:rsidRPr="00CB6CBA">
        <w:rPr>
          <w:i/>
          <w:iCs/>
          <w:lang w:val="en-US"/>
        </w:rPr>
        <w:t>P</w:t>
      </w:r>
      <w:r w:rsidRPr="00CB6CBA">
        <w:rPr>
          <w:i/>
          <w:iCs/>
          <w:vertAlign w:val="subscript"/>
          <w:lang w:val="en-US"/>
        </w:rPr>
        <w:t>t</w:t>
      </w:r>
      <w:r w:rsidRPr="00CB6CBA">
        <w:rPr>
          <w:lang w:val="en-US"/>
        </w:rPr>
        <w:t xml:space="preserve"> is fulfilled is taken as the cluster size for the mobile network.</w:t>
      </w:r>
    </w:p>
    <w:p w:rsidR="00CA3B52" w:rsidRDefault="00CA3B52" w:rsidP="00CA3B52">
      <w:pPr>
        <w:rPr>
          <w:lang w:val="en-US"/>
        </w:rPr>
      </w:pPr>
      <w:r w:rsidRPr="00CB6CBA">
        <w:rPr>
          <w:lang w:val="en-US"/>
        </w:rPr>
        <w:lastRenderedPageBreak/>
        <w:t xml:space="preserve">The parameters </w:t>
      </w:r>
      <w:r>
        <w:rPr>
          <w:lang w:val="en-US"/>
        </w:rPr>
        <w:sym w:font="Symbol" w:char="F062"/>
      </w:r>
      <w:r w:rsidRPr="00CB6CBA">
        <w:rPr>
          <w:i/>
          <w:iCs/>
          <w:vertAlign w:val="subscript"/>
          <w:lang w:val="en-US"/>
        </w:rPr>
        <w:t>e</w:t>
      </w:r>
      <w:r w:rsidRPr="00CB6CBA">
        <w:rPr>
          <w:lang w:val="en-US"/>
        </w:rPr>
        <w:t xml:space="preserve"> and </w:t>
      </w:r>
      <w:r>
        <w:rPr>
          <w:lang w:val="en-US"/>
        </w:rPr>
        <w:sym w:font="Symbol" w:char="F073"/>
      </w:r>
      <w:r w:rsidRPr="00CB6CBA">
        <w:rPr>
          <w:i/>
          <w:iCs/>
          <w:vertAlign w:val="subscript"/>
          <w:lang w:val="en-US"/>
        </w:rPr>
        <w:t>p</w:t>
      </w:r>
      <w:r w:rsidRPr="00CB6CBA">
        <w:rPr>
          <w:lang w:val="en-US"/>
        </w:rPr>
        <w:t xml:space="preserve"> used in the equation for </w:t>
      </w:r>
      <w:r w:rsidRPr="00CB6CBA">
        <w:rPr>
          <w:i/>
          <w:iCs/>
          <w:lang w:val="en-US"/>
        </w:rPr>
        <w:t>p</w:t>
      </w:r>
      <w:r w:rsidRPr="00CB6CBA">
        <w:rPr>
          <w:lang w:val="en-US"/>
        </w:rPr>
        <w:t>(</w:t>
      </w:r>
      <w:r w:rsidRPr="00CB6CBA">
        <w:rPr>
          <w:rFonts w:ascii="Tms Rmn" w:hAnsi="Tms Rmn"/>
          <w:i/>
          <w:iCs/>
          <w:sz w:val="4"/>
          <w:lang w:val="en-US"/>
        </w:rPr>
        <w:t> </w:t>
      </w:r>
      <w:r w:rsidRPr="00CB6CBA">
        <w:rPr>
          <w:i/>
          <w:iCs/>
          <w:lang w:val="en-US"/>
        </w:rPr>
        <w:t>N</w:t>
      </w:r>
      <w:r w:rsidRPr="00CB6CBA">
        <w:rPr>
          <w:rFonts w:ascii="Tms Rmn" w:hAnsi="Tms Rmn"/>
          <w:i/>
          <w:iCs/>
          <w:sz w:val="4"/>
          <w:lang w:val="en-US"/>
        </w:rPr>
        <w:t> </w:t>
      </w:r>
      <w:r w:rsidRPr="00CB6CBA">
        <w:rPr>
          <w:lang w:val="en-US"/>
        </w:rPr>
        <w:t>) are determined using the following expressions:</w:t>
      </w:r>
    </w:p>
    <w:p w:rsidR="00CA3B52" w:rsidRPr="00CB6CBA" w:rsidRDefault="00CA3B52" w:rsidP="00CA3B52">
      <w:pPr>
        <w:pStyle w:val="Blanc"/>
      </w:pPr>
    </w:p>
    <w:p w:rsidR="00CA3B52" w:rsidRPr="00CB6CBA" w:rsidRDefault="00CA3B52" w:rsidP="00F65451">
      <w:pPr>
        <w:pStyle w:val="Equation"/>
        <w:rPr>
          <w:lang w:val="en-US"/>
        </w:rPr>
      </w:pPr>
      <w:r w:rsidRPr="000429F2">
        <w:rPr>
          <w:lang w:val="en-US"/>
        </w:rPr>
        <w:tab/>
      </w:r>
      <w:r w:rsidRPr="000429F2">
        <w:rPr>
          <w:lang w:val="en-US"/>
        </w:rPr>
        <w:tab/>
      </w:r>
      <w:r w:rsidRPr="00CB6CBA">
        <w:rPr>
          <w:position w:val="-12"/>
          <w:lang w:val="en-US"/>
        </w:rPr>
        <w:object w:dxaOrig="1500" w:dyaOrig="420">
          <v:shape id="_x0000_i1076" type="#_x0000_t75" style="width:73.4pt;height:21.5pt" o:ole="">
            <v:imagedata r:id="rId122" o:title=""/>
          </v:shape>
          <o:OLEObject Type="Embed" ProgID="Equation.3" ShapeID="_x0000_i1076" DrawAspect="Content" ObjectID="_1511604865" r:id="rId123"/>
        </w:object>
      </w:r>
    </w:p>
    <w:p w:rsidR="00CA3B52" w:rsidRPr="00CB6CBA" w:rsidRDefault="00CA3B52" w:rsidP="00F65451">
      <w:pPr>
        <w:pStyle w:val="Equation"/>
        <w:rPr>
          <w:lang w:val="en-US"/>
        </w:rPr>
      </w:pPr>
      <w:r>
        <w:tab/>
      </w:r>
      <w:r>
        <w:tab/>
      </w:r>
      <w:r w:rsidRPr="002101E7">
        <w:rPr>
          <w:position w:val="-84"/>
          <w:sz w:val="20"/>
          <w:lang w:val="en-US"/>
        </w:rPr>
        <w:object w:dxaOrig="3720" w:dyaOrig="1800">
          <v:shape id="_x0000_i1077" type="#_x0000_t75" style="width:212.25pt;height:90.25pt" o:ole="" fillcolor="window">
            <v:imagedata r:id="rId124" o:title=""/>
          </v:shape>
          <o:OLEObject Type="Embed" ProgID="Equation.3" ShapeID="_x0000_i1077" DrawAspect="Content" ObjectID="_1511604866" r:id="rId125"/>
        </w:object>
      </w:r>
    </w:p>
    <w:p w:rsidR="00CA3B52" w:rsidRPr="00CB6CBA" w:rsidRDefault="00CA3B52" w:rsidP="00CA3B52">
      <w:pPr>
        <w:pStyle w:val="Blanc"/>
        <w:rPr>
          <w:lang w:val="en-US"/>
        </w:rPr>
      </w:pPr>
    </w:p>
    <w:p w:rsidR="00CA3B52" w:rsidRPr="00CB6CBA" w:rsidRDefault="00CA3B52" w:rsidP="00F65451">
      <w:pPr>
        <w:pStyle w:val="Equation"/>
        <w:rPr>
          <w:lang w:val="en-US"/>
        </w:rPr>
      </w:pPr>
      <w:r>
        <w:tab/>
      </w:r>
      <w:r>
        <w:tab/>
      </w:r>
      <w:r w:rsidRPr="002101E7">
        <w:rPr>
          <w:position w:val="-36"/>
          <w:sz w:val="20"/>
          <w:lang w:val="en-US"/>
        </w:rPr>
        <w:object w:dxaOrig="3200" w:dyaOrig="840">
          <v:shape id="_x0000_i1078" type="#_x0000_t75" style="width:156.6pt;height:39.75pt" o:ole="" fillcolor="window">
            <v:imagedata r:id="rId126" o:title=""/>
          </v:shape>
          <o:OLEObject Type="Embed" ProgID="Equation.3" ShapeID="_x0000_i1078" DrawAspect="Content" ObjectID="_1511604867" r:id="rId127"/>
        </w:object>
      </w:r>
    </w:p>
    <w:p w:rsidR="00CA3B52" w:rsidRPr="00CB6CBA" w:rsidRDefault="00CA3B52" w:rsidP="00CA3B52">
      <w:pPr>
        <w:pStyle w:val="Blanc"/>
        <w:rPr>
          <w:lang w:val="en-US"/>
        </w:rPr>
      </w:pPr>
    </w:p>
    <w:p w:rsidR="00CA3B52" w:rsidRDefault="00CA3B52" w:rsidP="00CA3B52">
      <w:pPr>
        <w:rPr>
          <w:lang w:val="en-US"/>
        </w:rPr>
      </w:pPr>
      <w:r w:rsidRPr="00CB6CBA">
        <w:rPr>
          <w:lang w:val="en-US"/>
        </w:rPr>
        <w:t xml:space="preserve">Here, </w:t>
      </w:r>
      <w:r>
        <w:rPr>
          <w:lang w:val="en-US"/>
        </w:rPr>
        <w:sym w:font="Symbol" w:char="F06C"/>
      </w:r>
      <w:r>
        <w:rPr>
          <w:lang w:val="en-US"/>
        </w:rPr>
        <w:t xml:space="preserve"> =</w:t>
      </w:r>
      <w:r w:rsidRPr="00CB6CBA">
        <w:rPr>
          <w:lang w:val="en-US"/>
        </w:rPr>
        <w:t xml:space="preserve"> (0,1 ln(10)) and the values </w:t>
      </w:r>
      <w:r>
        <w:rPr>
          <w:lang w:val="en-US"/>
        </w:rPr>
        <w:sym w:font="Symbol" w:char="F06C"/>
      </w:r>
      <w:r w:rsidRPr="00CB6CBA">
        <w:rPr>
          <w:lang w:val="en-US"/>
        </w:rPr>
        <w:t xml:space="preserve"> and </w:t>
      </w:r>
      <w:r>
        <w:rPr>
          <w:lang w:val="en-US"/>
        </w:rPr>
        <w:sym w:font="Symbol" w:char="F062"/>
      </w:r>
      <w:r w:rsidRPr="00CB6CBA">
        <w:rPr>
          <w:i/>
          <w:iCs/>
          <w:vertAlign w:val="subscript"/>
          <w:lang w:val="en-US"/>
        </w:rPr>
        <w:t>i</w:t>
      </w:r>
      <w:r w:rsidRPr="00CB6CBA">
        <w:rPr>
          <w:lang w:val="en-US"/>
        </w:rPr>
        <w:t xml:space="preserve"> depend on </w:t>
      </w:r>
      <w:r w:rsidRPr="00CB6CBA">
        <w:rPr>
          <w:i/>
          <w:iCs/>
          <w:lang w:val="en-US"/>
        </w:rPr>
        <w:t>M</w:t>
      </w:r>
      <w:r w:rsidRPr="00CB6CBA">
        <w:rPr>
          <w:lang w:val="en-US"/>
        </w:rPr>
        <w:t xml:space="preserve"> and may be found using the following formulae:</w:t>
      </w:r>
    </w:p>
    <w:p w:rsidR="00CA3B52" w:rsidRPr="00CB6CBA" w:rsidRDefault="00CA3B52" w:rsidP="00CA3B52">
      <w:pPr>
        <w:pStyle w:val="Blanc"/>
      </w:pPr>
    </w:p>
    <w:p w:rsidR="00CA3B52" w:rsidRPr="00CB6CBA" w:rsidRDefault="00CA3B52" w:rsidP="00F65451">
      <w:pPr>
        <w:pStyle w:val="Equation"/>
        <w:rPr>
          <w:lang w:val="en-US"/>
        </w:rPr>
      </w:pPr>
      <w:r w:rsidRPr="00CB6CBA">
        <w:rPr>
          <w:lang w:val="en-US"/>
        </w:rPr>
        <w:tab/>
      </w:r>
      <w:r w:rsidRPr="00CB6CBA">
        <w:rPr>
          <w:position w:val="-60"/>
          <w:sz w:val="20"/>
          <w:lang w:val="en-US"/>
        </w:rPr>
        <w:object w:dxaOrig="7880" w:dyaOrig="1320">
          <v:shape id="_x0000_i1079" type="#_x0000_t75" style="width:394.6pt;height:65.9pt" o:ole="" fillcolor="window">
            <v:imagedata r:id="rId128" o:title=""/>
          </v:shape>
          <o:OLEObject Type="Embed" ProgID="Equation.3" ShapeID="_x0000_i1079" DrawAspect="Content" ObjectID="_1511604868" r:id="rId129"/>
        </w:object>
      </w:r>
    </w:p>
    <w:p w:rsidR="00CA3B52" w:rsidRPr="00CB6CBA" w:rsidRDefault="00CA3B52" w:rsidP="00CA3B52">
      <w:pPr>
        <w:pStyle w:val="enumlev1"/>
        <w:rPr>
          <w:lang w:val="en-US"/>
        </w:rPr>
      </w:pPr>
      <w:r w:rsidRPr="00CB6CBA">
        <w:rPr>
          <w:lang w:val="en-US"/>
        </w:rPr>
        <w:tab/>
        <w:t>where:</w:t>
      </w:r>
    </w:p>
    <w:p w:rsidR="00CA3B52" w:rsidRPr="00CB6CBA" w:rsidRDefault="00CA3B52" w:rsidP="00CA3B52">
      <w:pPr>
        <w:pStyle w:val="Blanc"/>
        <w:rPr>
          <w:lang w:val="en-US"/>
        </w:rPr>
      </w:pPr>
    </w:p>
    <w:p w:rsidR="00CA3B52" w:rsidRPr="00CB6CBA" w:rsidRDefault="00CA3B52" w:rsidP="00F65451">
      <w:pPr>
        <w:pStyle w:val="Equation"/>
        <w:rPr>
          <w:lang w:val="en-US"/>
        </w:rPr>
      </w:pPr>
      <w:r>
        <w:tab/>
      </w:r>
      <w:r>
        <w:tab/>
      </w:r>
      <w:r w:rsidRPr="00CB6CBA">
        <w:rPr>
          <w:position w:val="-10"/>
          <w:lang w:val="en-US"/>
        </w:rPr>
        <w:object w:dxaOrig="1080" w:dyaOrig="380">
          <v:shape id="_x0000_i1080" type="#_x0000_t75" style="width:52.85pt;height:18.7pt" o:ole="">
            <v:imagedata r:id="rId130" o:title=""/>
          </v:shape>
          <o:OLEObject Type="Embed" ProgID="Equation.3" ShapeID="_x0000_i1080" DrawAspect="Content" ObjectID="_1511604869" r:id="rId131"/>
        </w:object>
      </w:r>
    </w:p>
    <w:p w:rsidR="00CA3B52" w:rsidRPr="00CB6CBA" w:rsidRDefault="00CA3B52" w:rsidP="00CA3B52">
      <w:pPr>
        <w:pStyle w:val="Blanc"/>
        <w:rPr>
          <w:lang w:val="en-US"/>
        </w:rPr>
      </w:pPr>
    </w:p>
    <w:p w:rsidR="00CA3B52" w:rsidRPr="00CB6CBA" w:rsidRDefault="00CA3B52" w:rsidP="00CA3B52">
      <w:pPr>
        <w:pStyle w:val="enumlev1"/>
        <w:rPr>
          <w:lang w:val="en-US"/>
        </w:rPr>
      </w:pPr>
      <w:r w:rsidRPr="00CB6CBA">
        <w:rPr>
          <w:lang w:val="en-US"/>
        </w:rPr>
        <w:t>–</w:t>
      </w:r>
      <w:r w:rsidRPr="00CB6CBA">
        <w:rPr>
          <w:lang w:val="en-US"/>
        </w:rPr>
        <w:tab/>
        <w:t xml:space="preserve">Number of frequency, </w:t>
      </w:r>
      <w:r w:rsidRPr="00CB6CBA">
        <w:rPr>
          <w:i/>
          <w:iCs/>
          <w:lang w:val="en-US"/>
        </w:rPr>
        <w:t>n</w:t>
      </w:r>
      <w:r w:rsidRPr="00CB6CBA">
        <w:rPr>
          <w:i/>
          <w:iCs/>
          <w:vertAlign w:val="subscript"/>
          <w:lang w:val="en-US"/>
        </w:rPr>
        <w:t>s</w:t>
      </w:r>
      <w:r w:rsidRPr="00CB6CBA">
        <w:rPr>
          <w:lang w:val="en-US"/>
        </w:rPr>
        <w:t xml:space="preserve">, and telephone, </w:t>
      </w:r>
      <w:r w:rsidRPr="00CB6CBA">
        <w:rPr>
          <w:i/>
          <w:iCs/>
          <w:lang w:val="en-US"/>
        </w:rPr>
        <w:t>n</w:t>
      </w:r>
      <w:r w:rsidRPr="00CB6CBA">
        <w:rPr>
          <w:i/>
          <w:iCs/>
          <w:vertAlign w:val="subscript"/>
          <w:lang w:val="en-US"/>
        </w:rPr>
        <w:t>c</w:t>
      </w:r>
      <w:r w:rsidRPr="00CB6CBA">
        <w:rPr>
          <w:lang w:val="en-US"/>
        </w:rPr>
        <w:t>, channels used to serve subscribers in one sector of one cell:</w:t>
      </w:r>
    </w:p>
    <w:p w:rsidR="00CA3B52" w:rsidRPr="00CB6CBA" w:rsidRDefault="00CA3B52" w:rsidP="00CA3B52">
      <w:pPr>
        <w:pStyle w:val="Blanc"/>
        <w:rPr>
          <w:lang w:val="en-US"/>
        </w:rPr>
      </w:pPr>
    </w:p>
    <w:p w:rsidR="00CA3B52" w:rsidRPr="00CB6CBA" w:rsidRDefault="00CA3B52" w:rsidP="00F65451">
      <w:pPr>
        <w:pStyle w:val="Equation"/>
        <w:rPr>
          <w:lang w:val="en-US"/>
        </w:rPr>
      </w:pPr>
      <w:r w:rsidRPr="000429F2">
        <w:rPr>
          <w:lang w:val="en-US"/>
        </w:rPr>
        <w:tab/>
      </w:r>
      <w:r w:rsidRPr="000429F2">
        <w:rPr>
          <w:lang w:val="en-US"/>
        </w:rPr>
        <w:tab/>
      </w:r>
      <w:r w:rsidRPr="002101E7">
        <w:rPr>
          <w:position w:val="-12"/>
          <w:lang w:val="en-US"/>
        </w:rPr>
        <w:object w:dxaOrig="1860" w:dyaOrig="360">
          <v:shape id="_x0000_i1081" type="#_x0000_t75" style="width:93.5pt;height:19.15pt" o:ole="">
            <v:imagedata r:id="rId132" o:title=""/>
          </v:shape>
          <o:OLEObject Type="Embed" ProgID="Equation.3" ShapeID="_x0000_i1081" DrawAspect="Content" ObjectID="_1511604870" r:id="rId133"/>
        </w:object>
      </w:r>
    </w:p>
    <w:p w:rsidR="00CA3B52" w:rsidRPr="00CB6CBA" w:rsidRDefault="00CA3B52" w:rsidP="00F65451">
      <w:pPr>
        <w:pStyle w:val="Equation"/>
        <w:rPr>
          <w:lang w:val="en-US"/>
        </w:rPr>
      </w:pPr>
      <w:r>
        <w:tab/>
      </w:r>
      <w:r>
        <w:tab/>
      </w:r>
      <w:r w:rsidRPr="002101E7">
        <w:rPr>
          <w:position w:val="-12"/>
          <w:lang w:val="en-US"/>
        </w:rPr>
        <w:object w:dxaOrig="1260" w:dyaOrig="360">
          <v:shape id="_x0000_i1082" type="#_x0000_t75" style="width:62.2pt;height:19.15pt" o:ole="">
            <v:imagedata r:id="rId134" o:title=""/>
          </v:shape>
          <o:OLEObject Type="Embed" ProgID="Equation.3" ShapeID="_x0000_i1082" DrawAspect="Content" ObjectID="_1511604871" r:id="rId135"/>
        </w:object>
      </w:r>
    </w:p>
    <w:p w:rsidR="00CA3B52" w:rsidRPr="00CB6CBA" w:rsidRDefault="00CA3B52" w:rsidP="00CA3B52">
      <w:pPr>
        <w:pStyle w:val="Blanc"/>
        <w:rPr>
          <w:lang w:val="en-US"/>
        </w:rPr>
      </w:pPr>
    </w:p>
    <w:p w:rsidR="00CA3B52" w:rsidRPr="00CB6CBA" w:rsidRDefault="00CA3B52" w:rsidP="00CA3B52">
      <w:pPr>
        <w:pStyle w:val="enumlev1"/>
        <w:rPr>
          <w:lang w:val="en-US"/>
        </w:rPr>
      </w:pPr>
      <w:r w:rsidRPr="00CB6CBA">
        <w:rPr>
          <w:lang w:val="en-US"/>
        </w:rPr>
        <w:t>–</w:t>
      </w:r>
      <w:r w:rsidRPr="00CB6CBA">
        <w:rPr>
          <w:lang w:val="en-US"/>
        </w:rPr>
        <w:tab/>
        <w:t>Admissible telephone traffic in one sector of one cell (E):</w:t>
      </w:r>
    </w:p>
    <w:p w:rsidR="00CA3B52" w:rsidRPr="00CB6CBA" w:rsidRDefault="00CA3B52" w:rsidP="00CA3B52">
      <w:pPr>
        <w:pStyle w:val="Blanc"/>
        <w:rPr>
          <w:lang w:val="en-US"/>
        </w:rPr>
      </w:pPr>
    </w:p>
    <w:p w:rsidR="00CA3B52" w:rsidRPr="00CB6CBA" w:rsidRDefault="00CA3B52" w:rsidP="00F65451">
      <w:pPr>
        <w:pStyle w:val="Equation"/>
        <w:rPr>
          <w:lang w:val="en-US"/>
        </w:rPr>
      </w:pPr>
      <w:r w:rsidRPr="000429F2">
        <w:rPr>
          <w:lang w:val="en-US"/>
        </w:rPr>
        <w:tab/>
      </w:r>
      <w:r w:rsidRPr="000429F2">
        <w:rPr>
          <w:lang w:val="en-US"/>
        </w:rPr>
        <w:tab/>
      </w:r>
      <w:r w:rsidRPr="002101E7">
        <w:rPr>
          <w:position w:val="-52"/>
          <w:sz w:val="20"/>
          <w:lang w:val="en-US"/>
        </w:rPr>
        <w:object w:dxaOrig="7180" w:dyaOrig="1160">
          <v:shape id="_x0000_i1083" type="#_x0000_t75" style="width:354.4pt;height:57.5pt" o:ole="" fillcolor="window">
            <v:imagedata r:id="rId136" o:title=""/>
          </v:shape>
          <o:OLEObject Type="Embed" ProgID="Equation.3" ShapeID="_x0000_i1083" DrawAspect="Content" ObjectID="_1511604872" r:id="rId137"/>
        </w:object>
      </w:r>
    </w:p>
    <w:p w:rsidR="00CA3B52" w:rsidRPr="00CB6CBA" w:rsidRDefault="00CA3B52" w:rsidP="00CA3B52">
      <w:pPr>
        <w:pStyle w:val="Blanc"/>
        <w:rPr>
          <w:lang w:val="en-US"/>
        </w:rPr>
      </w:pPr>
    </w:p>
    <w:p w:rsidR="00CA3B52" w:rsidRPr="00CB6CBA" w:rsidRDefault="00CA3B52" w:rsidP="00CA3B52">
      <w:pPr>
        <w:pStyle w:val="enumlev1"/>
        <w:rPr>
          <w:lang w:val="en-US"/>
        </w:rPr>
      </w:pPr>
      <w:r w:rsidRPr="00CB6CBA">
        <w:rPr>
          <w:lang w:val="en-US"/>
        </w:rPr>
        <w:t>–</w:t>
      </w:r>
      <w:r w:rsidRPr="00CB6CBA">
        <w:rPr>
          <w:lang w:val="en-US"/>
        </w:rPr>
        <w:tab/>
        <w:t>Number of subscribers served by one BS for a given value of blocking probability:</w:t>
      </w:r>
    </w:p>
    <w:p w:rsidR="00CA3B52" w:rsidRPr="00CB6CBA" w:rsidRDefault="00CA3B52" w:rsidP="00CA3B52">
      <w:pPr>
        <w:pStyle w:val="Blanc"/>
        <w:rPr>
          <w:lang w:val="en-US"/>
        </w:rPr>
      </w:pPr>
    </w:p>
    <w:p w:rsidR="00CA3B52" w:rsidRPr="00CB6CBA" w:rsidRDefault="00CA3B52" w:rsidP="00F65451">
      <w:pPr>
        <w:pStyle w:val="Equation"/>
        <w:rPr>
          <w:lang w:val="en-US"/>
        </w:rPr>
      </w:pPr>
      <w:r w:rsidRPr="000429F2">
        <w:rPr>
          <w:lang w:val="en-US"/>
        </w:rPr>
        <w:tab/>
      </w:r>
      <w:r w:rsidRPr="000429F2">
        <w:rPr>
          <w:lang w:val="en-US"/>
        </w:rPr>
        <w:tab/>
      </w:r>
      <w:r w:rsidRPr="002101E7">
        <w:rPr>
          <w:position w:val="-12"/>
          <w:lang w:val="en-US"/>
        </w:rPr>
        <w:object w:dxaOrig="2100" w:dyaOrig="360">
          <v:shape id="_x0000_i1084" type="#_x0000_t75" style="width:105.2pt;height:19.15pt" o:ole="">
            <v:imagedata r:id="rId138" o:title=""/>
          </v:shape>
          <o:OLEObject Type="Embed" ProgID="Equation.3" ShapeID="_x0000_i1084" DrawAspect="Content" ObjectID="_1511604873" r:id="rId139"/>
        </w:object>
      </w:r>
    </w:p>
    <w:p w:rsidR="00CA3B52" w:rsidRPr="00CB6CBA" w:rsidRDefault="00CA3B52" w:rsidP="00CA3B52">
      <w:pPr>
        <w:pStyle w:val="Blanc"/>
        <w:rPr>
          <w:lang w:val="en-US"/>
        </w:rPr>
      </w:pPr>
    </w:p>
    <w:p w:rsidR="00CA3B52" w:rsidRPr="00CB6CBA" w:rsidRDefault="00CA3B52" w:rsidP="00CA3B52">
      <w:pPr>
        <w:pStyle w:val="enumlev1"/>
        <w:rPr>
          <w:lang w:val="en-US"/>
        </w:rPr>
      </w:pPr>
      <w:r w:rsidRPr="00CB6CBA">
        <w:rPr>
          <w:lang w:val="en-US"/>
        </w:rPr>
        <w:t>–</w:t>
      </w:r>
      <w:r w:rsidRPr="00CB6CBA">
        <w:rPr>
          <w:lang w:val="en-US"/>
        </w:rPr>
        <w:tab/>
        <w:t>The number of BS in the cellular network is determined as follows:</w:t>
      </w:r>
    </w:p>
    <w:p w:rsidR="00CA3B52" w:rsidRPr="00CB6CBA" w:rsidRDefault="00CA3B52" w:rsidP="00CA3B52">
      <w:pPr>
        <w:pStyle w:val="Blanc"/>
        <w:rPr>
          <w:lang w:val="en-US"/>
        </w:rPr>
      </w:pPr>
    </w:p>
    <w:p w:rsidR="00CA3B52" w:rsidRPr="00CB6CBA" w:rsidRDefault="00CA3B52" w:rsidP="00F65451">
      <w:pPr>
        <w:pStyle w:val="Equation"/>
        <w:rPr>
          <w:lang w:val="en-US"/>
        </w:rPr>
      </w:pPr>
      <w:r w:rsidRPr="000429F2">
        <w:rPr>
          <w:lang w:val="en-US"/>
        </w:rPr>
        <w:tab/>
      </w:r>
      <w:r w:rsidRPr="000429F2">
        <w:rPr>
          <w:lang w:val="en-US"/>
        </w:rPr>
        <w:tab/>
      </w:r>
      <w:r w:rsidRPr="002101E7">
        <w:rPr>
          <w:position w:val="-12"/>
          <w:lang w:val="en-US"/>
        </w:rPr>
        <w:object w:dxaOrig="2240" w:dyaOrig="360">
          <v:shape id="_x0000_i1085" type="#_x0000_t75" style="width:112.2pt;height:19.15pt" o:ole="">
            <v:imagedata r:id="rId140" o:title=""/>
          </v:shape>
          <o:OLEObject Type="Embed" ProgID="Equation.3" ShapeID="_x0000_i1085" DrawAspect="Content" ObjectID="_1511604874" r:id="rId141"/>
        </w:object>
      </w:r>
    </w:p>
    <w:p w:rsidR="00CA3B52" w:rsidRPr="00CB6CBA" w:rsidRDefault="00CA3B52" w:rsidP="00CA3B52">
      <w:pPr>
        <w:rPr>
          <w:lang w:val="en-US"/>
        </w:rPr>
      </w:pPr>
      <w:r w:rsidRPr="00CB6CBA">
        <w:rPr>
          <w:lang w:val="en-US"/>
        </w:rPr>
        <w:t>Thus, the proposed method enables the calculation of the required number of base stations and number of channels for a given network’s performance parameters and a given projected number of subscribers.</w:t>
      </w:r>
    </w:p>
    <w:p w:rsidR="00CA3B52" w:rsidRPr="00CB6CBA" w:rsidRDefault="00CA3B52" w:rsidP="00CA3B52">
      <w:pPr>
        <w:pStyle w:val="enumlev1"/>
        <w:rPr>
          <w:lang w:val="en-US"/>
        </w:rPr>
      </w:pPr>
      <w:r w:rsidRPr="00CB6CBA">
        <w:rPr>
          <w:lang w:val="en-US"/>
        </w:rPr>
        <w:t>b)</w:t>
      </w:r>
      <w:r w:rsidRPr="00CB6CBA">
        <w:rPr>
          <w:lang w:val="en-US"/>
        </w:rPr>
        <w:tab/>
      </w:r>
      <w:r w:rsidRPr="00CB6CBA">
        <w:rPr>
          <w:i/>
          <w:iCs/>
          <w:lang w:val="en-US"/>
        </w:rPr>
        <w:t>Determination of expenditures for establishment of a mobile network</w:t>
      </w:r>
    </w:p>
    <w:p w:rsidR="00CA3B52" w:rsidRPr="00CB6CBA" w:rsidRDefault="00CA3B52" w:rsidP="00CA3B52">
      <w:pPr>
        <w:rPr>
          <w:lang w:val="en-US"/>
        </w:rPr>
      </w:pPr>
      <w:r w:rsidRPr="00CB6CBA">
        <w:rPr>
          <w:lang w:val="en-US"/>
        </w:rPr>
        <w:t>The basic data in the second group are shown in Table 15.</w:t>
      </w:r>
    </w:p>
    <w:p w:rsidR="00CA3B52" w:rsidRPr="00CB6CBA" w:rsidRDefault="00CA3B52" w:rsidP="00CA3B52">
      <w:pPr>
        <w:pStyle w:val="TableNo"/>
        <w:rPr>
          <w:lang w:val="en-US"/>
        </w:rPr>
      </w:pPr>
      <w:r w:rsidRPr="00CB6CBA">
        <w:rPr>
          <w:lang w:val="en-US"/>
        </w:rPr>
        <w:t>TABLE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4536"/>
        <w:gridCol w:w="3969"/>
      </w:tblGrid>
      <w:tr w:rsidR="00CA3B52" w:rsidRPr="00CB6CBA" w:rsidTr="006D51AA">
        <w:trPr>
          <w:jc w:val="center"/>
        </w:trPr>
        <w:tc>
          <w:tcPr>
            <w:tcW w:w="1134" w:type="dxa"/>
          </w:tcPr>
          <w:p w:rsidR="00CA3B52" w:rsidRPr="002101E7" w:rsidRDefault="00CA3B52" w:rsidP="006D51AA">
            <w:pPr>
              <w:pStyle w:val="Tablehead"/>
            </w:pPr>
            <w:r w:rsidRPr="002101E7">
              <w:t>Symbol</w:t>
            </w:r>
          </w:p>
        </w:tc>
        <w:tc>
          <w:tcPr>
            <w:tcW w:w="4536" w:type="dxa"/>
          </w:tcPr>
          <w:p w:rsidR="00CA3B52" w:rsidRPr="002101E7" w:rsidRDefault="00CA3B52" w:rsidP="002D1D5C">
            <w:pPr>
              <w:pStyle w:val="Tablehead"/>
            </w:pPr>
            <w:r w:rsidRPr="002101E7">
              <w:t>Parameter</w:t>
            </w:r>
          </w:p>
        </w:tc>
        <w:tc>
          <w:tcPr>
            <w:tcW w:w="3969" w:type="dxa"/>
          </w:tcPr>
          <w:p w:rsidR="00CA3B52" w:rsidRPr="002101E7" w:rsidRDefault="00CA3B52" w:rsidP="002D1D5C">
            <w:pPr>
              <w:pStyle w:val="Tablehead"/>
            </w:pPr>
            <w:r w:rsidRPr="002101E7">
              <w:t>Calculation value</w:t>
            </w:r>
          </w:p>
        </w:tc>
      </w:tr>
      <w:tr w:rsidR="00CA3B52" w:rsidRPr="00CB6CBA" w:rsidTr="006D51AA">
        <w:trPr>
          <w:jc w:val="center"/>
        </w:trPr>
        <w:tc>
          <w:tcPr>
            <w:tcW w:w="1134" w:type="dxa"/>
          </w:tcPr>
          <w:p w:rsidR="00CA3B52" w:rsidRPr="006D51AA" w:rsidRDefault="00CA3B52" w:rsidP="00F65451">
            <w:pPr>
              <w:pStyle w:val="Tabletext"/>
              <w:jc w:val="center"/>
              <w:rPr>
                <w:i/>
                <w:iCs/>
                <w:lang w:val="en-US"/>
              </w:rPr>
            </w:pPr>
            <w:r w:rsidRPr="006D51AA">
              <w:rPr>
                <w:i/>
                <w:iCs/>
                <w:lang w:val="en-US"/>
              </w:rPr>
              <w:t>K</w:t>
            </w:r>
            <w:r w:rsidRPr="006D51AA">
              <w:rPr>
                <w:i/>
                <w:iCs/>
                <w:vertAlign w:val="subscript"/>
                <w:lang w:val="en-US"/>
              </w:rPr>
              <w:t>h</w:t>
            </w:r>
          </w:p>
        </w:tc>
        <w:tc>
          <w:tcPr>
            <w:tcW w:w="4536" w:type="dxa"/>
          </w:tcPr>
          <w:p w:rsidR="00CA3B52" w:rsidRPr="00CB6CBA" w:rsidRDefault="00CA3B52" w:rsidP="00F65451">
            <w:pPr>
              <w:pStyle w:val="Tabletext"/>
              <w:rPr>
                <w:lang w:val="en-US"/>
              </w:rPr>
            </w:pPr>
            <w:r w:rsidRPr="00CB6CBA">
              <w:rPr>
                <w:lang w:val="en-US"/>
              </w:rPr>
              <w:t>Average hourly rate of an installer</w:t>
            </w:r>
          </w:p>
        </w:tc>
        <w:tc>
          <w:tcPr>
            <w:tcW w:w="3969" w:type="dxa"/>
          </w:tcPr>
          <w:p w:rsidR="00CA3B52" w:rsidRPr="00CB6CBA" w:rsidRDefault="00CA3B52" w:rsidP="00F65451">
            <w:pPr>
              <w:pStyle w:val="Tabletext"/>
              <w:rPr>
                <w:lang w:val="en-US"/>
              </w:rPr>
            </w:pPr>
            <w:r w:rsidRPr="00CB6CBA">
              <w:rPr>
                <w:lang w:val="en-US"/>
              </w:rPr>
              <w:t>3 (USD/h)</w:t>
            </w:r>
          </w:p>
        </w:tc>
      </w:tr>
      <w:tr w:rsidR="00CA3B52" w:rsidRPr="00CB6CBA" w:rsidTr="006D51AA">
        <w:trPr>
          <w:jc w:val="center"/>
        </w:trPr>
        <w:tc>
          <w:tcPr>
            <w:tcW w:w="1134" w:type="dxa"/>
          </w:tcPr>
          <w:p w:rsidR="00CA3B52" w:rsidRPr="002101E7" w:rsidRDefault="00CA3B52" w:rsidP="00F65451">
            <w:pPr>
              <w:pStyle w:val="Tabletext"/>
              <w:jc w:val="center"/>
              <w:rPr>
                <w:lang w:val="en-US"/>
              </w:rPr>
            </w:pPr>
            <w:r w:rsidRPr="006D51AA">
              <w:rPr>
                <w:i/>
                <w:iCs/>
                <w:lang w:val="en-US"/>
              </w:rPr>
              <w:t>K</w:t>
            </w:r>
            <w:r w:rsidRPr="006D51AA">
              <w:rPr>
                <w:i/>
                <w:iCs/>
                <w:vertAlign w:val="subscript"/>
                <w:lang w:val="en-US"/>
              </w:rPr>
              <w:t>BS</w:t>
            </w:r>
          </w:p>
        </w:tc>
        <w:tc>
          <w:tcPr>
            <w:tcW w:w="4536" w:type="dxa"/>
          </w:tcPr>
          <w:p w:rsidR="00CA3B52" w:rsidRPr="00CB6CBA" w:rsidRDefault="00CA3B52" w:rsidP="00F65451">
            <w:pPr>
              <w:pStyle w:val="Tabletext"/>
              <w:rPr>
                <w:lang w:val="en-US"/>
              </w:rPr>
            </w:pPr>
            <w:r w:rsidRPr="00CB6CBA">
              <w:rPr>
                <w:lang w:val="en-US"/>
              </w:rPr>
              <w:t>Price of a typical single-channel BS installation</w:t>
            </w:r>
          </w:p>
        </w:tc>
        <w:tc>
          <w:tcPr>
            <w:tcW w:w="3969" w:type="dxa"/>
          </w:tcPr>
          <w:p w:rsidR="00CA3B52" w:rsidRPr="00CB6CBA" w:rsidRDefault="00CA3B52" w:rsidP="00F65451">
            <w:pPr>
              <w:pStyle w:val="Tabletext"/>
              <w:rPr>
                <w:lang w:val="en-US"/>
              </w:rPr>
            </w:pPr>
            <w:r w:rsidRPr="00CB6CBA">
              <w:rPr>
                <w:lang w:val="en-US"/>
              </w:rPr>
              <w:t>USD 230</w:t>
            </w:r>
            <w:r w:rsidRPr="00CB6CBA">
              <w:rPr>
                <w:rFonts w:ascii="Tms Rmn" w:hAnsi="Tms Rmn"/>
                <w:lang w:val="en-US"/>
              </w:rPr>
              <w:t> </w:t>
            </w:r>
            <w:r w:rsidRPr="00CB6CBA">
              <w:rPr>
                <w:lang w:val="en-US"/>
              </w:rPr>
              <w:t>000</w:t>
            </w:r>
          </w:p>
        </w:tc>
      </w:tr>
      <w:tr w:rsidR="00CA3B52" w:rsidRPr="00CB6CBA" w:rsidTr="006D51AA">
        <w:trPr>
          <w:jc w:val="center"/>
        </w:trPr>
        <w:tc>
          <w:tcPr>
            <w:tcW w:w="1134" w:type="dxa"/>
          </w:tcPr>
          <w:p w:rsidR="00CA3B52" w:rsidRPr="002101E7" w:rsidRDefault="00CA3B52" w:rsidP="00F65451">
            <w:pPr>
              <w:pStyle w:val="Tabletext"/>
              <w:jc w:val="center"/>
              <w:rPr>
                <w:lang w:val="en-US"/>
              </w:rPr>
            </w:pPr>
            <w:r w:rsidRPr="006D51AA">
              <w:rPr>
                <w:i/>
                <w:iCs/>
                <w:lang w:val="en-US"/>
              </w:rPr>
              <w:t>K</w:t>
            </w:r>
            <w:r w:rsidRPr="006D51AA">
              <w:rPr>
                <w:i/>
                <w:iCs/>
                <w:vertAlign w:val="subscript"/>
                <w:lang w:val="en-US"/>
              </w:rPr>
              <w:t>E</w:t>
            </w:r>
          </w:p>
        </w:tc>
        <w:tc>
          <w:tcPr>
            <w:tcW w:w="4536" w:type="dxa"/>
          </w:tcPr>
          <w:p w:rsidR="00CA3B52" w:rsidRPr="00CB6CBA" w:rsidRDefault="00CA3B52" w:rsidP="00F65451">
            <w:pPr>
              <w:pStyle w:val="Tabletext"/>
              <w:rPr>
                <w:lang w:val="en-US"/>
              </w:rPr>
            </w:pPr>
            <w:r w:rsidRPr="00CB6CBA">
              <w:rPr>
                <w:lang w:val="en-US"/>
              </w:rPr>
              <w:t>Cost of one receiving/transmitting unit</w:t>
            </w:r>
          </w:p>
        </w:tc>
        <w:tc>
          <w:tcPr>
            <w:tcW w:w="3969" w:type="dxa"/>
          </w:tcPr>
          <w:p w:rsidR="00CA3B52" w:rsidRPr="00CB6CBA" w:rsidRDefault="00CA3B52" w:rsidP="00F65451">
            <w:pPr>
              <w:pStyle w:val="Tabletext"/>
              <w:rPr>
                <w:lang w:val="en-US"/>
              </w:rPr>
            </w:pPr>
            <w:r w:rsidRPr="00CB6CBA">
              <w:rPr>
                <w:lang w:val="en-US"/>
              </w:rPr>
              <w:t>USD 11</w:t>
            </w:r>
            <w:r w:rsidRPr="00CB6CBA">
              <w:rPr>
                <w:rFonts w:ascii="Tms Rmn" w:hAnsi="Tms Rmn"/>
                <w:lang w:val="en-US"/>
              </w:rPr>
              <w:t> </w:t>
            </w:r>
            <w:r w:rsidRPr="00CB6CBA">
              <w:rPr>
                <w:lang w:val="en-US"/>
              </w:rPr>
              <w:t>000</w:t>
            </w:r>
          </w:p>
        </w:tc>
      </w:tr>
      <w:tr w:rsidR="00CA3B52" w:rsidRPr="00CB6CBA" w:rsidTr="006D51AA">
        <w:trPr>
          <w:jc w:val="center"/>
        </w:trPr>
        <w:tc>
          <w:tcPr>
            <w:tcW w:w="1134" w:type="dxa"/>
          </w:tcPr>
          <w:p w:rsidR="00CA3B52" w:rsidRPr="00CB6CBA" w:rsidRDefault="00CA3B52" w:rsidP="00F65451">
            <w:pPr>
              <w:pStyle w:val="Tabletext"/>
              <w:jc w:val="center"/>
              <w:rPr>
                <w:lang w:val="en-US"/>
              </w:rPr>
            </w:pPr>
            <w:r w:rsidRPr="00CB6CBA">
              <w:rPr>
                <w:lang w:val="en-US"/>
              </w:rPr>
              <w:br/>
            </w:r>
          </w:p>
          <w:p w:rsidR="00CA3B52" w:rsidRPr="00CB6CBA" w:rsidRDefault="00CA3B52" w:rsidP="00F65451">
            <w:pPr>
              <w:pStyle w:val="Tabletext"/>
              <w:jc w:val="center"/>
              <w:rPr>
                <w:lang w:val="en-US"/>
              </w:rPr>
            </w:pPr>
            <w:r w:rsidRPr="006D51AA">
              <w:rPr>
                <w:i/>
                <w:iCs/>
                <w:lang w:val="en-US"/>
              </w:rPr>
              <w:t>A</w:t>
            </w:r>
            <w:r w:rsidRPr="006D51AA">
              <w:rPr>
                <w:vertAlign w:val="subscript"/>
                <w:lang w:val="en-US"/>
              </w:rPr>
              <w:t>1</w:t>
            </w:r>
          </w:p>
          <w:p w:rsidR="00CA3B52" w:rsidRPr="00CB6CBA" w:rsidRDefault="00CA3B52" w:rsidP="00F65451">
            <w:pPr>
              <w:pStyle w:val="Tabletext"/>
              <w:jc w:val="center"/>
              <w:rPr>
                <w:lang w:val="en-US"/>
              </w:rPr>
            </w:pPr>
            <w:r w:rsidRPr="006D51AA">
              <w:rPr>
                <w:i/>
                <w:iCs/>
                <w:lang w:val="en-US"/>
              </w:rPr>
              <w:t>A</w:t>
            </w:r>
            <w:r w:rsidRPr="006D51AA">
              <w:rPr>
                <w:vertAlign w:val="subscript"/>
                <w:lang w:val="en-US"/>
              </w:rPr>
              <w:t>2</w:t>
            </w:r>
          </w:p>
        </w:tc>
        <w:tc>
          <w:tcPr>
            <w:tcW w:w="4536" w:type="dxa"/>
          </w:tcPr>
          <w:p w:rsidR="00CA3B52" w:rsidRPr="00CB6CBA" w:rsidRDefault="00CA3B52" w:rsidP="00F65451">
            <w:pPr>
              <w:pStyle w:val="Tabletext"/>
              <w:rPr>
                <w:lang w:val="en-US"/>
              </w:rPr>
            </w:pPr>
            <w:r w:rsidRPr="00CB6CBA">
              <w:rPr>
                <w:lang w:val="en-US"/>
              </w:rPr>
              <w:t>Fixed portion of cost of connection links, independent of link length</w:t>
            </w:r>
          </w:p>
        </w:tc>
        <w:tc>
          <w:tcPr>
            <w:tcW w:w="3969" w:type="dxa"/>
          </w:tcPr>
          <w:p w:rsidR="00CA3B52" w:rsidRPr="00CB6CBA" w:rsidRDefault="00CA3B52" w:rsidP="00F65451">
            <w:pPr>
              <w:pStyle w:val="Tabletext"/>
              <w:jc w:val="left"/>
              <w:rPr>
                <w:lang w:val="en-US"/>
              </w:rPr>
            </w:pPr>
            <w:r w:rsidRPr="00CB6CBA">
              <w:rPr>
                <w:lang w:val="en-US"/>
              </w:rPr>
              <w:t>For digital radio-relay</w:t>
            </w:r>
            <w:r w:rsidRPr="00CB6CBA">
              <w:rPr>
                <w:lang w:val="en-US"/>
              </w:rPr>
              <w:br/>
            </w:r>
          </w:p>
          <w:p w:rsidR="00CA3B52" w:rsidRPr="00CB6CBA" w:rsidRDefault="00CA3B52" w:rsidP="00F65451">
            <w:pPr>
              <w:pStyle w:val="Tabletext"/>
              <w:rPr>
                <w:lang w:val="en-US"/>
              </w:rPr>
            </w:pPr>
            <w:r w:rsidRPr="00CB6CBA">
              <w:rPr>
                <w:lang w:val="en-US"/>
              </w:rPr>
              <w:t>USD 351/channel</w:t>
            </w:r>
          </w:p>
          <w:p w:rsidR="00CA3B52" w:rsidRPr="00CB6CBA" w:rsidRDefault="00CA3B52" w:rsidP="00F65451">
            <w:pPr>
              <w:pStyle w:val="Tabletext"/>
              <w:rPr>
                <w:lang w:val="en-US"/>
              </w:rPr>
            </w:pPr>
            <w:r w:rsidRPr="00CB6CBA">
              <w:rPr>
                <w:lang w:val="en-US"/>
              </w:rPr>
              <w:t>USD 176/channel</w:t>
            </w:r>
          </w:p>
        </w:tc>
      </w:tr>
      <w:tr w:rsidR="00CA3B52" w:rsidRPr="00CB6CBA" w:rsidTr="006D51AA">
        <w:trPr>
          <w:jc w:val="center"/>
        </w:trPr>
        <w:tc>
          <w:tcPr>
            <w:tcW w:w="1134" w:type="dxa"/>
          </w:tcPr>
          <w:p w:rsidR="00CA3B52" w:rsidRPr="00CB6CBA" w:rsidRDefault="00CA3B52" w:rsidP="00F65451">
            <w:pPr>
              <w:pStyle w:val="Tabletext"/>
              <w:jc w:val="center"/>
              <w:rPr>
                <w:lang w:val="en-US"/>
              </w:rPr>
            </w:pPr>
            <w:r w:rsidRPr="00CB6CBA">
              <w:rPr>
                <w:lang w:val="en-US"/>
              </w:rPr>
              <w:br/>
            </w:r>
          </w:p>
          <w:p w:rsidR="00CA3B52" w:rsidRPr="00CB6CBA" w:rsidRDefault="00CA3B52" w:rsidP="00F65451">
            <w:pPr>
              <w:pStyle w:val="Tabletext"/>
              <w:jc w:val="center"/>
              <w:rPr>
                <w:lang w:val="en-US"/>
              </w:rPr>
            </w:pPr>
            <w:r w:rsidRPr="006D51AA">
              <w:rPr>
                <w:i/>
                <w:iCs/>
                <w:lang w:val="en-US"/>
              </w:rPr>
              <w:t>B</w:t>
            </w:r>
            <w:r w:rsidRPr="006D51AA">
              <w:rPr>
                <w:vertAlign w:val="subscript"/>
                <w:lang w:val="en-US"/>
              </w:rPr>
              <w:t>1</w:t>
            </w:r>
          </w:p>
          <w:p w:rsidR="00CA3B52" w:rsidRPr="00CB6CBA" w:rsidRDefault="00CA3B52" w:rsidP="00F65451">
            <w:pPr>
              <w:pStyle w:val="Tabletext"/>
              <w:jc w:val="center"/>
              <w:rPr>
                <w:lang w:val="en-US"/>
              </w:rPr>
            </w:pPr>
            <w:r w:rsidRPr="006D51AA">
              <w:rPr>
                <w:i/>
                <w:iCs/>
                <w:lang w:val="en-US"/>
              </w:rPr>
              <w:t>B</w:t>
            </w:r>
            <w:r w:rsidRPr="006D51AA">
              <w:rPr>
                <w:vertAlign w:val="subscript"/>
                <w:lang w:val="en-US"/>
              </w:rPr>
              <w:t>2</w:t>
            </w:r>
          </w:p>
        </w:tc>
        <w:tc>
          <w:tcPr>
            <w:tcW w:w="4536" w:type="dxa"/>
          </w:tcPr>
          <w:p w:rsidR="00CA3B52" w:rsidRPr="00CB6CBA" w:rsidRDefault="00CA3B52" w:rsidP="00F65451">
            <w:pPr>
              <w:pStyle w:val="Tabletext"/>
              <w:rPr>
                <w:lang w:val="en-US"/>
              </w:rPr>
            </w:pPr>
            <w:r w:rsidRPr="00CB6CBA">
              <w:rPr>
                <w:lang w:val="en-US"/>
              </w:rPr>
              <w:t>Variable portion of cost of connection links dependent on link length</w:t>
            </w:r>
          </w:p>
        </w:tc>
        <w:tc>
          <w:tcPr>
            <w:tcW w:w="3969" w:type="dxa"/>
          </w:tcPr>
          <w:p w:rsidR="00CA3B52" w:rsidRPr="00CB6CBA" w:rsidRDefault="00CA3B52" w:rsidP="00F65451">
            <w:pPr>
              <w:pStyle w:val="Tabletext"/>
              <w:jc w:val="left"/>
              <w:rPr>
                <w:lang w:val="en-US"/>
              </w:rPr>
            </w:pPr>
            <w:r w:rsidRPr="00CB6CBA">
              <w:rPr>
                <w:lang w:val="en-US"/>
              </w:rPr>
              <w:t>For digital radio-relay</w:t>
            </w:r>
            <w:r w:rsidRPr="00CB6CBA">
              <w:rPr>
                <w:lang w:val="en-US"/>
              </w:rPr>
              <w:br/>
            </w:r>
          </w:p>
          <w:p w:rsidR="00CA3B52" w:rsidRPr="00CB6CBA" w:rsidRDefault="00CA3B52" w:rsidP="00F65451">
            <w:pPr>
              <w:pStyle w:val="Tabletext"/>
              <w:rPr>
                <w:lang w:val="en-US"/>
              </w:rPr>
            </w:pPr>
            <w:r w:rsidRPr="00CB6CBA">
              <w:rPr>
                <w:lang w:val="en-US"/>
              </w:rPr>
              <w:t>USD 23/channel km</w:t>
            </w:r>
          </w:p>
          <w:p w:rsidR="00CA3B52" w:rsidRPr="00CB6CBA" w:rsidRDefault="00CA3B52" w:rsidP="00F65451">
            <w:pPr>
              <w:pStyle w:val="Tabletext"/>
              <w:rPr>
                <w:lang w:val="en-US"/>
              </w:rPr>
            </w:pPr>
            <w:r w:rsidRPr="00CB6CBA">
              <w:rPr>
                <w:lang w:val="en-US"/>
              </w:rPr>
              <w:t>USD 12/channel km</w:t>
            </w:r>
          </w:p>
        </w:tc>
      </w:tr>
    </w:tbl>
    <w:p w:rsidR="00CA3B52" w:rsidRPr="00CB6CBA" w:rsidRDefault="00CA3B52" w:rsidP="00CA3B52">
      <w:pPr>
        <w:pStyle w:val="Tablefin"/>
        <w:rPr>
          <w:lang w:val="en-US"/>
        </w:rPr>
      </w:pPr>
    </w:p>
    <w:p w:rsidR="00CA3B52" w:rsidRPr="00CB6CBA" w:rsidRDefault="00CA3B52" w:rsidP="00CA3B52">
      <w:pPr>
        <w:rPr>
          <w:lang w:val="en-US"/>
        </w:rPr>
      </w:pPr>
      <w:r w:rsidRPr="00CB6CBA">
        <w:rPr>
          <w:lang w:val="en-US"/>
        </w:rPr>
        <w:t>Expenditures</w:t>
      </w:r>
      <w:r w:rsidRPr="00CB6CBA">
        <w:rPr>
          <w:b/>
          <w:lang w:val="en-US"/>
        </w:rPr>
        <w:t xml:space="preserve"> </w:t>
      </w:r>
      <w:r w:rsidRPr="00CB6CBA">
        <w:rPr>
          <w:lang w:val="en-US"/>
        </w:rPr>
        <w:t>comprise five components and are determined as follows:</w:t>
      </w:r>
    </w:p>
    <w:p w:rsidR="00CA3B52" w:rsidRPr="00CB6CBA" w:rsidRDefault="00CA3B52" w:rsidP="00CA3B52">
      <w:pPr>
        <w:pStyle w:val="Blanc"/>
        <w:rPr>
          <w:lang w:val="en-US"/>
        </w:rPr>
      </w:pPr>
    </w:p>
    <w:p w:rsidR="00CA3B52" w:rsidRPr="00CB6CBA" w:rsidRDefault="00CA3B52" w:rsidP="00F65451">
      <w:pPr>
        <w:pStyle w:val="Equation"/>
        <w:rPr>
          <w:lang w:val="en-US"/>
        </w:rPr>
      </w:pPr>
      <w:r w:rsidRPr="000429F2">
        <w:rPr>
          <w:lang w:val="en-US"/>
        </w:rPr>
        <w:tab/>
      </w:r>
      <w:r w:rsidRPr="000429F2">
        <w:rPr>
          <w:lang w:val="en-US"/>
        </w:rPr>
        <w:tab/>
      </w:r>
      <w:r w:rsidRPr="001F2E5C">
        <w:rPr>
          <w:position w:val="-12"/>
          <w:lang w:val="en-US"/>
        </w:rPr>
        <w:object w:dxaOrig="3140" w:dyaOrig="360">
          <v:shape id="_x0000_i1086" type="#_x0000_t75" style="width:157.55pt;height:19.15pt" o:ole="">
            <v:imagedata r:id="rId142" o:title=""/>
          </v:shape>
          <o:OLEObject Type="Embed" ProgID="Equation.3" ShapeID="_x0000_i1086" DrawAspect="Content" ObjectID="_1511604875" r:id="rId143"/>
        </w:object>
      </w:r>
    </w:p>
    <w:p w:rsidR="00CA3B52" w:rsidRPr="00CB6CBA" w:rsidRDefault="00CA3B52" w:rsidP="00CA3B52">
      <w:pPr>
        <w:rPr>
          <w:lang w:val="en-US"/>
        </w:rPr>
      </w:pPr>
      <w:r w:rsidRPr="00CB6CBA">
        <w:rPr>
          <w:lang w:val="en-US"/>
        </w:rPr>
        <w:t>where:</w:t>
      </w:r>
    </w:p>
    <w:p w:rsidR="00CA3B52" w:rsidRPr="00CB6CBA" w:rsidRDefault="00CA3B52" w:rsidP="00CA3B52">
      <w:pPr>
        <w:pStyle w:val="Equationlegend"/>
      </w:pPr>
      <w:r w:rsidRPr="00CB6CBA">
        <w:tab/>
      </w:r>
      <w:r w:rsidRPr="00CB6CBA">
        <w:rPr>
          <w:i/>
          <w:iCs/>
        </w:rPr>
        <w:t>K</w:t>
      </w:r>
      <w:r w:rsidRPr="00CB6CBA">
        <w:rPr>
          <w:vertAlign w:val="subscript"/>
        </w:rPr>
        <w:t>1</w:t>
      </w:r>
      <w:r w:rsidRPr="00CB6CBA">
        <w:rPr>
          <w:rFonts w:ascii="Tms Rmn" w:hAnsi="Tms Rmn"/>
          <w:sz w:val="12"/>
        </w:rPr>
        <w:t> </w:t>
      </w:r>
      <w:r w:rsidRPr="00CB6CBA">
        <w:rPr>
          <w:rFonts w:ascii="Tms Rmn" w:hAnsi="Tms Rmn"/>
        </w:rPr>
        <w:t>:</w:t>
      </w:r>
      <w:r w:rsidRPr="00CB6CBA">
        <w:rPr>
          <w:rFonts w:ascii="Tms Rmn" w:hAnsi="Tms Rmn"/>
        </w:rPr>
        <w:tab/>
      </w:r>
      <w:r w:rsidRPr="00CB6CBA">
        <w:t>cost of construction and assembly work</w:t>
      </w:r>
    </w:p>
    <w:p w:rsidR="00CA3B52" w:rsidRPr="00CB6CBA" w:rsidRDefault="00CA3B52" w:rsidP="00CA3B52">
      <w:pPr>
        <w:pStyle w:val="Equationlegend"/>
      </w:pPr>
      <w:r w:rsidRPr="00CB6CBA">
        <w:tab/>
      </w:r>
      <w:r w:rsidRPr="00CB6CBA">
        <w:rPr>
          <w:i/>
          <w:iCs/>
        </w:rPr>
        <w:t>K</w:t>
      </w:r>
      <w:r w:rsidRPr="00CB6CBA">
        <w:rPr>
          <w:vertAlign w:val="subscript"/>
        </w:rPr>
        <w:t>2</w:t>
      </w:r>
      <w:r w:rsidRPr="00CB6CBA">
        <w:rPr>
          <w:rFonts w:ascii="Tms Rmn" w:hAnsi="Tms Rmn"/>
          <w:sz w:val="12"/>
        </w:rPr>
        <w:t> </w:t>
      </w:r>
      <w:r w:rsidRPr="00CB6CBA">
        <w:rPr>
          <w:rFonts w:ascii="Tms Rmn" w:hAnsi="Tms Rmn"/>
        </w:rPr>
        <w:t>:</w:t>
      </w:r>
      <w:r w:rsidRPr="00CB6CBA">
        <w:rPr>
          <w:rFonts w:ascii="Tms Rmn" w:hAnsi="Tms Rmn"/>
        </w:rPr>
        <w:tab/>
      </w:r>
      <w:r w:rsidRPr="00CB6CBA">
        <w:t>cost of BS equipment</w:t>
      </w:r>
    </w:p>
    <w:p w:rsidR="00CA3B52" w:rsidRPr="00CB6CBA" w:rsidRDefault="00CA3B52" w:rsidP="00CA3B52">
      <w:pPr>
        <w:pStyle w:val="Equationlegend"/>
      </w:pPr>
      <w:r w:rsidRPr="00CB6CBA">
        <w:tab/>
      </w:r>
      <w:r w:rsidRPr="00CB6CBA">
        <w:rPr>
          <w:i/>
          <w:iCs/>
        </w:rPr>
        <w:t>K</w:t>
      </w:r>
      <w:r w:rsidRPr="00CB6CBA">
        <w:rPr>
          <w:vertAlign w:val="subscript"/>
        </w:rPr>
        <w:t>3</w:t>
      </w:r>
      <w:r w:rsidRPr="00CB6CBA">
        <w:rPr>
          <w:rFonts w:ascii="Tms Rmn" w:hAnsi="Tms Rmn"/>
          <w:sz w:val="12"/>
        </w:rPr>
        <w:t> </w:t>
      </w:r>
      <w:r w:rsidRPr="00CB6CBA">
        <w:rPr>
          <w:rFonts w:ascii="Tms Rmn" w:hAnsi="Tms Rmn"/>
        </w:rPr>
        <w:t>:</w:t>
      </w:r>
      <w:r w:rsidRPr="00CB6CBA">
        <w:rPr>
          <w:rFonts w:ascii="Tms Rmn" w:hAnsi="Tms Rmn"/>
        </w:rPr>
        <w:tab/>
      </w:r>
      <w:r w:rsidRPr="00CB6CBA">
        <w:t>cost of establishing a switching centre (SC)</w:t>
      </w:r>
    </w:p>
    <w:p w:rsidR="00CA3B52" w:rsidRPr="00CB6CBA" w:rsidRDefault="00CA3B52" w:rsidP="00CA3B52">
      <w:pPr>
        <w:pStyle w:val="Equationlegend"/>
      </w:pPr>
      <w:r w:rsidRPr="00CB6CBA">
        <w:tab/>
      </w:r>
      <w:r w:rsidRPr="00CB6CBA">
        <w:rPr>
          <w:i/>
          <w:iCs/>
        </w:rPr>
        <w:t>K</w:t>
      </w:r>
      <w:r w:rsidRPr="00CB6CBA">
        <w:rPr>
          <w:vertAlign w:val="subscript"/>
        </w:rPr>
        <w:t>4</w:t>
      </w:r>
      <w:r w:rsidRPr="00CB6CBA">
        <w:rPr>
          <w:rFonts w:ascii="Tms Rmn" w:hAnsi="Tms Rmn"/>
          <w:sz w:val="12"/>
        </w:rPr>
        <w:t> </w:t>
      </w:r>
      <w:r w:rsidRPr="00CB6CBA">
        <w:rPr>
          <w:rFonts w:ascii="Tms Rmn" w:hAnsi="Tms Rmn"/>
        </w:rPr>
        <w:t>:</w:t>
      </w:r>
      <w:r w:rsidRPr="00CB6CBA">
        <w:rPr>
          <w:rFonts w:ascii="Tms Rmn" w:hAnsi="Tms Rmn"/>
        </w:rPr>
        <w:tab/>
      </w:r>
      <w:r w:rsidRPr="00CB6CBA">
        <w:t>expenditure for purchasing software and technical facilities for billing systems</w:t>
      </w:r>
    </w:p>
    <w:p w:rsidR="00CA3B52" w:rsidRPr="00CB6CBA" w:rsidRDefault="00CA3B52" w:rsidP="00CA3B52">
      <w:pPr>
        <w:pStyle w:val="Equationlegend"/>
      </w:pPr>
      <w:r w:rsidRPr="00CB6CBA">
        <w:tab/>
      </w:r>
      <w:r w:rsidRPr="00CB6CBA">
        <w:rPr>
          <w:i/>
          <w:iCs/>
        </w:rPr>
        <w:t>K</w:t>
      </w:r>
      <w:r w:rsidRPr="00CB6CBA">
        <w:rPr>
          <w:vertAlign w:val="subscript"/>
        </w:rPr>
        <w:t>5</w:t>
      </w:r>
      <w:r w:rsidRPr="00CB6CBA">
        <w:rPr>
          <w:rFonts w:ascii="Tms Rmn" w:hAnsi="Tms Rmn"/>
          <w:sz w:val="12"/>
        </w:rPr>
        <w:t> </w:t>
      </w:r>
      <w:r w:rsidRPr="00CB6CBA">
        <w:rPr>
          <w:rFonts w:ascii="Tms Rmn" w:hAnsi="Tms Rmn"/>
        </w:rPr>
        <w:t>:</w:t>
      </w:r>
      <w:r w:rsidRPr="00CB6CBA">
        <w:rPr>
          <w:rFonts w:ascii="Tms Rmn" w:hAnsi="Tms Rmn"/>
        </w:rPr>
        <w:tab/>
      </w:r>
      <w:r w:rsidRPr="00CB6CBA">
        <w:t>cost of establishing communication links between BS and SC.</w:t>
      </w:r>
    </w:p>
    <w:p w:rsidR="00CA3B52" w:rsidRPr="00CB6CBA" w:rsidRDefault="00CA3B52" w:rsidP="00CA3B52">
      <w:pPr>
        <w:rPr>
          <w:lang w:val="en-US"/>
        </w:rPr>
      </w:pPr>
      <w:r w:rsidRPr="00CB6CBA">
        <w:rPr>
          <w:lang w:val="en-US"/>
        </w:rPr>
        <w:t xml:space="preserve">Construction and assembly costs, </w:t>
      </w:r>
      <w:r w:rsidRPr="00CB6CBA">
        <w:rPr>
          <w:i/>
          <w:iCs/>
          <w:lang w:val="en-US"/>
        </w:rPr>
        <w:t>K</w:t>
      </w:r>
      <w:r w:rsidRPr="00ED1B0C">
        <w:rPr>
          <w:vertAlign w:val="subscript"/>
          <w:lang w:val="en-US"/>
        </w:rPr>
        <w:t>1</w:t>
      </w:r>
      <w:r w:rsidRPr="00CB6CBA">
        <w:rPr>
          <w:lang w:val="en-US"/>
        </w:rPr>
        <w:t xml:space="preserve">, are determined on the basis of statistical data [Boucher, 1992 and 1995] on the labour consumption of the various stages of work. These costs are proportional to </w:t>
      </w:r>
      <w:r w:rsidRPr="00CB6CBA">
        <w:rPr>
          <w:i/>
          <w:iCs/>
          <w:lang w:val="en-US"/>
        </w:rPr>
        <w:t>C</w:t>
      </w:r>
      <w:r w:rsidRPr="00CB6CBA">
        <w:rPr>
          <w:lang w:val="en-US"/>
        </w:rPr>
        <w:t>, which is the number of BS in the mobile network, and may be determined by the equation:</w:t>
      </w:r>
    </w:p>
    <w:p w:rsidR="00CA3B52" w:rsidRPr="00CB6CBA" w:rsidRDefault="00CA3B52" w:rsidP="00CA3B52">
      <w:pPr>
        <w:pStyle w:val="Blanc"/>
        <w:rPr>
          <w:lang w:val="en-US"/>
        </w:rPr>
      </w:pPr>
    </w:p>
    <w:p w:rsidR="00CA3B52" w:rsidRPr="00CB6CBA" w:rsidRDefault="00CA3B52" w:rsidP="00F65451">
      <w:pPr>
        <w:pStyle w:val="Equation"/>
        <w:rPr>
          <w:lang w:val="en-US"/>
        </w:rPr>
      </w:pPr>
      <w:r w:rsidRPr="000429F2">
        <w:rPr>
          <w:lang w:val="en-US"/>
        </w:rPr>
        <w:tab/>
      </w:r>
      <w:r w:rsidRPr="000429F2">
        <w:rPr>
          <w:lang w:val="en-US"/>
        </w:rPr>
        <w:tab/>
      </w:r>
      <w:r w:rsidRPr="001F2E5C">
        <w:rPr>
          <w:position w:val="-48"/>
          <w:lang w:val="en-US"/>
        </w:rPr>
        <w:object w:dxaOrig="4860" w:dyaOrig="1080">
          <v:shape id="_x0000_i1087" type="#_x0000_t75" style="width:242.65pt;height:52.85pt" o:ole="" fillcolor="window">
            <v:imagedata r:id="rId144" o:title=""/>
          </v:shape>
          <o:OLEObject Type="Embed" ProgID="Equation.3" ShapeID="_x0000_i1087" DrawAspect="Content" ObjectID="_1511604876" r:id="rId145"/>
        </w:object>
      </w:r>
    </w:p>
    <w:p w:rsidR="00CA3B52" w:rsidRPr="00CB6CBA" w:rsidRDefault="00CA3B52" w:rsidP="00CA3B52">
      <w:pPr>
        <w:pStyle w:val="Blanc"/>
        <w:rPr>
          <w:lang w:val="en-US"/>
        </w:rPr>
      </w:pPr>
    </w:p>
    <w:p w:rsidR="00CA3B52" w:rsidRPr="00CB6CBA" w:rsidRDefault="00CA3B52" w:rsidP="00CA3B52">
      <w:pPr>
        <w:rPr>
          <w:lang w:val="en-US"/>
        </w:rPr>
      </w:pPr>
      <w:r w:rsidRPr="00CB6CBA">
        <w:rPr>
          <w:lang w:val="en-US"/>
        </w:rPr>
        <w:t>Capital costs for BS equipment are determined by the equation:</w:t>
      </w:r>
    </w:p>
    <w:p w:rsidR="00CA3B52" w:rsidRPr="00CB6CBA" w:rsidRDefault="00CA3B52" w:rsidP="00CA3B52">
      <w:pPr>
        <w:pStyle w:val="Blanc"/>
        <w:rPr>
          <w:lang w:val="en-US"/>
        </w:rPr>
      </w:pPr>
    </w:p>
    <w:p w:rsidR="00CA3B52" w:rsidRPr="00CB6CBA" w:rsidRDefault="00CA3B52" w:rsidP="00F65451">
      <w:pPr>
        <w:pStyle w:val="Equation"/>
        <w:rPr>
          <w:lang w:val="en-US"/>
        </w:rPr>
      </w:pPr>
      <w:r w:rsidRPr="000429F2">
        <w:rPr>
          <w:lang w:val="en-US"/>
        </w:rPr>
        <w:tab/>
      </w:r>
      <w:r w:rsidRPr="000429F2">
        <w:rPr>
          <w:lang w:val="en-US"/>
        </w:rPr>
        <w:tab/>
      </w:r>
      <w:r w:rsidRPr="00CB6CBA">
        <w:rPr>
          <w:position w:val="-12"/>
          <w:lang w:val="en-US"/>
        </w:rPr>
        <w:object w:dxaOrig="3180" w:dyaOrig="360">
          <v:shape id="_x0000_i1088" type="#_x0000_t75" style="width:158.95pt;height:19.15pt" o:ole="">
            <v:imagedata r:id="rId146" o:title=""/>
          </v:shape>
          <o:OLEObject Type="Embed" ProgID="Equation.3" ShapeID="_x0000_i1088" DrawAspect="Content" ObjectID="_1511604877" r:id="rId147"/>
        </w:object>
      </w:r>
    </w:p>
    <w:p w:rsidR="00CA3B52" w:rsidRPr="00CB6CBA" w:rsidRDefault="00CA3B52" w:rsidP="00CA3B52">
      <w:pPr>
        <w:keepNext/>
        <w:keepLines/>
        <w:rPr>
          <w:lang w:val="en-US"/>
        </w:rPr>
      </w:pPr>
      <w:r w:rsidRPr="00CB6CBA">
        <w:rPr>
          <w:lang w:val="en-US"/>
        </w:rPr>
        <w:lastRenderedPageBreak/>
        <w:t>where (</w:t>
      </w:r>
      <w:r w:rsidRPr="00CB6CBA">
        <w:rPr>
          <w:rFonts w:ascii="Symbol" w:hAnsi="Symbol"/>
          <w:i/>
          <w:iCs/>
          <w:lang w:val="en-US"/>
        </w:rPr>
        <w:t></w:t>
      </w:r>
      <w:r w:rsidRPr="00CB6CBA">
        <w:rPr>
          <w:lang w:val="en-US"/>
        </w:rPr>
        <w:t xml:space="preserve"> </w:t>
      </w:r>
      <w:r w:rsidRPr="00CB6CBA">
        <w:rPr>
          <w:rFonts w:ascii="Symbol" w:hAnsi="Symbol"/>
          <w:lang w:val="en-US"/>
        </w:rPr>
        <w:t></w:t>
      </w:r>
      <w:r w:rsidRPr="00CB6CBA">
        <w:rPr>
          <w:lang w:val="en-US"/>
        </w:rPr>
        <w:t xml:space="preserve"> </w:t>
      </w:r>
      <w:r w:rsidRPr="00CB6CBA">
        <w:rPr>
          <w:i/>
          <w:iCs/>
          <w:lang w:val="en-US"/>
        </w:rPr>
        <w:t>n</w:t>
      </w:r>
      <w:r w:rsidRPr="00CB6CBA">
        <w:rPr>
          <w:i/>
          <w:iCs/>
          <w:vertAlign w:val="subscript"/>
          <w:lang w:val="en-US"/>
        </w:rPr>
        <w:t>s</w:t>
      </w:r>
      <w:r w:rsidRPr="00CB6CBA">
        <w:rPr>
          <w:lang w:val="en-US"/>
        </w:rPr>
        <w:t>) is the number of frequency channels in one cell.</w:t>
      </w:r>
    </w:p>
    <w:p w:rsidR="00CA3B52" w:rsidRPr="00CB6CBA" w:rsidRDefault="00CA3B52" w:rsidP="00CA3B52">
      <w:pPr>
        <w:keepNext/>
        <w:keepLines/>
        <w:rPr>
          <w:lang w:val="en-US"/>
        </w:rPr>
      </w:pPr>
      <w:r w:rsidRPr="00CB6CBA">
        <w:rPr>
          <w:lang w:val="en-US"/>
        </w:rPr>
        <w:t xml:space="preserve">The cost, </w:t>
      </w:r>
      <w:r w:rsidRPr="00CB6CBA">
        <w:rPr>
          <w:i/>
          <w:iCs/>
          <w:lang w:val="en-US"/>
        </w:rPr>
        <w:t>K</w:t>
      </w:r>
      <w:r w:rsidRPr="00CB6CBA">
        <w:rPr>
          <w:vertAlign w:val="subscript"/>
          <w:lang w:val="en-US"/>
        </w:rPr>
        <w:t>3</w:t>
      </w:r>
      <w:r w:rsidRPr="00CB6CBA">
        <w:rPr>
          <w:lang w:val="en-US"/>
        </w:rPr>
        <w:t>, of establishing the SC of a mobile network is determined from the data in Table 16 on the basis of the number of subscribers in the network.</w:t>
      </w:r>
    </w:p>
    <w:p w:rsidR="00CA3B52" w:rsidRPr="00CB6CBA" w:rsidRDefault="00CA3B52" w:rsidP="00CA3B52">
      <w:pPr>
        <w:pStyle w:val="TableNo"/>
        <w:rPr>
          <w:lang w:val="en-US"/>
        </w:rPr>
      </w:pPr>
      <w:r w:rsidRPr="00CB6CBA">
        <w:rPr>
          <w:lang w:val="en-US"/>
        </w:rPr>
        <w:t>TABLE 16</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CA3B52" w:rsidRPr="00F65451" w:rsidTr="00751881">
        <w:trPr>
          <w:jc w:val="center"/>
        </w:trPr>
        <w:tc>
          <w:tcPr>
            <w:tcW w:w="2835" w:type="dxa"/>
            <w:vMerge w:val="restart"/>
            <w:vAlign w:val="center"/>
          </w:tcPr>
          <w:p w:rsidR="00CA3B52" w:rsidRPr="00CB6CBA" w:rsidRDefault="00CA3B52" w:rsidP="002D1D5C">
            <w:pPr>
              <w:pStyle w:val="Tablehead"/>
              <w:rPr>
                <w:lang w:val="en-US"/>
              </w:rPr>
            </w:pPr>
            <w:r w:rsidRPr="00CB6CBA">
              <w:rPr>
                <w:lang w:val="en-US"/>
              </w:rPr>
              <w:t>Required number of telephone channels in the network</w:t>
            </w:r>
          </w:p>
        </w:tc>
        <w:tc>
          <w:tcPr>
            <w:tcW w:w="4536" w:type="dxa"/>
            <w:gridSpan w:val="2"/>
            <w:vAlign w:val="center"/>
          </w:tcPr>
          <w:p w:rsidR="00CA3B52" w:rsidRPr="00CB6CBA" w:rsidRDefault="00CA3B52" w:rsidP="002D1D5C">
            <w:pPr>
              <w:pStyle w:val="Tablehead"/>
              <w:rPr>
                <w:lang w:val="en-US"/>
              </w:rPr>
            </w:pPr>
            <w:r w:rsidRPr="00CB6CBA">
              <w:rPr>
                <w:lang w:val="en-US"/>
              </w:rPr>
              <w:t xml:space="preserve">Switching centre costs </w:t>
            </w:r>
            <w:r w:rsidRPr="00CB6CBA">
              <w:rPr>
                <w:i/>
                <w:iCs/>
                <w:lang w:val="en-US"/>
              </w:rPr>
              <w:t>K</w:t>
            </w:r>
            <w:r w:rsidRPr="00CB6CBA">
              <w:rPr>
                <w:iCs/>
                <w:vertAlign w:val="subscript"/>
                <w:lang w:val="en-US"/>
              </w:rPr>
              <w:t>3</w:t>
            </w:r>
            <w:r w:rsidRPr="00CB6CBA">
              <w:rPr>
                <w:lang w:val="en-US"/>
              </w:rPr>
              <w:br/>
              <w:t>(USD)</w:t>
            </w:r>
          </w:p>
        </w:tc>
      </w:tr>
      <w:tr w:rsidR="00CA3B52" w:rsidRPr="00CB6CBA" w:rsidTr="00751881">
        <w:trPr>
          <w:jc w:val="center"/>
        </w:trPr>
        <w:tc>
          <w:tcPr>
            <w:tcW w:w="2835" w:type="dxa"/>
            <w:vMerge/>
            <w:vAlign w:val="center"/>
          </w:tcPr>
          <w:p w:rsidR="00CA3B52" w:rsidRPr="00CB6CBA" w:rsidRDefault="00CA3B52" w:rsidP="002D1D5C">
            <w:pPr>
              <w:pStyle w:val="Tablehead"/>
              <w:rPr>
                <w:lang w:val="en-US"/>
              </w:rPr>
            </w:pPr>
          </w:p>
        </w:tc>
        <w:tc>
          <w:tcPr>
            <w:tcW w:w="2268" w:type="dxa"/>
            <w:vAlign w:val="center"/>
          </w:tcPr>
          <w:p w:rsidR="00CA3B52" w:rsidRPr="00CB6CBA" w:rsidRDefault="00CA3B52" w:rsidP="002D1D5C">
            <w:pPr>
              <w:pStyle w:val="Tablehead"/>
              <w:rPr>
                <w:lang w:val="en-US"/>
              </w:rPr>
            </w:pPr>
            <w:r w:rsidRPr="00CB6CBA">
              <w:rPr>
                <w:lang w:val="en-US"/>
              </w:rPr>
              <w:t>Analogue</w:t>
            </w:r>
          </w:p>
        </w:tc>
        <w:tc>
          <w:tcPr>
            <w:tcW w:w="2268" w:type="dxa"/>
            <w:vAlign w:val="center"/>
          </w:tcPr>
          <w:p w:rsidR="00CA3B52" w:rsidRPr="00CB6CBA" w:rsidRDefault="00CA3B52" w:rsidP="002D1D5C">
            <w:pPr>
              <w:pStyle w:val="Tablehead"/>
              <w:rPr>
                <w:lang w:val="en-US"/>
              </w:rPr>
            </w:pPr>
            <w:r w:rsidRPr="00CB6CBA">
              <w:rPr>
                <w:lang w:val="en-US"/>
              </w:rPr>
              <w:t>Digital</w:t>
            </w:r>
          </w:p>
        </w:tc>
      </w:tr>
      <w:tr w:rsidR="00CA3B52" w:rsidRPr="00CB6CBA" w:rsidTr="00751881">
        <w:trPr>
          <w:jc w:val="center"/>
        </w:trPr>
        <w:tc>
          <w:tcPr>
            <w:tcW w:w="2835" w:type="dxa"/>
          </w:tcPr>
          <w:p w:rsidR="00CA3B52" w:rsidRPr="004E275C" w:rsidRDefault="00CA3B52" w:rsidP="00751881">
            <w:pPr>
              <w:pStyle w:val="Tabletext"/>
              <w:jc w:val="center"/>
              <w:rPr>
                <w:lang w:val="en-US"/>
              </w:rPr>
            </w:pPr>
            <w:r w:rsidRPr="004E275C">
              <w:rPr>
                <w:i/>
                <w:iCs/>
                <w:szCs w:val="22"/>
                <w:lang w:val="en-US"/>
              </w:rPr>
              <w:t>N</w:t>
            </w:r>
            <w:r w:rsidRPr="00C65B68">
              <w:rPr>
                <w:i/>
                <w:iCs/>
                <w:vertAlign w:val="subscript"/>
                <w:lang w:val="en-US"/>
              </w:rPr>
              <w:t>a</w:t>
            </w:r>
            <w:r w:rsidRPr="004E275C">
              <w:rPr>
                <w:szCs w:val="22"/>
                <w:lang w:val="en-US"/>
              </w:rPr>
              <w:t xml:space="preserve"> </w:t>
            </w:r>
            <w:r w:rsidRPr="004E275C">
              <w:rPr>
                <w:rFonts w:ascii="Tms Rmn" w:hAnsi="Tms Rmn"/>
                <w:szCs w:val="22"/>
                <w:lang w:val="en-US"/>
              </w:rPr>
              <w:t> </w:t>
            </w:r>
            <w:r w:rsidRPr="004E275C">
              <w:rPr>
                <w:rFonts w:ascii="Symbol" w:hAnsi="Symbol"/>
                <w:szCs w:val="22"/>
                <w:lang w:val="en-US"/>
              </w:rPr>
              <w:sym w:font="Symbol" w:char="F0A3"/>
            </w:r>
            <w:r w:rsidRPr="004E275C">
              <w:rPr>
                <w:szCs w:val="22"/>
                <w:lang w:val="en-US"/>
              </w:rPr>
              <w:t> </w:t>
            </w:r>
            <w:r w:rsidRPr="004E275C">
              <w:rPr>
                <w:szCs w:val="22"/>
                <w:lang w:val="en-US"/>
              </w:rPr>
              <w:t> </w:t>
            </w:r>
            <w:r w:rsidRPr="004E275C">
              <w:rPr>
                <w:szCs w:val="22"/>
                <w:lang w:val="en-US"/>
              </w:rPr>
              <w:t>500</w:t>
            </w:r>
          </w:p>
        </w:tc>
        <w:tc>
          <w:tcPr>
            <w:tcW w:w="2268" w:type="dxa"/>
          </w:tcPr>
          <w:p w:rsidR="00CA3B52" w:rsidRPr="004E275C" w:rsidRDefault="00CA3B52" w:rsidP="00751881">
            <w:pPr>
              <w:pStyle w:val="Tabletext"/>
              <w:jc w:val="center"/>
              <w:rPr>
                <w:lang w:val="en-US"/>
              </w:rPr>
            </w:pPr>
            <w:r w:rsidRPr="004E275C">
              <w:rPr>
                <w:szCs w:val="22"/>
                <w:lang w:val="en-US"/>
              </w:rPr>
              <w:t>300</w:t>
            </w:r>
            <w:r w:rsidRPr="004E275C">
              <w:rPr>
                <w:rFonts w:ascii="Tms Rmn" w:hAnsi="Tms Rmn"/>
                <w:szCs w:val="22"/>
                <w:lang w:val="en-US"/>
              </w:rPr>
              <w:t> </w:t>
            </w:r>
            <w:r w:rsidRPr="004E275C">
              <w:rPr>
                <w:szCs w:val="22"/>
                <w:lang w:val="en-US"/>
              </w:rPr>
              <w:t>000</w:t>
            </w:r>
          </w:p>
        </w:tc>
        <w:tc>
          <w:tcPr>
            <w:tcW w:w="2268" w:type="dxa"/>
          </w:tcPr>
          <w:p w:rsidR="00CA3B52" w:rsidRPr="004E275C" w:rsidRDefault="00CA3B52" w:rsidP="00751881">
            <w:pPr>
              <w:pStyle w:val="Tabletext"/>
              <w:jc w:val="center"/>
              <w:rPr>
                <w:lang w:val="en-US"/>
              </w:rPr>
            </w:pPr>
            <w:r w:rsidRPr="004E275C">
              <w:rPr>
                <w:szCs w:val="22"/>
                <w:lang w:val="en-US"/>
              </w:rPr>
              <w:t>3</w:t>
            </w:r>
            <w:r w:rsidRPr="004E275C">
              <w:rPr>
                <w:rFonts w:ascii="Tms Rmn" w:hAnsi="Tms Rmn"/>
                <w:szCs w:val="22"/>
                <w:lang w:val="en-US"/>
              </w:rPr>
              <w:t> </w:t>
            </w:r>
            <w:r w:rsidRPr="004E275C">
              <w:rPr>
                <w:szCs w:val="22"/>
                <w:lang w:val="en-US"/>
              </w:rPr>
              <w:t>500</w:t>
            </w:r>
            <w:r w:rsidRPr="004E275C">
              <w:rPr>
                <w:rFonts w:ascii="Tms Rmn" w:hAnsi="Tms Rmn"/>
                <w:szCs w:val="22"/>
                <w:lang w:val="en-US"/>
              </w:rPr>
              <w:t> </w:t>
            </w:r>
            <w:r w:rsidRPr="004E275C">
              <w:rPr>
                <w:szCs w:val="22"/>
                <w:lang w:val="en-US"/>
              </w:rPr>
              <w:t>000</w:t>
            </w:r>
          </w:p>
        </w:tc>
      </w:tr>
      <w:tr w:rsidR="00CA3B52" w:rsidRPr="00CB6CBA" w:rsidTr="00751881">
        <w:trPr>
          <w:jc w:val="center"/>
        </w:trPr>
        <w:tc>
          <w:tcPr>
            <w:tcW w:w="2835" w:type="dxa"/>
          </w:tcPr>
          <w:p w:rsidR="00CA3B52" w:rsidRPr="004E275C" w:rsidRDefault="00CA3B52" w:rsidP="00751881">
            <w:pPr>
              <w:pStyle w:val="Tabletext"/>
              <w:jc w:val="center"/>
              <w:rPr>
                <w:lang w:val="en-US"/>
              </w:rPr>
            </w:pPr>
            <w:r w:rsidRPr="004E275C">
              <w:rPr>
                <w:i/>
                <w:iCs/>
                <w:szCs w:val="22"/>
                <w:lang w:val="en-US"/>
              </w:rPr>
              <w:t>N</w:t>
            </w:r>
            <w:r w:rsidRPr="00C65B68">
              <w:rPr>
                <w:i/>
                <w:iCs/>
                <w:vertAlign w:val="subscript"/>
                <w:lang w:val="en-US"/>
              </w:rPr>
              <w:t>a</w:t>
            </w:r>
            <w:r w:rsidRPr="004E275C">
              <w:rPr>
                <w:szCs w:val="22"/>
                <w:lang w:val="en-US"/>
              </w:rPr>
              <w:t xml:space="preserve"> </w:t>
            </w:r>
            <w:r w:rsidRPr="004E275C">
              <w:rPr>
                <w:rFonts w:ascii="Tms Rmn" w:hAnsi="Tms Rmn"/>
                <w:szCs w:val="22"/>
                <w:lang w:val="en-US"/>
              </w:rPr>
              <w:t> </w:t>
            </w:r>
            <w:r w:rsidRPr="004E275C">
              <w:rPr>
                <w:rFonts w:ascii="Symbol" w:hAnsi="Symbol"/>
                <w:szCs w:val="22"/>
                <w:lang w:val="en-US"/>
              </w:rPr>
              <w:t></w:t>
            </w:r>
            <w:r w:rsidRPr="004E275C">
              <w:rPr>
                <w:rFonts w:ascii="Symbol" w:hAnsi="Symbol"/>
                <w:szCs w:val="22"/>
                <w:lang w:val="en-US"/>
              </w:rPr>
              <w:sym w:font="Symbol" w:char="F0A3"/>
            </w:r>
            <w:r w:rsidRPr="004E275C">
              <w:rPr>
                <w:szCs w:val="22"/>
                <w:lang w:val="en-US"/>
              </w:rPr>
              <w:t xml:space="preserve"> </w:t>
            </w:r>
            <w:r w:rsidRPr="004E275C">
              <w:rPr>
                <w:szCs w:val="22"/>
                <w:lang w:val="en-US"/>
              </w:rPr>
              <w:t> </w:t>
            </w:r>
            <w:r w:rsidRPr="004E275C">
              <w:rPr>
                <w:rFonts w:ascii="Tms Rmn" w:hAnsi="Tms Rmn"/>
                <w:szCs w:val="22"/>
                <w:lang w:val="en-US"/>
              </w:rPr>
              <w:t> </w:t>
            </w:r>
            <w:r w:rsidRPr="004E275C">
              <w:rPr>
                <w:szCs w:val="22"/>
                <w:lang w:val="en-US"/>
              </w:rPr>
              <w:t>2</w:t>
            </w:r>
            <w:r w:rsidRPr="004E275C">
              <w:rPr>
                <w:rFonts w:ascii="Tms Rmn" w:hAnsi="Tms Rmn"/>
                <w:szCs w:val="22"/>
                <w:lang w:val="en-US"/>
              </w:rPr>
              <w:t> </w:t>
            </w:r>
            <w:r w:rsidRPr="004E275C">
              <w:rPr>
                <w:szCs w:val="22"/>
                <w:lang w:val="en-US"/>
              </w:rPr>
              <w:t>000</w:t>
            </w:r>
          </w:p>
        </w:tc>
        <w:tc>
          <w:tcPr>
            <w:tcW w:w="2268" w:type="dxa"/>
          </w:tcPr>
          <w:p w:rsidR="00CA3B52" w:rsidRPr="004E275C" w:rsidRDefault="00CA3B52" w:rsidP="00751881">
            <w:pPr>
              <w:pStyle w:val="Tabletext"/>
              <w:jc w:val="center"/>
              <w:rPr>
                <w:lang w:val="en-US"/>
              </w:rPr>
            </w:pPr>
            <w:r w:rsidRPr="004E275C">
              <w:rPr>
                <w:szCs w:val="22"/>
                <w:lang w:val="en-US"/>
              </w:rPr>
              <w:t>500</w:t>
            </w:r>
            <w:r w:rsidRPr="004E275C">
              <w:rPr>
                <w:rFonts w:ascii="Tms Rmn" w:hAnsi="Tms Rmn"/>
                <w:szCs w:val="22"/>
                <w:lang w:val="en-US"/>
              </w:rPr>
              <w:t> </w:t>
            </w:r>
            <w:r w:rsidRPr="004E275C">
              <w:rPr>
                <w:szCs w:val="22"/>
                <w:lang w:val="en-US"/>
              </w:rPr>
              <w:t>000</w:t>
            </w:r>
          </w:p>
        </w:tc>
        <w:tc>
          <w:tcPr>
            <w:tcW w:w="2268" w:type="dxa"/>
          </w:tcPr>
          <w:p w:rsidR="00CA3B52" w:rsidRPr="004E275C" w:rsidRDefault="00CA3B52" w:rsidP="00751881">
            <w:pPr>
              <w:pStyle w:val="Tabletext"/>
              <w:jc w:val="center"/>
              <w:rPr>
                <w:lang w:val="en-US"/>
              </w:rPr>
            </w:pPr>
            <w:r w:rsidRPr="004E275C">
              <w:rPr>
                <w:szCs w:val="22"/>
                <w:lang w:val="en-US"/>
              </w:rPr>
              <w:t>3</w:t>
            </w:r>
            <w:r w:rsidRPr="004E275C">
              <w:rPr>
                <w:rFonts w:ascii="Tms Rmn" w:hAnsi="Tms Rmn"/>
                <w:szCs w:val="22"/>
                <w:lang w:val="en-US"/>
              </w:rPr>
              <w:t> </w:t>
            </w:r>
            <w:r w:rsidRPr="004E275C">
              <w:rPr>
                <w:szCs w:val="22"/>
                <w:lang w:val="en-US"/>
              </w:rPr>
              <w:t>600</w:t>
            </w:r>
            <w:r w:rsidRPr="004E275C">
              <w:rPr>
                <w:rFonts w:ascii="Tms Rmn" w:hAnsi="Tms Rmn"/>
                <w:szCs w:val="22"/>
                <w:lang w:val="en-US"/>
              </w:rPr>
              <w:t> </w:t>
            </w:r>
            <w:r w:rsidRPr="004E275C">
              <w:rPr>
                <w:szCs w:val="22"/>
                <w:lang w:val="en-US"/>
              </w:rPr>
              <w:t>000</w:t>
            </w:r>
          </w:p>
        </w:tc>
      </w:tr>
      <w:tr w:rsidR="00CA3B52" w:rsidRPr="00CB6CBA" w:rsidTr="00751881">
        <w:trPr>
          <w:jc w:val="center"/>
        </w:trPr>
        <w:tc>
          <w:tcPr>
            <w:tcW w:w="2835" w:type="dxa"/>
          </w:tcPr>
          <w:p w:rsidR="00CA3B52" w:rsidRPr="004E275C" w:rsidRDefault="00CA3B52" w:rsidP="00751881">
            <w:pPr>
              <w:pStyle w:val="Tabletext"/>
              <w:jc w:val="center"/>
              <w:rPr>
                <w:lang w:val="en-US"/>
              </w:rPr>
            </w:pPr>
            <w:r w:rsidRPr="004E275C">
              <w:rPr>
                <w:i/>
                <w:iCs/>
                <w:szCs w:val="22"/>
                <w:lang w:val="en-US"/>
              </w:rPr>
              <w:t>N</w:t>
            </w:r>
            <w:r w:rsidRPr="00C65B68">
              <w:rPr>
                <w:i/>
                <w:iCs/>
                <w:vertAlign w:val="subscript"/>
                <w:lang w:val="en-US"/>
              </w:rPr>
              <w:t>a</w:t>
            </w:r>
            <w:r w:rsidRPr="004E275C">
              <w:rPr>
                <w:szCs w:val="22"/>
                <w:lang w:val="en-US"/>
              </w:rPr>
              <w:t xml:space="preserve"> </w:t>
            </w:r>
            <w:r w:rsidRPr="004E275C">
              <w:rPr>
                <w:rFonts w:ascii="Tms Rmn" w:hAnsi="Tms Rmn"/>
                <w:szCs w:val="22"/>
                <w:lang w:val="en-US"/>
              </w:rPr>
              <w:t> </w:t>
            </w:r>
            <w:r w:rsidRPr="004E275C">
              <w:rPr>
                <w:rFonts w:ascii="Symbol" w:hAnsi="Symbol"/>
                <w:szCs w:val="22"/>
                <w:lang w:val="en-US"/>
              </w:rPr>
              <w:t></w:t>
            </w:r>
            <w:r w:rsidRPr="004E275C">
              <w:rPr>
                <w:rFonts w:ascii="Symbol" w:hAnsi="Symbol"/>
                <w:szCs w:val="22"/>
                <w:lang w:val="en-US"/>
              </w:rPr>
              <w:sym w:font="Symbol" w:char="F0A3"/>
            </w:r>
            <w:r w:rsidRPr="004E275C">
              <w:rPr>
                <w:szCs w:val="22"/>
                <w:lang w:val="en-US"/>
              </w:rPr>
              <w:t xml:space="preserve"> </w:t>
            </w:r>
            <w:r w:rsidRPr="004E275C">
              <w:rPr>
                <w:rFonts w:ascii="Tms Rmn" w:hAnsi="Tms Rmn"/>
                <w:szCs w:val="22"/>
                <w:lang w:val="en-US"/>
              </w:rPr>
              <w:t> </w:t>
            </w:r>
            <w:r w:rsidRPr="004E275C">
              <w:rPr>
                <w:szCs w:val="22"/>
                <w:lang w:val="en-US"/>
              </w:rPr>
              <w:t>10</w:t>
            </w:r>
            <w:r w:rsidRPr="004E275C">
              <w:rPr>
                <w:rFonts w:ascii="Tms Rmn" w:hAnsi="Tms Rmn"/>
                <w:szCs w:val="22"/>
                <w:lang w:val="en-US"/>
              </w:rPr>
              <w:t> </w:t>
            </w:r>
            <w:r w:rsidRPr="004E275C">
              <w:rPr>
                <w:szCs w:val="22"/>
                <w:lang w:val="en-US"/>
              </w:rPr>
              <w:t>000</w:t>
            </w:r>
          </w:p>
        </w:tc>
        <w:tc>
          <w:tcPr>
            <w:tcW w:w="2268" w:type="dxa"/>
          </w:tcPr>
          <w:p w:rsidR="00CA3B52" w:rsidRPr="004E275C" w:rsidRDefault="00CA3B52" w:rsidP="00751881">
            <w:pPr>
              <w:pStyle w:val="Tabletext"/>
              <w:jc w:val="center"/>
              <w:rPr>
                <w:lang w:val="en-US"/>
              </w:rPr>
            </w:pPr>
            <w:r w:rsidRPr="004E275C">
              <w:rPr>
                <w:szCs w:val="22"/>
                <w:lang w:val="en-US"/>
              </w:rPr>
              <w:t>1</w:t>
            </w:r>
            <w:r w:rsidRPr="004E275C">
              <w:rPr>
                <w:rFonts w:ascii="Tms Rmn" w:hAnsi="Tms Rmn"/>
                <w:szCs w:val="22"/>
                <w:lang w:val="en-US"/>
              </w:rPr>
              <w:t> </w:t>
            </w:r>
            <w:r w:rsidRPr="004E275C">
              <w:rPr>
                <w:szCs w:val="22"/>
                <w:lang w:val="en-US"/>
              </w:rPr>
              <w:t>300</w:t>
            </w:r>
            <w:r w:rsidRPr="004E275C">
              <w:rPr>
                <w:rFonts w:ascii="Tms Rmn" w:hAnsi="Tms Rmn"/>
                <w:szCs w:val="22"/>
                <w:lang w:val="en-US"/>
              </w:rPr>
              <w:t> </w:t>
            </w:r>
            <w:r w:rsidRPr="004E275C">
              <w:rPr>
                <w:szCs w:val="22"/>
                <w:lang w:val="en-US"/>
              </w:rPr>
              <w:t>000</w:t>
            </w:r>
          </w:p>
        </w:tc>
        <w:tc>
          <w:tcPr>
            <w:tcW w:w="2268" w:type="dxa"/>
          </w:tcPr>
          <w:p w:rsidR="00CA3B52" w:rsidRPr="004E275C" w:rsidRDefault="00CA3B52" w:rsidP="00751881">
            <w:pPr>
              <w:pStyle w:val="Tabletext"/>
              <w:jc w:val="center"/>
              <w:rPr>
                <w:lang w:val="en-US"/>
              </w:rPr>
            </w:pPr>
            <w:r w:rsidRPr="004E275C">
              <w:rPr>
                <w:szCs w:val="22"/>
                <w:lang w:val="en-US"/>
              </w:rPr>
              <w:t>4</w:t>
            </w:r>
            <w:r w:rsidRPr="004E275C">
              <w:rPr>
                <w:rFonts w:ascii="Tms Rmn" w:hAnsi="Tms Rmn"/>
                <w:szCs w:val="22"/>
                <w:lang w:val="en-US"/>
              </w:rPr>
              <w:t> </w:t>
            </w:r>
            <w:r w:rsidRPr="004E275C">
              <w:rPr>
                <w:szCs w:val="22"/>
                <w:lang w:val="en-US"/>
              </w:rPr>
              <w:t>000</w:t>
            </w:r>
            <w:r w:rsidRPr="004E275C">
              <w:rPr>
                <w:rFonts w:ascii="Tms Rmn" w:hAnsi="Tms Rmn"/>
                <w:szCs w:val="22"/>
                <w:lang w:val="en-US"/>
              </w:rPr>
              <w:t> </w:t>
            </w:r>
            <w:r w:rsidRPr="004E275C">
              <w:rPr>
                <w:szCs w:val="22"/>
                <w:lang w:val="en-US"/>
              </w:rPr>
              <w:t>000</w:t>
            </w:r>
          </w:p>
        </w:tc>
      </w:tr>
      <w:tr w:rsidR="00CA3B52" w:rsidRPr="00CB6CBA" w:rsidTr="00751881">
        <w:trPr>
          <w:jc w:val="center"/>
        </w:trPr>
        <w:tc>
          <w:tcPr>
            <w:tcW w:w="2835" w:type="dxa"/>
          </w:tcPr>
          <w:p w:rsidR="00CA3B52" w:rsidRPr="004E275C" w:rsidRDefault="00CA3B52" w:rsidP="00751881">
            <w:pPr>
              <w:pStyle w:val="Tabletext"/>
              <w:jc w:val="center"/>
              <w:rPr>
                <w:lang w:val="en-US"/>
              </w:rPr>
            </w:pPr>
            <w:r w:rsidRPr="004E275C">
              <w:rPr>
                <w:i/>
                <w:iCs/>
                <w:szCs w:val="22"/>
                <w:lang w:val="en-US"/>
              </w:rPr>
              <w:t>N</w:t>
            </w:r>
            <w:r w:rsidRPr="00C65B68">
              <w:rPr>
                <w:i/>
                <w:iCs/>
                <w:vertAlign w:val="subscript"/>
                <w:lang w:val="en-US"/>
              </w:rPr>
              <w:t>a</w:t>
            </w:r>
            <w:r w:rsidRPr="004E275C">
              <w:rPr>
                <w:szCs w:val="22"/>
                <w:lang w:val="en-US"/>
              </w:rPr>
              <w:t xml:space="preserve"> </w:t>
            </w:r>
            <w:r w:rsidRPr="004E275C">
              <w:rPr>
                <w:rFonts w:ascii="Tms Rmn" w:hAnsi="Tms Rmn"/>
                <w:szCs w:val="22"/>
                <w:lang w:val="en-US"/>
              </w:rPr>
              <w:t> </w:t>
            </w:r>
            <w:r w:rsidRPr="004E275C">
              <w:rPr>
                <w:rFonts w:ascii="Symbol" w:hAnsi="Symbol"/>
                <w:szCs w:val="22"/>
                <w:lang w:val="en-US"/>
              </w:rPr>
              <w:t></w:t>
            </w:r>
            <w:r w:rsidRPr="004E275C">
              <w:rPr>
                <w:rFonts w:ascii="Symbol" w:hAnsi="Symbol"/>
                <w:szCs w:val="22"/>
                <w:lang w:val="en-US"/>
              </w:rPr>
              <w:sym w:font="Symbol" w:char="F0A3"/>
            </w:r>
            <w:r w:rsidRPr="004E275C">
              <w:rPr>
                <w:szCs w:val="22"/>
                <w:lang w:val="en-US"/>
              </w:rPr>
              <w:t xml:space="preserve"> </w:t>
            </w:r>
            <w:r w:rsidRPr="004E275C">
              <w:rPr>
                <w:rFonts w:ascii="Tms Rmn" w:hAnsi="Tms Rmn"/>
                <w:szCs w:val="22"/>
                <w:lang w:val="en-US"/>
              </w:rPr>
              <w:t> </w:t>
            </w:r>
            <w:r w:rsidRPr="004E275C">
              <w:rPr>
                <w:szCs w:val="22"/>
                <w:lang w:val="en-US"/>
              </w:rPr>
              <w:t>50</w:t>
            </w:r>
            <w:r w:rsidRPr="004E275C">
              <w:rPr>
                <w:rFonts w:ascii="Tms Rmn" w:hAnsi="Tms Rmn"/>
                <w:szCs w:val="22"/>
                <w:lang w:val="en-US"/>
              </w:rPr>
              <w:t> </w:t>
            </w:r>
            <w:r w:rsidRPr="004E275C">
              <w:rPr>
                <w:szCs w:val="22"/>
                <w:lang w:val="en-US"/>
              </w:rPr>
              <w:t>000</w:t>
            </w:r>
          </w:p>
        </w:tc>
        <w:tc>
          <w:tcPr>
            <w:tcW w:w="2268" w:type="dxa"/>
          </w:tcPr>
          <w:p w:rsidR="00CA3B52" w:rsidRPr="004E275C" w:rsidRDefault="00CA3B52" w:rsidP="00751881">
            <w:pPr>
              <w:pStyle w:val="Tabletext"/>
              <w:jc w:val="center"/>
              <w:rPr>
                <w:lang w:val="en-US"/>
              </w:rPr>
            </w:pPr>
            <w:r w:rsidRPr="004E275C">
              <w:rPr>
                <w:szCs w:val="22"/>
                <w:lang w:val="en-US"/>
              </w:rPr>
              <w:t>3</w:t>
            </w:r>
            <w:r w:rsidRPr="004E275C">
              <w:rPr>
                <w:rFonts w:ascii="Tms Rmn" w:hAnsi="Tms Rmn"/>
                <w:szCs w:val="22"/>
                <w:lang w:val="en-US"/>
              </w:rPr>
              <w:t> </w:t>
            </w:r>
            <w:r w:rsidRPr="004E275C">
              <w:rPr>
                <w:szCs w:val="22"/>
                <w:lang w:val="en-US"/>
              </w:rPr>
              <w:t>000</w:t>
            </w:r>
            <w:r w:rsidRPr="004E275C">
              <w:rPr>
                <w:rFonts w:ascii="Tms Rmn" w:hAnsi="Tms Rmn"/>
                <w:szCs w:val="22"/>
                <w:lang w:val="en-US"/>
              </w:rPr>
              <w:t> </w:t>
            </w:r>
            <w:r w:rsidRPr="004E275C">
              <w:rPr>
                <w:szCs w:val="22"/>
                <w:lang w:val="en-US"/>
              </w:rPr>
              <w:t>000</w:t>
            </w:r>
          </w:p>
        </w:tc>
        <w:tc>
          <w:tcPr>
            <w:tcW w:w="2268" w:type="dxa"/>
          </w:tcPr>
          <w:p w:rsidR="00CA3B52" w:rsidRPr="004E275C" w:rsidRDefault="00CA3B52" w:rsidP="00751881">
            <w:pPr>
              <w:pStyle w:val="Tabletext"/>
              <w:jc w:val="center"/>
              <w:rPr>
                <w:lang w:val="en-US"/>
              </w:rPr>
            </w:pPr>
            <w:r w:rsidRPr="004E275C">
              <w:rPr>
                <w:szCs w:val="22"/>
                <w:lang w:val="en-US"/>
              </w:rPr>
              <w:t>5</w:t>
            </w:r>
            <w:r w:rsidRPr="004E275C">
              <w:rPr>
                <w:rFonts w:ascii="Tms Rmn" w:hAnsi="Tms Rmn"/>
                <w:szCs w:val="22"/>
                <w:lang w:val="en-US"/>
              </w:rPr>
              <w:t> </w:t>
            </w:r>
            <w:r w:rsidRPr="004E275C">
              <w:rPr>
                <w:szCs w:val="22"/>
                <w:lang w:val="en-US"/>
              </w:rPr>
              <w:t>000</w:t>
            </w:r>
            <w:r w:rsidRPr="004E275C">
              <w:rPr>
                <w:rFonts w:ascii="Tms Rmn" w:hAnsi="Tms Rmn"/>
                <w:szCs w:val="22"/>
                <w:lang w:val="en-US"/>
              </w:rPr>
              <w:t> </w:t>
            </w:r>
            <w:r w:rsidRPr="004E275C">
              <w:rPr>
                <w:szCs w:val="22"/>
                <w:lang w:val="en-US"/>
              </w:rPr>
              <w:t>000</w:t>
            </w:r>
          </w:p>
        </w:tc>
      </w:tr>
    </w:tbl>
    <w:p w:rsidR="00CA3B52" w:rsidRPr="00CB6CBA" w:rsidRDefault="00CA3B52" w:rsidP="00CA3B52">
      <w:pPr>
        <w:pStyle w:val="Tablefin"/>
        <w:rPr>
          <w:lang w:val="en-US"/>
        </w:rPr>
      </w:pPr>
    </w:p>
    <w:p w:rsidR="00CA3B52" w:rsidRPr="00CB6CBA" w:rsidRDefault="00CA3B52" w:rsidP="00CA3B52">
      <w:pPr>
        <w:rPr>
          <w:lang w:val="en-US"/>
        </w:rPr>
      </w:pPr>
      <w:r w:rsidRPr="00CB6CBA">
        <w:rPr>
          <w:lang w:val="en-US"/>
        </w:rPr>
        <w:t xml:space="preserve">The cost </w:t>
      </w:r>
      <w:r w:rsidRPr="00CB6CBA">
        <w:rPr>
          <w:i/>
          <w:iCs/>
          <w:lang w:val="en-US"/>
        </w:rPr>
        <w:t>K</w:t>
      </w:r>
      <w:r w:rsidRPr="00CB6CBA">
        <w:rPr>
          <w:vertAlign w:val="subscript"/>
          <w:lang w:val="en-US"/>
        </w:rPr>
        <w:t>4</w:t>
      </w:r>
      <w:r w:rsidRPr="00CB6CBA">
        <w:rPr>
          <w:lang w:val="en-US"/>
        </w:rPr>
        <w:t xml:space="preserve"> is determined from the data in Table 17. Calculations are made for the case in which the mobile network uses a very simple billing system for 10</w:t>
      </w:r>
      <w:r w:rsidRPr="00CB6CBA">
        <w:rPr>
          <w:rFonts w:ascii="Tms Rmn" w:hAnsi="Tms Rmn"/>
          <w:sz w:val="12"/>
          <w:lang w:val="en-US"/>
        </w:rPr>
        <w:t> </w:t>
      </w:r>
      <w:r w:rsidRPr="00CB6CBA">
        <w:rPr>
          <w:lang w:val="en-US"/>
        </w:rPr>
        <w:t>000 subscribers that can be expanded as required as the number of subscribers increases.</w:t>
      </w:r>
    </w:p>
    <w:p w:rsidR="00CA3B52" w:rsidRPr="00CB6CBA" w:rsidRDefault="00CA3B52" w:rsidP="00CA3B52">
      <w:pPr>
        <w:pStyle w:val="TableNo"/>
        <w:rPr>
          <w:lang w:val="en-US"/>
        </w:rPr>
      </w:pPr>
      <w:r w:rsidRPr="00CB6CBA">
        <w:rPr>
          <w:lang w:val="en-US"/>
        </w:rPr>
        <w:t>TABLE 17</w:t>
      </w:r>
    </w:p>
    <w:tbl>
      <w:tblPr>
        <w:tblW w:w="0" w:type="auto"/>
        <w:jc w:val="center"/>
        <w:tblLayout w:type="fixed"/>
        <w:tblLook w:val="0000" w:firstRow="0" w:lastRow="0" w:firstColumn="0" w:lastColumn="0" w:noHBand="0" w:noVBand="0"/>
      </w:tblPr>
      <w:tblGrid>
        <w:gridCol w:w="5954"/>
        <w:gridCol w:w="2268"/>
      </w:tblGrid>
      <w:tr w:rsidR="00CA3B52" w:rsidRPr="00CB6CBA" w:rsidTr="00E24F2B">
        <w:trPr>
          <w:jc w:val="center"/>
        </w:trPr>
        <w:tc>
          <w:tcPr>
            <w:tcW w:w="5954" w:type="dxa"/>
            <w:tcBorders>
              <w:top w:val="single" w:sz="6" w:space="0" w:color="auto"/>
              <w:left w:val="single" w:sz="6" w:space="0" w:color="auto"/>
              <w:bottom w:val="single" w:sz="4" w:space="0" w:color="auto"/>
              <w:right w:val="single" w:sz="6" w:space="0" w:color="auto"/>
            </w:tcBorders>
            <w:vAlign w:val="center"/>
          </w:tcPr>
          <w:p w:rsidR="00CA3B52" w:rsidRPr="00CB6CBA" w:rsidRDefault="00CA3B52" w:rsidP="002D1D5C">
            <w:pPr>
              <w:pStyle w:val="Tablehead"/>
              <w:rPr>
                <w:lang w:val="en-US"/>
              </w:rPr>
            </w:pPr>
            <w:r w:rsidRPr="00CB6CBA">
              <w:rPr>
                <w:lang w:val="en-US"/>
              </w:rPr>
              <w:t>Type of system</w:t>
            </w:r>
          </w:p>
        </w:tc>
        <w:tc>
          <w:tcPr>
            <w:tcW w:w="2268" w:type="dxa"/>
            <w:tcBorders>
              <w:top w:val="single" w:sz="6" w:space="0" w:color="auto"/>
              <w:left w:val="single" w:sz="6" w:space="0" w:color="auto"/>
              <w:bottom w:val="single" w:sz="4" w:space="0" w:color="auto"/>
              <w:right w:val="single" w:sz="6" w:space="0" w:color="auto"/>
            </w:tcBorders>
            <w:vAlign w:val="center"/>
          </w:tcPr>
          <w:p w:rsidR="00CA3B52" w:rsidRPr="00CB6CBA" w:rsidRDefault="00CA3B52" w:rsidP="002D1D5C">
            <w:pPr>
              <w:pStyle w:val="Tablehead"/>
              <w:rPr>
                <w:lang w:val="en-US"/>
              </w:rPr>
            </w:pPr>
            <w:r w:rsidRPr="00CB6CBA">
              <w:rPr>
                <w:lang w:val="en-US"/>
              </w:rPr>
              <w:t xml:space="preserve">Cost </w:t>
            </w:r>
            <w:r w:rsidRPr="001F2E5C">
              <w:rPr>
                <w:bCs/>
                <w:i/>
                <w:iCs/>
                <w:lang w:val="en-US"/>
              </w:rPr>
              <w:t>K</w:t>
            </w:r>
            <w:r w:rsidRPr="00CB6CBA">
              <w:rPr>
                <w:vertAlign w:val="subscript"/>
                <w:lang w:val="en-US"/>
              </w:rPr>
              <w:t>4</w:t>
            </w:r>
            <w:r w:rsidRPr="00CB6CBA">
              <w:rPr>
                <w:lang w:val="en-US"/>
              </w:rPr>
              <w:br/>
              <w:t>(USD)</w:t>
            </w:r>
          </w:p>
        </w:tc>
      </w:tr>
      <w:tr w:rsidR="00CA3B52" w:rsidRPr="00CB6CBA" w:rsidTr="00E24F2B">
        <w:trPr>
          <w:jc w:val="center"/>
        </w:trPr>
        <w:tc>
          <w:tcPr>
            <w:tcW w:w="5954" w:type="dxa"/>
            <w:tcBorders>
              <w:top w:val="single" w:sz="4" w:space="0" w:color="auto"/>
              <w:left w:val="single" w:sz="4" w:space="0" w:color="auto"/>
              <w:bottom w:val="single" w:sz="4" w:space="0" w:color="auto"/>
              <w:right w:val="single" w:sz="4" w:space="0" w:color="auto"/>
            </w:tcBorders>
          </w:tcPr>
          <w:p w:rsidR="00CA3B52" w:rsidRPr="004E275C" w:rsidRDefault="00CA3B52" w:rsidP="00F65451">
            <w:pPr>
              <w:pStyle w:val="Tabletext"/>
              <w:rPr>
                <w:lang w:val="en-US"/>
              </w:rPr>
            </w:pPr>
            <w:r w:rsidRPr="004E275C">
              <w:rPr>
                <w:lang w:val="en-US"/>
              </w:rPr>
              <w:t>Simple system for 5</w:t>
            </w:r>
            <w:r w:rsidRPr="004E275C">
              <w:rPr>
                <w:rFonts w:ascii="Tms Rmn" w:hAnsi="Tms Rmn"/>
                <w:lang w:val="en-US"/>
              </w:rPr>
              <w:t> </w:t>
            </w:r>
            <w:r w:rsidRPr="004E275C">
              <w:rPr>
                <w:lang w:val="en-US"/>
              </w:rPr>
              <w:t>000 subscribers</w:t>
            </w:r>
          </w:p>
        </w:tc>
        <w:tc>
          <w:tcPr>
            <w:tcW w:w="2268" w:type="dxa"/>
            <w:tcBorders>
              <w:top w:val="single" w:sz="4" w:space="0" w:color="auto"/>
              <w:left w:val="single" w:sz="4" w:space="0" w:color="auto"/>
              <w:bottom w:val="single" w:sz="4" w:space="0" w:color="auto"/>
              <w:right w:val="single" w:sz="4" w:space="0" w:color="auto"/>
            </w:tcBorders>
          </w:tcPr>
          <w:p w:rsidR="00CA3B52" w:rsidRPr="003D0182" w:rsidRDefault="00CA3B52" w:rsidP="00110E9B">
            <w:pPr>
              <w:pStyle w:val="Tabletext"/>
              <w:jc w:val="center"/>
              <w:rPr>
                <w:lang w:val="en-US"/>
              </w:rPr>
            </w:pPr>
            <w:r w:rsidRPr="003D0182">
              <w:rPr>
                <w:szCs w:val="22"/>
                <w:lang w:val="en-US"/>
              </w:rPr>
              <w:t>130</w:t>
            </w:r>
            <w:r w:rsidRPr="003D0182">
              <w:rPr>
                <w:rFonts w:ascii="Tms Rmn" w:hAnsi="Tms Rmn"/>
                <w:szCs w:val="22"/>
                <w:lang w:val="en-US"/>
              </w:rPr>
              <w:t> </w:t>
            </w:r>
            <w:r w:rsidRPr="003D0182">
              <w:rPr>
                <w:szCs w:val="22"/>
                <w:lang w:val="en-US"/>
              </w:rPr>
              <w:t>000</w:t>
            </w:r>
          </w:p>
        </w:tc>
      </w:tr>
      <w:tr w:rsidR="00CA3B52" w:rsidRPr="00CB6CBA" w:rsidTr="00E24F2B">
        <w:trPr>
          <w:jc w:val="center"/>
        </w:trPr>
        <w:tc>
          <w:tcPr>
            <w:tcW w:w="5954" w:type="dxa"/>
            <w:tcBorders>
              <w:top w:val="single" w:sz="4" w:space="0" w:color="auto"/>
              <w:left w:val="single" w:sz="4" w:space="0" w:color="auto"/>
              <w:bottom w:val="single" w:sz="4" w:space="0" w:color="auto"/>
              <w:right w:val="single" w:sz="4" w:space="0" w:color="auto"/>
            </w:tcBorders>
          </w:tcPr>
          <w:p w:rsidR="00CA3B52" w:rsidRPr="004E275C" w:rsidRDefault="00CA3B52" w:rsidP="00F65451">
            <w:pPr>
              <w:pStyle w:val="Tabletext"/>
              <w:rPr>
                <w:lang w:val="en-US"/>
              </w:rPr>
            </w:pPr>
            <w:r w:rsidRPr="004E275C">
              <w:rPr>
                <w:lang w:val="en-US"/>
              </w:rPr>
              <w:t>Simple billing system for 10</w:t>
            </w:r>
            <w:r w:rsidRPr="004E275C">
              <w:rPr>
                <w:rFonts w:ascii="Tms Rmn" w:hAnsi="Tms Rmn"/>
                <w:lang w:val="en-US"/>
              </w:rPr>
              <w:t> </w:t>
            </w:r>
            <w:r w:rsidRPr="004E275C">
              <w:rPr>
                <w:lang w:val="en-US"/>
              </w:rPr>
              <w:t>000 subscribers</w:t>
            </w:r>
          </w:p>
        </w:tc>
        <w:tc>
          <w:tcPr>
            <w:tcW w:w="2268" w:type="dxa"/>
            <w:tcBorders>
              <w:top w:val="single" w:sz="4" w:space="0" w:color="auto"/>
              <w:left w:val="single" w:sz="4" w:space="0" w:color="auto"/>
              <w:bottom w:val="single" w:sz="4" w:space="0" w:color="auto"/>
              <w:right w:val="single" w:sz="4" w:space="0" w:color="auto"/>
            </w:tcBorders>
          </w:tcPr>
          <w:p w:rsidR="00CA3B52" w:rsidRPr="003D0182" w:rsidRDefault="00CA3B52" w:rsidP="00110E9B">
            <w:pPr>
              <w:pStyle w:val="Tabletext"/>
              <w:jc w:val="center"/>
              <w:rPr>
                <w:lang w:val="en-US"/>
              </w:rPr>
            </w:pPr>
            <w:r w:rsidRPr="003D0182">
              <w:rPr>
                <w:szCs w:val="22"/>
                <w:lang w:val="en-US"/>
              </w:rPr>
              <w:t>240</w:t>
            </w:r>
            <w:r w:rsidRPr="003D0182">
              <w:rPr>
                <w:rFonts w:ascii="Tms Rmn" w:hAnsi="Tms Rmn"/>
                <w:szCs w:val="22"/>
                <w:lang w:val="en-US"/>
              </w:rPr>
              <w:t> </w:t>
            </w:r>
            <w:r w:rsidRPr="003D0182">
              <w:rPr>
                <w:szCs w:val="22"/>
                <w:lang w:val="en-US"/>
              </w:rPr>
              <w:t>000</w:t>
            </w:r>
          </w:p>
        </w:tc>
      </w:tr>
      <w:tr w:rsidR="00CA3B52" w:rsidRPr="00CB6CBA" w:rsidTr="00E24F2B">
        <w:trPr>
          <w:jc w:val="center"/>
        </w:trPr>
        <w:tc>
          <w:tcPr>
            <w:tcW w:w="5954" w:type="dxa"/>
            <w:tcBorders>
              <w:top w:val="single" w:sz="4" w:space="0" w:color="auto"/>
              <w:left w:val="single" w:sz="4" w:space="0" w:color="auto"/>
              <w:bottom w:val="single" w:sz="4" w:space="0" w:color="auto"/>
              <w:right w:val="single" w:sz="4" w:space="0" w:color="auto"/>
            </w:tcBorders>
          </w:tcPr>
          <w:p w:rsidR="00CA3B52" w:rsidRPr="004E275C" w:rsidRDefault="00CA3B52" w:rsidP="00F65451">
            <w:pPr>
              <w:pStyle w:val="Tabletext"/>
              <w:rPr>
                <w:lang w:val="en-US"/>
              </w:rPr>
            </w:pPr>
            <w:r w:rsidRPr="004E275C">
              <w:rPr>
                <w:lang w:val="en-US"/>
              </w:rPr>
              <w:t>System with additional capabilities up to 10</w:t>
            </w:r>
            <w:r w:rsidRPr="004E275C">
              <w:rPr>
                <w:rFonts w:ascii="Tms Rmn" w:hAnsi="Tms Rmn"/>
                <w:lang w:val="en-US"/>
              </w:rPr>
              <w:t> </w:t>
            </w:r>
            <w:r w:rsidRPr="004E275C">
              <w:rPr>
                <w:lang w:val="en-US"/>
              </w:rPr>
              <w:t>000 subscribers</w:t>
            </w:r>
          </w:p>
        </w:tc>
        <w:tc>
          <w:tcPr>
            <w:tcW w:w="2268" w:type="dxa"/>
            <w:tcBorders>
              <w:top w:val="single" w:sz="4" w:space="0" w:color="auto"/>
              <w:left w:val="single" w:sz="4" w:space="0" w:color="auto"/>
              <w:bottom w:val="single" w:sz="4" w:space="0" w:color="auto"/>
              <w:right w:val="single" w:sz="4" w:space="0" w:color="auto"/>
            </w:tcBorders>
          </w:tcPr>
          <w:p w:rsidR="00CA3B52" w:rsidRPr="003D0182" w:rsidRDefault="00CA3B52" w:rsidP="00110E9B">
            <w:pPr>
              <w:pStyle w:val="Tabletext"/>
              <w:jc w:val="center"/>
              <w:rPr>
                <w:lang w:val="en-US"/>
              </w:rPr>
            </w:pPr>
            <w:r w:rsidRPr="003D0182">
              <w:rPr>
                <w:szCs w:val="22"/>
                <w:lang w:val="en-US"/>
              </w:rPr>
              <w:t>750</w:t>
            </w:r>
            <w:r w:rsidRPr="003D0182">
              <w:rPr>
                <w:rFonts w:ascii="Tms Rmn" w:hAnsi="Tms Rmn"/>
                <w:szCs w:val="22"/>
                <w:lang w:val="en-US"/>
              </w:rPr>
              <w:t> </w:t>
            </w:r>
            <w:r w:rsidRPr="003D0182">
              <w:rPr>
                <w:szCs w:val="22"/>
                <w:lang w:val="en-US"/>
              </w:rPr>
              <w:t>000</w:t>
            </w:r>
          </w:p>
        </w:tc>
      </w:tr>
      <w:tr w:rsidR="00CA3B52" w:rsidRPr="00CB6CBA" w:rsidTr="00E24F2B">
        <w:trPr>
          <w:jc w:val="center"/>
        </w:trPr>
        <w:tc>
          <w:tcPr>
            <w:tcW w:w="5954" w:type="dxa"/>
            <w:tcBorders>
              <w:top w:val="single" w:sz="4" w:space="0" w:color="auto"/>
              <w:left w:val="single" w:sz="4" w:space="0" w:color="auto"/>
              <w:bottom w:val="single" w:sz="4" w:space="0" w:color="auto"/>
              <w:right w:val="single" w:sz="4" w:space="0" w:color="auto"/>
            </w:tcBorders>
          </w:tcPr>
          <w:p w:rsidR="00CA3B52" w:rsidRPr="004E275C" w:rsidRDefault="00CA3B52" w:rsidP="00F65451">
            <w:pPr>
              <w:pStyle w:val="Tabletext"/>
              <w:rPr>
                <w:lang w:val="en-US"/>
              </w:rPr>
            </w:pPr>
            <w:r w:rsidRPr="004E275C">
              <w:rPr>
                <w:lang w:val="en-US"/>
              </w:rPr>
              <w:t>System with additional capabilities up to 100</w:t>
            </w:r>
            <w:r w:rsidRPr="004E275C">
              <w:rPr>
                <w:rFonts w:ascii="Tms Rmn" w:hAnsi="Tms Rmn"/>
                <w:lang w:val="en-US"/>
              </w:rPr>
              <w:t> </w:t>
            </w:r>
            <w:r w:rsidRPr="004E275C">
              <w:rPr>
                <w:lang w:val="en-US"/>
              </w:rPr>
              <w:t>000 subscribers</w:t>
            </w:r>
          </w:p>
        </w:tc>
        <w:tc>
          <w:tcPr>
            <w:tcW w:w="2268" w:type="dxa"/>
            <w:tcBorders>
              <w:top w:val="single" w:sz="4" w:space="0" w:color="auto"/>
              <w:left w:val="single" w:sz="4" w:space="0" w:color="auto"/>
              <w:bottom w:val="single" w:sz="4" w:space="0" w:color="auto"/>
              <w:right w:val="single" w:sz="4" w:space="0" w:color="auto"/>
            </w:tcBorders>
          </w:tcPr>
          <w:p w:rsidR="00CA3B52" w:rsidRPr="003D0182" w:rsidRDefault="00CA3B52" w:rsidP="00110E9B">
            <w:pPr>
              <w:pStyle w:val="Tabletext"/>
              <w:jc w:val="center"/>
              <w:rPr>
                <w:lang w:val="en-US"/>
              </w:rPr>
            </w:pPr>
            <w:r w:rsidRPr="003D0182">
              <w:rPr>
                <w:szCs w:val="22"/>
                <w:lang w:val="en-US"/>
              </w:rPr>
              <w:t>1</w:t>
            </w:r>
            <w:r w:rsidRPr="003D0182">
              <w:rPr>
                <w:rFonts w:ascii="Tms Rmn" w:hAnsi="Tms Rmn"/>
                <w:szCs w:val="22"/>
                <w:lang w:val="en-US"/>
              </w:rPr>
              <w:t> </w:t>
            </w:r>
            <w:r w:rsidRPr="003D0182">
              <w:rPr>
                <w:szCs w:val="22"/>
                <w:lang w:val="en-US"/>
              </w:rPr>
              <w:t>400</w:t>
            </w:r>
            <w:r w:rsidRPr="003D0182">
              <w:rPr>
                <w:rFonts w:ascii="Tms Rmn" w:hAnsi="Tms Rmn"/>
                <w:szCs w:val="22"/>
                <w:lang w:val="en-US"/>
              </w:rPr>
              <w:t> </w:t>
            </w:r>
            <w:r w:rsidRPr="003D0182">
              <w:rPr>
                <w:szCs w:val="22"/>
                <w:lang w:val="en-US"/>
              </w:rPr>
              <w:t>000</w:t>
            </w:r>
          </w:p>
        </w:tc>
      </w:tr>
    </w:tbl>
    <w:p w:rsidR="00CA3B52" w:rsidRPr="00CB6CBA" w:rsidRDefault="00CA3B52" w:rsidP="00CA3B52">
      <w:pPr>
        <w:pStyle w:val="Tablefin"/>
        <w:rPr>
          <w:lang w:val="en-US"/>
        </w:rPr>
      </w:pPr>
    </w:p>
    <w:p w:rsidR="00CA3B52" w:rsidRDefault="00CA3B52" w:rsidP="00110E9B">
      <w:pPr>
        <w:rPr>
          <w:lang w:val="en-US"/>
        </w:rPr>
      </w:pPr>
      <w:r w:rsidRPr="00CB6CBA">
        <w:rPr>
          <w:lang w:val="en-US"/>
        </w:rPr>
        <w:t xml:space="preserve">For determining the costs of establishing communication links between the BS and SC, the number of communication links, </w:t>
      </w:r>
      <w:r w:rsidRPr="00CB6CBA">
        <w:rPr>
          <w:i/>
          <w:iCs/>
          <w:lang w:val="en-US"/>
        </w:rPr>
        <w:t>N</w:t>
      </w:r>
      <w:r w:rsidRPr="00CB6CBA">
        <w:rPr>
          <w:i/>
          <w:iCs/>
          <w:vertAlign w:val="subscript"/>
          <w:lang w:val="en-US"/>
        </w:rPr>
        <w:t>ck</w:t>
      </w:r>
      <w:r w:rsidRPr="00CB6CBA">
        <w:rPr>
          <w:lang w:val="en-US"/>
        </w:rPr>
        <w:t>, needed to connect one BS to the SC can be calculated. In cellular mobile networks, two types of communication links can be used, with a capacity of 60 or 30</w:t>
      </w:r>
      <w:r w:rsidR="00110E9B">
        <w:rPr>
          <w:lang w:val="en-US"/>
        </w:rPr>
        <w:t> </w:t>
      </w:r>
      <w:r w:rsidRPr="00CB6CBA">
        <w:rPr>
          <w:lang w:val="en-US"/>
        </w:rPr>
        <w:t>telephone channels (with a transmission speed of 2 or 4 Mbit/s). The required number of communication links with a capacity of 30 telephone channels is as follows:</w:t>
      </w:r>
    </w:p>
    <w:p w:rsidR="00CA3B52" w:rsidRPr="00CB6CBA" w:rsidRDefault="00CA3B52" w:rsidP="00CA3B52">
      <w:pPr>
        <w:pStyle w:val="Blanc"/>
      </w:pPr>
    </w:p>
    <w:p w:rsidR="00CA3B52" w:rsidRPr="00CB6CBA" w:rsidRDefault="00CA3B52" w:rsidP="00F65451">
      <w:pPr>
        <w:pStyle w:val="Equation"/>
        <w:rPr>
          <w:lang w:val="en-US"/>
        </w:rPr>
      </w:pPr>
      <w:r w:rsidRPr="000429F2">
        <w:rPr>
          <w:lang w:val="en-US"/>
        </w:rPr>
        <w:tab/>
      </w:r>
      <w:r w:rsidRPr="000429F2">
        <w:rPr>
          <w:lang w:val="en-US"/>
        </w:rPr>
        <w:tab/>
      </w:r>
      <w:r w:rsidRPr="000C5FCA">
        <w:rPr>
          <w:position w:val="-12"/>
          <w:lang w:val="en-US"/>
        </w:rPr>
        <w:object w:dxaOrig="2740" w:dyaOrig="360">
          <v:shape id="_x0000_i1089" type="#_x0000_t75" style="width:135.1pt;height:19.15pt" o:ole="">
            <v:imagedata r:id="rId148" o:title=""/>
          </v:shape>
          <o:OLEObject Type="Embed" ProgID="Equation.3" ShapeID="_x0000_i1089" DrawAspect="Content" ObjectID="_1511604878" r:id="rId149"/>
        </w:object>
      </w:r>
    </w:p>
    <w:p w:rsidR="00CA3B52" w:rsidRPr="00CB6CBA" w:rsidRDefault="00CA3B52" w:rsidP="00CA3B52">
      <w:pPr>
        <w:pStyle w:val="Blanc"/>
      </w:pPr>
    </w:p>
    <w:p w:rsidR="00CA3B52" w:rsidRPr="00CB6CBA" w:rsidRDefault="00CA3B52" w:rsidP="00CA3B52">
      <w:pPr>
        <w:rPr>
          <w:lang w:val="en-US"/>
        </w:rPr>
      </w:pPr>
      <w:r w:rsidRPr="00CB6CBA">
        <w:rPr>
          <w:lang w:val="en-US"/>
        </w:rPr>
        <w:t xml:space="preserve">In order to reduce the capital outlay for BS-SC connections, communication links of </w:t>
      </w:r>
      <w:r>
        <w:rPr>
          <w:lang w:val="en-US"/>
        </w:rPr>
        <w:t>Ty</w:t>
      </w:r>
      <w:r w:rsidRPr="00CB6CBA">
        <w:rPr>
          <w:lang w:val="en-US"/>
        </w:rPr>
        <w:t>pe 1 should be used as much as possible. The number of such links will be:</w:t>
      </w:r>
    </w:p>
    <w:p w:rsidR="00CA3B52" w:rsidRPr="00CB6CBA" w:rsidRDefault="00CA3B52" w:rsidP="00CA3B52">
      <w:pPr>
        <w:pStyle w:val="Blanc"/>
      </w:pPr>
    </w:p>
    <w:p w:rsidR="00CA3B52" w:rsidRPr="00CB6CBA" w:rsidRDefault="00CA3B52" w:rsidP="00F65451">
      <w:pPr>
        <w:pStyle w:val="Equation"/>
        <w:rPr>
          <w:lang w:val="en-US"/>
        </w:rPr>
      </w:pPr>
      <w:r>
        <w:tab/>
      </w:r>
      <w:r>
        <w:tab/>
      </w:r>
      <w:r w:rsidRPr="000C5FCA">
        <w:rPr>
          <w:position w:val="-12"/>
          <w:lang w:val="en-US"/>
        </w:rPr>
        <w:object w:dxaOrig="1780" w:dyaOrig="360">
          <v:shape id="_x0000_i1090" type="#_x0000_t75" style="width:88.85pt;height:19.15pt" o:ole="">
            <v:imagedata r:id="rId150" o:title=""/>
          </v:shape>
          <o:OLEObject Type="Embed" ProgID="Equation.3" ShapeID="_x0000_i1090" DrawAspect="Content" ObjectID="_1511604879" r:id="rId151"/>
        </w:object>
      </w:r>
    </w:p>
    <w:p w:rsidR="00CA3B52" w:rsidRPr="00CB6CBA" w:rsidRDefault="00CA3B52" w:rsidP="00F368AD">
      <w:pPr>
        <w:rPr>
          <w:lang w:val="en-US"/>
        </w:rPr>
      </w:pPr>
      <w:r w:rsidRPr="00CB6CBA">
        <w:rPr>
          <w:lang w:val="en-US"/>
        </w:rPr>
        <w:t xml:space="preserve">If </w:t>
      </w:r>
      <w:r w:rsidRPr="00CB6CBA">
        <w:rPr>
          <w:i/>
          <w:iCs/>
          <w:lang w:val="en-US"/>
        </w:rPr>
        <w:t>N</w:t>
      </w:r>
      <w:r w:rsidRPr="00CB6CBA">
        <w:rPr>
          <w:vertAlign w:val="subscript"/>
          <w:lang w:val="en-US"/>
        </w:rPr>
        <w:t>30</w:t>
      </w:r>
      <w:r w:rsidRPr="00CB6CBA">
        <w:rPr>
          <w:lang w:val="en-US"/>
        </w:rPr>
        <w:t xml:space="preserve"> is an even number, then the given number of type 1 communication links is sufficient for BS</w:t>
      </w:r>
      <w:r w:rsidRPr="00CB6CBA">
        <w:rPr>
          <w:lang w:val="en-US"/>
        </w:rPr>
        <w:noBreakHyphen/>
        <w:t>SC connections. If it is an odd number, one more communica</w:t>
      </w:r>
      <w:r>
        <w:rPr>
          <w:lang w:val="en-US"/>
        </w:rPr>
        <w:t>tion link with a capacity of 30</w:t>
      </w:r>
      <w:r w:rsidR="00110E9B">
        <w:rPr>
          <w:lang w:val="en-US"/>
        </w:rPr>
        <w:t> </w:t>
      </w:r>
      <w:r w:rsidRPr="00CB6CBA">
        <w:rPr>
          <w:lang w:val="en-US"/>
        </w:rPr>
        <w:t xml:space="preserve">telephone channels is required. Thus, for BS-SC connections, </w:t>
      </w:r>
      <w:r w:rsidRPr="00CB6CBA">
        <w:rPr>
          <w:i/>
          <w:iCs/>
          <w:lang w:val="en-US"/>
        </w:rPr>
        <w:t>N</w:t>
      </w:r>
      <w:r w:rsidRPr="00CB6CBA">
        <w:rPr>
          <w:vertAlign w:val="subscript"/>
          <w:lang w:val="en-US"/>
        </w:rPr>
        <w:t>1</w:t>
      </w:r>
      <w:r w:rsidRPr="00CB6CBA">
        <w:rPr>
          <w:lang w:val="en-US"/>
        </w:rPr>
        <w:t xml:space="preserve"> communication links of </w:t>
      </w:r>
      <w:r>
        <w:rPr>
          <w:lang w:val="en-US"/>
        </w:rPr>
        <w:t>T</w:t>
      </w:r>
      <w:r w:rsidRPr="00CB6CBA">
        <w:rPr>
          <w:lang w:val="en-US"/>
        </w:rPr>
        <w:t xml:space="preserve">ype 1 and </w:t>
      </w:r>
      <w:r w:rsidRPr="00CB6CBA">
        <w:rPr>
          <w:i/>
          <w:iCs/>
          <w:lang w:val="en-US"/>
        </w:rPr>
        <w:t>N</w:t>
      </w:r>
      <w:r w:rsidRPr="00CB6CBA">
        <w:rPr>
          <w:vertAlign w:val="subscript"/>
          <w:lang w:val="en-US"/>
        </w:rPr>
        <w:t>2</w:t>
      </w:r>
      <w:r w:rsidRPr="00CB6CBA">
        <w:rPr>
          <w:lang w:val="en-US"/>
        </w:rPr>
        <w:t xml:space="preserve"> communication links of </w:t>
      </w:r>
      <w:r>
        <w:rPr>
          <w:lang w:val="en-US"/>
        </w:rPr>
        <w:t>T</w:t>
      </w:r>
      <w:r w:rsidRPr="00CB6CBA">
        <w:rPr>
          <w:lang w:val="en-US"/>
        </w:rPr>
        <w:t>ype 2 are required.</w:t>
      </w:r>
    </w:p>
    <w:p w:rsidR="00CA3B52" w:rsidRDefault="00CA3B52" w:rsidP="00F368AD">
      <w:pPr>
        <w:keepNext/>
        <w:rPr>
          <w:lang w:val="en-US"/>
        </w:rPr>
      </w:pPr>
      <w:r w:rsidRPr="00CB6CBA">
        <w:rPr>
          <w:lang w:val="en-US"/>
        </w:rPr>
        <w:lastRenderedPageBreak/>
        <w:t xml:space="preserve">Unit costs for one telephone channel with </w:t>
      </w:r>
      <w:r>
        <w:rPr>
          <w:lang w:val="en-US"/>
        </w:rPr>
        <w:t>T</w:t>
      </w:r>
      <w:r w:rsidRPr="00CB6CBA">
        <w:rPr>
          <w:lang w:val="en-US"/>
        </w:rPr>
        <w:t xml:space="preserve">ype 1 or </w:t>
      </w:r>
      <w:r>
        <w:rPr>
          <w:lang w:val="en-US"/>
        </w:rPr>
        <w:t>T</w:t>
      </w:r>
      <w:r w:rsidRPr="00CB6CBA">
        <w:rPr>
          <w:lang w:val="en-US"/>
        </w:rPr>
        <w:t xml:space="preserve">ype 2 links of length </w:t>
      </w:r>
      <w:r w:rsidRPr="00CB6CBA">
        <w:rPr>
          <w:i/>
          <w:iCs/>
          <w:lang w:val="en-US"/>
        </w:rPr>
        <w:t>L</w:t>
      </w:r>
      <w:r w:rsidRPr="00CB6CBA">
        <w:rPr>
          <w:i/>
          <w:iCs/>
          <w:position w:val="-4"/>
          <w:sz w:val="16"/>
          <w:lang w:val="en-US"/>
        </w:rPr>
        <w:t>i</w:t>
      </w:r>
      <w:r w:rsidRPr="00CB6CBA">
        <w:rPr>
          <w:lang w:val="en-US"/>
        </w:rPr>
        <w:t xml:space="preserve"> are determined by the equation:</w:t>
      </w:r>
    </w:p>
    <w:p w:rsidR="00CA3B52" w:rsidRPr="00CB6CBA" w:rsidRDefault="00CA3B52" w:rsidP="00CA3B52">
      <w:pPr>
        <w:pStyle w:val="Blanc"/>
      </w:pPr>
    </w:p>
    <w:p w:rsidR="00CA3B52" w:rsidRPr="00CB6CBA" w:rsidRDefault="00CA3B52" w:rsidP="00F65451">
      <w:pPr>
        <w:pStyle w:val="Equation"/>
        <w:rPr>
          <w:lang w:val="en-US"/>
        </w:rPr>
      </w:pPr>
      <w:r w:rsidRPr="0012303E">
        <w:rPr>
          <w:lang w:val="en-US"/>
        </w:rPr>
        <w:tab/>
      </w:r>
      <w:r w:rsidRPr="0012303E">
        <w:rPr>
          <w:lang w:val="en-US"/>
        </w:rPr>
        <w:tab/>
      </w:r>
      <w:r w:rsidRPr="0012303E">
        <w:rPr>
          <w:position w:val="-12"/>
          <w:lang w:val="en-US"/>
        </w:rPr>
        <w:object w:dxaOrig="1820" w:dyaOrig="360">
          <v:shape id="_x0000_i1091" type="#_x0000_t75" style="width:89.75pt;height:19.15pt" o:ole="">
            <v:imagedata r:id="rId152" o:title=""/>
          </v:shape>
          <o:OLEObject Type="Embed" ProgID="Equation.3" ShapeID="_x0000_i1091" DrawAspect="Content" ObjectID="_1511604880" r:id="rId153"/>
        </w:object>
      </w:r>
    </w:p>
    <w:p w:rsidR="00CA3B52" w:rsidRPr="00CB6CBA" w:rsidRDefault="00CA3B52" w:rsidP="00F65451">
      <w:pPr>
        <w:pStyle w:val="Equation"/>
        <w:rPr>
          <w:lang w:val="en-US"/>
        </w:rPr>
      </w:pPr>
      <w:r>
        <w:tab/>
      </w:r>
      <w:r>
        <w:tab/>
      </w:r>
      <w:r w:rsidRPr="0012303E">
        <w:rPr>
          <w:position w:val="-12"/>
          <w:lang w:val="en-US"/>
        </w:rPr>
        <w:object w:dxaOrig="1920" w:dyaOrig="360">
          <v:shape id="_x0000_i1092" type="#_x0000_t75" style="width:93.95pt;height:19.15pt" o:ole="">
            <v:imagedata r:id="rId154" o:title=""/>
          </v:shape>
          <o:OLEObject Type="Embed" ProgID="Equation.3" ShapeID="_x0000_i1092" DrawAspect="Content" ObjectID="_1511604881" r:id="rId155"/>
        </w:object>
      </w:r>
    </w:p>
    <w:p w:rsidR="00CA3B52" w:rsidRPr="00CB6CBA" w:rsidRDefault="00CA3B52" w:rsidP="00CA3B52">
      <w:pPr>
        <w:pStyle w:val="Blanc"/>
      </w:pPr>
    </w:p>
    <w:p w:rsidR="00CA3B52" w:rsidRPr="00CB6CBA" w:rsidRDefault="00CA3B52" w:rsidP="00CA3B52">
      <w:pPr>
        <w:rPr>
          <w:lang w:val="en-US"/>
        </w:rPr>
      </w:pPr>
      <w:r w:rsidRPr="00CB6CBA">
        <w:rPr>
          <w:lang w:val="en-US"/>
        </w:rPr>
        <w:t xml:space="preserve">where </w:t>
      </w:r>
      <w:r w:rsidRPr="00CB6CBA">
        <w:rPr>
          <w:i/>
          <w:iCs/>
          <w:lang w:val="en-US"/>
        </w:rPr>
        <w:t>A</w:t>
      </w:r>
      <w:r w:rsidRPr="00CB6CBA">
        <w:rPr>
          <w:vertAlign w:val="subscript"/>
          <w:lang w:val="en-US"/>
        </w:rPr>
        <w:t>1</w:t>
      </w:r>
      <w:r w:rsidRPr="00CB6CBA">
        <w:rPr>
          <w:lang w:val="en-US"/>
        </w:rPr>
        <w:t xml:space="preserve">, </w:t>
      </w:r>
      <w:r w:rsidRPr="00CB6CBA">
        <w:rPr>
          <w:i/>
          <w:iCs/>
          <w:lang w:val="en-US"/>
        </w:rPr>
        <w:t>B</w:t>
      </w:r>
      <w:r w:rsidRPr="00CB6CBA">
        <w:rPr>
          <w:vertAlign w:val="subscript"/>
          <w:lang w:val="en-US"/>
        </w:rPr>
        <w:t>1</w:t>
      </w:r>
      <w:r w:rsidRPr="00CB6CBA">
        <w:rPr>
          <w:lang w:val="en-US"/>
        </w:rPr>
        <w:t xml:space="preserve">, </w:t>
      </w:r>
      <w:r w:rsidRPr="00CB6CBA">
        <w:rPr>
          <w:i/>
          <w:iCs/>
          <w:lang w:val="en-US"/>
        </w:rPr>
        <w:t>A</w:t>
      </w:r>
      <w:r w:rsidRPr="00CB6CBA">
        <w:rPr>
          <w:vertAlign w:val="subscript"/>
          <w:lang w:val="en-US"/>
        </w:rPr>
        <w:t>2</w:t>
      </w:r>
      <w:r w:rsidRPr="00CB6CBA">
        <w:rPr>
          <w:lang w:val="en-US"/>
        </w:rPr>
        <w:t xml:space="preserve"> and </w:t>
      </w:r>
      <w:r w:rsidRPr="00CB6CBA">
        <w:rPr>
          <w:i/>
          <w:iCs/>
          <w:lang w:val="en-US"/>
        </w:rPr>
        <w:t>B</w:t>
      </w:r>
      <w:r w:rsidRPr="00CB6CBA">
        <w:rPr>
          <w:vertAlign w:val="subscript"/>
          <w:lang w:val="en-US"/>
        </w:rPr>
        <w:t>2</w:t>
      </w:r>
      <w:r w:rsidRPr="00CB6CBA">
        <w:rPr>
          <w:lang w:val="en-US"/>
        </w:rPr>
        <w:t xml:space="preserve"> for cable, optical and radio-relay links may be determined on the basis of statistical data.</w:t>
      </w:r>
    </w:p>
    <w:p w:rsidR="00CA3B52" w:rsidRPr="00CB6CBA" w:rsidRDefault="00CA3B52" w:rsidP="00CA3B52">
      <w:pPr>
        <w:rPr>
          <w:lang w:val="en-US"/>
        </w:rPr>
      </w:pPr>
      <w:r w:rsidRPr="00CB6CBA">
        <w:rPr>
          <w:lang w:val="en-US"/>
        </w:rPr>
        <w:t xml:space="preserve">The cost of establishing communication links between the </w:t>
      </w:r>
      <w:r w:rsidRPr="00CB6CBA">
        <w:rPr>
          <w:i/>
          <w:iCs/>
          <w:lang w:val="en-US"/>
        </w:rPr>
        <w:t>i</w:t>
      </w:r>
      <w:r w:rsidRPr="00CB6CBA">
        <w:rPr>
          <w:lang w:val="en-US"/>
        </w:rPr>
        <w:t>-th BS and the SC is:</w:t>
      </w:r>
    </w:p>
    <w:p w:rsidR="00CA3B52" w:rsidRPr="00CB6CBA" w:rsidRDefault="00CA3B52" w:rsidP="00CA3B52">
      <w:pPr>
        <w:pStyle w:val="Blanc"/>
        <w:rPr>
          <w:lang w:val="en-US"/>
        </w:rPr>
      </w:pPr>
    </w:p>
    <w:p w:rsidR="00CA3B52" w:rsidRPr="00CB6CBA" w:rsidRDefault="00CA3B52" w:rsidP="00F65451">
      <w:pPr>
        <w:pStyle w:val="Equation"/>
        <w:rPr>
          <w:lang w:val="en-US"/>
        </w:rPr>
      </w:pPr>
      <w:r w:rsidRPr="000429F2">
        <w:rPr>
          <w:lang w:val="en-US"/>
        </w:rPr>
        <w:tab/>
      </w:r>
      <w:r w:rsidRPr="000429F2">
        <w:rPr>
          <w:lang w:val="en-US"/>
        </w:rPr>
        <w:tab/>
      </w:r>
      <w:r w:rsidRPr="0012303E">
        <w:rPr>
          <w:position w:val="-12"/>
          <w:lang w:val="en-US"/>
        </w:rPr>
        <w:object w:dxaOrig="4760" w:dyaOrig="360">
          <v:shape id="_x0000_i1093" type="#_x0000_t75" style="width:233.3pt;height:19.15pt" o:ole="">
            <v:imagedata r:id="rId156" o:title=""/>
          </v:shape>
          <o:OLEObject Type="Embed" ProgID="Equation.3" ShapeID="_x0000_i1093" DrawAspect="Content" ObjectID="_1511604882" r:id="rId157"/>
        </w:object>
      </w:r>
    </w:p>
    <w:p w:rsidR="00CA3B52" w:rsidRPr="00CB6CBA" w:rsidRDefault="00CA3B52" w:rsidP="00CA3B52">
      <w:pPr>
        <w:pStyle w:val="Equation"/>
        <w:rPr>
          <w:lang w:val="en-US"/>
        </w:rPr>
      </w:pPr>
      <w:r w:rsidRPr="00CB6CBA">
        <w:rPr>
          <w:lang w:val="en-US"/>
        </w:rPr>
        <w:t>where:</w:t>
      </w:r>
    </w:p>
    <w:p w:rsidR="00CA3B52" w:rsidRPr="00CB6CBA" w:rsidRDefault="00CA3B52" w:rsidP="00CA3B52">
      <w:pPr>
        <w:pStyle w:val="Blanc"/>
        <w:rPr>
          <w:lang w:val="en-US"/>
        </w:rPr>
      </w:pPr>
    </w:p>
    <w:p w:rsidR="00CA3B52" w:rsidRPr="00CB6CBA" w:rsidRDefault="00CA3B52" w:rsidP="00F65451">
      <w:pPr>
        <w:pStyle w:val="Equation"/>
        <w:rPr>
          <w:lang w:val="en-US"/>
        </w:rPr>
      </w:pPr>
      <w:r>
        <w:tab/>
      </w:r>
      <w:r>
        <w:tab/>
      </w:r>
      <w:r w:rsidRPr="00CB6CBA">
        <w:rPr>
          <w:position w:val="-10"/>
          <w:lang w:val="en-US"/>
        </w:rPr>
        <w:object w:dxaOrig="7220" w:dyaOrig="340">
          <v:shape id="_x0000_i1094" type="#_x0000_t75" style="width:357.2pt;height:17.3pt" o:ole="">
            <v:imagedata r:id="rId158" o:title=""/>
          </v:shape>
          <o:OLEObject Type="Embed" ProgID="Equation.3" ShapeID="_x0000_i1094" DrawAspect="Content" ObjectID="_1511604883" r:id="rId159"/>
        </w:object>
      </w:r>
    </w:p>
    <w:p w:rsidR="00CA3B52" w:rsidRPr="00CB6CBA" w:rsidRDefault="00CA3B52" w:rsidP="00CA3B52">
      <w:pPr>
        <w:pStyle w:val="Blanc"/>
        <w:rPr>
          <w:lang w:val="en-US"/>
        </w:rPr>
      </w:pPr>
    </w:p>
    <w:p w:rsidR="00CA3B52" w:rsidRDefault="00CA3B52" w:rsidP="00CA3B52">
      <w:pPr>
        <w:rPr>
          <w:lang w:val="en-US"/>
        </w:rPr>
      </w:pPr>
      <w:r w:rsidRPr="00CB6CBA">
        <w:rPr>
          <w:lang w:val="en-US"/>
        </w:rPr>
        <w:t>The total cost of establishing communication links to connect all base stations to the switching centre may be determined by the following equation:</w:t>
      </w:r>
    </w:p>
    <w:p w:rsidR="00CA3B52" w:rsidRPr="00CB6CBA" w:rsidRDefault="00CA3B52" w:rsidP="00CA3B52">
      <w:pPr>
        <w:pStyle w:val="Blanc"/>
        <w:rPr>
          <w:lang w:val="en-US"/>
        </w:rPr>
      </w:pPr>
    </w:p>
    <w:p w:rsidR="00CA3B52" w:rsidRPr="00CB6CBA" w:rsidRDefault="00CA3B52" w:rsidP="00F65451">
      <w:pPr>
        <w:pStyle w:val="Equation"/>
        <w:rPr>
          <w:lang w:val="en-US"/>
        </w:rPr>
      </w:pPr>
      <w:r w:rsidRPr="000429F2">
        <w:rPr>
          <w:lang w:val="en-US"/>
        </w:rPr>
        <w:tab/>
      </w:r>
      <w:r w:rsidRPr="000429F2">
        <w:rPr>
          <w:lang w:val="en-US"/>
        </w:rPr>
        <w:tab/>
      </w:r>
      <w:r w:rsidRPr="00CB6CBA">
        <w:rPr>
          <w:position w:val="-32"/>
          <w:sz w:val="20"/>
          <w:lang w:val="en-US"/>
        </w:rPr>
        <w:object w:dxaOrig="3200" w:dyaOrig="760">
          <v:shape id="_x0000_i1095" type="#_x0000_t75" style="width:160.85pt;height:38.35pt" o:ole="" fillcolor="window">
            <v:imagedata r:id="rId160" o:title=""/>
          </v:shape>
          <o:OLEObject Type="Embed" ProgID="Equation.3" ShapeID="_x0000_i1095" DrawAspect="Content" ObjectID="_1511604884" r:id="rId161"/>
        </w:object>
      </w:r>
    </w:p>
    <w:p w:rsidR="00CA3B52" w:rsidRPr="00CB6CBA" w:rsidRDefault="00CA3B52" w:rsidP="00CA3B52">
      <w:pPr>
        <w:rPr>
          <w:lang w:val="en-US"/>
        </w:rPr>
      </w:pPr>
      <w:r w:rsidRPr="00CB6CBA">
        <w:rPr>
          <w:lang w:val="en-US"/>
        </w:rPr>
        <w:t xml:space="preserve">where </w:t>
      </w:r>
      <w:r w:rsidRPr="00116767">
        <w:rPr>
          <w:position w:val="-24"/>
          <w:lang w:val="en-US"/>
        </w:rPr>
        <w:object w:dxaOrig="1540" w:dyaOrig="600">
          <v:shape id="_x0000_i1096" type="#_x0000_t75" style="width:74.8pt;height:29.9pt" o:ole="" fillcolor="window">
            <v:imagedata r:id="rId162" o:title=""/>
          </v:shape>
          <o:OLEObject Type="Embed" ProgID="Equation.3" ShapeID="_x0000_i1096" DrawAspect="Content" ObjectID="_1511604885" r:id="rId163"/>
        </w:object>
      </w:r>
      <w:r w:rsidRPr="00CB6CBA">
        <w:rPr>
          <w:lang w:val="en-US"/>
        </w:rPr>
        <w:t xml:space="preserve"> is the average length of all BS-SC connection links. The length of these links may vary from 5 to 25 km. If the mobile network’s coverage area is assumed to be a circle and base stations are uniformly distributed throughout this area, then:</w:t>
      </w:r>
    </w:p>
    <w:p w:rsidR="00CA3B52" w:rsidRPr="00CB6CBA" w:rsidRDefault="00CA3B52" w:rsidP="00CA3B52">
      <w:pPr>
        <w:pStyle w:val="Blanc"/>
        <w:rPr>
          <w:lang w:val="en-US"/>
        </w:rPr>
      </w:pPr>
    </w:p>
    <w:p w:rsidR="00CA3B52" w:rsidRPr="00CB6CBA" w:rsidRDefault="00CA3B52" w:rsidP="00F65451">
      <w:pPr>
        <w:pStyle w:val="Equation"/>
        <w:rPr>
          <w:lang w:val="en-US"/>
        </w:rPr>
      </w:pPr>
      <w:r w:rsidRPr="000429F2">
        <w:rPr>
          <w:lang w:val="en-US"/>
        </w:rPr>
        <w:tab/>
      </w:r>
      <w:r w:rsidRPr="000429F2">
        <w:rPr>
          <w:lang w:val="en-US"/>
        </w:rPr>
        <w:tab/>
      </w:r>
      <w:r w:rsidRPr="0012303E">
        <w:rPr>
          <w:position w:val="-12"/>
          <w:lang w:val="en-US"/>
        </w:rPr>
        <w:object w:dxaOrig="3840" w:dyaOrig="420">
          <v:shape id="_x0000_i1097" type="#_x0000_t75" style="width:190.75pt;height:21.5pt" o:ole="">
            <v:imagedata r:id="rId164" o:title=""/>
          </v:shape>
          <o:OLEObject Type="Embed" ProgID="Equation.3" ShapeID="_x0000_i1097" DrawAspect="Content" ObjectID="_1511604886" r:id="rId165"/>
        </w:object>
      </w:r>
    </w:p>
    <w:p w:rsidR="00CA3B52" w:rsidRPr="00CB6CBA" w:rsidRDefault="00CA3B52" w:rsidP="00CA3B52">
      <w:pPr>
        <w:pStyle w:val="Blanc"/>
        <w:rPr>
          <w:lang w:val="en-US"/>
        </w:rPr>
      </w:pPr>
    </w:p>
    <w:p w:rsidR="00CA3B52" w:rsidRDefault="00CA3B52" w:rsidP="00CA3B52">
      <w:pPr>
        <w:rPr>
          <w:lang w:val="en-US"/>
        </w:rPr>
      </w:pPr>
      <w:r w:rsidRPr="00CB6CBA">
        <w:rPr>
          <w:lang w:val="en-US"/>
        </w:rPr>
        <w:t xml:space="preserve">Figure </w:t>
      </w:r>
      <w:r w:rsidRPr="00271685">
        <w:rPr>
          <w:lang w:val="en-US"/>
        </w:rPr>
        <w:t>11</w:t>
      </w:r>
      <w:r>
        <w:rPr>
          <w:lang w:val="en-US"/>
        </w:rPr>
        <w:t xml:space="preserve"> </w:t>
      </w:r>
      <w:r w:rsidRPr="00CB6CBA">
        <w:rPr>
          <w:lang w:val="en-US"/>
        </w:rPr>
        <w:t xml:space="preserve">shows capital expenditure </w:t>
      </w:r>
      <w:r w:rsidRPr="00CB6CBA">
        <w:rPr>
          <w:i/>
          <w:iCs/>
          <w:lang w:val="en-US"/>
        </w:rPr>
        <w:t>K</w:t>
      </w:r>
      <w:r>
        <w:rPr>
          <w:rFonts w:asciiTheme="majorBidi" w:hAnsiTheme="majorBidi" w:cstheme="majorBidi"/>
          <w:vertAlign w:val="subscript"/>
          <w:lang w:val="en-US"/>
        </w:rPr>
        <w:sym w:font="Symbol" w:char="F053"/>
      </w:r>
      <w:r w:rsidRPr="00CB6CBA">
        <w:rPr>
          <w:lang w:val="en-US"/>
        </w:rPr>
        <w:t xml:space="preserve"> as a function of the bandwidth, </w:t>
      </w:r>
      <w:r w:rsidRPr="00CB6CBA">
        <w:rPr>
          <w:i/>
          <w:iCs/>
          <w:lang w:val="en-US"/>
        </w:rPr>
        <w:t>F</w:t>
      </w:r>
      <w:r w:rsidRPr="00CB6CBA">
        <w:rPr>
          <w:lang w:val="en-US"/>
        </w:rPr>
        <w:t>, and the number of subscribers to be served, </w:t>
      </w:r>
      <w:r w:rsidRPr="00CB6CBA">
        <w:rPr>
          <w:i/>
          <w:iCs/>
          <w:lang w:val="en-US"/>
        </w:rPr>
        <w:t>N</w:t>
      </w:r>
      <w:r w:rsidRPr="00CB6CBA">
        <w:rPr>
          <w:i/>
          <w:iCs/>
          <w:vertAlign w:val="subscript"/>
          <w:lang w:val="en-US"/>
        </w:rPr>
        <w:t>a</w:t>
      </w:r>
      <w:r w:rsidRPr="00CB6CBA">
        <w:rPr>
          <w:lang w:val="en-US"/>
        </w:rPr>
        <w:t>. It reveals that the operator can reduce the necessary expenditure for the establishment of a network quite significantly by using a wider bandwidth, i.e. making less efficient use of the spectrum.</w:t>
      </w:r>
    </w:p>
    <w:p w:rsidR="00CA3B52" w:rsidRDefault="00CA3B52" w:rsidP="00CA3B52">
      <w:pPr>
        <w:pStyle w:val="FigureNo"/>
        <w:rPr>
          <w:lang w:val="en-US"/>
        </w:rPr>
      </w:pPr>
      <w:r>
        <w:rPr>
          <w:lang w:val="en-US"/>
        </w:rPr>
        <w:lastRenderedPageBreak/>
        <w:t>Figure 11</w:t>
      </w:r>
    </w:p>
    <w:p w:rsidR="00CA3B52" w:rsidRDefault="00CA3B52" w:rsidP="00CA3B52">
      <w:pPr>
        <w:pStyle w:val="Figuretitle"/>
        <w:rPr>
          <w:lang w:val="en-US"/>
        </w:rPr>
      </w:pPr>
      <w:r>
        <w:rPr>
          <w:lang w:val="en-US"/>
        </w:rPr>
        <w:t>Capital investment vs. bandwidth</w:t>
      </w:r>
    </w:p>
    <w:p w:rsidR="00CA3B52" w:rsidRPr="0012303E" w:rsidRDefault="00CA3B52" w:rsidP="00CA3B52">
      <w:pPr>
        <w:pStyle w:val="Figure"/>
        <w:rPr>
          <w:lang w:val="en-US"/>
        </w:rPr>
      </w:pPr>
      <w:r>
        <w:rPr>
          <w:lang w:val="en-US"/>
        </w:rPr>
        <w:object w:dxaOrig="6618" w:dyaOrig="9055">
          <v:shape id="_x0000_i1098" type="#_x0000_t75" style="width:331.5pt;height:453.05pt" o:ole="">
            <v:imagedata r:id="rId166" o:title=""/>
          </v:shape>
          <o:OLEObject Type="Embed" ProgID="CorelDRAW.Graphic.14" ShapeID="_x0000_i1098" DrawAspect="Content" ObjectID="_1511604887" r:id="rId167"/>
        </w:object>
      </w:r>
    </w:p>
    <w:p w:rsidR="00CA3B52" w:rsidRDefault="00CA3B52" w:rsidP="00F65451">
      <w:pPr>
        <w:pStyle w:val="enumlev1"/>
        <w:rPr>
          <w:lang w:val="en-US"/>
        </w:rPr>
      </w:pPr>
    </w:p>
    <w:p w:rsidR="00CA3B52" w:rsidRPr="00CB6CBA" w:rsidRDefault="00CA3B52" w:rsidP="00F65451">
      <w:pPr>
        <w:pStyle w:val="enumlev1"/>
        <w:rPr>
          <w:lang w:val="en-US"/>
        </w:rPr>
      </w:pPr>
      <w:r w:rsidRPr="00CB6CBA">
        <w:rPr>
          <w:lang w:val="en-US"/>
        </w:rPr>
        <w:t>c)</w:t>
      </w:r>
      <w:r w:rsidRPr="00CB6CBA">
        <w:rPr>
          <w:lang w:val="en-US"/>
        </w:rPr>
        <w:tab/>
      </w:r>
      <w:r w:rsidRPr="00CB6CBA">
        <w:rPr>
          <w:i/>
          <w:iCs/>
          <w:lang w:val="en-US"/>
        </w:rPr>
        <w:t>Determination of the discounted income index of a mobile network project</w:t>
      </w:r>
    </w:p>
    <w:p w:rsidR="00CA3B52" w:rsidRPr="00CB6CBA" w:rsidRDefault="00CA3B52" w:rsidP="00CA3B52">
      <w:pPr>
        <w:rPr>
          <w:lang w:val="en-US"/>
        </w:rPr>
      </w:pPr>
      <w:r w:rsidRPr="00CB6CBA">
        <w:rPr>
          <w:lang w:val="en-US"/>
        </w:rPr>
        <w:t>Table 18 shows a set of calculation parameters based on statistical data and standards used in the Russian Federation:</w:t>
      </w:r>
    </w:p>
    <w:p w:rsidR="00C65B68" w:rsidRDefault="00C65B68">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CA3B52" w:rsidRPr="00CB6CBA" w:rsidRDefault="00CA3B52" w:rsidP="00CA3B52">
      <w:pPr>
        <w:pStyle w:val="TableNo"/>
        <w:rPr>
          <w:lang w:val="en-US"/>
        </w:rPr>
      </w:pPr>
      <w:r w:rsidRPr="00CB6CBA">
        <w:rPr>
          <w:lang w:val="en-US"/>
        </w:rPr>
        <w:lastRenderedPageBreak/>
        <w:t>TABLE 18</w:t>
      </w:r>
    </w:p>
    <w:tbl>
      <w:tblPr>
        <w:tblW w:w="9639" w:type="dxa"/>
        <w:jc w:val="center"/>
        <w:tblBorders>
          <w:top w:val="single" w:sz="2"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5103"/>
        <w:gridCol w:w="3402"/>
      </w:tblGrid>
      <w:tr w:rsidR="00CA3B52" w:rsidRPr="00CB6CBA" w:rsidTr="00E24F2B">
        <w:trPr>
          <w:jc w:val="center"/>
        </w:trPr>
        <w:tc>
          <w:tcPr>
            <w:tcW w:w="1134" w:type="dxa"/>
            <w:tcBorders>
              <w:bottom w:val="single" w:sz="4" w:space="0" w:color="auto"/>
            </w:tcBorders>
          </w:tcPr>
          <w:p w:rsidR="00CA3B52" w:rsidRPr="00CB6CBA" w:rsidRDefault="00CA3B52" w:rsidP="002D1D5C">
            <w:pPr>
              <w:pStyle w:val="Tablehead"/>
              <w:rPr>
                <w:szCs w:val="22"/>
                <w:lang w:val="en-US"/>
              </w:rPr>
            </w:pPr>
            <w:r w:rsidRPr="00CB6CBA">
              <w:rPr>
                <w:szCs w:val="22"/>
                <w:lang w:val="en-US"/>
              </w:rPr>
              <w:t>Symbol</w:t>
            </w:r>
          </w:p>
        </w:tc>
        <w:tc>
          <w:tcPr>
            <w:tcW w:w="5103" w:type="dxa"/>
            <w:tcBorders>
              <w:bottom w:val="single" w:sz="4" w:space="0" w:color="auto"/>
            </w:tcBorders>
          </w:tcPr>
          <w:p w:rsidR="00CA3B52" w:rsidRPr="00CB6CBA" w:rsidRDefault="00CA3B52" w:rsidP="002D1D5C">
            <w:pPr>
              <w:pStyle w:val="Tablehead"/>
              <w:rPr>
                <w:szCs w:val="22"/>
                <w:lang w:val="en-US"/>
              </w:rPr>
            </w:pPr>
            <w:r w:rsidRPr="00CB6CBA">
              <w:rPr>
                <w:szCs w:val="22"/>
                <w:lang w:val="en-US"/>
              </w:rPr>
              <w:t>Parameter</w:t>
            </w:r>
          </w:p>
        </w:tc>
        <w:tc>
          <w:tcPr>
            <w:tcW w:w="3402" w:type="dxa"/>
            <w:tcBorders>
              <w:bottom w:val="single" w:sz="4" w:space="0" w:color="auto"/>
            </w:tcBorders>
          </w:tcPr>
          <w:p w:rsidR="00CA3B52" w:rsidRPr="00CB6CBA" w:rsidRDefault="00CA3B52" w:rsidP="002D1D5C">
            <w:pPr>
              <w:pStyle w:val="Tablehead"/>
              <w:rPr>
                <w:szCs w:val="22"/>
                <w:lang w:val="en-US"/>
              </w:rPr>
            </w:pPr>
            <w:r w:rsidRPr="00CB6CBA">
              <w:rPr>
                <w:szCs w:val="22"/>
                <w:lang w:val="en-US"/>
              </w:rPr>
              <w:t>Calculation value</w:t>
            </w:r>
          </w:p>
        </w:tc>
      </w:tr>
      <w:tr w:rsidR="00CA3B52" w:rsidRPr="00CB6CBA" w:rsidTr="00E24F2B">
        <w:trPr>
          <w:jc w:val="center"/>
        </w:trPr>
        <w:tc>
          <w:tcPr>
            <w:tcW w:w="1134"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center"/>
              <w:rPr>
                <w:lang w:val="en-US"/>
              </w:rPr>
            </w:pPr>
            <w:r w:rsidRPr="00942A5B">
              <w:rPr>
                <w:i/>
                <w:iCs/>
                <w:lang w:val="en-US"/>
              </w:rPr>
              <w:t>N</w:t>
            </w:r>
            <w:r w:rsidRPr="00942A5B">
              <w:rPr>
                <w:vertAlign w:val="subscript"/>
                <w:lang w:val="en-US"/>
              </w:rPr>
              <w:t>0</w:t>
            </w:r>
          </w:p>
        </w:tc>
        <w:tc>
          <w:tcPr>
            <w:tcW w:w="5103" w:type="dxa"/>
            <w:tcBorders>
              <w:top w:val="single" w:sz="4" w:space="0" w:color="auto"/>
              <w:left w:val="single" w:sz="4" w:space="0" w:color="auto"/>
              <w:bottom w:val="single" w:sz="4" w:space="0" w:color="auto"/>
              <w:right w:val="single" w:sz="4" w:space="0" w:color="auto"/>
            </w:tcBorders>
          </w:tcPr>
          <w:p w:rsidR="00CA3B52" w:rsidRPr="00D2341F" w:rsidRDefault="00CA3B52" w:rsidP="00727B65">
            <w:pPr>
              <w:pStyle w:val="Tabletext"/>
              <w:jc w:val="left"/>
              <w:rPr>
                <w:lang w:val="en-US"/>
              </w:rPr>
            </w:pPr>
            <w:r w:rsidRPr="00D2341F">
              <w:rPr>
                <w:lang w:val="en-US"/>
              </w:rPr>
              <w:t>Initial number of subscribers in the mobile network</w:t>
            </w:r>
          </w:p>
        </w:tc>
        <w:tc>
          <w:tcPr>
            <w:tcW w:w="3402"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left"/>
              <w:rPr>
                <w:lang w:val="en-US"/>
              </w:rPr>
            </w:pPr>
            <w:r w:rsidRPr="00942A5B">
              <w:rPr>
                <w:lang w:val="en-US"/>
              </w:rPr>
              <w:t>300 subscribers</w:t>
            </w:r>
          </w:p>
        </w:tc>
      </w:tr>
      <w:tr w:rsidR="00CA3B52" w:rsidRPr="00CB6CBA" w:rsidTr="00E24F2B">
        <w:trPr>
          <w:jc w:val="center"/>
        </w:trPr>
        <w:tc>
          <w:tcPr>
            <w:tcW w:w="1134"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center"/>
              <w:rPr>
                <w:lang w:val="en-US"/>
              </w:rPr>
            </w:pPr>
            <w:r w:rsidRPr="00942A5B">
              <w:rPr>
                <w:i/>
                <w:iCs/>
                <w:lang w:val="en-US"/>
              </w:rPr>
              <w:t>T</w:t>
            </w:r>
            <w:r w:rsidRPr="00942A5B">
              <w:rPr>
                <w:vertAlign w:val="subscript"/>
                <w:lang w:val="en-US"/>
              </w:rPr>
              <w:t>1</w:t>
            </w:r>
          </w:p>
        </w:tc>
        <w:tc>
          <w:tcPr>
            <w:tcW w:w="5103" w:type="dxa"/>
            <w:tcBorders>
              <w:top w:val="single" w:sz="4" w:space="0" w:color="auto"/>
              <w:left w:val="single" w:sz="4" w:space="0" w:color="auto"/>
              <w:bottom w:val="single" w:sz="4" w:space="0" w:color="auto"/>
              <w:right w:val="single" w:sz="4" w:space="0" w:color="auto"/>
            </w:tcBorders>
          </w:tcPr>
          <w:p w:rsidR="00CA3B52" w:rsidRPr="00D2341F" w:rsidRDefault="00CA3B52" w:rsidP="00727B65">
            <w:pPr>
              <w:pStyle w:val="Tabletext"/>
              <w:jc w:val="left"/>
              <w:rPr>
                <w:lang w:val="en-US"/>
              </w:rPr>
            </w:pPr>
            <w:r w:rsidRPr="00D2341F">
              <w:rPr>
                <w:lang w:val="en-US"/>
              </w:rPr>
              <w:t>Tariff per minute for the lease of a channel in the public network</w:t>
            </w:r>
          </w:p>
        </w:tc>
        <w:tc>
          <w:tcPr>
            <w:tcW w:w="3402"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left"/>
              <w:rPr>
                <w:lang w:val="en-US"/>
              </w:rPr>
            </w:pPr>
            <w:r w:rsidRPr="00942A5B">
              <w:rPr>
                <w:lang w:val="en-US"/>
              </w:rPr>
              <w:t>USD 0.05/min</w:t>
            </w:r>
          </w:p>
        </w:tc>
      </w:tr>
      <w:tr w:rsidR="00CA3B52" w:rsidRPr="00CB6CBA" w:rsidTr="00E24F2B">
        <w:trPr>
          <w:jc w:val="center"/>
        </w:trPr>
        <w:tc>
          <w:tcPr>
            <w:tcW w:w="1134"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center"/>
              <w:rPr>
                <w:lang w:val="en-US"/>
              </w:rPr>
            </w:pPr>
            <w:r w:rsidRPr="00942A5B">
              <w:rPr>
                <w:i/>
                <w:iCs/>
                <w:lang w:val="en-US"/>
              </w:rPr>
              <w:t>X</w:t>
            </w:r>
          </w:p>
        </w:tc>
        <w:tc>
          <w:tcPr>
            <w:tcW w:w="5103" w:type="dxa"/>
            <w:tcBorders>
              <w:top w:val="single" w:sz="4" w:space="0" w:color="auto"/>
              <w:left w:val="single" w:sz="4" w:space="0" w:color="auto"/>
              <w:bottom w:val="single" w:sz="4" w:space="0" w:color="auto"/>
              <w:right w:val="single" w:sz="4" w:space="0" w:color="auto"/>
            </w:tcBorders>
          </w:tcPr>
          <w:p w:rsidR="00CA3B52" w:rsidRPr="00D2341F" w:rsidRDefault="00CA3B52" w:rsidP="00727B65">
            <w:pPr>
              <w:pStyle w:val="Tabletext"/>
              <w:jc w:val="left"/>
              <w:rPr>
                <w:lang w:val="en-US"/>
              </w:rPr>
            </w:pPr>
            <w:r w:rsidRPr="00D2341F">
              <w:rPr>
                <w:lang w:val="en-US"/>
              </w:rPr>
              <w:t>Coefficient characterizing the proportion of calls entering the public network</w:t>
            </w:r>
          </w:p>
        </w:tc>
        <w:tc>
          <w:tcPr>
            <w:tcW w:w="3402"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left"/>
              <w:rPr>
                <w:lang w:val="en-US"/>
              </w:rPr>
            </w:pPr>
            <w:r w:rsidRPr="00942A5B">
              <w:rPr>
                <w:lang w:val="en-US"/>
              </w:rPr>
              <w:t>0.7</w:t>
            </w:r>
          </w:p>
        </w:tc>
      </w:tr>
      <w:tr w:rsidR="00CA3B52" w:rsidRPr="00CB6CBA" w:rsidTr="00E24F2B">
        <w:trPr>
          <w:jc w:val="center"/>
        </w:trPr>
        <w:tc>
          <w:tcPr>
            <w:tcW w:w="1134"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center"/>
              <w:rPr>
                <w:lang w:val="en-US"/>
              </w:rPr>
            </w:pPr>
            <w:r w:rsidRPr="00942A5B">
              <w:rPr>
                <w:i/>
                <w:iCs/>
                <w:lang w:val="en-US"/>
              </w:rPr>
              <w:t>K</w:t>
            </w:r>
            <w:r w:rsidRPr="00942A5B">
              <w:rPr>
                <w:i/>
                <w:iCs/>
                <w:vertAlign w:val="subscript"/>
                <w:lang w:val="en-US"/>
              </w:rPr>
              <w:t>PH</w:t>
            </w:r>
          </w:p>
        </w:tc>
        <w:tc>
          <w:tcPr>
            <w:tcW w:w="5103" w:type="dxa"/>
            <w:tcBorders>
              <w:top w:val="single" w:sz="4" w:space="0" w:color="auto"/>
              <w:left w:val="single" w:sz="4" w:space="0" w:color="auto"/>
              <w:bottom w:val="single" w:sz="4" w:space="0" w:color="auto"/>
              <w:right w:val="single" w:sz="4" w:space="0" w:color="auto"/>
            </w:tcBorders>
          </w:tcPr>
          <w:p w:rsidR="00CA3B52" w:rsidRPr="00D2341F" w:rsidRDefault="00CA3B52" w:rsidP="00727B65">
            <w:pPr>
              <w:pStyle w:val="Tabletext"/>
              <w:jc w:val="left"/>
              <w:rPr>
                <w:lang w:val="en-US"/>
              </w:rPr>
            </w:pPr>
            <w:r w:rsidRPr="00D2341F">
              <w:rPr>
                <w:lang w:val="en-US"/>
              </w:rPr>
              <w:t>Traffic concentration coefficient characterizing the proportion of average daily traffic occurring during the busy hour; this is the ratio of busy-hour call time and mean daily call time</w:t>
            </w:r>
          </w:p>
        </w:tc>
        <w:tc>
          <w:tcPr>
            <w:tcW w:w="3402"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left"/>
              <w:rPr>
                <w:lang w:val="en-US"/>
              </w:rPr>
            </w:pPr>
            <w:r w:rsidRPr="00942A5B">
              <w:rPr>
                <w:lang w:val="en-US"/>
              </w:rPr>
              <w:t>0.18</w:t>
            </w:r>
          </w:p>
        </w:tc>
      </w:tr>
      <w:tr w:rsidR="00CA3B52" w:rsidRPr="00CB6CBA" w:rsidTr="00E24F2B">
        <w:trPr>
          <w:jc w:val="center"/>
        </w:trPr>
        <w:tc>
          <w:tcPr>
            <w:tcW w:w="1134"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center"/>
              <w:rPr>
                <w:lang w:val="en-US"/>
              </w:rPr>
            </w:pPr>
            <w:r>
              <w:rPr>
                <w:lang w:val="en-US"/>
              </w:rPr>
              <w:sym w:font="Symbol" w:char="F062"/>
            </w:r>
          </w:p>
        </w:tc>
        <w:tc>
          <w:tcPr>
            <w:tcW w:w="5103" w:type="dxa"/>
            <w:tcBorders>
              <w:top w:val="single" w:sz="4" w:space="0" w:color="auto"/>
              <w:left w:val="single" w:sz="4" w:space="0" w:color="auto"/>
              <w:bottom w:val="single" w:sz="4" w:space="0" w:color="auto"/>
              <w:right w:val="single" w:sz="4" w:space="0" w:color="auto"/>
            </w:tcBorders>
          </w:tcPr>
          <w:p w:rsidR="00CA3B52" w:rsidRPr="00D2341F" w:rsidRDefault="00CA3B52" w:rsidP="00727B65">
            <w:pPr>
              <w:pStyle w:val="Tabletext"/>
              <w:jc w:val="left"/>
              <w:rPr>
                <w:lang w:val="en-US"/>
              </w:rPr>
            </w:pPr>
            <w:r w:rsidRPr="00D2341F">
              <w:rPr>
                <w:lang w:val="en-US"/>
              </w:rPr>
              <w:t>Activity of the subscriber during the busy hour</w:t>
            </w:r>
          </w:p>
        </w:tc>
        <w:tc>
          <w:tcPr>
            <w:tcW w:w="3402"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left"/>
              <w:rPr>
                <w:lang w:val="en-US"/>
              </w:rPr>
            </w:pPr>
            <w:r w:rsidRPr="00942A5B">
              <w:rPr>
                <w:lang w:val="en-US"/>
              </w:rPr>
              <w:t>0.025</w:t>
            </w:r>
          </w:p>
        </w:tc>
      </w:tr>
      <w:tr w:rsidR="00CA3B52" w:rsidRPr="00CB6CBA" w:rsidTr="00E24F2B">
        <w:trPr>
          <w:jc w:val="center"/>
        </w:trPr>
        <w:tc>
          <w:tcPr>
            <w:tcW w:w="1134"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center"/>
              <w:rPr>
                <w:lang w:val="en-US"/>
              </w:rPr>
            </w:pPr>
            <w:r w:rsidRPr="00942A5B">
              <w:rPr>
                <w:i/>
                <w:iCs/>
                <w:lang w:val="en-US"/>
              </w:rPr>
              <w:t>P</w:t>
            </w:r>
            <w:r w:rsidRPr="00942A5B">
              <w:rPr>
                <w:vertAlign w:val="subscript"/>
                <w:lang w:val="en-US"/>
              </w:rPr>
              <w:t>1</w:t>
            </w:r>
          </w:p>
        </w:tc>
        <w:tc>
          <w:tcPr>
            <w:tcW w:w="5103" w:type="dxa"/>
            <w:tcBorders>
              <w:top w:val="single" w:sz="4" w:space="0" w:color="auto"/>
              <w:left w:val="single" w:sz="4" w:space="0" w:color="auto"/>
              <w:bottom w:val="single" w:sz="4" w:space="0" w:color="auto"/>
              <w:right w:val="single" w:sz="4" w:space="0" w:color="auto"/>
            </w:tcBorders>
          </w:tcPr>
          <w:p w:rsidR="00CA3B52" w:rsidRPr="00D2341F" w:rsidRDefault="00CA3B52" w:rsidP="00727B65">
            <w:pPr>
              <w:pStyle w:val="Tabletext"/>
              <w:jc w:val="left"/>
              <w:rPr>
                <w:lang w:val="en-US"/>
              </w:rPr>
            </w:pPr>
            <w:r w:rsidRPr="00D2341F">
              <w:rPr>
                <w:lang w:val="en-US"/>
              </w:rPr>
              <w:t>Mean one-time payment for connection to the network</w:t>
            </w:r>
          </w:p>
        </w:tc>
        <w:tc>
          <w:tcPr>
            <w:tcW w:w="3402"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left"/>
              <w:rPr>
                <w:lang w:val="en-US"/>
              </w:rPr>
            </w:pPr>
            <w:r w:rsidRPr="00942A5B">
              <w:rPr>
                <w:lang w:val="en-US"/>
              </w:rPr>
              <w:t>USD 200</w:t>
            </w:r>
          </w:p>
        </w:tc>
      </w:tr>
      <w:tr w:rsidR="00CA3B52" w:rsidRPr="00CB6CBA" w:rsidTr="00E24F2B">
        <w:trPr>
          <w:jc w:val="center"/>
        </w:trPr>
        <w:tc>
          <w:tcPr>
            <w:tcW w:w="1134"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center"/>
              <w:rPr>
                <w:lang w:val="en-US"/>
              </w:rPr>
            </w:pPr>
            <w:r w:rsidRPr="00942A5B">
              <w:rPr>
                <w:i/>
                <w:iCs/>
                <w:lang w:val="en-US"/>
              </w:rPr>
              <w:t>P</w:t>
            </w:r>
            <w:r w:rsidRPr="00942A5B">
              <w:rPr>
                <w:vertAlign w:val="subscript"/>
                <w:lang w:val="en-US"/>
              </w:rPr>
              <w:t>2</w:t>
            </w:r>
          </w:p>
        </w:tc>
        <w:tc>
          <w:tcPr>
            <w:tcW w:w="5103" w:type="dxa"/>
            <w:tcBorders>
              <w:top w:val="single" w:sz="4" w:space="0" w:color="auto"/>
              <w:left w:val="single" w:sz="4" w:space="0" w:color="auto"/>
              <w:bottom w:val="single" w:sz="4" w:space="0" w:color="auto"/>
              <w:right w:val="single" w:sz="4" w:space="0" w:color="auto"/>
            </w:tcBorders>
          </w:tcPr>
          <w:p w:rsidR="00CA3B52" w:rsidRPr="00727B65" w:rsidRDefault="00CA3B52" w:rsidP="00727B65">
            <w:pPr>
              <w:pStyle w:val="Tabletext"/>
              <w:jc w:val="left"/>
            </w:pPr>
            <w:r w:rsidRPr="00727B65">
              <w:t>Mean monthly subscription fee</w:t>
            </w:r>
          </w:p>
        </w:tc>
        <w:tc>
          <w:tcPr>
            <w:tcW w:w="3402"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left"/>
              <w:rPr>
                <w:lang w:val="en-US"/>
              </w:rPr>
            </w:pPr>
            <w:r w:rsidRPr="00942A5B">
              <w:rPr>
                <w:lang w:val="en-US"/>
              </w:rPr>
              <w:t>USD 50/month</w:t>
            </w:r>
          </w:p>
        </w:tc>
      </w:tr>
      <w:tr w:rsidR="00CA3B52" w:rsidRPr="00CB6CBA" w:rsidTr="00E24F2B">
        <w:trPr>
          <w:jc w:val="center"/>
        </w:trPr>
        <w:tc>
          <w:tcPr>
            <w:tcW w:w="1134"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center"/>
              <w:rPr>
                <w:lang w:val="en-US"/>
              </w:rPr>
            </w:pPr>
            <w:r w:rsidRPr="00942A5B">
              <w:rPr>
                <w:i/>
                <w:iCs/>
                <w:lang w:val="en-US"/>
              </w:rPr>
              <w:t>P</w:t>
            </w:r>
            <w:r w:rsidRPr="00942A5B">
              <w:rPr>
                <w:vertAlign w:val="subscript"/>
                <w:lang w:val="en-US"/>
              </w:rPr>
              <w:t>3</w:t>
            </w:r>
          </w:p>
        </w:tc>
        <w:tc>
          <w:tcPr>
            <w:tcW w:w="5103" w:type="dxa"/>
            <w:tcBorders>
              <w:top w:val="single" w:sz="4" w:space="0" w:color="auto"/>
              <w:left w:val="single" w:sz="4" w:space="0" w:color="auto"/>
              <w:bottom w:val="single" w:sz="4" w:space="0" w:color="auto"/>
              <w:right w:val="single" w:sz="4" w:space="0" w:color="auto"/>
            </w:tcBorders>
          </w:tcPr>
          <w:p w:rsidR="00CA3B52" w:rsidRPr="00727B65" w:rsidRDefault="00CA3B52" w:rsidP="00727B65">
            <w:pPr>
              <w:pStyle w:val="Tabletext"/>
              <w:jc w:val="left"/>
            </w:pPr>
            <w:r w:rsidRPr="00727B65">
              <w:t>Mean call rate</w:t>
            </w:r>
          </w:p>
        </w:tc>
        <w:tc>
          <w:tcPr>
            <w:tcW w:w="3402"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left"/>
              <w:rPr>
                <w:lang w:val="en-US"/>
              </w:rPr>
            </w:pPr>
            <w:r w:rsidRPr="00942A5B">
              <w:rPr>
                <w:lang w:val="en-US"/>
              </w:rPr>
              <w:t>USD 0.35/min</w:t>
            </w:r>
          </w:p>
        </w:tc>
      </w:tr>
      <w:tr w:rsidR="00CA3B52" w:rsidRPr="00CB6CBA" w:rsidTr="00E24F2B">
        <w:trPr>
          <w:jc w:val="center"/>
        </w:trPr>
        <w:tc>
          <w:tcPr>
            <w:tcW w:w="1134"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center"/>
              <w:rPr>
                <w:lang w:val="en-US"/>
              </w:rPr>
            </w:pPr>
            <w:r w:rsidRPr="00942A5B">
              <w:rPr>
                <w:i/>
                <w:iCs/>
                <w:lang w:val="en-US"/>
              </w:rPr>
              <w:t>n</w:t>
            </w:r>
          </w:p>
        </w:tc>
        <w:tc>
          <w:tcPr>
            <w:tcW w:w="5103" w:type="dxa"/>
            <w:tcBorders>
              <w:top w:val="single" w:sz="4" w:space="0" w:color="auto"/>
              <w:left w:val="single" w:sz="4" w:space="0" w:color="auto"/>
              <w:bottom w:val="single" w:sz="4" w:space="0" w:color="auto"/>
              <w:right w:val="single" w:sz="4" w:space="0" w:color="auto"/>
            </w:tcBorders>
          </w:tcPr>
          <w:p w:rsidR="00CA3B52" w:rsidRPr="00727B65" w:rsidRDefault="00CA3B52" w:rsidP="00727B65">
            <w:pPr>
              <w:pStyle w:val="Tabletext"/>
              <w:jc w:val="left"/>
            </w:pPr>
            <w:r w:rsidRPr="00727B65">
              <w:t>Licence period</w:t>
            </w:r>
          </w:p>
        </w:tc>
        <w:tc>
          <w:tcPr>
            <w:tcW w:w="3402"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left"/>
              <w:rPr>
                <w:lang w:val="en-US"/>
              </w:rPr>
            </w:pPr>
            <w:r w:rsidRPr="00942A5B">
              <w:rPr>
                <w:lang w:val="en-US"/>
              </w:rPr>
              <w:t>10 years</w:t>
            </w:r>
          </w:p>
        </w:tc>
      </w:tr>
      <w:tr w:rsidR="00CA3B52" w:rsidRPr="00CB6CBA" w:rsidTr="00E24F2B">
        <w:trPr>
          <w:jc w:val="center"/>
        </w:trPr>
        <w:tc>
          <w:tcPr>
            <w:tcW w:w="1134"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center"/>
              <w:rPr>
                <w:lang w:val="en-US"/>
              </w:rPr>
            </w:pPr>
            <w:r>
              <w:rPr>
                <w:lang w:val="en-US"/>
              </w:rPr>
              <w:sym w:font="Symbol" w:char="F064"/>
            </w:r>
          </w:p>
        </w:tc>
        <w:tc>
          <w:tcPr>
            <w:tcW w:w="5103" w:type="dxa"/>
            <w:tcBorders>
              <w:top w:val="single" w:sz="4" w:space="0" w:color="auto"/>
              <w:left w:val="single" w:sz="4" w:space="0" w:color="auto"/>
              <w:bottom w:val="single" w:sz="4" w:space="0" w:color="auto"/>
              <w:right w:val="single" w:sz="4" w:space="0" w:color="auto"/>
            </w:tcBorders>
          </w:tcPr>
          <w:p w:rsidR="00CA3B52" w:rsidRPr="00D2341F" w:rsidRDefault="00CA3B52" w:rsidP="00727B65">
            <w:pPr>
              <w:pStyle w:val="Tabletext"/>
              <w:jc w:val="left"/>
              <w:rPr>
                <w:lang w:val="en-US"/>
              </w:rPr>
            </w:pPr>
            <w:r w:rsidRPr="00D2341F">
              <w:rPr>
                <w:lang w:val="en-US"/>
              </w:rPr>
              <w:t>Rate of national profit tax</w:t>
            </w:r>
          </w:p>
        </w:tc>
        <w:tc>
          <w:tcPr>
            <w:tcW w:w="3402"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left"/>
              <w:rPr>
                <w:lang w:val="en-US"/>
              </w:rPr>
            </w:pPr>
            <w:r w:rsidRPr="00942A5B">
              <w:rPr>
                <w:lang w:val="en-US"/>
              </w:rPr>
              <w:t>0.38</w:t>
            </w:r>
          </w:p>
        </w:tc>
      </w:tr>
      <w:tr w:rsidR="00CA3B52" w:rsidRPr="00CB6CBA" w:rsidTr="00E24F2B">
        <w:trPr>
          <w:jc w:val="center"/>
        </w:trPr>
        <w:tc>
          <w:tcPr>
            <w:tcW w:w="1134"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center"/>
              <w:rPr>
                <w:lang w:val="en-US"/>
              </w:rPr>
            </w:pPr>
            <w:r w:rsidRPr="00942A5B">
              <w:rPr>
                <w:i/>
                <w:iCs/>
                <w:lang w:val="en-US"/>
              </w:rPr>
              <w:t>E</w:t>
            </w:r>
            <w:r w:rsidRPr="00942A5B">
              <w:rPr>
                <w:i/>
                <w:iCs/>
                <w:vertAlign w:val="subscript"/>
                <w:lang w:val="en-US"/>
              </w:rPr>
              <w:t>n</w:t>
            </w:r>
          </w:p>
        </w:tc>
        <w:tc>
          <w:tcPr>
            <w:tcW w:w="5103" w:type="dxa"/>
            <w:tcBorders>
              <w:top w:val="single" w:sz="4" w:space="0" w:color="auto"/>
              <w:left w:val="single" w:sz="4" w:space="0" w:color="auto"/>
              <w:bottom w:val="single" w:sz="4" w:space="0" w:color="auto"/>
              <w:right w:val="single" w:sz="4" w:space="0" w:color="auto"/>
            </w:tcBorders>
          </w:tcPr>
          <w:p w:rsidR="00CA3B52" w:rsidRPr="00D2341F" w:rsidRDefault="00CA3B52" w:rsidP="00727B65">
            <w:pPr>
              <w:pStyle w:val="Tabletext"/>
              <w:jc w:val="left"/>
              <w:rPr>
                <w:lang w:val="en-US"/>
              </w:rPr>
            </w:pPr>
            <w:r w:rsidRPr="00D2341F">
              <w:rPr>
                <w:lang w:val="en-US"/>
              </w:rPr>
              <w:t>Discount rate, equal to the average annual bank rate</w:t>
            </w:r>
          </w:p>
        </w:tc>
        <w:tc>
          <w:tcPr>
            <w:tcW w:w="3402" w:type="dxa"/>
            <w:tcBorders>
              <w:top w:val="single" w:sz="4" w:space="0" w:color="auto"/>
              <w:left w:val="single" w:sz="4" w:space="0" w:color="auto"/>
              <w:bottom w:val="single" w:sz="4" w:space="0" w:color="auto"/>
              <w:right w:val="single" w:sz="4" w:space="0" w:color="auto"/>
            </w:tcBorders>
          </w:tcPr>
          <w:p w:rsidR="00CA3B52" w:rsidRPr="00942A5B" w:rsidRDefault="00CA3B52" w:rsidP="00F65451">
            <w:pPr>
              <w:pStyle w:val="Tabletext"/>
              <w:jc w:val="left"/>
              <w:rPr>
                <w:lang w:val="en-US"/>
              </w:rPr>
            </w:pPr>
            <w:r w:rsidRPr="00942A5B">
              <w:rPr>
                <w:lang w:val="en-US"/>
              </w:rPr>
              <w:t>0.1</w:t>
            </w:r>
          </w:p>
        </w:tc>
      </w:tr>
    </w:tbl>
    <w:p w:rsidR="00CA3B52" w:rsidRPr="00CB6CBA" w:rsidRDefault="00CA3B52" w:rsidP="00CA3B52">
      <w:pPr>
        <w:pStyle w:val="Tablefin"/>
        <w:rPr>
          <w:lang w:val="en-US"/>
        </w:rPr>
      </w:pPr>
    </w:p>
    <w:p w:rsidR="00CA3B52" w:rsidRDefault="00CA3B52" w:rsidP="00CA3B52">
      <w:pPr>
        <w:rPr>
          <w:lang w:val="en-US"/>
        </w:rPr>
      </w:pPr>
      <w:r w:rsidRPr="00CB6CBA">
        <w:rPr>
          <w:lang w:val="en-US"/>
        </w:rPr>
        <w:t xml:space="preserve">When determining the operator’s income and annual expenditure, it must be borne in mind that the number of network subscribers constantly varies through time according to a specific equation, </w:t>
      </w:r>
      <w:r w:rsidRPr="00CB6CBA">
        <w:rPr>
          <w:i/>
          <w:iCs/>
          <w:lang w:val="en-US"/>
        </w:rPr>
        <w:t>N</w:t>
      </w:r>
      <w:r w:rsidRPr="00CB6CBA">
        <w:rPr>
          <w:i/>
          <w:iCs/>
          <w:vertAlign w:val="subscript"/>
          <w:lang w:val="en-US"/>
        </w:rPr>
        <w:t>a</w:t>
      </w:r>
      <w:r w:rsidRPr="00CB6CBA">
        <w:rPr>
          <w:lang w:val="en-US"/>
        </w:rPr>
        <w:t>(</w:t>
      </w:r>
      <w:r w:rsidRPr="00CB6CBA">
        <w:rPr>
          <w:i/>
          <w:iCs/>
          <w:lang w:val="en-US"/>
        </w:rPr>
        <w:t>t</w:t>
      </w:r>
      <w:r w:rsidRPr="00CB6CBA">
        <w:rPr>
          <w:rFonts w:ascii="Tms Rmn" w:hAnsi="Tms Rmn"/>
          <w:sz w:val="2"/>
          <w:lang w:val="en-US"/>
        </w:rPr>
        <w:t> </w:t>
      </w:r>
      <w:r w:rsidRPr="00CB6CBA">
        <w:rPr>
          <w:lang w:val="en-US"/>
        </w:rPr>
        <w:t>), which may be calculated based on statistical data on the development of mobile networks. For cellular mobile networks being developed in the Russian Federation, this may be expressed as follows:</w:t>
      </w:r>
    </w:p>
    <w:p w:rsidR="00CA3B52" w:rsidRPr="00CB6CBA" w:rsidRDefault="00CA3B52" w:rsidP="00CA3B52">
      <w:pPr>
        <w:pStyle w:val="Blanc"/>
      </w:pPr>
    </w:p>
    <w:p w:rsidR="00CA3B52" w:rsidRPr="00CB6CBA" w:rsidRDefault="00CA3B52" w:rsidP="00F65451">
      <w:pPr>
        <w:pStyle w:val="Equation"/>
        <w:rPr>
          <w:lang w:val="en-US"/>
        </w:rPr>
      </w:pPr>
      <w:r w:rsidRPr="000429F2">
        <w:rPr>
          <w:lang w:val="en-US"/>
        </w:rPr>
        <w:tab/>
      </w:r>
      <w:r w:rsidRPr="000429F2">
        <w:rPr>
          <w:lang w:val="en-US"/>
        </w:rPr>
        <w:tab/>
      </w:r>
      <w:r w:rsidRPr="00CB6CBA">
        <w:rPr>
          <w:position w:val="-12"/>
          <w:lang w:val="en-US"/>
        </w:rPr>
        <w:object w:dxaOrig="6399" w:dyaOrig="360">
          <v:shape id="_x0000_i1099" type="#_x0000_t75" style="width:316.5pt;height:19.15pt" o:ole="">
            <v:imagedata r:id="rId168" o:title=""/>
          </v:shape>
          <o:OLEObject Type="Embed" ProgID="Equation.3" ShapeID="_x0000_i1099" DrawAspect="Content" ObjectID="_1511604888" r:id="rId169"/>
        </w:object>
      </w:r>
    </w:p>
    <w:p w:rsidR="00CA3B52" w:rsidRPr="00CB6CBA" w:rsidRDefault="00CA3B52" w:rsidP="00CA3B52">
      <w:pPr>
        <w:pStyle w:val="Blanc"/>
      </w:pPr>
    </w:p>
    <w:p w:rsidR="00CA3B52" w:rsidRPr="00CB6CBA" w:rsidRDefault="00CA3B52" w:rsidP="00CA3B52">
      <w:pPr>
        <w:rPr>
          <w:lang w:val="en-US"/>
        </w:rPr>
      </w:pPr>
      <w:r w:rsidRPr="00CB6CBA">
        <w:rPr>
          <w:lang w:val="en-US"/>
        </w:rPr>
        <w:t>Table 19 gives data on the evolution in the number of subscribers to GSM standard networks in the Russian Federation, together with the correspondingly calculated values of </w:t>
      </w:r>
      <w:r w:rsidRPr="00CB6CBA">
        <w:rPr>
          <w:rFonts w:ascii="Symbol" w:hAnsi="Symbol"/>
          <w:lang w:val="en-US"/>
        </w:rPr>
        <w:t></w:t>
      </w:r>
      <w:r w:rsidRPr="00CB6CBA">
        <w:rPr>
          <w:i/>
          <w:iCs/>
          <w:vertAlign w:val="subscript"/>
          <w:lang w:val="en-US"/>
        </w:rPr>
        <w:t>k</w:t>
      </w:r>
      <w:r w:rsidRPr="00CB6CBA">
        <w:rPr>
          <w:lang w:val="en-US"/>
        </w:rPr>
        <w:t>:</w:t>
      </w:r>
    </w:p>
    <w:p w:rsidR="00CA3B52" w:rsidRPr="00CB6CBA" w:rsidRDefault="00CA3B52" w:rsidP="00CA3B52">
      <w:pPr>
        <w:pStyle w:val="TableNo"/>
        <w:rPr>
          <w:lang w:val="en-US"/>
        </w:rPr>
      </w:pPr>
      <w:r w:rsidRPr="00CB6CBA">
        <w:rPr>
          <w:lang w:val="en-US"/>
        </w:rPr>
        <w:t>TABLE 19</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74"/>
        <w:gridCol w:w="1474"/>
        <w:gridCol w:w="1474"/>
        <w:gridCol w:w="1474"/>
        <w:gridCol w:w="1474"/>
        <w:gridCol w:w="1474"/>
      </w:tblGrid>
      <w:tr w:rsidR="00CA3B52" w:rsidRPr="00942A5B" w:rsidTr="002D1D5C">
        <w:trPr>
          <w:jc w:val="center"/>
        </w:trPr>
        <w:tc>
          <w:tcPr>
            <w:tcW w:w="1474" w:type="dxa"/>
          </w:tcPr>
          <w:p w:rsidR="00CA3B52" w:rsidRPr="00942A5B" w:rsidRDefault="00CA3B52" w:rsidP="00483A72">
            <w:pPr>
              <w:pStyle w:val="Tablehead"/>
              <w:rPr>
                <w:lang w:val="en-US"/>
              </w:rPr>
            </w:pPr>
            <w:r w:rsidRPr="00942A5B">
              <w:rPr>
                <w:lang w:val="en-US"/>
              </w:rPr>
              <w:t>Year</w:t>
            </w:r>
          </w:p>
        </w:tc>
        <w:tc>
          <w:tcPr>
            <w:tcW w:w="1474" w:type="dxa"/>
          </w:tcPr>
          <w:p w:rsidR="00CA3B52" w:rsidRPr="00942A5B" w:rsidRDefault="00CA3B52" w:rsidP="00483A72">
            <w:pPr>
              <w:pStyle w:val="Tablehead"/>
              <w:rPr>
                <w:lang w:val="en-US"/>
              </w:rPr>
            </w:pPr>
            <w:r w:rsidRPr="00942A5B">
              <w:rPr>
                <w:lang w:val="en-US"/>
              </w:rPr>
              <w:t>1994</w:t>
            </w:r>
          </w:p>
        </w:tc>
        <w:tc>
          <w:tcPr>
            <w:tcW w:w="1474" w:type="dxa"/>
          </w:tcPr>
          <w:p w:rsidR="00CA3B52" w:rsidRPr="00942A5B" w:rsidRDefault="00CA3B52" w:rsidP="00483A72">
            <w:pPr>
              <w:pStyle w:val="Tablehead"/>
              <w:rPr>
                <w:lang w:val="en-US"/>
              </w:rPr>
            </w:pPr>
            <w:r w:rsidRPr="00942A5B">
              <w:rPr>
                <w:lang w:val="en-US"/>
              </w:rPr>
              <w:t>1995</w:t>
            </w:r>
          </w:p>
        </w:tc>
        <w:tc>
          <w:tcPr>
            <w:tcW w:w="1474" w:type="dxa"/>
          </w:tcPr>
          <w:p w:rsidR="00CA3B52" w:rsidRPr="00942A5B" w:rsidRDefault="00CA3B52" w:rsidP="00483A72">
            <w:pPr>
              <w:pStyle w:val="Tablehead"/>
              <w:rPr>
                <w:lang w:val="en-US"/>
              </w:rPr>
            </w:pPr>
            <w:r w:rsidRPr="00942A5B">
              <w:rPr>
                <w:lang w:val="en-US"/>
              </w:rPr>
              <w:t>1996</w:t>
            </w:r>
          </w:p>
        </w:tc>
        <w:tc>
          <w:tcPr>
            <w:tcW w:w="1474" w:type="dxa"/>
          </w:tcPr>
          <w:p w:rsidR="00CA3B52" w:rsidRPr="00942A5B" w:rsidRDefault="00CA3B52" w:rsidP="00483A72">
            <w:pPr>
              <w:pStyle w:val="Tablehead"/>
              <w:rPr>
                <w:lang w:val="en-US"/>
              </w:rPr>
            </w:pPr>
            <w:r w:rsidRPr="00942A5B">
              <w:rPr>
                <w:lang w:val="en-US"/>
              </w:rPr>
              <w:t>1997</w:t>
            </w:r>
          </w:p>
        </w:tc>
        <w:tc>
          <w:tcPr>
            <w:tcW w:w="1474" w:type="dxa"/>
          </w:tcPr>
          <w:p w:rsidR="00CA3B52" w:rsidRPr="00942A5B" w:rsidRDefault="00CA3B52" w:rsidP="00483A72">
            <w:pPr>
              <w:pStyle w:val="Tablehead"/>
              <w:rPr>
                <w:lang w:val="en-US"/>
              </w:rPr>
            </w:pPr>
            <w:r w:rsidRPr="00942A5B">
              <w:rPr>
                <w:lang w:val="en-US"/>
              </w:rPr>
              <w:t>1998-2005</w:t>
            </w:r>
          </w:p>
        </w:tc>
      </w:tr>
      <w:tr w:rsidR="00CA3B52" w:rsidRPr="00942A5B" w:rsidTr="002D1D5C">
        <w:trPr>
          <w:jc w:val="center"/>
        </w:trPr>
        <w:tc>
          <w:tcPr>
            <w:tcW w:w="1474" w:type="dxa"/>
          </w:tcPr>
          <w:p w:rsidR="00CA3B52" w:rsidRPr="00942A5B" w:rsidRDefault="00CA3B52" w:rsidP="00F65451">
            <w:pPr>
              <w:pStyle w:val="Tabletext"/>
              <w:jc w:val="left"/>
              <w:rPr>
                <w:lang w:val="en-US"/>
              </w:rPr>
            </w:pPr>
            <w:r w:rsidRPr="00942A5B">
              <w:rPr>
                <w:i/>
                <w:iCs/>
                <w:lang w:val="en-US"/>
              </w:rPr>
              <w:t>k</w:t>
            </w:r>
          </w:p>
        </w:tc>
        <w:tc>
          <w:tcPr>
            <w:tcW w:w="1474" w:type="dxa"/>
          </w:tcPr>
          <w:p w:rsidR="00CA3B52" w:rsidRPr="00942A5B" w:rsidRDefault="00CA3B52" w:rsidP="00F65451">
            <w:pPr>
              <w:pStyle w:val="Tabletext"/>
              <w:jc w:val="center"/>
              <w:rPr>
                <w:lang w:val="en-US"/>
              </w:rPr>
            </w:pPr>
            <w:r w:rsidRPr="00942A5B">
              <w:rPr>
                <w:lang w:val="en-US"/>
              </w:rPr>
              <w:t>0</w:t>
            </w:r>
          </w:p>
        </w:tc>
        <w:tc>
          <w:tcPr>
            <w:tcW w:w="1474" w:type="dxa"/>
          </w:tcPr>
          <w:p w:rsidR="00CA3B52" w:rsidRPr="00942A5B" w:rsidRDefault="00CA3B52" w:rsidP="00F65451">
            <w:pPr>
              <w:pStyle w:val="Tabletext"/>
              <w:jc w:val="center"/>
              <w:rPr>
                <w:lang w:val="en-US"/>
              </w:rPr>
            </w:pPr>
            <w:r w:rsidRPr="00942A5B">
              <w:rPr>
                <w:lang w:val="en-US"/>
              </w:rPr>
              <w:t>1</w:t>
            </w:r>
          </w:p>
        </w:tc>
        <w:tc>
          <w:tcPr>
            <w:tcW w:w="1474" w:type="dxa"/>
          </w:tcPr>
          <w:p w:rsidR="00CA3B52" w:rsidRPr="00942A5B" w:rsidRDefault="00CA3B52" w:rsidP="00F65451">
            <w:pPr>
              <w:pStyle w:val="Tabletext"/>
              <w:jc w:val="center"/>
              <w:rPr>
                <w:lang w:val="en-US"/>
              </w:rPr>
            </w:pPr>
            <w:r w:rsidRPr="00942A5B">
              <w:rPr>
                <w:lang w:val="en-US"/>
              </w:rPr>
              <w:t>2</w:t>
            </w:r>
          </w:p>
        </w:tc>
        <w:tc>
          <w:tcPr>
            <w:tcW w:w="1474" w:type="dxa"/>
          </w:tcPr>
          <w:p w:rsidR="00CA3B52" w:rsidRPr="00942A5B" w:rsidRDefault="00CA3B52" w:rsidP="00F65451">
            <w:pPr>
              <w:pStyle w:val="Tabletext"/>
              <w:jc w:val="center"/>
              <w:rPr>
                <w:lang w:val="en-US"/>
              </w:rPr>
            </w:pPr>
            <w:r w:rsidRPr="00942A5B">
              <w:rPr>
                <w:lang w:val="en-US"/>
              </w:rPr>
              <w:t>3</w:t>
            </w:r>
          </w:p>
        </w:tc>
        <w:tc>
          <w:tcPr>
            <w:tcW w:w="1474" w:type="dxa"/>
          </w:tcPr>
          <w:p w:rsidR="00CA3B52" w:rsidRPr="00942A5B" w:rsidRDefault="00CA3B52" w:rsidP="00F65451">
            <w:pPr>
              <w:pStyle w:val="Tabletext"/>
              <w:jc w:val="center"/>
              <w:rPr>
                <w:lang w:val="en-US"/>
              </w:rPr>
            </w:pPr>
            <w:r w:rsidRPr="00942A5B">
              <w:rPr>
                <w:lang w:val="en-US"/>
              </w:rPr>
              <w:t>4-11</w:t>
            </w:r>
          </w:p>
        </w:tc>
      </w:tr>
      <w:tr w:rsidR="00CA3B52" w:rsidRPr="00942A5B" w:rsidTr="002D1D5C">
        <w:trPr>
          <w:jc w:val="center"/>
        </w:trPr>
        <w:tc>
          <w:tcPr>
            <w:tcW w:w="1474" w:type="dxa"/>
          </w:tcPr>
          <w:p w:rsidR="00CA3B52" w:rsidRPr="00942A5B" w:rsidRDefault="00CA3B52" w:rsidP="00F65451">
            <w:pPr>
              <w:pStyle w:val="Tabletext"/>
              <w:jc w:val="left"/>
              <w:rPr>
                <w:lang w:val="en-US"/>
              </w:rPr>
            </w:pPr>
            <w:r w:rsidRPr="00942A5B">
              <w:rPr>
                <w:i/>
                <w:iCs/>
                <w:lang w:val="en-US"/>
              </w:rPr>
              <w:t>N</w:t>
            </w:r>
            <w:r w:rsidRPr="00942A5B">
              <w:rPr>
                <w:i/>
                <w:iCs/>
                <w:vertAlign w:val="subscript"/>
                <w:lang w:val="en-US"/>
              </w:rPr>
              <w:t>ak</w:t>
            </w:r>
            <w:r w:rsidRPr="00942A5B">
              <w:rPr>
                <w:vertAlign w:val="subscript"/>
                <w:lang w:val="en-US"/>
              </w:rPr>
              <w:t> </w:t>
            </w:r>
            <w:r w:rsidRPr="00942A5B">
              <w:rPr>
                <w:rFonts w:ascii="Symbol" w:hAnsi="Symbol"/>
                <w:lang w:val="en-US"/>
              </w:rPr>
              <w:t></w:t>
            </w:r>
            <w:r w:rsidRPr="00942A5B">
              <w:rPr>
                <w:lang w:val="en-US"/>
              </w:rPr>
              <w:t> </w:t>
            </w:r>
            <w:r w:rsidRPr="00942A5B">
              <w:rPr>
                <w:i/>
                <w:iCs/>
                <w:lang w:val="en-US"/>
              </w:rPr>
              <w:t>N</w:t>
            </w:r>
            <w:r w:rsidRPr="00942A5B">
              <w:rPr>
                <w:i/>
                <w:iCs/>
                <w:vertAlign w:val="subscript"/>
                <w:lang w:val="en-US"/>
              </w:rPr>
              <w:t>a</w:t>
            </w:r>
            <w:r w:rsidRPr="00942A5B">
              <w:rPr>
                <w:lang w:val="en-US"/>
              </w:rPr>
              <w:t>(</w:t>
            </w:r>
            <w:r w:rsidRPr="00942A5B">
              <w:rPr>
                <w:i/>
                <w:iCs/>
                <w:lang w:val="en-US"/>
              </w:rPr>
              <w:t>k</w:t>
            </w:r>
            <w:r w:rsidRPr="00942A5B">
              <w:rPr>
                <w:rFonts w:ascii="Tms Rmn" w:hAnsi="Tms Rmn"/>
                <w:i/>
                <w:iCs/>
                <w:lang w:val="en-US"/>
              </w:rPr>
              <w:t> </w:t>
            </w:r>
            <w:r w:rsidRPr="00942A5B">
              <w:rPr>
                <w:lang w:val="en-US"/>
              </w:rPr>
              <w:t>)</w:t>
            </w:r>
          </w:p>
        </w:tc>
        <w:tc>
          <w:tcPr>
            <w:tcW w:w="1474" w:type="dxa"/>
          </w:tcPr>
          <w:p w:rsidR="00CA3B52" w:rsidRPr="00942A5B" w:rsidRDefault="00CA3B52" w:rsidP="00F65451">
            <w:pPr>
              <w:pStyle w:val="Tabletext"/>
              <w:jc w:val="center"/>
              <w:rPr>
                <w:lang w:val="en-US"/>
              </w:rPr>
            </w:pPr>
            <w:r w:rsidRPr="00942A5B">
              <w:rPr>
                <w:lang w:val="en-US"/>
              </w:rPr>
              <w:t>2 </w:t>
            </w:r>
            <w:r>
              <w:rPr>
                <w:lang w:val="en-US"/>
              </w:rPr>
              <w:t>×</w:t>
            </w:r>
            <w:r w:rsidRPr="00942A5B">
              <w:rPr>
                <w:lang w:val="en-US"/>
              </w:rPr>
              <w:t> 10</w:t>
            </w:r>
            <w:r w:rsidRPr="00942A5B">
              <w:rPr>
                <w:vertAlign w:val="superscript"/>
                <w:lang w:val="en-US"/>
              </w:rPr>
              <w:t>3</w:t>
            </w:r>
          </w:p>
        </w:tc>
        <w:tc>
          <w:tcPr>
            <w:tcW w:w="1474" w:type="dxa"/>
          </w:tcPr>
          <w:p w:rsidR="00CA3B52" w:rsidRPr="00942A5B" w:rsidRDefault="00CA3B52" w:rsidP="00F65451">
            <w:pPr>
              <w:pStyle w:val="Tabletext"/>
              <w:jc w:val="center"/>
              <w:rPr>
                <w:lang w:val="en-US"/>
              </w:rPr>
            </w:pPr>
            <w:r w:rsidRPr="00942A5B">
              <w:rPr>
                <w:lang w:val="en-US"/>
              </w:rPr>
              <w:t>13 </w:t>
            </w:r>
            <w:r>
              <w:rPr>
                <w:lang w:val="en-US"/>
              </w:rPr>
              <w:t>×</w:t>
            </w:r>
            <w:r w:rsidRPr="00942A5B">
              <w:rPr>
                <w:lang w:val="en-US"/>
              </w:rPr>
              <w:t> 10</w:t>
            </w:r>
            <w:r w:rsidRPr="00942A5B">
              <w:rPr>
                <w:vertAlign w:val="superscript"/>
                <w:lang w:val="en-US"/>
              </w:rPr>
              <w:t>3</w:t>
            </w:r>
          </w:p>
        </w:tc>
        <w:tc>
          <w:tcPr>
            <w:tcW w:w="1474" w:type="dxa"/>
          </w:tcPr>
          <w:p w:rsidR="00CA3B52" w:rsidRPr="00942A5B" w:rsidRDefault="00CA3B52" w:rsidP="00F65451">
            <w:pPr>
              <w:pStyle w:val="Tabletext"/>
              <w:jc w:val="center"/>
              <w:rPr>
                <w:lang w:val="en-US"/>
              </w:rPr>
            </w:pPr>
            <w:r w:rsidRPr="00942A5B">
              <w:rPr>
                <w:lang w:val="en-US"/>
              </w:rPr>
              <w:t>53 </w:t>
            </w:r>
            <w:r>
              <w:rPr>
                <w:lang w:val="en-US"/>
              </w:rPr>
              <w:t>×</w:t>
            </w:r>
            <w:r w:rsidRPr="00942A5B">
              <w:rPr>
                <w:lang w:val="en-US"/>
              </w:rPr>
              <w:t> 10</w:t>
            </w:r>
            <w:r w:rsidRPr="00942A5B">
              <w:rPr>
                <w:vertAlign w:val="superscript"/>
                <w:lang w:val="en-US"/>
              </w:rPr>
              <w:t>3</w:t>
            </w:r>
          </w:p>
        </w:tc>
        <w:tc>
          <w:tcPr>
            <w:tcW w:w="1474" w:type="dxa"/>
          </w:tcPr>
          <w:p w:rsidR="00CA3B52" w:rsidRPr="00942A5B" w:rsidRDefault="00CA3B52" w:rsidP="00F65451">
            <w:pPr>
              <w:pStyle w:val="Tabletext"/>
              <w:jc w:val="center"/>
              <w:rPr>
                <w:lang w:val="en-US"/>
              </w:rPr>
            </w:pPr>
            <w:r w:rsidRPr="00942A5B">
              <w:rPr>
                <w:lang w:val="en-US"/>
              </w:rPr>
              <w:t>132 </w:t>
            </w:r>
            <w:r>
              <w:rPr>
                <w:lang w:val="en-US"/>
              </w:rPr>
              <w:t>×</w:t>
            </w:r>
            <w:r w:rsidRPr="00942A5B">
              <w:rPr>
                <w:lang w:val="en-US"/>
              </w:rPr>
              <w:t> 10</w:t>
            </w:r>
            <w:r w:rsidRPr="00942A5B">
              <w:rPr>
                <w:vertAlign w:val="superscript"/>
                <w:lang w:val="en-US"/>
              </w:rPr>
              <w:t>3</w:t>
            </w:r>
          </w:p>
        </w:tc>
        <w:tc>
          <w:tcPr>
            <w:tcW w:w="1474" w:type="dxa"/>
          </w:tcPr>
          <w:p w:rsidR="00CA3B52" w:rsidRPr="00942A5B" w:rsidRDefault="00CA3B52" w:rsidP="00F65451">
            <w:pPr>
              <w:pStyle w:val="Tabletext"/>
              <w:jc w:val="center"/>
              <w:rPr>
                <w:lang w:val="en-US"/>
              </w:rPr>
            </w:pPr>
            <w:r w:rsidRPr="00942A5B">
              <w:rPr>
                <w:i/>
                <w:iCs/>
                <w:lang w:val="en-US"/>
              </w:rPr>
              <w:t>N</w:t>
            </w:r>
            <w:r w:rsidRPr="00942A5B">
              <w:rPr>
                <w:i/>
                <w:iCs/>
                <w:vertAlign w:val="subscript"/>
                <w:lang w:val="en-US"/>
              </w:rPr>
              <w:t>a</w:t>
            </w:r>
            <w:r w:rsidRPr="00942A5B">
              <w:rPr>
                <w:vertAlign w:val="subscript"/>
                <w:lang w:val="en-US"/>
              </w:rPr>
              <w:t>11</w:t>
            </w:r>
            <w:r w:rsidRPr="00942A5B">
              <w:rPr>
                <w:lang w:val="en-US"/>
              </w:rPr>
              <w:t> </w:t>
            </w:r>
            <w:r w:rsidRPr="00942A5B">
              <w:rPr>
                <w:rFonts w:ascii="Symbol" w:hAnsi="Symbol"/>
                <w:lang w:val="en-US"/>
              </w:rPr>
              <w:t></w:t>
            </w:r>
            <w:r w:rsidRPr="00942A5B">
              <w:rPr>
                <w:lang w:val="en-US"/>
              </w:rPr>
              <w:t> 2 </w:t>
            </w:r>
            <w:r>
              <w:rPr>
                <w:lang w:val="en-US"/>
              </w:rPr>
              <w:t>×</w:t>
            </w:r>
            <w:r w:rsidRPr="00942A5B">
              <w:rPr>
                <w:lang w:val="en-US"/>
              </w:rPr>
              <w:t> 10</w:t>
            </w:r>
            <w:r w:rsidRPr="00942A5B">
              <w:rPr>
                <w:vertAlign w:val="superscript"/>
                <w:lang w:val="en-US"/>
              </w:rPr>
              <w:t>6</w:t>
            </w:r>
          </w:p>
        </w:tc>
      </w:tr>
      <w:tr w:rsidR="00CA3B52" w:rsidRPr="00942A5B" w:rsidTr="002D1D5C">
        <w:trPr>
          <w:jc w:val="center"/>
        </w:trPr>
        <w:tc>
          <w:tcPr>
            <w:tcW w:w="1474" w:type="dxa"/>
          </w:tcPr>
          <w:p w:rsidR="00CA3B52" w:rsidRPr="00942A5B" w:rsidRDefault="00CA3B52" w:rsidP="00F65451">
            <w:pPr>
              <w:pStyle w:val="Tabletext"/>
              <w:jc w:val="left"/>
              <w:rPr>
                <w:lang w:val="en-US"/>
              </w:rPr>
            </w:pPr>
            <w:r w:rsidRPr="00942A5B">
              <w:rPr>
                <w:rFonts w:ascii="Symbol" w:hAnsi="Symbol"/>
                <w:lang w:val="en-US"/>
              </w:rPr>
              <w:t></w:t>
            </w:r>
            <w:r w:rsidRPr="00942A5B">
              <w:rPr>
                <w:i/>
                <w:iCs/>
                <w:vertAlign w:val="subscript"/>
                <w:lang w:val="en-US"/>
              </w:rPr>
              <w:t>k</w:t>
            </w:r>
          </w:p>
        </w:tc>
        <w:tc>
          <w:tcPr>
            <w:tcW w:w="1474" w:type="dxa"/>
          </w:tcPr>
          <w:p w:rsidR="00CA3B52" w:rsidRPr="00942A5B" w:rsidRDefault="00CA3B52" w:rsidP="00F65451">
            <w:pPr>
              <w:pStyle w:val="Tabletext"/>
              <w:jc w:val="center"/>
              <w:rPr>
                <w:lang w:val="en-US"/>
              </w:rPr>
            </w:pPr>
            <w:r w:rsidRPr="00942A5B">
              <w:rPr>
                <w:lang w:val="en-US"/>
              </w:rPr>
              <w:t>0</w:t>
            </w:r>
          </w:p>
        </w:tc>
        <w:tc>
          <w:tcPr>
            <w:tcW w:w="1474" w:type="dxa"/>
          </w:tcPr>
          <w:p w:rsidR="00CA3B52" w:rsidRPr="00942A5B" w:rsidRDefault="00CA3B52" w:rsidP="00F65451">
            <w:pPr>
              <w:pStyle w:val="Tabletext"/>
              <w:jc w:val="center"/>
              <w:rPr>
                <w:lang w:val="en-US"/>
              </w:rPr>
            </w:pPr>
            <w:r w:rsidRPr="00942A5B">
              <w:rPr>
                <w:lang w:val="en-US"/>
              </w:rPr>
              <w:t>1.87</w:t>
            </w:r>
          </w:p>
        </w:tc>
        <w:tc>
          <w:tcPr>
            <w:tcW w:w="1474" w:type="dxa"/>
          </w:tcPr>
          <w:p w:rsidR="00CA3B52" w:rsidRPr="00942A5B" w:rsidRDefault="00CA3B52" w:rsidP="00F65451">
            <w:pPr>
              <w:pStyle w:val="Tabletext"/>
              <w:jc w:val="center"/>
              <w:rPr>
                <w:lang w:val="en-US"/>
              </w:rPr>
            </w:pPr>
            <w:r w:rsidRPr="00942A5B">
              <w:rPr>
                <w:lang w:val="en-US"/>
              </w:rPr>
              <w:t>1.48</w:t>
            </w:r>
          </w:p>
        </w:tc>
        <w:tc>
          <w:tcPr>
            <w:tcW w:w="1474" w:type="dxa"/>
          </w:tcPr>
          <w:p w:rsidR="00CA3B52" w:rsidRPr="00942A5B" w:rsidRDefault="00CA3B52" w:rsidP="00F65451">
            <w:pPr>
              <w:pStyle w:val="Tabletext"/>
              <w:jc w:val="center"/>
              <w:rPr>
                <w:lang w:val="en-US"/>
              </w:rPr>
            </w:pPr>
            <w:r w:rsidRPr="00942A5B">
              <w:rPr>
                <w:lang w:val="en-US"/>
              </w:rPr>
              <w:t>0.92</w:t>
            </w:r>
          </w:p>
        </w:tc>
        <w:tc>
          <w:tcPr>
            <w:tcW w:w="1474" w:type="dxa"/>
          </w:tcPr>
          <w:p w:rsidR="00CA3B52" w:rsidRPr="00942A5B" w:rsidRDefault="00CA3B52" w:rsidP="00F65451">
            <w:pPr>
              <w:pStyle w:val="Tabletext"/>
              <w:jc w:val="center"/>
              <w:rPr>
                <w:lang w:val="en-US"/>
              </w:rPr>
            </w:pPr>
            <w:r w:rsidRPr="00942A5B">
              <w:rPr>
                <w:lang w:val="en-US"/>
              </w:rPr>
              <w:t>0.34</w:t>
            </w:r>
          </w:p>
        </w:tc>
      </w:tr>
    </w:tbl>
    <w:p w:rsidR="00CA3B52" w:rsidRPr="00CB6CBA" w:rsidRDefault="00CA3B52" w:rsidP="00CA3B52">
      <w:pPr>
        <w:pStyle w:val="Tablefin"/>
        <w:rPr>
          <w:lang w:val="en-US"/>
        </w:rPr>
      </w:pPr>
    </w:p>
    <w:p w:rsidR="00CA3B52" w:rsidRDefault="00CA3B52" w:rsidP="00CA3B52">
      <w:pPr>
        <w:keepNext/>
        <w:keepLines/>
        <w:rPr>
          <w:lang w:val="en-US"/>
        </w:rPr>
      </w:pPr>
      <w:r w:rsidRPr="00CB6CBA">
        <w:rPr>
          <w:lang w:val="en-US"/>
        </w:rPr>
        <w:lastRenderedPageBreak/>
        <w:t xml:space="preserve">Current annual expenditure, </w:t>
      </w:r>
      <w:r w:rsidRPr="00CB6CBA">
        <w:rPr>
          <w:i/>
          <w:iCs/>
          <w:lang w:val="en-US"/>
        </w:rPr>
        <w:t>Z</w:t>
      </w:r>
      <w:r w:rsidRPr="00942A5B">
        <w:rPr>
          <w:vertAlign w:val="subscript"/>
          <w:lang w:val="en-US"/>
        </w:rPr>
        <w:sym w:font="Symbol" w:char="F053"/>
      </w:r>
      <w:r w:rsidRPr="00CB6CBA">
        <w:rPr>
          <w:i/>
          <w:iCs/>
          <w:vertAlign w:val="subscript"/>
          <w:lang w:val="en-US"/>
        </w:rPr>
        <w:t>k</w:t>
      </w:r>
      <w:r w:rsidRPr="00CB6CBA">
        <w:rPr>
          <w:lang w:val="en-US"/>
        </w:rPr>
        <w:t>, comprises three components:</w:t>
      </w:r>
    </w:p>
    <w:p w:rsidR="00CA3B52" w:rsidRPr="00CB6CBA" w:rsidRDefault="00CA3B52" w:rsidP="00CA3B52">
      <w:pPr>
        <w:pStyle w:val="Blanc"/>
      </w:pPr>
    </w:p>
    <w:p w:rsidR="00CA3B52" w:rsidRPr="00CB6CBA" w:rsidRDefault="00CA3B52" w:rsidP="00F65451">
      <w:pPr>
        <w:pStyle w:val="Equation"/>
        <w:keepNext/>
        <w:keepLines/>
        <w:rPr>
          <w:lang w:val="en-US"/>
        </w:rPr>
      </w:pPr>
      <w:r w:rsidRPr="000429F2">
        <w:rPr>
          <w:lang w:val="en-US"/>
        </w:rPr>
        <w:tab/>
      </w:r>
      <w:r w:rsidRPr="000429F2">
        <w:rPr>
          <w:lang w:val="en-US"/>
        </w:rPr>
        <w:tab/>
      </w:r>
      <w:r w:rsidRPr="00942A5B">
        <w:rPr>
          <w:position w:val="-12"/>
          <w:lang w:val="en-US"/>
        </w:rPr>
        <w:object w:dxaOrig="2360" w:dyaOrig="360">
          <v:shape id="_x0000_i1100" type="#_x0000_t75" style="width:117.8pt;height:19.15pt" o:ole="">
            <v:imagedata r:id="rId170" o:title=""/>
          </v:shape>
          <o:OLEObject Type="Embed" ProgID="Equation.3" ShapeID="_x0000_i1100" DrawAspect="Content" ObjectID="_1511604889" r:id="rId171"/>
        </w:object>
      </w:r>
    </w:p>
    <w:p w:rsidR="00CA3B52" w:rsidRPr="00CB6CBA" w:rsidRDefault="00CA3B52" w:rsidP="00CA3B52">
      <w:pPr>
        <w:keepNext/>
        <w:keepLines/>
        <w:rPr>
          <w:lang w:val="en-US"/>
        </w:rPr>
      </w:pPr>
      <w:r w:rsidRPr="00CB6CBA">
        <w:rPr>
          <w:lang w:val="en-US"/>
        </w:rPr>
        <w:t>where:</w:t>
      </w:r>
    </w:p>
    <w:p w:rsidR="00CA3B52" w:rsidRDefault="00CA3B52" w:rsidP="00CA3B52">
      <w:pPr>
        <w:pStyle w:val="Equationlegend"/>
        <w:keepNext/>
        <w:keepLines/>
      </w:pPr>
      <w:r w:rsidRPr="00CB6CBA">
        <w:tab/>
      </w:r>
      <w:r w:rsidRPr="00CB6CBA">
        <w:rPr>
          <w:i/>
          <w:iCs/>
        </w:rPr>
        <w:t>Z</w:t>
      </w:r>
      <w:r w:rsidRPr="00CB6CBA">
        <w:rPr>
          <w:vertAlign w:val="subscript"/>
        </w:rPr>
        <w:t>1</w:t>
      </w:r>
      <w:r w:rsidRPr="00CB6CBA">
        <w:rPr>
          <w:i/>
          <w:iCs/>
          <w:vertAlign w:val="subscript"/>
        </w:rPr>
        <w:t>k</w:t>
      </w:r>
      <w:r w:rsidRPr="00CB6CBA">
        <w:rPr>
          <w:rFonts w:ascii="Tms Rmn" w:hAnsi="Tms Rmn"/>
          <w:sz w:val="12"/>
        </w:rPr>
        <w:t> </w:t>
      </w:r>
      <w:r w:rsidRPr="0064519E">
        <w:rPr>
          <w:rFonts w:asciiTheme="majorBidi" w:hAnsiTheme="majorBidi" w:cstheme="majorBidi"/>
        </w:rPr>
        <w:t>:</w:t>
      </w:r>
      <w:r w:rsidRPr="00CB6CBA">
        <w:rPr>
          <w:rFonts w:ascii="Tms Rmn" w:hAnsi="Tms Rmn"/>
        </w:rPr>
        <w:tab/>
      </w:r>
      <w:r w:rsidRPr="00CB6CBA">
        <w:t>annual expenditure for operation, amortization, equipment maintenance, administrative costs, salaries, share dividends or interest on loans, payments for public utilities, land rental. On the basis of statistical data, the following approximation may be used:</w:t>
      </w:r>
    </w:p>
    <w:p w:rsidR="00CA3B52" w:rsidRPr="00CB6CBA" w:rsidRDefault="00CA3B52" w:rsidP="00F65451">
      <w:pPr>
        <w:pStyle w:val="Equation"/>
        <w:rPr>
          <w:lang w:val="en-US"/>
        </w:rPr>
      </w:pPr>
      <w:r w:rsidRPr="000429F2">
        <w:rPr>
          <w:lang w:val="en-US"/>
        </w:rPr>
        <w:tab/>
      </w:r>
      <w:r w:rsidRPr="000429F2">
        <w:rPr>
          <w:lang w:val="en-US"/>
        </w:rPr>
        <w:tab/>
      </w:r>
      <w:r w:rsidRPr="00942A5B">
        <w:rPr>
          <w:position w:val="-12"/>
          <w:lang w:val="en-US"/>
        </w:rPr>
        <w:object w:dxaOrig="1740" w:dyaOrig="360">
          <v:shape id="_x0000_i1101" type="#_x0000_t75" style="width:85.55pt;height:19.15pt" o:ole="">
            <v:imagedata r:id="rId172" o:title=""/>
          </v:shape>
          <o:OLEObject Type="Embed" ProgID="Equation.3" ShapeID="_x0000_i1101" DrawAspect="Content" ObjectID="_1511604890" r:id="rId173"/>
        </w:object>
      </w:r>
    </w:p>
    <w:p w:rsidR="00CA3B52" w:rsidRPr="00CB6CBA" w:rsidRDefault="00CA3B52" w:rsidP="00CA3B52">
      <w:pPr>
        <w:pStyle w:val="Equationlegend"/>
      </w:pPr>
      <w:r w:rsidRPr="00CB6CBA">
        <w:tab/>
      </w:r>
      <w:r w:rsidRPr="00CB6CBA">
        <w:rPr>
          <w:i/>
          <w:iCs/>
        </w:rPr>
        <w:t>Z</w:t>
      </w:r>
      <w:r w:rsidRPr="00CB6CBA">
        <w:rPr>
          <w:vertAlign w:val="subscript"/>
        </w:rPr>
        <w:t>2</w:t>
      </w:r>
      <w:r w:rsidRPr="00CB6CBA">
        <w:rPr>
          <w:i/>
          <w:iCs/>
          <w:vertAlign w:val="subscript"/>
        </w:rPr>
        <w:t>k</w:t>
      </w:r>
      <w:r w:rsidRPr="00CB6CBA">
        <w:rPr>
          <w:rFonts w:ascii="Tms Rmn" w:hAnsi="Tms Rmn"/>
          <w:sz w:val="12"/>
        </w:rPr>
        <w:t> </w:t>
      </w:r>
      <w:r w:rsidRPr="0064519E">
        <w:rPr>
          <w:rFonts w:asciiTheme="majorBidi" w:hAnsiTheme="majorBidi" w:cstheme="majorBidi"/>
        </w:rPr>
        <w:t>:</w:t>
      </w:r>
      <w:r w:rsidRPr="00CB6CBA">
        <w:rPr>
          <w:rFonts w:ascii="Tms Rmn" w:hAnsi="Tms Rmn"/>
        </w:rPr>
        <w:tab/>
      </w:r>
      <w:r w:rsidRPr="00CB6CBA">
        <w:t>annual expenditure for maintenance of the billing system, which may be taken as:</w:t>
      </w:r>
    </w:p>
    <w:p w:rsidR="00CA3B52" w:rsidRPr="00CB6CBA" w:rsidRDefault="00CA3B52" w:rsidP="00F65451">
      <w:pPr>
        <w:pStyle w:val="Equation"/>
        <w:rPr>
          <w:lang w:val="en-US"/>
        </w:rPr>
      </w:pPr>
      <w:r w:rsidRPr="000429F2">
        <w:rPr>
          <w:lang w:val="en-US"/>
        </w:rPr>
        <w:tab/>
      </w:r>
      <w:r w:rsidRPr="000429F2">
        <w:rPr>
          <w:lang w:val="en-US"/>
        </w:rPr>
        <w:tab/>
      </w:r>
      <w:r w:rsidRPr="00CB6CBA">
        <w:rPr>
          <w:position w:val="-10"/>
          <w:lang w:val="en-US"/>
        </w:rPr>
        <w:object w:dxaOrig="1920" w:dyaOrig="340">
          <v:shape id="_x0000_i1102" type="#_x0000_t75" style="width:93.5pt;height:17.3pt" o:ole="">
            <v:imagedata r:id="rId174" o:title=""/>
          </v:shape>
          <o:OLEObject Type="Embed" ProgID="Equation.3" ShapeID="_x0000_i1102" DrawAspect="Content" ObjectID="_1511604891" r:id="rId175"/>
        </w:object>
      </w:r>
    </w:p>
    <w:p w:rsidR="00CA3B52" w:rsidRPr="00CB6CBA" w:rsidRDefault="00CA3B52" w:rsidP="00CA3B52">
      <w:pPr>
        <w:pStyle w:val="Equationlegend"/>
      </w:pPr>
      <w:r w:rsidRPr="00CB6CBA">
        <w:tab/>
      </w:r>
      <w:r w:rsidRPr="00CB6CBA">
        <w:rPr>
          <w:i/>
          <w:iCs/>
        </w:rPr>
        <w:t>Z</w:t>
      </w:r>
      <w:r w:rsidRPr="00CB6CBA">
        <w:rPr>
          <w:vertAlign w:val="subscript"/>
        </w:rPr>
        <w:t>3</w:t>
      </w:r>
      <w:r w:rsidRPr="00CB6CBA">
        <w:rPr>
          <w:i/>
          <w:iCs/>
          <w:vertAlign w:val="subscript"/>
        </w:rPr>
        <w:t>k</w:t>
      </w:r>
      <w:r w:rsidRPr="00CB6CBA">
        <w:rPr>
          <w:rFonts w:ascii="Tms Rmn" w:hAnsi="Tms Rmn"/>
          <w:sz w:val="12"/>
        </w:rPr>
        <w:t> </w:t>
      </w:r>
      <w:r w:rsidRPr="0064519E">
        <w:rPr>
          <w:rFonts w:asciiTheme="majorBidi" w:hAnsiTheme="majorBidi" w:cstheme="majorBidi"/>
        </w:rPr>
        <w:t>:</w:t>
      </w:r>
      <w:r w:rsidRPr="00CB6CBA">
        <w:rPr>
          <w:rFonts w:ascii="Tms Rmn" w:hAnsi="Tms Rmn"/>
        </w:rPr>
        <w:tab/>
      </w:r>
      <w:r w:rsidRPr="00CB6CBA">
        <w:t>annual expenditure for the lease of public network channels for one year (12 months):</w:t>
      </w:r>
    </w:p>
    <w:p w:rsidR="00CA3B52" w:rsidRPr="00CB6CBA" w:rsidRDefault="00CA3B52" w:rsidP="00F65451">
      <w:pPr>
        <w:pStyle w:val="Equation"/>
        <w:rPr>
          <w:lang w:val="en-US"/>
        </w:rPr>
      </w:pPr>
      <w:r w:rsidRPr="000429F2">
        <w:rPr>
          <w:lang w:val="en-US"/>
        </w:rPr>
        <w:tab/>
      </w:r>
      <w:r w:rsidRPr="000429F2">
        <w:rPr>
          <w:lang w:val="en-US"/>
        </w:rPr>
        <w:tab/>
      </w:r>
      <w:r w:rsidRPr="00CB6CBA">
        <w:rPr>
          <w:position w:val="-10"/>
          <w:lang w:val="en-US"/>
        </w:rPr>
        <w:object w:dxaOrig="2740" w:dyaOrig="320">
          <v:shape id="_x0000_i1103" type="#_x0000_t75" style="width:135.1pt;height:16.85pt" o:ole="">
            <v:imagedata r:id="rId176" o:title=""/>
          </v:shape>
          <o:OLEObject Type="Embed" ProgID="Equation.3" ShapeID="_x0000_i1103" DrawAspect="Content" ObjectID="_1511604892" r:id="rId177"/>
        </w:object>
      </w:r>
    </w:p>
    <w:p w:rsidR="00CA3B52" w:rsidRDefault="00CA3B52" w:rsidP="00CA3B52">
      <w:pPr>
        <w:rPr>
          <w:lang w:val="en-US"/>
        </w:rPr>
      </w:pPr>
      <w:r w:rsidRPr="00CB6CBA">
        <w:rPr>
          <w:lang w:val="en-US"/>
        </w:rPr>
        <w:t xml:space="preserve">The value of </w:t>
      </w:r>
      <w:r w:rsidRPr="00CB6CBA">
        <w:rPr>
          <w:i/>
          <w:iCs/>
          <w:lang w:val="en-US"/>
        </w:rPr>
        <w:t>Y</w:t>
      </w:r>
      <w:r w:rsidRPr="00CB6CBA">
        <w:rPr>
          <w:i/>
          <w:iCs/>
          <w:vertAlign w:val="subscript"/>
          <w:lang w:val="en-US"/>
        </w:rPr>
        <w:t>M</w:t>
      </w:r>
      <w:r w:rsidRPr="00CB6CBA">
        <w:rPr>
          <w:lang w:val="en-US"/>
        </w:rPr>
        <w:t>, the monthly traffic for one subscriber, is the number of minutes per month during which a subscriber occupies a communication channel, and is determined by the equation:</w:t>
      </w:r>
    </w:p>
    <w:p w:rsidR="00CA3B52" w:rsidRPr="00CB6CBA" w:rsidRDefault="00CA3B52" w:rsidP="00CA3B52">
      <w:pPr>
        <w:pStyle w:val="Blanc"/>
      </w:pPr>
    </w:p>
    <w:p w:rsidR="00CA3B52" w:rsidRPr="00CB6CBA" w:rsidRDefault="00CA3B52" w:rsidP="00F65451">
      <w:pPr>
        <w:pStyle w:val="Equation"/>
        <w:rPr>
          <w:lang w:val="en-US"/>
        </w:rPr>
      </w:pPr>
      <w:r w:rsidRPr="000429F2">
        <w:rPr>
          <w:lang w:val="en-US"/>
        </w:rPr>
        <w:tab/>
      </w:r>
      <w:r w:rsidRPr="000429F2">
        <w:rPr>
          <w:lang w:val="en-US"/>
        </w:rPr>
        <w:tab/>
      </w:r>
      <w:r w:rsidRPr="00CB6CBA">
        <w:rPr>
          <w:position w:val="-10"/>
          <w:lang w:val="en-US"/>
        </w:rPr>
        <w:object w:dxaOrig="2079" w:dyaOrig="340">
          <v:shape id="_x0000_i1104" type="#_x0000_t75" style="width:104.25pt;height:17.3pt" o:ole="">
            <v:imagedata r:id="rId178" o:title=""/>
          </v:shape>
          <o:OLEObject Type="Embed" ProgID="Equation.3" ShapeID="_x0000_i1104" DrawAspect="Content" ObjectID="_1511604893" r:id="rId179"/>
        </w:object>
      </w:r>
    </w:p>
    <w:p w:rsidR="00CA3B52" w:rsidRPr="00CB6CBA" w:rsidRDefault="00CA3B52" w:rsidP="00CA3B52">
      <w:pPr>
        <w:pStyle w:val="Blanc"/>
      </w:pPr>
    </w:p>
    <w:p w:rsidR="00CA3B52" w:rsidRPr="00CB6CBA" w:rsidRDefault="00CA3B52" w:rsidP="00CA3B52">
      <w:pPr>
        <w:rPr>
          <w:lang w:val="en-US"/>
        </w:rPr>
      </w:pPr>
      <w:r w:rsidRPr="00CB6CBA">
        <w:rPr>
          <w:lang w:val="en-US"/>
        </w:rPr>
        <w:t xml:space="preserve">Income from operation of a mobile network varies with the number of subscribers using the network’s services. It is calculated by the following equation for </w:t>
      </w:r>
      <w:r w:rsidRPr="00CB6CBA">
        <w:rPr>
          <w:i/>
          <w:iCs/>
          <w:lang w:val="en-US"/>
        </w:rPr>
        <w:t>k</w:t>
      </w:r>
      <w:r w:rsidRPr="00CB6CBA">
        <w:rPr>
          <w:lang w:val="en-US"/>
        </w:rPr>
        <w:t xml:space="preserve"> years of operation:</w:t>
      </w:r>
    </w:p>
    <w:p w:rsidR="00CA3B52" w:rsidRPr="00CB6CBA" w:rsidRDefault="00CA3B52" w:rsidP="00CA3B52">
      <w:pPr>
        <w:pStyle w:val="Blanc"/>
      </w:pPr>
    </w:p>
    <w:p w:rsidR="00CA3B52" w:rsidRPr="00CB6CBA" w:rsidRDefault="00CA3B52" w:rsidP="00F65451">
      <w:pPr>
        <w:pStyle w:val="Equation"/>
        <w:rPr>
          <w:lang w:val="en-US"/>
        </w:rPr>
      </w:pPr>
      <w:r w:rsidRPr="000429F2">
        <w:rPr>
          <w:lang w:val="en-US"/>
        </w:rPr>
        <w:tab/>
      </w:r>
      <w:r w:rsidRPr="000429F2">
        <w:rPr>
          <w:lang w:val="en-US"/>
        </w:rPr>
        <w:tab/>
      </w:r>
      <w:r w:rsidRPr="00CB6CBA">
        <w:rPr>
          <w:position w:val="-10"/>
          <w:lang w:val="en-US"/>
        </w:rPr>
        <w:object w:dxaOrig="2280" w:dyaOrig="320">
          <v:shape id="_x0000_i1105" type="#_x0000_t75" style="width:114.1pt;height:16.85pt" o:ole="">
            <v:imagedata r:id="rId180" o:title=""/>
          </v:shape>
          <o:OLEObject Type="Embed" ProgID="Equation.3" ShapeID="_x0000_i1105" DrawAspect="Content" ObjectID="_1511604894" r:id="rId181"/>
        </w:object>
      </w:r>
    </w:p>
    <w:p w:rsidR="00CA3B52" w:rsidRPr="00CB6CBA" w:rsidRDefault="00CA3B52" w:rsidP="00CA3B52">
      <w:pPr>
        <w:rPr>
          <w:lang w:val="en-US"/>
        </w:rPr>
      </w:pPr>
      <w:r w:rsidRPr="00CB6CBA">
        <w:rPr>
          <w:lang w:val="en-US"/>
        </w:rPr>
        <w:t>where</w:t>
      </w:r>
      <w:r>
        <w:rPr>
          <w:lang w:val="en-US"/>
        </w:rPr>
        <w:t>:</w:t>
      </w:r>
    </w:p>
    <w:p w:rsidR="00CA3B52" w:rsidRPr="00CB6CBA" w:rsidRDefault="00CA3B52" w:rsidP="00CA3B52">
      <w:pPr>
        <w:pStyle w:val="Equationlegend"/>
      </w:pPr>
      <w:r w:rsidRPr="00CB6CBA">
        <w:tab/>
      </w:r>
      <w:r w:rsidRPr="00CB6CBA">
        <w:rPr>
          <w:i/>
          <w:iCs/>
        </w:rPr>
        <w:t>D</w:t>
      </w:r>
      <w:r w:rsidRPr="00CB6CBA">
        <w:rPr>
          <w:position w:val="-4"/>
          <w:sz w:val="16"/>
        </w:rPr>
        <w:t>1</w:t>
      </w:r>
      <w:r w:rsidRPr="00CB6CBA">
        <w:rPr>
          <w:i/>
          <w:iCs/>
          <w:position w:val="-4"/>
          <w:sz w:val="16"/>
        </w:rPr>
        <w:t>k</w:t>
      </w:r>
      <w:r w:rsidRPr="00CB6CBA">
        <w:rPr>
          <w:rFonts w:ascii="Tms Rmn" w:hAnsi="Tms Rmn"/>
          <w:sz w:val="12"/>
        </w:rPr>
        <w:t> </w:t>
      </w:r>
      <w:r w:rsidRPr="0064519E">
        <w:rPr>
          <w:rFonts w:asciiTheme="majorBidi" w:hAnsiTheme="majorBidi" w:cstheme="majorBidi"/>
        </w:rPr>
        <w:t>:</w:t>
      </w:r>
      <w:r w:rsidRPr="00CB6CBA">
        <w:rPr>
          <w:rFonts w:ascii="Tms Rmn" w:hAnsi="Tms Rmn"/>
        </w:rPr>
        <w:tab/>
      </w:r>
      <w:r w:rsidRPr="00CB6CBA">
        <w:t xml:space="preserve">income from one-time payments for connection to the mobile network for </w:t>
      </w:r>
      <w:r w:rsidRPr="00CB6CBA">
        <w:rPr>
          <w:i/>
          <w:iCs/>
        </w:rPr>
        <w:t>k</w:t>
      </w:r>
      <w:r w:rsidRPr="00CB6CBA">
        <w:t xml:space="preserve"> years of operation, which directly includes: connection fee, guarantee deposit, access number, use of local public network operator’s line, sales mark-up for subscriber equipment, as follows:</w:t>
      </w:r>
    </w:p>
    <w:p w:rsidR="00CA3B52" w:rsidRPr="00CB6CBA" w:rsidRDefault="00CA3B52" w:rsidP="00F65451">
      <w:pPr>
        <w:pStyle w:val="Equation"/>
        <w:rPr>
          <w:lang w:val="en-US"/>
        </w:rPr>
      </w:pPr>
      <w:r w:rsidRPr="000429F2">
        <w:rPr>
          <w:lang w:val="en-US"/>
        </w:rPr>
        <w:tab/>
      </w:r>
      <w:r w:rsidRPr="000429F2">
        <w:rPr>
          <w:lang w:val="en-US"/>
        </w:rPr>
        <w:tab/>
      </w:r>
      <w:r w:rsidRPr="00930CD2">
        <w:rPr>
          <w:position w:val="-12"/>
          <w:lang w:val="en-US"/>
        </w:rPr>
        <w:object w:dxaOrig="1620" w:dyaOrig="360">
          <v:shape id="_x0000_i1106" type="#_x0000_t75" style="width:80.4pt;height:19.15pt" o:ole="">
            <v:imagedata r:id="rId182" o:title=""/>
          </v:shape>
          <o:OLEObject Type="Embed" ProgID="Equation.3" ShapeID="_x0000_i1106" DrawAspect="Content" ObjectID="_1511604895" r:id="rId183"/>
        </w:object>
      </w:r>
    </w:p>
    <w:p w:rsidR="00CA3B52" w:rsidRPr="00CB6CBA" w:rsidRDefault="00CA3B52" w:rsidP="00F65451">
      <w:pPr>
        <w:ind w:left="1985" w:hanging="1985"/>
        <w:rPr>
          <w:lang w:val="en-US"/>
        </w:rPr>
      </w:pPr>
      <w:r>
        <w:rPr>
          <w:lang w:val="en-US"/>
        </w:rPr>
        <w:tab/>
      </w:r>
      <w:r>
        <w:rPr>
          <w:lang w:val="en-US"/>
        </w:rPr>
        <w:tab/>
      </w:r>
      <w:r>
        <w:rPr>
          <w:lang w:val="en-US"/>
        </w:rPr>
        <w:tab/>
      </w:r>
      <w:r>
        <w:rPr>
          <w:lang w:val="en-US"/>
        </w:rPr>
        <w:tab/>
      </w:r>
      <w:r w:rsidRPr="00CB6CBA">
        <w:rPr>
          <w:lang w:val="en-US"/>
        </w:rPr>
        <w:t xml:space="preserve">It should be noted that the operator receives income, </w:t>
      </w:r>
      <w:r w:rsidRPr="00CB6CBA">
        <w:rPr>
          <w:i/>
          <w:iCs/>
          <w:lang w:val="en-US"/>
        </w:rPr>
        <w:t>D</w:t>
      </w:r>
      <w:r w:rsidRPr="00CB6CBA">
        <w:rPr>
          <w:vertAlign w:val="subscript"/>
          <w:lang w:val="en-US"/>
        </w:rPr>
        <w:t>1</w:t>
      </w:r>
      <w:r w:rsidRPr="00CB6CBA">
        <w:rPr>
          <w:i/>
          <w:iCs/>
          <w:vertAlign w:val="subscript"/>
          <w:lang w:val="en-US"/>
        </w:rPr>
        <w:t>k</w:t>
      </w:r>
      <w:r w:rsidRPr="00CB6CBA">
        <w:rPr>
          <w:lang w:val="en-US"/>
        </w:rPr>
        <w:t>, from network subscribers in a single payment.</w:t>
      </w:r>
    </w:p>
    <w:p w:rsidR="00CA3B52" w:rsidRPr="00CB6CBA" w:rsidRDefault="00CA3B52" w:rsidP="00CA3B52">
      <w:pPr>
        <w:pStyle w:val="Equationlegend"/>
      </w:pPr>
      <w:r>
        <w:tab/>
      </w:r>
      <w:r w:rsidRPr="00CB6CBA">
        <w:rPr>
          <w:i/>
          <w:iCs/>
        </w:rPr>
        <w:t>D</w:t>
      </w:r>
      <w:r w:rsidRPr="00CB6CBA">
        <w:rPr>
          <w:vertAlign w:val="subscript"/>
        </w:rPr>
        <w:t>2</w:t>
      </w:r>
      <w:r w:rsidRPr="00CB6CBA">
        <w:rPr>
          <w:i/>
          <w:iCs/>
          <w:vertAlign w:val="subscript"/>
        </w:rPr>
        <w:t>k</w:t>
      </w:r>
      <w:r w:rsidRPr="00CB6CBA">
        <w:rPr>
          <w:rFonts w:ascii="Tms Rmn" w:hAnsi="Tms Rmn"/>
          <w:i/>
          <w:iCs/>
          <w:position w:val="-4"/>
          <w:sz w:val="12"/>
        </w:rPr>
        <w:t> </w:t>
      </w:r>
      <w:r w:rsidRPr="0064519E">
        <w:rPr>
          <w:rFonts w:asciiTheme="majorBidi" w:hAnsiTheme="majorBidi" w:cstheme="majorBidi"/>
        </w:rPr>
        <w:t>:</w:t>
      </w:r>
      <w:r w:rsidRPr="00CB6CBA">
        <w:tab/>
        <w:t>income from monthly subscription fees</w:t>
      </w:r>
    </w:p>
    <w:p w:rsidR="00CA3B52" w:rsidRPr="00CB6CBA" w:rsidRDefault="00CA3B52" w:rsidP="00CA3B52">
      <w:pPr>
        <w:pStyle w:val="Equationlegend"/>
      </w:pPr>
      <w:r w:rsidRPr="00CB6CBA">
        <w:tab/>
      </w:r>
      <w:r w:rsidRPr="00CB6CBA">
        <w:rPr>
          <w:i/>
          <w:iCs/>
        </w:rPr>
        <w:t>D</w:t>
      </w:r>
      <w:r w:rsidRPr="00CB6CBA">
        <w:rPr>
          <w:vertAlign w:val="subscript"/>
        </w:rPr>
        <w:t>3</w:t>
      </w:r>
      <w:r w:rsidRPr="00CB6CBA">
        <w:rPr>
          <w:i/>
          <w:iCs/>
          <w:vertAlign w:val="subscript"/>
        </w:rPr>
        <w:t>k</w:t>
      </w:r>
      <w:r w:rsidRPr="00CB6CBA">
        <w:rPr>
          <w:rFonts w:ascii="Tms Rmn" w:hAnsi="Tms Rmn"/>
          <w:i/>
          <w:iCs/>
          <w:position w:val="-4"/>
          <w:sz w:val="12"/>
        </w:rPr>
        <w:t> </w:t>
      </w:r>
      <w:r w:rsidRPr="00CB6CBA">
        <w:t>:</w:t>
      </w:r>
      <w:r w:rsidRPr="00CB6CBA">
        <w:tab/>
        <w:t>income from monthly call fees.</w:t>
      </w:r>
    </w:p>
    <w:p w:rsidR="00CA3B52" w:rsidRDefault="00CA3B52" w:rsidP="00CA3B52">
      <w:pPr>
        <w:rPr>
          <w:lang w:val="en-US"/>
        </w:rPr>
      </w:pPr>
      <w:r w:rsidRPr="00CB6CBA">
        <w:rPr>
          <w:lang w:val="en-US"/>
        </w:rPr>
        <w:t xml:space="preserve">Using the above relationship, </w:t>
      </w:r>
      <w:r w:rsidRPr="00CB6CBA">
        <w:rPr>
          <w:i/>
          <w:iCs/>
          <w:lang w:val="en-US"/>
        </w:rPr>
        <w:t>N</w:t>
      </w:r>
      <w:r w:rsidRPr="00CB6CBA">
        <w:rPr>
          <w:i/>
          <w:iCs/>
          <w:vertAlign w:val="subscript"/>
          <w:lang w:val="en-US"/>
        </w:rPr>
        <w:t>a</w:t>
      </w:r>
      <w:r w:rsidRPr="00CB6CBA">
        <w:rPr>
          <w:lang w:val="en-US"/>
        </w:rPr>
        <w:t>(</w:t>
      </w:r>
      <w:r w:rsidRPr="00CB6CBA">
        <w:rPr>
          <w:i/>
          <w:iCs/>
          <w:lang w:val="en-US"/>
        </w:rPr>
        <w:t>t</w:t>
      </w:r>
      <w:r w:rsidRPr="00CB6CBA">
        <w:rPr>
          <w:rFonts w:ascii="Tms Rmn" w:hAnsi="Tms Rmn"/>
          <w:i/>
          <w:iCs/>
          <w:sz w:val="2"/>
          <w:lang w:val="en-US"/>
        </w:rPr>
        <w:t> </w:t>
      </w:r>
      <w:r w:rsidRPr="00CB6CBA">
        <w:rPr>
          <w:lang w:val="en-US"/>
        </w:rPr>
        <w:t xml:space="preserve">), we determine </w:t>
      </w:r>
      <w:r w:rsidRPr="00CB6CBA">
        <w:rPr>
          <w:i/>
          <w:iCs/>
          <w:lang w:val="en-US"/>
        </w:rPr>
        <w:t>D</w:t>
      </w:r>
      <w:r w:rsidRPr="00CB6CBA">
        <w:rPr>
          <w:vertAlign w:val="subscript"/>
          <w:lang w:val="en-US"/>
        </w:rPr>
        <w:t>2</w:t>
      </w:r>
      <w:r w:rsidRPr="00CB6CBA">
        <w:rPr>
          <w:i/>
          <w:iCs/>
          <w:vertAlign w:val="subscript"/>
          <w:lang w:val="en-US"/>
        </w:rPr>
        <w:t>k</w:t>
      </w:r>
      <w:r w:rsidRPr="00CB6CBA">
        <w:rPr>
          <w:lang w:val="en-US"/>
        </w:rPr>
        <w:t xml:space="preserve"> and </w:t>
      </w:r>
      <w:r w:rsidRPr="00CB6CBA">
        <w:rPr>
          <w:i/>
          <w:iCs/>
          <w:lang w:val="en-US"/>
        </w:rPr>
        <w:t>D</w:t>
      </w:r>
      <w:r w:rsidRPr="00CB6CBA">
        <w:rPr>
          <w:vertAlign w:val="subscript"/>
          <w:lang w:val="en-US"/>
        </w:rPr>
        <w:t>3</w:t>
      </w:r>
      <w:r w:rsidRPr="00CB6CBA">
        <w:rPr>
          <w:i/>
          <w:iCs/>
          <w:vertAlign w:val="subscript"/>
          <w:lang w:val="en-US"/>
        </w:rPr>
        <w:t>k</w:t>
      </w:r>
      <w:r w:rsidRPr="00CB6CBA">
        <w:rPr>
          <w:lang w:val="en-US"/>
        </w:rPr>
        <w:t xml:space="preserve"> as follows:</w:t>
      </w:r>
    </w:p>
    <w:p w:rsidR="00CA3B52" w:rsidRPr="00CB6CBA" w:rsidRDefault="00CA3B52" w:rsidP="00CA3B52">
      <w:pPr>
        <w:pStyle w:val="Blanc"/>
      </w:pPr>
    </w:p>
    <w:p w:rsidR="00CA3B52" w:rsidRPr="00CB6CBA" w:rsidRDefault="00CA3B52" w:rsidP="00F65451">
      <w:pPr>
        <w:pStyle w:val="Equation"/>
        <w:rPr>
          <w:lang w:val="en-US"/>
        </w:rPr>
      </w:pPr>
      <w:r w:rsidRPr="000429F2">
        <w:rPr>
          <w:lang w:val="en-US"/>
        </w:rPr>
        <w:tab/>
      </w:r>
      <w:r w:rsidRPr="000429F2">
        <w:rPr>
          <w:lang w:val="en-US"/>
        </w:rPr>
        <w:tab/>
      </w:r>
      <w:r w:rsidRPr="00CB6CBA">
        <w:rPr>
          <w:position w:val="-36"/>
          <w:sz w:val="20"/>
          <w:lang w:val="en-US"/>
        </w:rPr>
        <w:object w:dxaOrig="7320" w:dyaOrig="840">
          <v:shape id="_x0000_i1107" type="#_x0000_t75" style="width:366.1pt;height:42.1pt" o:ole="" fillcolor="window">
            <v:imagedata r:id="rId184" o:title=""/>
          </v:shape>
          <o:OLEObject Type="Embed" ProgID="Equation.3" ShapeID="_x0000_i1107" DrawAspect="Content" ObjectID="_1511604896" r:id="rId185"/>
        </w:object>
      </w:r>
    </w:p>
    <w:p w:rsidR="00CA3B52" w:rsidRPr="00CB6CBA" w:rsidRDefault="00CA3B52" w:rsidP="00F65451">
      <w:pPr>
        <w:pStyle w:val="Equation"/>
        <w:rPr>
          <w:lang w:val="en-US"/>
        </w:rPr>
      </w:pPr>
      <w:r>
        <w:tab/>
      </w:r>
      <w:r>
        <w:tab/>
      </w:r>
      <w:r w:rsidRPr="00CB6CBA">
        <w:rPr>
          <w:position w:val="-32"/>
          <w:sz w:val="20"/>
          <w:lang w:val="en-US"/>
        </w:rPr>
        <w:object w:dxaOrig="5420" w:dyaOrig="760">
          <v:shape id="_x0000_i1108" type="#_x0000_t75" style="width:269.75pt;height:38.35pt" o:ole="" fillcolor="window">
            <v:imagedata r:id="rId186" o:title=""/>
          </v:shape>
          <o:OLEObject Type="Embed" ProgID="Equation.3" ShapeID="_x0000_i1108" DrawAspect="Content" ObjectID="_1511604897" r:id="rId187"/>
        </w:object>
      </w:r>
    </w:p>
    <w:p w:rsidR="00CA3B52" w:rsidRPr="00CB6CBA" w:rsidRDefault="00CA3B52" w:rsidP="00F65451">
      <w:pPr>
        <w:spacing w:before="240"/>
        <w:rPr>
          <w:lang w:val="en-US"/>
        </w:rPr>
      </w:pPr>
      <w:r w:rsidRPr="00CB6CBA">
        <w:rPr>
          <w:lang w:val="en-US"/>
        </w:rPr>
        <w:lastRenderedPageBreak/>
        <w:t xml:space="preserve">In order to evaluate the economic efficiency of the operation of a mobile network, the discounted income index, </w:t>
      </w:r>
      <w:r w:rsidRPr="00CB6CBA">
        <w:rPr>
          <w:i/>
          <w:iCs/>
          <w:lang w:val="en-US"/>
        </w:rPr>
        <w:t>I</w:t>
      </w:r>
      <w:r w:rsidRPr="00CB6CBA">
        <w:rPr>
          <w:i/>
          <w:iCs/>
          <w:vertAlign w:val="subscript"/>
          <w:lang w:val="en-US"/>
        </w:rPr>
        <w:t>D</w:t>
      </w:r>
      <w:r w:rsidRPr="00CB6CBA">
        <w:rPr>
          <w:lang w:val="en-US"/>
        </w:rPr>
        <w:t>, is calculated as the ratio of the sum of discounted net profit of the project to overall capital expenditure.</w:t>
      </w:r>
    </w:p>
    <w:p w:rsidR="00CA3B52" w:rsidRDefault="00CA3B52" w:rsidP="00F65451">
      <w:pPr>
        <w:rPr>
          <w:lang w:val="en-US"/>
        </w:rPr>
      </w:pPr>
      <w:r w:rsidRPr="00CB6CBA">
        <w:rPr>
          <w:lang w:val="en-US"/>
        </w:rPr>
        <w:t>The current worth of future income is determined using the discounting index (1 </w:t>
      </w:r>
      <w:r w:rsidRPr="00CB6CBA">
        <w:rPr>
          <w:rFonts w:ascii="Symbol" w:hAnsi="Symbol"/>
          <w:lang w:val="en-US"/>
        </w:rPr>
        <w:t></w:t>
      </w:r>
      <w:r w:rsidRPr="00CB6CBA">
        <w:rPr>
          <w:lang w:val="en-US"/>
        </w:rPr>
        <w:t> </w:t>
      </w:r>
      <w:r w:rsidRPr="00CB6CBA">
        <w:rPr>
          <w:i/>
          <w:iCs/>
          <w:lang w:val="en-US"/>
        </w:rPr>
        <w:t>E</w:t>
      </w:r>
      <w:r w:rsidRPr="00CB6CBA">
        <w:rPr>
          <w:i/>
          <w:iCs/>
          <w:vertAlign w:val="subscript"/>
          <w:lang w:val="en-US"/>
        </w:rPr>
        <w:t>n</w:t>
      </w:r>
      <w:r w:rsidRPr="00CB6CBA">
        <w:rPr>
          <w:lang w:val="en-US"/>
        </w:rPr>
        <w:t xml:space="preserve">), where the value of </w:t>
      </w:r>
      <w:r w:rsidRPr="00CB6CBA">
        <w:rPr>
          <w:i/>
          <w:iCs/>
          <w:lang w:val="en-US"/>
        </w:rPr>
        <w:t>E</w:t>
      </w:r>
      <w:r w:rsidRPr="00CB6CBA">
        <w:rPr>
          <w:i/>
          <w:iCs/>
          <w:vertAlign w:val="subscript"/>
          <w:lang w:val="en-US"/>
        </w:rPr>
        <w:t>n</w:t>
      </w:r>
      <w:r w:rsidRPr="00CB6CBA">
        <w:rPr>
          <w:lang w:val="en-US"/>
        </w:rPr>
        <w:t xml:space="preserve"> is taken as the mean annual bank rate. Thus:</w:t>
      </w:r>
    </w:p>
    <w:p w:rsidR="00CA3B52" w:rsidRPr="00CB6CBA" w:rsidRDefault="00CA3B52" w:rsidP="00CA3B52">
      <w:pPr>
        <w:pStyle w:val="Blanc"/>
      </w:pPr>
    </w:p>
    <w:p w:rsidR="00CA3B52" w:rsidRPr="00CB6CBA" w:rsidRDefault="00CA3B52" w:rsidP="00F65451">
      <w:pPr>
        <w:pStyle w:val="Equation"/>
        <w:rPr>
          <w:lang w:val="en-US"/>
        </w:rPr>
      </w:pPr>
      <w:r>
        <w:tab/>
      </w:r>
      <w:r>
        <w:tab/>
      </w:r>
      <w:r w:rsidRPr="00CB6CBA">
        <w:rPr>
          <w:position w:val="-36"/>
          <w:sz w:val="20"/>
          <w:lang w:val="en-US"/>
        </w:rPr>
        <w:object w:dxaOrig="4760" w:dyaOrig="800">
          <v:shape id="_x0000_i1109" type="#_x0000_t75" style="width:233.3pt;height:39.75pt" o:ole="" fillcolor="window">
            <v:imagedata r:id="rId188" o:title=""/>
          </v:shape>
          <o:OLEObject Type="Embed" ProgID="Equation.3" ShapeID="_x0000_i1109" DrawAspect="Content" ObjectID="_1511604898" r:id="rId189"/>
        </w:object>
      </w:r>
    </w:p>
    <w:p w:rsidR="00CA3B52" w:rsidRPr="00CB6CBA" w:rsidRDefault="00CA3B52" w:rsidP="00CA3B52">
      <w:pPr>
        <w:pStyle w:val="Blanc"/>
      </w:pPr>
    </w:p>
    <w:p w:rsidR="00CA3B52" w:rsidRDefault="00CA3B52" w:rsidP="00F65451">
      <w:pPr>
        <w:rPr>
          <w:lang w:val="en-US"/>
        </w:rPr>
      </w:pPr>
      <w:r w:rsidRPr="00CB6CBA">
        <w:rPr>
          <w:lang w:val="en-US"/>
        </w:rPr>
        <w:t>On the basis of the results obtained, the discount rate for the project may be calculated:</w:t>
      </w:r>
    </w:p>
    <w:p w:rsidR="00CA3B52" w:rsidRPr="002B5AEF" w:rsidRDefault="00CA3B52" w:rsidP="00CA3B52">
      <w:pPr>
        <w:pStyle w:val="Blanc"/>
        <w:rPr>
          <w:lang w:val="en-US"/>
        </w:rPr>
      </w:pPr>
    </w:p>
    <w:p w:rsidR="00CA3B52" w:rsidRPr="00CB6CBA" w:rsidRDefault="00CA3B52" w:rsidP="00F65451">
      <w:pPr>
        <w:pStyle w:val="Equation"/>
        <w:rPr>
          <w:lang w:val="en-US"/>
        </w:rPr>
      </w:pPr>
      <w:r w:rsidRPr="000429F2">
        <w:rPr>
          <w:lang w:val="en-US"/>
        </w:rPr>
        <w:tab/>
      </w:r>
      <w:r w:rsidRPr="000429F2">
        <w:rPr>
          <w:lang w:val="en-US"/>
        </w:rPr>
        <w:tab/>
      </w:r>
      <w:r w:rsidRPr="00CB6CBA">
        <w:rPr>
          <w:position w:val="-14"/>
          <w:sz w:val="20"/>
          <w:lang w:val="en-US"/>
        </w:rPr>
        <w:object w:dxaOrig="1240" w:dyaOrig="400">
          <v:shape id="_x0000_i1110" type="#_x0000_t75" style="width:62.2pt;height:20.55pt" o:ole="" fillcolor="window">
            <v:imagedata r:id="rId190" o:title=""/>
          </v:shape>
          <o:OLEObject Type="Embed" ProgID="Equation.3" ShapeID="_x0000_i1110" DrawAspect="Content" ObjectID="_1511604899" r:id="rId191"/>
        </w:object>
      </w:r>
    </w:p>
    <w:p w:rsidR="00CA3B52" w:rsidRPr="00CB6CBA" w:rsidRDefault="00CA3B52" w:rsidP="00CA3B52">
      <w:pPr>
        <w:pStyle w:val="Blanc"/>
      </w:pPr>
    </w:p>
    <w:p w:rsidR="00CA3B52" w:rsidRPr="00CB6CBA" w:rsidRDefault="00CA3B52" w:rsidP="00F65451">
      <w:pPr>
        <w:rPr>
          <w:lang w:val="en-US"/>
        </w:rPr>
      </w:pPr>
      <w:r w:rsidRPr="00CB6CBA">
        <w:rPr>
          <w:lang w:val="en-US"/>
        </w:rPr>
        <w:t>Discounted income is calculated as an annual amount relative to one dollar of investment in the project.</w:t>
      </w:r>
    </w:p>
    <w:p w:rsidR="00CA3B52" w:rsidRDefault="00CA3B52" w:rsidP="00F65451">
      <w:pPr>
        <w:rPr>
          <w:lang w:val="en-US"/>
        </w:rPr>
      </w:pPr>
      <w:r w:rsidRPr="00CB6CBA">
        <w:rPr>
          <w:lang w:val="en-US"/>
        </w:rPr>
        <w:t xml:space="preserve">The relationship between a cellular mobile network operator’s discounted standard profit and bandwidth </w:t>
      </w:r>
      <w:r w:rsidRPr="00CB6CBA">
        <w:rPr>
          <w:i/>
          <w:iCs/>
          <w:lang w:val="en-US"/>
        </w:rPr>
        <w:t>F</w:t>
      </w:r>
      <w:r w:rsidRPr="00CB6CBA">
        <w:rPr>
          <w:lang w:val="en-US"/>
        </w:rPr>
        <w:t xml:space="preserve">, the number of subscribers served, </w:t>
      </w:r>
      <w:r w:rsidRPr="00CB6CBA">
        <w:rPr>
          <w:i/>
          <w:iCs/>
          <w:lang w:val="en-US"/>
        </w:rPr>
        <w:t>N</w:t>
      </w:r>
      <w:r w:rsidRPr="00CB6CBA">
        <w:rPr>
          <w:i/>
          <w:iCs/>
          <w:vertAlign w:val="subscript"/>
          <w:lang w:val="en-US"/>
        </w:rPr>
        <w:t>a</w:t>
      </w:r>
      <w:r w:rsidRPr="00CB6CBA">
        <w:rPr>
          <w:lang w:val="en-US"/>
        </w:rPr>
        <w:t xml:space="preserve">, and the number of sectors served, </w:t>
      </w:r>
      <w:r w:rsidRPr="00CB6CBA">
        <w:rPr>
          <w:i/>
          <w:iCs/>
          <w:lang w:val="en-US"/>
        </w:rPr>
        <w:t>M</w:t>
      </w:r>
      <w:r w:rsidRPr="00CB6CBA">
        <w:rPr>
          <w:lang w:val="en-US"/>
        </w:rPr>
        <w:t xml:space="preserve">, is shown in Fig. </w:t>
      </w:r>
      <w:r w:rsidRPr="0024702C">
        <w:rPr>
          <w:lang w:val="en-US"/>
        </w:rPr>
        <w:t>12</w:t>
      </w:r>
      <w:r w:rsidRPr="00CB6CBA">
        <w:rPr>
          <w:lang w:val="en-US"/>
        </w:rPr>
        <w:t>. The graph reveals that an operator can make additional profit by using additional bandwidth. When determining the minimum bid, one fundamental principle must be to give operators an incentive to make more efficient use of the radio</w:t>
      </w:r>
      <w:r w:rsidRPr="00CB6CBA">
        <w:rPr>
          <w:lang w:val="en-US"/>
        </w:rPr>
        <w:noBreakHyphen/>
        <w:t>frequency spectrum.</w:t>
      </w:r>
    </w:p>
    <w:p w:rsidR="00CA3B52" w:rsidRPr="00CB6CBA" w:rsidRDefault="00CA3B52" w:rsidP="00CA3B52">
      <w:pPr>
        <w:pStyle w:val="enumlev1"/>
        <w:rPr>
          <w:lang w:val="en-US"/>
        </w:rPr>
      </w:pPr>
      <w:r w:rsidRPr="00CB6CBA">
        <w:rPr>
          <w:lang w:val="en-US"/>
        </w:rPr>
        <w:t>d)</w:t>
      </w:r>
      <w:r w:rsidRPr="00CB6CBA">
        <w:rPr>
          <w:lang w:val="en-US"/>
        </w:rPr>
        <w:tab/>
      </w:r>
      <w:r w:rsidRPr="00CB6CBA">
        <w:rPr>
          <w:i/>
          <w:iCs/>
          <w:lang w:val="en-US"/>
        </w:rPr>
        <w:t>Calculation of the minimum bid</w:t>
      </w:r>
    </w:p>
    <w:p w:rsidR="00CA3B52" w:rsidRPr="00CB6CBA" w:rsidRDefault="00CA3B52" w:rsidP="00CA3B52">
      <w:pPr>
        <w:rPr>
          <w:lang w:val="en-US"/>
        </w:rPr>
      </w:pPr>
      <w:r w:rsidRPr="00CB6CBA">
        <w:rPr>
          <w:lang w:val="en-US"/>
        </w:rPr>
        <w:t xml:space="preserve">Table 20 gives values of minimum bids for GSM cellular mobile network operators calculated according to the described method. It should be pointed out that this example is given as an illustration. In the calculations, the profit standard for an operator set by the State for mobile communication enterprises is </w:t>
      </w:r>
      <w:r w:rsidRPr="00CB6CBA">
        <w:rPr>
          <w:i/>
          <w:iCs/>
          <w:lang w:val="en-US"/>
        </w:rPr>
        <w:t>E</w:t>
      </w:r>
      <w:r w:rsidRPr="00CB6CBA">
        <w:rPr>
          <w:i/>
          <w:iCs/>
          <w:vertAlign w:val="subscript"/>
          <w:lang w:val="en-US"/>
        </w:rPr>
        <w:t>r</w:t>
      </w:r>
      <w:r w:rsidRPr="00CB6CBA">
        <w:rPr>
          <w:lang w:val="en-US"/>
        </w:rPr>
        <w:t> </w:t>
      </w:r>
      <w:r w:rsidRPr="00CB6CBA">
        <w:rPr>
          <w:rFonts w:ascii="Symbol" w:hAnsi="Symbol"/>
          <w:lang w:val="en-US"/>
        </w:rPr>
        <w:t></w:t>
      </w:r>
      <w:r w:rsidRPr="00CB6CBA">
        <w:rPr>
          <w:lang w:val="en-US"/>
        </w:rPr>
        <w:t> 1.25; and six sector antennas are used in each network. It is assumed that operators are allocated a bandwidth of 5 or 10 MHz.</w:t>
      </w:r>
    </w:p>
    <w:p w:rsidR="00CA3B52" w:rsidRDefault="00CA3B52" w:rsidP="00CA3B52">
      <w:pPr>
        <w:keepNext/>
        <w:keepLines/>
        <w:rPr>
          <w:lang w:val="en-US"/>
        </w:rPr>
      </w:pPr>
      <w:r w:rsidRPr="00CB6CBA">
        <w:rPr>
          <w:lang w:val="en-US"/>
        </w:rPr>
        <w:t>The minimum bid is calculated by the equation:</w:t>
      </w:r>
    </w:p>
    <w:p w:rsidR="00CA3B52" w:rsidRPr="00CB6CBA" w:rsidRDefault="00CA3B52" w:rsidP="00CA3B52">
      <w:pPr>
        <w:pStyle w:val="Blanc"/>
      </w:pPr>
    </w:p>
    <w:p w:rsidR="00CA3B52" w:rsidRPr="00CB6CBA" w:rsidRDefault="00CA3B52" w:rsidP="00F65451">
      <w:pPr>
        <w:pStyle w:val="Equation"/>
        <w:keepNext/>
        <w:keepLines/>
        <w:rPr>
          <w:lang w:val="en-US"/>
        </w:rPr>
      </w:pPr>
      <w:r>
        <w:rPr>
          <w:position w:val="-14"/>
          <w:lang w:val="en-US"/>
        </w:rPr>
        <w:tab/>
      </w:r>
      <w:r>
        <w:rPr>
          <w:position w:val="-14"/>
          <w:lang w:val="en-US"/>
        </w:rPr>
        <w:tab/>
      </w:r>
      <w:r w:rsidRPr="00CB6CBA">
        <w:rPr>
          <w:position w:val="-14"/>
          <w:lang w:val="en-US"/>
        </w:rPr>
        <w:object w:dxaOrig="2160" w:dyaOrig="360">
          <v:shape id="_x0000_i1111" type="#_x0000_t75" style="width:108pt;height:19.15pt" o:ole="">
            <v:imagedata r:id="rId192" o:title=""/>
          </v:shape>
          <o:OLEObject Type="Embed" ProgID="Equation.3" ShapeID="_x0000_i1111" DrawAspect="Content" ObjectID="_1511604900" r:id="rId193"/>
        </w:object>
      </w:r>
    </w:p>
    <w:p w:rsidR="00CA3B52" w:rsidRPr="00CB6CBA" w:rsidRDefault="00CA3B52" w:rsidP="00CA3B52">
      <w:pPr>
        <w:pStyle w:val="Blanc"/>
      </w:pPr>
    </w:p>
    <w:p w:rsidR="00CA3B52" w:rsidRPr="00CB6CBA" w:rsidRDefault="00CA3B52" w:rsidP="00CA3B52">
      <w:pPr>
        <w:keepNext/>
        <w:keepLines/>
        <w:rPr>
          <w:lang w:val="en-US"/>
        </w:rPr>
      </w:pPr>
      <w:r w:rsidRPr="00CB6CBA">
        <w:rPr>
          <w:lang w:val="en-US"/>
        </w:rPr>
        <w:t xml:space="preserve">where </w:t>
      </w:r>
      <w:r w:rsidRPr="00CB6CBA">
        <w:rPr>
          <w:i/>
          <w:iCs/>
          <w:lang w:val="en-US"/>
        </w:rPr>
        <w:t>D</w:t>
      </w:r>
      <w:r w:rsidRPr="00CB6CBA">
        <w:rPr>
          <w:i/>
          <w:iCs/>
          <w:vertAlign w:val="subscript"/>
          <w:lang w:val="en-US"/>
        </w:rPr>
        <w:t>pr</w:t>
      </w:r>
      <w:r w:rsidRPr="00CB6CBA">
        <w:rPr>
          <w:lang w:val="en-US"/>
        </w:rPr>
        <w:t xml:space="preserve"> is the net profit of the operator during the licence term.</w:t>
      </w:r>
    </w:p>
    <w:p w:rsidR="00CA3B52" w:rsidRPr="00CB6CBA" w:rsidRDefault="00CA3B52" w:rsidP="00CA3B52">
      <w:pPr>
        <w:pStyle w:val="TableNo"/>
        <w:rPr>
          <w:lang w:val="en-US"/>
        </w:rPr>
      </w:pPr>
      <w:r w:rsidRPr="00CB6CBA">
        <w:rPr>
          <w:lang w:val="en-US"/>
        </w:rPr>
        <w:t>TABLE 20</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CA3B52" w:rsidRPr="00CB6CBA" w:rsidTr="002D1D5C">
        <w:trPr>
          <w:jc w:val="center"/>
        </w:trPr>
        <w:tc>
          <w:tcPr>
            <w:tcW w:w="3402" w:type="dxa"/>
            <w:tcBorders>
              <w:bottom w:val="single" w:sz="2" w:space="0" w:color="auto"/>
            </w:tcBorders>
            <w:vAlign w:val="center"/>
          </w:tcPr>
          <w:p w:rsidR="00CA3B52" w:rsidRPr="00930CD2" w:rsidRDefault="00CA3B52" w:rsidP="00F6545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sidRPr="00930CD2">
              <w:rPr>
                <w:lang w:val="en-US"/>
              </w:rPr>
              <w:t xml:space="preserve">Number of subscribers in network, </w:t>
            </w:r>
            <w:r w:rsidRPr="00930CD2">
              <w:rPr>
                <w:i/>
                <w:iCs/>
                <w:lang w:val="en-US"/>
              </w:rPr>
              <w:t>N</w:t>
            </w:r>
            <w:r w:rsidRPr="00930CD2">
              <w:rPr>
                <w:bCs/>
                <w:i/>
                <w:vertAlign w:val="subscript"/>
                <w:lang w:val="en-US"/>
              </w:rPr>
              <w:t>a</w:t>
            </w:r>
            <w:r w:rsidRPr="00930CD2">
              <w:rPr>
                <w:i/>
                <w:iCs/>
                <w:vertAlign w:val="subscript"/>
                <w:lang w:val="en-US"/>
              </w:rPr>
              <w:t xml:space="preserve"> </w:t>
            </w:r>
            <w:r w:rsidRPr="00930CD2">
              <w:rPr>
                <w:lang w:val="en-US"/>
              </w:rPr>
              <w:t>(persons)</w:t>
            </w:r>
          </w:p>
        </w:tc>
        <w:tc>
          <w:tcPr>
            <w:tcW w:w="1702" w:type="dxa"/>
            <w:gridSpan w:val="2"/>
            <w:tcBorders>
              <w:bottom w:val="single" w:sz="2" w:space="0" w:color="auto"/>
            </w:tcBorders>
            <w:vAlign w:val="center"/>
          </w:tcPr>
          <w:p w:rsidR="00CA3B52" w:rsidRPr="00930CD2" w:rsidRDefault="00CA3B52" w:rsidP="002D1D5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930CD2">
              <w:t>75 000</w:t>
            </w:r>
          </w:p>
        </w:tc>
        <w:tc>
          <w:tcPr>
            <w:tcW w:w="1702" w:type="dxa"/>
            <w:gridSpan w:val="2"/>
            <w:tcBorders>
              <w:bottom w:val="single" w:sz="2" w:space="0" w:color="auto"/>
            </w:tcBorders>
            <w:vAlign w:val="center"/>
          </w:tcPr>
          <w:p w:rsidR="00CA3B52" w:rsidRPr="00930CD2" w:rsidRDefault="00CA3B52" w:rsidP="002D1D5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930CD2">
              <w:t>150 000</w:t>
            </w:r>
          </w:p>
        </w:tc>
        <w:tc>
          <w:tcPr>
            <w:tcW w:w="1702" w:type="dxa"/>
            <w:gridSpan w:val="2"/>
            <w:tcBorders>
              <w:bottom w:val="single" w:sz="2" w:space="0" w:color="auto"/>
            </w:tcBorders>
            <w:vAlign w:val="center"/>
          </w:tcPr>
          <w:p w:rsidR="00CA3B52" w:rsidRPr="00930CD2" w:rsidRDefault="00CA3B52" w:rsidP="002D1D5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930CD2">
              <w:t>300 000</w:t>
            </w:r>
          </w:p>
        </w:tc>
      </w:tr>
      <w:tr w:rsidR="00CA3B52" w:rsidRPr="00CB6CBA" w:rsidTr="002D1D5C">
        <w:trPr>
          <w:jc w:val="center"/>
        </w:trPr>
        <w:tc>
          <w:tcPr>
            <w:tcW w:w="3402" w:type="dxa"/>
            <w:tcBorders>
              <w:top w:val="single" w:sz="2" w:space="0" w:color="auto"/>
              <w:left w:val="single" w:sz="2" w:space="0" w:color="auto"/>
              <w:bottom w:val="single" w:sz="2" w:space="0" w:color="auto"/>
              <w:right w:val="single" w:sz="2" w:space="0" w:color="auto"/>
            </w:tcBorders>
          </w:tcPr>
          <w:p w:rsidR="00CA3B52" w:rsidRPr="00930CD2" w:rsidRDefault="00CA3B52" w:rsidP="00F65451">
            <w:pPr>
              <w:pStyle w:val="Tabletext"/>
              <w:rPr>
                <w:lang w:val="en-US"/>
              </w:rPr>
            </w:pPr>
            <w:r w:rsidRPr="00930CD2">
              <w:rPr>
                <w:lang w:val="en-US"/>
              </w:rPr>
              <w:t>Bandwidth (MHz)</w:t>
            </w:r>
          </w:p>
        </w:tc>
        <w:tc>
          <w:tcPr>
            <w:tcW w:w="851" w:type="dxa"/>
            <w:tcBorders>
              <w:top w:val="single" w:sz="2" w:space="0" w:color="auto"/>
              <w:left w:val="single" w:sz="2" w:space="0" w:color="auto"/>
              <w:bottom w:val="single" w:sz="2" w:space="0" w:color="auto"/>
              <w:right w:val="single" w:sz="2" w:space="0" w:color="auto"/>
            </w:tcBorders>
          </w:tcPr>
          <w:p w:rsidR="00CA3B52" w:rsidRPr="00930CD2" w:rsidRDefault="00CA3B52" w:rsidP="00483A72">
            <w:pPr>
              <w:pStyle w:val="Tabletext"/>
              <w:jc w:val="center"/>
              <w:rPr>
                <w:lang w:val="en-US"/>
              </w:rPr>
            </w:pPr>
            <w:r w:rsidRPr="00930CD2">
              <w:rPr>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CA3B52" w:rsidRPr="00930CD2" w:rsidRDefault="00CA3B52" w:rsidP="00483A72">
            <w:pPr>
              <w:pStyle w:val="Tabletext"/>
              <w:jc w:val="center"/>
              <w:rPr>
                <w:lang w:val="en-US"/>
              </w:rPr>
            </w:pPr>
            <w:r w:rsidRPr="00930CD2">
              <w:rPr>
                <w:szCs w:val="22"/>
                <w:lang w:val="en-US"/>
              </w:rPr>
              <w:t>10</w:t>
            </w:r>
          </w:p>
        </w:tc>
        <w:tc>
          <w:tcPr>
            <w:tcW w:w="851" w:type="dxa"/>
            <w:tcBorders>
              <w:top w:val="single" w:sz="2" w:space="0" w:color="auto"/>
              <w:left w:val="single" w:sz="2" w:space="0" w:color="auto"/>
              <w:bottom w:val="single" w:sz="2" w:space="0" w:color="auto"/>
              <w:right w:val="single" w:sz="2" w:space="0" w:color="auto"/>
            </w:tcBorders>
          </w:tcPr>
          <w:p w:rsidR="00CA3B52" w:rsidRPr="00930CD2" w:rsidRDefault="00CA3B52" w:rsidP="00483A72">
            <w:pPr>
              <w:pStyle w:val="Tabletext"/>
              <w:jc w:val="center"/>
              <w:rPr>
                <w:lang w:val="en-US"/>
              </w:rPr>
            </w:pPr>
            <w:r w:rsidRPr="00930CD2">
              <w:rPr>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CA3B52" w:rsidRPr="00930CD2" w:rsidRDefault="00CA3B52" w:rsidP="00483A72">
            <w:pPr>
              <w:pStyle w:val="Tabletext"/>
              <w:jc w:val="center"/>
              <w:rPr>
                <w:lang w:val="en-US"/>
              </w:rPr>
            </w:pPr>
            <w:r w:rsidRPr="00930CD2">
              <w:rPr>
                <w:szCs w:val="22"/>
                <w:lang w:val="en-US"/>
              </w:rPr>
              <w:t>10</w:t>
            </w:r>
          </w:p>
        </w:tc>
        <w:tc>
          <w:tcPr>
            <w:tcW w:w="851" w:type="dxa"/>
            <w:tcBorders>
              <w:top w:val="single" w:sz="2" w:space="0" w:color="auto"/>
              <w:left w:val="single" w:sz="2" w:space="0" w:color="auto"/>
              <w:bottom w:val="single" w:sz="2" w:space="0" w:color="auto"/>
              <w:right w:val="single" w:sz="2" w:space="0" w:color="auto"/>
            </w:tcBorders>
          </w:tcPr>
          <w:p w:rsidR="00CA3B52" w:rsidRPr="00930CD2" w:rsidRDefault="00CA3B52" w:rsidP="00483A72">
            <w:pPr>
              <w:pStyle w:val="Tabletext"/>
              <w:jc w:val="center"/>
              <w:rPr>
                <w:lang w:val="en-US"/>
              </w:rPr>
            </w:pPr>
            <w:r w:rsidRPr="00930CD2">
              <w:rPr>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CA3B52" w:rsidRPr="00930CD2" w:rsidRDefault="00CA3B52" w:rsidP="00483A72">
            <w:pPr>
              <w:pStyle w:val="Tabletext"/>
              <w:jc w:val="center"/>
              <w:rPr>
                <w:lang w:val="en-US"/>
              </w:rPr>
            </w:pPr>
            <w:r w:rsidRPr="00930CD2">
              <w:rPr>
                <w:szCs w:val="22"/>
                <w:lang w:val="en-US"/>
              </w:rPr>
              <w:t>10</w:t>
            </w:r>
          </w:p>
        </w:tc>
      </w:tr>
      <w:tr w:rsidR="00CA3B52" w:rsidRPr="00CB6CBA" w:rsidTr="002D1D5C">
        <w:trPr>
          <w:jc w:val="center"/>
        </w:trPr>
        <w:tc>
          <w:tcPr>
            <w:tcW w:w="3402" w:type="dxa"/>
            <w:tcBorders>
              <w:top w:val="single" w:sz="2" w:space="0" w:color="auto"/>
              <w:left w:val="single" w:sz="2" w:space="0" w:color="auto"/>
              <w:bottom w:val="single" w:sz="2" w:space="0" w:color="auto"/>
              <w:right w:val="single" w:sz="2" w:space="0" w:color="auto"/>
            </w:tcBorders>
          </w:tcPr>
          <w:p w:rsidR="00CA3B52" w:rsidRPr="00930CD2" w:rsidRDefault="00CA3B52" w:rsidP="00F65451">
            <w:pPr>
              <w:pStyle w:val="Tabletext"/>
              <w:rPr>
                <w:lang w:val="en-US"/>
              </w:rPr>
            </w:pPr>
            <w:r w:rsidRPr="00930CD2">
              <w:rPr>
                <w:i/>
                <w:iCs/>
                <w:lang w:val="en-US"/>
              </w:rPr>
              <w:t>T</w:t>
            </w:r>
            <w:r w:rsidRPr="00930CD2">
              <w:rPr>
                <w:lang w:val="en-US"/>
              </w:rPr>
              <w:t xml:space="preserve"> (millions of USD)</w:t>
            </w:r>
          </w:p>
        </w:tc>
        <w:tc>
          <w:tcPr>
            <w:tcW w:w="851" w:type="dxa"/>
            <w:tcBorders>
              <w:top w:val="single" w:sz="2" w:space="0" w:color="auto"/>
              <w:left w:val="single" w:sz="2" w:space="0" w:color="auto"/>
              <w:bottom w:val="single" w:sz="2" w:space="0" w:color="auto"/>
              <w:right w:val="single" w:sz="2" w:space="0" w:color="auto"/>
            </w:tcBorders>
          </w:tcPr>
          <w:p w:rsidR="00CA3B52" w:rsidRPr="00930CD2" w:rsidRDefault="00CA3B52" w:rsidP="00483A72">
            <w:pPr>
              <w:pStyle w:val="Tabletext"/>
              <w:jc w:val="center"/>
              <w:rPr>
                <w:lang w:val="en-US"/>
              </w:rPr>
            </w:pPr>
            <w:r w:rsidRPr="00930CD2">
              <w:rPr>
                <w:szCs w:val="22"/>
                <w:lang w:val="en-US"/>
              </w:rPr>
              <w:t>1.08</w:t>
            </w:r>
          </w:p>
        </w:tc>
        <w:tc>
          <w:tcPr>
            <w:tcW w:w="851" w:type="dxa"/>
            <w:tcBorders>
              <w:top w:val="single" w:sz="2" w:space="0" w:color="auto"/>
              <w:left w:val="single" w:sz="2" w:space="0" w:color="auto"/>
              <w:bottom w:val="single" w:sz="2" w:space="0" w:color="auto"/>
              <w:right w:val="single" w:sz="2" w:space="0" w:color="auto"/>
            </w:tcBorders>
          </w:tcPr>
          <w:p w:rsidR="00CA3B52" w:rsidRPr="00930CD2" w:rsidRDefault="00CA3B52" w:rsidP="00483A72">
            <w:pPr>
              <w:pStyle w:val="Tabletext"/>
              <w:jc w:val="center"/>
              <w:rPr>
                <w:lang w:val="en-US"/>
              </w:rPr>
            </w:pPr>
            <w:r w:rsidRPr="00930CD2">
              <w:rPr>
                <w:szCs w:val="22"/>
                <w:lang w:val="en-US"/>
              </w:rPr>
              <w:t>1.68</w:t>
            </w:r>
          </w:p>
        </w:tc>
        <w:tc>
          <w:tcPr>
            <w:tcW w:w="851" w:type="dxa"/>
            <w:tcBorders>
              <w:top w:val="single" w:sz="2" w:space="0" w:color="auto"/>
              <w:left w:val="single" w:sz="2" w:space="0" w:color="auto"/>
              <w:bottom w:val="single" w:sz="2" w:space="0" w:color="auto"/>
              <w:right w:val="single" w:sz="2" w:space="0" w:color="auto"/>
            </w:tcBorders>
          </w:tcPr>
          <w:p w:rsidR="00CA3B52" w:rsidRPr="00930CD2" w:rsidRDefault="00CA3B52" w:rsidP="00483A72">
            <w:pPr>
              <w:pStyle w:val="Tabletext"/>
              <w:jc w:val="center"/>
              <w:rPr>
                <w:lang w:val="en-US"/>
              </w:rPr>
            </w:pPr>
            <w:r w:rsidRPr="00930CD2">
              <w:rPr>
                <w:szCs w:val="22"/>
                <w:lang w:val="en-US"/>
              </w:rPr>
              <w:t>0.93</w:t>
            </w:r>
          </w:p>
        </w:tc>
        <w:tc>
          <w:tcPr>
            <w:tcW w:w="851" w:type="dxa"/>
            <w:tcBorders>
              <w:top w:val="single" w:sz="2" w:space="0" w:color="auto"/>
              <w:left w:val="single" w:sz="2" w:space="0" w:color="auto"/>
              <w:bottom w:val="single" w:sz="2" w:space="0" w:color="auto"/>
              <w:right w:val="single" w:sz="2" w:space="0" w:color="auto"/>
            </w:tcBorders>
          </w:tcPr>
          <w:p w:rsidR="00CA3B52" w:rsidRPr="00930CD2" w:rsidRDefault="00CA3B52" w:rsidP="00483A72">
            <w:pPr>
              <w:pStyle w:val="Tabletext"/>
              <w:jc w:val="center"/>
              <w:rPr>
                <w:lang w:val="en-US"/>
              </w:rPr>
            </w:pPr>
            <w:r w:rsidRPr="00930CD2">
              <w:rPr>
                <w:szCs w:val="22"/>
                <w:lang w:val="en-US"/>
              </w:rPr>
              <w:t>2.1</w:t>
            </w:r>
          </w:p>
        </w:tc>
        <w:tc>
          <w:tcPr>
            <w:tcW w:w="851" w:type="dxa"/>
            <w:tcBorders>
              <w:top w:val="single" w:sz="2" w:space="0" w:color="auto"/>
              <w:left w:val="single" w:sz="2" w:space="0" w:color="auto"/>
              <w:bottom w:val="single" w:sz="2" w:space="0" w:color="auto"/>
              <w:right w:val="single" w:sz="2" w:space="0" w:color="auto"/>
            </w:tcBorders>
          </w:tcPr>
          <w:p w:rsidR="00CA3B52" w:rsidRPr="00930CD2" w:rsidRDefault="00CA3B52" w:rsidP="00483A72">
            <w:pPr>
              <w:pStyle w:val="Tabletext"/>
              <w:jc w:val="center"/>
              <w:rPr>
                <w:lang w:val="en-US"/>
              </w:rPr>
            </w:pPr>
            <w:r w:rsidRPr="00930CD2">
              <w:rPr>
                <w:szCs w:val="22"/>
                <w:lang w:val="en-US"/>
              </w:rPr>
              <w:t>0</w:t>
            </w:r>
          </w:p>
        </w:tc>
        <w:tc>
          <w:tcPr>
            <w:tcW w:w="851" w:type="dxa"/>
            <w:tcBorders>
              <w:top w:val="single" w:sz="2" w:space="0" w:color="auto"/>
              <w:left w:val="single" w:sz="2" w:space="0" w:color="auto"/>
              <w:bottom w:val="single" w:sz="2" w:space="0" w:color="auto"/>
              <w:right w:val="single" w:sz="2" w:space="0" w:color="auto"/>
            </w:tcBorders>
          </w:tcPr>
          <w:p w:rsidR="00CA3B52" w:rsidRPr="00930CD2" w:rsidRDefault="00CA3B52" w:rsidP="00483A72">
            <w:pPr>
              <w:pStyle w:val="Tabletext"/>
              <w:jc w:val="center"/>
              <w:rPr>
                <w:lang w:val="en-US"/>
              </w:rPr>
            </w:pPr>
            <w:r w:rsidRPr="00930CD2">
              <w:rPr>
                <w:szCs w:val="22"/>
                <w:lang w:val="en-US"/>
              </w:rPr>
              <w:t>1.73</w:t>
            </w:r>
          </w:p>
        </w:tc>
      </w:tr>
      <w:tr w:rsidR="00CA3B52" w:rsidRPr="00F65451" w:rsidTr="002D1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8" w:type="dxa"/>
            <w:gridSpan w:val="7"/>
            <w:tcBorders>
              <w:top w:val="single" w:sz="2" w:space="0" w:color="auto"/>
            </w:tcBorders>
          </w:tcPr>
          <w:p w:rsidR="00CA3B52" w:rsidRPr="00930CD2" w:rsidRDefault="00CA3B52" w:rsidP="00483A72">
            <w:pPr>
              <w:pStyle w:val="TableLegendNote"/>
            </w:pPr>
            <w:r w:rsidRPr="00930CD2">
              <w:t>NOTE 1 – The values of minimum bids should be refined on the basis of a market analysis for each specific case.</w:t>
            </w:r>
          </w:p>
        </w:tc>
      </w:tr>
    </w:tbl>
    <w:p w:rsidR="00CA3B52" w:rsidRPr="00CB6CBA" w:rsidRDefault="00CA3B52" w:rsidP="00CA3B52">
      <w:pPr>
        <w:pStyle w:val="Tablefin"/>
        <w:rPr>
          <w:lang w:val="en-US"/>
        </w:rPr>
      </w:pPr>
    </w:p>
    <w:p w:rsidR="00CA3B52" w:rsidRDefault="00CA3B52" w:rsidP="00CA3B52">
      <w:pPr>
        <w:pStyle w:val="FigureNo"/>
        <w:rPr>
          <w:lang w:val="en-US"/>
        </w:rPr>
      </w:pPr>
      <w:r>
        <w:rPr>
          <w:lang w:val="en-US"/>
        </w:rPr>
        <w:lastRenderedPageBreak/>
        <w:t>figure 12</w:t>
      </w:r>
    </w:p>
    <w:p w:rsidR="00CA3B52" w:rsidRDefault="00CA3B52" w:rsidP="00CA3B52">
      <w:pPr>
        <w:pStyle w:val="Figuretitle"/>
        <w:rPr>
          <w:lang w:val="en-US"/>
        </w:rPr>
      </w:pPr>
      <w:r>
        <w:rPr>
          <w:lang w:val="en-US"/>
        </w:rPr>
        <w:t>Profitability index vs. bandwidth</w:t>
      </w:r>
    </w:p>
    <w:p w:rsidR="00CA3B52" w:rsidRPr="00930CD2" w:rsidRDefault="00CA3B52" w:rsidP="00CA3B52">
      <w:pPr>
        <w:pStyle w:val="Figure"/>
        <w:rPr>
          <w:lang w:val="en-US"/>
        </w:rPr>
      </w:pPr>
      <w:r>
        <w:rPr>
          <w:lang w:val="en-US"/>
        </w:rPr>
        <w:object w:dxaOrig="6814" w:dyaOrig="9598">
          <v:shape id="_x0000_i1112" type="#_x0000_t75" style="width:346.45pt;height:489.05pt" o:ole="">
            <v:imagedata r:id="rId194" o:title=""/>
          </v:shape>
          <o:OLEObject Type="Embed" ProgID="CorelDRAW.Graphic.14" ShapeID="_x0000_i1112" DrawAspect="Content" ObjectID="_1511604901" r:id="rId195"/>
        </w:object>
      </w:r>
    </w:p>
    <w:p w:rsidR="00CA3B52" w:rsidRPr="00930CD2" w:rsidRDefault="00CA3B52" w:rsidP="00483A72">
      <w:pPr>
        <w:pStyle w:val="Tablefin"/>
      </w:pPr>
    </w:p>
    <w:p w:rsidR="00CA3B52" w:rsidRPr="00CB6CBA" w:rsidRDefault="00CA3B52" w:rsidP="00CA3B52">
      <w:pPr>
        <w:pStyle w:val="Heading3"/>
        <w:rPr>
          <w:lang w:val="en-US"/>
        </w:rPr>
      </w:pPr>
      <w:bookmarkStart w:id="1535" w:name="_Toc459746730"/>
      <w:bookmarkStart w:id="1536" w:name="_Toc459792660"/>
      <w:bookmarkStart w:id="1537" w:name="_Toc459793826"/>
      <w:bookmarkStart w:id="1538" w:name="_Toc459793968"/>
      <w:bookmarkStart w:id="1539" w:name="_Toc459970429"/>
      <w:bookmarkStart w:id="1540" w:name="_Toc497033200"/>
      <w:bookmarkStart w:id="1541" w:name="_Toc497033998"/>
      <w:bookmarkStart w:id="1542" w:name="_Toc289868858"/>
      <w:bookmarkStart w:id="1543" w:name="_Toc289869018"/>
      <w:bookmarkStart w:id="1544" w:name="_Toc289932326"/>
      <w:bookmarkStart w:id="1545" w:name="_Toc289933372"/>
      <w:bookmarkStart w:id="1546" w:name="_Toc291852935"/>
      <w:bookmarkStart w:id="1547" w:name="_Toc392515919"/>
      <w:r w:rsidRPr="00CB6CBA">
        <w:rPr>
          <w:lang w:val="en-US"/>
        </w:rPr>
        <w:t>5.1.4</w:t>
      </w:r>
      <w:r w:rsidRPr="00CB6CBA">
        <w:rPr>
          <w:lang w:val="en-US"/>
        </w:rPr>
        <w:tab/>
        <w:t>New Zealand</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rsidR="00CA3B52" w:rsidRPr="00CB6CBA" w:rsidRDefault="00CA3B52" w:rsidP="00CA3B52">
      <w:pPr>
        <w:rPr>
          <w:lang w:val="en-US"/>
        </w:rPr>
      </w:pPr>
      <w:r w:rsidRPr="00CB6CBA">
        <w:rPr>
          <w:lang w:val="en-US"/>
        </w:rPr>
        <w:t>Most administrations that have begun applying market based approaches continue to allocate spectrum based on consideration of national priorities, and have applied market approaches only to licensing within an agreed allocation. New Zealand, however, has applied a broader market based approach to use of some frequency bands where the impact is limited to a national, rather than an international, scale.</w:t>
      </w:r>
    </w:p>
    <w:p w:rsidR="00CA3B52" w:rsidRPr="0024702C" w:rsidRDefault="00CA3B52" w:rsidP="00CA3B52">
      <w:pPr>
        <w:rPr>
          <w:color w:val="333333"/>
          <w:lang w:val="en-US"/>
        </w:rPr>
      </w:pPr>
      <w:r w:rsidRPr="0024702C">
        <w:rPr>
          <w:color w:val="333333"/>
          <w:lang w:val="en-US"/>
        </w:rPr>
        <w:t xml:space="preserve">The </w:t>
      </w:r>
      <w:r w:rsidRPr="00F65451">
        <w:rPr>
          <w:lang w:val="en-US"/>
        </w:rPr>
        <w:t>Radiocommunications Act 1989</w:t>
      </w:r>
      <w:r w:rsidRPr="0024702C">
        <w:rPr>
          <w:color w:val="333333"/>
          <w:lang w:val="en-US"/>
        </w:rPr>
        <w:t xml:space="preserve"> heralded a new era for the management of the radio spectrum in New Zealand. This Act enabled the creation of property rights for spectrum and also the use of market driven allocation mechanisms for the distribution of the newly created rights. The Act does not specific any particular allocation mechanism. Radio spectrum was initially sold using second </w:t>
      </w:r>
      <w:r w:rsidRPr="0024702C">
        <w:rPr>
          <w:color w:val="333333"/>
          <w:lang w:val="en-US"/>
        </w:rPr>
        <w:lastRenderedPageBreak/>
        <w:t>price then first price tender systems; however in 1996 an Internet based computer system was developed for the sale of spectrum by auction.</w:t>
      </w:r>
    </w:p>
    <w:p w:rsidR="00CA3B52" w:rsidRPr="00CB6CBA" w:rsidRDefault="00CA3B52" w:rsidP="00CA3B52">
      <w:pPr>
        <w:rPr>
          <w:lang w:val="en-US"/>
        </w:rPr>
      </w:pPr>
      <w:r w:rsidRPr="0024702C">
        <w:rPr>
          <w:color w:val="333333"/>
          <w:szCs w:val="24"/>
          <w:lang w:val="en-US"/>
        </w:rPr>
        <w:t>The auction process currently used by the Ministry is a simultaneous ascending auction. This type of auction involves making all lots available for bidding at the same time. The auction takes place over a number of rounds of a specific duration (say 30 min), until no further bidding takes place on the lots being offered.</w:t>
      </w:r>
      <w:r w:rsidRPr="0024702C">
        <w:rPr>
          <w:color w:val="333333"/>
          <w:lang w:val="en-US"/>
        </w:rPr>
        <w:t xml:space="preserve"> </w:t>
      </w:r>
      <w:r w:rsidRPr="0024702C">
        <w:rPr>
          <w:color w:val="333333"/>
          <w:szCs w:val="24"/>
          <w:lang w:val="en-US"/>
        </w:rPr>
        <w:t>This type of auction allows bidders who wish to purchase specific combination of lots to take a part in the auction. Advantages of this type of auction are that bidders obtain full market information and are able to determine their level of success on any combination of lots at any time during the auction.</w:t>
      </w:r>
      <w:r w:rsidRPr="0024702C">
        <w:rPr>
          <w:color w:val="333333"/>
          <w:lang w:val="en-US"/>
        </w:rPr>
        <w:t xml:space="preserve"> </w:t>
      </w:r>
      <w:r w:rsidRPr="0024702C">
        <w:rPr>
          <w:color w:val="333333"/>
          <w:szCs w:val="24"/>
          <w:lang w:val="en-US"/>
        </w:rPr>
        <w:t>In developing the auction mechanism, the Ministry contracted a private company to help develop software that would allow the operation of radio spectrum auctions over the Internet.</w:t>
      </w:r>
      <w:r w:rsidRPr="0024702C">
        <w:rPr>
          <w:color w:val="333333"/>
          <w:lang w:val="en-US"/>
        </w:rPr>
        <w:t xml:space="preserve"> </w:t>
      </w:r>
      <w:r w:rsidRPr="0024702C">
        <w:rPr>
          <w:color w:val="333333"/>
          <w:szCs w:val="24"/>
          <w:lang w:val="en-US"/>
        </w:rPr>
        <w:t>Use of the Internet allows bidders to purchase radio spectrum from their own offices using current web browser technology.</w:t>
      </w:r>
      <w:r w:rsidRPr="0024702C">
        <w:rPr>
          <w:color w:val="333333"/>
          <w:lang w:val="en-US"/>
        </w:rPr>
        <w:t xml:space="preserve"> </w:t>
      </w:r>
      <w:r w:rsidRPr="0024702C">
        <w:rPr>
          <w:color w:val="333333"/>
          <w:szCs w:val="24"/>
          <w:lang w:val="en-US"/>
        </w:rPr>
        <w:t>The Ministry has produced the report Spectrum Auction Design in New Zealand. The report outlines how New Zealand has competitively allocated radio spectrum, factors pertinent to auction design and alternative options for competitive allocation. The Ministry will take into account the findings of the report when designing future auctions</w:t>
      </w:r>
      <w:r w:rsidRPr="0024702C">
        <w:rPr>
          <w:color w:val="333333"/>
          <w:lang w:val="en-US"/>
        </w:rPr>
        <w:t>.</w:t>
      </w:r>
    </w:p>
    <w:p w:rsidR="00CA3B52" w:rsidRPr="00CB6CBA" w:rsidRDefault="00CA3B52" w:rsidP="00CA3B52">
      <w:pPr>
        <w:pStyle w:val="Heading3"/>
        <w:rPr>
          <w:lang w:val="en-US"/>
        </w:rPr>
      </w:pPr>
      <w:bookmarkStart w:id="1548" w:name="_Toc459746731"/>
      <w:bookmarkStart w:id="1549" w:name="_Toc459792661"/>
      <w:bookmarkStart w:id="1550" w:name="_Toc459793827"/>
      <w:bookmarkStart w:id="1551" w:name="_Toc459793969"/>
      <w:bookmarkStart w:id="1552" w:name="_Toc459970430"/>
      <w:bookmarkStart w:id="1553" w:name="_Toc497033201"/>
      <w:bookmarkStart w:id="1554" w:name="_Toc497033999"/>
      <w:bookmarkStart w:id="1555" w:name="_Toc289868859"/>
      <w:bookmarkStart w:id="1556" w:name="_Toc289869019"/>
      <w:bookmarkStart w:id="1557" w:name="_Toc289932327"/>
      <w:bookmarkStart w:id="1558" w:name="_Toc289933373"/>
      <w:bookmarkStart w:id="1559" w:name="_Toc291852936"/>
      <w:bookmarkStart w:id="1560" w:name="_Toc392515920"/>
      <w:r w:rsidRPr="00CB6CBA">
        <w:rPr>
          <w:lang w:val="en-US"/>
        </w:rPr>
        <w:t>5.1.5</w:t>
      </w:r>
      <w:r w:rsidRPr="00CB6CBA">
        <w:rPr>
          <w:lang w:val="en-US"/>
        </w:rPr>
        <w:tab/>
        <w:t>United States</w:t>
      </w:r>
      <w:bookmarkEnd w:id="1548"/>
      <w:bookmarkEnd w:id="1549"/>
      <w:bookmarkEnd w:id="1550"/>
      <w:bookmarkEnd w:id="1551"/>
      <w:bookmarkEnd w:id="1552"/>
      <w:bookmarkEnd w:id="1553"/>
      <w:bookmarkEnd w:id="1554"/>
      <w:r w:rsidRPr="00CB6CBA">
        <w:rPr>
          <w:lang w:val="en-US"/>
        </w:rPr>
        <w:t xml:space="preserve"> of America</w:t>
      </w:r>
      <w:bookmarkEnd w:id="1555"/>
      <w:bookmarkEnd w:id="1556"/>
      <w:bookmarkEnd w:id="1557"/>
      <w:bookmarkEnd w:id="1558"/>
      <w:bookmarkEnd w:id="1559"/>
      <w:bookmarkEnd w:id="1560"/>
    </w:p>
    <w:p w:rsidR="00CA3B52" w:rsidRPr="00CB6CBA" w:rsidRDefault="00CA3B52" w:rsidP="00CA3B52">
      <w:pPr>
        <w:pStyle w:val="Heading4"/>
        <w:rPr>
          <w:lang w:val="en-US"/>
        </w:rPr>
      </w:pPr>
      <w:bookmarkStart w:id="1561" w:name="_Toc391269579"/>
      <w:bookmarkStart w:id="1562" w:name="_Toc459746732"/>
      <w:bookmarkStart w:id="1563" w:name="_Toc497033202"/>
      <w:bookmarkStart w:id="1564" w:name="_Toc497034000"/>
      <w:r w:rsidRPr="00CB6CBA">
        <w:rPr>
          <w:lang w:val="en-US"/>
        </w:rPr>
        <w:t>5.1.5.1</w:t>
      </w:r>
      <w:r w:rsidRPr="00CB6CBA">
        <w:rPr>
          <w:lang w:val="en-US"/>
        </w:rPr>
        <w:tab/>
        <w:t>Authority</w:t>
      </w:r>
      <w:bookmarkEnd w:id="1561"/>
      <w:bookmarkEnd w:id="1562"/>
      <w:bookmarkEnd w:id="1563"/>
      <w:bookmarkEnd w:id="1564"/>
    </w:p>
    <w:p w:rsidR="00CA3B52" w:rsidRDefault="00CA3B52" w:rsidP="00CA3B52">
      <w:pPr>
        <w:rPr>
          <w:lang w:val="en-US"/>
        </w:rPr>
      </w:pPr>
      <w:r w:rsidRPr="00CB6CBA">
        <w:rPr>
          <w:lang w:val="en-US"/>
        </w:rPr>
        <w:t>In the United States of America, spectrum management functions are divided between the Federal Communications Commission (FCC) and the National Telecommunications and Information Administration (NTIA). The FCC is tasked with managing non-Federal Government use of spectrum, including use by the private sector and local and state governments. The NTIA is authorized to manage Federal Government agencies’ spectrum use, including the military. The U.S. Congress gave the FCC authority to issue licences via auctions in 1993. This authority is limited to using competitive bidding in instances where mutually exclusive applications have been received and where the principal use of the spectrum is reasonably likely to involve the receipt by the licensee of fees from subscribers in return for enabling those subscribers to receive or transmit communications signals. In granting the FCC auction authority the U.S. Congress sought to promote the following objectives:</w:t>
      </w:r>
      <w:r w:rsidRPr="002B5AEF">
        <w:rPr>
          <w:lang w:val="en-US"/>
        </w:rPr>
        <w:t xml:space="preserve"> </w:t>
      </w:r>
    </w:p>
    <w:p w:rsidR="00CA3B52" w:rsidRPr="00CB6CBA" w:rsidRDefault="00CA3B52" w:rsidP="00CA3B52">
      <w:pPr>
        <w:pStyle w:val="enumlev1"/>
        <w:rPr>
          <w:lang w:val="en-US"/>
        </w:rPr>
      </w:pPr>
      <w:r w:rsidRPr="00CB6CBA">
        <w:rPr>
          <w:lang w:val="en-US"/>
        </w:rPr>
        <w:t>“(1)</w:t>
      </w:r>
      <w:r w:rsidRPr="00CB6CBA">
        <w:rPr>
          <w:lang w:val="en-US"/>
        </w:rPr>
        <w:tab/>
        <w:t>the development and rapid deployment of new technologies, products, and services for the benefit of the public, including those residing in rural areas, without administrative or judicial delays;</w:t>
      </w:r>
    </w:p>
    <w:p w:rsidR="00CA3B52" w:rsidRPr="00CB6CBA" w:rsidRDefault="00CA3B52" w:rsidP="00CA3B52">
      <w:pPr>
        <w:pStyle w:val="enumlev1"/>
        <w:rPr>
          <w:lang w:val="en-US"/>
        </w:rPr>
      </w:pPr>
      <w:r w:rsidRPr="00CB6CBA">
        <w:rPr>
          <w:lang w:val="en-US"/>
        </w:rPr>
        <w:t>(2)</w:t>
      </w:r>
      <w:r w:rsidRPr="00CB6CBA">
        <w:rPr>
          <w:lang w:val="en-US"/>
        </w:rPr>
        <w:tab/>
        <w:t>promoting economic opportunity and competition and ensuring that new and innovative technologies are readily accessible to the American people by avoiding excessive concentration of licences and by disseminating licences among a wide variety of applicants, including small businesses, rural telephone companies, and businesses owned by members of minority groups and women;</w:t>
      </w:r>
    </w:p>
    <w:p w:rsidR="00CA3B52" w:rsidRPr="00CB6CBA" w:rsidRDefault="00CA3B52" w:rsidP="00CA3B52">
      <w:pPr>
        <w:pStyle w:val="enumlev1"/>
        <w:rPr>
          <w:lang w:val="en-US"/>
        </w:rPr>
      </w:pPr>
      <w:r w:rsidRPr="00CB6CBA">
        <w:rPr>
          <w:lang w:val="en-US"/>
        </w:rPr>
        <w:t>(3)</w:t>
      </w:r>
      <w:r w:rsidRPr="00CB6CBA">
        <w:rPr>
          <w:lang w:val="en-US"/>
        </w:rPr>
        <w:tab/>
        <w:t xml:space="preserve">recovery for the public of a portion of the value of the public spectrum resource made available for commercial use and avoidance of unjust enrichment through the methods employed to award uses of that resource; </w:t>
      </w:r>
    </w:p>
    <w:p w:rsidR="00CA3B52" w:rsidRPr="00CB6CBA" w:rsidRDefault="00CA3B52" w:rsidP="00CA3B52">
      <w:pPr>
        <w:pStyle w:val="enumlev1"/>
        <w:rPr>
          <w:lang w:val="en-US"/>
        </w:rPr>
      </w:pPr>
      <w:r w:rsidRPr="00CB6CBA">
        <w:rPr>
          <w:lang w:val="en-US"/>
        </w:rPr>
        <w:t>(4)</w:t>
      </w:r>
      <w:r w:rsidRPr="00CB6CBA">
        <w:rPr>
          <w:lang w:val="en-US"/>
        </w:rPr>
        <w:tab/>
        <w:t>efficient and intensive use of the electromagnetic spectrum.”</w:t>
      </w:r>
    </w:p>
    <w:p w:rsidR="00CA3B52" w:rsidRPr="00CB6CBA" w:rsidRDefault="00CA3B52" w:rsidP="00CA3B52">
      <w:pPr>
        <w:rPr>
          <w:lang w:val="en-US"/>
        </w:rPr>
      </w:pPr>
      <w:r w:rsidRPr="00CB6CBA">
        <w:rPr>
          <w:lang w:val="en-US"/>
        </w:rPr>
        <w:t>In granting authority to use competitive bidding, the U.S. Congress also specified that the use of competitive bidding:</w:t>
      </w:r>
    </w:p>
    <w:p w:rsidR="00CA3B52" w:rsidRPr="00CB6CBA" w:rsidRDefault="00CA3B52" w:rsidP="00CA3B52">
      <w:pPr>
        <w:pStyle w:val="enumlev1"/>
        <w:rPr>
          <w:lang w:val="en-US"/>
        </w:rPr>
      </w:pPr>
      <w:r w:rsidRPr="00CB6CBA">
        <w:rPr>
          <w:lang w:val="en-US"/>
        </w:rPr>
        <w:t>“(1)</w:t>
      </w:r>
      <w:r w:rsidRPr="00CB6CBA">
        <w:rPr>
          <w:lang w:val="en-US"/>
        </w:rPr>
        <w:tab/>
        <w:t>shall not alter spectrum allocation criteria and procedures;</w:t>
      </w:r>
    </w:p>
    <w:p w:rsidR="00CA3B52" w:rsidRPr="00CB6CBA" w:rsidRDefault="00CA3B52" w:rsidP="00CA3B52">
      <w:pPr>
        <w:pStyle w:val="enumlev1"/>
        <w:rPr>
          <w:lang w:val="en-US"/>
        </w:rPr>
      </w:pPr>
      <w:r w:rsidRPr="00CB6CBA">
        <w:rPr>
          <w:lang w:val="en-US"/>
        </w:rPr>
        <w:t>(2)</w:t>
      </w:r>
      <w:r w:rsidRPr="00CB6CBA">
        <w:rPr>
          <w:lang w:val="en-US"/>
        </w:rPr>
        <w:tab/>
        <w:t>shall not be construed to relieve the FCC of the obligation in the public interest to continue to use engineering solutions, negotiation, threshold qualifications, service regulations, and other means in order to avoid mutual exclusivity in application and licensing proceedings.”</w:t>
      </w:r>
    </w:p>
    <w:p w:rsidR="00CA3B52" w:rsidRPr="00CB6CBA" w:rsidRDefault="00CA3B52" w:rsidP="00CA3B52">
      <w:pPr>
        <w:rPr>
          <w:lang w:val="en-US"/>
        </w:rPr>
      </w:pPr>
      <w:r w:rsidRPr="00CB6CBA">
        <w:rPr>
          <w:lang w:val="en-US"/>
        </w:rPr>
        <w:lastRenderedPageBreak/>
        <w:t>The U.S. Congress further specified that the FCC cannot make allocation or service decisions based on the expectation of public revenue from auctions.</w:t>
      </w:r>
    </w:p>
    <w:p w:rsidR="00CA3B52" w:rsidRPr="00CB6CBA" w:rsidRDefault="00CA3B52" w:rsidP="00CA3B52">
      <w:pPr>
        <w:rPr>
          <w:lang w:val="en-US"/>
        </w:rPr>
      </w:pPr>
      <w:r w:rsidRPr="00CB6CBA">
        <w:rPr>
          <w:lang w:val="en-US"/>
        </w:rPr>
        <w:t>The majority of the proceeds from auctions conducted by the FCC are deposited in the general U.S. treasury. The FCC is permitted to retain only that portion of the auction proceeds necessary to pay for the cost of holding the auctions. This portion is well under 1% of the revenues generated by auctions. Generally, the licences that have been issued pursuant to auction are for a ten-year period, and it is intended that after this period the licence would be renewed if the licensee has complied with applicable FCC rules and has provided substantial service.</w:t>
      </w:r>
    </w:p>
    <w:p w:rsidR="00CA3B52" w:rsidRPr="00CB6CBA" w:rsidRDefault="00CA3B52" w:rsidP="00CA3B52">
      <w:pPr>
        <w:rPr>
          <w:lang w:val="en-US"/>
        </w:rPr>
      </w:pPr>
      <w:r w:rsidRPr="00CB6CBA">
        <w:rPr>
          <w:lang w:val="en-US"/>
        </w:rPr>
        <w:t>The following are services that have been licensed in the United States of America pursuant to auctions.</w:t>
      </w:r>
      <w:r w:rsidRPr="005A3B22">
        <w:rPr>
          <w:lang w:val="en-US"/>
        </w:rPr>
        <w:t xml:space="preserve"> </w:t>
      </w:r>
      <w:r w:rsidRPr="0061137F">
        <w:rPr>
          <w:lang w:val="en-US"/>
        </w:rPr>
        <w:t>The complete listing inclusive of the aforementioned auctions may be found at:</w:t>
      </w:r>
    </w:p>
    <w:p w:rsidR="00CA3B52" w:rsidRPr="00CB6CBA" w:rsidRDefault="00796FC7" w:rsidP="00CA3B52">
      <w:pPr>
        <w:rPr>
          <w:lang w:val="en-US"/>
        </w:rPr>
      </w:pPr>
      <w:hyperlink r:id="rId196" w:history="1">
        <w:r w:rsidR="00CA3B52" w:rsidRPr="005A3B22">
          <w:rPr>
            <w:rStyle w:val="Hyperlink"/>
            <w:lang w:val="en-US"/>
          </w:rPr>
          <w:t>http://wireless.fcc.gov/auctions/default.htm?job=auctions_all</w:t>
        </w:r>
      </w:hyperlink>
    </w:p>
    <w:p w:rsidR="00CA3B52" w:rsidRPr="00CB6CBA" w:rsidRDefault="00CA3B52" w:rsidP="00CA3B52">
      <w:pPr>
        <w:pStyle w:val="Heading4"/>
        <w:rPr>
          <w:lang w:val="en-US"/>
        </w:rPr>
      </w:pPr>
      <w:bookmarkStart w:id="1565" w:name="_Toc391269580"/>
      <w:bookmarkStart w:id="1566" w:name="_Toc459746733"/>
      <w:bookmarkStart w:id="1567" w:name="_Toc497033203"/>
      <w:bookmarkStart w:id="1568" w:name="_Toc497034001"/>
      <w:r w:rsidRPr="00CB6CBA">
        <w:rPr>
          <w:lang w:val="en-US"/>
        </w:rPr>
        <w:t>5.1.5.2</w:t>
      </w:r>
      <w:r w:rsidRPr="00CB6CBA">
        <w:rPr>
          <w:lang w:val="en-US"/>
        </w:rPr>
        <w:tab/>
        <w:t>Personal communications services</w:t>
      </w:r>
      <w:bookmarkEnd w:id="1565"/>
      <w:bookmarkEnd w:id="1566"/>
      <w:bookmarkEnd w:id="1567"/>
      <w:bookmarkEnd w:id="1568"/>
    </w:p>
    <w:p w:rsidR="00CA3B52" w:rsidRPr="00CB6CBA" w:rsidRDefault="00CA3B52" w:rsidP="00CA3B52">
      <w:pPr>
        <w:rPr>
          <w:lang w:val="en-US"/>
        </w:rPr>
      </w:pPr>
      <w:r w:rsidRPr="00CB6CBA">
        <w:rPr>
          <w:lang w:val="en-US"/>
        </w:rPr>
        <w:t xml:space="preserve">Personal communications services </w:t>
      </w:r>
      <w:r>
        <w:rPr>
          <w:lang w:val="en-US"/>
        </w:rPr>
        <w:t>(</w:t>
      </w:r>
      <w:r w:rsidRPr="00CB6CBA">
        <w:rPr>
          <w:lang w:val="en-US"/>
        </w:rPr>
        <w:t>PCS</w:t>
      </w:r>
      <w:r>
        <w:rPr>
          <w:lang w:val="en-US"/>
        </w:rPr>
        <w:t>)</w:t>
      </w:r>
      <w:r w:rsidRPr="00CB6CBA">
        <w:rPr>
          <w:lang w:val="en-US"/>
        </w:rPr>
        <w:t xml:space="preserve"> providers are expected to give the public new communications capabilities by providing a variety of mobile services to compete with existing cellular, paging and other land mobile services. These services will be provided via a new generation of communications devices with two-way voice, data and/or message capabilities. These devices include small, lightweight, multi-function wireless phones, portable facsimiles and other devices. PCS is composed of several distinct categories, two of which are narrow-band PCS and broadband PCS.</w:t>
      </w:r>
    </w:p>
    <w:p w:rsidR="00CA3B52" w:rsidRPr="00CB6CBA" w:rsidRDefault="00CA3B52" w:rsidP="00CA3B52">
      <w:pPr>
        <w:rPr>
          <w:lang w:val="en-US"/>
        </w:rPr>
      </w:pPr>
      <w:r w:rsidRPr="00CB6CBA">
        <w:rPr>
          <w:lang w:val="en-US"/>
        </w:rPr>
        <w:t>The FCC held its first auction in July 1994, auctioning 11 nationwide licences to provide narrow</w:t>
      </w:r>
      <w:r>
        <w:rPr>
          <w:lang w:val="en-US"/>
        </w:rPr>
        <w:noBreakHyphen/>
      </w:r>
      <w:r w:rsidRPr="00CB6CBA">
        <w:rPr>
          <w:lang w:val="en-US"/>
        </w:rPr>
        <w:t>band PCS in the 900 MHz band. Narrow-band PCS can be used to provide new services such as voice message paging, two-way acknowledgment paging in which a subscriber can receive a message and transmit a response back to the sender, and other data services. Licences for narrow</w:t>
      </w:r>
      <w:r>
        <w:rPr>
          <w:lang w:val="en-US"/>
        </w:rPr>
        <w:noBreakHyphen/>
      </w:r>
      <w:r w:rsidRPr="00CB6CBA">
        <w:rPr>
          <w:lang w:val="en-US"/>
        </w:rPr>
        <w:t>band PCS may cover the entire nation (nationwide licence), large regions (regional licence), or smaller areas. Of the nationwide licences, five are 50/50 kHz paired, three are 50/12.5 kHz paired, and three are 50 kHz unpaired.</w:t>
      </w:r>
    </w:p>
    <w:p w:rsidR="00CA3B52" w:rsidRPr="00CB6CBA" w:rsidRDefault="00CA3B52" w:rsidP="00CA3B52">
      <w:pPr>
        <w:rPr>
          <w:lang w:val="en-US"/>
        </w:rPr>
      </w:pPr>
      <w:r w:rsidRPr="00CB6CBA">
        <w:rPr>
          <w:lang w:val="en-US"/>
        </w:rPr>
        <w:t>From 26 October through 8 November, 1994, the FCC auctioned 30 regional narrow-band PCS licences: six licences in each of five regions of the United States of America. Two licences in each region are 50/50 kHz paired and the remaining four are 50/12.5 kHz paired.</w:t>
      </w:r>
    </w:p>
    <w:p w:rsidR="00CA3B52" w:rsidRPr="00CB6CBA" w:rsidRDefault="00CA3B52" w:rsidP="00CA3B52">
      <w:pPr>
        <w:rPr>
          <w:lang w:val="en-US"/>
        </w:rPr>
      </w:pPr>
      <w:r w:rsidRPr="00CB6CBA">
        <w:rPr>
          <w:lang w:val="en-US"/>
        </w:rPr>
        <w:t>In December 1994, the FCC held its first auction of licences to provide broadband PCS in the 2 GHz (1</w:t>
      </w:r>
      <w:r w:rsidRPr="00CB6CBA">
        <w:rPr>
          <w:rFonts w:ascii="Tms Rmn" w:hAnsi="Tms Rmn"/>
          <w:sz w:val="12"/>
          <w:lang w:val="en-US"/>
        </w:rPr>
        <w:t> </w:t>
      </w:r>
      <w:r w:rsidRPr="00CB6CBA">
        <w:rPr>
          <w:lang w:val="en-US"/>
        </w:rPr>
        <w:t>850</w:t>
      </w:r>
      <w:r w:rsidRPr="00CB6CBA">
        <w:rPr>
          <w:lang w:val="en-US"/>
        </w:rPr>
        <w:noBreakHyphen/>
        <w:t>1</w:t>
      </w:r>
      <w:r w:rsidRPr="00CB6CBA">
        <w:rPr>
          <w:rFonts w:ascii="Tms Rmn" w:hAnsi="Tms Rmn"/>
          <w:sz w:val="12"/>
          <w:lang w:val="en-US"/>
        </w:rPr>
        <w:t> </w:t>
      </w:r>
      <w:r w:rsidRPr="00CB6CBA">
        <w:rPr>
          <w:lang w:val="en-US"/>
        </w:rPr>
        <w:t>990 MHz) band. Broadband PCS encompasses a variety of mobile and/or portable radio services, using such devices as small lightweight, multifunction portable phones, portable facsimile machines, and advanced devices with two-way data capabilities that are expected to compete with existing cellular, paging and other land mobile services.</w:t>
      </w:r>
    </w:p>
    <w:p w:rsidR="00CA3B52" w:rsidRPr="00CB6CBA" w:rsidRDefault="00CA3B52" w:rsidP="00CA3B52">
      <w:pPr>
        <w:rPr>
          <w:lang w:val="en-US"/>
        </w:rPr>
      </w:pPr>
      <w:r w:rsidRPr="00CB6CBA">
        <w:rPr>
          <w:lang w:val="en-US"/>
        </w:rPr>
        <w:t>The 1</w:t>
      </w:r>
      <w:r w:rsidRPr="00CB6CBA">
        <w:rPr>
          <w:rFonts w:ascii="Tms Rmn" w:hAnsi="Tms Rmn"/>
          <w:sz w:val="12"/>
          <w:lang w:val="en-US"/>
        </w:rPr>
        <w:t> </w:t>
      </w:r>
      <w:r w:rsidRPr="00CB6CBA">
        <w:rPr>
          <w:lang w:val="en-US"/>
        </w:rPr>
        <w:t>850-1</w:t>
      </w:r>
      <w:r w:rsidRPr="00CB6CBA">
        <w:rPr>
          <w:rFonts w:ascii="Tms Rmn" w:hAnsi="Tms Rmn"/>
          <w:sz w:val="12"/>
          <w:lang w:val="en-US"/>
        </w:rPr>
        <w:t> </w:t>
      </w:r>
      <w:r w:rsidRPr="00CB6CBA">
        <w:rPr>
          <w:lang w:val="en-US"/>
        </w:rPr>
        <w:t>990 MHz band was divided into six licence blocks. Licence blocks A, B, and C are each for 30 MHz of spectrum (two paired 15 MHz-wide segments). Licence blocks D, E, and F are each for 10 MHz of spectrum (two paired 5 MHz-wide segments). (Note that all six blocks combined contain 120 MHz of spectrum. The other 20 MHz (1</w:t>
      </w:r>
      <w:r w:rsidRPr="00CB6CBA">
        <w:rPr>
          <w:rFonts w:ascii="Tms Rmn" w:hAnsi="Tms Rmn"/>
          <w:sz w:val="12"/>
          <w:lang w:val="en-US"/>
        </w:rPr>
        <w:t> </w:t>
      </w:r>
      <w:r w:rsidRPr="00CB6CBA">
        <w:rPr>
          <w:lang w:val="en-US"/>
        </w:rPr>
        <w:t>910</w:t>
      </w:r>
      <w:r>
        <w:rPr>
          <w:lang w:val="en-US"/>
        </w:rPr>
        <w:t>–</w:t>
      </w:r>
      <w:r w:rsidRPr="00CB6CBA">
        <w:rPr>
          <w:lang w:val="en-US"/>
        </w:rPr>
        <w:t>1</w:t>
      </w:r>
      <w:r w:rsidRPr="00CB6CBA">
        <w:rPr>
          <w:rFonts w:ascii="Tms Rmn" w:hAnsi="Tms Rmn"/>
          <w:sz w:val="12"/>
          <w:lang w:val="en-US"/>
        </w:rPr>
        <w:t> </w:t>
      </w:r>
      <w:r w:rsidRPr="00CB6CBA">
        <w:rPr>
          <w:lang w:val="en-US"/>
        </w:rPr>
        <w:t>930 MHz) in the 1</w:t>
      </w:r>
      <w:r w:rsidRPr="00CB6CBA">
        <w:rPr>
          <w:rFonts w:ascii="Tms Rmn" w:hAnsi="Tms Rmn"/>
          <w:sz w:val="12"/>
          <w:lang w:val="en-US"/>
        </w:rPr>
        <w:t> </w:t>
      </w:r>
      <w:r>
        <w:rPr>
          <w:lang w:val="en-US"/>
        </w:rPr>
        <w:t>850</w:t>
      </w:r>
      <w:r>
        <w:rPr>
          <w:lang w:val="en-US"/>
        </w:rPr>
        <w:noBreakHyphen/>
      </w:r>
      <w:r w:rsidRPr="00CB6CBA">
        <w:rPr>
          <w:lang w:val="en-US"/>
        </w:rPr>
        <w:t>1</w:t>
      </w:r>
      <w:r w:rsidRPr="00CB6CBA">
        <w:rPr>
          <w:rFonts w:ascii="Tms Rmn" w:hAnsi="Tms Rmn"/>
          <w:sz w:val="12"/>
          <w:lang w:val="en-US"/>
        </w:rPr>
        <w:t> </w:t>
      </w:r>
      <w:r w:rsidRPr="00CB6CBA">
        <w:rPr>
          <w:lang w:val="en-US"/>
        </w:rPr>
        <w:t>990 MHz band is used by unlicensed PCS services.)</w:t>
      </w:r>
    </w:p>
    <w:p w:rsidR="00CA3B52" w:rsidRPr="00CB6CBA" w:rsidRDefault="00CA3B52" w:rsidP="00CA3B52">
      <w:pPr>
        <w:rPr>
          <w:lang w:val="en-US"/>
        </w:rPr>
      </w:pPr>
      <w:r w:rsidRPr="00CB6CBA">
        <w:rPr>
          <w:lang w:val="en-US"/>
        </w:rPr>
        <w:t>Licences for blocks A and B cover regional major trading areas (MTAs). There are 51 MTAs that, combined, cover the entire United States of America and its territories. Licences for blocks C, D, E, and F cover basic trading areas (BTAs). BTAs are components of MTAs, and there are 493 BTAs that combine to cover the entire United States of America and its territories. MTAs and BTAs are economic trading areas based on designations contained in the Rand McNally Commercial Atlas and Marketing Guide.</w:t>
      </w:r>
    </w:p>
    <w:p w:rsidR="00CA3B52" w:rsidRPr="00CB6CBA" w:rsidRDefault="00CA3B52" w:rsidP="00CA3B52">
      <w:pPr>
        <w:rPr>
          <w:lang w:val="en-US"/>
        </w:rPr>
      </w:pPr>
      <w:r w:rsidRPr="00CB6CBA">
        <w:rPr>
          <w:lang w:val="en-US"/>
        </w:rPr>
        <w:lastRenderedPageBreak/>
        <w:t>In the auction beginning in December 1994, the FCC auctioned licences in both frequency blocks A and B in 48 MTAs. In the other three MTAs, only the block B licence was auctioned. In those three MTAs (New York, Los Angeles, and Washington-Baltimore), the block A licence was previously awarded under the FCC’s pioneer’s preference rules. Thus, a total of 99 licences were auctioned. Thirty bidders qualified to bid in the auction and the auction lasted more than 112 rounds before concluding in March 1995.</w:t>
      </w:r>
    </w:p>
    <w:p w:rsidR="00CA3B52" w:rsidRPr="00CB6CBA" w:rsidRDefault="00CA3B52" w:rsidP="00CA3B52">
      <w:pPr>
        <w:rPr>
          <w:lang w:val="en-US"/>
        </w:rPr>
      </w:pPr>
      <w:r w:rsidRPr="00CB6CBA">
        <w:rPr>
          <w:lang w:val="en-US"/>
        </w:rPr>
        <w:t>The FCC began auctioning licences for broadband PCS block C in the 493 BTAs in December 1995. Unlike the MTA auction, bidding credits and instalment payment plans were available to small entities for Block C. The auction concluded in May 1996 after 184 rounds. Auctioning for broadband PCS blocks D, E and F began in August 1996 for 153 bidders who qualified to participate for 1</w:t>
      </w:r>
      <w:r w:rsidRPr="00CB6CBA">
        <w:rPr>
          <w:rFonts w:ascii="Tms Rmn" w:hAnsi="Tms Rmn"/>
          <w:sz w:val="12"/>
          <w:lang w:val="en-US"/>
        </w:rPr>
        <w:t> </w:t>
      </w:r>
      <w:r w:rsidRPr="00CB6CBA">
        <w:rPr>
          <w:lang w:val="en-US"/>
        </w:rPr>
        <w:t>479 different licences. Bidding credits and instalment payment plans were available for block F only. The auction concluded in January 1997 after 276 rounds.</w:t>
      </w:r>
    </w:p>
    <w:p w:rsidR="00CA3B52" w:rsidRPr="00CB6CBA" w:rsidRDefault="00CA3B52" w:rsidP="00CA3B52">
      <w:pPr>
        <w:rPr>
          <w:lang w:val="en-US"/>
        </w:rPr>
      </w:pPr>
      <w:r w:rsidRPr="00CB6CBA">
        <w:rPr>
          <w:lang w:val="en-US"/>
        </w:rPr>
        <w:t>Although PCS is a new service, the spectrum that it occupies was previously allocated and licensed to a variety of fixed service (point-to-point) microwave users, including public safety services. Therefore, it is necessary either to move the incumbent microwave systems to another frequency band or to provide for their communications needs through some alternative means, such as cable. In establishing the PCS service, the FCC determined that the fastest and fairest way to make this transition was to have the new PCS licensees pay to move the microwave users out of the band. The FCC therefore established a procedure whereby the new PCS licensees and the incumbent microwave users have a certain period to negotiate the terms of the re-accommodation. In any event, however, the microwave users must vacate the band as of a certain date and cannot therefore prevent implementation of the new services.</w:t>
      </w:r>
    </w:p>
    <w:p w:rsidR="00CA3B52" w:rsidRPr="00CB6CBA" w:rsidRDefault="00CA3B52" w:rsidP="00CA3B52">
      <w:pPr>
        <w:pStyle w:val="Heading4"/>
        <w:rPr>
          <w:lang w:val="en-US"/>
        </w:rPr>
      </w:pPr>
      <w:bookmarkStart w:id="1569" w:name="_Toc391269581"/>
      <w:bookmarkStart w:id="1570" w:name="_Toc459746734"/>
      <w:bookmarkStart w:id="1571" w:name="_Toc497033204"/>
      <w:bookmarkStart w:id="1572" w:name="_Toc497034002"/>
      <w:r w:rsidRPr="00CB6CBA">
        <w:rPr>
          <w:lang w:val="en-US"/>
        </w:rPr>
        <w:t>5.1.5.3</w:t>
      </w:r>
      <w:r w:rsidRPr="00CB6CBA">
        <w:rPr>
          <w:lang w:val="en-US"/>
        </w:rPr>
        <w:tab/>
        <w:t>Interactive video data service</w:t>
      </w:r>
      <w:bookmarkEnd w:id="1569"/>
      <w:bookmarkEnd w:id="1570"/>
      <w:bookmarkEnd w:id="1571"/>
      <w:bookmarkEnd w:id="1572"/>
    </w:p>
    <w:p w:rsidR="00CA3B52" w:rsidRPr="00CB6CBA" w:rsidRDefault="00CA3B52" w:rsidP="00CA3B52">
      <w:pPr>
        <w:rPr>
          <w:lang w:val="en-US"/>
        </w:rPr>
      </w:pPr>
      <w:r w:rsidRPr="00CB6CBA">
        <w:rPr>
          <w:lang w:val="en-US"/>
        </w:rPr>
        <w:t>The FCC held its second auction, for 594 interactive video data service (IVDS) licences, during July 1994. IVDS is a two</w:t>
      </w:r>
      <w:r w:rsidRPr="00CB6CBA">
        <w:rPr>
          <w:lang w:val="en-US"/>
        </w:rPr>
        <w:noBreakHyphen/>
        <w:t>way communications service in the 218-219 MHz band. Licences are for a ten-year period, and consist of two 500 kHz licences in each of 297 metropolitan statistical areas (MSAs), which are essentially the urbanized areas of the United States of America. In each market, both licences were available for auction at the same time, with the highest bidder given a choice between the two available licences and the second highest bidder winning the remaining licence. The FCC auctioned all 594 licences within two days.</w:t>
      </w:r>
    </w:p>
    <w:p w:rsidR="00CA3B52" w:rsidRPr="00CB6CBA" w:rsidRDefault="00CA3B52" w:rsidP="00CA3B52">
      <w:pPr>
        <w:pStyle w:val="Heading4"/>
        <w:rPr>
          <w:lang w:val="en-US"/>
        </w:rPr>
      </w:pPr>
      <w:bookmarkStart w:id="1573" w:name="_Toc391269582"/>
      <w:bookmarkStart w:id="1574" w:name="_Toc459746735"/>
      <w:bookmarkStart w:id="1575" w:name="_Toc497033205"/>
      <w:bookmarkStart w:id="1576" w:name="_Toc497034003"/>
      <w:r w:rsidRPr="00CB6CBA">
        <w:rPr>
          <w:lang w:val="en-US"/>
        </w:rPr>
        <w:t>5.1.5.4</w:t>
      </w:r>
      <w:r w:rsidRPr="00CB6CBA">
        <w:rPr>
          <w:lang w:val="en-US"/>
        </w:rPr>
        <w:tab/>
        <w:t>Specialized mobile radio service</w:t>
      </w:r>
      <w:bookmarkEnd w:id="1573"/>
      <w:bookmarkEnd w:id="1574"/>
      <w:bookmarkEnd w:id="1575"/>
      <w:bookmarkEnd w:id="1576"/>
    </w:p>
    <w:p w:rsidR="00CA3B52" w:rsidRPr="00CB6CBA" w:rsidRDefault="00CA3B52" w:rsidP="00CA3B52">
      <w:pPr>
        <w:rPr>
          <w:lang w:val="en-US"/>
        </w:rPr>
      </w:pPr>
      <w:r w:rsidRPr="00CB6CBA">
        <w:rPr>
          <w:lang w:val="en-US"/>
        </w:rPr>
        <w:t xml:space="preserve">The specialized mobile radio </w:t>
      </w:r>
      <w:r>
        <w:rPr>
          <w:lang w:val="en-US"/>
        </w:rPr>
        <w:t>(</w:t>
      </w:r>
      <w:r w:rsidRPr="00CB6CBA">
        <w:rPr>
          <w:lang w:val="en-US"/>
        </w:rPr>
        <w:t>SMR</w:t>
      </w:r>
      <w:r>
        <w:rPr>
          <w:lang w:val="en-US"/>
        </w:rPr>
        <w:t>)</w:t>
      </w:r>
      <w:r w:rsidRPr="00CB6CBA">
        <w:rPr>
          <w:lang w:val="en-US"/>
        </w:rPr>
        <w:t xml:space="preserve"> service is a land mobile radio service that provides dispatch, voice, and data services to commercial businesses and specialized users, although licensees are also permitted to provide service to the general public. The SMR service operates in both the 800 MHz and 900 MHz bands.</w:t>
      </w:r>
    </w:p>
    <w:p w:rsidR="00CA3B52" w:rsidRPr="00CB6CBA" w:rsidRDefault="00CA3B52" w:rsidP="00CA3B52">
      <w:pPr>
        <w:rPr>
          <w:lang w:val="en-US"/>
        </w:rPr>
      </w:pPr>
      <w:r w:rsidRPr="00CB6CBA">
        <w:rPr>
          <w:lang w:val="en-US"/>
        </w:rPr>
        <w:t>The FCC established the SMR service in the 800 MHz band in 1974 as a private land mobile radio service intended as a spectrally efficient method to provide dispatch radio service to businesses and other users that qualified as private radio users. Originally, applicants were limited to a relatively small number of channels to be located at a single base station. Coverage and service options were therefore limited. These licences were issued on a first-come, first-served basis, with a lottery used to resolve instances of mutual exclusivity. Over the years, however, the demand for this service increased and the rules limiting eligibility and licensing were gradually reduced. SMR providers today offer a range of services from traditional radio dispatch for local customers to more sophisticated voice and data transmissions for customers over large geographic areas. SMR licensees, in recent years, have been authorized to expand the geographic scope of their services and aggregate large numbers of channels to provide service more directly comparable to cellular radio and PCS. In October 1994, the FCC proposed to issue 80</w:t>
      </w:r>
      <w:r>
        <w:rPr>
          <w:lang w:val="en-US"/>
        </w:rPr>
        <w:t xml:space="preserve">0 MHz SMR licences based on </w:t>
      </w:r>
      <w:r>
        <w:rPr>
          <w:lang w:val="en-US"/>
        </w:rPr>
        <w:lastRenderedPageBreak/>
        <w:t>FCC</w:t>
      </w:r>
      <w:r>
        <w:rPr>
          <w:lang w:val="en-US"/>
        </w:rPr>
        <w:noBreakHyphen/>
      </w:r>
      <w:r w:rsidRPr="00CB6CBA">
        <w:rPr>
          <w:lang w:val="en-US"/>
        </w:rPr>
        <w:t>defined service areas and subject to competitive bidding. The 800 MHz band will be the subject of a future auction.</w:t>
      </w:r>
    </w:p>
    <w:p w:rsidR="00CA3B52" w:rsidRPr="00CB6CBA" w:rsidRDefault="00CA3B52" w:rsidP="00CA3B52">
      <w:pPr>
        <w:rPr>
          <w:lang w:val="en-US"/>
        </w:rPr>
      </w:pPr>
      <w:r w:rsidRPr="00CB6CBA">
        <w:rPr>
          <w:lang w:val="en-US"/>
        </w:rPr>
        <w:t>The 900 MHz SMR service consists of 5 MHz of spectrum divided into twenty 10-channel blocks in each MTA. Assignments in the 900 MHz SMR service offer the potential for such competitive services as wireless data, specialized dispatch, two-way paging, and interconnected voice transmission. Licences for this service were initially issued for sin</w:t>
      </w:r>
      <w:r>
        <w:rPr>
          <w:lang w:val="en-US"/>
        </w:rPr>
        <w:t>gle transmitter sites in the 50 </w:t>
      </w:r>
      <w:r w:rsidRPr="00CB6CBA">
        <w:rPr>
          <w:lang w:val="en-US"/>
        </w:rPr>
        <w:t>largest cities in the United States of America with licensees selected by lottery. Licensing, however, was suspended for a number of years, and the FCC recently restructured the service to issue area-wide licences pursuant to competitive bidding. Original licensees are protected from interference from new licensees; however, they can expand their operations only by obtaining a new licence.</w:t>
      </w:r>
    </w:p>
    <w:p w:rsidR="00CA3B52" w:rsidRPr="006D7697" w:rsidRDefault="00CA3B52" w:rsidP="00CA3B52">
      <w:pPr>
        <w:pStyle w:val="Heading4"/>
        <w:rPr>
          <w:lang w:val="en-US"/>
        </w:rPr>
      </w:pPr>
      <w:bookmarkStart w:id="1577" w:name="_Toc391269583"/>
      <w:bookmarkStart w:id="1578" w:name="_Toc459746736"/>
      <w:bookmarkStart w:id="1579" w:name="_Toc497033206"/>
      <w:bookmarkStart w:id="1580" w:name="_Toc497034004"/>
      <w:r w:rsidRPr="006D7697">
        <w:rPr>
          <w:lang w:val="en-US"/>
        </w:rPr>
        <w:t>5.1.5.5</w:t>
      </w:r>
      <w:r w:rsidRPr="006D7697">
        <w:rPr>
          <w:lang w:val="en-US"/>
        </w:rPr>
        <w:tab/>
        <w:t>Multichannel multipoint distribution s</w:t>
      </w:r>
      <w:bookmarkEnd w:id="1577"/>
      <w:bookmarkEnd w:id="1578"/>
      <w:bookmarkEnd w:id="1579"/>
      <w:bookmarkEnd w:id="1580"/>
      <w:r>
        <w:rPr>
          <w:lang w:val="en-US"/>
        </w:rPr>
        <w:t>ystem</w:t>
      </w:r>
    </w:p>
    <w:p w:rsidR="00CA3B52" w:rsidRPr="00CB6CBA" w:rsidRDefault="00CA3B52" w:rsidP="00CA3B52">
      <w:pPr>
        <w:rPr>
          <w:lang w:val="en-US"/>
        </w:rPr>
      </w:pPr>
      <w:r w:rsidRPr="006D7697">
        <w:rPr>
          <w:lang w:val="en-US"/>
        </w:rPr>
        <w:t>Multichannel multipoint distribution s</w:t>
      </w:r>
      <w:r>
        <w:rPr>
          <w:lang w:val="en-US"/>
        </w:rPr>
        <w:t>ystem</w:t>
      </w:r>
      <w:r w:rsidRPr="00CB6CBA">
        <w:rPr>
          <w:lang w:val="en-US"/>
        </w:rPr>
        <w:t xml:space="preserve"> </w:t>
      </w:r>
      <w:r>
        <w:rPr>
          <w:lang w:val="en-US"/>
        </w:rPr>
        <w:t>(</w:t>
      </w:r>
      <w:r w:rsidRPr="00CB6CBA">
        <w:rPr>
          <w:lang w:val="en-US"/>
        </w:rPr>
        <w:t>MMDS</w:t>
      </w:r>
      <w:r>
        <w:rPr>
          <w:lang w:val="en-US"/>
        </w:rPr>
        <w:t>)</w:t>
      </w:r>
      <w:r w:rsidRPr="00CB6CBA">
        <w:rPr>
          <w:lang w:val="en-US"/>
        </w:rPr>
        <w:t xml:space="preserve"> is often referred to as “wireless cable”. It offers delivery of video programming to subscribers using MMDS and/or instructional television fixed service (ITFS) channels. Only MMDS channels at 2</w:t>
      </w:r>
      <w:r w:rsidRPr="00CB6CBA">
        <w:rPr>
          <w:rFonts w:ascii="Tms Rmn" w:hAnsi="Tms Rmn"/>
          <w:sz w:val="12"/>
          <w:lang w:val="en-US"/>
        </w:rPr>
        <w:t> </w:t>
      </w:r>
      <w:r w:rsidRPr="00CB6CBA">
        <w:rPr>
          <w:lang w:val="en-US"/>
        </w:rPr>
        <w:t>150-2</w:t>
      </w:r>
      <w:r w:rsidRPr="00CB6CBA">
        <w:rPr>
          <w:rFonts w:ascii="Tms Rmn" w:hAnsi="Tms Rmn"/>
          <w:sz w:val="12"/>
          <w:lang w:val="en-US"/>
        </w:rPr>
        <w:t> </w:t>
      </w:r>
      <w:r w:rsidRPr="00CB6CBA">
        <w:rPr>
          <w:lang w:val="en-US"/>
        </w:rPr>
        <w:t>160 MHz and 2</w:t>
      </w:r>
      <w:r w:rsidRPr="00CB6CBA">
        <w:rPr>
          <w:rFonts w:ascii="Tms Rmn" w:hAnsi="Tms Rmn"/>
          <w:sz w:val="12"/>
          <w:lang w:val="en-US"/>
        </w:rPr>
        <w:t> </w:t>
      </w:r>
      <w:r w:rsidRPr="00CB6CBA">
        <w:rPr>
          <w:lang w:val="en-US"/>
        </w:rPr>
        <w:t>596</w:t>
      </w:r>
      <w:r w:rsidRPr="00CB6CBA">
        <w:rPr>
          <w:lang w:val="en-US"/>
        </w:rPr>
        <w:noBreakHyphen/>
        <w:t>2</w:t>
      </w:r>
      <w:r w:rsidRPr="00CB6CBA">
        <w:rPr>
          <w:rFonts w:ascii="Tms Rmn" w:hAnsi="Tms Rmn"/>
          <w:sz w:val="12"/>
          <w:lang w:val="en-US"/>
        </w:rPr>
        <w:t> </w:t>
      </w:r>
      <w:r w:rsidRPr="00CB6CBA">
        <w:rPr>
          <w:lang w:val="en-US"/>
        </w:rPr>
        <w:t>680 MHz have been auctioned. MMDS resembles cable television, but instead of coaxial cable, “wireless cable” uses microwave transmission and signals. In the past, MMDS licences have been issued for specific coordinates at which the central transmitter was located. However, the FCC recently revised the MMDS licensing procedures so that all licensees will be authorized to operate throughout particular BTAs. New licensees will be required to avoid interference within the protected area of existing MMDS operations (a 35-mile radius). The FCC stated that mutually exclusive applications that are filed for a particular BTA will be processed using competitive bidding.</w:t>
      </w:r>
    </w:p>
    <w:p w:rsidR="00CA3B52" w:rsidRPr="00CB6CBA" w:rsidRDefault="00CA3B52" w:rsidP="00CA3B52">
      <w:pPr>
        <w:pStyle w:val="Heading4"/>
        <w:rPr>
          <w:lang w:val="en-US"/>
        </w:rPr>
      </w:pPr>
      <w:bookmarkStart w:id="1581" w:name="_Toc391269584"/>
      <w:bookmarkStart w:id="1582" w:name="_Toc459746737"/>
      <w:bookmarkStart w:id="1583" w:name="_Toc497033207"/>
      <w:bookmarkStart w:id="1584" w:name="_Toc497034005"/>
      <w:r w:rsidRPr="00CB6CBA">
        <w:rPr>
          <w:lang w:val="en-US"/>
        </w:rPr>
        <w:t>5.1.5.6</w:t>
      </w:r>
      <w:r w:rsidRPr="00CB6CBA">
        <w:rPr>
          <w:lang w:val="en-US"/>
        </w:rPr>
        <w:tab/>
        <w:t>Direct broadcast satellite</w:t>
      </w:r>
      <w:bookmarkEnd w:id="1581"/>
      <w:bookmarkEnd w:id="1582"/>
      <w:bookmarkEnd w:id="1583"/>
      <w:bookmarkEnd w:id="1584"/>
      <w:r w:rsidRPr="00CB6CBA">
        <w:rPr>
          <w:lang w:val="en-US"/>
        </w:rPr>
        <w:t xml:space="preserve"> </w:t>
      </w:r>
    </w:p>
    <w:p w:rsidR="00CA3B52" w:rsidRPr="00CB6CBA" w:rsidRDefault="00CA3B52" w:rsidP="00CA3B52">
      <w:pPr>
        <w:rPr>
          <w:lang w:val="en-US"/>
        </w:rPr>
      </w:pPr>
      <w:r w:rsidRPr="00CB6CBA">
        <w:rPr>
          <w:lang w:val="en-US"/>
        </w:rPr>
        <w:t xml:space="preserve">The direct broadcast satellite </w:t>
      </w:r>
      <w:r>
        <w:rPr>
          <w:lang w:val="en-US"/>
        </w:rPr>
        <w:t>(</w:t>
      </w:r>
      <w:r w:rsidRPr="00CB6CBA">
        <w:rPr>
          <w:lang w:val="en-US"/>
        </w:rPr>
        <w:t>DBS</w:t>
      </w:r>
      <w:r>
        <w:rPr>
          <w:lang w:val="en-US"/>
        </w:rPr>
        <w:t>)</w:t>
      </w:r>
      <w:r w:rsidRPr="00CB6CBA">
        <w:rPr>
          <w:lang w:val="en-US"/>
        </w:rPr>
        <w:t xml:space="preserve"> service is a radiocommunication service in which signals transmitted or retransmitted by space stations are intended for direct reception by the general public. This includes direct reception by both individuals and the community. The FCC held a very limited DBS auction for two orbital slots in January 1996. In adopting auction procedures, the FCC noted that there are characteristics of a national broadcast satellite service, such as the footprint of the satellite falling within the United States of America, that make DBS different from many other satellite services. One winning bidder received a construction permit for 28 channels and the second winning bidder received a construction permit for use of 24 channels.</w:t>
      </w:r>
    </w:p>
    <w:p w:rsidR="00CA3B52" w:rsidRPr="000429F2" w:rsidRDefault="00CA3B52" w:rsidP="00CA3B52">
      <w:pPr>
        <w:pStyle w:val="Heading4"/>
        <w:rPr>
          <w:lang w:val="en-US"/>
        </w:rPr>
      </w:pPr>
      <w:bookmarkStart w:id="1585" w:name="_Toc391269585"/>
      <w:bookmarkStart w:id="1586" w:name="_Toc459746738"/>
      <w:bookmarkStart w:id="1587" w:name="_Toc497033208"/>
      <w:bookmarkStart w:id="1588" w:name="_Toc497034006"/>
      <w:r w:rsidRPr="000429F2">
        <w:rPr>
          <w:lang w:val="en-US"/>
        </w:rPr>
        <w:t>5.1.5.7</w:t>
      </w:r>
      <w:r w:rsidRPr="000429F2">
        <w:rPr>
          <w:lang w:val="en-US"/>
        </w:rPr>
        <w:tab/>
        <w:t>Satellite digital audio radio</w:t>
      </w:r>
      <w:bookmarkEnd w:id="1585"/>
      <w:bookmarkEnd w:id="1586"/>
      <w:bookmarkEnd w:id="1587"/>
      <w:bookmarkEnd w:id="1588"/>
      <w:r w:rsidRPr="000429F2">
        <w:rPr>
          <w:lang w:val="en-US"/>
        </w:rPr>
        <w:t xml:space="preserve"> </w:t>
      </w:r>
    </w:p>
    <w:p w:rsidR="00CA3B52" w:rsidRPr="00CB6CBA" w:rsidRDefault="00CA3B52" w:rsidP="00CA3B52">
      <w:pPr>
        <w:rPr>
          <w:lang w:val="en-US"/>
        </w:rPr>
      </w:pPr>
      <w:r w:rsidRPr="00CB6CBA">
        <w:rPr>
          <w:lang w:val="en-US"/>
        </w:rPr>
        <w:t xml:space="preserve">The satellite </w:t>
      </w:r>
      <w:r w:rsidRPr="00E662B9">
        <w:rPr>
          <w:lang w:val="en-US"/>
        </w:rPr>
        <w:t>digital audio radio (</w:t>
      </w:r>
      <w:r w:rsidRPr="00CB6CBA">
        <w:rPr>
          <w:lang w:val="en-US"/>
        </w:rPr>
        <w:t>DAR</w:t>
      </w:r>
      <w:r>
        <w:rPr>
          <w:lang w:val="en-US"/>
        </w:rPr>
        <w:t>)</w:t>
      </w:r>
      <w:r w:rsidRPr="00CB6CBA">
        <w:rPr>
          <w:lang w:val="en-US"/>
        </w:rPr>
        <w:t xml:space="preserve"> service is a broadcasting-satellite (sound) radiocommunication service located in the 2</w:t>
      </w:r>
      <w:r w:rsidRPr="00CB6CBA">
        <w:rPr>
          <w:rFonts w:ascii="Tms Rmn" w:hAnsi="Tms Rmn"/>
          <w:sz w:val="12"/>
          <w:lang w:val="en-US"/>
        </w:rPr>
        <w:t> </w:t>
      </w:r>
      <w:r w:rsidRPr="00CB6CBA">
        <w:rPr>
          <w:lang w:val="en-US"/>
        </w:rPr>
        <w:t>320-2</w:t>
      </w:r>
      <w:r w:rsidRPr="00CB6CBA">
        <w:rPr>
          <w:rFonts w:ascii="Tms Rmn" w:hAnsi="Tms Rmn"/>
          <w:sz w:val="12"/>
          <w:lang w:val="en-US"/>
        </w:rPr>
        <w:t> </w:t>
      </w:r>
      <w:r w:rsidRPr="00CB6CBA">
        <w:rPr>
          <w:lang w:val="en-US"/>
        </w:rPr>
        <w:t>345 MHz band, in which high-quality audio signals are transmitted to the Earth by satellite, either to subscribers or to the general public. The FCC held a satellite DAR service auction for two 12.5 MHz licences in April 1997. Both winning bidders plan to offer subscription-based services. Licences are for an eight-year period.</w:t>
      </w:r>
    </w:p>
    <w:p w:rsidR="00CA3B52" w:rsidRPr="00CB6CBA" w:rsidRDefault="00CA3B52" w:rsidP="00CA3B52">
      <w:pPr>
        <w:pStyle w:val="Heading4"/>
        <w:rPr>
          <w:lang w:val="en-US"/>
        </w:rPr>
      </w:pPr>
      <w:bookmarkStart w:id="1589" w:name="_Toc391269586"/>
      <w:bookmarkStart w:id="1590" w:name="_Toc459746739"/>
      <w:bookmarkStart w:id="1591" w:name="_Toc497033209"/>
      <w:bookmarkStart w:id="1592" w:name="_Toc497034007"/>
      <w:r w:rsidRPr="00CB6CBA">
        <w:rPr>
          <w:lang w:val="en-US"/>
        </w:rPr>
        <w:t>5.1.5.8</w:t>
      </w:r>
      <w:r w:rsidRPr="00CB6CBA">
        <w:rPr>
          <w:lang w:val="en-US"/>
        </w:rPr>
        <w:tab/>
        <w:t>Wireless communications</w:t>
      </w:r>
      <w:bookmarkEnd w:id="1589"/>
      <w:bookmarkEnd w:id="1590"/>
      <w:bookmarkEnd w:id="1591"/>
      <w:bookmarkEnd w:id="1592"/>
    </w:p>
    <w:p w:rsidR="00CA3B52" w:rsidRPr="00CB6CBA" w:rsidRDefault="00CA3B52" w:rsidP="00CA3B52">
      <w:pPr>
        <w:rPr>
          <w:lang w:val="en-US"/>
        </w:rPr>
      </w:pPr>
      <w:r w:rsidRPr="00CB6CBA">
        <w:rPr>
          <w:lang w:val="en-US"/>
        </w:rPr>
        <w:t>The wireless communications service (WCS) is a radiocommunication service located in the 2</w:t>
      </w:r>
      <w:r w:rsidRPr="00CB6CBA">
        <w:rPr>
          <w:rFonts w:ascii="Tms Rmn" w:hAnsi="Tms Rmn"/>
          <w:sz w:val="12"/>
          <w:lang w:val="en-US"/>
        </w:rPr>
        <w:t> </w:t>
      </w:r>
      <w:r w:rsidRPr="00CB6CBA">
        <w:rPr>
          <w:lang w:val="en-US"/>
        </w:rPr>
        <w:t>305</w:t>
      </w:r>
      <w:r w:rsidRPr="00CB6CBA">
        <w:rPr>
          <w:lang w:val="en-US"/>
        </w:rPr>
        <w:noBreakHyphen/>
        <w:t>2</w:t>
      </w:r>
      <w:r w:rsidRPr="00CB6CBA">
        <w:rPr>
          <w:rFonts w:ascii="Tms Rmn" w:hAnsi="Tms Rmn"/>
          <w:sz w:val="12"/>
          <w:lang w:val="en-US"/>
        </w:rPr>
        <w:t> </w:t>
      </w:r>
      <w:r w:rsidRPr="00CB6CBA">
        <w:rPr>
          <w:lang w:val="en-US"/>
        </w:rPr>
        <w:t>320 MHz and 2</w:t>
      </w:r>
      <w:r w:rsidRPr="00CB6CBA">
        <w:rPr>
          <w:rFonts w:ascii="Tms Rmn" w:hAnsi="Tms Rmn"/>
          <w:sz w:val="12"/>
          <w:lang w:val="en-US"/>
        </w:rPr>
        <w:t> </w:t>
      </w:r>
      <w:r w:rsidRPr="00CB6CBA">
        <w:rPr>
          <w:lang w:val="en-US"/>
        </w:rPr>
        <w:t>345</w:t>
      </w:r>
      <w:r w:rsidRPr="00CB6CBA">
        <w:rPr>
          <w:lang w:val="en-US"/>
        </w:rPr>
        <w:noBreakHyphen/>
        <w:t>2</w:t>
      </w:r>
      <w:r w:rsidRPr="00CB6CBA">
        <w:rPr>
          <w:rFonts w:ascii="Tms Rmn" w:hAnsi="Tms Rmn"/>
          <w:sz w:val="12"/>
          <w:lang w:val="en-US"/>
        </w:rPr>
        <w:t> </w:t>
      </w:r>
      <w:r w:rsidRPr="00CB6CBA">
        <w:rPr>
          <w:lang w:val="en-US"/>
        </w:rPr>
        <w:t>360 MHz bands. WCS licensees have the flexibility to offer a variety of fixed, mobile, radiolocation, and broadcasting-satellite (sound) services, except that broadcasting-satellite (sound) and aeronautical mobile services may not be offered at 2</w:t>
      </w:r>
      <w:r w:rsidRPr="00CB6CBA">
        <w:rPr>
          <w:rFonts w:ascii="Tms Rmn" w:hAnsi="Tms Rmn"/>
          <w:sz w:val="12"/>
          <w:lang w:val="en-US"/>
        </w:rPr>
        <w:t> </w:t>
      </w:r>
      <w:r w:rsidRPr="00CB6CBA">
        <w:rPr>
          <w:lang w:val="en-US"/>
        </w:rPr>
        <w:t>305</w:t>
      </w:r>
      <w:r w:rsidRPr="00CB6CBA">
        <w:rPr>
          <w:lang w:val="en-US"/>
        </w:rPr>
        <w:noBreakHyphen/>
        <w:t>2</w:t>
      </w:r>
      <w:r w:rsidRPr="00CB6CBA">
        <w:rPr>
          <w:rFonts w:ascii="Tms Rmn" w:hAnsi="Tms Rmn"/>
          <w:sz w:val="12"/>
          <w:lang w:val="en-US"/>
        </w:rPr>
        <w:t> </w:t>
      </w:r>
      <w:r w:rsidRPr="00CB6CBA">
        <w:rPr>
          <w:lang w:val="en-US"/>
        </w:rPr>
        <w:t xml:space="preserve">310 MHz. The FCC held a WCS auction for two 10 MHz licences for each of 52 major economic areas (MEAs) and two 5 MHz licences for each of 12 regional economic area groupings (REAGs) in April 1997. MEAs and REAGs consist of groupings of smaller economic areas, as </w:t>
      </w:r>
      <w:r w:rsidRPr="00CB6CBA">
        <w:rPr>
          <w:lang w:val="en-US"/>
        </w:rPr>
        <w:lastRenderedPageBreak/>
        <w:t>defined by the U.S. Department of Commerce. There are 176 economic areas that cover the United States of America and its territories. A large variety of companies won licences in the WCS auction. Licences are for a ten-year period.</w:t>
      </w:r>
    </w:p>
    <w:p w:rsidR="00CA3B52" w:rsidRPr="00CB6CBA" w:rsidRDefault="00CA3B52" w:rsidP="00CA3B52">
      <w:pPr>
        <w:pStyle w:val="Heading2"/>
        <w:rPr>
          <w:lang w:val="en-US"/>
        </w:rPr>
      </w:pPr>
      <w:bookmarkStart w:id="1593" w:name="_Toc394385984"/>
      <w:bookmarkStart w:id="1594" w:name="_Toc394386071"/>
      <w:bookmarkStart w:id="1595" w:name="_Toc395503175"/>
      <w:bookmarkStart w:id="1596" w:name="_Toc459746740"/>
      <w:bookmarkStart w:id="1597" w:name="_Toc459792662"/>
      <w:bookmarkStart w:id="1598" w:name="_Toc459793828"/>
      <w:bookmarkStart w:id="1599" w:name="_Toc459793970"/>
      <w:bookmarkStart w:id="1600" w:name="_Toc459970431"/>
      <w:bookmarkStart w:id="1601" w:name="_Toc497033210"/>
      <w:bookmarkStart w:id="1602" w:name="_Toc497034008"/>
      <w:bookmarkStart w:id="1603" w:name="_Toc289868860"/>
      <w:bookmarkStart w:id="1604" w:name="_Toc289869020"/>
      <w:bookmarkStart w:id="1605" w:name="_Toc289932328"/>
      <w:bookmarkStart w:id="1606" w:name="_Toc289933374"/>
      <w:bookmarkStart w:id="1607" w:name="_Toc291852937"/>
      <w:bookmarkStart w:id="1608" w:name="_Toc392515921"/>
      <w:r w:rsidRPr="00CB6CBA">
        <w:rPr>
          <w:lang w:val="en-US"/>
        </w:rPr>
        <w:t>5.2</w:t>
      </w:r>
      <w:r w:rsidRPr="00CB6CBA">
        <w:rPr>
          <w:lang w:val="en-US"/>
        </w:rPr>
        <w:tab/>
        <w:t>Experience with fees</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rsidR="00CA3B52" w:rsidRPr="00CB6CBA" w:rsidRDefault="00CA3B52" w:rsidP="00CA3B52">
      <w:pPr>
        <w:pStyle w:val="Heading3"/>
        <w:rPr>
          <w:lang w:val="en-US"/>
        </w:rPr>
      </w:pPr>
      <w:bookmarkStart w:id="1609" w:name="_Toc459746741"/>
      <w:bookmarkStart w:id="1610" w:name="_Toc459792663"/>
      <w:bookmarkStart w:id="1611" w:name="_Toc459793829"/>
      <w:bookmarkStart w:id="1612" w:name="_Toc459793971"/>
      <w:bookmarkStart w:id="1613" w:name="_Toc459970432"/>
      <w:bookmarkStart w:id="1614" w:name="_Toc497033211"/>
      <w:bookmarkStart w:id="1615" w:name="_Toc497034009"/>
      <w:bookmarkStart w:id="1616" w:name="_Toc289868861"/>
      <w:bookmarkStart w:id="1617" w:name="_Toc289869021"/>
      <w:bookmarkStart w:id="1618" w:name="_Toc289932329"/>
      <w:bookmarkStart w:id="1619" w:name="_Toc289933375"/>
      <w:bookmarkStart w:id="1620" w:name="_Toc291852938"/>
      <w:bookmarkStart w:id="1621" w:name="_Toc392515922"/>
      <w:r w:rsidRPr="00CB6CBA">
        <w:rPr>
          <w:lang w:val="en-US"/>
        </w:rPr>
        <w:t>5.2.1</w:t>
      </w:r>
      <w:r w:rsidRPr="00CB6CBA">
        <w:rPr>
          <w:lang w:val="en-US"/>
        </w:rPr>
        <w:tab/>
        <w:t>Australia’s experience with licence fees</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rsidR="00CA3B52" w:rsidRPr="00CB6CBA" w:rsidRDefault="00CA3B52" w:rsidP="00CA3B52">
      <w:pPr>
        <w:rPr>
          <w:lang w:val="en-US"/>
        </w:rPr>
      </w:pPr>
      <w:r w:rsidRPr="00CB6CBA">
        <w:rPr>
          <w:lang w:val="en-US"/>
        </w:rPr>
        <w:t>In addition to conducting spectrum auctions and implementing a limited system of property rights, the Australian Communications and Media Authority (ACMA) has attempted to improve the efficiency of the traditional system of licensing. Underpinning the ACMA’s approach has been a fundamental restructuring of radiocommunications apparatus licence fees. In April 1995, then Spectrum Management Agency (now ACMA), in consultation with industry, moved from a traditional, service-based methodology of charging for spectrum usage, to a system which charges on the basis of the amount of spectrum that a particular service denies to other users. Thus, licence fees are calculated in a more consistent and transparent manner, as opposed to the somewhat arbitrary approach that focused predominantly on the characteristics of the radiocommunications service being licensed.</w:t>
      </w:r>
    </w:p>
    <w:p w:rsidR="00CA3B52" w:rsidRPr="00CB6CBA" w:rsidRDefault="00CA3B52" w:rsidP="00CA3B52">
      <w:pPr>
        <w:rPr>
          <w:lang w:val="en-US"/>
        </w:rPr>
      </w:pPr>
      <w:r w:rsidRPr="00CB6CBA">
        <w:rPr>
          <w:lang w:val="en-US"/>
        </w:rPr>
        <w:t>Under the new apparatus licence fee structure, each licence fee generally consists of three identifiable components:</w:t>
      </w:r>
    </w:p>
    <w:p w:rsidR="00CA3B52" w:rsidRPr="00CB6CBA" w:rsidRDefault="00CA3B52" w:rsidP="00CA3B52">
      <w:pPr>
        <w:pStyle w:val="enumlev1"/>
        <w:rPr>
          <w:lang w:val="en-US"/>
        </w:rPr>
      </w:pPr>
      <w:r w:rsidRPr="00CB6CBA">
        <w:rPr>
          <w:lang w:val="en-US"/>
        </w:rPr>
        <w:t>–</w:t>
      </w:r>
      <w:r w:rsidRPr="00CB6CBA">
        <w:rPr>
          <w:lang w:val="en-US"/>
        </w:rPr>
        <w:tab/>
        <w:t>an issue or renewal component, reflecting the cost of issuing or renewing the licence;</w:t>
      </w:r>
    </w:p>
    <w:p w:rsidR="00CA3B52" w:rsidRPr="00CB6CBA" w:rsidRDefault="00CA3B52" w:rsidP="00CA3B52">
      <w:pPr>
        <w:pStyle w:val="enumlev1"/>
        <w:rPr>
          <w:lang w:val="en-US"/>
        </w:rPr>
      </w:pPr>
      <w:r w:rsidRPr="00CB6CBA">
        <w:rPr>
          <w:lang w:val="en-US"/>
        </w:rPr>
        <w:t>–</w:t>
      </w:r>
      <w:r w:rsidRPr="00CB6CBA">
        <w:rPr>
          <w:lang w:val="en-US"/>
        </w:rPr>
        <w:tab/>
        <w:t>a spectrum maintenance component, reflecting the ongoing cost of managing the spectrum, including protection from interference (a fixed percentage of the spectrum acc</w:t>
      </w:r>
      <w:r>
        <w:rPr>
          <w:lang w:val="en-US"/>
        </w:rPr>
        <w:t>ess tax (SAT) described below);</w:t>
      </w:r>
    </w:p>
    <w:p w:rsidR="00CA3B52" w:rsidRPr="00CB6CBA" w:rsidRDefault="00CA3B52" w:rsidP="00CA3B52">
      <w:pPr>
        <w:pStyle w:val="enumlev1"/>
        <w:rPr>
          <w:lang w:val="en-US"/>
        </w:rPr>
      </w:pPr>
      <w:r w:rsidRPr="00CB6CBA">
        <w:rPr>
          <w:lang w:val="en-US"/>
        </w:rPr>
        <w:t>–</w:t>
      </w:r>
      <w:r w:rsidRPr="00CB6CBA">
        <w:rPr>
          <w:lang w:val="en-US"/>
        </w:rPr>
        <w:tab/>
        <w:t>a SAT, which represents a return to the government for use of a community resource, and is based on a formula involving spectrum location, geographic location, channel bandwidth, and communications coverage area.</w:t>
      </w:r>
    </w:p>
    <w:p w:rsidR="00CA3B52" w:rsidRPr="00CB6CBA" w:rsidRDefault="00CA3B52" w:rsidP="00CA3B52">
      <w:pPr>
        <w:rPr>
          <w:lang w:val="en-US"/>
        </w:rPr>
      </w:pPr>
      <w:r w:rsidRPr="00CB6CBA">
        <w:rPr>
          <w:lang w:val="en-US"/>
        </w:rPr>
        <w:t>The calculation of the SAT represents a market demand based pricing strategy in so far as services operating in higher demand areas of the spectrum (i.e., UHF/VHF) or more densely populated geographic areas (i.e., major capital cities) attract a higher licence fee than those operating in lower spectrum demand or geographic demand areas. Furthermore, in accordance with the spectrum denial methodology, services with larger operating bandwidths attract a higher licence fee than more spectrum efficient services, thereby encouraging users to seek more technically advanced equipment that utilizes narrower operating bandwidths, or alternatively encouraging users to operate in segments of the spectrum that are in greater supply.</w:t>
      </w:r>
    </w:p>
    <w:p w:rsidR="00CA3B52" w:rsidRPr="00CB6CBA" w:rsidRDefault="00CA3B52" w:rsidP="00CA3B52">
      <w:pPr>
        <w:rPr>
          <w:lang w:val="en-US"/>
        </w:rPr>
      </w:pPr>
      <w:r w:rsidRPr="00CB6CBA">
        <w:rPr>
          <w:lang w:val="en-US"/>
        </w:rPr>
        <w:t>The ACMA has also introduced measures which allow greater flexibility and certainty for users in the radiocommuni</w:t>
      </w:r>
      <w:r w:rsidRPr="00CB6CBA">
        <w:rPr>
          <w:lang w:val="en-US"/>
        </w:rPr>
        <w:softHyphen/>
        <w:t>cations market. Flexibility has been achieved by allowing licensees to transfer their apparatus licences to third parties, while greater certainty has been accomplished by permitting licensees to acquire licences for periods of up to five years.</w:t>
      </w:r>
    </w:p>
    <w:p w:rsidR="00CA3B52" w:rsidRPr="00CB6CBA" w:rsidRDefault="00CA3B52" w:rsidP="00CA3B52">
      <w:pPr>
        <w:pStyle w:val="Heading3"/>
        <w:rPr>
          <w:lang w:val="en-US"/>
        </w:rPr>
      </w:pPr>
      <w:bookmarkStart w:id="1622" w:name="_Toc459746742"/>
      <w:bookmarkStart w:id="1623" w:name="_Toc459792664"/>
      <w:bookmarkStart w:id="1624" w:name="_Toc459793830"/>
      <w:bookmarkStart w:id="1625" w:name="_Toc459793972"/>
      <w:bookmarkStart w:id="1626" w:name="_Toc459970433"/>
      <w:bookmarkStart w:id="1627" w:name="_Toc497033212"/>
      <w:bookmarkStart w:id="1628" w:name="_Toc497034010"/>
      <w:bookmarkStart w:id="1629" w:name="_Toc289868862"/>
      <w:bookmarkStart w:id="1630" w:name="_Toc289869022"/>
      <w:bookmarkStart w:id="1631" w:name="_Toc289932330"/>
      <w:bookmarkStart w:id="1632" w:name="_Toc289933376"/>
      <w:bookmarkStart w:id="1633" w:name="_Toc291852939"/>
      <w:bookmarkStart w:id="1634" w:name="_Toc392515923"/>
      <w:r w:rsidRPr="00CB6CBA">
        <w:rPr>
          <w:lang w:val="en-US"/>
        </w:rPr>
        <w:t>5.2.2</w:t>
      </w:r>
      <w:r w:rsidRPr="00CB6CBA">
        <w:rPr>
          <w:lang w:val="en-US"/>
        </w:rPr>
        <w:tab/>
        <w:t>Canada’s experience with licence fees</w:t>
      </w:r>
      <w:bookmarkEnd w:id="1622"/>
      <w:bookmarkEnd w:id="1623"/>
      <w:bookmarkEnd w:id="1624"/>
      <w:bookmarkEnd w:id="1625"/>
      <w:bookmarkEnd w:id="1626"/>
      <w:bookmarkEnd w:id="1627"/>
      <w:bookmarkEnd w:id="1628"/>
      <w:bookmarkEnd w:id="1629"/>
      <w:bookmarkEnd w:id="1630"/>
      <w:bookmarkEnd w:id="1631"/>
      <w:bookmarkEnd w:id="1632"/>
      <w:bookmarkEnd w:id="1633"/>
      <w:bookmarkEnd w:id="1634"/>
    </w:p>
    <w:p w:rsidR="00CA3B52" w:rsidRPr="00CB6CBA" w:rsidRDefault="00CA3B52" w:rsidP="00CA3B52">
      <w:pPr>
        <w:rPr>
          <w:szCs w:val="24"/>
          <w:lang w:val="en-US"/>
        </w:rPr>
      </w:pPr>
      <w:bookmarkStart w:id="1635" w:name="_Toc459746743"/>
      <w:bookmarkStart w:id="1636" w:name="_Toc459792665"/>
      <w:bookmarkStart w:id="1637" w:name="_Toc459793831"/>
      <w:bookmarkStart w:id="1638" w:name="_Toc459793973"/>
      <w:bookmarkStart w:id="1639" w:name="_Toc459970434"/>
      <w:bookmarkStart w:id="1640" w:name="_Toc497033213"/>
      <w:bookmarkStart w:id="1641" w:name="_Toc497034011"/>
      <w:r w:rsidRPr="00CB6CBA">
        <w:rPr>
          <w:szCs w:val="24"/>
          <w:lang w:val="en-US"/>
        </w:rPr>
        <w:t xml:space="preserve">Industry Canada’s policy objective in managing the spectrum, as reflected in the 2007 </w:t>
      </w:r>
      <w:r w:rsidRPr="00CB6CBA">
        <w:rPr>
          <w:i/>
          <w:szCs w:val="24"/>
          <w:lang w:val="en-US"/>
        </w:rPr>
        <w:t>Spectrum Policy Framework for Canada</w:t>
      </w:r>
      <w:r w:rsidRPr="00CB6CBA">
        <w:rPr>
          <w:szCs w:val="24"/>
          <w:lang w:val="en-US"/>
        </w:rPr>
        <w:t xml:space="preserve">, is to maximize the economic and social benefits that Canadians derive from the use of this resource. The Policy Framework also includes enabling guidelines that call for increased reliance on market forces, implementation of flexibility in spectrum management, and minimization of administrative burden. </w:t>
      </w:r>
    </w:p>
    <w:p w:rsidR="00CA3B52" w:rsidRPr="00CB6CBA" w:rsidRDefault="00CA3B52" w:rsidP="00CA3B52">
      <w:pPr>
        <w:rPr>
          <w:szCs w:val="24"/>
          <w:lang w:val="en-US"/>
        </w:rPr>
      </w:pPr>
      <w:r w:rsidRPr="00CB6CBA">
        <w:rPr>
          <w:szCs w:val="24"/>
          <w:lang w:val="en-US"/>
        </w:rPr>
        <w:t xml:space="preserve">In accordance with these enabling guidelines, the department has been moving in the direction of increased reliance on market forces as a means of carrying out its policy objective. This includes relying on technology and service neutral licences, auctions and fees that promote the efficient use </w:t>
      </w:r>
      <w:r w:rsidRPr="00CB6CBA">
        <w:rPr>
          <w:szCs w:val="24"/>
          <w:lang w:val="en-US"/>
        </w:rPr>
        <w:lastRenderedPageBreak/>
        <w:t>of the spectrum resource and earn a fair return to Canadians for its use. For a number of years, Industry Canada has been issuing spectrum licences for new services that are technology neutral, tradable and have ten year terms.</w:t>
      </w:r>
    </w:p>
    <w:p w:rsidR="00CA3B52" w:rsidRPr="00CB6CBA" w:rsidRDefault="00CA3B52" w:rsidP="00CA3B52">
      <w:pPr>
        <w:rPr>
          <w:szCs w:val="24"/>
          <w:lang w:val="en-US"/>
        </w:rPr>
      </w:pPr>
      <w:r w:rsidRPr="00CB6CBA">
        <w:rPr>
          <w:szCs w:val="24"/>
          <w:lang w:val="en-US"/>
        </w:rPr>
        <w:t>Currently, Industry Canada is studying the development of a fee model based on spectrum consumption in three dimensions: bandwidth, geographic coverage, and exclusive use. Although this model has not been implemented, its methodology and recommendations remain under consideration for future licensing regime modifications.</w:t>
      </w:r>
    </w:p>
    <w:p w:rsidR="00CA3B52" w:rsidRPr="00CB6CBA" w:rsidRDefault="00CA3B52" w:rsidP="00CA3B52">
      <w:pPr>
        <w:pStyle w:val="Heading3"/>
        <w:rPr>
          <w:lang w:val="en-US"/>
        </w:rPr>
      </w:pPr>
      <w:bookmarkStart w:id="1642" w:name="_Toc289868863"/>
      <w:bookmarkStart w:id="1643" w:name="_Toc289869023"/>
      <w:bookmarkStart w:id="1644" w:name="_Toc289932331"/>
      <w:bookmarkStart w:id="1645" w:name="_Toc289933377"/>
      <w:bookmarkStart w:id="1646" w:name="_Toc291852940"/>
      <w:bookmarkStart w:id="1647" w:name="_Toc392515924"/>
      <w:r w:rsidRPr="00CB6CBA">
        <w:rPr>
          <w:lang w:val="en-US"/>
        </w:rPr>
        <w:t>5.2.3</w:t>
      </w:r>
      <w:r w:rsidRPr="00CB6CBA">
        <w:rPr>
          <w:lang w:val="en-US"/>
        </w:rPr>
        <w:tab/>
        <w:t>China’s experience with licence fees</w:t>
      </w:r>
      <w:bookmarkEnd w:id="1635"/>
      <w:bookmarkEnd w:id="1636"/>
      <w:bookmarkEnd w:id="1637"/>
      <w:bookmarkEnd w:id="1638"/>
      <w:bookmarkEnd w:id="1639"/>
      <w:bookmarkEnd w:id="1640"/>
      <w:bookmarkEnd w:id="1641"/>
      <w:bookmarkEnd w:id="1642"/>
      <w:bookmarkEnd w:id="1643"/>
      <w:bookmarkEnd w:id="1644"/>
      <w:bookmarkEnd w:id="1645"/>
      <w:bookmarkEnd w:id="1646"/>
      <w:bookmarkEnd w:id="1647"/>
    </w:p>
    <w:p w:rsidR="00CA3B52" w:rsidRDefault="00CA3B52" w:rsidP="006E25B8">
      <w:pPr>
        <w:rPr>
          <w:lang w:val="en-US" w:eastAsia="zh-CN"/>
        </w:rPr>
      </w:pPr>
      <w:bookmarkStart w:id="1648" w:name="_Toc459746747"/>
      <w:bookmarkStart w:id="1649" w:name="_Toc459792666"/>
      <w:bookmarkStart w:id="1650" w:name="_Toc459793832"/>
      <w:bookmarkStart w:id="1651" w:name="_Toc459793974"/>
      <w:bookmarkStart w:id="1652" w:name="_Toc459970435"/>
      <w:r w:rsidRPr="00CB6CBA">
        <w:rPr>
          <w:lang w:val="en-US"/>
        </w:rPr>
        <w:t>In 1989, the Radio Regulatory Department (the former Office of State Radio Regulatory Commission) of China began collecting licence fees, most of which were spent on spectrum management facilities. This spending has improved spectrum management and has contributed to the deployment of radio services. In 1998, the fee mechanism was adjusted to make fee collection formulas simpler, in order to avoid ambiguity and reduce the cost of fee collecting.</w:t>
      </w:r>
      <w:bookmarkStart w:id="1653" w:name="_Toc459746744"/>
      <w:r w:rsidRPr="000B72C3">
        <w:rPr>
          <w:rFonts w:hint="eastAsia"/>
          <w:lang w:val="en-US"/>
        </w:rPr>
        <w:t xml:space="preserve"> </w:t>
      </w:r>
      <w:r w:rsidRPr="000B72C3">
        <w:rPr>
          <w:rFonts w:hint="eastAsia"/>
          <w:lang w:val="en-US" w:eastAsia="zh-CN"/>
        </w:rPr>
        <w:t>In the period of</w:t>
      </w:r>
      <w:r w:rsidRPr="000B72C3">
        <w:rPr>
          <w:lang w:val="en-US" w:eastAsia="zh-CN"/>
        </w:rPr>
        <w:t xml:space="preserve"> </w:t>
      </w:r>
      <w:r w:rsidRPr="00AD025E">
        <w:rPr>
          <w:rFonts w:hint="eastAsia"/>
          <w:lang w:val="en-US"/>
        </w:rPr>
        <w:t>2009</w:t>
      </w:r>
      <w:r>
        <w:rPr>
          <w:rFonts w:hint="eastAsia"/>
          <w:lang w:val="en-US" w:eastAsia="zh-CN"/>
        </w:rPr>
        <w:t xml:space="preserve"> to </w:t>
      </w:r>
      <w:r w:rsidRPr="00AD025E">
        <w:rPr>
          <w:rFonts w:hint="eastAsia"/>
          <w:lang w:val="en-US"/>
        </w:rPr>
        <w:t>2012</w:t>
      </w:r>
      <w:r>
        <w:rPr>
          <w:lang w:val="en-US"/>
        </w:rPr>
        <w:t xml:space="preserve">, </w:t>
      </w:r>
      <w:r w:rsidRPr="00CB6CBA">
        <w:rPr>
          <w:lang w:val="en-US"/>
        </w:rPr>
        <w:t>the Radio Regulatory Department</w:t>
      </w:r>
      <w:r>
        <w:rPr>
          <w:rFonts w:hint="eastAsia"/>
          <w:lang w:val="en-US" w:eastAsia="zh-CN"/>
        </w:rPr>
        <w:t xml:space="preserve"> has published </w:t>
      </w:r>
      <w:r w:rsidRPr="008B706D">
        <w:rPr>
          <w:lang w:val="en-US" w:eastAsia="zh-CN"/>
        </w:rPr>
        <w:t>legislation</w:t>
      </w:r>
      <w:r>
        <w:rPr>
          <w:rFonts w:hint="eastAsia"/>
          <w:lang w:val="en-US" w:eastAsia="zh-CN"/>
        </w:rPr>
        <w:t>s c</w:t>
      </w:r>
      <w:r w:rsidRPr="008B706D">
        <w:rPr>
          <w:lang w:val="en-US" w:eastAsia="zh-CN"/>
        </w:rPr>
        <w:t xml:space="preserve">ontinuously </w:t>
      </w:r>
      <w:r>
        <w:rPr>
          <w:rFonts w:hint="eastAsia"/>
          <w:lang w:val="en-US" w:eastAsia="zh-CN"/>
        </w:rPr>
        <w:t>as follows:&lt;</w:t>
      </w:r>
      <w:r w:rsidRPr="000B72C3">
        <w:rPr>
          <w:lang w:val="en-US"/>
        </w:rPr>
        <w:t xml:space="preserve"> </w:t>
      </w:r>
      <w:r w:rsidRPr="00346248">
        <w:rPr>
          <w:lang w:val="en-US" w:eastAsia="zh-CN"/>
        </w:rPr>
        <w:t xml:space="preserve">Measures for the Administration of the </w:t>
      </w:r>
      <w:r>
        <w:rPr>
          <w:rFonts w:hint="eastAsia"/>
          <w:lang w:val="en-US" w:eastAsia="zh-CN"/>
        </w:rPr>
        <w:t>R</w:t>
      </w:r>
      <w:r w:rsidRPr="00346248">
        <w:rPr>
          <w:lang w:val="en-US" w:eastAsia="zh-CN"/>
        </w:rPr>
        <w:t xml:space="preserve">adio </w:t>
      </w:r>
      <w:r>
        <w:rPr>
          <w:rFonts w:hint="eastAsia"/>
          <w:lang w:val="en-US" w:eastAsia="zh-CN"/>
        </w:rPr>
        <w:t>F</w:t>
      </w:r>
      <w:r w:rsidRPr="00346248">
        <w:rPr>
          <w:lang w:val="en-US" w:eastAsia="zh-CN"/>
        </w:rPr>
        <w:t xml:space="preserve">requency </w:t>
      </w:r>
      <w:r>
        <w:rPr>
          <w:rFonts w:hint="eastAsia"/>
          <w:lang w:val="en-US" w:eastAsia="zh-CN"/>
        </w:rPr>
        <w:t>O</w:t>
      </w:r>
      <w:r w:rsidRPr="00346248">
        <w:rPr>
          <w:lang w:val="en-US" w:eastAsia="zh-CN"/>
        </w:rPr>
        <w:t xml:space="preserve">ccupation </w:t>
      </w:r>
      <w:r>
        <w:rPr>
          <w:rFonts w:hint="eastAsia"/>
          <w:lang w:val="en-US" w:eastAsia="zh-CN"/>
        </w:rPr>
        <w:t>F</w:t>
      </w:r>
      <w:r w:rsidRPr="00346248">
        <w:rPr>
          <w:lang w:val="en-US" w:eastAsia="zh-CN"/>
        </w:rPr>
        <w:t>ee</w:t>
      </w:r>
      <w:r w:rsidRPr="00346248">
        <w:rPr>
          <w:rFonts w:hint="eastAsia"/>
          <w:lang w:val="en-US" w:eastAsia="zh-CN"/>
        </w:rPr>
        <w:t xml:space="preserve"> </w:t>
      </w:r>
      <w:r>
        <w:rPr>
          <w:rFonts w:hint="eastAsia"/>
          <w:lang w:val="en-US" w:eastAsia="zh-CN"/>
        </w:rPr>
        <w:t>&gt;,&lt;</w:t>
      </w:r>
      <w:r w:rsidRPr="000B72C3">
        <w:rPr>
          <w:lang w:val="en-US"/>
        </w:rPr>
        <w:t xml:space="preserve"> </w:t>
      </w:r>
      <w:r w:rsidRPr="008B706D">
        <w:rPr>
          <w:lang w:val="en-US" w:eastAsia="zh-CN"/>
        </w:rPr>
        <w:t>Radio Frequency Allocation of the People</w:t>
      </w:r>
      <w:r w:rsidR="006E25B8">
        <w:rPr>
          <w:lang w:val="en-US" w:eastAsia="zh-CN"/>
        </w:rPr>
        <w:t>ʼ</w:t>
      </w:r>
      <w:r w:rsidRPr="008B706D">
        <w:rPr>
          <w:lang w:val="en-US" w:eastAsia="zh-CN"/>
        </w:rPr>
        <w:t>s Republic of China (2010)</w:t>
      </w:r>
      <w:r>
        <w:rPr>
          <w:lang w:val="en-US" w:eastAsia="zh-CN"/>
        </w:rPr>
        <w:t xml:space="preserve"> </w:t>
      </w:r>
      <w:r>
        <w:rPr>
          <w:rFonts w:hint="eastAsia"/>
          <w:lang w:val="en-US" w:eastAsia="zh-CN"/>
        </w:rPr>
        <w:t>&gt;.</w:t>
      </w:r>
      <w:r>
        <w:rPr>
          <w:lang w:val="en-US" w:eastAsia="zh-CN"/>
        </w:rPr>
        <w:t xml:space="preserve"> </w:t>
      </w:r>
      <w:r>
        <w:rPr>
          <w:rFonts w:hint="eastAsia"/>
          <w:lang w:val="en-US" w:eastAsia="zh-CN"/>
        </w:rPr>
        <w:t>T</w:t>
      </w:r>
      <w:r w:rsidRPr="00B33412">
        <w:rPr>
          <w:lang w:val="en-US" w:eastAsia="zh-CN"/>
        </w:rPr>
        <w:t>he spectrum management policy and spectrum fees policy</w:t>
      </w:r>
      <w:r>
        <w:rPr>
          <w:lang w:val="en-US" w:eastAsia="zh-CN"/>
        </w:rPr>
        <w:t xml:space="preserve"> </w:t>
      </w:r>
      <w:r>
        <w:rPr>
          <w:rFonts w:hint="eastAsia"/>
          <w:lang w:val="en-US" w:eastAsia="zh-CN"/>
        </w:rPr>
        <w:t>are c</w:t>
      </w:r>
      <w:r w:rsidRPr="008B706D">
        <w:rPr>
          <w:lang w:val="en-US" w:eastAsia="zh-CN"/>
        </w:rPr>
        <w:t>ontinuously</w:t>
      </w:r>
      <w:r w:rsidRPr="00B33412">
        <w:rPr>
          <w:lang w:val="en-US" w:eastAsia="zh-CN"/>
        </w:rPr>
        <w:t xml:space="preserve"> promote</w:t>
      </w:r>
      <w:r>
        <w:rPr>
          <w:rFonts w:hint="eastAsia"/>
          <w:lang w:val="en-US" w:eastAsia="zh-CN"/>
        </w:rPr>
        <w:t>d</w:t>
      </w:r>
      <w:r w:rsidRPr="00B33412">
        <w:rPr>
          <w:lang w:val="en-US" w:eastAsia="zh-CN"/>
        </w:rPr>
        <w:t xml:space="preserve"> </w:t>
      </w:r>
      <w:r>
        <w:rPr>
          <w:rFonts w:hint="eastAsia"/>
          <w:lang w:val="en-US" w:eastAsia="zh-CN"/>
        </w:rPr>
        <w:t xml:space="preserve">to </w:t>
      </w:r>
      <w:r w:rsidRPr="00B33412">
        <w:rPr>
          <w:lang w:val="en-US" w:eastAsia="zh-CN"/>
        </w:rPr>
        <w:t>convergence</w:t>
      </w:r>
      <w:r>
        <w:rPr>
          <w:rFonts w:hint="eastAsia"/>
          <w:lang w:val="en-US" w:eastAsia="zh-CN"/>
        </w:rPr>
        <w:t xml:space="preserve"> well.</w:t>
      </w:r>
    </w:p>
    <w:p w:rsidR="00CA3B52" w:rsidRPr="00CB6CBA" w:rsidRDefault="00CA3B52" w:rsidP="00CA3B52">
      <w:pPr>
        <w:rPr>
          <w:lang w:val="en-US"/>
        </w:rPr>
      </w:pPr>
      <w:r>
        <w:rPr>
          <w:rFonts w:ascii="TimesNewRoman" w:hAnsi="TimesNewRoman" w:cs="TimesNewRoman"/>
          <w:szCs w:val="24"/>
          <w:lang w:val="en-US" w:eastAsia="zh-CN"/>
        </w:rPr>
        <w:t>Fee collecting in China is not only regarded as a source of revenue but also an effective means of</w:t>
      </w:r>
      <w:r>
        <w:rPr>
          <w:rFonts w:ascii="TimesNewRoman" w:hAnsi="TimesNewRoman" w:cs="TimesNewRoman" w:hint="eastAsia"/>
          <w:szCs w:val="24"/>
          <w:lang w:val="en-US" w:eastAsia="zh-CN"/>
        </w:rPr>
        <w:t xml:space="preserve"> </w:t>
      </w:r>
      <w:r>
        <w:rPr>
          <w:rFonts w:ascii="TimesNewRoman" w:hAnsi="TimesNewRoman" w:cs="TimesNewRoman"/>
          <w:szCs w:val="24"/>
          <w:lang w:val="en-US" w:eastAsia="zh-CN"/>
        </w:rPr>
        <w:t>increasing the efficiency of spectrum management.</w:t>
      </w:r>
      <w:r w:rsidRPr="000B72C3">
        <w:rPr>
          <w:lang w:val="en-US"/>
        </w:rPr>
        <w:t xml:space="preserve"> </w:t>
      </w:r>
      <w:r w:rsidRPr="00346248">
        <w:rPr>
          <w:rFonts w:ascii="TimesNewRoman" w:hAnsi="TimesNewRoman" w:cs="TimesNewRoman"/>
          <w:szCs w:val="24"/>
          <w:lang w:val="en-US" w:eastAsia="zh-CN"/>
        </w:rPr>
        <w:t>At present, China</w:t>
      </w:r>
      <w:r>
        <w:rPr>
          <w:rFonts w:ascii="TimesNewRoman" w:hAnsi="TimesNewRoman" w:cs="TimesNewRoman"/>
          <w:szCs w:val="24"/>
          <w:lang w:val="en-US" w:eastAsia="zh-CN"/>
        </w:rPr>
        <w:t>ʼ</w:t>
      </w:r>
      <w:r w:rsidRPr="00346248">
        <w:rPr>
          <w:rFonts w:ascii="TimesNewRoman" w:hAnsi="TimesNewRoman" w:cs="TimesNewRoman"/>
          <w:szCs w:val="24"/>
          <w:lang w:val="en-US" w:eastAsia="zh-CN"/>
        </w:rPr>
        <w:t>s charging policy take</w:t>
      </w:r>
      <w:r>
        <w:rPr>
          <w:rFonts w:ascii="TimesNewRoman" w:hAnsi="TimesNewRoman" w:cs="TimesNewRoman" w:hint="eastAsia"/>
          <w:szCs w:val="24"/>
          <w:lang w:val="en-US" w:eastAsia="zh-CN"/>
        </w:rPr>
        <w:t>s the mode of</w:t>
      </w:r>
      <w:r w:rsidRPr="00346248">
        <w:rPr>
          <w:rFonts w:ascii="TimesNewRoman" w:hAnsi="TimesNewRoman" w:cs="TimesNewRoman"/>
          <w:szCs w:val="24"/>
          <w:lang w:val="en-US" w:eastAsia="zh-CN"/>
        </w:rPr>
        <w:t xml:space="preserve"> charge and expenditure management by different government departments.</w:t>
      </w:r>
      <w:r>
        <w:rPr>
          <w:rFonts w:ascii="TimesNewRoman" w:hAnsi="TimesNewRoman" w:cs="TimesNewRoman"/>
          <w:szCs w:val="24"/>
          <w:lang w:val="en-US" w:eastAsia="zh-CN"/>
        </w:rPr>
        <w:t xml:space="preserve"> The following factors are taken into consideration when setting fee levels:</w:t>
      </w:r>
    </w:p>
    <w:p w:rsidR="00CA3B52" w:rsidRPr="00CB6CBA" w:rsidRDefault="00CA3B52" w:rsidP="00CA3B52">
      <w:pPr>
        <w:pStyle w:val="enumlev1"/>
        <w:rPr>
          <w:lang w:val="en-US"/>
        </w:rPr>
      </w:pPr>
      <w:r w:rsidRPr="00CB6CBA">
        <w:rPr>
          <w:lang w:val="en-US"/>
        </w:rPr>
        <w:t>–</w:t>
      </w:r>
      <w:r w:rsidRPr="00CB6CBA">
        <w:rPr>
          <w:lang w:val="en-US"/>
        </w:rPr>
        <w:tab/>
      </w:r>
      <w:r w:rsidRPr="00CB6CBA">
        <w:rPr>
          <w:i/>
          <w:iCs/>
          <w:lang w:val="en-US"/>
        </w:rPr>
        <w:t>Bandwidth used</w:t>
      </w:r>
      <w:bookmarkEnd w:id="1653"/>
      <w:r w:rsidRPr="00CB6CBA">
        <w:rPr>
          <w:lang w:val="en-US"/>
        </w:rPr>
        <w:t>: Setting the fee level according to the amount of spectrum a user receives encourages the applicant to apply for only the necessary amount of spectrum, thus reducing hoarding.</w:t>
      </w:r>
    </w:p>
    <w:p w:rsidR="00CA3B52" w:rsidRPr="00CB6CBA" w:rsidRDefault="00CA3B52" w:rsidP="00CA3B52">
      <w:pPr>
        <w:pStyle w:val="enumlev1"/>
        <w:rPr>
          <w:lang w:val="en-US"/>
        </w:rPr>
      </w:pPr>
      <w:bookmarkStart w:id="1654" w:name="_Toc459746745"/>
      <w:r w:rsidRPr="00CB6CBA">
        <w:rPr>
          <w:lang w:val="en-US"/>
        </w:rPr>
        <w:t>–</w:t>
      </w:r>
      <w:r w:rsidRPr="00CB6CBA">
        <w:rPr>
          <w:lang w:val="en-US"/>
        </w:rPr>
        <w:tab/>
      </w:r>
      <w:r w:rsidRPr="00CB6CBA">
        <w:rPr>
          <w:i/>
          <w:iCs/>
          <w:lang w:val="en-US"/>
        </w:rPr>
        <w:t>Coverage area</w:t>
      </w:r>
      <w:bookmarkEnd w:id="1654"/>
      <w:r w:rsidRPr="00CB6CBA">
        <w:rPr>
          <w:lang w:val="en-US"/>
        </w:rPr>
        <w:t>: The coverage area may be a city, a province or more than one province. For each type of coverage area, there is a different fee level.</w:t>
      </w:r>
    </w:p>
    <w:p w:rsidR="00CA3B52" w:rsidRDefault="00CA3B52" w:rsidP="00CA3B52">
      <w:pPr>
        <w:pStyle w:val="enumlev1"/>
        <w:rPr>
          <w:lang w:val="en-US"/>
        </w:rPr>
      </w:pPr>
      <w:bookmarkStart w:id="1655" w:name="_Toc459746746"/>
      <w:r w:rsidRPr="00CB6CBA">
        <w:rPr>
          <w:lang w:val="en-US"/>
        </w:rPr>
        <w:t>–</w:t>
      </w:r>
      <w:r w:rsidRPr="00CB6CBA">
        <w:rPr>
          <w:lang w:val="en-US"/>
        </w:rPr>
        <w:tab/>
      </w:r>
      <w:r w:rsidRPr="00CB6CBA">
        <w:rPr>
          <w:i/>
          <w:iCs/>
          <w:lang w:val="en-US"/>
        </w:rPr>
        <w:t>Frequency</w:t>
      </w:r>
      <w:bookmarkEnd w:id="1655"/>
      <w:r w:rsidRPr="00CB6CBA">
        <w:rPr>
          <w:lang w:val="en-US"/>
        </w:rPr>
        <w:t xml:space="preserve">: For the same service, different fees are charged, depending on the frequency band. For example, the fee per MHz for a microwave station operating above 10 GHz is only half as much as for a station operating below 10 GHz. Thus, the fee structure encourages service operators to introduce new services in less congested parts of the spectrum. </w:t>
      </w:r>
    </w:p>
    <w:p w:rsidR="00CA3B52" w:rsidRDefault="00CA3B52" w:rsidP="00CA3B52">
      <w:pPr>
        <w:widowControl w:val="0"/>
        <w:overflowPunct/>
        <w:textAlignment w:val="auto"/>
        <w:rPr>
          <w:rFonts w:ascii="TimesNewRoman" w:hAnsi="TimesNewRoman" w:cs="TimesNewRoman"/>
          <w:szCs w:val="24"/>
          <w:lang w:val="en-US" w:eastAsia="zh-CN"/>
        </w:rPr>
      </w:pPr>
      <w:r>
        <w:rPr>
          <w:rFonts w:ascii="TimesNewRoman" w:hAnsi="TimesNewRoman" w:cs="TimesNewRoman"/>
          <w:szCs w:val="24"/>
          <w:lang w:val="en-US" w:eastAsia="zh-CN"/>
        </w:rPr>
        <w:t>The following factors are taken into</w:t>
      </w:r>
      <w:r>
        <w:rPr>
          <w:rFonts w:ascii="TimesNewRoman" w:hAnsi="TimesNewRoman" w:cs="TimesNewRoman" w:hint="eastAsia"/>
          <w:szCs w:val="24"/>
          <w:lang w:val="en-US" w:eastAsia="zh-CN"/>
        </w:rPr>
        <w:t xml:space="preserve"> </w:t>
      </w:r>
      <w:r>
        <w:rPr>
          <w:rFonts w:ascii="TimesNewRoman" w:hAnsi="TimesNewRoman" w:cs="TimesNewRoman"/>
          <w:szCs w:val="24"/>
          <w:lang w:val="en-US" w:eastAsia="zh-CN"/>
        </w:rPr>
        <w:t xml:space="preserve">consideration when setting </w:t>
      </w:r>
      <w:r w:rsidRPr="00A12AC4">
        <w:rPr>
          <w:rFonts w:ascii="TimesNewRoman" w:hAnsi="TimesNewRoman" w:cs="TimesNewRoman"/>
          <w:szCs w:val="24"/>
          <w:lang w:val="en-US" w:eastAsia="zh-CN"/>
        </w:rPr>
        <w:t>expenses</w:t>
      </w:r>
      <w:r>
        <w:rPr>
          <w:rFonts w:ascii="TimesNewRoman" w:hAnsi="TimesNewRoman" w:cs="TimesNewRoman"/>
          <w:szCs w:val="24"/>
          <w:lang w:val="en-US" w:eastAsia="zh-CN"/>
        </w:rPr>
        <w:t xml:space="preserve"> levels:</w:t>
      </w:r>
    </w:p>
    <w:p w:rsidR="00CA3B52" w:rsidRDefault="00CA3B52" w:rsidP="00CA3B52">
      <w:pPr>
        <w:pStyle w:val="enumlev1"/>
        <w:rPr>
          <w:lang w:val="en-US" w:eastAsia="zh-CN"/>
        </w:rPr>
      </w:pPr>
      <w:r>
        <w:rPr>
          <w:lang w:val="en-US" w:eastAsia="zh-CN"/>
        </w:rPr>
        <w:t>–</w:t>
      </w:r>
      <w:r>
        <w:rPr>
          <w:lang w:val="en-US" w:eastAsia="zh-CN"/>
        </w:rPr>
        <w:tab/>
      </w:r>
      <w:r>
        <w:rPr>
          <w:rFonts w:hint="eastAsia"/>
          <w:i/>
          <w:iCs/>
          <w:lang w:val="en-US" w:eastAsia="zh-CN"/>
        </w:rPr>
        <w:t>Base factor</w:t>
      </w:r>
      <w:r>
        <w:rPr>
          <w:lang w:val="en-US" w:eastAsia="zh-CN"/>
        </w:rPr>
        <w:t>:</w:t>
      </w:r>
      <w:r w:rsidRPr="00262237">
        <w:rPr>
          <w:lang w:val="en-US"/>
        </w:rPr>
        <w:t xml:space="preserve"> </w:t>
      </w:r>
      <w:r w:rsidRPr="00A12AC4">
        <w:rPr>
          <w:lang w:val="en-US" w:eastAsia="zh-CN"/>
        </w:rPr>
        <w:t>Calculated in accordance with the value of houses and buildings, vehicles</w:t>
      </w:r>
      <w:r>
        <w:rPr>
          <w:rFonts w:hint="eastAsia"/>
          <w:lang w:val="en-US" w:eastAsia="zh-CN"/>
        </w:rPr>
        <w:t>,</w:t>
      </w:r>
      <w:r>
        <w:rPr>
          <w:lang w:val="en-US" w:eastAsia="zh-CN"/>
        </w:rPr>
        <w:t xml:space="preserve"> </w:t>
      </w:r>
      <w:r>
        <w:rPr>
          <w:rFonts w:hint="eastAsia"/>
          <w:lang w:val="en-US" w:eastAsia="zh-CN"/>
        </w:rPr>
        <w:t>specified equipments of radio management.</w:t>
      </w:r>
    </w:p>
    <w:p w:rsidR="00CA3B52" w:rsidRPr="00262237" w:rsidRDefault="00CA3B52" w:rsidP="00CA3B52">
      <w:pPr>
        <w:pStyle w:val="enumlev1"/>
        <w:rPr>
          <w:b/>
          <w:bCs/>
          <w:lang w:val="en-US" w:eastAsia="zh-CN"/>
        </w:rPr>
      </w:pPr>
      <w:r>
        <w:rPr>
          <w:lang w:val="en-US" w:eastAsia="zh-CN"/>
        </w:rPr>
        <w:t>–</w:t>
      </w:r>
      <w:r>
        <w:rPr>
          <w:lang w:val="en-US" w:eastAsia="zh-CN"/>
        </w:rPr>
        <w:tab/>
      </w:r>
      <w:r w:rsidRPr="007C6DD0">
        <w:rPr>
          <w:i/>
          <w:iCs/>
          <w:lang w:val="en-US" w:eastAsia="zh-CN"/>
        </w:rPr>
        <w:t>Dynamic</w:t>
      </w:r>
      <w:r>
        <w:rPr>
          <w:rFonts w:hint="eastAsia"/>
          <w:i/>
          <w:iCs/>
          <w:lang w:val="en-US" w:eastAsia="zh-CN"/>
        </w:rPr>
        <w:t xml:space="preserve"> factor</w:t>
      </w:r>
      <w:r>
        <w:rPr>
          <w:lang w:val="en-US" w:eastAsia="zh-CN"/>
        </w:rPr>
        <w:t>:</w:t>
      </w:r>
      <w:r w:rsidRPr="00262237">
        <w:rPr>
          <w:lang w:val="en-US"/>
        </w:rPr>
        <w:t xml:space="preserve"> </w:t>
      </w:r>
      <w:r>
        <w:rPr>
          <w:rFonts w:hint="eastAsia"/>
          <w:lang w:val="en-US" w:eastAsia="zh-CN"/>
        </w:rPr>
        <w:t>C</w:t>
      </w:r>
      <w:r w:rsidRPr="007C6DD0">
        <w:rPr>
          <w:lang w:val="en-US" w:eastAsia="zh-CN"/>
        </w:rPr>
        <w:t xml:space="preserve">onsideration </w:t>
      </w:r>
      <w:r>
        <w:rPr>
          <w:rFonts w:hint="eastAsia"/>
          <w:lang w:val="en-US" w:eastAsia="zh-CN"/>
        </w:rPr>
        <w:t xml:space="preserve">by the number of </w:t>
      </w:r>
      <w:r w:rsidRPr="007C6DD0">
        <w:rPr>
          <w:lang w:val="en-US" w:eastAsia="zh-CN"/>
        </w:rPr>
        <w:t>management area</w:t>
      </w:r>
      <w:r>
        <w:rPr>
          <w:rFonts w:hint="eastAsia"/>
          <w:lang w:val="en-US" w:eastAsia="zh-CN"/>
        </w:rPr>
        <w:t>s</w:t>
      </w:r>
      <w:r w:rsidRPr="007C6DD0">
        <w:rPr>
          <w:lang w:val="en-US" w:eastAsia="zh-CN"/>
        </w:rPr>
        <w:t>, radio station</w:t>
      </w:r>
      <w:r>
        <w:rPr>
          <w:rFonts w:hint="eastAsia"/>
          <w:lang w:val="en-US" w:eastAsia="zh-CN"/>
        </w:rPr>
        <w:t>s,</w:t>
      </w:r>
      <w:r w:rsidRPr="007C6DD0">
        <w:rPr>
          <w:lang w:val="en-US" w:eastAsia="zh-CN"/>
        </w:rPr>
        <w:t xml:space="preserve"> </w:t>
      </w:r>
      <w:r>
        <w:rPr>
          <w:rFonts w:hint="eastAsia"/>
          <w:lang w:val="en-US" w:eastAsia="zh-CN"/>
        </w:rPr>
        <w:t xml:space="preserve">plan and investment of </w:t>
      </w:r>
      <w:r w:rsidRPr="007C6DD0">
        <w:rPr>
          <w:lang w:val="en-US" w:eastAsia="zh-CN"/>
        </w:rPr>
        <w:t>management facilities construction.</w:t>
      </w:r>
    </w:p>
    <w:p w:rsidR="00CA3B52" w:rsidRPr="00CB6CBA" w:rsidRDefault="00CA3B52" w:rsidP="00CA3B52">
      <w:pPr>
        <w:pStyle w:val="enumlev1"/>
        <w:rPr>
          <w:lang w:val="en-US"/>
        </w:rPr>
      </w:pPr>
      <w:r>
        <w:rPr>
          <w:lang w:val="en-US" w:eastAsia="zh-CN"/>
        </w:rPr>
        <w:t>–</w:t>
      </w:r>
      <w:r>
        <w:rPr>
          <w:lang w:val="en-US" w:eastAsia="zh-CN"/>
        </w:rPr>
        <w:tab/>
      </w:r>
      <w:r>
        <w:rPr>
          <w:rFonts w:hint="eastAsia"/>
          <w:i/>
          <w:iCs/>
          <w:lang w:val="en-US" w:eastAsia="zh-CN"/>
        </w:rPr>
        <w:t>Other factor</w:t>
      </w:r>
      <w:r>
        <w:rPr>
          <w:lang w:val="en-US" w:eastAsia="zh-CN"/>
        </w:rPr>
        <w:t>:</w:t>
      </w:r>
      <w:r w:rsidRPr="00262237">
        <w:rPr>
          <w:lang w:val="en-US"/>
        </w:rPr>
        <w:t xml:space="preserve"> </w:t>
      </w:r>
      <w:r>
        <w:rPr>
          <w:rFonts w:hint="eastAsia"/>
          <w:lang w:val="en-US" w:eastAsia="zh-CN"/>
        </w:rPr>
        <w:t>C</w:t>
      </w:r>
      <w:r w:rsidRPr="007C6DD0">
        <w:rPr>
          <w:lang w:val="en-US" w:eastAsia="zh-CN"/>
        </w:rPr>
        <w:t>onsideration</w:t>
      </w:r>
      <w:r w:rsidRPr="00BA1A80">
        <w:rPr>
          <w:lang w:val="en-US" w:eastAsia="zh-CN"/>
        </w:rPr>
        <w:t xml:space="preserve"> </w:t>
      </w:r>
      <w:r>
        <w:rPr>
          <w:rFonts w:hint="eastAsia"/>
          <w:lang w:val="en-US" w:eastAsia="zh-CN"/>
        </w:rPr>
        <w:t>by others such as m</w:t>
      </w:r>
      <w:r w:rsidRPr="00BA1A80">
        <w:rPr>
          <w:lang w:val="en-US" w:eastAsia="zh-CN"/>
        </w:rPr>
        <w:t>ajor events, radio technology and equ</w:t>
      </w:r>
      <w:r>
        <w:rPr>
          <w:lang w:val="en-US" w:eastAsia="zh-CN"/>
        </w:rPr>
        <w:t>ipment research and development</w:t>
      </w:r>
      <w:r>
        <w:rPr>
          <w:rFonts w:hint="eastAsia"/>
          <w:lang w:val="en-US" w:eastAsia="zh-CN"/>
        </w:rPr>
        <w:t>,</w:t>
      </w:r>
      <w:r>
        <w:rPr>
          <w:lang w:val="en-US" w:eastAsia="zh-CN"/>
        </w:rPr>
        <w:t xml:space="preserve"> </w:t>
      </w:r>
      <w:r w:rsidRPr="00BA1A80">
        <w:rPr>
          <w:lang w:val="en-US" w:eastAsia="zh-CN"/>
        </w:rPr>
        <w:t>communication support and other factors</w:t>
      </w:r>
      <w:r>
        <w:rPr>
          <w:rFonts w:hint="eastAsia"/>
          <w:lang w:val="en-US" w:eastAsia="zh-CN"/>
        </w:rPr>
        <w:t>.</w:t>
      </w:r>
    </w:p>
    <w:p w:rsidR="00CA3B52" w:rsidRPr="00CB6CBA" w:rsidRDefault="00CA3B52" w:rsidP="00CA3B52">
      <w:pPr>
        <w:rPr>
          <w:lang w:val="en-US"/>
        </w:rPr>
      </w:pPr>
      <w:r w:rsidRPr="00CB6CBA">
        <w:rPr>
          <w:lang w:val="en-US"/>
        </w:rPr>
        <w:t>According to factors mentioned above, China’s license fees policies are implemented in two ways. The first one is that fees are collected according to the bandwidth of assigned spectrum. For example, mobile communication operators apply for many frequency spectrum</w:t>
      </w:r>
      <w:r w:rsidRPr="00CB6CBA">
        <w:rPr>
          <w:lang w:val="en-US" w:eastAsia="zh-CN"/>
        </w:rPr>
        <w:t>s</w:t>
      </w:r>
      <w:r w:rsidRPr="00CB6CBA">
        <w:rPr>
          <w:lang w:val="en-US"/>
        </w:rPr>
        <w:t xml:space="preserve"> to construct their networks. In order to encourage operators to make full use of spectrum and to provide more convenient service for the public, license fees of mobile communication networks are charged according to the </w:t>
      </w:r>
      <w:r w:rsidRPr="00CB6CBA">
        <w:rPr>
          <w:lang w:val="en-US" w:eastAsia="zh-CN"/>
        </w:rPr>
        <w:t xml:space="preserve">total </w:t>
      </w:r>
      <w:r w:rsidRPr="00CB6CBA">
        <w:rPr>
          <w:lang w:val="en-US"/>
        </w:rPr>
        <w:t>width</w:t>
      </w:r>
      <w:r w:rsidRPr="00CB6CBA">
        <w:rPr>
          <w:lang w:val="en-US" w:eastAsia="zh-CN"/>
        </w:rPr>
        <w:t xml:space="preserve"> of spectrums which allocated to the network</w:t>
      </w:r>
      <w:r w:rsidRPr="00CB6CBA">
        <w:rPr>
          <w:lang w:val="en-US"/>
        </w:rPr>
        <w:t xml:space="preserve">, but not levied for every station in the network. Meanwhile, as radio waves in different frequency bands have different characteristics, the license fee policy (price for spectrums) varies in different bands used by mobile communication. For example, compared with radio waves in 1 800 MHz band, those in 900 MHz </w:t>
      </w:r>
      <w:r w:rsidRPr="00CB6CBA">
        <w:rPr>
          <w:lang w:val="en-US"/>
        </w:rPr>
        <w:lastRenderedPageBreak/>
        <w:t xml:space="preserve">band have better propagation characteristics and larger coverage. Therefore, the price of spectrum in 900 MHz band is higher than that of in 1 800 MHz band by 13.3%. The second way of license fee charging is that services operators pay for every station that has been assigned frequencies, such as earth station, microwave station. </w:t>
      </w:r>
    </w:p>
    <w:p w:rsidR="00CA3B52" w:rsidRPr="00CB6CBA" w:rsidRDefault="00CA3B52" w:rsidP="00CA3B52">
      <w:pPr>
        <w:rPr>
          <w:lang w:val="en-US"/>
        </w:rPr>
      </w:pPr>
      <w:r w:rsidRPr="00CB6CBA">
        <w:rPr>
          <w:lang w:val="en-US"/>
        </w:rPr>
        <w:t>In additional, there’re some favorable policies. For instance, stations meet with the followed situation can be exempt from license fees:</w:t>
      </w:r>
    </w:p>
    <w:p w:rsidR="00CA3B52" w:rsidRPr="00CB6CBA" w:rsidRDefault="00CA3B52" w:rsidP="00CA3B52">
      <w:pPr>
        <w:pStyle w:val="enumlev1"/>
        <w:rPr>
          <w:lang w:val="en-US"/>
        </w:rPr>
      </w:pPr>
      <w:r>
        <w:rPr>
          <w:lang w:val="en-US"/>
        </w:rPr>
        <w:t>1.</w:t>
      </w:r>
      <w:r w:rsidRPr="00CB6CBA">
        <w:rPr>
          <w:lang w:val="en-US"/>
        </w:rPr>
        <w:tab/>
        <w:t>Stations set up by government for official business</w:t>
      </w:r>
      <w:r>
        <w:rPr>
          <w:lang w:val="en-US"/>
        </w:rPr>
        <w:t>.</w:t>
      </w:r>
    </w:p>
    <w:p w:rsidR="00CA3B52" w:rsidRPr="00CB6CBA" w:rsidRDefault="00CA3B52" w:rsidP="00CA3B52">
      <w:pPr>
        <w:pStyle w:val="enumlev1"/>
        <w:rPr>
          <w:lang w:val="en-US"/>
        </w:rPr>
      </w:pPr>
      <w:r>
        <w:rPr>
          <w:lang w:val="en-US"/>
        </w:rPr>
        <w:t>2.</w:t>
      </w:r>
      <w:r w:rsidRPr="00CB6CBA">
        <w:rPr>
          <w:lang w:val="en-US"/>
        </w:rPr>
        <w:tab/>
        <w:t>Special stations for national defense</w:t>
      </w:r>
      <w:r>
        <w:rPr>
          <w:lang w:val="en-US"/>
        </w:rPr>
        <w:t>.</w:t>
      </w:r>
    </w:p>
    <w:p w:rsidR="00CA3B52" w:rsidRPr="00CB6CBA" w:rsidRDefault="00CA3B52" w:rsidP="00CA3B52">
      <w:pPr>
        <w:pStyle w:val="enumlev1"/>
        <w:rPr>
          <w:lang w:val="en-US"/>
        </w:rPr>
      </w:pPr>
      <w:r>
        <w:rPr>
          <w:lang w:val="en-US"/>
        </w:rPr>
        <w:t>3.</w:t>
      </w:r>
      <w:r w:rsidRPr="00CB6CBA">
        <w:rPr>
          <w:lang w:val="en-US"/>
        </w:rPr>
        <w:tab/>
        <w:t>Official business stations owned by police, security department, justice organs, penitentiary, fishery administration</w:t>
      </w:r>
      <w:r>
        <w:rPr>
          <w:lang w:val="en-US"/>
        </w:rPr>
        <w:t>.</w:t>
      </w:r>
    </w:p>
    <w:p w:rsidR="00CA3B52" w:rsidRPr="00CB6CBA" w:rsidRDefault="00CA3B52" w:rsidP="00CA3B52">
      <w:pPr>
        <w:pStyle w:val="enumlev1"/>
        <w:rPr>
          <w:lang w:val="en-US"/>
        </w:rPr>
      </w:pPr>
      <w:r>
        <w:rPr>
          <w:lang w:val="en-US"/>
        </w:rPr>
        <w:t>4.</w:t>
      </w:r>
      <w:r w:rsidRPr="00CB6CBA">
        <w:rPr>
          <w:lang w:val="en-US"/>
        </w:rPr>
        <w:tab/>
        <w:t>Emergency rescue and disaster relief work stations, maritime distress stations on guard, safety information delivery stations, safety navigation stations</w:t>
      </w:r>
      <w:r>
        <w:rPr>
          <w:lang w:val="en-US"/>
        </w:rPr>
        <w:t>.</w:t>
      </w:r>
    </w:p>
    <w:p w:rsidR="00CA3B52" w:rsidRPr="00CB6CBA" w:rsidRDefault="00CA3B52" w:rsidP="00CA3B52">
      <w:pPr>
        <w:pStyle w:val="enumlev1"/>
        <w:rPr>
          <w:lang w:val="en-US"/>
        </w:rPr>
      </w:pPr>
      <w:r>
        <w:rPr>
          <w:lang w:val="en-US"/>
        </w:rPr>
        <w:t>5.</w:t>
      </w:r>
      <w:r w:rsidRPr="00CB6CBA">
        <w:rPr>
          <w:lang w:val="en-US"/>
        </w:rPr>
        <w:tab/>
        <w:t>Experimental stations installed by broadcasting authorities, stations for foreign radio and TV broadcasting</w:t>
      </w:r>
      <w:r>
        <w:rPr>
          <w:lang w:val="en-US"/>
        </w:rPr>
        <w:t>.</w:t>
      </w:r>
    </w:p>
    <w:p w:rsidR="00CA3B52" w:rsidRPr="00CB6CBA" w:rsidRDefault="00CA3B52" w:rsidP="00CA3B52">
      <w:pPr>
        <w:pStyle w:val="enumlev1"/>
        <w:rPr>
          <w:lang w:val="en-US"/>
        </w:rPr>
      </w:pPr>
      <w:r>
        <w:rPr>
          <w:lang w:val="en-US"/>
        </w:rPr>
        <w:t>6.</w:t>
      </w:r>
      <w:r w:rsidRPr="00CB6CBA">
        <w:rPr>
          <w:lang w:val="en-US"/>
        </w:rPr>
        <w:tab/>
        <w:t>Amateur station</w:t>
      </w:r>
      <w:r>
        <w:rPr>
          <w:lang w:val="en-US"/>
        </w:rPr>
        <w:t>.</w:t>
      </w:r>
    </w:p>
    <w:p w:rsidR="00CA3B52" w:rsidRPr="00CB6CBA" w:rsidRDefault="00CA3B52" w:rsidP="00CA3B52">
      <w:pPr>
        <w:pStyle w:val="enumlev1"/>
        <w:rPr>
          <w:lang w:val="en-US"/>
        </w:rPr>
      </w:pPr>
      <w:r>
        <w:rPr>
          <w:lang w:val="en-US"/>
        </w:rPr>
        <w:t>7.</w:t>
      </w:r>
      <w:r w:rsidRPr="00CB6CBA">
        <w:rPr>
          <w:lang w:val="en-US"/>
        </w:rPr>
        <w:tab/>
        <w:t>TV transposing stations set up by the peasant through funding.</w:t>
      </w:r>
    </w:p>
    <w:p w:rsidR="00CA3B52" w:rsidRPr="00CB6CBA" w:rsidRDefault="00CA3B52" w:rsidP="00CA3B52">
      <w:pPr>
        <w:rPr>
          <w:lang w:val="en-US" w:eastAsia="zh-CN"/>
        </w:rPr>
      </w:pPr>
      <w:r w:rsidRPr="00CB6CBA">
        <w:rPr>
          <w:lang w:val="en-US"/>
        </w:rPr>
        <w:t xml:space="preserve">The policy of license fee exemption mentioned above was carried out within the first license fee collection rule in 1998. In 2006, another favorable policy about license fees was made which primarily prompts communication and broadcast services for farmers in rural area. In a lot of rural area, economy develops correspondingly slow. In order to provide universal communication and broadcast services, the government launched a special project to set up communication and broadcast establishments in rural area, which facilitates farmers in every village of China to communicate with others and receive radio and TV broadcasting programs. To support this project, the government brings out a favorable policy which reduces or exempts the license fee of stations. In this favorable policy, the operator of any station of analog wireless access system, MMDS and SCDMA could pay the license fee at half price of normal, and the license fee of earth station, radio and TV transposing station are totally exempted. The objective of above favorable policy is to ensure people in countryside to get necessary and guaranteed radio services with low cost. </w:t>
      </w:r>
    </w:p>
    <w:p w:rsidR="00CA3B52" w:rsidRPr="00CB6CBA" w:rsidRDefault="00CA3B52" w:rsidP="00CA3B52">
      <w:pPr>
        <w:pStyle w:val="Heading3"/>
        <w:rPr>
          <w:lang w:val="en-US"/>
        </w:rPr>
      </w:pPr>
      <w:bookmarkStart w:id="1656" w:name="_Toc497033214"/>
      <w:bookmarkStart w:id="1657" w:name="_Toc497034012"/>
      <w:bookmarkStart w:id="1658" w:name="_Toc289868864"/>
      <w:bookmarkStart w:id="1659" w:name="_Toc289869024"/>
      <w:bookmarkStart w:id="1660" w:name="_Toc289932332"/>
      <w:bookmarkStart w:id="1661" w:name="_Toc289933378"/>
      <w:bookmarkStart w:id="1662" w:name="_Toc291852941"/>
      <w:bookmarkStart w:id="1663" w:name="_Toc392515925"/>
      <w:r w:rsidRPr="00CB6CBA">
        <w:rPr>
          <w:lang w:val="en-US"/>
        </w:rPr>
        <w:t>5.2.4</w:t>
      </w:r>
      <w:r w:rsidRPr="00CB6CBA">
        <w:rPr>
          <w:lang w:val="en-US"/>
        </w:rPr>
        <w:tab/>
        <w:t>Germany’s experience with spectrum usage fees</w:t>
      </w:r>
      <w:bookmarkEnd w:id="1648"/>
      <w:bookmarkEnd w:id="1649"/>
      <w:bookmarkEnd w:id="1650"/>
      <w:bookmarkEnd w:id="1651"/>
      <w:bookmarkEnd w:id="1652"/>
      <w:bookmarkEnd w:id="1656"/>
      <w:bookmarkEnd w:id="1657"/>
      <w:bookmarkEnd w:id="1658"/>
      <w:bookmarkEnd w:id="1659"/>
      <w:bookmarkEnd w:id="1660"/>
      <w:bookmarkEnd w:id="1661"/>
      <w:bookmarkEnd w:id="1662"/>
      <w:bookmarkEnd w:id="1663"/>
    </w:p>
    <w:p w:rsidR="00CA3B52" w:rsidRPr="00CB6CBA" w:rsidRDefault="00CA3B52" w:rsidP="00CA3B52">
      <w:pPr>
        <w:rPr>
          <w:lang w:val="en-US"/>
        </w:rPr>
      </w:pPr>
      <w:bookmarkStart w:id="1664" w:name="_Toc459746762"/>
      <w:bookmarkStart w:id="1665" w:name="_Toc459792672"/>
      <w:bookmarkStart w:id="1666" w:name="_Toc459793836"/>
      <w:bookmarkStart w:id="1667" w:name="_Toc459793978"/>
      <w:bookmarkStart w:id="1668" w:name="_Toc459970436"/>
      <w:r w:rsidRPr="00CB6CBA">
        <w:rPr>
          <w:lang w:val="en-US"/>
        </w:rPr>
        <w:t>The telecommunications sector in Germany is subject to the Telecommunications Act of 22</w:t>
      </w:r>
      <w:r>
        <w:rPr>
          <w:lang w:val="en-US"/>
        </w:rPr>
        <w:t> </w:t>
      </w:r>
      <w:r w:rsidRPr="00CB6CBA">
        <w:rPr>
          <w:lang w:val="en-US"/>
        </w:rPr>
        <w:t>June</w:t>
      </w:r>
      <w:r>
        <w:rPr>
          <w:lang w:val="en-US"/>
        </w:rPr>
        <w:t> </w:t>
      </w:r>
      <w:r w:rsidRPr="00CB6CBA">
        <w:rPr>
          <w:lang w:val="en-US"/>
        </w:rPr>
        <w:t>2004. The purpose of the Act is, through technology-neutral regulation, to promote competition and efficient infrastructures in telecommunications and to guarantee appropriate and adequate services throughout the Federal Repu</w:t>
      </w:r>
      <w:r>
        <w:rPr>
          <w:lang w:val="en-US"/>
        </w:rPr>
        <w:t>blic of Germany.</w:t>
      </w:r>
    </w:p>
    <w:p w:rsidR="00CA3B52" w:rsidRPr="00CB6CBA" w:rsidRDefault="00CA3B52" w:rsidP="00CA3B52">
      <w:pPr>
        <w:rPr>
          <w:lang w:val="en-US"/>
        </w:rPr>
      </w:pPr>
      <w:r w:rsidRPr="00CB6CBA">
        <w:rPr>
          <w:lang w:val="en-US"/>
        </w:rPr>
        <w:t>The Federal Network Agency for Electricity, Gas, Telecommunications, Post and Railway is a separate higher federal authority within the scope of business of the German Federal Ministry of Economics and Technology, and has its headquarters in Bonn. On 13 July 2005 the Regulatory Authority for Telecommunications and Posts which superseded the Federal Ministry of Posts and Telecommunications (BMPT) and the Federal Office for Posts and Telecommunications (BAPT), was renamed Federal Network Agency. The Federal Network Agency's task is to provide, by liberalization and deregulation, for the further development of the electricity, gas, telecommunications and postal markets and, as from 1 January 2006, also of the railway infrastructure market.</w:t>
      </w:r>
    </w:p>
    <w:p w:rsidR="00CA3B52" w:rsidRPr="00CB6CBA" w:rsidRDefault="00CA3B52" w:rsidP="00CA3B52">
      <w:pPr>
        <w:rPr>
          <w:lang w:val="en-US"/>
        </w:rPr>
      </w:pPr>
      <w:r w:rsidRPr="00CB6CBA">
        <w:rPr>
          <w:lang w:val="en-US"/>
        </w:rPr>
        <w:t>Frequency regulation is based on a national table of frequency band allocations, frequency usage plans and frequency assignment procedures.</w:t>
      </w:r>
    </w:p>
    <w:p w:rsidR="00CA3B52" w:rsidRPr="00CB6CBA" w:rsidRDefault="00CA3B52" w:rsidP="00CA3B52">
      <w:pPr>
        <w:rPr>
          <w:lang w:val="en-US"/>
        </w:rPr>
      </w:pPr>
      <w:r w:rsidRPr="00CB6CBA">
        <w:rPr>
          <w:lang w:val="en-US"/>
        </w:rPr>
        <w:t>Frequency assignment fees and frequency usage contribution charges are regulated by the Telecommunications Act and ordinances having the force of law.</w:t>
      </w:r>
    </w:p>
    <w:p w:rsidR="00CA3B52" w:rsidRPr="00CB6CBA" w:rsidRDefault="00CA3B52" w:rsidP="00CA3B52">
      <w:pPr>
        <w:pStyle w:val="Heading4"/>
        <w:rPr>
          <w:lang w:val="en-US"/>
        </w:rPr>
      </w:pPr>
      <w:bookmarkStart w:id="1669" w:name="_Toc459746751"/>
      <w:bookmarkStart w:id="1670" w:name="_Toc459792667"/>
      <w:bookmarkStart w:id="1671" w:name="_Toc459793833"/>
      <w:bookmarkStart w:id="1672" w:name="_Toc459793975"/>
      <w:bookmarkStart w:id="1673" w:name="_Toc497033215"/>
      <w:bookmarkStart w:id="1674" w:name="_Toc497034013"/>
      <w:r w:rsidRPr="00CB6CBA">
        <w:rPr>
          <w:lang w:val="en-US"/>
        </w:rPr>
        <w:lastRenderedPageBreak/>
        <w:t>5.2.4.1</w:t>
      </w:r>
      <w:r w:rsidRPr="00CB6CBA">
        <w:rPr>
          <w:lang w:val="en-US"/>
        </w:rPr>
        <w:tab/>
        <w:t>Frequency assignment and frequency assignment fees</w:t>
      </w:r>
    </w:p>
    <w:p w:rsidR="00CA3B52" w:rsidRPr="00CB6CBA" w:rsidRDefault="00CA3B52" w:rsidP="00CA3B52">
      <w:pPr>
        <w:rPr>
          <w:lang w:val="en-US"/>
        </w:rPr>
      </w:pPr>
      <w:r w:rsidRPr="00CB6CBA">
        <w:rPr>
          <w:lang w:val="en-US"/>
        </w:rPr>
        <w:t>Each frequency usage requires prior assignment by the Federal Network Agency. Frequencies are assigned for a particular purpose in accordance with the frequency usage plan in a non</w:t>
      </w:r>
      <w:r>
        <w:rPr>
          <w:lang w:val="en-US"/>
        </w:rPr>
        <w:noBreakHyphen/>
      </w:r>
      <w:r w:rsidRPr="00CB6CBA">
        <w:rPr>
          <w:lang w:val="en-US"/>
        </w:rPr>
        <w:t xml:space="preserve">discriminatory manner on the basis of transparent and objective procedures. </w:t>
      </w:r>
    </w:p>
    <w:p w:rsidR="00CA3B52" w:rsidRPr="00CB6CBA" w:rsidRDefault="00CA3B52" w:rsidP="00CA3B52">
      <w:pPr>
        <w:rPr>
          <w:lang w:val="en-US"/>
        </w:rPr>
      </w:pPr>
      <w:r w:rsidRPr="00CB6CBA">
        <w:rPr>
          <w:lang w:val="en-US"/>
        </w:rPr>
        <w:t>Frequencies are typically assigned ex officio by the Federal Network Agency as general assignments for the use of particular frequencies by the general public or a group of persons defined or capable of being defined by general characteristics. Where general assignment is not possible, frequencies for particular usages are assigned by the Regulatory Authority upon written application, as individual assignments.</w:t>
      </w:r>
    </w:p>
    <w:p w:rsidR="00CA3B52" w:rsidRPr="00CB6CBA" w:rsidRDefault="00CA3B52" w:rsidP="00CA3B52">
      <w:pPr>
        <w:rPr>
          <w:lang w:val="en-US"/>
        </w:rPr>
      </w:pPr>
      <w:r w:rsidRPr="00CB6CBA">
        <w:rPr>
          <w:lang w:val="en-US"/>
        </w:rPr>
        <w:t>The Federal Network Agency</w:t>
      </w:r>
      <w:r w:rsidRPr="00CB6CBA" w:rsidDel="00C87164">
        <w:rPr>
          <w:lang w:val="en-US"/>
        </w:rPr>
        <w:t xml:space="preserve"> </w:t>
      </w:r>
      <w:r w:rsidRPr="00CB6CBA">
        <w:rPr>
          <w:lang w:val="en-US"/>
        </w:rPr>
        <w:t xml:space="preserve">shall charge fees for the decisions on the grant of rights of use for frequencies. The fee scales are to be calculated in such a way as to recover the costs incurred by the official acts. In addition the fees payable for decisions on the grant of rights of use for frequencies may be determined in such a way that they serve as a steering mechanism to secure optimal and efficient use. </w:t>
      </w:r>
    </w:p>
    <w:p w:rsidR="00CA3B52" w:rsidRPr="00CB6CBA" w:rsidRDefault="00CA3B52" w:rsidP="00CA3B52">
      <w:pPr>
        <w:pStyle w:val="Heading4"/>
        <w:rPr>
          <w:rFonts w:ascii="Arial" w:hAnsi="Arial" w:cs="Arial"/>
          <w:sz w:val="20"/>
          <w:lang w:val="en-US"/>
        </w:rPr>
      </w:pPr>
      <w:r w:rsidRPr="00CB6CBA">
        <w:rPr>
          <w:lang w:val="en-US"/>
        </w:rPr>
        <w:t>5.2.4.2</w:t>
      </w:r>
      <w:r w:rsidRPr="00CB6CBA">
        <w:rPr>
          <w:lang w:val="en-US"/>
        </w:rPr>
        <w:tab/>
        <w:t>Frequency usage contribution charges</w:t>
      </w:r>
    </w:p>
    <w:p w:rsidR="00CA3B52" w:rsidRPr="00CB6CBA" w:rsidRDefault="00CA3B52" w:rsidP="00CA3B52">
      <w:pPr>
        <w:rPr>
          <w:lang w:val="en-US"/>
        </w:rPr>
      </w:pPr>
      <w:r w:rsidRPr="00CB6CBA">
        <w:rPr>
          <w:lang w:val="en-US"/>
        </w:rPr>
        <w:t>The Federal Network Agency shall levy annual contribution charges to recover costs it incurs for the management, control and enforcement of general assignments and rights of use for spectrum usage. This includes, in particular, costs incurred by the Federal Network Agency for the following activities:</w:t>
      </w:r>
    </w:p>
    <w:p w:rsidR="00CA3B52" w:rsidRPr="00CB6CBA" w:rsidRDefault="00CA3B52" w:rsidP="00CA3B52">
      <w:pPr>
        <w:pStyle w:val="enumlev1"/>
        <w:rPr>
          <w:lang w:val="en-US"/>
        </w:rPr>
      </w:pPr>
      <w:r>
        <w:rPr>
          <w:lang w:val="en-US"/>
        </w:rPr>
        <w:t>1.</w:t>
      </w:r>
      <w:r w:rsidRPr="00CB6CBA">
        <w:rPr>
          <w:lang w:val="en-US"/>
        </w:rPr>
        <w:tab/>
        <w:t>the planning and further development of frequency usages, including the necessary measurements, tests and compatibility studies to secure efficient and interfere</w:t>
      </w:r>
      <w:r>
        <w:rPr>
          <w:lang w:val="en-US"/>
        </w:rPr>
        <w:t>nce-free use of frequencies;</w:t>
      </w:r>
    </w:p>
    <w:p w:rsidR="00CA3B52" w:rsidRPr="00CB6CBA" w:rsidRDefault="00CA3B52" w:rsidP="00CA3B52">
      <w:pPr>
        <w:pStyle w:val="enumlev1"/>
        <w:rPr>
          <w:lang w:val="en-US"/>
        </w:rPr>
      </w:pPr>
      <w:r>
        <w:rPr>
          <w:lang w:val="en-US"/>
        </w:rPr>
        <w:t>2.</w:t>
      </w:r>
      <w:r w:rsidRPr="00CB6CBA">
        <w:rPr>
          <w:lang w:val="en-US"/>
        </w:rPr>
        <w:tab/>
        <w:t>international cooperation, harmonization and standardization.</w:t>
      </w:r>
    </w:p>
    <w:p w:rsidR="00CA3B52" w:rsidRPr="00CB6CBA" w:rsidRDefault="00CA3B52" w:rsidP="00CA3B52">
      <w:pPr>
        <w:rPr>
          <w:lang w:val="en-US"/>
        </w:rPr>
      </w:pPr>
      <w:r w:rsidRPr="00CB6CBA">
        <w:rPr>
          <w:lang w:val="en-US"/>
        </w:rPr>
        <w:t xml:space="preserve">Liable to make contributions are all those who have been assigned frequencies. The share of the costs shall be allocated to the separate user groups produced by frequency allocation, as far as possible on an expenditure-related basis. Within these groups, the costs shall be split in accordance with the use of frequencies. </w:t>
      </w:r>
    </w:p>
    <w:p w:rsidR="00CA3B52" w:rsidRPr="00CB6CBA" w:rsidRDefault="00CA3B52" w:rsidP="00CA3B52">
      <w:pPr>
        <w:pStyle w:val="Heading4"/>
        <w:rPr>
          <w:lang w:val="en-US"/>
        </w:rPr>
      </w:pPr>
      <w:r w:rsidRPr="00CB6CBA">
        <w:rPr>
          <w:lang w:val="en-US"/>
        </w:rPr>
        <w:t>5.2.4.3</w:t>
      </w:r>
      <w:r w:rsidRPr="00CB6CBA">
        <w:rPr>
          <w:lang w:val="en-US"/>
        </w:rPr>
        <w:tab/>
        <w:t>Current procedure for calculation of frequency assignment fees and frequency usage contribution charges</w:t>
      </w:r>
    </w:p>
    <w:p w:rsidR="00CA3B52" w:rsidRPr="00CB6CBA" w:rsidRDefault="00CA3B52" w:rsidP="00CA3B52">
      <w:pPr>
        <w:rPr>
          <w:lang w:val="en-US"/>
        </w:rPr>
      </w:pPr>
      <w:r w:rsidRPr="00CB6CBA">
        <w:rPr>
          <w:lang w:val="en-US"/>
        </w:rPr>
        <w:t>In 1994 the former Reg TP introduced a performance and accounting system (known by the acronym KLR) with the intention of establishing a recording system and a controlling instrument for the calculation of frequency assignment fees and contribution-related costs (staff costs and other expenditure). The idea – based on the new German telecommunication legislation – was to develop a tool which offers the possibility to carry out real calculations instead of estimations in terms of fees and contributions. With the introduction of the KLR a step was made towards the development of performance and cost transparency within the Federal Network Agency. The definition of cost units (e.g. user groups) as the smallest unit in the performance structure of the Federal Network Agency is the basic element of the whole KLR concept. A module called “expense record” was developed which allows the direct assignment of upcoming costs with regard to the most important categories of staff costs, costs for measurement equipment as well as costs for cars for individual transport and for vans of the monitoring service. The expense record is carried out by using an electronic aided worksheet which has to be filled in by the employees who worked in the relevant performance range. The expense record contains on a daily basis precisely (accuracy-limit of time is equal to half an hour) the duration of the period needed for the accomplishment of the specified tasks in the framework of a monthly evaluation.</w:t>
      </w:r>
    </w:p>
    <w:p w:rsidR="00CA3B52" w:rsidRPr="00CB6CBA" w:rsidRDefault="00CA3B52" w:rsidP="00CA3B52">
      <w:pPr>
        <w:pStyle w:val="Heading4"/>
        <w:rPr>
          <w:lang w:val="en-US"/>
        </w:rPr>
      </w:pPr>
      <w:r w:rsidRPr="00CB6CBA">
        <w:rPr>
          <w:lang w:val="en-US"/>
        </w:rPr>
        <w:lastRenderedPageBreak/>
        <w:t>5.2.4.4</w:t>
      </w:r>
      <w:r w:rsidRPr="00CB6CBA">
        <w:rPr>
          <w:lang w:val="en-US"/>
        </w:rPr>
        <w:tab/>
        <w:t>Calculation of frequency assignment fees</w:t>
      </w:r>
    </w:p>
    <w:p w:rsidR="00CA3B52" w:rsidRPr="00CB6CBA" w:rsidRDefault="00CA3B52" w:rsidP="00CA3B52">
      <w:pPr>
        <w:rPr>
          <w:lang w:val="en-US"/>
        </w:rPr>
      </w:pPr>
      <w:r w:rsidRPr="00CB6CBA">
        <w:rPr>
          <w:lang w:val="en-US"/>
        </w:rPr>
        <w:t>Frequency assignment fees are calculated on the basis of firstly the costs according to the cost accounting data and secondly statistical data (e.g. number of new frequency assignment applications, changes in frequency assignments, frequency assignment waivers). Under the cost accounting method, all fee-related costs (staff costs and other expenditure) are recorded and allocated according to service and user group on a daily basis.</w:t>
      </w:r>
    </w:p>
    <w:p w:rsidR="00CA3B52" w:rsidRPr="00CB6CBA" w:rsidRDefault="00CA3B52" w:rsidP="00CA3B52">
      <w:pPr>
        <w:rPr>
          <w:lang w:val="en-US"/>
        </w:rPr>
      </w:pPr>
      <w:r w:rsidRPr="00CB6CBA">
        <w:rPr>
          <w:lang w:val="en-US"/>
        </w:rPr>
        <w:t>A number of spectrum management functions carried out by the Federal Network Agency</w:t>
      </w:r>
      <w:r w:rsidRPr="00CB6CBA" w:rsidDel="00C87164">
        <w:rPr>
          <w:lang w:val="en-US"/>
        </w:rPr>
        <w:t xml:space="preserve"> </w:t>
      </w:r>
      <w:r w:rsidRPr="00CB6CBA">
        <w:rPr>
          <w:lang w:val="en-US"/>
        </w:rPr>
        <w:t>do not lead to an income. For this reason the cost coverage cannot be 100%. However, the record and the evaluation of the free-cost spectrum management functions (specified in the Ordinance of frequency usage contributions) and for other authorities (e.g. Ministry of Defence) provides the necessary transparency of the fee and the reasons for not being able to achieve full cost recovery.</w:t>
      </w:r>
    </w:p>
    <w:p w:rsidR="00CA3B52" w:rsidRPr="00CB6CBA" w:rsidRDefault="00CA3B52" w:rsidP="00CA3B52">
      <w:pPr>
        <w:pStyle w:val="Heading4"/>
        <w:rPr>
          <w:lang w:val="en-US"/>
        </w:rPr>
      </w:pPr>
      <w:r w:rsidRPr="00CB6CBA">
        <w:rPr>
          <w:lang w:val="en-US"/>
        </w:rPr>
        <w:t>5.2.4.5</w:t>
      </w:r>
      <w:r w:rsidRPr="00CB6CBA">
        <w:rPr>
          <w:lang w:val="en-US"/>
        </w:rPr>
        <w:tab/>
        <w:t>Calculation of frequency usage contribution charges</w:t>
      </w:r>
    </w:p>
    <w:p w:rsidR="00CA3B52" w:rsidRPr="00CB6CBA" w:rsidRDefault="00CA3B52" w:rsidP="00CA3B52">
      <w:pPr>
        <w:rPr>
          <w:lang w:val="en-US"/>
        </w:rPr>
      </w:pPr>
      <w:r w:rsidRPr="00CB6CBA">
        <w:rPr>
          <w:lang w:val="en-US"/>
        </w:rPr>
        <w:t>Frequency usage contributions are also calculated on the basis of all the contribution-related costs according to the cost accounting data. As with the fee-related costs, the contribution-related costs (staff costs and other expenditure) are recorded and allocated according to service and user group on a daily basis. The contribution per user group is calculated taking account of the number of frequencies assigned to each user group. The principle of solidarity applies within each user group, i.e. all user groups under the same service group pay, although one individual user group may have a financial advantage.</w:t>
      </w:r>
    </w:p>
    <w:p w:rsidR="00CA3B52" w:rsidRPr="00CB6CBA" w:rsidRDefault="00CA3B52" w:rsidP="00CA3B52">
      <w:pPr>
        <w:rPr>
          <w:rFonts w:ascii="TimesNewRoman,Bold" w:hAnsi="TimesNewRoman,Bold" w:cs="TimesNewRoman,Bold"/>
          <w:sz w:val="20"/>
          <w:lang w:val="en-US"/>
        </w:rPr>
      </w:pPr>
      <w:r w:rsidRPr="00CB6CBA">
        <w:rPr>
          <w:lang w:val="en-US"/>
        </w:rPr>
        <w:t>The annual contribution must be recalculated annually on a cost-recovery basis in relation to each user group. The underlying principle in the calculation of frequency assignment fees and frequency usage contributions is that the fees and contributions must cover the staff costs and other expenditure associated with the activity in question. However, the cost-accounting method applied in Germany forms the basis for calculation.</w:t>
      </w:r>
    </w:p>
    <w:p w:rsidR="00CA3B52" w:rsidRPr="00CB6CBA" w:rsidRDefault="00CA3B52" w:rsidP="00CA3B52">
      <w:pPr>
        <w:pStyle w:val="Heading3"/>
        <w:rPr>
          <w:lang w:val="en-US"/>
        </w:rPr>
      </w:pPr>
      <w:bookmarkStart w:id="1675" w:name="_Toc497033218"/>
      <w:bookmarkStart w:id="1676" w:name="_Toc497034016"/>
      <w:bookmarkStart w:id="1677" w:name="_Toc289868865"/>
      <w:bookmarkStart w:id="1678" w:name="_Toc289869025"/>
      <w:bookmarkStart w:id="1679" w:name="_Toc289932333"/>
      <w:bookmarkStart w:id="1680" w:name="_Toc289933379"/>
      <w:bookmarkStart w:id="1681" w:name="_Toc291852942"/>
      <w:bookmarkStart w:id="1682" w:name="_Toc392515926"/>
      <w:bookmarkEnd w:id="1669"/>
      <w:bookmarkEnd w:id="1670"/>
      <w:bookmarkEnd w:id="1671"/>
      <w:bookmarkEnd w:id="1672"/>
      <w:bookmarkEnd w:id="1673"/>
      <w:bookmarkEnd w:id="1674"/>
      <w:r w:rsidRPr="00CB6CBA">
        <w:rPr>
          <w:lang w:val="en-US"/>
        </w:rPr>
        <w:t>5.2.5</w:t>
      </w:r>
      <w:r w:rsidRPr="00CB6CBA">
        <w:rPr>
          <w:lang w:val="en-US"/>
        </w:rPr>
        <w:tab/>
        <w:t>Israel’s experience with licence fees</w:t>
      </w:r>
      <w:bookmarkEnd w:id="1664"/>
      <w:bookmarkEnd w:id="1665"/>
      <w:bookmarkEnd w:id="1666"/>
      <w:bookmarkEnd w:id="1667"/>
      <w:bookmarkEnd w:id="1668"/>
      <w:bookmarkEnd w:id="1675"/>
      <w:bookmarkEnd w:id="1676"/>
      <w:bookmarkEnd w:id="1677"/>
      <w:bookmarkEnd w:id="1678"/>
      <w:bookmarkEnd w:id="1679"/>
      <w:bookmarkEnd w:id="1680"/>
      <w:bookmarkEnd w:id="1681"/>
      <w:bookmarkEnd w:id="1682"/>
    </w:p>
    <w:p w:rsidR="00CA3B52" w:rsidRPr="00CB6CBA" w:rsidRDefault="00CA3B52" w:rsidP="00CA3B52">
      <w:pPr>
        <w:rPr>
          <w:lang w:val="en-US"/>
        </w:rPr>
      </w:pPr>
      <w:r w:rsidRPr="00CB6CBA">
        <w:rPr>
          <w:lang w:val="en-US"/>
        </w:rPr>
        <w:t>The Ministry of Communications of the State of Israel has established a few licence mechanisms:</w:t>
      </w:r>
    </w:p>
    <w:p w:rsidR="00CA3B52" w:rsidRPr="00CB6CBA" w:rsidRDefault="00CA3B52" w:rsidP="00CA3B52">
      <w:pPr>
        <w:pStyle w:val="enumlev1"/>
        <w:rPr>
          <w:lang w:val="en-US"/>
        </w:rPr>
      </w:pPr>
      <w:r w:rsidRPr="00CB6CBA">
        <w:rPr>
          <w:lang w:val="en-US"/>
        </w:rPr>
        <w:t>–</w:t>
      </w:r>
      <w:r w:rsidRPr="00CB6CBA">
        <w:rPr>
          <w:lang w:val="en-US"/>
        </w:rPr>
        <w:tab/>
        <w:t>one time payment for submittal of application for telecommunication service providing;</w:t>
      </w:r>
    </w:p>
    <w:p w:rsidR="00CA3B52" w:rsidRPr="00CB6CBA" w:rsidRDefault="00CA3B52" w:rsidP="00CA3B52">
      <w:pPr>
        <w:pStyle w:val="enumlev1"/>
        <w:rPr>
          <w:lang w:val="en-US"/>
        </w:rPr>
      </w:pPr>
      <w:r w:rsidRPr="00CB6CBA">
        <w:rPr>
          <w:lang w:val="en-US"/>
        </w:rPr>
        <w:t>–</w:t>
      </w:r>
      <w:r w:rsidRPr="00CB6CBA">
        <w:rPr>
          <w:lang w:val="en-US"/>
        </w:rPr>
        <w:tab/>
        <w:t>annual fee for usage of the frequency spectrum;</w:t>
      </w:r>
    </w:p>
    <w:p w:rsidR="00CA3B52" w:rsidRPr="00CB6CBA" w:rsidRDefault="00CA3B52" w:rsidP="00CA3B52">
      <w:pPr>
        <w:pStyle w:val="enumlev1"/>
        <w:rPr>
          <w:lang w:val="en-US"/>
        </w:rPr>
      </w:pPr>
      <w:r w:rsidRPr="00CB6CBA">
        <w:rPr>
          <w:lang w:val="en-US"/>
        </w:rPr>
        <w:t>–</w:t>
      </w:r>
      <w:r w:rsidRPr="00CB6CBA">
        <w:rPr>
          <w:lang w:val="en-US"/>
        </w:rPr>
        <w:tab/>
        <w:t>annual royalties, which are a percentage of the income, for telecommunications service provider;</w:t>
      </w:r>
    </w:p>
    <w:p w:rsidR="00CA3B52" w:rsidRPr="00CB6CBA" w:rsidRDefault="00CA3B52" w:rsidP="00CA3B52">
      <w:pPr>
        <w:pStyle w:val="enumlev1"/>
        <w:rPr>
          <w:lang w:val="en-US"/>
        </w:rPr>
      </w:pPr>
      <w:r w:rsidRPr="00CB6CBA">
        <w:rPr>
          <w:lang w:val="en-US"/>
        </w:rPr>
        <w:t>–</w:t>
      </w:r>
      <w:r w:rsidRPr="00CB6CBA">
        <w:rPr>
          <w:lang w:val="en-US"/>
        </w:rPr>
        <w:tab/>
        <w:t>one time payment, paid by a winner of an auction.</w:t>
      </w:r>
    </w:p>
    <w:p w:rsidR="00CA3B52" w:rsidRPr="009E0A86" w:rsidRDefault="00CA3B52" w:rsidP="00CA3B52">
      <w:pPr>
        <w:pStyle w:val="Headingb"/>
        <w:rPr>
          <w:b w:val="0"/>
          <w:bCs/>
          <w:i/>
          <w:iCs/>
          <w:lang w:val="en-US"/>
        </w:rPr>
      </w:pPr>
      <w:bookmarkStart w:id="1683" w:name="_Toc289868866"/>
      <w:bookmarkStart w:id="1684" w:name="_Toc289869026"/>
      <w:r w:rsidRPr="009E0A86">
        <w:rPr>
          <w:b w:val="0"/>
          <w:bCs/>
          <w:i/>
          <w:iCs/>
          <w:lang w:val="en-US"/>
        </w:rPr>
        <w:t>Annual spectrum fees</w:t>
      </w:r>
      <w:bookmarkEnd w:id="1683"/>
      <w:bookmarkEnd w:id="1684"/>
    </w:p>
    <w:p w:rsidR="00CA3B52" w:rsidRPr="00CB6CBA" w:rsidRDefault="00CA3B52" w:rsidP="00CA3B52">
      <w:pPr>
        <w:rPr>
          <w:lang w:val="en-US"/>
        </w:rPr>
      </w:pPr>
      <w:r w:rsidRPr="00CB6CBA">
        <w:rPr>
          <w:lang w:val="en-US"/>
        </w:rPr>
        <w:t>As an amendment to the Wireless Telegraph Order, the Administration of Israel started annual spectrum fees in January 1995, in order to persuade operators and private users to pursue more efficient spectrum use. The Ministry of Communications may modify, once a year, the structure or the value of a specific fee. This is done through the Financial Committee of the Kneset (The Israeli Parliament), and any service provider or a private user of the spectrum who may be affected by those modifications, has the right to present his case to the Committee.</w:t>
      </w:r>
    </w:p>
    <w:p w:rsidR="00CA3B52" w:rsidRPr="00CB6CBA" w:rsidRDefault="00CA3B52" w:rsidP="00CA3B52">
      <w:pPr>
        <w:rPr>
          <w:lang w:val="en-US"/>
        </w:rPr>
      </w:pPr>
      <w:r w:rsidRPr="00CB6CBA">
        <w:rPr>
          <w:lang w:val="en-US"/>
        </w:rPr>
        <w:t>Because the fee decreases with frequencies above 960 MHz, the use of a higher frequency is encouraged. Below 960 MHz, the spectrum fee is about USD 170</w:t>
      </w:r>
      <w:r w:rsidRPr="00CB6CBA">
        <w:rPr>
          <w:rFonts w:ascii="Tms Rmn" w:hAnsi="Tms Rmn"/>
          <w:sz w:val="12"/>
          <w:lang w:val="en-US"/>
        </w:rPr>
        <w:t> </w:t>
      </w:r>
      <w:r w:rsidRPr="00CB6CBA">
        <w:rPr>
          <w:lang w:val="en-US"/>
        </w:rPr>
        <w:t>000 per 1 MHz. This approach has been taken to encourage the use of less occupied bands and to encourage spectrum users to take advantage of the higher frequency reuse associated with high attenuation and lower antenna side-lobes at higher frequencies.</w:t>
      </w:r>
    </w:p>
    <w:p w:rsidR="00CA3B52" w:rsidRPr="00CB6CBA" w:rsidRDefault="00CA3B52" w:rsidP="00CA3B52">
      <w:pPr>
        <w:rPr>
          <w:lang w:val="en-US"/>
        </w:rPr>
      </w:pPr>
      <w:r w:rsidRPr="00CB6CBA">
        <w:rPr>
          <w:lang w:val="en-US"/>
        </w:rPr>
        <w:t>The frequencies spectrum fees are categorized to different services, such as:</w:t>
      </w:r>
    </w:p>
    <w:p w:rsidR="00CA3B52" w:rsidRPr="00756842" w:rsidRDefault="00CA3B52" w:rsidP="00CA3B52">
      <w:pPr>
        <w:pStyle w:val="enumlev1"/>
        <w:rPr>
          <w:lang w:val="it-IT"/>
        </w:rPr>
      </w:pPr>
      <w:r w:rsidRPr="00756842">
        <w:rPr>
          <w:lang w:val="it-IT"/>
        </w:rPr>
        <w:lastRenderedPageBreak/>
        <w:t>–</w:t>
      </w:r>
      <w:r w:rsidRPr="00756842">
        <w:rPr>
          <w:lang w:val="it-IT"/>
        </w:rPr>
        <w:tab/>
        <w:t>Private mobile radio</w:t>
      </w:r>
      <w:r>
        <w:rPr>
          <w:lang w:val="it-IT"/>
        </w:rPr>
        <w:t>.</w:t>
      </w:r>
    </w:p>
    <w:p w:rsidR="00CA3B52" w:rsidRPr="00756842" w:rsidRDefault="00CA3B52" w:rsidP="00CA3B52">
      <w:pPr>
        <w:pStyle w:val="enumlev1"/>
        <w:rPr>
          <w:lang w:val="it-IT"/>
        </w:rPr>
      </w:pPr>
      <w:r w:rsidRPr="00756842">
        <w:rPr>
          <w:lang w:val="it-IT"/>
        </w:rPr>
        <w:t>–</w:t>
      </w:r>
      <w:r w:rsidRPr="00756842">
        <w:rPr>
          <w:lang w:val="it-IT"/>
        </w:rPr>
        <w:tab/>
        <w:t>Trunking mobile radio service providers</w:t>
      </w:r>
      <w:r>
        <w:rPr>
          <w:lang w:val="it-IT"/>
        </w:rPr>
        <w:t>.</w:t>
      </w:r>
    </w:p>
    <w:p w:rsidR="00CA3B52" w:rsidRPr="00CB6CBA" w:rsidRDefault="00CA3B52" w:rsidP="00CA3B52">
      <w:pPr>
        <w:pStyle w:val="enumlev1"/>
        <w:rPr>
          <w:lang w:val="en-US"/>
        </w:rPr>
      </w:pPr>
      <w:r w:rsidRPr="00CB6CBA">
        <w:rPr>
          <w:lang w:val="en-US"/>
        </w:rPr>
        <w:t>–</w:t>
      </w:r>
      <w:r w:rsidRPr="00CB6CBA">
        <w:rPr>
          <w:lang w:val="en-US"/>
        </w:rPr>
        <w:tab/>
        <w:t>Cellular service providers</w:t>
      </w:r>
      <w:r>
        <w:rPr>
          <w:lang w:val="en-US"/>
        </w:rPr>
        <w:t>.</w:t>
      </w:r>
    </w:p>
    <w:p w:rsidR="00CA3B52" w:rsidRPr="00CB6CBA" w:rsidRDefault="00CA3B52" w:rsidP="00CA3B52">
      <w:pPr>
        <w:pStyle w:val="enumlev1"/>
        <w:rPr>
          <w:lang w:val="en-US"/>
        </w:rPr>
      </w:pPr>
      <w:r w:rsidRPr="00CB6CBA">
        <w:rPr>
          <w:lang w:val="en-US"/>
        </w:rPr>
        <w:t>–</w:t>
      </w:r>
      <w:r w:rsidRPr="00CB6CBA">
        <w:rPr>
          <w:lang w:val="en-US"/>
        </w:rPr>
        <w:tab/>
        <w:t>TV and radio broadcasting</w:t>
      </w:r>
      <w:r>
        <w:rPr>
          <w:lang w:val="en-US"/>
        </w:rPr>
        <w:t>.</w:t>
      </w:r>
    </w:p>
    <w:p w:rsidR="00CA3B52" w:rsidRPr="00CB6CBA" w:rsidRDefault="00CA3B52" w:rsidP="00CA3B52">
      <w:pPr>
        <w:pStyle w:val="enumlev1"/>
        <w:rPr>
          <w:lang w:val="en-US"/>
        </w:rPr>
      </w:pPr>
      <w:r w:rsidRPr="00CB6CBA">
        <w:rPr>
          <w:lang w:val="en-US"/>
        </w:rPr>
        <w:t>–</w:t>
      </w:r>
      <w:r w:rsidRPr="00CB6CBA">
        <w:rPr>
          <w:lang w:val="en-US"/>
        </w:rPr>
        <w:tab/>
        <w:t>Microwave point-to-point link</w:t>
      </w:r>
      <w:r>
        <w:rPr>
          <w:lang w:val="en-US"/>
        </w:rPr>
        <w:t>.</w:t>
      </w:r>
    </w:p>
    <w:p w:rsidR="00CA3B52" w:rsidRPr="00CB6CBA" w:rsidRDefault="00CA3B52" w:rsidP="00CA3B52">
      <w:pPr>
        <w:pStyle w:val="enumlev1"/>
        <w:rPr>
          <w:lang w:val="en-US"/>
        </w:rPr>
      </w:pPr>
      <w:r w:rsidRPr="00CB6CBA">
        <w:rPr>
          <w:lang w:val="en-US"/>
        </w:rPr>
        <w:t>–</w:t>
      </w:r>
      <w:r w:rsidRPr="00CB6CBA">
        <w:rPr>
          <w:lang w:val="en-US"/>
        </w:rPr>
        <w:tab/>
        <w:t>Fixed wireless access</w:t>
      </w:r>
      <w:r>
        <w:rPr>
          <w:lang w:val="en-US"/>
        </w:rPr>
        <w:t>.</w:t>
      </w:r>
    </w:p>
    <w:p w:rsidR="00CA3B52" w:rsidRPr="006D7697" w:rsidRDefault="00CA3B52" w:rsidP="00CA3B52">
      <w:pPr>
        <w:pStyle w:val="enumlev1"/>
        <w:rPr>
          <w:lang w:val="en-US"/>
        </w:rPr>
      </w:pPr>
      <w:r w:rsidRPr="006D7697">
        <w:rPr>
          <w:lang w:val="en-US"/>
        </w:rPr>
        <w:t>–</w:t>
      </w:r>
      <w:r w:rsidRPr="006D7697">
        <w:rPr>
          <w:lang w:val="en-US"/>
        </w:rPr>
        <w:tab/>
        <w:t>Satellite communication (private and commercial users)</w:t>
      </w:r>
      <w:r>
        <w:rPr>
          <w:lang w:val="en-US"/>
        </w:rPr>
        <w:t>.</w:t>
      </w:r>
    </w:p>
    <w:p w:rsidR="00CA3B52" w:rsidRPr="006D7697" w:rsidRDefault="00CA3B52" w:rsidP="00CA3B52">
      <w:pPr>
        <w:pStyle w:val="enumlev1"/>
        <w:rPr>
          <w:lang w:val="en-US"/>
        </w:rPr>
      </w:pPr>
      <w:r w:rsidRPr="006D7697">
        <w:rPr>
          <w:lang w:val="en-US"/>
        </w:rPr>
        <w:t>–</w:t>
      </w:r>
      <w:r w:rsidRPr="006D7697">
        <w:rPr>
          <w:lang w:val="en-US"/>
        </w:rPr>
        <w:tab/>
        <w:t>Radio amateurs</w:t>
      </w:r>
      <w:r>
        <w:rPr>
          <w:lang w:val="en-US"/>
        </w:rPr>
        <w:t>.</w:t>
      </w:r>
    </w:p>
    <w:p w:rsidR="00CA3B52" w:rsidRPr="00CB6CBA" w:rsidRDefault="00CA3B52" w:rsidP="00CA3B52">
      <w:pPr>
        <w:pStyle w:val="enumlev1"/>
        <w:rPr>
          <w:lang w:val="en-US"/>
        </w:rPr>
      </w:pPr>
      <w:r w:rsidRPr="00CB6CBA">
        <w:rPr>
          <w:lang w:val="en-US"/>
        </w:rPr>
        <w:t>–</w:t>
      </w:r>
      <w:r w:rsidRPr="00CB6CBA">
        <w:rPr>
          <w:lang w:val="en-US"/>
        </w:rPr>
        <w:tab/>
        <w:t>Aeronautical and maritime services</w:t>
      </w:r>
      <w:r>
        <w:rPr>
          <w:lang w:val="en-US"/>
        </w:rPr>
        <w:t>.</w:t>
      </w:r>
    </w:p>
    <w:p w:rsidR="00CA3B52" w:rsidRPr="00CB6CBA" w:rsidRDefault="00CA3B52" w:rsidP="00CA3B52">
      <w:pPr>
        <w:pStyle w:val="enumlev1"/>
        <w:rPr>
          <w:lang w:val="en-US"/>
        </w:rPr>
      </w:pPr>
      <w:r w:rsidRPr="00CB6CBA">
        <w:rPr>
          <w:lang w:val="en-US"/>
        </w:rPr>
        <w:t>–</w:t>
      </w:r>
      <w:r w:rsidRPr="00CB6CBA">
        <w:rPr>
          <w:lang w:val="en-US"/>
        </w:rPr>
        <w:tab/>
        <w:t>Temporary licences for tests or demonstrations.</w:t>
      </w:r>
    </w:p>
    <w:p w:rsidR="00CA3B52" w:rsidRPr="00CB6CBA" w:rsidRDefault="00CA3B52" w:rsidP="00CA3B52">
      <w:pPr>
        <w:rPr>
          <w:lang w:val="en-US"/>
        </w:rPr>
      </w:pPr>
      <w:r w:rsidRPr="00CB6CBA">
        <w:rPr>
          <w:lang w:val="en-US"/>
        </w:rPr>
        <w:t>The fee system has some measures to encourage better and hi</w:t>
      </w:r>
      <w:r>
        <w:rPr>
          <w:lang w:val="en-US"/>
        </w:rPr>
        <w:t xml:space="preserve">gher reuse of frequencies. Some </w:t>
      </w:r>
      <w:r w:rsidRPr="00CB6CBA">
        <w:rPr>
          <w:lang w:val="en-US"/>
        </w:rPr>
        <w:t>examples are:</w:t>
      </w:r>
    </w:p>
    <w:p w:rsidR="00CA3B52" w:rsidRPr="00CB6CBA" w:rsidRDefault="00CA3B52" w:rsidP="00CA3B52">
      <w:pPr>
        <w:pStyle w:val="enumlev1"/>
        <w:rPr>
          <w:lang w:val="en-US"/>
        </w:rPr>
      </w:pPr>
      <w:r w:rsidRPr="00CB6CBA">
        <w:rPr>
          <w:lang w:val="en-US"/>
        </w:rPr>
        <w:t>–</w:t>
      </w:r>
      <w:r w:rsidRPr="00CB6CBA">
        <w:rPr>
          <w:lang w:val="en-US"/>
        </w:rPr>
        <w:tab/>
        <w:t>Lower fee for lower transmission power, for TV and radio broadcasters</w:t>
      </w:r>
      <w:r>
        <w:rPr>
          <w:lang w:val="en-US"/>
        </w:rPr>
        <w:t>.</w:t>
      </w:r>
    </w:p>
    <w:p w:rsidR="00CA3B52" w:rsidRPr="00CB6CBA" w:rsidRDefault="00CA3B52" w:rsidP="00CA3B52">
      <w:pPr>
        <w:pStyle w:val="enumlev1"/>
        <w:rPr>
          <w:lang w:val="en-US"/>
        </w:rPr>
      </w:pPr>
      <w:r w:rsidRPr="00CB6CBA">
        <w:rPr>
          <w:lang w:val="en-US"/>
        </w:rPr>
        <w:t>–</w:t>
      </w:r>
      <w:r w:rsidRPr="00CB6CBA">
        <w:rPr>
          <w:lang w:val="en-US"/>
        </w:rPr>
        <w:tab/>
        <w:t>Discount for TV broadcasters which reuse the same frequency in different locations</w:t>
      </w:r>
      <w:r>
        <w:rPr>
          <w:lang w:val="en-US"/>
        </w:rPr>
        <w:t>.</w:t>
      </w:r>
    </w:p>
    <w:p w:rsidR="00CA3B52" w:rsidRPr="00CB6CBA" w:rsidRDefault="00CA3B52" w:rsidP="00CA3B52">
      <w:pPr>
        <w:pStyle w:val="enumlev1"/>
        <w:rPr>
          <w:lang w:val="en-US"/>
        </w:rPr>
      </w:pPr>
      <w:r w:rsidRPr="00CB6CBA">
        <w:rPr>
          <w:lang w:val="en-US"/>
        </w:rPr>
        <w:t>–</w:t>
      </w:r>
      <w:r w:rsidRPr="00CB6CBA">
        <w:rPr>
          <w:lang w:val="en-US"/>
        </w:rPr>
        <w:tab/>
        <w:t>No charge for radio broadcasters that reuse the same frequency in additional locations</w:t>
      </w:r>
      <w:r>
        <w:rPr>
          <w:lang w:val="en-US"/>
        </w:rPr>
        <w:t>.</w:t>
      </w:r>
    </w:p>
    <w:p w:rsidR="00CA3B52" w:rsidRPr="00CB6CBA" w:rsidRDefault="00CA3B52" w:rsidP="00CA3B52">
      <w:pPr>
        <w:pStyle w:val="enumlev1"/>
        <w:rPr>
          <w:lang w:val="en-US"/>
        </w:rPr>
      </w:pPr>
      <w:r w:rsidRPr="00CB6CBA">
        <w:rPr>
          <w:lang w:val="en-US"/>
        </w:rPr>
        <w:t>–</w:t>
      </w:r>
      <w:r w:rsidRPr="00CB6CBA">
        <w:rPr>
          <w:lang w:val="en-US"/>
        </w:rPr>
        <w:tab/>
        <w:t>Discount for telecom service providers which reuse the same frequency for multiple point-to-point microwave links.</w:t>
      </w:r>
    </w:p>
    <w:p w:rsidR="00CA3B52" w:rsidRPr="00CB6CBA" w:rsidRDefault="00CA3B52" w:rsidP="00CA3B52">
      <w:pPr>
        <w:rPr>
          <w:lang w:val="en-US"/>
        </w:rPr>
      </w:pPr>
      <w:r w:rsidRPr="00CB6CBA">
        <w:rPr>
          <w:lang w:val="en-US"/>
        </w:rPr>
        <w:t>Some examples from Israel’s short experience of the last few years, utilizing incentive fees:</w:t>
      </w:r>
    </w:p>
    <w:p w:rsidR="00CA3B52" w:rsidRPr="00CB6CBA" w:rsidRDefault="00CA3B52" w:rsidP="00CA3B52">
      <w:pPr>
        <w:pStyle w:val="enumlev1"/>
        <w:rPr>
          <w:lang w:val="en-US"/>
        </w:rPr>
      </w:pPr>
      <w:r w:rsidRPr="00CB6CBA">
        <w:rPr>
          <w:lang w:val="en-US"/>
        </w:rPr>
        <w:t>–</w:t>
      </w:r>
      <w:r w:rsidRPr="00CB6CBA">
        <w:rPr>
          <w:lang w:val="en-US"/>
        </w:rPr>
        <w:tab/>
        <w:t>Within two years all point-to-point links on frequencies below 960 MHz (about 100), were relocated to higher frequencies.</w:t>
      </w:r>
    </w:p>
    <w:p w:rsidR="00CA3B52" w:rsidRPr="00CB6CBA" w:rsidRDefault="00CA3B52" w:rsidP="00CA3B52">
      <w:pPr>
        <w:pStyle w:val="enumlev1"/>
        <w:rPr>
          <w:lang w:val="en-US"/>
        </w:rPr>
      </w:pPr>
      <w:r w:rsidRPr="00CB6CBA">
        <w:rPr>
          <w:lang w:val="en-US"/>
        </w:rPr>
        <w:t>–</w:t>
      </w:r>
      <w:r w:rsidRPr="00CB6CBA">
        <w:rPr>
          <w:lang w:val="en-US"/>
        </w:rPr>
        <w:tab/>
        <w:t>An agreement with TV broadcasters to modify frequencies, to obtain more efficient use of the spectrum.</w:t>
      </w:r>
    </w:p>
    <w:p w:rsidR="00CA3B52" w:rsidRPr="00CB6CBA" w:rsidRDefault="00CA3B52" w:rsidP="00CA3B52">
      <w:pPr>
        <w:pStyle w:val="enumlev1"/>
        <w:rPr>
          <w:lang w:val="en-US"/>
        </w:rPr>
      </w:pPr>
      <w:r w:rsidRPr="00CB6CBA">
        <w:rPr>
          <w:lang w:val="en-US"/>
        </w:rPr>
        <w:t>–</w:t>
      </w:r>
      <w:r w:rsidRPr="00CB6CBA">
        <w:rPr>
          <w:lang w:val="en-US"/>
        </w:rPr>
        <w:tab/>
        <w:t>Migration of different systems from frequencies below 1 GHz, to clear bandwidth for a third cellular operator in the GSM band.</w:t>
      </w:r>
    </w:p>
    <w:p w:rsidR="00CA3B52" w:rsidRPr="00CB6CBA" w:rsidRDefault="00CA3B52" w:rsidP="00CA3B52">
      <w:pPr>
        <w:pStyle w:val="enumlev1"/>
        <w:rPr>
          <w:lang w:val="en-US"/>
        </w:rPr>
      </w:pPr>
      <w:r w:rsidRPr="00CB6CBA">
        <w:rPr>
          <w:lang w:val="en-US"/>
        </w:rPr>
        <w:t>–</w:t>
      </w:r>
      <w:r w:rsidRPr="00CB6CBA">
        <w:rPr>
          <w:lang w:val="en-US"/>
        </w:rPr>
        <w:tab/>
        <w:t>Some of the operators have been paid to move their systems, and the cost of this migration was covered by the licence fee advanced payment paid by the new entrant to the Government (not directly to the existing user of that spectrum).</w:t>
      </w:r>
    </w:p>
    <w:p w:rsidR="00CA3B52" w:rsidRPr="00CB6CBA" w:rsidRDefault="00CA3B52" w:rsidP="00CA3B52">
      <w:pPr>
        <w:pStyle w:val="Heading3"/>
        <w:rPr>
          <w:lang w:val="en-US"/>
        </w:rPr>
      </w:pPr>
      <w:bookmarkStart w:id="1685" w:name="_Toc459746763"/>
      <w:bookmarkStart w:id="1686" w:name="_Toc459792673"/>
      <w:bookmarkStart w:id="1687" w:name="_Toc459793837"/>
      <w:bookmarkStart w:id="1688" w:name="_Toc459793979"/>
      <w:bookmarkStart w:id="1689" w:name="_Toc459970437"/>
      <w:bookmarkStart w:id="1690" w:name="_Toc497033219"/>
      <w:bookmarkStart w:id="1691" w:name="_Toc497034017"/>
      <w:bookmarkStart w:id="1692" w:name="_Toc289868867"/>
      <w:bookmarkStart w:id="1693" w:name="_Toc289869027"/>
      <w:bookmarkStart w:id="1694" w:name="_Toc289932334"/>
      <w:bookmarkStart w:id="1695" w:name="_Toc289933380"/>
      <w:bookmarkStart w:id="1696" w:name="_Toc291852943"/>
      <w:bookmarkStart w:id="1697" w:name="_Toc392515927"/>
      <w:r w:rsidRPr="00CB6CBA">
        <w:rPr>
          <w:lang w:val="en-US"/>
        </w:rPr>
        <w:t>5.2.6</w:t>
      </w:r>
      <w:r w:rsidRPr="00CB6CBA">
        <w:rPr>
          <w:lang w:val="en-US"/>
        </w:rPr>
        <w:tab/>
        <w:t>Experience of the Kyrgyz Republic on application of licence fees</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rsidR="00CA3B52" w:rsidRPr="00CB6CBA" w:rsidRDefault="00CA3B52" w:rsidP="00CA3B52">
      <w:pPr>
        <w:rPr>
          <w:lang w:val="en-US"/>
        </w:rPr>
      </w:pPr>
      <w:bookmarkStart w:id="1698" w:name="_Toc459746764"/>
      <w:bookmarkStart w:id="1699" w:name="_Toc459792675"/>
      <w:bookmarkStart w:id="1700" w:name="_Toc459793839"/>
      <w:bookmarkStart w:id="1701" w:name="_Toc459793981"/>
      <w:bookmarkStart w:id="1702" w:name="_Toc459970438"/>
      <w:r w:rsidRPr="00CB6CBA">
        <w:rPr>
          <w:lang w:val="en-US"/>
        </w:rPr>
        <w:t>In 1997 in the Kyrgyz Republic, the independent regulating body of communications, the National Communications Agency (NCA), was established. According to the Law of the Kyrgyz Republic on “Postal and Telecommunications”, accepted in 1998, spectrum management began.</w:t>
      </w:r>
    </w:p>
    <w:p w:rsidR="00CA3B52" w:rsidRPr="00CB6CBA" w:rsidRDefault="00CA3B52" w:rsidP="00CA3B52">
      <w:pPr>
        <w:rPr>
          <w:lang w:val="en-US"/>
        </w:rPr>
      </w:pPr>
      <w:r w:rsidRPr="00CB6CBA">
        <w:rPr>
          <w:lang w:val="en-US"/>
        </w:rPr>
        <w:t>In 1998 the NCA created a licence fee model. The purpose of this model was to increase spectrum efficiency, introduce a non-discriminatory approach to various categories of users, stimulate the use of unused frequency ranges, develop radiocommunications services throughout the Republic, and cover the cost of spectrum management.</w:t>
      </w:r>
    </w:p>
    <w:p w:rsidR="00CA3B52" w:rsidRPr="00CB6CBA" w:rsidRDefault="00CA3B52" w:rsidP="00CA3B52">
      <w:pPr>
        <w:rPr>
          <w:lang w:val="en-US"/>
        </w:rPr>
      </w:pPr>
      <w:r w:rsidRPr="00CB6CBA">
        <w:rPr>
          <w:lang w:val="en-US"/>
        </w:rPr>
        <w:t>The model determines the value of annual payment for the spectrum and contains the following basic elements:</w:t>
      </w:r>
    </w:p>
    <w:p w:rsidR="00CA3B52" w:rsidRPr="00CB6CBA" w:rsidRDefault="00CA3B52" w:rsidP="00CA3B52">
      <w:pPr>
        <w:pStyle w:val="enumlev1"/>
        <w:rPr>
          <w:lang w:val="en-US"/>
        </w:rPr>
      </w:pPr>
      <w:r w:rsidRPr="00CB6CBA">
        <w:rPr>
          <w:lang w:val="en-US"/>
        </w:rPr>
        <w:t>–</w:t>
      </w:r>
      <w:r w:rsidRPr="00CB6CBA">
        <w:rPr>
          <w:lang w:val="en-US"/>
        </w:rPr>
        <w:tab/>
        <w:t>radio-frequency resource, used in the Republic, representing all frequency assignments stored in the national database, is determined on an annual basis. For each frequency assignment this resource is determined in view of the band used and the coordination area;</w:t>
      </w:r>
    </w:p>
    <w:p w:rsidR="00CA3B52" w:rsidRPr="00CB6CBA" w:rsidRDefault="00CA3B52" w:rsidP="00CA3B52">
      <w:pPr>
        <w:pStyle w:val="enumlev1"/>
        <w:rPr>
          <w:lang w:val="en-US"/>
        </w:rPr>
      </w:pPr>
      <w:r w:rsidRPr="00CB6CBA">
        <w:rPr>
          <w:lang w:val="en-US"/>
        </w:rPr>
        <w:t>–</w:t>
      </w:r>
      <w:r w:rsidRPr="00CB6CBA">
        <w:rPr>
          <w:lang w:val="en-US"/>
        </w:rPr>
        <w:tab/>
        <w:t>the annual cost of spectrum management;</w:t>
      </w:r>
    </w:p>
    <w:p w:rsidR="00CA3B52" w:rsidRPr="00CB6CBA" w:rsidRDefault="00CA3B52" w:rsidP="00CA3B52">
      <w:pPr>
        <w:pStyle w:val="enumlev1"/>
        <w:rPr>
          <w:lang w:val="en-US"/>
        </w:rPr>
      </w:pPr>
      <w:r w:rsidRPr="00CB6CBA">
        <w:rPr>
          <w:lang w:val="en-US"/>
        </w:rPr>
        <w:t>–</w:t>
      </w:r>
      <w:r w:rsidRPr="00CB6CBA">
        <w:rPr>
          <w:lang w:val="en-US"/>
        </w:rPr>
        <w:tab/>
        <w:t>the average price for the unit of the frequency resource used is determined from the above values;</w:t>
      </w:r>
    </w:p>
    <w:p w:rsidR="00CA3B52" w:rsidRPr="00CB6CBA" w:rsidRDefault="00CA3B52" w:rsidP="00CA3B52">
      <w:pPr>
        <w:pStyle w:val="enumlev1"/>
        <w:rPr>
          <w:lang w:val="en-US"/>
        </w:rPr>
      </w:pPr>
      <w:r w:rsidRPr="00CB6CBA">
        <w:rPr>
          <w:lang w:val="en-US"/>
        </w:rPr>
        <w:lastRenderedPageBreak/>
        <w:t>–</w:t>
      </w:r>
      <w:r w:rsidRPr="00CB6CBA">
        <w:rPr>
          <w:lang w:val="en-US"/>
        </w:rPr>
        <w:tab/>
        <w:t>the annual payment of a specific user is determined from the value of the frequency resource used.</w:t>
      </w:r>
    </w:p>
    <w:p w:rsidR="00CA3B52" w:rsidRPr="00CB6CBA" w:rsidRDefault="00CA3B52" w:rsidP="00CA3B52">
      <w:pPr>
        <w:rPr>
          <w:lang w:val="en-US"/>
        </w:rPr>
      </w:pPr>
      <w:r w:rsidRPr="00CB6CBA">
        <w:rPr>
          <w:lang w:val="en-US"/>
        </w:rPr>
        <w:t>A number of incentive factors are entered in the formula, so the payment depends not only on the bandwidth used and coverage area, but also on geographical location of the station, population density in the coverage area, social factors, exclusivity, type of radiocommunications service, spectrum employment, and spectrum monitoring complexity.</w:t>
      </w:r>
    </w:p>
    <w:p w:rsidR="00CA3B52" w:rsidRPr="00CB6CBA" w:rsidRDefault="00CA3B52" w:rsidP="00CA3B52">
      <w:pPr>
        <w:rPr>
          <w:lang w:val="en-US"/>
        </w:rPr>
      </w:pPr>
      <w:r w:rsidRPr="00CB6CBA">
        <w:rPr>
          <w:lang w:val="en-US"/>
        </w:rPr>
        <w:t>The developed software allows the user at any moment to determine the value of the annual payment for the spectrum and also renders the model transparent and accessible to all users.</w:t>
      </w:r>
    </w:p>
    <w:p w:rsidR="00CA3B52" w:rsidRPr="00CB6CBA" w:rsidRDefault="00CA3B52" w:rsidP="00CA3B52">
      <w:pPr>
        <w:rPr>
          <w:lang w:val="en-US"/>
        </w:rPr>
      </w:pPr>
      <w:r w:rsidRPr="00CB6CBA">
        <w:rPr>
          <w:lang w:val="en-US"/>
        </w:rPr>
        <w:t>Thus, for the user the greater the bandwidth and the more populated the geographical area, the larger the payment. This encourages the use of more modern equipment, new frequency ranges and expansion of coverage to rural and remote areas.</w:t>
      </w:r>
    </w:p>
    <w:p w:rsidR="00CA3B52" w:rsidRPr="00CB6CBA" w:rsidRDefault="00CA3B52" w:rsidP="00CA3B52">
      <w:pPr>
        <w:keepNext/>
        <w:keepLines/>
        <w:rPr>
          <w:lang w:val="en-US"/>
        </w:rPr>
      </w:pPr>
      <w:r w:rsidRPr="00CB6CBA">
        <w:rPr>
          <w:lang w:val="en-US"/>
        </w:rPr>
        <w:t>The NCA has adopted licence terms of up to 7 years. Determination of the spectrum payment algorithm includes the determination of:</w:t>
      </w:r>
    </w:p>
    <w:p w:rsidR="00CA3B52" w:rsidRPr="00CB6CBA" w:rsidRDefault="00CA3B52" w:rsidP="00CA3B52">
      <w:pPr>
        <w:pStyle w:val="enumlev1"/>
        <w:rPr>
          <w:lang w:val="en-US"/>
        </w:rPr>
      </w:pPr>
      <w:r w:rsidRPr="00CB6CBA">
        <w:rPr>
          <w:lang w:val="en-US"/>
        </w:rPr>
        <w:t>–</w:t>
      </w:r>
      <w:r w:rsidRPr="00CB6CBA">
        <w:rPr>
          <w:lang w:val="en-US"/>
        </w:rPr>
        <w:tab/>
        <w:t>the annual expenditures of the State on management of radio-frequency resource use and determination on this basis of the common value of the annual payment for all radio</w:t>
      </w:r>
      <w:r>
        <w:rPr>
          <w:lang w:val="en-US"/>
        </w:rPr>
        <w:noBreakHyphen/>
      </w:r>
      <w:r w:rsidRPr="00CB6CBA">
        <w:rPr>
          <w:lang w:val="en-US"/>
        </w:rPr>
        <w:t>frequency resources;</w:t>
      </w:r>
    </w:p>
    <w:p w:rsidR="00CA3B52" w:rsidRPr="00CB6CBA" w:rsidRDefault="00CA3B52" w:rsidP="00CA3B52">
      <w:pPr>
        <w:pStyle w:val="enumlev1"/>
        <w:rPr>
          <w:lang w:val="en-US"/>
        </w:rPr>
      </w:pPr>
      <w:r w:rsidRPr="00CB6CBA">
        <w:rPr>
          <w:lang w:val="en-US"/>
        </w:rPr>
        <w:t>–</w:t>
      </w:r>
      <w:r w:rsidRPr="00CB6CBA">
        <w:rPr>
          <w:lang w:val="en-US"/>
        </w:rPr>
        <w:tab/>
        <w:t>the value of the radio-frequency resource;</w:t>
      </w:r>
    </w:p>
    <w:p w:rsidR="00CA3B52" w:rsidRPr="00CB6CBA" w:rsidRDefault="00CA3B52" w:rsidP="00CA3B52">
      <w:pPr>
        <w:pStyle w:val="enumlev1"/>
        <w:rPr>
          <w:lang w:val="en-US"/>
        </w:rPr>
      </w:pPr>
      <w:r w:rsidRPr="00CB6CBA">
        <w:rPr>
          <w:lang w:val="en-US"/>
        </w:rPr>
        <w:t>–</w:t>
      </w:r>
      <w:r w:rsidRPr="00CB6CBA">
        <w:rPr>
          <w:lang w:val="en-US"/>
        </w:rPr>
        <w:tab/>
        <w:t>the price for a unit of the radio-frequency resource;</w:t>
      </w:r>
    </w:p>
    <w:p w:rsidR="00CA3B52" w:rsidRPr="00CB6CBA" w:rsidRDefault="00CA3B52" w:rsidP="00CA3B52">
      <w:pPr>
        <w:pStyle w:val="enumlev1"/>
        <w:rPr>
          <w:lang w:val="en-US"/>
        </w:rPr>
      </w:pPr>
      <w:r w:rsidRPr="00CB6CBA">
        <w:rPr>
          <w:lang w:val="en-US"/>
        </w:rPr>
        <w:t>–</w:t>
      </w:r>
      <w:r w:rsidRPr="00CB6CBA">
        <w:rPr>
          <w:lang w:val="en-US"/>
        </w:rPr>
        <w:tab/>
        <w:t>the annual payment for a specific user on a differential and non-discriminatory basis, determined from the value of the frequency resource and the unit price of this resource.</w:t>
      </w:r>
    </w:p>
    <w:p w:rsidR="00CA3B52" w:rsidRPr="00CB6CBA" w:rsidRDefault="00CA3B52" w:rsidP="00CA3B52">
      <w:pPr>
        <w:pStyle w:val="Heading4"/>
        <w:rPr>
          <w:lang w:val="en-US"/>
        </w:rPr>
      </w:pPr>
      <w:bookmarkStart w:id="1703" w:name="_Toc459792674"/>
      <w:bookmarkStart w:id="1704" w:name="_Toc459793838"/>
      <w:bookmarkStart w:id="1705" w:name="_Toc459793980"/>
      <w:bookmarkStart w:id="1706" w:name="_Toc497033220"/>
      <w:bookmarkStart w:id="1707" w:name="_Toc497034018"/>
      <w:r w:rsidRPr="00CB6CBA">
        <w:rPr>
          <w:lang w:val="en-US"/>
        </w:rPr>
        <w:t>5.2.6.1</w:t>
      </w:r>
      <w:r w:rsidRPr="00CB6CBA">
        <w:rPr>
          <w:lang w:val="en-US"/>
        </w:rPr>
        <w:tab/>
        <w:t>Expenditures and income of the State on spectrum management</w:t>
      </w:r>
      <w:bookmarkEnd w:id="1703"/>
      <w:bookmarkEnd w:id="1704"/>
      <w:bookmarkEnd w:id="1705"/>
      <w:bookmarkEnd w:id="1706"/>
      <w:bookmarkEnd w:id="1707"/>
    </w:p>
    <w:p w:rsidR="00CA3B52" w:rsidRDefault="00CA3B52" w:rsidP="00CA3B52">
      <w:pPr>
        <w:keepNext/>
        <w:keepLines/>
        <w:rPr>
          <w:lang w:val="en-US"/>
        </w:rPr>
      </w:pPr>
      <w:r w:rsidRPr="00CB6CBA">
        <w:rPr>
          <w:lang w:val="en-US"/>
        </w:rPr>
        <w:t xml:space="preserve">The total amount of the annual payments for spectrum, </w:t>
      </w:r>
      <w:r w:rsidRPr="00CB6CBA">
        <w:rPr>
          <w:i/>
          <w:iCs/>
          <w:lang w:val="en-US"/>
        </w:rPr>
        <w:t>C</w:t>
      </w:r>
      <w:r w:rsidRPr="00CB6CBA">
        <w:rPr>
          <w:i/>
          <w:iCs/>
          <w:vertAlign w:val="subscript"/>
          <w:lang w:val="en-US"/>
        </w:rPr>
        <w:t>ann</w:t>
      </w:r>
      <w:r w:rsidRPr="00CB6CBA">
        <w:rPr>
          <w:lang w:val="en-US"/>
        </w:rPr>
        <w:t>, collected from all users, can be submitted as:</w:t>
      </w:r>
    </w:p>
    <w:p w:rsidR="00CA3B52" w:rsidRPr="00CB6CBA" w:rsidRDefault="00CA3B52" w:rsidP="00CA3B52">
      <w:pPr>
        <w:pStyle w:val="Blanc"/>
      </w:pPr>
    </w:p>
    <w:p w:rsidR="00CA3B52" w:rsidRDefault="00CA3B52" w:rsidP="00CA3B52">
      <w:pPr>
        <w:pStyle w:val="Equation"/>
        <w:keepNext/>
        <w:keepLines/>
        <w:rPr>
          <w:lang w:val="en-US"/>
        </w:rPr>
      </w:pPr>
      <w:r w:rsidRPr="00CB6CBA">
        <w:rPr>
          <w:lang w:val="en-US"/>
        </w:rPr>
        <w:tab/>
      </w:r>
      <w:r w:rsidRPr="00CB6CBA">
        <w:rPr>
          <w:lang w:val="en-US"/>
        </w:rPr>
        <w:tab/>
      </w:r>
      <w:r w:rsidRPr="000429F2">
        <w:rPr>
          <w:position w:val="-12"/>
          <w:lang w:val="en-US"/>
        </w:rPr>
        <w:object w:dxaOrig="1600" w:dyaOrig="360">
          <v:shape id="_x0000_i1113" type="#_x0000_t75" style="width:79.95pt;height:19.15pt" o:ole="">
            <v:imagedata r:id="rId197" o:title=""/>
          </v:shape>
          <o:OLEObject Type="Embed" ProgID="Equation.3" ShapeID="_x0000_i1113" DrawAspect="Content" ObjectID="_1511604902" r:id="rId198"/>
        </w:object>
      </w:r>
      <w:r w:rsidRPr="00CB6CBA">
        <w:rPr>
          <w:position w:val="-4"/>
          <w:sz w:val="16"/>
          <w:lang w:val="en-US"/>
        </w:rPr>
        <w:tab/>
      </w:r>
      <w:r w:rsidRPr="00CB6CBA">
        <w:rPr>
          <w:lang w:val="en-US"/>
        </w:rPr>
        <w:t>(</w:t>
      </w:r>
      <w:r w:rsidRPr="0024702C">
        <w:rPr>
          <w:lang w:val="en-US"/>
        </w:rPr>
        <w:t>51</w:t>
      </w:r>
      <w:r w:rsidRPr="00CB6CBA">
        <w:rPr>
          <w:lang w:val="en-US"/>
        </w:rPr>
        <w:t>)</w:t>
      </w:r>
    </w:p>
    <w:p w:rsidR="00CA3B52" w:rsidRPr="00CB6CBA" w:rsidRDefault="00CA3B52" w:rsidP="00CA3B52">
      <w:pPr>
        <w:keepNext/>
        <w:keepLines/>
        <w:rPr>
          <w:lang w:val="en-US"/>
        </w:rPr>
      </w:pPr>
      <w:r w:rsidRPr="00CB6CBA">
        <w:rPr>
          <w:lang w:val="en-US"/>
        </w:rPr>
        <w:t>where:</w:t>
      </w:r>
    </w:p>
    <w:p w:rsidR="00CA3B52" w:rsidRPr="000429F2" w:rsidRDefault="00CA3B52" w:rsidP="00CA3B52">
      <w:pPr>
        <w:pStyle w:val="Equationlegend"/>
        <w:keepNext/>
        <w:keepLines/>
        <w:rPr>
          <w:rFonts w:asciiTheme="majorBidi" w:hAnsiTheme="majorBidi" w:cstheme="majorBidi"/>
        </w:rPr>
      </w:pPr>
      <w:r w:rsidRPr="00CB6CBA">
        <w:tab/>
      </w:r>
      <w:r w:rsidRPr="000429F2">
        <w:rPr>
          <w:rFonts w:asciiTheme="majorBidi" w:hAnsiTheme="majorBidi" w:cstheme="majorBidi"/>
          <w:i/>
          <w:iCs/>
        </w:rPr>
        <w:t>C</w:t>
      </w:r>
      <w:r w:rsidRPr="000429F2">
        <w:rPr>
          <w:rFonts w:asciiTheme="majorBidi" w:hAnsiTheme="majorBidi" w:cstheme="majorBidi"/>
          <w:i/>
          <w:iCs/>
          <w:vertAlign w:val="subscript"/>
        </w:rPr>
        <w:t>ann</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total annual cost of the users for the spectrum</w:t>
      </w:r>
    </w:p>
    <w:p w:rsidR="00CA3B52" w:rsidRPr="000429F2" w:rsidRDefault="00CA3B52" w:rsidP="00CA3B52">
      <w:pPr>
        <w:pStyle w:val="Equationlegend"/>
        <w:keepNext/>
        <w:keepLines/>
        <w:rPr>
          <w:rFonts w:asciiTheme="majorBidi" w:hAnsiTheme="majorBidi" w:cstheme="majorBidi"/>
          <w:i/>
          <w:iCs/>
        </w:rPr>
      </w:pPr>
      <w:r w:rsidRPr="000429F2">
        <w:rPr>
          <w:rFonts w:asciiTheme="majorBidi" w:hAnsiTheme="majorBidi" w:cstheme="majorBidi"/>
        </w:rPr>
        <w:tab/>
      </w:r>
      <w:r w:rsidRPr="000429F2">
        <w:rPr>
          <w:rFonts w:asciiTheme="majorBidi" w:hAnsiTheme="majorBidi" w:cstheme="majorBidi"/>
          <w:i/>
          <w:iCs/>
        </w:rPr>
        <w:t>C</w:t>
      </w:r>
      <w:r w:rsidRPr="000429F2">
        <w:rPr>
          <w:rFonts w:asciiTheme="majorBidi" w:hAnsiTheme="majorBidi" w:cstheme="majorBidi"/>
          <w:vertAlign w:val="subscript"/>
        </w:rPr>
        <w:t>1</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share of resources that is necessary for covering of costs of the State on spectrum use management</w:t>
      </w:r>
    </w:p>
    <w:p w:rsidR="00CA3B52" w:rsidRPr="000429F2" w:rsidRDefault="00CA3B52" w:rsidP="00CA3B52">
      <w:pPr>
        <w:pStyle w:val="Equationlegend"/>
        <w:rPr>
          <w:rFonts w:asciiTheme="majorBidi" w:hAnsiTheme="majorBidi" w:cstheme="majorBidi"/>
        </w:rPr>
      </w:pPr>
      <w:r w:rsidRPr="000429F2">
        <w:rPr>
          <w:rFonts w:asciiTheme="majorBidi" w:hAnsiTheme="majorBidi" w:cstheme="majorBidi"/>
        </w:rPr>
        <w:tab/>
      </w:r>
      <w:r w:rsidRPr="000429F2">
        <w:rPr>
          <w:rFonts w:asciiTheme="majorBidi" w:hAnsiTheme="majorBidi" w:cstheme="majorBidi"/>
          <w:i/>
          <w:iCs/>
        </w:rPr>
        <w:t>C</w:t>
      </w:r>
      <w:r w:rsidRPr="000429F2">
        <w:rPr>
          <w:rFonts w:asciiTheme="majorBidi" w:hAnsiTheme="majorBidi" w:cstheme="majorBidi"/>
          <w:vertAlign w:val="subscript"/>
        </w:rPr>
        <w:t>2</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net income of the State.</w:t>
      </w:r>
    </w:p>
    <w:p w:rsidR="00CA3B52" w:rsidRPr="00CB6CBA" w:rsidRDefault="00CA3B52" w:rsidP="00CA3B52">
      <w:pPr>
        <w:rPr>
          <w:lang w:val="en-US"/>
        </w:rPr>
      </w:pPr>
      <w:r w:rsidRPr="00CB6CBA">
        <w:rPr>
          <w:lang w:val="en-US"/>
        </w:rPr>
        <w:t xml:space="preserve">It is possible to separate the terms </w:t>
      </w:r>
      <w:r w:rsidRPr="00CB6CBA">
        <w:rPr>
          <w:i/>
          <w:iCs/>
          <w:lang w:val="en-US"/>
        </w:rPr>
        <w:t>C</w:t>
      </w:r>
      <w:r w:rsidRPr="00CB6CBA">
        <w:rPr>
          <w:vertAlign w:val="subscript"/>
          <w:lang w:val="en-US"/>
        </w:rPr>
        <w:t>1</w:t>
      </w:r>
      <w:r w:rsidRPr="00CB6CBA">
        <w:rPr>
          <w:lang w:val="en-US"/>
        </w:rPr>
        <w:t xml:space="preserve"> and </w:t>
      </w:r>
      <w:r w:rsidRPr="00CB6CBA">
        <w:rPr>
          <w:i/>
          <w:iCs/>
          <w:lang w:val="en-US"/>
        </w:rPr>
        <w:t>C</w:t>
      </w:r>
      <w:r w:rsidRPr="00CB6CBA">
        <w:rPr>
          <w:vertAlign w:val="subscript"/>
          <w:lang w:val="en-US"/>
        </w:rPr>
        <w:t>2</w:t>
      </w:r>
      <w:r w:rsidRPr="00CB6CBA">
        <w:rPr>
          <w:lang w:val="en-US"/>
        </w:rPr>
        <w:t xml:space="preserve"> into additional components:</w:t>
      </w:r>
    </w:p>
    <w:p w:rsidR="00CA3B52" w:rsidRPr="00CB6CBA"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0429F2">
        <w:rPr>
          <w:position w:val="-12"/>
          <w:lang w:val="en-US"/>
        </w:rPr>
        <w:object w:dxaOrig="2120" w:dyaOrig="360">
          <v:shape id="_x0000_i1114" type="#_x0000_t75" style="width:105.2pt;height:19.15pt" o:ole="">
            <v:imagedata r:id="rId199" o:title=""/>
          </v:shape>
          <o:OLEObject Type="Embed" ProgID="Equation.3" ShapeID="_x0000_i1114" DrawAspect="Content" ObjectID="_1511604903" r:id="rId200"/>
        </w:object>
      </w:r>
      <w:r w:rsidRPr="00CB6CBA">
        <w:rPr>
          <w:lang w:val="en-US"/>
        </w:rPr>
        <w:tab/>
        <w:t>(</w:t>
      </w:r>
      <w:r w:rsidRPr="0024702C">
        <w:rPr>
          <w:lang w:val="en-US"/>
        </w:rPr>
        <w:t>52</w:t>
      </w:r>
      <w:r w:rsidRPr="00CB6CBA">
        <w:rPr>
          <w:lang w:val="en-US"/>
        </w:rPr>
        <w:t>)</w:t>
      </w:r>
    </w:p>
    <w:p w:rsidR="00CA3B52" w:rsidRPr="00CB6CBA" w:rsidRDefault="00CA3B52" w:rsidP="00CA3B52">
      <w:pPr>
        <w:rPr>
          <w:lang w:val="en-US"/>
        </w:rPr>
      </w:pPr>
      <w:r w:rsidRPr="00CB6CBA">
        <w:rPr>
          <w:lang w:val="en-US"/>
        </w:rPr>
        <w:t>where:</w:t>
      </w:r>
    </w:p>
    <w:p w:rsidR="00CA3B52" w:rsidRPr="000429F2" w:rsidRDefault="00CA3B52" w:rsidP="00CA3B52">
      <w:pPr>
        <w:pStyle w:val="Equationlegend"/>
        <w:rPr>
          <w:rFonts w:asciiTheme="majorBidi" w:hAnsiTheme="majorBidi" w:cstheme="majorBidi"/>
        </w:rPr>
      </w:pPr>
      <w:r w:rsidRPr="000429F2">
        <w:rPr>
          <w:rFonts w:asciiTheme="majorBidi" w:hAnsiTheme="majorBidi" w:cstheme="majorBidi"/>
        </w:rPr>
        <w:tab/>
      </w:r>
      <w:r w:rsidRPr="000429F2">
        <w:rPr>
          <w:rFonts w:asciiTheme="majorBidi" w:hAnsiTheme="majorBidi" w:cstheme="majorBidi"/>
          <w:i/>
          <w:iCs/>
        </w:rPr>
        <w:t>C</w:t>
      </w:r>
      <w:r w:rsidRPr="000429F2">
        <w:rPr>
          <w:rFonts w:asciiTheme="majorBidi" w:hAnsiTheme="majorBidi" w:cstheme="majorBidi"/>
          <w:vertAlign w:val="subscript"/>
        </w:rPr>
        <w:t>11</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means necessary for purchase and operation of a spectrum management system, including radio monitoring station equipment, direction finders, computers, software, materials, amortization of buildings, etc.</w:t>
      </w:r>
    </w:p>
    <w:p w:rsidR="00CA3B52" w:rsidRPr="000429F2" w:rsidRDefault="00CA3B52" w:rsidP="00CA3B52">
      <w:pPr>
        <w:pStyle w:val="Equationlegend"/>
        <w:rPr>
          <w:rFonts w:asciiTheme="majorBidi" w:hAnsiTheme="majorBidi" w:cstheme="majorBidi"/>
          <w:i/>
          <w:iCs/>
        </w:rPr>
      </w:pPr>
      <w:r w:rsidRPr="000429F2">
        <w:rPr>
          <w:rFonts w:asciiTheme="majorBidi" w:hAnsiTheme="majorBidi" w:cstheme="majorBidi"/>
        </w:rPr>
        <w:tab/>
      </w:r>
      <w:r w:rsidRPr="000429F2">
        <w:rPr>
          <w:rFonts w:asciiTheme="majorBidi" w:hAnsiTheme="majorBidi" w:cstheme="majorBidi"/>
          <w:i/>
          <w:iCs/>
        </w:rPr>
        <w:t>C</w:t>
      </w:r>
      <w:r w:rsidRPr="000429F2">
        <w:rPr>
          <w:rFonts w:asciiTheme="majorBidi" w:hAnsiTheme="majorBidi" w:cstheme="majorBidi"/>
          <w:vertAlign w:val="subscript"/>
        </w:rPr>
        <w:t>12</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means necessary for carrying out scientific research, purchase of scientific literature and recommendations, electromagnetic compatibility analysis, frequency assignment, coordination, etc.</w:t>
      </w:r>
    </w:p>
    <w:p w:rsidR="00CA3B52" w:rsidRPr="000429F2" w:rsidRDefault="00CA3B52" w:rsidP="00CA3B52">
      <w:pPr>
        <w:pStyle w:val="Equationlegend"/>
        <w:rPr>
          <w:rFonts w:asciiTheme="majorBidi" w:hAnsiTheme="majorBidi" w:cstheme="majorBidi"/>
        </w:rPr>
      </w:pPr>
      <w:r w:rsidRPr="000429F2">
        <w:rPr>
          <w:rFonts w:asciiTheme="majorBidi" w:hAnsiTheme="majorBidi" w:cstheme="majorBidi"/>
        </w:rPr>
        <w:tab/>
      </w:r>
      <w:r w:rsidRPr="000429F2">
        <w:rPr>
          <w:rFonts w:asciiTheme="majorBidi" w:hAnsiTheme="majorBidi" w:cstheme="majorBidi"/>
          <w:i/>
          <w:iCs/>
        </w:rPr>
        <w:t>C</w:t>
      </w:r>
      <w:r w:rsidRPr="000429F2">
        <w:rPr>
          <w:rFonts w:asciiTheme="majorBidi" w:hAnsiTheme="majorBidi" w:cstheme="majorBidi"/>
          <w:vertAlign w:val="subscript"/>
        </w:rPr>
        <w:t>13</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spectrum management staff salaries.</w:t>
      </w:r>
    </w:p>
    <w:p w:rsidR="00CA3B52" w:rsidRPr="00CB6CBA" w:rsidRDefault="00CA3B52" w:rsidP="00CA3B52">
      <w:pPr>
        <w:rPr>
          <w:rFonts w:ascii="Arial" w:hAnsi="Arial"/>
          <w:lang w:val="en-US"/>
        </w:rPr>
      </w:pPr>
      <w:r w:rsidRPr="00CB6CBA">
        <w:rPr>
          <w:lang w:val="en-US"/>
        </w:rPr>
        <w:t xml:space="preserve">Taxes are not included in the amounts </w:t>
      </w:r>
      <w:r w:rsidRPr="00CB6CBA">
        <w:rPr>
          <w:i/>
          <w:iCs/>
          <w:lang w:val="en-US"/>
        </w:rPr>
        <w:t>C</w:t>
      </w:r>
      <w:r w:rsidRPr="00CB6CBA">
        <w:rPr>
          <w:vertAlign w:val="subscript"/>
          <w:lang w:val="en-US"/>
        </w:rPr>
        <w:t>11</w:t>
      </w:r>
      <w:r w:rsidRPr="00CB6CBA">
        <w:rPr>
          <w:lang w:val="en-US"/>
        </w:rPr>
        <w:t xml:space="preserve">, </w:t>
      </w:r>
      <w:r w:rsidRPr="00CB6CBA">
        <w:rPr>
          <w:i/>
          <w:iCs/>
          <w:lang w:val="en-US"/>
        </w:rPr>
        <w:t>C</w:t>
      </w:r>
      <w:r w:rsidRPr="00CB6CBA">
        <w:rPr>
          <w:vertAlign w:val="subscript"/>
          <w:lang w:val="en-US"/>
        </w:rPr>
        <w:t>12</w:t>
      </w:r>
      <w:r w:rsidRPr="00CB6CBA">
        <w:rPr>
          <w:lang w:val="en-US"/>
        </w:rPr>
        <w:t xml:space="preserve">, </w:t>
      </w:r>
      <w:r w:rsidRPr="00CB6CBA">
        <w:rPr>
          <w:i/>
          <w:iCs/>
          <w:lang w:val="en-US"/>
        </w:rPr>
        <w:t>C</w:t>
      </w:r>
      <w:r w:rsidRPr="00CB6CBA">
        <w:rPr>
          <w:vertAlign w:val="subscript"/>
          <w:lang w:val="en-US"/>
        </w:rPr>
        <w:t>13</w:t>
      </w:r>
      <w:r w:rsidRPr="00CB6CBA">
        <w:rPr>
          <w:lang w:val="en-US"/>
        </w:rPr>
        <w:t>.</w:t>
      </w:r>
    </w:p>
    <w:p w:rsidR="00CA3B52" w:rsidRPr="00CB6CBA" w:rsidRDefault="00CA3B52" w:rsidP="00CA3B52">
      <w:pPr>
        <w:rPr>
          <w:lang w:val="en-US"/>
        </w:rPr>
      </w:pPr>
      <w:r w:rsidRPr="00CB6CBA">
        <w:rPr>
          <w:i/>
          <w:iCs/>
          <w:lang w:val="en-US"/>
        </w:rPr>
        <w:lastRenderedPageBreak/>
        <w:t>C</w:t>
      </w:r>
      <w:r w:rsidRPr="00CB6CBA">
        <w:rPr>
          <w:vertAlign w:val="subscript"/>
          <w:lang w:val="en-US"/>
        </w:rPr>
        <w:t>2</w:t>
      </w:r>
      <w:r w:rsidRPr="00CB6CBA">
        <w:rPr>
          <w:lang w:val="en-US"/>
        </w:rPr>
        <w:t xml:space="preserve"> can be separated into the following components:</w:t>
      </w:r>
    </w:p>
    <w:p w:rsidR="00CA3B52" w:rsidRPr="00CB6CBA"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CB6CBA">
        <w:rPr>
          <w:position w:val="-10"/>
          <w:lang w:val="en-US"/>
        </w:rPr>
        <w:object w:dxaOrig="1560" w:dyaOrig="340">
          <v:shape id="_x0000_i1115" type="#_x0000_t75" style="width:77.15pt;height:17.3pt" o:ole="">
            <v:imagedata r:id="rId201" o:title=""/>
          </v:shape>
          <o:OLEObject Type="Embed" ProgID="Equation.3" ShapeID="_x0000_i1115" DrawAspect="Content" ObjectID="_1511604904" r:id="rId202"/>
        </w:object>
      </w:r>
      <w:r w:rsidRPr="00CB6CBA">
        <w:rPr>
          <w:lang w:val="en-US"/>
        </w:rPr>
        <w:tab/>
        <w:t>(</w:t>
      </w:r>
      <w:r w:rsidRPr="0024702C">
        <w:rPr>
          <w:lang w:val="en-US"/>
        </w:rPr>
        <w:t>53</w:t>
      </w:r>
      <w:r w:rsidRPr="00CB6CBA">
        <w:rPr>
          <w:lang w:val="en-US"/>
        </w:rPr>
        <w:t>)</w:t>
      </w:r>
    </w:p>
    <w:p w:rsidR="00CA3B52" w:rsidRPr="00CB6CBA" w:rsidRDefault="00CA3B52" w:rsidP="00CA3B52">
      <w:pPr>
        <w:rPr>
          <w:lang w:val="en-US"/>
        </w:rPr>
      </w:pPr>
      <w:r w:rsidRPr="00CB6CBA">
        <w:rPr>
          <w:lang w:val="en-US"/>
        </w:rPr>
        <w:t>where:</w:t>
      </w:r>
    </w:p>
    <w:p w:rsidR="00CA3B52" w:rsidRPr="00CB6CBA" w:rsidRDefault="00CA3B52" w:rsidP="00CA3B52">
      <w:pPr>
        <w:pStyle w:val="Equationlegend"/>
      </w:pPr>
      <w:r w:rsidRPr="00CB6CBA">
        <w:tab/>
      </w:r>
      <w:r w:rsidRPr="00CB6CBA">
        <w:rPr>
          <w:i/>
          <w:iCs/>
        </w:rPr>
        <w:t>C</w:t>
      </w:r>
      <w:r w:rsidRPr="00CB6CBA">
        <w:rPr>
          <w:vertAlign w:val="subscript"/>
        </w:rPr>
        <w:t>21</w:t>
      </w:r>
      <w:r w:rsidRPr="00CB6CBA">
        <w:rPr>
          <w:rFonts w:ascii="Tms Rmn" w:hAnsi="Tms Rmn"/>
          <w:sz w:val="12"/>
        </w:rPr>
        <w:t> </w:t>
      </w:r>
      <w:r w:rsidRPr="00C907C5">
        <w:rPr>
          <w:rFonts w:asciiTheme="majorBidi" w:hAnsiTheme="majorBidi" w:cstheme="majorBidi"/>
        </w:rPr>
        <w:t>:</w:t>
      </w:r>
      <w:r w:rsidRPr="00CB6CBA">
        <w:rPr>
          <w:rFonts w:ascii="Tms Rmn" w:hAnsi="Tms Rmn"/>
        </w:rPr>
        <w:tab/>
      </w:r>
      <w:r w:rsidRPr="00CB6CBA">
        <w:t>taxes imposed by State spectrum management agency on telecommunications equipment, software, materials etc.</w:t>
      </w:r>
    </w:p>
    <w:p w:rsidR="00CA3B52" w:rsidRPr="00CB6CBA" w:rsidRDefault="00CA3B52" w:rsidP="00CA3B52">
      <w:pPr>
        <w:pStyle w:val="Equationlegend"/>
      </w:pPr>
      <w:r w:rsidRPr="00CB6CBA">
        <w:tab/>
      </w:r>
      <w:r w:rsidRPr="00CB6CBA">
        <w:rPr>
          <w:i/>
          <w:iCs/>
        </w:rPr>
        <w:t>C</w:t>
      </w:r>
      <w:r w:rsidRPr="00CB6CBA">
        <w:rPr>
          <w:vertAlign w:val="subscript"/>
        </w:rPr>
        <w:t>22</w:t>
      </w:r>
      <w:r w:rsidRPr="00CB6CBA">
        <w:rPr>
          <w:rFonts w:ascii="Tms Rmn" w:hAnsi="Tms Rmn"/>
          <w:sz w:val="12"/>
        </w:rPr>
        <w:t> </w:t>
      </w:r>
      <w:r w:rsidRPr="00C907C5">
        <w:rPr>
          <w:rFonts w:asciiTheme="majorBidi" w:hAnsiTheme="majorBidi" w:cstheme="majorBidi"/>
        </w:rPr>
        <w:t>:</w:t>
      </w:r>
      <w:r w:rsidRPr="00CB6CBA">
        <w:rPr>
          <w:rFonts w:ascii="Tms Rmn" w:hAnsi="Tms Rmn"/>
        </w:rPr>
        <w:tab/>
      </w:r>
      <w:r w:rsidRPr="00CB6CBA">
        <w:t xml:space="preserve">payments for spectrum use. At present in Kyrgyzstan, to encourage development of radiocommunications services </w:t>
      </w:r>
      <w:r w:rsidRPr="00CB6CBA">
        <w:rPr>
          <w:i/>
          <w:iCs/>
        </w:rPr>
        <w:t>C</w:t>
      </w:r>
      <w:r w:rsidRPr="00CB6CBA">
        <w:rPr>
          <w:vertAlign w:val="subscript"/>
        </w:rPr>
        <w:t>22</w:t>
      </w:r>
      <w:r w:rsidRPr="00CB6CBA">
        <w:t> </w:t>
      </w:r>
      <w:r w:rsidRPr="00CB6CBA">
        <w:rPr>
          <w:rFonts w:ascii="Symbol" w:hAnsi="Symbol"/>
        </w:rPr>
        <w:t></w:t>
      </w:r>
      <w:r w:rsidRPr="00CB6CBA">
        <w:t> 0.</w:t>
      </w:r>
    </w:p>
    <w:p w:rsidR="00CA3B52" w:rsidRDefault="00CA3B52" w:rsidP="00CA3B52">
      <w:pPr>
        <w:rPr>
          <w:lang w:val="en-US"/>
        </w:rPr>
      </w:pPr>
      <w:r w:rsidRPr="00CB6CBA">
        <w:rPr>
          <w:lang w:val="en-US"/>
        </w:rPr>
        <w:t>Formulas (</w:t>
      </w:r>
      <w:r w:rsidRPr="0024702C">
        <w:rPr>
          <w:lang w:val="en-US"/>
        </w:rPr>
        <w:t>51</w:t>
      </w:r>
      <w:r w:rsidRPr="00271685">
        <w:rPr>
          <w:lang w:val="en-US"/>
        </w:rPr>
        <w:t>)</w:t>
      </w:r>
      <w:r w:rsidRPr="00CB6CBA">
        <w:rPr>
          <w:lang w:val="en-US"/>
        </w:rPr>
        <w:t xml:space="preserve"> and (</w:t>
      </w:r>
      <w:r w:rsidRPr="0024702C">
        <w:rPr>
          <w:lang w:val="en-US"/>
        </w:rPr>
        <w:t>53</w:t>
      </w:r>
      <w:r w:rsidRPr="00CB6CBA">
        <w:rPr>
          <w:lang w:val="en-US"/>
        </w:rPr>
        <w:t>) do not take into account the indirect income of the State taxes on the incomes of telecommunication operators whose activity is connected with ra</w:t>
      </w:r>
      <w:r>
        <w:rPr>
          <w:lang w:val="en-US"/>
        </w:rPr>
        <w:t>dio-frequency resource use (for </w:t>
      </w:r>
      <w:r w:rsidRPr="00CB6CBA">
        <w:rPr>
          <w:lang w:val="en-US"/>
        </w:rPr>
        <w:t>example, taxes from the income of cellular communication operators). This component of the income of the State is essential and exceeds component </w:t>
      </w:r>
      <w:r w:rsidRPr="00CB6CBA">
        <w:rPr>
          <w:i/>
          <w:iCs/>
          <w:lang w:val="en-US"/>
        </w:rPr>
        <w:t>C</w:t>
      </w:r>
      <w:r w:rsidRPr="00CB6CBA">
        <w:rPr>
          <w:vertAlign w:val="subscript"/>
          <w:lang w:val="en-US"/>
        </w:rPr>
        <w:t>22</w:t>
      </w:r>
      <w:r w:rsidRPr="00CB6CBA">
        <w:rPr>
          <w:lang w:val="en-US"/>
        </w:rPr>
        <w:t>.</w:t>
      </w:r>
    </w:p>
    <w:p w:rsidR="00CA3B52" w:rsidRPr="00CB6CBA" w:rsidRDefault="00CA3B52" w:rsidP="00CA3B52">
      <w:pPr>
        <w:rPr>
          <w:lang w:val="en-US"/>
        </w:rPr>
      </w:pPr>
      <w:r w:rsidRPr="00CB6CBA">
        <w:rPr>
          <w:lang w:val="en-US"/>
        </w:rPr>
        <w:t xml:space="preserve">In essence </w:t>
      </w:r>
      <w:r w:rsidRPr="00CB6CBA">
        <w:rPr>
          <w:i/>
          <w:iCs/>
          <w:lang w:val="en-US"/>
        </w:rPr>
        <w:t>C</w:t>
      </w:r>
      <w:r w:rsidRPr="00CB6CBA">
        <w:rPr>
          <w:vertAlign w:val="subscript"/>
          <w:lang w:val="en-US"/>
        </w:rPr>
        <w:t>22</w:t>
      </w:r>
      <w:r w:rsidRPr="00CB6CBA">
        <w:rPr>
          <w:lang w:val="en-US"/>
        </w:rPr>
        <w:t xml:space="preserve"> is an initial payment for spectrum. However, no telecommunication operator, especially in the developing countries, will immediately be able to make a large payment and this would be an obstacle to development. A good way to provide an economic incentive is reducing to a minimum the </w:t>
      </w:r>
      <w:r w:rsidRPr="00CB6CBA">
        <w:rPr>
          <w:i/>
          <w:iCs/>
          <w:lang w:val="en-US"/>
        </w:rPr>
        <w:t>C</w:t>
      </w:r>
      <w:r w:rsidRPr="00CB6CBA">
        <w:rPr>
          <w:vertAlign w:val="subscript"/>
          <w:lang w:val="en-US"/>
        </w:rPr>
        <w:t>22</w:t>
      </w:r>
      <w:r w:rsidRPr="00CB6CBA">
        <w:rPr>
          <w:position w:val="-4"/>
          <w:sz w:val="16"/>
          <w:lang w:val="en-US"/>
        </w:rPr>
        <w:t xml:space="preserve"> </w:t>
      </w:r>
      <w:r w:rsidRPr="00CB6CBA">
        <w:rPr>
          <w:lang w:val="en-US"/>
        </w:rPr>
        <w:t>component, so that the telecommunication operator may begin to provide service with no initial spectrum payment. The loss,</w:t>
      </w:r>
      <w:r w:rsidRPr="00CB6CBA">
        <w:rPr>
          <w:sz w:val="28"/>
          <w:lang w:val="en-US"/>
        </w:rPr>
        <w:t xml:space="preserve"> </w:t>
      </w:r>
      <w:r w:rsidRPr="00CB6CBA">
        <w:rPr>
          <w:i/>
          <w:iCs/>
          <w:lang w:val="en-US"/>
        </w:rPr>
        <w:t>C</w:t>
      </w:r>
      <w:r w:rsidRPr="00CB6CBA">
        <w:rPr>
          <w:vertAlign w:val="subscript"/>
          <w:lang w:val="en-US"/>
        </w:rPr>
        <w:t>22</w:t>
      </w:r>
      <w:r w:rsidRPr="00CB6CBA">
        <w:rPr>
          <w:lang w:val="en-US"/>
        </w:rPr>
        <w:t>,</w:t>
      </w:r>
      <w:r w:rsidRPr="00CB6CBA">
        <w:rPr>
          <w:position w:val="-5"/>
          <w:sz w:val="18"/>
          <w:vertAlign w:val="subscript"/>
          <w:lang w:val="en-US"/>
        </w:rPr>
        <w:t xml:space="preserve"> </w:t>
      </w:r>
      <w:r w:rsidRPr="00CB6CBA">
        <w:rPr>
          <w:lang w:val="en-US"/>
        </w:rPr>
        <w:t>will be compensated for the State by the taxes from the telecommunication operator’s activity.</w:t>
      </w:r>
    </w:p>
    <w:p w:rsidR="00CA3B52" w:rsidRPr="00CB6CBA" w:rsidRDefault="00CA3B52" w:rsidP="00CA3B52">
      <w:pPr>
        <w:keepNext/>
        <w:keepLines/>
        <w:rPr>
          <w:lang w:val="en-US"/>
        </w:rPr>
      </w:pPr>
      <w:r w:rsidRPr="00CB6CBA">
        <w:rPr>
          <w:lang w:val="en-US"/>
        </w:rPr>
        <w:t>Thus, for the purposes of rapid development of telecommunication and information services in the country and the provision of economic incentives to the telecommunication operators, it is essential to hold spectrum payments</w:t>
      </w:r>
      <w:r w:rsidRPr="00CB6CBA">
        <w:rPr>
          <w:b/>
          <w:lang w:val="en-US"/>
        </w:rPr>
        <w:t xml:space="preserve"> </w:t>
      </w:r>
      <w:r w:rsidRPr="00CB6CBA">
        <w:rPr>
          <w:lang w:val="en-US"/>
        </w:rPr>
        <w:t>to the minimum</w:t>
      </w:r>
      <w:r w:rsidRPr="00CB6CBA">
        <w:rPr>
          <w:b/>
          <w:lang w:val="en-US"/>
        </w:rPr>
        <w:t xml:space="preserve"> </w:t>
      </w:r>
      <w:r w:rsidRPr="00CB6CBA">
        <w:rPr>
          <w:lang w:val="en-US"/>
        </w:rPr>
        <w:t>necessary for covering the costs of spectrum management.</w:t>
      </w:r>
    </w:p>
    <w:p w:rsidR="00CA3B52" w:rsidRPr="00CB6CBA" w:rsidRDefault="00CA3B52" w:rsidP="00CA3B52">
      <w:pPr>
        <w:pStyle w:val="Heading4"/>
        <w:rPr>
          <w:lang w:val="en-US"/>
        </w:rPr>
      </w:pPr>
      <w:bookmarkStart w:id="1708" w:name="_Toc497033221"/>
      <w:bookmarkStart w:id="1709" w:name="_Toc497034019"/>
      <w:r w:rsidRPr="00CB6CBA">
        <w:rPr>
          <w:lang w:val="en-US"/>
        </w:rPr>
        <w:t>5.2.6.2</w:t>
      </w:r>
      <w:r w:rsidRPr="00CB6CBA">
        <w:rPr>
          <w:lang w:val="en-US"/>
        </w:rPr>
        <w:tab/>
        <w:t>Determination of the value of the radio spectrum</w:t>
      </w:r>
      <w:bookmarkEnd w:id="1708"/>
      <w:bookmarkEnd w:id="1709"/>
    </w:p>
    <w:p w:rsidR="00CA3B52" w:rsidRDefault="00CA3B52" w:rsidP="00CA3B52">
      <w:pPr>
        <w:rPr>
          <w:lang w:val="en-US"/>
        </w:rPr>
      </w:pPr>
      <w:r w:rsidRPr="00CB6CBA">
        <w:rPr>
          <w:lang w:val="en-US"/>
        </w:rPr>
        <w:t>Proceeding from formulas (</w:t>
      </w:r>
      <w:r w:rsidRPr="0024702C">
        <w:rPr>
          <w:lang w:val="en-US"/>
        </w:rPr>
        <w:t>51</w:t>
      </w:r>
      <w:r w:rsidRPr="00CB6CBA">
        <w:rPr>
          <w:lang w:val="en-US"/>
        </w:rPr>
        <w:t>), (</w:t>
      </w:r>
      <w:r w:rsidRPr="0024702C">
        <w:rPr>
          <w:lang w:val="en-US"/>
        </w:rPr>
        <w:t>52</w:t>
      </w:r>
      <w:r w:rsidRPr="00CB6CBA">
        <w:rPr>
          <w:lang w:val="en-US"/>
        </w:rPr>
        <w:t>) and (</w:t>
      </w:r>
      <w:r w:rsidRPr="0024702C">
        <w:rPr>
          <w:lang w:val="en-US"/>
        </w:rPr>
        <w:t>53</w:t>
      </w:r>
      <w:r w:rsidRPr="00CB6CBA">
        <w:rPr>
          <w:lang w:val="en-US"/>
        </w:rPr>
        <w:t xml:space="preserve">) it is possible to determine </w:t>
      </w:r>
      <w:r w:rsidRPr="00CB6CBA">
        <w:rPr>
          <w:i/>
          <w:iCs/>
          <w:lang w:val="en-US"/>
        </w:rPr>
        <w:t>C</w:t>
      </w:r>
      <w:r w:rsidRPr="00CB6CBA">
        <w:rPr>
          <w:i/>
          <w:iCs/>
          <w:vertAlign w:val="subscript"/>
          <w:lang w:val="en-US"/>
        </w:rPr>
        <w:t>ann</w:t>
      </w:r>
      <w:r w:rsidRPr="00CB6CBA">
        <w:rPr>
          <w:lang w:val="en-US"/>
        </w:rPr>
        <w:t>, representing annual payment for all radio</w:t>
      </w:r>
      <w:r w:rsidRPr="00CB6CBA">
        <w:rPr>
          <w:lang w:val="en-US"/>
        </w:rPr>
        <w:noBreakHyphen/>
        <w:t>frequency resource, used in the country. Further this amount is necessary for collecting from all telecommunication operators using radio-frequ</w:t>
      </w:r>
      <w:r>
        <w:rPr>
          <w:lang w:val="en-US"/>
        </w:rPr>
        <w:t>ency spectrum on a fair and non</w:t>
      </w:r>
      <w:r>
        <w:rPr>
          <w:lang w:val="en-US"/>
        </w:rPr>
        <w:noBreakHyphen/>
      </w:r>
      <w:r w:rsidRPr="00CB6CBA">
        <w:rPr>
          <w:lang w:val="en-US"/>
        </w:rPr>
        <w:t>discriminatory basis. To accomplish this, according to this Report and the ITU World Telecommunication Development Conference (Valetta, 1998), it is necessary to determine the value of the spectrum used by each operator.</w:t>
      </w:r>
    </w:p>
    <w:p w:rsidR="00CA3B52" w:rsidRPr="00CB6CBA" w:rsidRDefault="00CA3B52" w:rsidP="00CA3B52">
      <w:pPr>
        <w:rPr>
          <w:lang w:val="en-US"/>
        </w:rPr>
      </w:pPr>
      <w:r w:rsidRPr="00CB6CBA">
        <w:rPr>
          <w:lang w:val="en-US"/>
        </w:rPr>
        <w:t>Limitations regarding use of frequency assignments are given to users by the NCA. These limitations concern installation and operation of their radio equipment. The necessary information on all frequency assignments (frequency bands, transmitter capacity, geographical coordinates, antenna type and height of its installation, etc.) is stored in the national database. Total frequency assignments are designated as “</w:t>
      </w:r>
      <w:r w:rsidRPr="00CB6CBA">
        <w:rPr>
          <w:i/>
          <w:iCs/>
          <w:lang w:val="en-US"/>
        </w:rPr>
        <w:t>n</w:t>
      </w:r>
      <w:r w:rsidRPr="00CB6CBA">
        <w:rPr>
          <w:lang w:val="en-US"/>
        </w:rPr>
        <w:t>”.</w:t>
      </w:r>
    </w:p>
    <w:p w:rsidR="00CA3B52" w:rsidRPr="00CB6CBA" w:rsidRDefault="00CA3B52" w:rsidP="00CA3B52">
      <w:pPr>
        <w:rPr>
          <w:lang w:val="en-US"/>
        </w:rPr>
      </w:pPr>
      <w:r w:rsidRPr="00CB6CBA">
        <w:rPr>
          <w:lang w:val="en-US"/>
        </w:rPr>
        <w:t>The method used is as follows.</w:t>
      </w:r>
    </w:p>
    <w:p w:rsidR="00CA3B52" w:rsidRPr="00CB6CBA" w:rsidRDefault="00CA3B52" w:rsidP="00CA3B52">
      <w:pPr>
        <w:rPr>
          <w:lang w:val="en-US"/>
        </w:rPr>
      </w:pPr>
      <w:r w:rsidRPr="00CB6CBA">
        <w:rPr>
          <w:lang w:val="en-US"/>
        </w:rPr>
        <w:t xml:space="preserve">For any </w:t>
      </w:r>
      <w:r w:rsidRPr="00CB6CBA">
        <w:rPr>
          <w:i/>
          <w:iCs/>
          <w:lang w:val="en-US"/>
        </w:rPr>
        <w:t>i</w:t>
      </w:r>
      <w:r w:rsidRPr="00CB6CBA">
        <w:rPr>
          <w:lang w:val="en-US"/>
        </w:rPr>
        <w:t>-th user on the basis of its frequency assignment characteristic incorporated in the national database, it is possible to determine a three-dimensional value of the spectrum used, as follows:</w:t>
      </w:r>
    </w:p>
    <w:p w:rsidR="00CA3B52" w:rsidRPr="00CB6CBA"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0429F2">
        <w:rPr>
          <w:position w:val="-12"/>
          <w:lang w:val="en-US"/>
        </w:rPr>
        <w:object w:dxaOrig="1520" w:dyaOrig="360">
          <v:shape id="_x0000_i1116" type="#_x0000_t75" style="width:75.75pt;height:19.15pt" o:ole="">
            <v:imagedata r:id="rId203" o:title=""/>
          </v:shape>
          <o:OLEObject Type="Embed" ProgID="Equation.3" ShapeID="_x0000_i1116" DrawAspect="Content" ObjectID="_1511604905" r:id="rId204"/>
        </w:object>
      </w:r>
      <w:r w:rsidRPr="00CB6CBA">
        <w:rPr>
          <w:lang w:val="en-US"/>
        </w:rPr>
        <w:tab/>
        <w:t>(</w:t>
      </w:r>
      <w:r w:rsidRPr="0024702C">
        <w:rPr>
          <w:lang w:val="en-US"/>
        </w:rPr>
        <w:t>54</w:t>
      </w:r>
      <w:r w:rsidRPr="00CB6CBA">
        <w:rPr>
          <w:lang w:val="en-US"/>
        </w:rPr>
        <w:t>)</w:t>
      </w:r>
    </w:p>
    <w:p w:rsidR="00CA3B52" w:rsidRDefault="00CA3B52" w:rsidP="00CA3B52">
      <w:pPr>
        <w:pStyle w:val="Blanc"/>
      </w:pPr>
    </w:p>
    <w:p w:rsidR="00CA3B52" w:rsidRPr="00CB6CBA" w:rsidRDefault="00CA3B52" w:rsidP="00CA3B52">
      <w:pPr>
        <w:rPr>
          <w:lang w:val="en-US"/>
        </w:rPr>
      </w:pPr>
      <w:r w:rsidRPr="00CB6CBA">
        <w:rPr>
          <w:lang w:val="en-US"/>
        </w:rPr>
        <w:t>where:</w:t>
      </w:r>
    </w:p>
    <w:p w:rsidR="00CA3B52" w:rsidRPr="000429F2" w:rsidRDefault="00CA3B52" w:rsidP="00CA3B52">
      <w:pPr>
        <w:pStyle w:val="Equationlegend"/>
        <w:rPr>
          <w:rFonts w:asciiTheme="majorBidi" w:hAnsiTheme="majorBidi" w:cstheme="majorBidi"/>
        </w:rPr>
      </w:pPr>
      <w:r w:rsidRPr="000429F2">
        <w:rPr>
          <w:rFonts w:asciiTheme="majorBidi" w:hAnsiTheme="majorBidi" w:cstheme="majorBidi"/>
        </w:rPr>
        <w:tab/>
      </w:r>
      <w:r w:rsidRPr="000429F2">
        <w:rPr>
          <w:rFonts w:asciiTheme="majorBidi" w:hAnsiTheme="majorBidi" w:cstheme="majorBidi"/>
          <w:i/>
          <w:iCs/>
        </w:rPr>
        <w:t>Z</w:t>
      </w:r>
      <w:r w:rsidRPr="000429F2">
        <w:rPr>
          <w:rFonts w:asciiTheme="majorBidi" w:hAnsiTheme="majorBidi" w:cstheme="majorBidi"/>
          <w:i/>
          <w:iCs/>
          <w:vertAlign w:val="subscript"/>
        </w:rPr>
        <w:t>i</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 xml:space="preserve">frequency resource used for </w:t>
      </w:r>
      <w:r w:rsidRPr="000429F2">
        <w:rPr>
          <w:rFonts w:asciiTheme="majorBidi" w:hAnsiTheme="majorBidi" w:cstheme="majorBidi"/>
          <w:i/>
          <w:iCs/>
        </w:rPr>
        <w:t>i</w:t>
      </w:r>
      <w:r w:rsidRPr="000429F2">
        <w:rPr>
          <w:rFonts w:asciiTheme="majorBidi" w:hAnsiTheme="majorBidi" w:cstheme="majorBidi"/>
        </w:rPr>
        <w:t>-th frequency assignment</w:t>
      </w:r>
    </w:p>
    <w:p w:rsidR="00CA3B52" w:rsidRPr="000429F2" w:rsidRDefault="00CA3B52" w:rsidP="00CA3B52">
      <w:pPr>
        <w:pStyle w:val="Equationlegend"/>
        <w:rPr>
          <w:rFonts w:asciiTheme="majorBidi" w:hAnsiTheme="majorBidi" w:cstheme="majorBidi"/>
        </w:rPr>
      </w:pPr>
      <w:r w:rsidRPr="000429F2">
        <w:rPr>
          <w:rFonts w:asciiTheme="majorBidi" w:hAnsiTheme="majorBidi" w:cstheme="majorBidi"/>
        </w:rPr>
        <w:tab/>
      </w:r>
      <w:r w:rsidRPr="000429F2">
        <w:rPr>
          <w:rFonts w:asciiTheme="majorBidi" w:hAnsiTheme="majorBidi" w:cstheme="majorBidi"/>
          <w:i/>
          <w:iCs/>
        </w:rPr>
        <w:t>F</w:t>
      </w:r>
      <w:r w:rsidRPr="000429F2">
        <w:rPr>
          <w:rFonts w:asciiTheme="majorBidi" w:hAnsiTheme="majorBidi" w:cstheme="majorBidi"/>
          <w:i/>
          <w:iCs/>
          <w:vertAlign w:val="subscript"/>
        </w:rPr>
        <w:t>i</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 xml:space="preserve">radio frequency band used for </w:t>
      </w:r>
      <w:r w:rsidRPr="000429F2">
        <w:rPr>
          <w:rFonts w:asciiTheme="majorBidi" w:hAnsiTheme="majorBidi" w:cstheme="majorBidi"/>
          <w:i/>
          <w:iCs/>
        </w:rPr>
        <w:t>i</w:t>
      </w:r>
      <w:r w:rsidRPr="000429F2">
        <w:rPr>
          <w:rFonts w:asciiTheme="majorBidi" w:hAnsiTheme="majorBidi" w:cstheme="majorBidi"/>
        </w:rPr>
        <w:t>-th frequency assignment</w:t>
      </w:r>
    </w:p>
    <w:p w:rsidR="00CA3B52" w:rsidRPr="000429F2" w:rsidRDefault="00CA3B52" w:rsidP="00CA3B52">
      <w:pPr>
        <w:pStyle w:val="Equationlegend"/>
        <w:rPr>
          <w:rFonts w:asciiTheme="majorBidi" w:hAnsiTheme="majorBidi" w:cstheme="majorBidi"/>
        </w:rPr>
      </w:pPr>
      <w:r w:rsidRPr="000429F2">
        <w:rPr>
          <w:rFonts w:asciiTheme="majorBidi" w:hAnsiTheme="majorBidi" w:cstheme="majorBidi"/>
        </w:rPr>
        <w:tab/>
      </w:r>
      <w:r w:rsidRPr="000429F2">
        <w:rPr>
          <w:rFonts w:asciiTheme="majorBidi" w:hAnsiTheme="majorBidi" w:cstheme="majorBidi"/>
          <w:i/>
          <w:iCs/>
        </w:rPr>
        <w:t>S</w:t>
      </w:r>
      <w:r w:rsidRPr="000429F2">
        <w:rPr>
          <w:rFonts w:asciiTheme="majorBidi" w:hAnsiTheme="majorBidi" w:cstheme="majorBidi"/>
          <w:i/>
          <w:iCs/>
          <w:vertAlign w:val="subscript"/>
        </w:rPr>
        <w:t>i</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 xml:space="preserve">area of the territory used for </w:t>
      </w:r>
      <w:r w:rsidRPr="000429F2">
        <w:rPr>
          <w:rFonts w:asciiTheme="majorBidi" w:hAnsiTheme="majorBidi" w:cstheme="majorBidi"/>
          <w:i/>
          <w:iCs/>
        </w:rPr>
        <w:t>i</w:t>
      </w:r>
      <w:r w:rsidRPr="000429F2">
        <w:rPr>
          <w:rFonts w:asciiTheme="majorBidi" w:hAnsiTheme="majorBidi" w:cstheme="majorBidi"/>
        </w:rPr>
        <w:t>-th frequency assignment</w:t>
      </w:r>
    </w:p>
    <w:p w:rsidR="00CA3B52" w:rsidRPr="000429F2" w:rsidRDefault="00CA3B52" w:rsidP="00CA3B52">
      <w:pPr>
        <w:pStyle w:val="Equationlegend"/>
        <w:rPr>
          <w:rFonts w:asciiTheme="majorBidi" w:hAnsiTheme="majorBidi" w:cstheme="majorBidi"/>
        </w:rPr>
      </w:pPr>
      <w:r w:rsidRPr="000429F2">
        <w:rPr>
          <w:rFonts w:asciiTheme="majorBidi" w:hAnsiTheme="majorBidi" w:cstheme="majorBidi"/>
        </w:rPr>
        <w:lastRenderedPageBreak/>
        <w:tab/>
      </w:r>
      <w:r w:rsidRPr="000429F2">
        <w:rPr>
          <w:rFonts w:asciiTheme="majorBidi" w:hAnsiTheme="majorBidi" w:cstheme="majorBidi"/>
          <w:i/>
          <w:iCs/>
        </w:rPr>
        <w:t>t</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time.</w:t>
      </w:r>
    </w:p>
    <w:p w:rsidR="00CA3B52" w:rsidRPr="00CB6CBA" w:rsidRDefault="00CA3B52" w:rsidP="00CA3B52">
      <w:pPr>
        <w:rPr>
          <w:lang w:val="en-US"/>
        </w:rPr>
      </w:pPr>
      <w:r w:rsidRPr="00CB6CBA">
        <w:rPr>
          <w:lang w:val="en-US"/>
        </w:rPr>
        <w:t>Each component may be considered in more detail:</w:t>
      </w:r>
    </w:p>
    <w:p w:rsidR="00CA3B52" w:rsidRPr="00CB6CBA" w:rsidRDefault="00CA3B52" w:rsidP="00CA3B52">
      <w:pPr>
        <w:rPr>
          <w:lang w:val="en-US"/>
        </w:rPr>
      </w:pPr>
      <w:r w:rsidRPr="00CB6CBA">
        <w:rPr>
          <w:lang w:val="en-US"/>
        </w:rPr>
        <w:t>a)</w:t>
      </w:r>
      <w:r w:rsidRPr="00CB6CBA">
        <w:rPr>
          <w:rFonts w:ascii="Arial" w:hAnsi="Arial"/>
          <w:lang w:val="en-US"/>
        </w:rPr>
        <w:tab/>
      </w:r>
      <w:r w:rsidRPr="002B5AEF">
        <w:rPr>
          <w:bCs/>
          <w:lang w:val="en-US"/>
        </w:rPr>
        <w:t>The</w:t>
      </w:r>
      <w:r w:rsidRPr="00CB6CBA">
        <w:rPr>
          <w:lang w:val="en-US"/>
        </w:rPr>
        <w:t xml:space="preserve"> time </w:t>
      </w:r>
      <w:r w:rsidRPr="00CB6CBA">
        <w:rPr>
          <w:i/>
          <w:iCs/>
          <w:lang w:val="en-US"/>
        </w:rPr>
        <w:t>t</w:t>
      </w:r>
      <w:r w:rsidRPr="00CB6CBA">
        <w:rPr>
          <w:lang w:val="en-US"/>
        </w:rPr>
        <w:t xml:space="preserve"> for all users is equal to one year (</w:t>
      </w:r>
      <w:r w:rsidRPr="00CB6CBA">
        <w:rPr>
          <w:i/>
          <w:iCs/>
          <w:lang w:val="en-US"/>
        </w:rPr>
        <w:t>t</w:t>
      </w:r>
      <w:r w:rsidRPr="00CB6CBA">
        <w:rPr>
          <w:lang w:val="en-US"/>
        </w:rPr>
        <w:t> </w:t>
      </w:r>
      <w:r w:rsidRPr="00CB6CBA">
        <w:rPr>
          <w:rFonts w:ascii="Symbol" w:hAnsi="Symbol"/>
          <w:lang w:val="en-US"/>
        </w:rPr>
        <w:t></w:t>
      </w:r>
      <w:r w:rsidRPr="00CB6CBA">
        <w:rPr>
          <w:lang w:val="en-US"/>
        </w:rPr>
        <w:t> 1).</w:t>
      </w:r>
    </w:p>
    <w:p w:rsidR="00CA3B52" w:rsidRPr="00CB6CBA" w:rsidRDefault="00CA3B52">
      <w:pPr>
        <w:rPr>
          <w:lang w:val="en-US"/>
        </w:rPr>
      </w:pPr>
      <w:r w:rsidRPr="00CB6CBA">
        <w:rPr>
          <w:lang w:val="en-US"/>
        </w:rPr>
        <w:t>b)</w:t>
      </w:r>
      <w:r w:rsidRPr="00CB6CBA">
        <w:rPr>
          <w:lang w:val="en-US"/>
        </w:rPr>
        <w:tab/>
        <w:t xml:space="preserve">The population density of the territory is not uniform. The high population density area is more attractive to the telecommunication service operator. Therefore, the whole territory of the republic is divided into, </w:t>
      </w:r>
      <w:r w:rsidRPr="00CB6CBA">
        <w:rPr>
          <w:i/>
          <w:iCs/>
          <w:lang w:val="en-US"/>
        </w:rPr>
        <w:t>m</w:t>
      </w:r>
      <w:r w:rsidRPr="00CB6CBA">
        <w:rPr>
          <w:lang w:val="en-US"/>
        </w:rPr>
        <w:t xml:space="preserve">, territories according to its administrative structure and for each </w:t>
      </w:r>
      <w:r w:rsidRPr="00CB6CBA">
        <w:rPr>
          <w:i/>
          <w:iCs/>
          <w:lang w:val="en-US"/>
        </w:rPr>
        <w:t>j</w:t>
      </w:r>
      <w:r w:rsidRPr="00CB6CBA">
        <w:rPr>
          <w:lang w:val="en-US"/>
        </w:rPr>
        <w:t>-th territory, 1 </w:t>
      </w:r>
      <w:r>
        <w:rPr>
          <w:lang w:val="en-US"/>
        </w:rPr>
        <w:sym w:font="Symbol" w:char="F0A3"/>
      </w:r>
      <w:r w:rsidRPr="00CB6CBA">
        <w:rPr>
          <w:lang w:val="en-US"/>
        </w:rPr>
        <w:t> </w:t>
      </w:r>
      <w:r w:rsidRPr="00CB6CBA">
        <w:rPr>
          <w:i/>
          <w:iCs/>
          <w:lang w:val="en-US"/>
        </w:rPr>
        <w:t>j</w:t>
      </w:r>
      <w:r w:rsidRPr="00CB6CBA">
        <w:rPr>
          <w:lang w:val="en-US"/>
        </w:rPr>
        <w:t> </w:t>
      </w:r>
      <w:r>
        <w:rPr>
          <w:lang w:val="en-US"/>
        </w:rPr>
        <w:sym w:font="Symbol" w:char="F0A3"/>
      </w:r>
      <w:r w:rsidRPr="00CB6CBA">
        <w:rPr>
          <w:lang w:val="en-US"/>
        </w:rPr>
        <w:t> </w:t>
      </w:r>
      <w:r w:rsidRPr="00CB6CBA">
        <w:rPr>
          <w:i/>
          <w:iCs/>
          <w:lang w:val="en-US"/>
        </w:rPr>
        <w:t>m</w:t>
      </w:r>
      <w:r w:rsidRPr="00CB6CBA">
        <w:rPr>
          <w:lang w:val="en-US"/>
        </w:rPr>
        <w:t xml:space="preserve">, the population density coefficient (according to the data of the census) is </w:t>
      </w:r>
      <w:r w:rsidRPr="00CB6CBA">
        <w:rPr>
          <w:i/>
          <w:iCs/>
          <w:lang w:val="en-US"/>
        </w:rPr>
        <w:t>K</w:t>
      </w:r>
      <w:r w:rsidRPr="00CB6CBA">
        <w:rPr>
          <w:i/>
          <w:iCs/>
          <w:vertAlign w:val="subscript"/>
          <w:lang w:val="en-US"/>
        </w:rPr>
        <w:t>j</w:t>
      </w:r>
      <w:r>
        <w:rPr>
          <w:lang w:val="en-US"/>
        </w:rPr>
        <w:t xml:space="preserve"> (see </w:t>
      </w:r>
      <w:r w:rsidRPr="00CB6CBA">
        <w:rPr>
          <w:lang w:val="en-US"/>
        </w:rPr>
        <w:t xml:space="preserve">Table 21). </w:t>
      </w:r>
      <w:r w:rsidRPr="00CB6CBA">
        <w:rPr>
          <w:i/>
          <w:iCs/>
          <w:lang w:val="en-US"/>
        </w:rPr>
        <w:t>K</w:t>
      </w:r>
      <w:r w:rsidRPr="00CB6CBA">
        <w:rPr>
          <w:i/>
          <w:iCs/>
          <w:vertAlign w:val="subscript"/>
          <w:lang w:val="en-US"/>
        </w:rPr>
        <w:t>j</w:t>
      </w:r>
      <w:r w:rsidRPr="00CB6CBA">
        <w:rPr>
          <w:lang w:val="en-US"/>
        </w:rPr>
        <w:t> </w:t>
      </w:r>
      <w:r>
        <w:rPr>
          <w:lang w:val="en-US"/>
        </w:rPr>
        <w:t>=</w:t>
      </w:r>
      <w:r w:rsidRPr="00CB6CBA">
        <w:rPr>
          <w:lang w:val="en-US"/>
        </w:rPr>
        <w:t> 1 for the area with the lowest population density.</w:t>
      </w:r>
    </w:p>
    <w:p w:rsidR="00CA3B52" w:rsidRPr="00CB6CBA" w:rsidRDefault="00CA3B52" w:rsidP="00CA3B52">
      <w:pPr>
        <w:pStyle w:val="TableNo"/>
        <w:keepLines/>
        <w:rPr>
          <w:lang w:val="en-US"/>
        </w:rPr>
      </w:pPr>
      <w:r w:rsidRPr="00CB6CBA">
        <w:rPr>
          <w:lang w:val="en-US"/>
        </w:rPr>
        <w:t>TABLE 21</w:t>
      </w:r>
    </w:p>
    <w:p w:rsidR="00CA3B52" w:rsidRPr="00CB6CBA" w:rsidRDefault="00CA3B52" w:rsidP="00CA3B52">
      <w:pPr>
        <w:pStyle w:val="Tabletitle"/>
        <w:keepLines/>
        <w:rPr>
          <w:lang w:val="en-US"/>
        </w:rPr>
      </w:pPr>
      <w:r w:rsidRPr="00CB6CBA">
        <w:rPr>
          <w:lang w:val="en-US"/>
        </w:rPr>
        <w:t xml:space="preserve">Population density coefficient for various </w:t>
      </w:r>
      <w:r>
        <w:rPr>
          <w:lang w:val="en-US"/>
        </w:rPr>
        <w:br/>
      </w:r>
      <w:r w:rsidRPr="00CB6CBA">
        <w:rPr>
          <w:lang w:val="en-US"/>
        </w:rPr>
        <w:t>territories of the Kyrgyz Republic</w:t>
      </w:r>
    </w:p>
    <w:tbl>
      <w:tblPr>
        <w:tblW w:w="0" w:type="auto"/>
        <w:jc w:val="center"/>
        <w:tblBorders>
          <w:top w:val="single" w:sz="4"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7"/>
        <w:gridCol w:w="1134"/>
      </w:tblGrid>
      <w:tr w:rsidR="00CA3B52" w:rsidRPr="00A86C75" w:rsidTr="002D1D5C">
        <w:trPr>
          <w:cantSplit/>
          <w:jc w:val="center"/>
        </w:trPr>
        <w:tc>
          <w:tcPr>
            <w:tcW w:w="6237" w:type="dxa"/>
          </w:tcPr>
          <w:p w:rsidR="00CA3B52" w:rsidRPr="009C5204" w:rsidRDefault="00CA3B52" w:rsidP="00F65451">
            <w:pPr>
              <w:pStyle w:val="Tablehead"/>
              <w:rPr>
                <w:lang w:val="en-US"/>
              </w:rPr>
            </w:pPr>
            <w:r w:rsidRPr="009C5204">
              <w:rPr>
                <w:lang w:val="en-US"/>
              </w:rPr>
              <w:t>Designation – Province (oblast)</w:t>
            </w:r>
          </w:p>
        </w:tc>
        <w:tc>
          <w:tcPr>
            <w:tcW w:w="1134" w:type="dxa"/>
          </w:tcPr>
          <w:p w:rsidR="00CA3B52" w:rsidRPr="009C5204" w:rsidRDefault="00CA3B52" w:rsidP="00F65451">
            <w:pPr>
              <w:pStyle w:val="Tablehead"/>
              <w:rPr>
                <w:i/>
                <w:iCs/>
                <w:lang w:val="en-US"/>
              </w:rPr>
            </w:pPr>
            <w:r w:rsidRPr="009C5204">
              <w:rPr>
                <w:i/>
                <w:iCs/>
                <w:lang w:val="en-US"/>
              </w:rPr>
              <w:t>B</w:t>
            </w:r>
            <w:r w:rsidRPr="009C5204">
              <w:rPr>
                <w:i/>
                <w:iCs/>
                <w:position w:val="-4"/>
                <w:lang w:val="en-US"/>
              </w:rPr>
              <w:t>j</w:t>
            </w:r>
          </w:p>
        </w:tc>
      </w:tr>
      <w:tr w:rsidR="00CA3B52" w:rsidRPr="00A86C75" w:rsidTr="002D1D5C">
        <w:trPr>
          <w:cantSplit/>
          <w:jc w:val="center"/>
        </w:trPr>
        <w:tc>
          <w:tcPr>
            <w:tcW w:w="6237" w:type="dxa"/>
          </w:tcPr>
          <w:p w:rsidR="00CA3B52" w:rsidRPr="009C5204" w:rsidRDefault="00CA3B52" w:rsidP="00F65451">
            <w:pPr>
              <w:pStyle w:val="Tabletext"/>
              <w:rPr>
                <w:lang w:val="en-US"/>
              </w:rPr>
            </w:pPr>
            <w:r w:rsidRPr="009C5204">
              <w:rPr>
                <w:lang w:val="en-US"/>
              </w:rPr>
              <w:t>Naryn</w:t>
            </w:r>
          </w:p>
        </w:tc>
        <w:tc>
          <w:tcPr>
            <w:tcW w:w="1134" w:type="dxa"/>
          </w:tcPr>
          <w:p w:rsidR="00CA3B52" w:rsidRPr="009C5204" w:rsidRDefault="00CA3B52" w:rsidP="00F65451">
            <w:pPr>
              <w:pStyle w:val="Tabletext"/>
              <w:jc w:val="center"/>
              <w:rPr>
                <w:lang w:val="en-US"/>
              </w:rPr>
            </w:pPr>
            <w:r w:rsidRPr="009C5204">
              <w:rPr>
                <w:lang w:val="en-US"/>
              </w:rPr>
              <w:t>1</w:t>
            </w:r>
          </w:p>
        </w:tc>
      </w:tr>
      <w:tr w:rsidR="00CA3B52" w:rsidRPr="00A86C75" w:rsidTr="002D1D5C">
        <w:trPr>
          <w:cantSplit/>
          <w:jc w:val="center"/>
        </w:trPr>
        <w:tc>
          <w:tcPr>
            <w:tcW w:w="6237" w:type="dxa"/>
          </w:tcPr>
          <w:p w:rsidR="00CA3B52" w:rsidRPr="009C5204" w:rsidRDefault="00CA3B52" w:rsidP="00F65451">
            <w:pPr>
              <w:pStyle w:val="Tabletext"/>
              <w:rPr>
                <w:lang w:val="en-US"/>
              </w:rPr>
            </w:pPr>
            <w:r w:rsidRPr="009C5204">
              <w:rPr>
                <w:lang w:val="en-US"/>
              </w:rPr>
              <w:t>Talas</w:t>
            </w:r>
          </w:p>
        </w:tc>
        <w:tc>
          <w:tcPr>
            <w:tcW w:w="1134" w:type="dxa"/>
          </w:tcPr>
          <w:p w:rsidR="00CA3B52" w:rsidRPr="009C5204" w:rsidRDefault="00CA3B52" w:rsidP="00F65451">
            <w:pPr>
              <w:pStyle w:val="Tabletext"/>
              <w:jc w:val="center"/>
              <w:rPr>
                <w:lang w:val="en-US"/>
              </w:rPr>
            </w:pPr>
            <w:r w:rsidRPr="009C5204">
              <w:rPr>
                <w:lang w:val="en-US"/>
              </w:rPr>
              <w:t>3.7</w:t>
            </w:r>
          </w:p>
        </w:tc>
      </w:tr>
      <w:tr w:rsidR="00CA3B52" w:rsidRPr="00A86C75" w:rsidTr="002D1D5C">
        <w:trPr>
          <w:cantSplit/>
          <w:jc w:val="center"/>
        </w:trPr>
        <w:tc>
          <w:tcPr>
            <w:tcW w:w="6237" w:type="dxa"/>
          </w:tcPr>
          <w:p w:rsidR="00CA3B52" w:rsidRPr="009C5204" w:rsidRDefault="00CA3B52" w:rsidP="00F65451">
            <w:pPr>
              <w:pStyle w:val="Tabletext"/>
              <w:rPr>
                <w:lang w:val="en-US"/>
              </w:rPr>
            </w:pPr>
            <w:r w:rsidRPr="009C5204">
              <w:rPr>
                <w:lang w:val="en-US"/>
              </w:rPr>
              <w:t>Issyk-Kul</w:t>
            </w:r>
          </w:p>
        </w:tc>
        <w:tc>
          <w:tcPr>
            <w:tcW w:w="1134" w:type="dxa"/>
          </w:tcPr>
          <w:p w:rsidR="00CA3B52" w:rsidRPr="009C5204" w:rsidRDefault="00CA3B52" w:rsidP="00F65451">
            <w:pPr>
              <w:pStyle w:val="Tabletext"/>
              <w:jc w:val="center"/>
              <w:rPr>
                <w:lang w:val="en-US"/>
              </w:rPr>
            </w:pPr>
            <w:r w:rsidRPr="009C5204">
              <w:rPr>
                <w:lang w:val="en-US"/>
              </w:rPr>
              <w:t>3.5</w:t>
            </w:r>
          </w:p>
        </w:tc>
      </w:tr>
      <w:tr w:rsidR="00CA3B52" w:rsidRPr="00A86C75" w:rsidTr="002D1D5C">
        <w:trPr>
          <w:cantSplit/>
          <w:jc w:val="center"/>
        </w:trPr>
        <w:tc>
          <w:tcPr>
            <w:tcW w:w="6237" w:type="dxa"/>
          </w:tcPr>
          <w:p w:rsidR="00CA3B52" w:rsidRPr="009C5204" w:rsidRDefault="00CA3B52" w:rsidP="00F65451">
            <w:pPr>
              <w:pStyle w:val="Tabletext"/>
              <w:rPr>
                <w:lang w:val="en-US"/>
              </w:rPr>
            </w:pPr>
            <w:r w:rsidRPr="009C5204">
              <w:rPr>
                <w:lang w:val="en-US"/>
              </w:rPr>
              <w:t>Jalal-Abad</w:t>
            </w:r>
          </w:p>
        </w:tc>
        <w:tc>
          <w:tcPr>
            <w:tcW w:w="1134" w:type="dxa"/>
          </w:tcPr>
          <w:p w:rsidR="00CA3B52" w:rsidRPr="009C5204" w:rsidRDefault="00CA3B52" w:rsidP="00F65451">
            <w:pPr>
              <w:pStyle w:val="Tabletext"/>
              <w:jc w:val="center"/>
              <w:rPr>
                <w:lang w:val="en-US"/>
              </w:rPr>
            </w:pPr>
            <w:r w:rsidRPr="009C5204">
              <w:rPr>
                <w:lang w:val="en-US"/>
              </w:rPr>
              <w:t>5.6</w:t>
            </w:r>
          </w:p>
        </w:tc>
      </w:tr>
      <w:tr w:rsidR="00CA3B52" w:rsidRPr="00A86C75" w:rsidTr="002D1D5C">
        <w:trPr>
          <w:cantSplit/>
          <w:jc w:val="center"/>
        </w:trPr>
        <w:tc>
          <w:tcPr>
            <w:tcW w:w="6237" w:type="dxa"/>
          </w:tcPr>
          <w:p w:rsidR="00CA3B52" w:rsidRPr="009C5204" w:rsidRDefault="00CA3B52" w:rsidP="00F65451">
            <w:pPr>
              <w:pStyle w:val="Tabletext"/>
              <w:rPr>
                <w:lang w:val="en-US"/>
              </w:rPr>
            </w:pPr>
            <w:r w:rsidRPr="009C5204">
              <w:rPr>
                <w:lang w:val="en-US"/>
              </w:rPr>
              <w:t>Osh</w:t>
            </w:r>
          </w:p>
        </w:tc>
        <w:tc>
          <w:tcPr>
            <w:tcW w:w="1134" w:type="dxa"/>
          </w:tcPr>
          <w:p w:rsidR="00CA3B52" w:rsidRPr="009C5204" w:rsidRDefault="00CA3B52" w:rsidP="00F65451">
            <w:pPr>
              <w:pStyle w:val="Tabletext"/>
              <w:jc w:val="center"/>
              <w:rPr>
                <w:lang w:val="en-US"/>
              </w:rPr>
            </w:pPr>
            <w:r w:rsidRPr="009C5204">
              <w:rPr>
                <w:lang w:val="en-US"/>
              </w:rPr>
              <w:t>5</w:t>
            </w:r>
          </w:p>
        </w:tc>
      </w:tr>
      <w:tr w:rsidR="00CA3B52" w:rsidRPr="00A86C75" w:rsidTr="002D1D5C">
        <w:trPr>
          <w:cantSplit/>
          <w:jc w:val="center"/>
        </w:trPr>
        <w:tc>
          <w:tcPr>
            <w:tcW w:w="6237" w:type="dxa"/>
          </w:tcPr>
          <w:p w:rsidR="00CA3B52" w:rsidRPr="009C5204" w:rsidRDefault="00CA3B52" w:rsidP="00F65451">
            <w:pPr>
              <w:pStyle w:val="Tabletext"/>
              <w:rPr>
                <w:lang w:val="en-US"/>
              </w:rPr>
            </w:pPr>
            <w:r w:rsidRPr="009C5204">
              <w:rPr>
                <w:lang w:val="en-US"/>
              </w:rPr>
              <w:t>Chuy</w:t>
            </w:r>
          </w:p>
        </w:tc>
        <w:tc>
          <w:tcPr>
            <w:tcW w:w="1134" w:type="dxa"/>
          </w:tcPr>
          <w:p w:rsidR="00CA3B52" w:rsidRPr="009C5204" w:rsidRDefault="00CA3B52" w:rsidP="00F65451">
            <w:pPr>
              <w:pStyle w:val="Tabletext"/>
              <w:jc w:val="center"/>
              <w:rPr>
                <w:lang w:val="en-US"/>
              </w:rPr>
            </w:pPr>
            <w:r w:rsidRPr="009C5204">
              <w:rPr>
                <w:lang w:val="en-US"/>
              </w:rPr>
              <w:t>8</w:t>
            </w:r>
          </w:p>
        </w:tc>
      </w:tr>
      <w:tr w:rsidR="00CA3B52" w:rsidRPr="00F65451" w:rsidTr="002D1D5C">
        <w:trPr>
          <w:cantSplit/>
          <w:jc w:val="center"/>
        </w:trPr>
        <w:tc>
          <w:tcPr>
            <w:tcW w:w="7371" w:type="dxa"/>
            <w:gridSpan w:val="2"/>
          </w:tcPr>
          <w:p w:rsidR="00CA3B52" w:rsidRPr="009C5204" w:rsidRDefault="00CA3B52" w:rsidP="00F65451">
            <w:pPr>
              <w:pStyle w:val="Tablehead"/>
              <w:rPr>
                <w:lang w:val="en-US"/>
              </w:rPr>
            </w:pPr>
            <w:r w:rsidRPr="009C5204">
              <w:rPr>
                <w:lang w:val="en-US"/>
              </w:rPr>
              <w:t>Cities and settlement of an urban type</w:t>
            </w:r>
          </w:p>
        </w:tc>
      </w:tr>
      <w:tr w:rsidR="00CA3B52" w:rsidRPr="009C5204" w:rsidTr="002D1D5C">
        <w:trPr>
          <w:cantSplit/>
          <w:jc w:val="center"/>
        </w:trPr>
        <w:tc>
          <w:tcPr>
            <w:tcW w:w="6237" w:type="dxa"/>
          </w:tcPr>
          <w:p w:rsidR="00CA3B52" w:rsidRPr="009C5204" w:rsidRDefault="00CA3B52" w:rsidP="00F65451">
            <w:pPr>
              <w:pStyle w:val="Tabletext"/>
              <w:rPr>
                <w:lang w:val="en-US"/>
              </w:rPr>
            </w:pPr>
            <w:r w:rsidRPr="009C5204">
              <w:rPr>
                <w:lang w:val="en-US"/>
              </w:rPr>
              <w:t>With a population of 10</w:t>
            </w:r>
            <w:r w:rsidRPr="009C5204">
              <w:rPr>
                <w:rFonts w:ascii="Tms Rmn" w:hAnsi="Tms Rmn"/>
                <w:lang w:val="en-US"/>
              </w:rPr>
              <w:t> </w:t>
            </w:r>
            <w:r w:rsidRPr="009C5204">
              <w:rPr>
                <w:lang w:val="en-US"/>
              </w:rPr>
              <w:t>000 to 50</w:t>
            </w:r>
            <w:r w:rsidRPr="009C5204">
              <w:rPr>
                <w:rFonts w:ascii="Tms Rmn" w:hAnsi="Tms Rmn"/>
                <w:lang w:val="en-US"/>
              </w:rPr>
              <w:t> </w:t>
            </w:r>
            <w:r w:rsidRPr="009C5204">
              <w:rPr>
                <w:lang w:val="en-US"/>
              </w:rPr>
              <w:t>000 inhabitants</w:t>
            </w:r>
          </w:p>
        </w:tc>
        <w:tc>
          <w:tcPr>
            <w:tcW w:w="1134" w:type="dxa"/>
          </w:tcPr>
          <w:p w:rsidR="00CA3B52" w:rsidRPr="009C5204" w:rsidRDefault="00CA3B52" w:rsidP="00F65451">
            <w:pPr>
              <w:pStyle w:val="Tabletext"/>
              <w:jc w:val="center"/>
              <w:rPr>
                <w:lang w:val="en-US"/>
              </w:rPr>
            </w:pPr>
            <w:r w:rsidRPr="009C5204">
              <w:rPr>
                <w:lang w:val="en-US"/>
              </w:rPr>
              <w:t>16</w:t>
            </w:r>
          </w:p>
        </w:tc>
      </w:tr>
      <w:tr w:rsidR="00CA3B52" w:rsidRPr="009C5204" w:rsidTr="002D1D5C">
        <w:trPr>
          <w:cantSplit/>
          <w:jc w:val="center"/>
        </w:trPr>
        <w:tc>
          <w:tcPr>
            <w:tcW w:w="6237" w:type="dxa"/>
          </w:tcPr>
          <w:p w:rsidR="00CA3B52" w:rsidRPr="009C5204" w:rsidRDefault="00CA3B52" w:rsidP="00F65451">
            <w:pPr>
              <w:pStyle w:val="Tabletext"/>
              <w:rPr>
                <w:lang w:val="en-US"/>
              </w:rPr>
            </w:pPr>
            <w:r w:rsidRPr="009C5204">
              <w:rPr>
                <w:lang w:val="en-US"/>
              </w:rPr>
              <w:t>With a population of 50</w:t>
            </w:r>
            <w:r w:rsidRPr="009C5204">
              <w:rPr>
                <w:rFonts w:ascii="Tms Rmn" w:hAnsi="Tms Rmn"/>
                <w:lang w:val="en-US"/>
              </w:rPr>
              <w:t> </w:t>
            </w:r>
            <w:r w:rsidRPr="009C5204">
              <w:rPr>
                <w:lang w:val="en-US"/>
              </w:rPr>
              <w:t>000 to 100</w:t>
            </w:r>
            <w:r w:rsidRPr="009C5204">
              <w:rPr>
                <w:rFonts w:ascii="Tms Rmn" w:hAnsi="Tms Rmn"/>
                <w:lang w:val="en-US"/>
              </w:rPr>
              <w:t> </w:t>
            </w:r>
            <w:r w:rsidRPr="009C5204">
              <w:rPr>
                <w:lang w:val="en-US"/>
              </w:rPr>
              <w:t>000 inhabitants</w:t>
            </w:r>
          </w:p>
        </w:tc>
        <w:tc>
          <w:tcPr>
            <w:tcW w:w="1134" w:type="dxa"/>
          </w:tcPr>
          <w:p w:rsidR="00CA3B52" w:rsidRPr="009C5204" w:rsidRDefault="00CA3B52" w:rsidP="00F65451">
            <w:pPr>
              <w:pStyle w:val="Tabletext"/>
              <w:jc w:val="center"/>
              <w:rPr>
                <w:lang w:val="en-US"/>
              </w:rPr>
            </w:pPr>
            <w:r w:rsidRPr="009C5204">
              <w:rPr>
                <w:lang w:val="en-US"/>
              </w:rPr>
              <w:t>32</w:t>
            </w:r>
          </w:p>
        </w:tc>
      </w:tr>
      <w:tr w:rsidR="00CA3B52" w:rsidRPr="009C5204" w:rsidTr="002D1D5C">
        <w:trPr>
          <w:cantSplit/>
          <w:jc w:val="center"/>
        </w:trPr>
        <w:tc>
          <w:tcPr>
            <w:tcW w:w="6237" w:type="dxa"/>
          </w:tcPr>
          <w:p w:rsidR="00CA3B52" w:rsidRPr="009C5204" w:rsidRDefault="00CA3B52" w:rsidP="00F65451">
            <w:pPr>
              <w:pStyle w:val="Tabletext"/>
              <w:rPr>
                <w:lang w:val="en-US"/>
              </w:rPr>
            </w:pPr>
            <w:r w:rsidRPr="009C5204">
              <w:rPr>
                <w:lang w:val="en-US"/>
              </w:rPr>
              <w:t>With a population of 100</w:t>
            </w:r>
            <w:r w:rsidRPr="009C5204">
              <w:rPr>
                <w:rFonts w:ascii="Tms Rmn" w:hAnsi="Tms Rmn"/>
                <w:lang w:val="en-US"/>
              </w:rPr>
              <w:t> </w:t>
            </w:r>
            <w:r w:rsidRPr="009C5204">
              <w:rPr>
                <w:lang w:val="en-US"/>
              </w:rPr>
              <w:t>000 to 500</w:t>
            </w:r>
            <w:r w:rsidRPr="009C5204">
              <w:rPr>
                <w:rFonts w:ascii="Tms Rmn" w:hAnsi="Tms Rmn"/>
                <w:lang w:val="en-US"/>
              </w:rPr>
              <w:t> </w:t>
            </w:r>
            <w:r w:rsidRPr="009C5204">
              <w:rPr>
                <w:lang w:val="en-US"/>
              </w:rPr>
              <w:t>000 inhabitants</w:t>
            </w:r>
          </w:p>
        </w:tc>
        <w:tc>
          <w:tcPr>
            <w:tcW w:w="1134" w:type="dxa"/>
          </w:tcPr>
          <w:p w:rsidR="00CA3B52" w:rsidRPr="009C5204" w:rsidRDefault="00CA3B52" w:rsidP="00F65451">
            <w:pPr>
              <w:pStyle w:val="Tabletext"/>
              <w:jc w:val="center"/>
              <w:rPr>
                <w:lang w:val="en-US"/>
              </w:rPr>
            </w:pPr>
            <w:r w:rsidRPr="009C5204">
              <w:rPr>
                <w:lang w:val="en-US"/>
              </w:rPr>
              <w:t>64</w:t>
            </w:r>
          </w:p>
        </w:tc>
      </w:tr>
      <w:tr w:rsidR="00CA3B52" w:rsidRPr="009C5204" w:rsidTr="002D1D5C">
        <w:trPr>
          <w:cantSplit/>
          <w:jc w:val="center"/>
        </w:trPr>
        <w:tc>
          <w:tcPr>
            <w:tcW w:w="6237" w:type="dxa"/>
          </w:tcPr>
          <w:p w:rsidR="00CA3B52" w:rsidRPr="009C5204" w:rsidRDefault="00CA3B52" w:rsidP="00F65451">
            <w:pPr>
              <w:pStyle w:val="Tabletext"/>
              <w:rPr>
                <w:lang w:val="en-US"/>
              </w:rPr>
            </w:pPr>
            <w:r w:rsidRPr="009C5204">
              <w:rPr>
                <w:lang w:val="en-US"/>
              </w:rPr>
              <w:t>With a population over 500</w:t>
            </w:r>
            <w:r w:rsidRPr="009C5204">
              <w:rPr>
                <w:rFonts w:ascii="Tms Rmn" w:hAnsi="Tms Rmn"/>
                <w:lang w:val="en-US"/>
              </w:rPr>
              <w:t> </w:t>
            </w:r>
            <w:r w:rsidRPr="009C5204">
              <w:rPr>
                <w:lang w:val="en-US"/>
              </w:rPr>
              <w:t>000 inhabitants</w:t>
            </w:r>
          </w:p>
        </w:tc>
        <w:tc>
          <w:tcPr>
            <w:tcW w:w="1134" w:type="dxa"/>
          </w:tcPr>
          <w:p w:rsidR="00CA3B52" w:rsidRPr="009C5204" w:rsidRDefault="00CA3B52" w:rsidP="00F65451">
            <w:pPr>
              <w:pStyle w:val="Tabletext"/>
              <w:jc w:val="center"/>
              <w:rPr>
                <w:lang w:val="en-US"/>
              </w:rPr>
            </w:pPr>
            <w:r w:rsidRPr="009C5204">
              <w:rPr>
                <w:lang w:val="en-US"/>
              </w:rPr>
              <w:t>128</w:t>
            </w:r>
          </w:p>
        </w:tc>
      </w:tr>
    </w:tbl>
    <w:p w:rsidR="00CA3B52" w:rsidRPr="00CB6CBA" w:rsidRDefault="00CA3B52" w:rsidP="00CA3B52">
      <w:pPr>
        <w:pStyle w:val="Tablefin"/>
        <w:rPr>
          <w:lang w:val="en-US"/>
        </w:rPr>
      </w:pPr>
    </w:p>
    <w:p w:rsidR="00CA3B52" w:rsidRDefault="00CA3B52" w:rsidP="00CA3B52">
      <w:pPr>
        <w:rPr>
          <w:lang w:val="en-US"/>
        </w:rPr>
      </w:pPr>
      <w:r w:rsidRPr="00CB6CBA">
        <w:rPr>
          <w:lang w:val="en-US"/>
        </w:rPr>
        <w:t xml:space="preserve">The population density coefficient permits a fair annual payment for users. Then, if the coordination area of </w:t>
      </w:r>
      <w:r w:rsidRPr="00CB6CBA">
        <w:rPr>
          <w:i/>
          <w:iCs/>
          <w:lang w:val="en-US"/>
        </w:rPr>
        <w:t>i</w:t>
      </w:r>
      <w:r w:rsidRPr="00CB6CBA">
        <w:rPr>
          <w:lang w:val="en-US"/>
        </w:rPr>
        <w:noBreakHyphen/>
        <w:t xml:space="preserve">th frequency assignment covers, </w:t>
      </w:r>
      <w:r w:rsidRPr="00CB6CBA">
        <w:rPr>
          <w:i/>
          <w:iCs/>
          <w:lang w:val="en-US"/>
        </w:rPr>
        <w:t>q</w:t>
      </w:r>
      <w:r w:rsidRPr="00CB6CBA">
        <w:rPr>
          <w:lang w:val="en-US"/>
        </w:rPr>
        <w:t>, sites in different territories, the area is determined as follows:</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CB6CBA">
        <w:rPr>
          <w:position w:val="-36"/>
          <w:sz w:val="20"/>
          <w:lang w:val="en-US"/>
        </w:rPr>
        <w:object w:dxaOrig="1500" w:dyaOrig="820">
          <v:shape id="_x0000_i1117" type="#_x0000_t75" style="width:73.4pt;height:40.2pt" o:ole="" fillcolor="window">
            <v:imagedata r:id="rId205" o:title=""/>
          </v:shape>
          <o:OLEObject Type="Embed" ProgID="Equation.3" ShapeID="_x0000_i1117" DrawAspect="Content" ObjectID="_1511604906" r:id="rId206"/>
        </w:object>
      </w:r>
      <w:r w:rsidRPr="00CB6CBA">
        <w:rPr>
          <w:lang w:val="en-US"/>
        </w:rPr>
        <w:t>               km</w:t>
      </w:r>
      <w:r w:rsidRPr="00CB6CBA">
        <w:rPr>
          <w:position w:val="6"/>
          <w:sz w:val="18"/>
          <w:lang w:val="en-US"/>
        </w:rPr>
        <w:t>2</w:t>
      </w:r>
      <w:r w:rsidRPr="00CB6CBA">
        <w:rPr>
          <w:lang w:val="en-US"/>
        </w:rPr>
        <w:tab/>
        <w:t>(</w:t>
      </w:r>
      <w:r w:rsidRPr="0024702C">
        <w:rPr>
          <w:lang w:val="en-US"/>
        </w:rPr>
        <w:t>55</w:t>
      </w:r>
      <w:r w:rsidRPr="00CB6CBA">
        <w:rPr>
          <w:lang w:val="en-US"/>
        </w:rPr>
        <w:t>)</w:t>
      </w:r>
    </w:p>
    <w:p w:rsidR="00CA3B52" w:rsidRDefault="00CA3B52" w:rsidP="00CA3B52">
      <w:pPr>
        <w:pStyle w:val="Blanc"/>
      </w:pPr>
    </w:p>
    <w:p w:rsidR="00CA3B52" w:rsidRPr="00CB6CBA" w:rsidRDefault="00CA3B52" w:rsidP="00CA3B52">
      <w:pPr>
        <w:rPr>
          <w:lang w:val="en-US"/>
        </w:rPr>
      </w:pPr>
      <w:r w:rsidRPr="00CB6CBA">
        <w:rPr>
          <w:lang w:val="en-US"/>
        </w:rPr>
        <w:t>where:</w:t>
      </w:r>
    </w:p>
    <w:p w:rsidR="00CA3B52" w:rsidRPr="000429F2" w:rsidRDefault="00CA3B52" w:rsidP="00CA3B52">
      <w:pPr>
        <w:pStyle w:val="Equationlegend"/>
        <w:rPr>
          <w:rFonts w:asciiTheme="majorBidi" w:hAnsiTheme="majorBidi" w:cstheme="majorBidi"/>
        </w:rPr>
      </w:pPr>
      <w:r w:rsidRPr="000429F2">
        <w:rPr>
          <w:rFonts w:asciiTheme="majorBidi" w:hAnsiTheme="majorBidi" w:cstheme="majorBidi"/>
        </w:rPr>
        <w:tab/>
      </w:r>
      <w:r w:rsidRPr="000429F2">
        <w:rPr>
          <w:rFonts w:asciiTheme="majorBidi" w:hAnsiTheme="majorBidi" w:cstheme="majorBidi"/>
          <w:i/>
          <w:iCs/>
        </w:rPr>
        <w:t>S</w:t>
      </w:r>
      <w:r w:rsidRPr="000429F2">
        <w:rPr>
          <w:rFonts w:asciiTheme="majorBidi" w:hAnsiTheme="majorBidi" w:cstheme="majorBidi"/>
          <w:i/>
          <w:iCs/>
          <w:vertAlign w:val="subscript"/>
        </w:rPr>
        <w:t>i</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 xml:space="preserve">area of the territory used by the </w:t>
      </w:r>
      <w:r w:rsidRPr="000429F2">
        <w:rPr>
          <w:rFonts w:asciiTheme="majorBidi" w:hAnsiTheme="majorBidi" w:cstheme="majorBidi"/>
          <w:i/>
          <w:iCs/>
        </w:rPr>
        <w:t>i</w:t>
      </w:r>
      <w:r w:rsidRPr="000429F2">
        <w:rPr>
          <w:rFonts w:asciiTheme="majorBidi" w:hAnsiTheme="majorBidi" w:cstheme="majorBidi"/>
        </w:rPr>
        <w:t>-th frequency assignment</w:t>
      </w:r>
    </w:p>
    <w:p w:rsidR="00CA3B52" w:rsidRPr="000429F2" w:rsidRDefault="00CA3B52" w:rsidP="00CA3B52">
      <w:pPr>
        <w:pStyle w:val="Equationlegend"/>
        <w:rPr>
          <w:rFonts w:asciiTheme="majorBidi" w:hAnsiTheme="majorBidi" w:cstheme="majorBidi"/>
        </w:rPr>
      </w:pPr>
      <w:r w:rsidRPr="000429F2">
        <w:rPr>
          <w:rFonts w:asciiTheme="majorBidi" w:hAnsiTheme="majorBidi" w:cstheme="majorBidi"/>
        </w:rPr>
        <w:tab/>
      </w:r>
      <w:r w:rsidRPr="000429F2">
        <w:rPr>
          <w:rFonts w:asciiTheme="majorBidi" w:hAnsiTheme="majorBidi" w:cstheme="majorBidi"/>
          <w:i/>
          <w:iCs/>
        </w:rPr>
        <w:t>q</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 xml:space="preserve">overall number of territories covered by coordination area of </w:t>
      </w:r>
      <w:r w:rsidRPr="000429F2">
        <w:rPr>
          <w:rFonts w:asciiTheme="majorBidi" w:hAnsiTheme="majorBidi" w:cstheme="majorBidi"/>
          <w:i/>
          <w:iCs/>
        </w:rPr>
        <w:t>i</w:t>
      </w:r>
      <w:r w:rsidRPr="000429F2">
        <w:rPr>
          <w:rFonts w:asciiTheme="majorBidi" w:hAnsiTheme="majorBidi" w:cstheme="majorBidi"/>
        </w:rPr>
        <w:t>-th frequency assignment (</w:t>
      </w:r>
      <w:r w:rsidRPr="000429F2">
        <w:rPr>
          <w:rFonts w:asciiTheme="majorBidi" w:hAnsiTheme="majorBidi" w:cstheme="majorBidi"/>
          <w:i/>
          <w:iCs/>
        </w:rPr>
        <w:t>q</w:t>
      </w:r>
      <w:r w:rsidRPr="000429F2">
        <w:rPr>
          <w:rFonts w:asciiTheme="majorBidi" w:hAnsiTheme="majorBidi" w:cstheme="majorBidi"/>
        </w:rPr>
        <w:t> </w:t>
      </w:r>
      <w:r>
        <w:rPr>
          <w:rFonts w:asciiTheme="majorBidi" w:hAnsiTheme="majorBidi" w:cstheme="majorBidi"/>
        </w:rPr>
        <w:sym w:font="Symbol" w:char="F0A3"/>
      </w:r>
      <w:r w:rsidRPr="000429F2">
        <w:rPr>
          <w:rFonts w:asciiTheme="majorBidi" w:hAnsiTheme="majorBidi" w:cstheme="majorBidi"/>
        </w:rPr>
        <w:t> </w:t>
      </w:r>
      <w:r w:rsidRPr="000429F2">
        <w:rPr>
          <w:rFonts w:asciiTheme="majorBidi" w:hAnsiTheme="majorBidi" w:cstheme="majorBidi"/>
          <w:i/>
          <w:iCs/>
        </w:rPr>
        <w:t>m</w:t>
      </w:r>
      <w:r w:rsidRPr="000429F2">
        <w:rPr>
          <w:rFonts w:asciiTheme="majorBidi" w:hAnsiTheme="majorBidi" w:cstheme="majorBidi"/>
        </w:rPr>
        <w:t>)</w:t>
      </w:r>
    </w:p>
    <w:p w:rsidR="00CA3B52" w:rsidRPr="000429F2" w:rsidRDefault="00CA3B52" w:rsidP="00CA3B52">
      <w:pPr>
        <w:pStyle w:val="Equationlegend"/>
        <w:rPr>
          <w:rFonts w:asciiTheme="majorBidi" w:hAnsiTheme="majorBidi" w:cstheme="majorBidi"/>
        </w:rPr>
      </w:pPr>
      <w:r w:rsidRPr="000429F2">
        <w:rPr>
          <w:rFonts w:asciiTheme="majorBidi" w:hAnsiTheme="majorBidi" w:cstheme="majorBidi"/>
        </w:rPr>
        <w:tab/>
      </w:r>
      <w:r w:rsidRPr="000429F2">
        <w:rPr>
          <w:rFonts w:asciiTheme="majorBidi" w:hAnsiTheme="majorBidi" w:cstheme="majorBidi"/>
          <w:i/>
          <w:iCs/>
        </w:rPr>
        <w:t>K</w:t>
      </w:r>
      <w:r w:rsidRPr="000429F2">
        <w:rPr>
          <w:rFonts w:asciiTheme="majorBidi" w:hAnsiTheme="majorBidi" w:cstheme="majorBidi"/>
          <w:i/>
          <w:iCs/>
          <w:vertAlign w:val="subscript"/>
        </w:rPr>
        <w:t>j</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 xml:space="preserve">population density coefficient in </w:t>
      </w:r>
      <w:r w:rsidRPr="000429F2">
        <w:rPr>
          <w:rFonts w:asciiTheme="majorBidi" w:hAnsiTheme="majorBidi" w:cstheme="majorBidi"/>
          <w:i/>
          <w:iCs/>
        </w:rPr>
        <w:t>j</w:t>
      </w:r>
      <w:r w:rsidRPr="000429F2">
        <w:rPr>
          <w:rFonts w:asciiTheme="majorBidi" w:hAnsiTheme="majorBidi" w:cstheme="majorBidi"/>
        </w:rPr>
        <w:t>-th territory (from Table 21)</w:t>
      </w:r>
    </w:p>
    <w:p w:rsidR="00CA3B52" w:rsidRPr="00CB6CBA" w:rsidRDefault="00CA3B52" w:rsidP="00CA3B52">
      <w:pPr>
        <w:pStyle w:val="Equationlegend"/>
      </w:pPr>
      <w:r w:rsidRPr="000429F2">
        <w:rPr>
          <w:rFonts w:asciiTheme="majorBidi" w:hAnsiTheme="majorBidi" w:cstheme="majorBidi"/>
        </w:rPr>
        <w:tab/>
      </w:r>
      <w:r>
        <w:rPr>
          <w:rFonts w:asciiTheme="majorBidi" w:hAnsiTheme="majorBidi" w:cstheme="majorBidi"/>
        </w:rPr>
        <w:sym w:font="Symbol" w:char="F06C"/>
      </w:r>
      <w:r w:rsidRPr="000429F2">
        <w:rPr>
          <w:rFonts w:asciiTheme="majorBidi" w:hAnsiTheme="majorBidi" w:cstheme="majorBidi"/>
          <w:i/>
          <w:iCs/>
          <w:vertAlign w:val="subscript"/>
        </w:rPr>
        <w:t>j</w:t>
      </w:r>
      <w:r w:rsidRPr="000429F2">
        <w:rPr>
          <w:rFonts w:asciiTheme="majorBidi" w:hAnsiTheme="majorBidi" w:cstheme="majorBidi"/>
          <w:sz w:val="12"/>
        </w:rPr>
        <w:t> </w:t>
      </w:r>
      <w:r w:rsidRPr="000429F2">
        <w:rPr>
          <w:rFonts w:asciiTheme="majorBidi" w:hAnsiTheme="majorBidi" w:cstheme="majorBidi"/>
        </w:rPr>
        <w:t>:</w:t>
      </w:r>
      <w:r w:rsidRPr="000429F2">
        <w:rPr>
          <w:rFonts w:asciiTheme="majorBidi" w:hAnsiTheme="majorBidi" w:cstheme="majorBidi"/>
        </w:rPr>
        <w:tab/>
        <w:t xml:space="preserve">area of coordination area site located in </w:t>
      </w:r>
      <w:r w:rsidRPr="000429F2">
        <w:rPr>
          <w:rFonts w:asciiTheme="majorBidi" w:hAnsiTheme="majorBidi" w:cstheme="majorBidi"/>
          <w:i/>
          <w:iCs/>
        </w:rPr>
        <w:t>j</w:t>
      </w:r>
      <w:r w:rsidRPr="000429F2">
        <w:rPr>
          <w:rFonts w:asciiTheme="majorBidi" w:hAnsiTheme="majorBidi" w:cstheme="majorBidi"/>
        </w:rPr>
        <w:t>-th territory.</w:t>
      </w:r>
    </w:p>
    <w:p w:rsidR="00CA3B52" w:rsidRDefault="00CA3B52">
      <w:pPr>
        <w:rPr>
          <w:lang w:val="en-US"/>
        </w:rPr>
      </w:pPr>
      <w:r w:rsidRPr="00CB6CBA">
        <w:rPr>
          <w:lang w:val="en-US"/>
        </w:rPr>
        <w:t>c</w:t>
      </w:r>
      <w:r w:rsidRPr="00CB6CBA">
        <w:rPr>
          <w:rFonts w:ascii="Arial" w:hAnsi="Arial"/>
          <w:lang w:val="en-US"/>
        </w:rPr>
        <w:t>)</w:t>
      </w:r>
      <w:r w:rsidRPr="00CB6CBA">
        <w:rPr>
          <w:rFonts w:ascii="Arial" w:hAnsi="Arial"/>
          <w:lang w:val="en-US"/>
        </w:rPr>
        <w:tab/>
      </w:r>
      <w:r w:rsidRPr="00CB6CBA">
        <w:rPr>
          <w:lang w:val="en-US"/>
        </w:rPr>
        <w:t xml:space="preserve">For each </w:t>
      </w:r>
      <w:r w:rsidRPr="00CB6CBA">
        <w:rPr>
          <w:i/>
          <w:iCs/>
          <w:lang w:val="en-US"/>
        </w:rPr>
        <w:t>i</w:t>
      </w:r>
      <w:r w:rsidRPr="00CB6CBA">
        <w:rPr>
          <w:lang w:val="en-US"/>
        </w:rPr>
        <w:t xml:space="preserve">-th frequency assignment, frequency band </w:t>
      </w:r>
      <w:r>
        <w:rPr>
          <w:lang w:val="en-US"/>
        </w:rPr>
        <w:sym w:font="Symbol" w:char="F044"/>
      </w:r>
      <w:r w:rsidRPr="00CB6CBA">
        <w:rPr>
          <w:i/>
          <w:iCs/>
          <w:lang w:val="en-US"/>
        </w:rPr>
        <w:t>f</w:t>
      </w:r>
      <w:r w:rsidRPr="00CB6CBA">
        <w:rPr>
          <w:i/>
          <w:iCs/>
          <w:vertAlign w:val="subscript"/>
          <w:lang w:val="en-US"/>
        </w:rPr>
        <w:t>i</w:t>
      </w:r>
      <w:r w:rsidRPr="00CB6CBA">
        <w:rPr>
          <w:lang w:val="en-US"/>
        </w:rPr>
        <w:t xml:space="preserve"> is used. But different ranges are used by various radiocom</w:t>
      </w:r>
      <w:r w:rsidRPr="00CB6CBA">
        <w:rPr>
          <w:lang w:val="en-US"/>
        </w:rPr>
        <w:softHyphen/>
        <w:t xml:space="preserve">munication services. Therefore there is a number of the coefficients, which are necessary to take into account, as they influence are the price of the frequency band used. </w:t>
      </w:r>
      <w:r w:rsidRPr="00CB6CBA">
        <w:rPr>
          <w:lang w:val="en-US"/>
        </w:rPr>
        <w:lastRenderedPageBreak/>
        <w:t xml:space="preserve">In the general case it is possible to determine the value of the used frequency band for </w:t>
      </w:r>
      <w:r w:rsidRPr="00CB6CBA">
        <w:rPr>
          <w:i/>
          <w:iCs/>
          <w:lang w:val="en-US"/>
        </w:rPr>
        <w:t>i</w:t>
      </w:r>
      <w:r w:rsidRPr="00CB6CBA">
        <w:rPr>
          <w:lang w:val="en-US"/>
        </w:rPr>
        <w:t>-th frequency assignment, as follows:</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A86C75">
        <w:rPr>
          <w:position w:val="-20"/>
          <w:lang w:val="en-US"/>
        </w:rPr>
        <w:object w:dxaOrig="1740" w:dyaOrig="440">
          <v:shape id="_x0000_i1118" type="#_x0000_t75" style="width:85.55pt;height:21.5pt" o:ole="">
            <v:imagedata r:id="rId207" o:title=""/>
          </v:shape>
          <o:OLEObject Type="Embed" ProgID="Equation.3" ShapeID="_x0000_i1118" DrawAspect="Content" ObjectID="_1511604907" r:id="rId208"/>
        </w:object>
      </w:r>
      <w:r w:rsidRPr="00A6735C">
        <w:rPr>
          <w:lang w:val="en-US"/>
        </w:rPr>
        <w:t>                    </w:t>
      </w:r>
      <w:r w:rsidRPr="00CB6CBA">
        <w:rPr>
          <w:lang w:val="en-US"/>
        </w:rPr>
        <w:t>kHz</w:t>
      </w:r>
      <w:r w:rsidRPr="00CB6CBA">
        <w:rPr>
          <w:lang w:val="en-US"/>
        </w:rPr>
        <w:tab/>
        <w:t>(</w:t>
      </w:r>
      <w:r w:rsidRPr="0024702C">
        <w:rPr>
          <w:lang w:val="en-US"/>
        </w:rPr>
        <w:t>56</w:t>
      </w:r>
      <w:r w:rsidRPr="00CB6CBA">
        <w:rPr>
          <w:lang w:val="en-US"/>
        </w:rPr>
        <w:t>)</w:t>
      </w:r>
    </w:p>
    <w:p w:rsidR="00CA3B52" w:rsidRDefault="00CA3B52" w:rsidP="00CA3B52">
      <w:pPr>
        <w:pStyle w:val="Blanc"/>
      </w:pPr>
    </w:p>
    <w:p w:rsidR="00CA3B52" w:rsidRPr="00CB6CBA" w:rsidRDefault="00CA3B52" w:rsidP="00F65451">
      <w:pPr>
        <w:rPr>
          <w:lang w:val="en-US"/>
        </w:rPr>
      </w:pPr>
      <w:r w:rsidRPr="00CB6CBA">
        <w:rPr>
          <w:lang w:val="en-US"/>
        </w:rPr>
        <w:t>where:</w:t>
      </w:r>
    </w:p>
    <w:p w:rsidR="00CA3B52" w:rsidRPr="00A86C75" w:rsidRDefault="00CA3B52" w:rsidP="00F65451">
      <w:pPr>
        <w:pStyle w:val="Equationlegend"/>
        <w:rPr>
          <w:rFonts w:asciiTheme="majorBidi" w:hAnsiTheme="majorBidi" w:cstheme="majorBidi"/>
        </w:rPr>
      </w:pPr>
      <w:r w:rsidRPr="00A86C75">
        <w:rPr>
          <w:rFonts w:asciiTheme="majorBidi" w:hAnsiTheme="majorBidi" w:cstheme="majorBidi"/>
        </w:rPr>
        <w:tab/>
      </w:r>
      <w:r w:rsidRPr="00A86C75">
        <w:rPr>
          <w:rFonts w:asciiTheme="majorBidi" w:hAnsiTheme="majorBidi" w:cstheme="majorBidi"/>
          <w:i/>
          <w:iCs/>
        </w:rPr>
        <w:t>F</w:t>
      </w:r>
      <w:r w:rsidRPr="00A86C75">
        <w:rPr>
          <w:rFonts w:asciiTheme="majorBidi" w:hAnsiTheme="majorBidi" w:cstheme="majorBidi"/>
          <w:i/>
          <w:iCs/>
          <w:vertAlign w:val="subscript"/>
        </w:rPr>
        <w:t>i</w:t>
      </w:r>
      <w:r w:rsidRPr="00A86C75">
        <w:rPr>
          <w:rFonts w:asciiTheme="majorBidi" w:hAnsiTheme="majorBidi" w:cstheme="majorBidi"/>
          <w:sz w:val="12"/>
        </w:rPr>
        <w:t> </w:t>
      </w:r>
      <w:r w:rsidRPr="00A86C75">
        <w:rPr>
          <w:rFonts w:asciiTheme="majorBidi" w:hAnsiTheme="majorBidi" w:cstheme="majorBidi"/>
        </w:rPr>
        <w:t>:</w:t>
      </w:r>
      <w:r w:rsidRPr="00A86C75">
        <w:rPr>
          <w:rFonts w:asciiTheme="majorBidi" w:hAnsiTheme="majorBidi" w:cstheme="majorBidi"/>
        </w:rPr>
        <w:tab/>
        <w:t xml:space="preserve">theoretical frequency band used by </w:t>
      </w:r>
      <w:r w:rsidRPr="00A86C75">
        <w:rPr>
          <w:rFonts w:asciiTheme="majorBidi" w:hAnsiTheme="majorBidi" w:cstheme="majorBidi"/>
          <w:i/>
          <w:iCs/>
        </w:rPr>
        <w:t>i</w:t>
      </w:r>
      <w:r w:rsidRPr="00A86C75">
        <w:rPr>
          <w:rFonts w:asciiTheme="majorBidi" w:hAnsiTheme="majorBidi" w:cstheme="majorBidi"/>
        </w:rPr>
        <w:t>-th frequency assignment</w:t>
      </w:r>
    </w:p>
    <w:p w:rsidR="00CA3B52" w:rsidRPr="00A86C75" w:rsidRDefault="00CA3B52" w:rsidP="00F65451">
      <w:pPr>
        <w:pStyle w:val="Equationlegend"/>
        <w:rPr>
          <w:rFonts w:asciiTheme="majorBidi" w:hAnsiTheme="majorBidi" w:cstheme="majorBidi"/>
        </w:rPr>
      </w:pPr>
      <w:r w:rsidRPr="00A86C75">
        <w:rPr>
          <w:rFonts w:asciiTheme="majorBidi" w:hAnsiTheme="majorBidi" w:cstheme="majorBidi"/>
        </w:rPr>
        <w:tab/>
      </w:r>
      <w:r>
        <w:rPr>
          <w:rFonts w:asciiTheme="majorBidi" w:hAnsiTheme="majorBidi" w:cstheme="majorBidi"/>
        </w:rPr>
        <w:sym w:font="Symbol" w:char="F044"/>
      </w:r>
      <w:r w:rsidRPr="00A86C75">
        <w:rPr>
          <w:rFonts w:asciiTheme="majorBidi" w:hAnsiTheme="majorBidi" w:cstheme="majorBidi"/>
          <w:i/>
          <w:iCs/>
        </w:rPr>
        <w:t>f</w:t>
      </w:r>
      <w:r w:rsidRPr="00A86C75">
        <w:rPr>
          <w:rFonts w:asciiTheme="majorBidi" w:hAnsiTheme="majorBidi" w:cstheme="majorBidi"/>
          <w:i/>
          <w:iCs/>
          <w:vertAlign w:val="subscript"/>
        </w:rPr>
        <w:t>i</w:t>
      </w:r>
      <w:r w:rsidRPr="00A86C75">
        <w:rPr>
          <w:rFonts w:asciiTheme="majorBidi" w:hAnsiTheme="majorBidi" w:cstheme="majorBidi"/>
          <w:sz w:val="12"/>
        </w:rPr>
        <w:t> </w:t>
      </w:r>
      <w:r w:rsidRPr="00A86C75">
        <w:rPr>
          <w:rFonts w:asciiTheme="majorBidi" w:hAnsiTheme="majorBidi" w:cstheme="majorBidi"/>
        </w:rPr>
        <w:t>:</w:t>
      </w:r>
      <w:r w:rsidRPr="00A86C75">
        <w:rPr>
          <w:rFonts w:asciiTheme="majorBidi" w:hAnsiTheme="majorBidi" w:cstheme="majorBidi"/>
        </w:rPr>
        <w:tab/>
        <w:t xml:space="preserve">actual frequency band used by </w:t>
      </w:r>
      <w:r w:rsidRPr="00A86C75">
        <w:rPr>
          <w:rFonts w:asciiTheme="majorBidi" w:hAnsiTheme="majorBidi" w:cstheme="majorBidi"/>
          <w:i/>
          <w:iCs/>
        </w:rPr>
        <w:t>i</w:t>
      </w:r>
      <w:r w:rsidRPr="00A86C75">
        <w:rPr>
          <w:rFonts w:asciiTheme="majorBidi" w:hAnsiTheme="majorBidi" w:cstheme="majorBidi"/>
        </w:rPr>
        <w:t>-th frequency assignment</w:t>
      </w:r>
    </w:p>
    <w:p w:rsidR="00CA3B52" w:rsidRPr="00A86C75" w:rsidRDefault="00CA3B52" w:rsidP="00F65451">
      <w:pPr>
        <w:pStyle w:val="Equationlegend"/>
        <w:rPr>
          <w:rFonts w:asciiTheme="majorBidi" w:hAnsiTheme="majorBidi" w:cstheme="majorBidi"/>
        </w:rPr>
      </w:pPr>
      <w:r w:rsidRPr="00A86C75">
        <w:rPr>
          <w:rFonts w:asciiTheme="majorBidi" w:hAnsiTheme="majorBidi" w:cstheme="majorBidi"/>
        </w:rPr>
        <w:tab/>
      </w:r>
      <w:r>
        <w:rPr>
          <w:rFonts w:asciiTheme="majorBidi" w:hAnsiTheme="majorBidi" w:cstheme="majorBidi"/>
        </w:rPr>
        <w:sym w:font="Symbol" w:char="F061"/>
      </w:r>
      <w:r w:rsidRPr="00A86C75">
        <w:rPr>
          <w:rFonts w:asciiTheme="majorBidi" w:hAnsiTheme="majorBidi" w:cstheme="majorBidi"/>
          <w:i/>
          <w:iCs/>
          <w:vertAlign w:val="subscript"/>
        </w:rPr>
        <w:t>i</w:t>
      </w:r>
      <w:r w:rsidRPr="00A86C75">
        <w:rPr>
          <w:rFonts w:asciiTheme="majorBidi" w:hAnsiTheme="majorBidi" w:cstheme="majorBidi"/>
          <w:sz w:val="12"/>
        </w:rPr>
        <w:t> </w:t>
      </w:r>
      <w:r w:rsidRPr="00A86C75">
        <w:rPr>
          <w:rFonts w:asciiTheme="majorBidi" w:hAnsiTheme="majorBidi" w:cstheme="majorBidi"/>
        </w:rPr>
        <w:t>:</w:t>
      </w:r>
      <w:r w:rsidRPr="00A86C75">
        <w:rPr>
          <w:rFonts w:asciiTheme="majorBidi" w:hAnsiTheme="majorBidi" w:cstheme="majorBidi"/>
        </w:rPr>
        <w:tab/>
        <w:t>coefficient which takes into account a number of the factors, given below in equation (57)</w:t>
      </w:r>
    </w:p>
    <w:p w:rsidR="00CA3B52" w:rsidRPr="00A86C75" w:rsidRDefault="00CA3B52" w:rsidP="00CA3B52">
      <w:pPr>
        <w:pStyle w:val="Equationlegend"/>
        <w:rPr>
          <w:rFonts w:asciiTheme="majorBidi" w:hAnsiTheme="majorBidi" w:cstheme="majorBidi"/>
        </w:rPr>
      </w:pPr>
      <w:r w:rsidRPr="00A86C75">
        <w:rPr>
          <w:rFonts w:asciiTheme="majorBidi" w:hAnsiTheme="majorBidi" w:cstheme="majorBidi"/>
        </w:rPr>
        <w:tab/>
      </w:r>
      <w:r>
        <w:rPr>
          <w:rFonts w:asciiTheme="majorBidi" w:hAnsiTheme="majorBidi" w:cstheme="majorBidi"/>
        </w:rPr>
        <w:sym w:font="Symbol" w:char="F062"/>
      </w:r>
      <w:r w:rsidRPr="00A86C75">
        <w:rPr>
          <w:rFonts w:asciiTheme="majorBidi" w:hAnsiTheme="majorBidi" w:cstheme="majorBidi"/>
          <w:i/>
          <w:iCs/>
          <w:vertAlign w:val="subscript"/>
        </w:rPr>
        <w:t>i</w:t>
      </w:r>
      <w:r w:rsidRPr="00A86C75">
        <w:rPr>
          <w:rFonts w:asciiTheme="majorBidi" w:hAnsiTheme="majorBidi" w:cstheme="majorBidi"/>
          <w:sz w:val="12"/>
        </w:rPr>
        <w:t> </w:t>
      </w:r>
      <w:r w:rsidRPr="00A86C75">
        <w:rPr>
          <w:rFonts w:asciiTheme="majorBidi" w:hAnsiTheme="majorBidi" w:cstheme="majorBidi"/>
        </w:rPr>
        <w:t>:</w:t>
      </w:r>
      <w:r w:rsidRPr="00A86C75">
        <w:rPr>
          <w:rFonts w:asciiTheme="majorBidi" w:hAnsiTheme="majorBidi" w:cstheme="majorBidi"/>
        </w:rPr>
        <w:tab/>
        <w:t xml:space="preserve">coefficient which determines exclusiveness of use. If the given site of the spectrum is used on an exclusive basis then </w:t>
      </w:r>
      <w:r>
        <w:rPr>
          <w:rFonts w:asciiTheme="majorBidi" w:hAnsiTheme="majorBidi" w:cstheme="majorBidi"/>
        </w:rPr>
        <w:sym w:font="Symbol" w:char="F062"/>
      </w:r>
      <w:r w:rsidRPr="00A86C75">
        <w:rPr>
          <w:rFonts w:asciiTheme="majorBidi" w:hAnsiTheme="majorBidi" w:cstheme="majorBidi"/>
          <w:i/>
          <w:iCs/>
          <w:vertAlign w:val="subscript"/>
        </w:rPr>
        <w:t>i</w:t>
      </w:r>
      <w:r w:rsidRPr="00A86C75">
        <w:rPr>
          <w:rFonts w:asciiTheme="majorBidi" w:hAnsiTheme="majorBidi" w:cstheme="majorBidi"/>
        </w:rPr>
        <w:t> </w:t>
      </w:r>
      <w:r>
        <w:rPr>
          <w:rFonts w:asciiTheme="majorBidi" w:hAnsiTheme="majorBidi" w:cstheme="majorBidi"/>
        </w:rPr>
        <w:t>=</w:t>
      </w:r>
      <w:r w:rsidRPr="00A86C75">
        <w:rPr>
          <w:rFonts w:asciiTheme="majorBidi" w:hAnsiTheme="majorBidi" w:cstheme="majorBidi"/>
        </w:rPr>
        <w:t xml:space="preserve"> 1. With sharing </w:t>
      </w:r>
      <w:r>
        <w:rPr>
          <w:rFonts w:asciiTheme="majorBidi" w:hAnsiTheme="majorBidi" w:cstheme="majorBidi"/>
        </w:rPr>
        <w:sym w:font="Symbol" w:char="F062"/>
      </w:r>
      <w:r w:rsidRPr="00A86C75">
        <w:rPr>
          <w:rFonts w:asciiTheme="majorBidi" w:hAnsiTheme="majorBidi" w:cstheme="majorBidi"/>
        </w:rPr>
        <w:t xml:space="preserve"> varies within the limits of 0 </w:t>
      </w:r>
      <w:r>
        <w:rPr>
          <w:rFonts w:asciiTheme="majorBidi" w:hAnsiTheme="majorBidi" w:cstheme="majorBidi"/>
        </w:rPr>
        <w:t>&lt;</w:t>
      </w:r>
      <w:r w:rsidRPr="00A86C75">
        <w:rPr>
          <w:rFonts w:asciiTheme="majorBidi" w:hAnsiTheme="majorBidi" w:cstheme="majorBidi"/>
        </w:rPr>
        <w:t> </w:t>
      </w:r>
      <w:r>
        <w:rPr>
          <w:rFonts w:asciiTheme="majorBidi" w:hAnsiTheme="majorBidi" w:cstheme="majorBidi"/>
        </w:rPr>
        <w:sym w:font="Symbol" w:char="F062"/>
      </w:r>
      <w:r w:rsidRPr="00A86C75">
        <w:rPr>
          <w:rFonts w:asciiTheme="majorBidi" w:hAnsiTheme="majorBidi" w:cstheme="majorBidi"/>
          <w:i/>
          <w:iCs/>
          <w:vertAlign w:val="subscript"/>
        </w:rPr>
        <w:t>i</w:t>
      </w:r>
      <w:r w:rsidRPr="00A86C75">
        <w:rPr>
          <w:rFonts w:asciiTheme="majorBidi" w:hAnsiTheme="majorBidi" w:cstheme="majorBidi"/>
        </w:rPr>
        <w:t> </w:t>
      </w:r>
      <w:r>
        <w:rPr>
          <w:rFonts w:asciiTheme="majorBidi" w:hAnsiTheme="majorBidi" w:cstheme="majorBidi"/>
        </w:rPr>
        <w:t>&lt;</w:t>
      </w:r>
      <w:r w:rsidRPr="00A86C75">
        <w:rPr>
          <w:rFonts w:asciiTheme="majorBidi" w:hAnsiTheme="majorBidi" w:cstheme="majorBidi"/>
        </w:rPr>
        <w:t> 1 depending on conditions of sharing.</w:t>
      </w:r>
    </w:p>
    <w:p w:rsidR="00CA3B52" w:rsidRPr="00CB6CBA" w:rsidRDefault="00CA3B52" w:rsidP="00CA3B52">
      <w:pPr>
        <w:rPr>
          <w:lang w:val="en-US"/>
        </w:rPr>
      </w:pPr>
      <w:r w:rsidRPr="00CB6CBA">
        <w:rPr>
          <w:lang w:val="en-US"/>
        </w:rPr>
        <w:t xml:space="preserve">It is possible to examine the coefficient </w:t>
      </w:r>
      <w:r>
        <w:rPr>
          <w:lang w:val="en-US"/>
        </w:rPr>
        <w:sym w:font="Symbol" w:char="F061"/>
      </w:r>
      <w:r w:rsidRPr="00CB6CBA">
        <w:rPr>
          <w:i/>
          <w:iCs/>
          <w:vertAlign w:val="subscript"/>
          <w:lang w:val="en-US"/>
        </w:rPr>
        <w:t>i</w:t>
      </w:r>
      <w:r w:rsidRPr="00CB6CBA">
        <w:rPr>
          <w:lang w:val="en-US"/>
        </w:rPr>
        <w:t xml:space="preserve"> in more detail. A number of factors influence the value of </w:t>
      </w:r>
      <w:r w:rsidRPr="00CB6CBA">
        <w:rPr>
          <w:rFonts w:ascii="Symbol" w:hAnsi="Symbol"/>
          <w:lang w:val="en-US"/>
        </w:rPr>
        <w:t></w:t>
      </w:r>
      <w:r w:rsidRPr="00CB6CBA">
        <w:rPr>
          <w:i/>
          <w:iCs/>
          <w:vertAlign w:val="subscript"/>
          <w:lang w:val="en-US"/>
        </w:rPr>
        <w:t>i</w:t>
      </w:r>
      <w:r w:rsidRPr="00CB6CBA">
        <w:rPr>
          <w:lang w:val="en-US"/>
        </w:rPr>
        <w:t xml:space="preserve"> factor and it can be presented as product:</w:t>
      </w:r>
    </w:p>
    <w:p w:rsidR="00CA3B52" w:rsidRDefault="00CA3B52" w:rsidP="00CA3B52">
      <w:pPr>
        <w:pStyle w:val="Equation"/>
        <w:rPr>
          <w:lang w:val="en-US"/>
        </w:rPr>
      </w:pPr>
      <w:r w:rsidRPr="00CB6CBA">
        <w:rPr>
          <w:lang w:val="en-US"/>
        </w:rPr>
        <w:tab/>
      </w:r>
      <w:r w:rsidRPr="00CB6CBA">
        <w:rPr>
          <w:lang w:val="en-US"/>
        </w:rPr>
        <w:tab/>
      </w:r>
      <w:r w:rsidRPr="00A86C75">
        <w:rPr>
          <w:position w:val="-12"/>
          <w:lang w:val="en-US"/>
        </w:rPr>
        <w:object w:dxaOrig="2160" w:dyaOrig="360">
          <v:shape id="_x0000_i1119" type="#_x0000_t75" style="width:101.9pt;height:18.25pt" o:ole="">
            <v:imagedata r:id="rId209" o:title=""/>
          </v:shape>
          <o:OLEObject Type="Embed" ProgID="Equation.3" ShapeID="_x0000_i1119" DrawAspect="Content" ObjectID="_1511604908" r:id="rId210"/>
        </w:object>
      </w:r>
      <w:r w:rsidRPr="00CB6CBA">
        <w:rPr>
          <w:lang w:val="en-US"/>
        </w:rPr>
        <w:tab/>
        <w:t>(</w:t>
      </w:r>
      <w:r w:rsidRPr="0024702C">
        <w:rPr>
          <w:lang w:val="en-US"/>
        </w:rPr>
        <w:t>57</w:t>
      </w:r>
      <w:r w:rsidRPr="00CB6CBA">
        <w:rPr>
          <w:lang w:val="en-US"/>
        </w:rPr>
        <w:t>)</w:t>
      </w:r>
    </w:p>
    <w:p w:rsidR="00CA3B52" w:rsidRPr="00CB6CBA" w:rsidRDefault="00CA3B52" w:rsidP="00CA3B52">
      <w:pPr>
        <w:rPr>
          <w:lang w:val="en-US"/>
        </w:rPr>
      </w:pPr>
      <w:r w:rsidRPr="00CB6CBA">
        <w:rPr>
          <w:lang w:val="en-US"/>
        </w:rPr>
        <w:t>where:</w:t>
      </w:r>
    </w:p>
    <w:p w:rsidR="00CA3B52" w:rsidRPr="00A86C75" w:rsidRDefault="00CA3B52" w:rsidP="00CA3B52">
      <w:pPr>
        <w:pStyle w:val="Equationlegend"/>
        <w:rPr>
          <w:rFonts w:asciiTheme="majorBidi" w:hAnsiTheme="majorBidi" w:cstheme="majorBidi"/>
        </w:rPr>
      </w:pPr>
      <w:r w:rsidRPr="00A86C75">
        <w:rPr>
          <w:rFonts w:asciiTheme="majorBidi" w:hAnsiTheme="majorBidi" w:cstheme="majorBidi"/>
        </w:rPr>
        <w:tab/>
      </w:r>
      <w:r>
        <w:rPr>
          <w:rFonts w:asciiTheme="majorBidi" w:hAnsiTheme="majorBidi" w:cstheme="majorBidi"/>
        </w:rPr>
        <w:sym w:font="Symbol" w:char="F061"/>
      </w:r>
      <w:r w:rsidRPr="00A86C75">
        <w:rPr>
          <w:rFonts w:asciiTheme="majorBidi" w:hAnsiTheme="majorBidi" w:cstheme="majorBidi"/>
          <w:i/>
          <w:iCs/>
          <w:vertAlign w:val="subscript"/>
        </w:rPr>
        <w:t>i</w:t>
      </w:r>
      <w:r w:rsidRPr="00A86C75">
        <w:rPr>
          <w:rFonts w:asciiTheme="majorBidi" w:hAnsiTheme="majorBidi" w:cstheme="majorBidi"/>
          <w:sz w:val="12"/>
        </w:rPr>
        <w:t> </w:t>
      </w:r>
      <w:r w:rsidRPr="00A86C75">
        <w:rPr>
          <w:rFonts w:asciiTheme="majorBidi" w:hAnsiTheme="majorBidi" w:cstheme="majorBidi"/>
        </w:rPr>
        <w:t>:</w:t>
      </w:r>
      <w:r w:rsidRPr="00A86C75">
        <w:rPr>
          <w:rFonts w:asciiTheme="majorBidi" w:hAnsiTheme="majorBidi" w:cstheme="majorBidi"/>
        </w:rPr>
        <w:tab/>
        <w:t>general coefficient taking into account the various factors of spectrum use</w:t>
      </w:r>
    </w:p>
    <w:p w:rsidR="00CA3B52" w:rsidRPr="00A86C75" w:rsidRDefault="00CA3B52" w:rsidP="00CA3B52">
      <w:pPr>
        <w:pStyle w:val="Equationlegend"/>
        <w:rPr>
          <w:rFonts w:asciiTheme="majorBidi" w:hAnsiTheme="majorBidi" w:cstheme="majorBidi"/>
        </w:rPr>
      </w:pPr>
      <w:r w:rsidRPr="00A86C75">
        <w:rPr>
          <w:rFonts w:asciiTheme="majorBidi" w:hAnsiTheme="majorBidi" w:cstheme="majorBidi"/>
          <w:sz w:val="28"/>
        </w:rPr>
        <w:tab/>
      </w:r>
      <w:r>
        <w:rPr>
          <w:rFonts w:asciiTheme="majorBidi" w:hAnsiTheme="majorBidi" w:cstheme="majorBidi"/>
        </w:rPr>
        <w:sym w:font="Symbol" w:char="F061"/>
      </w:r>
      <w:r w:rsidRPr="00A86C75">
        <w:rPr>
          <w:rFonts w:asciiTheme="majorBidi" w:hAnsiTheme="majorBidi" w:cstheme="majorBidi"/>
          <w:vertAlign w:val="subscript"/>
        </w:rPr>
        <w:t>1</w:t>
      </w:r>
      <w:r w:rsidRPr="00A86C75">
        <w:rPr>
          <w:rFonts w:asciiTheme="majorBidi" w:hAnsiTheme="majorBidi" w:cstheme="majorBidi"/>
          <w:sz w:val="12"/>
        </w:rPr>
        <w:t> </w:t>
      </w:r>
      <w:r w:rsidRPr="00A86C75">
        <w:rPr>
          <w:rFonts w:asciiTheme="majorBidi" w:hAnsiTheme="majorBidi" w:cstheme="majorBidi"/>
        </w:rPr>
        <w:t>:</w:t>
      </w:r>
      <w:r w:rsidRPr="00A86C75">
        <w:rPr>
          <w:rFonts w:asciiTheme="majorBidi" w:hAnsiTheme="majorBidi" w:cstheme="majorBidi"/>
        </w:rPr>
        <w:tab/>
        <w:t>commercial value of the spectrum range used</w:t>
      </w:r>
    </w:p>
    <w:p w:rsidR="00CA3B52" w:rsidRPr="00A86C75" w:rsidRDefault="00CA3B52" w:rsidP="00CA3B52">
      <w:pPr>
        <w:pStyle w:val="Equationlegend"/>
        <w:rPr>
          <w:rFonts w:asciiTheme="majorBidi" w:hAnsiTheme="majorBidi" w:cstheme="majorBidi"/>
        </w:rPr>
      </w:pPr>
      <w:r w:rsidRPr="00A86C75">
        <w:rPr>
          <w:rFonts w:asciiTheme="majorBidi" w:hAnsiTheme="majorBidi" w:cstheme="majorBidi"/>
          <w:sz w:val="28"/>
        </w:rPr>
        <w:tab/>
      </w:r>
      <w:r>
        <w:rPr>
          <w:rFonts w:asciiTheme="majorBidi" w:hAnsiTheme="majorBidi" w:cstheme="majorBidi"/>
        </w:rPr>
        <w:sym w:font="Symbol" w:char="F061"/>
      </w:r>
      <w:r w:rsidRPr="00A86C75">
        <w:rPr>
          <w:rFonts w:asciiTheme="majorBidi" w:hAnsiTheme="majorBidi" w:cstheme="majorBidi"/>
          <w:vertAlign w:val="subscript"/>
        </w:rPr>
        <w:t>2</w:t>
      </w:r>
      <w:r w:rsidRPr="00A86C75">
        <w:rPr>
          <w:rFonts w:asciiTheme="majorBidi" w:hAnsiTheme="majorBidi" w:cstheme="majorBidi"/>
          <w:sz w:val="12"/>
        </w:rPr>
        <w:t> </w:t>
      </w:r>
      <w:r w:rsidRPr="00A86C75">
        <w:rPr>
          <w:rFonts w:asciiTheme="majorBidi" w:hAnsiTheme="majorBidi" w:cstheme="majorBidi"/>
        </w:rPr>
        <w:t>:</w:t>
      </w:r>
      <w:r w:rsidRPr="00A86C75">
        <w:rPr>
          <w:rFonts w:asciiTheme="majorBidi" w:hAnsiTheme="majorBidi" w:cstheme="majorBidi"/>
        </w:rPr>
        <w:tab/>
        <w:t>social factor</w:t>
      </w:r>
    </w:p>
    <w:p w:rsidR="00CA3B52" w:rsidRPr="00A86C75" w:rsidRDefault="00CA3B52" w:rsidP="00CA3B52">
      <w:pPr>
        <w:pStyle w:val="Equationlegend"/>
        <w:rPr>
          <w:rFonts w:asciiTheme="majorBidi" w:hAnsiTheme="majorBidi" w:cstheme="majorBidi"/>
        </w:rPr>
      </w:pPr>
      <w:r w:rsidRPr="00A86C75">
        <w:rPr>
          <w:rFonts w:asciiTheme="majorBidi" w:hAnsiTheme="majorBidi" w:cstheme="majorBidi"/>
          <w:sz w:val="28"/>
        </w:rPr>
        <w:tab/>
      </w:r>
      <w:r>
        <w:rPr>
          <w:rFonts w:asciiTheme="majorBidi" w:hAnsiTheme="majorBidi" w:cstheme="majorBidi"/>
        </w:rPr>
        <w:sym w:font="Symbol" w:char="F061"/>
      </w:r>
      <w:r w:rsidRPr="00A86C75">
        <w:rPr>
          <w:rFonts w:asciiTheme="majorBidi" w:hAnsiTheme="majorBidi" w:cstheme="majorBidi"/>
          <w:vertAlign w:val="subscript"/>
        </w:rPr>
        <w:t>3</w:t>
      </w:r>
      <w:r w:rsidRPr="00A86C75">
        <w:rPr>
          <w:rFonts w:asciiTheme="majorBidi" w:hAnsiTheme="majorBidi" w:cstheme="majorBidi"/>
          <w:sz w:val="12"/>
        </w:rPr>
        <w:t> </w:t>
      </w:r>
      <w:r w:rsidRPr="00A86C75">
        <w:rPr>
          <w:rFonts w:asciiTheme="majorBidi" w:hAnsiTheme="majorBidi" w:cstheme="majorBidi"/>
        </w:rPr>
        <w:t>:</w:t>
      </w:r>
      <w:r w:rsidRPr="00A86C75">
        <w:rPr>
          <w:rFonts w:asciiTheme="majorBidi" w:hAnsiTheme="majorBidi" w:cstheme="majorBidi"/>
        </w:rPr>
        <w:tab/>
        <w:t>takes into account features of transmitter location</w:t>
      </w:r>
    </w:p>
    <w:p w:rsidR="00CA3B52" w:rsidRPr="00A86C75" w:rsidRDefault="00CA3B52" w:rsidP="00CA3B52">
      <w:pPr>
        <w:pStyle w:val="Equationlegend"/>
        <w:rPr>
          <w:rFonts w:asciiTheme="majorBidi" w:hAnsiTheme="majorBidi" w:cstheme="majorBidi"/>
        </w:rPr>
      </w:pPr>
      <w:r w:rsidRPr="00A86C75">
        <w:rPr>
          <w:rFonts w:asciiTheme="majorBidi" w:hAnsiTheme="majorBidi" w:cstheme="majorBidi"/>
          <w:sz w:val="28"/>
        </w:rPr>
        <w:tab/>
      </w:r>
      <w:r>
        <w:rPr>
          <w:rFonts w:asciiTheme="majorBidi" w:hAnsiTheme="majorBidi" w:cstheme="majorBidi"/>
        </w:rPr>
        <w:sym w:font="Symbol" w:char="F061"/>
      </w:r>
      <w:r w:rsidRPr="00A86C75">
        <w:rPr>
          <w:rFonts w:asciiTheme="majorBidi" w:hAnsiTheme="majorBidi" w:cstheme="majorBidi"/>
          <w:vertAlign w:val="subscript"/>
        </w:rPr>
        <w:t>4</w:t>
      </w:r>
      <w:r w:rsidRPr="00A86C75">
        <w:rPr>
          <w:rFonts w:asciiTheme="majorBidi" w:hAnsiTheme="majorBidi" w:cstheme="majorBidi"/>
          <w:sz w:val="12"/>
        </w:rPr>
        <w:t> </w:t>
      </w:r>
      <w:r w:rsidRPr="00A86C75">
        <w:rPr>
          <w:rFonts w:asciiTheme="majorBidi" w:hAnsiTheme="majorBidi" w:cstheme="majorBidi"/>
        </w:rPr>
        <w:t>:</w:t>
      </w:r>
      <w:r w:rsidRPr="00A86C75">
        <w:rPr>
          <w:rFonts w:asciiTheme="majorBidi" w:hAnsiTheme="majorBidi" w:cstheme="majorBidi"/>
        </w:rPr>
        <w:tab/>
        <w:t>takes into account the complexity of spectrum management functions.</w:t>
      </w:r>
    </w:p>
    <w:p w:rsidR="00CA3B52" w:rsidRPr="00A86C75" w:rsidRDefault="00CA3B52" w:rsidP="00CA3B52">
      <w:pPr>
        <w:rPr>
          <w:rFonts w:asciiTheme="majorBidi" w:hAnsiTheme="majorBidi" w:cstheme="majorBidi"/>
          <w:lang w:val="en-US"/>
        </w:rPr>
      </w:pPr>
      <w:r w:rsidRPr="00A86C75">
        <w:rPr>
          <w:rFonts w:asciiTheme="majorBidi" w:hAnsiTheme="majorBidi" w:cstheme="majorBidi"/>
          <w:lang w:val="en-US"/>
        </w:rPr>
        <w:t xml:space="preserve">The values of coefficients </w:t>
      </w:r>
      <w:r>
        <w:rPr>
          <w:rFonts w:asciiTheme="majorBidi" w:hAnsiTheme="majorBidi" w:cstheme="majorBidi"/>
        </w:rPr>
        <w:sym w:font="Symbol" w:char="F061"/>
      </w:r>
      <w:r w:rsidRPr="00A86C75">
        <w:rPr>
          <w:rFonts w:asciiTheme="majorBidi" w:hAnsiTheme="majorBidi" w:cstheme="majorBidi"/>
          <w:vertAlign w:val="subscript"/>
          <w:lang w:val="en-US"/>
        </w:rPr>
        <w:t>1</w:t>
      </w:r>
      <w:r w:rsidRPr="00A86C75">
        <w:rPr>
          <w:rFonts w:asciiTheme="majorBidi" w:hAnsiTheme="majorBidi" w:cstheme="majorBidi"/>
          <w:lang w:val="en-US"/>
        </w:rPr>
        <w:t xml:space="preserve">, </w:t>
      </w:r>
      <w:r>
        <w:rPr>
          <w:rFonts w:asciiTheme="majorBidi" w:hAnsiTheme="majorBidi" w:cstheme="majorBidi"/>
        </w:rPr>
        <w:sym w:font="Symbol" w:char="F061"/>
      </w:r>
      <w:r w:rsidRPr="00A86C75">
        <w:rPr>
          <w:rFonts w:asciiTheme="majorBidi" w:hAnsiTheme="majorBidi" w:cstheme="majorBidi"/>
          <w:vertAlign w:val="subscript"/>
          <w:lang w:val="en-US"/>
        </w:rPr>
        <w:t>2</w:t>
      </w:r>
      <w:r w:rsidRPr="00A86C75">
        <w:rPr>
          <w:rFonts w:asciiTheme="majorBidi" w:hAnsiTheme="majorBidi" w:cstheme="majorBidi"/>
          <w:lang w:val="en-US"/>
        </w:rPr>
        <w:t xml:space="preserve">, </w:t>
      </w:r>
      <w:r>
        <w:rPr>
          <w:rFonts w:asciiTheme="majorBidi" w:hAnsiTheme="majorBidi" w:cstheme="majorBidi"/>
        </w:rPr>
        <w:sym w:font="Symbol" w:char="F061"/>
      </w:r>
      <w:r w:rsidRPr="00A86C75">
        <w:rPr>
          <w:rFonts w:asciiTheme="majorBidi" w:hAnsiTheme="majorBidi" w:cstheme="majorBidi"/>
          <w:vertAlign w:val="subscript"/>
          <w:lang w:val="en-US"/>
        </w:rPr>
        <w:t>3</w:t>
      </w:r>
      <w:r w:rsidRPr="00A86C75">
        <w:rPr>
          <w:rFonts w:asciiTheme="majorBidi" w:hAnsiTheme="majorBidi" w:cstheme="majorBidi"/>
          <w:lang w:val="en-US"/>
        </w:rPr>
        <w:t xml:space="preserve"> and </w:t>
      </w:r>
      <w:r>
        <w:rPr>
          <w:rFonts w:asciiTheme="majorBidi" w:hAnsiTheme="majorBidi" w:cstheme="majorBidi"/>
        </w:rPr>
        <w:sym w:font="Symbol" w:char="F061"/>
      </w:r>
      <w:r w:rsidRPr="00A86C75">
        <w:rPr>
          <w:rFonts w:asciiTheme="majorBidi" w:hAnsiTheme="majorBidi" w:cstheme="majorBidi"/>
          <w:vertAlign w:val="subscript"/>
          <w:lang w:val="en-US"/>
        </w:rPr>
        <w:t>4</w:t>
      </w:r>
      <w:r w:rsidRPr="00A6735C">
        <w:rPr>
          <w:lang w:val="en-US"/>
        </w:rPr>
        <w:t> </w:t>
      </w:r>
      <w:r w:rsidRPr="00A86C75">
        <w:rPr>
          <w:rFonts w:asciiTheme="majorBidi" w:hAnsiTheme="majorBidi" w:cstheme="majorBidi"/>
          <w:lang w:val="en-US"/>
        </w:rPr>
        <w:t>are given in Table 22.</w:t>
      </w:r>
    </w:p>
    <w:p w:rsidR="00CA3B52" w:rsidRPr="00A86C75" w:rsidRDefault="00CA3B52" w:rsidP="00CA3B52">
      <w:pPr>
        <w:rPr>
          <w:rFonts w:asciiTheme="majorBidi" w:hAnsiTheme="majorBidi" w:cstheme="majorBidi"/>
          <w:lang w:val="en-US"/>
        </w:rPr>
      </w:pPr>
      <w:r w:rsidRPr="00A86C75">
        <w:rPr>
          <w:rFonts w:asciiTheme="majorBidi" w:hAnsiTheme="majorBidi" w:cstheme="majorBidi"/>
          <w:lang w:val="en-US"/>
        </w:rPr>
        <w:t xml:space="preserve">Coefficient </w:t>
      </w:r>
      <w:r>
        <w:rPr>
          <w:rFonts w:asciiTheme="majorBidi" w:hAnsiTheme="majorBidi" w:cstheme="majorBidi"/>
        </w:rPr>
        <w:sym w:font="Symbol" w:char="F061"/>
      </w:r>
      <w:r w:rsidRPr="00A86C75">
        <w:rPr>
          <w:rFonts w:asciiTheme="majorBidi" w:hAnsiTheme="majorBidi" w:cstheme="majorBidi"/>
          <w:position w:val="-4"/>
          <w:sz w:val="16"/>
          <w:lang w:val="en-US"/>
        </w:rPr>
        <w:t>1</w:t>
      </w:r>
      <w:r w:rsidRPr="00A86C75">
        <w:rPr>
          <w:rFonts w:asciiTheme="majorBidi" w:hAnsiTheme="majorBidi" w:cstheme="majorBidi"/>
          <w:lang w:val="en-US"/>
        </w:rPr>
        <w:t xml:space="preserve"> varies in limits from 0 up to 100 and, basically, is determined by two factors:</w:t>
      </w:r>
    </w:p>
    <w:p w:rsidR="00CA3B52" w:rsidRPr="00A86C75" w:rsidRDefault="00CA3B52" w:rsidP="00CA3B52">
      <w:pPr>
        <w:pStyle w:val="enumlev1"/>
        <w:rPr>
          <w:rFonts w:asciiTheme="majorBidi" w:hAnsiTheme="majorBidi" w:cstheme="majorBidi"/>
          <w:lang w:val="en-US"/>
        </w:rPr>
      </w:pPr>
      <w:r w:rsidRPr="00A86C75">
        <w:rPr>
          <w:rFonts w:asciiTheme="majorBidi" w:hAnsiTheme="majorBidi" w:cstheme="majorBidi"/>
          <w:lang w:val="en-US"/>
        </w:rPr>
        <w:t>–</w:t>
      </w:r>
      <w:r w:rsidRPr="00A86C75">
        <w:rPr>
          <w:rFonts w:asciiTheme="majorBidi" w:hAnsiTheme="majorBidi" w:cstheme="majorBidi"/>
          <w:lang w:val="en-US"/>
        </w:rPr>
        <w:tab/>
        <w:t>the commercial value of radio services; this factor increases with value;</w:t>
      </w:r>
    </w:p>
    <w:p w:rsidR="00CA3B52" w:rsidRPr="00A86C75" w:rsidRDefault="00CA3B52" w:rsidP="00CA3B52">
      <w:pPr>
        <w:pStyle w:val="enumlev1"/>
        <w:rPr>
          <w:rFonts w:asciiTheme="majorBidi" w:hAnsiTheme="majorBidi" w:cstheme="majorBidi"/>
          <w:lang w:val="en-US"/>
        </w:rPr>
      </w:pPr>
      <w:r w:rsidRPr="00A86C75">
        <w:rPr>
          <w:rFonts w:asciiTheme="majorBidi" w:hAnsiTheme="majorBidi" w:cstheme="majorBidi"/>
          <w:lang w:val="en-US"/>
        </w:rPr>
        <w:t>–</w:t>
      </w:r>
      <w:r w:rsidRPr="00A86C75">
        <w:rPr>
          <w:rFonts w:asciiTheme="majorBidi" w:hAnsiTheme="majorBidi" w:cstheme="majorBidi"/>
          <w:lang w:val="en-US"/>
        </w:rPr>
        <w:tab/>
        <w:t xml:space="preserve">many radio services may be moved to higher frequencies as experience is gained, thus, decreasing the loading of lower frequency bands. This is the economic level which encourages use of higher bands. For example, for the purposes of encouraging transition of stations at frequencies below 1 GHz to frequencies above 1 GHz, the value of the coefficient </w:t>
      </w:r>
      <w:r>
        <w:rPr>
          <w:rFonts w:asciiTheme="majorBidi" w:hAnsiTheme="majorBidi" w:cstheme="majorBidi"/>
        </w:rPr>
        <w:sym w:font="Symbol" w:char="F061"/>
      </w:r>
      <w:r w:rsidRPr="00A86C75">
        <w:rPr>
          <w:rFonts w:asciiTheme="majorBidi" w:hAnsiTheme="majorBidi" w:cstheme="majorBidi"/>
          <w:vertAlign w:val="subscript"/>
          <w:lang w:val="en-US"/>
        </w:rPr>
        <w:t>1</w:t>
      </w:r>
      <w:r w:rsidRPr="00A86C75">
        <w:rPr>
          <w:rFonts w:asciiTheme="majorBidi" w:hAnsiTheme="majorBidi" w:cstheme="majorBidi"/>
          <w:lang w:val="en-US"/>
        </w:rPr>
        <w:t xml:space="preserve"> in the range above 1 GHz is less than the value used for stations below 1 GHz. Currently frequencies below 1 GHz are used by several radio services at the same site and hence there is also a question of their electromagnetic compatibility. The range above 1 GHz is poorly mastered in the Republic, but at the same time in the world the newest technologies are used which, allow effective use of the spectrum.</w:t>
      </w:r>
    </w:p>
    <w:p w:rsidR="00CA3B52" w:rsidRPr="00A86C75" w:rsidRDefault="00CA3B52" w:rsidP="00CA3B52">
      <w:pPr>
        <w:rPr>
          <w:rFonts w:asciiTheme="majorBidi" w:hAnsiTheme="majorBidi" w:cstheme="majorBidi"/>
          <w:lang w:val="en-US"/>
        </w:rPr>
      </w:pPr>
      <w:r w:rsidRPr="00A86C75">
        <w:rPr>
          <w:rFonts w:asciiTheme="majorBidi" w:hAnsiTheme="majorBidi" w:cstheme="majorBidi"/>
          <w:lang w:val="en-US"/>
        </w:rPr>
        <w:t xml:space="preserve">Coefficient </w:t>
      </w:r>
      <w:r>
        <w:rPr>
          <w:rFonts w:asciiTheme="majorBidi" w:hAnsiTheme="majorBidi" w:cstheme="majorBidi"/>
        </w:rPr>
        <w:sym w:font="Symbol" w:char="F061"/>
      </w:r>
      <w:r w:rsidRPr="00A86C75">
        <w:rPr>
          <w:rFonts w:asciiTheme="majorBidi" w:hAnsiTheme="majorBidi" w:cstheme="majorBidi"/>
          <w:vertAlign w:val="subscript"/>
          <w:lang w:val="en-US"/>
        </w:rPr>
        <w:t>2</w:t>
      </w:r>
      <w:r w:rsidRPr="00A86C75">
        <w:rPr>
          <w:rFonts w:asciiTheme="majorBidi" w:hAnsiTheme="majorBidi" w:cstheme="majorBidi"/>
          <w:lang w:val="en-US"/>
        </w:rPr>
        <w:t xml:space="preserve"> varies in limits from 0 up to 10 and takes into account a social factor. For those radio services whose existence is vital for all sections of the population, including the most needy, this coefficient has a low value. For example, for stations above 1 GHz in which long-distance communications are organized, as well as for television broadcasting, the coefficient </w:t>
      </w:r>
      <w:r>
        <w:rPr>
          <w:rFonts w:asciiTheme="majorBidi" w:hAnsiTheme="majorBidi" w:cstheme="majorBidi"/>
        </w:rPr>
        <w:sym w:font="Symbol" w:char="F061"/>
      </w:r>
      <w:r w:rsidRPr="00A86C75">
        <w:rPr>
          <w:rFonts w:asciiTheme="majorBidi" w:hAnsiTheme="majorBidi" w:cstheme="majorBidi"/>
          <w:vertAlign w:val="subscript"/>
          <w:lang w:val="en-US"/>
        </w:rPr>
        <w:t>2</w:t>
      </w:r>
      <w:r w:rsidRPr="00A86C75">
        <w:rPr>
          <w:rFonts w:asciiTheme="majorBidi" w:hAnsiTheme="majorBidi" w:cstheme="majorBidi"/>
          <w:position w:val="-4"/>
          <w:sz w:val="16"/>
          <w:lang w:val="en-US"/>
        </w:rPr>
        <w:t xml:space="preserve"> </w:t>
      </w:r>
      <w:r w:rsidRPr="00A86C75">
        <w:rPr>
          <w:rFonts w:asciiTheme="majorBidi" w:hAnsiTheme="majorBidi" w:cstheme="majorBidi"/>
          <w:lang w:val="en-US"/>
        </w:rPr>
        <w:t xml:space="preserve">has a low value. However, for cellular communication, coefficient </w:t>
      </w:r>
      <w:r>
        <w:rPr>
          <w:rFonts w:asciiTheme="majorBidi" w:hAnsiTheme="majorBidi" w:cstheme="majorBidi"/>
        </w:rPr>
        <w:sym w:font="Symbol" w:char="F061"/>
      </w:r>
      <w:r w:rsidRPr="00A86C75">
        <w:rPr>
          <w:rFonts w:asciiTheme="majorBidi" w:hAnsiTheme="majorBidi" w:cstheme="majorBidi"/>
          <w:position w:val="-4"/>
          <w:sz w:val="16"/>
          <w:lang w:val="en-US"/>
        </w:rPr>
        <w:t>2</w:t>
      </w:r>
      <w:r w:rsidRPr="00A86C75">
        <w:rPr>
          <w:rFonts w:asciiTheme="majorBidi" w:hAnsiTheme="majorBidi" w:cstheme="majorBidi"/>
          <w:lang w:val="en-US"/>
        </w:rPr>
        <w:t xml:space="preserve"> has a higher value.</w:t>
      </w:r>
    </w:p>
    <w:p w:rsidR="00CA3B52" w:rsidRPr="00CB6CBA" w:rsidRDefault="00CA3B52" w:rsidP="00CA3B52">
      <w:pPr>
        <w:pStyle w:val="TableNo"/>
        <w:keepLines/>
        <w:rPr>
          <w:lang w:val="en-US"/>
        </w:rPr>
      </w:pPr>
      <w:r w:rsidRPr="00CB6CBA">
        <w:rPr>
          <w:lang w:val="en-US"/>
        </w:rPr>
        <w:lastRenderedPageBreak/>
        <w:t>TABLE 22</w:t>
      </w:r>
    </w:p>
    <w:p w:rsidR="00CA3B52" w:rsidRPr="00A86C75" w:rsidRDefault="00CA3B52" w:rsidP="00CA3B52">
      <w:pPr>
        <w:pStyle w:val="Tabletitle"/>
        <w:keepLines/>
        <w:rPr>
          <w:rFonts w:asciiTheme="majorBidi" w:hAnsiTheme="majorBidi" w:cstheme="majorBidi"/>
          <w:vertAlign w:val="subscript"/>
          <w:lang w:val="en-US"/>
        </w:rPr>
      </w:pPr>
      <w:r w:rsidRPr="00A86C75">
        <w:rPr>
          <w:rFonts w:asciiTheme="majorBidi" w:hAnsiTheme="majorBidi" w:cstheme="majorBidi"/>
          <w:lang w:val="en-US"/>
        </w:rPr>
        <w:t xml:space="preserve">Values of </w:t>
      </w:r>
      <w:r w:rsidRPr="00A86C75">
        <w:rPr>
          <w:rFonts w:asciiTheme="majorBidi" w:hAnsiTheme="majorBidi" w:cstheme="majorBidi"/>
        </w:rPr>
        <w:t>coefficients</w:t>
      </w:r>
      <w:r w:rsidRPr="00A86C75">
        <w:rPr>
          <w:rFonts w:asciiTheme="majorBidi" w:hAnsiTheme="majorBidi" w:cstheme="majorBidi"/>
          <w:lang w:val="en-US"/>
        </w:rPr>
        <w:t xml:space="preserve"> </w:t>
      </w:r>
      <w:r>
        <w:rPr>
          <w:rFonts w:asciiTheme="majorBidi" w:hAnsiTheme="majorBidi" w:cstheme="majorBidi"/>
        </w:rPr>
        <w:sym w:font="Symbol" w:char="F061"/>
      </w:r>
      <w:r w:rsidRPr="00A86C75">
        <w:rPr>
          <w:rFonts w:asciiTheme="majorBidi" w:hAnsiTheme="majorBidi" w:cstheme="majorBidi"/>
          <w:vertAlign w:val="subscript"/>
          <w:lang w:val="en-US"/>
        </w:rPr>
        <w:t>1</w:t>
      </w:r>
      <w:r w:rsidRPr="00A86C75">
        <w:rPr>
          <w:rFonts w:asciiTheme="majorBidi" w:hAnsiTheme="majorBidi" w:cstheme="majorBidi"/>
          <w:lang w:val="en-US"/>
        </w:rPr>
        <w:t xml:space="preserve">, </w:t>
      </w:r>
      <w:r>
        <w:rPr>
          <w:rFonts w:asciiTheme="majorBidi" w:hAnsiTheme="majorBidi" w:cstheme="majorBidi"/>
        </w:rPr>
        <w:sym w:font="Symbol" w:char="F061"/>
      </w:r>
      <w:r w:rsidRPr="00A86C75">
        <w:rPr>
          <w:rFonts w:asciiTheme="majorBidi" w:hAnsiTheme="majorBidi" w:cstheme="majorBidi"/>
          <w:vertAlign w:val="subscript"/>
          <w:lang w:val="en-US"/>
        </w:rPr>
        <w:t>2</w:t>
      </w:r>
      <w:r w:rsidRPr="00A86C75">
        <w:rPr>
          <w:rFonts w:asciiTheme="majorBidi" w:hAnsiTheme="majorBidi" w:cstheme="majorBidi"/>
          <w:lang w:val="en-US"/>
        </w:rPr>
        <w:t xml:space="preserve">, </w:t>
      </w:r>
      <w:r>
        <w:rPr>
          <w:rFonts w:asciiTheme="majorBidi" w:hAnsiTheme="majorBidi" w:cstheme="majorBidi"/>
        </w:rPr>
        <w:sym w:font="Symbol" w:char="F061"/>
      </w:r>
      <w:r w:rsidRPr="00A86C75">
        <w:rPr>
          <w:rFonts w:asciiTheme="majorBidi" w:hAnsiTheme="majorBidi" w:cstheme="majorBidi"/>
          <w:vertAlign w:val="subscript"/>
          <w:lang w:val="en-US"/>
        </w:rPr>
        <w:t>3</w:t>
      </w:r>
      <w:r w:rsidRPr="00A86C75">
        <w:rPr>
          <w:rFonts w:asciiTheme="majorBidi" w:hAnsiTheme="majorBidi" w:cstheme="majorBidi"/>
          <w:lang w:val="en-US"/>
        </w:rPr>
        <w:t xml:space="preserve">, </w:t>
      </w:r>
      <w:r>
        <w:rPr>
          <w:rFonts w:asciiTheme="majorBidi" w:hAnsiTheme="majorBidi" w:cstheme="majorBidi"/>
        </w:rPr>
        <w:sym w:font="Symbol" w:char="F061"/>
      </w:r>
      <w:r>
        <w:rPr>
          <w:rFonts w:asciiTheme="majorBidi" w:hAnsiTheme="majorBidi" w:cstheme="majorBidi"/>
          <w:vertAlign w:val="subscript"/>
          <w:lang w:val="en-US"/>
        </w:rPr>
        <w:t>4</w:t>
      </w:r>
    </w:p>
    <w:tbl>
      <w:tblPr>
        <w:tblW w:w="9639" w:type="dxa"/>
        <w:jc w:val="center"/>
        <w:tblLayout w:type="fixed"/>
        <w:tblLook w:val="0000" w:firstRow="0" w:lastRow="0" w:firstColumn="0" w:lastColumn="0" w:noHBand="0" w:noVBand="0"/>
      </w:tblPr>
      <w:tblGrid>
        <w:gridCol w:w="5405"/>
        <w:gridCol w:w="847"/>
        <w:gridCol w:w="756"/>
        <w:gridCol w:w="847"/>
        <w:gridCol w:w="937"/>
        <w:gridCol w:w="847"/>
      </w:tblGrid>
      <w:tr w:rsidR="00CA3B52" w:rsidRPr="00CB6CBA" w:rsidTr="002D1D5C">
        <w:trPr>
          <w:cantSplit/>
          <w:jc w:val="center"/>
        </w:trPr>
        <w:tc>
          <w:tcPr>
            <w:tcW w:w="5443" w:type="dxa"/>
            <w:vMerge w:val="restart"/>
            <w:tcBorders>
              <w:top w:val="single" w:sz="6" w:space="0" w:color="auto"/>
              <w:left w:val="single" w:sz="6" w:space="0" w:color="auto"/>
              <w:bottom w:val="single" w:sz="6" w:space="0" w:color="auto"/>
              <w:right w:val="single" w:sz="6" w:space="0" w:color="auto"/>
              <w:tl2br w:val="single" w:sz="6" w:space="0" w:color="auto"/>
            </w:tcBorders>
          </w:tcPr>
          <w:p w:rsidR="00CA3B52" w:rsidRPr="00CB6CBA" w:rsidRDefault="00CA3B52" w:rsidP="00F65451">
            <w:pPr>
              <w:pStyle w:val="Tablehead"/>
              <w:keepLines/>
              <w:jc w:val="right"/>
              <w:rPr>
                <w:lang w:val="en-US"/>
              </w:rPr>
            </w:pPr>
            <w:r>
              <w:rPr>
                <w:rFonts w:asciiTheme="majorBidi" w:hAnsiTheme="majorBidi" w:cstheme="majorBidi"/>
              </w:rPr>
              <w:sym w:font="Symbol" w:char="F061"/>
            </w:r>
          </w:p>
          <w:p w:rsidR="00CA3B52" w:rsidRPr="00CB6CBA" w:rsidRDefault="00CA3B52" w:rsidP="00F65451">
            <w:pPr>
              <w:pStyle w:val="Tablehead"/>
              <w:keepLines/>
              <w:jc w:val="left"/>
              <w:rPr>
                <w:lang w:val="en-US"/>
              </w:rPr>
            </w:pPr>
            <w:r w:rsidRPr="00CB6CBA">
              <w:rPr>
                <w:lang w:val="en-US"/>
              </w:rPr>
              <w:t>Service</w:t>
            </w:r>
          </w:p>
        </w:tc>
        <w:tc>
          <w:tcPr>
            <w:tcW w:w="851" w:type="dxa"/>
            <w:tcBorders>
              <w:top w:val="single" w:sz="6" w:space="0" w:color="auto"/>
              <w:left w:val="single" w:sz="6" w:space="0" w:color="auto"/>
              <w:right w:val="single" w:sz="6" w:space="0" w:color="auto"/>
            </w:tcBorders>
          </w:tcPr>
          <w:p w:rsidR="00CA3B52" w:rsidRPr="00CB6CBA" w:rsidRDefault="00CA3B52" w:rsidP="00F65451">
            <w:pPr>
              <w:pStyle w:val="Tablehead"/>
              <w:keepLines/>
              <w:rPr>
                <w:lang w:val="en-US"/>
              </w:rPr>
            </w:pPr>
            <w:r>
              <w:rPr>
                <w:rFonts w:asciiTheme="majorBidi" w:hAnsiTheme="majorBidi" w:cstheme="majorBidi"/>
              </w:rPr>
              <w:sym w:font="Symbol" w:char="F061"/>
            </w:r>
            <w:r w:rsidRPr="00CB6CBA">
              <w:rPr>
                <w:vertAlign w:val="subscript"/>
                <w:lang w:val="en-US"/>
              </w:rPr>
              <w:t>1</w:t>
            </w:r>
          </w:p>
        </w:tc>
        <w:tc>
          <w:tcPr>
            <w:tcW w:w="760" w:type="dxa"/>
            <w:tcBorders>
              <w:top w:val="single" w:sz="6" w:space="0" w:color="auto"/>
              <w:left w:val="single" w:sz="6" w:space="0" w:color="auto"/>
              <w:right w:val="single" w:sz="6" w:space="0" w:color="auto"/>
            </w:tcBorders>
          </w:tcPr>
          <w:p w:rsidR="00CA3B52" w:rsidRPr="00CB6CBA" w:rsidRDefault="00CA3B52" w:rsidP="00F65451">
            <w:pPr>
              <w:pStyle w:val="Tablehead"/>
              <w:keepLines/>
              <w:rPr>
                <w:lang w:val="en-US"/>
              </w:rPr>
            </w:pPr>
            <w:r>
              <w:rPr>
                <w:rFonts w:asciiTheme="majorBidi" w:hAnsiTheme="majorBidi" w:cstheme="majorBidi"/>
              </w:rPr>
              <w:sym w:font="Symbol" w:char="F061"/>
            </w:r>
            <w:r w:rsidRPr="00CB6CBA">
              <w:rPr>
                <w:vertAlign w:val="subscript"/>
                <w:lang w:val="en-US"/>
              </w:rPr>
              <w:t>2</w:t>
            </w:r>
          </w:p>
        </w:tc>
        <w:tc>
          <w:tcPr>
            <w:tcW w:w="1793" w:type="dxa"/>
            <w:gridSpan w:val="2"/>
            <w:tcBorders>
              <w:top w:val="single" w:sz="6" w:space="0" w:color="auto"/>
              <w:left w:val="single" w:sz="6" w:space="0" w:color="auto"/>
              <w:bottom w:val="single" w:sz="6" w:space="0" w:color="auto"/>
              <w:right w:val="single" w:sz="6" w:space="0" w:color="auto"/>
            </w:tcBorders>
          </w:tcPr>
          <w:p w:rsidR="00CA3B52" w:rsidRPr="00CB6CBA" w:rsidRDefault="00CA3B52" w:rsidP="00F65451">
            <w:pPr>
              <w:pStyle w:val="Tablehead"/>
              <w:keepLines/>
              <w:rPr>
                <w:lang w:val="en-US"/>
              </w:rPr>
            </w:pPr>
            <w:r>
              <w:rPr>
                <w:rFonts w:asciiTheme="majorBidi" w:hAnsiTheme="majorBidi" w:cstheme="majorBidi"/>
              </w:rPr>
              <w:sym w:font="Symbol" w:char="F061"/>
            </w:r>
            <w:r w:rsidRPr="00CB6CBA">
              <w:rPr>
                <w:vertAlign w:val="subscript"/>
                <w:lang w:val="en-US"/>
              </w:rPr>
              <w:t>3</w:t>
            </w:r>
          </w:p>
        </w:tc>
        <w:tc>
          <w:tcPr>
            <w:tcW w:w="851" w:type="dxa"/>
            <w:tcBorders>
              <w:top w:val="single" w:sz="6" w:space="0" w:color="auto"/>
              <w:left w:val="single" w:sz="6" w:space="0" w:color="auto"/>
              <w:right w:val="single" w:sz="6" w:space="0" w:color="auto"/>
            </w:tcBorders>
          </w:tcPr>
          <w:p w:rsidR="00CA3B52" w:rsidRPr="00CB6CBA" w:rsidRDefault="00CA3B52" w:rsidP="00F65451">
            <w:pPr>
              <w:pStyle w:val="Tablehead"/>
              <w:keepLines/>
              <w:rPr>
                <w:lang w:val="en-US"/>
              </w:rPr>
            </w:pPr>
            <w:r>
              <w:rPr>
                <w:rFonts w:asciiTheme="majorBidi" w:hAnsiTheme="majorBidi" w:cstheme="majorBidi"/>
              </w:rPr>
              <w:sym w:font="Symbol" w:char="F061"/>
            </w:r>
            <w:r w:rsidRPr="00CB6CBA">
              <w:rPr>
                <w:vertAlign w:val="subscript"/>
                <w:lang w:val="en-US"/>
              </w:rPr>
              <w:t>4</w:t>
            </w:r>
          </w:p>
        </w:tc>
      </w:tr>
      <w:tr w:rsidR="00CA3B52" w:rsidRPr="00CB6CBA" w:rsidTr="006E036A">
        <w:trPr>
          <w:cantSplit/>
          <w:jc w:val="center"/>
        </w:trPr>
        <w:tc>
          <w:tcPr>
            <w:tcW w:w="5443" w:type="dxa"/>
            <w:vMerge/>
            <w:tcBorders>
              <w:left w:val="single" w:sz="6" w:space="0" w:color="auto"/>
              <w:bottom w:val="single" w:sz="4" w:space="0" w:color="auto"/>
              <w:right w:val="single" w:sz="6" w:space="0" w:color="auto"/>
              <w:tl2br w:val="single" w:sz="6" w:space="0" w:color="auto"/>
            </w:tcBorders>
          </w:tcPr>
          <w:p w:rsidR="00CA3B52" w:rsidRPr="00CB6CBA" w:rsidRDefault="00CA3B52" w:rsidP="00F65451">
            <w:pPr>
              <w:pStyle w:val="Tablehead"/>
              <w:keepLines/>
              <w:rPr>
                <w:lang w:val="en-US"/>
              </w:rPr>
            </w:pPr>
          </w:p>
        </w:tc>
        <w:tc>
          <w:tcPr>
            <w:tcW w:w="851" w:type="dxa"/>
            <w:tcBorders>
              <w:left w:val="single" w:sz="6" w:space="0" w:color="auto"/>
              <w:bottom w:val="single" w:sz="4" w:space="0" w:color="auto"/>
              <w:right w:val="single" w:sz="6" w:space="0" w:color="auto"/>
            </w:tcBorders>
          </w:tcPr>
          <w:p w:rsidR="00CA3B52" w:rsidRPr="00CB6CBA" w:rsidRDefault="00CA3B52" w:rsidP="00F65451">
            <w:pPr>
              <w:pStyle w:val="Tablehead"/>
              <w:keepLines/>
              <w:rPr>
                <w:lang w:val="en-US"/>
              </w:rPr>
            </w:pPr>
          </w:p>
        </w:tc>
        <w:tc>
          <w:tcPr>
            <w:tcW w:w="760" w:type="dxa"/>
            <w:tcBorders>
              <w:left w:val="single" w:sz="6" w:space="0" w:color="auto"/>
              <w:bottom w:val="single" w:sz="4" w:space="0" w:color="auto"/>
              <w:right w:val="single" w:sz="6" w:space="0" w:color="auto"/>
            </w:tcBorders>
          </w:tcPr>
          <w:p w:rsidR="00CA3B52" w:rsidRPr="00CB6CBA" w:rsidRDefault="00CA3B52" w:rsidP="00F65451">
            <w:pPr>
              <w:pStyle w:val="Tablehead"/>
              <w:keepLines/>
              <w:rPr>
                <w:lang w:val="en-US"/>
              </w:rPr>
            </w:pPr>
          </w:p>
        </w:tc>
        <w:tc>
          <w:tcPr>
            <w:tcW w:w="851" w:type="dxa"/>
            <w:tcBorders>
              <w:top w:val="single" w:sz="6" w:space="0" w:color="auto"/>
              <w:left w:val="single" w:sz="6" w:space="0" w:color="auto"/>
              <w:bottom w:val="single" w:sz="4" w:space="0" w:color="auto"/>
              <w:right w:val="single" w:sz="6" w:space="0" w:color="auto"/>
            </w:tcBorders>
          </w:tcPr>
          <w:p w:rsidR="00CA3B52" w:rsidRPr="00CB6CBA" w:rsidRDefault="00CA3B52" w:rsidP="00F65451">
            <w:pPr>
              <w:pStyle w:val="Tablehead"/>
              <w:keepLines/>
              <w:rPr>
                <w:lang w:val="en-US"/>
              </w:rPr>
            </w:pPr>
            <w:r w:rsidRPr="00CB6CBA">
              <w:rPr>
                <w:lang w:val="en-US"/>
              </w:rPr>
              <w:t>City</w:t>
            </w:r>
          </w:p>
        </w:tc>
        <w:tc>
          <w:tcPr>
            <w:tcW w:w="942" w:type="dxa"/>
            <w:tcBorders>
              <w:top w:val="single" w:sz="6" w:space="0" w:color="auto"/>
              <w:left w:val="single" w:sz="6" w:space="0" w:color="auto"/>
              <w:bottom w:val="single" w:sz="4" w:space="0" w:color="auto"/>
              <w:right w:val="single" w:sz="6" w:space="0" w:color="auto"/>
            </w:tcBorders>
          </w:tcPr>
          <w:p w:rsidR="00CA3B52" w:rsidRPr="00CB6CBA" w:rsidRDefault="00CA3B52" w:rsidP="00F65451">
            <w:pPr>
              <w:pStyle w:val="Tablehead"/>
              <w:keepLines/>
              <w:rPr>
                <w:lang w:val="en-US"/>
              </w:rPr>
            </w:pPr>
            <w:r w:rsidRPr="00CB6CBA">
              <w:rPr>
                <w:lang w:val="en-US"/>
              </w:rPr>
              <w:t>Village</w:t>
            </w:r>
          </w:p>
        </w:tc>
        <w:tc>
          <w:tcPr>
            <w:tcW w:w="851" w:type="dxa"/>
            <w:tcBorders>
              <w:left w:val="single" w:sz="6" w:space="0" w:color="auto"/>
              <w:bottom w:val="single" w:sz="4" w:space="0" w:color="auto"/>
              <w:right w:val="single" w:sz="6" w:space="0" w:color="auto"/>
            </w:tcBorders>
          </w:tcPr>
          <w:p w:rsidR="00CA3B52" w:rsidRPr="00CB6CBA" w:rsidRDefault="00CA3B52" w:rsidP="00F65451">
            <w:pPr>
              <w:pStyle w:val="Tablehead"/>
              <w:keepLines/>
              <w:rPr>
                <w:lang w:val="en-US"/>
              </w:rPr>
            </w:pPr>
          </w:p>
        </w:tc>
      </w:tr>
      <w:tr w:rsidR="00CA3B52" w:rsidRPr="00CB6CBA" w:rsidTr="006E036A">
        <w:trPr>
          <w:cantSplit/>
          <w:jc w:val="center"/>
        </w:trPr>
        <w:tc>
          <w:tcPr>
            <w:tcW w:w="5443"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rPr>
                <w:lang w:val="en-US"/>
              </w:rPr>
            </w:pPr>
            <w:r w:rsidRPr="00CB6CBA">
              <w:rPr>
                <w:lang w:val="en-US"/>
              </w:rPr>
              <w:t>Radio-relay line in a range above 1 GHz</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0.5</w:t>
            </w:r>
          </w:p>
        </w:tc>
        <w:tc>
          <w:tcPr>
            <w:tcW w:w="760"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0.30</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c>
          <w:tcPr>
            <w:tcW w:w="942"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0.1</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r>
      <w:tr w:rsidR="00CA3B52" w:rsidRPr="00CB6CBA" w:rsidTr="006E036A">
        <w:trPr>
          <w:cantSplit/>
          <w:jc w:val="center"/>
        </w:trPr>
        <w:tc>
          <w:tcPr>
            <w:tcW w:w="5443"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rPr>
                <w:lang w:val="en-US"/>
              </w:rPr>
            </w:pPr>
            <w:r w:rsidRPr="00CB6CBA">
              <w:rPr>
                <w:lang w:val="en-US"/>
              </w:rPr>
              <w:t>Radio-relay line in a range below 1 GHz</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c>
          <w:tcPr>
            <w:tcW w:w="760"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4.00</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c>
          <w:tcPr>
            <w:tcW w:w="942"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0.1</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r>
      <w:tr w:rsidR="00CA3B52" w:rsidRPr="00CB6CBA" w:rsidTr="006E036A">
        <w:trPr>
          <w:cantSplit/>
          <w:jc w:val="center"/>
        </w:trPr>
        <w:tc>
          <w:tcPr>
            <w:tcW w:w="5443"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rPr>
                <w:lang w:val="en-US"/>
              </w:rPr>
            </w:pPr>
            <w:r w:rsidRPr="00CB6CBA">
              <w:rPr>
                <w:lang w:val="en-US"/>
              </w:rPr>
              <w:t>Television in meter range (MW TV)</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5</w:t>
            </w:r>
          </w:p>
        </w:tc>
        <w:tc>
          <w:tcPr>
            <w:tcW w:w="760"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0.30</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c>
          <w:tcPr>
            <w:tcW w:w="942"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0.1</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5</w:t>
            </w:r>
          </w:p>
        </w:tc>
      </w:tr>
      <w:tr w:rsidR="00CA3B52" w:rsidRPr="00CB6CBA" w:rsidTr="006E036A">
        <w:trPr>
          <w:cantSplit/>
          <w:jc w:val="center"/>
        </w:trPr>
        <w:tc>
          <w:tcPr>
            <w:tcW w:w="5443"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rPr>
                <w:lang w:val="en-US"/>
              </w:rPr>
            </w:pPr>
            <w:r w:rsidRPr="00CB6CBA">
              <w:rPr>
                <w:lang w:val="en-US"/>
              </w:rPr>
              <w:t>Television in meter range (DMW TV)</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5</w:t>
            </w:r>
          </w:p>
        </w:tc>
        <w:tc>
          <w:tcPr>
            <w:tcW w:w="760"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0.40</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c>
          <w:tcPr>
            <w:tcW w:w="942"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0.1</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5</w:t>
            </w:r>
          </w:p>
        </w:tc>
      </w:tr>
      <w:tr w:rsidR="00CA3B52" w:rsidRPr="00CB6CBA" w:rsidTr="006E036A">
        <w:trPr>
          <w:cantSplit/>
          <w:jc w:val="center"/>
        </w:trPr>
        <w:tc>
          <w:tcPr>
            <w:tcW w:w="5443"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rPr>
                <w:lang w:val="en-US"/>
              </w:rPr>
            </w:pPr>
            <w:r w:rsidRPr="00CB6CBA">
              <w:rPr>
                <w:lang w:val="en-US"/>
              </w:rPr>
              <w:t>USW broadcasting</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12</w:t>
            </w:r>
          </w:p>
        </w:tc>
        <w:tc>
          <w:tcPr>
            <w:tcW w:w="760"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5.00</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c>
          <w:tcPr>
            <w:tcW w:w="942"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0.1</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5</w:t>
            </w:r>
          </w:p>
        </w:tc>
      </w:tr>
      <w:tr w:rsidR="00CA3B52" w:rsidRPr="00CB6CBA" w:rsidTr="006E036A">
        <w:trPr>
          <w:cantSplit/>
          <w:jc w:val="center"/>
        </w:trPr>
        <w:tc>
          <w:tcPr>
            <w:tcW w:w="5443"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rPr>
                <w:lang w:val="en-US"/>
              </w:rPr>
            </w:pPr>
            <w:r w:rsidRPr="00CB6CBA">
              <w:rPr>
                <w:lang w:val="en-US"/>
              </w:rPr>
              <w:t>SW broadcasting</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5</w:t>
            </w:r>
          </w:p>
        </w:tc>
        <w:tc>
          <w:tcPr>
            <w:tcW w:w="760"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5.00</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c>
          <w:tcPr>
            <w:tcW w:w="942"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0.1</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4</w:t>
            </w:r>
          </w:p>
        </w:tc>
      </w:tr>
      <w:tr w:rsidR="00CA3B52" w:rsidRPr="00CB6CBA" w:rsidTr="006E036A">
        <w:trPr>
          <w:cantSplit/>
          <w:jc w:val="center"/>
        </w:trPr>
        <w:tc>
          <w:tcPr>
            <w:tcW w:w="5443"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rPr>
                <w:lang w:val="en-US"/>
              </w:rPr>
            </w:pPr>
            <w:r w:rsidRPr="00CB6CBA">
              <w:rPr>
                <w:lang w:val="en-US"/>
              </w:rPr>
              <w:t>SW radiocommunication</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13</w:t>
            </w:r>
          </w:p>
        </w:tc>
        <w:tc>
          <w:tcPr>
            <w:tcW w:w="760"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6.00</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c>
          <w:tcPr>
            <w:tcW w:w="942"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0.1</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4</w:t>
            </w:r>
          </w:p>
        </w:tc>
      </w:tr>
      <w:tr w:rsidR="00CA3B52" w:rsidRPr="00CB6CBA" w:rsidTr="006E036A">
        <w:trPr>
          <w:cantSplit/>
          <w:jc w:val="center"/>
        </w:trPr>
        <w:tc>
          <w:tcPr>
            <w:tcW w:w="5443"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rPr>
                <w:lang w:val="en-US"/>
              </w:rPr>
            </w:pPr>
            <w:r w:rsidRPr="00CB6CBA">
              <w:rPr>
                <w:lang w:val="en-US"/>
              </w:rPr>
              <w:t>Trunking</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12</w:t>
            </w:r>
          </w:p>
        </w:tc>
        <w:tc>
          <w:tcPr>
            <w:tcW w:w="760"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6.00</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c>
          <w:tcPr>
            <w:tcW w:w="942"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0.1</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5</w:t>
            </w:r>
          </w:p>
        </w:tc>
      </w:tr>
      <w:tr w:rsidR="00CA3B52" w:rsidRPr="00CB6CBA" w:rsidTr="006E036A">
        <w:trPr>
          <w:cantSplit/>
          <w:jc w:val="center"/>
        </w:trPr>
        <w:tc>
          <w:tcPr>
            <w:tcW w:w="5443"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rPr>
                <w:lang w:val="en-US"/>
              </w:rPr>
            </w:pPr>
            <w:r w:rsidRPr="00CB6CBA">
              <w:rPr>
                <w:lang w:val="en-US"/>
              </w:rPr>
              <w:t>Cellular communication</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13</w:t>
            </w:r>
          </w:p>
        </w:tc>
        <w:tc>
          <w:tcPr>
            <w:tcW w:w="760"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6.00</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c>
          <w:tcPr>
            <w:tcW w:w="942"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0.1</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5</w:t>
            </w:r>
          </w:p>
        </w:tc>
      </w:tr>
      <w:tr w:rsidR="00CA3B52" w:rsidRPr="00CB6CBA" w:rsidTr="006E036A">
        <w:trPr>
          <w:cantSplit/>
          <w:jc w:val="center"/>
        </w:trPr>
        <w:tc>
          <w:tcPr>
            <w:tcW w:w="5443"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rPr>
                <w:lang w:val="en-US"/>
              </w:rPr>
            </w:pPr>
            <w:r w:rsidRPr="00CB6CBA">
              <w:rPr>
                <w:lang w:val="en-US"/>
              </w:rPr>
              <w:t>Paging</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60</w:t>
            </w:r>
          </w:p>
        </w:tc>
        <w:tc>
          <w:tcPr>
            <w:tcW w:w="760"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6.00</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c>
          <w:tcPr>
            <w:tcW w:w="942"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0.1</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5</w:t>
            </w:r>
          </w:p>
        </w:tc>
      </w:tr>
      <w:tr w:rsidR="00CA3B52" w:rsidRPr="00CB6CBA" w:rsidTr="006E036A">
        <w:trPr>
          <w:cantSplit/>
          <w:jc w:val="center"/>
        </w:trPr>
        <w:tc>
          <w:tcPr>
            <w:tcW w:w="5443"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rPr>
                <w:lang w:val="en-US"/>
              </w:rPr>
            </w:pPr>
            <w:r w:rsidRPr="00CB6CBA">
              <w:rPr>
                <w:lang w:val="en-US"/>
              </w:rPr>
              <w:t>Mobile communication</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10</w:t>
            </w:r>
          </w:p>
        </w:tc>
        <w:tc>
          <w:tcPr>
            <w:tcW w:w="760"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6.00</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c>
          <w:tcPr>
            <w:tcW w:w="942"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0.1</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5</w:t>
            </w:r>
          </w:p>
        </w:tc>
      </w:tr>
      <w:tr w:rsidR="00CA3B52" w:rsidRPr="00CB6CBA" w:rsidTr="006E036A">
        <w:trPr>
          <w:cantSplit/>
          <w:jc w:val="center"/>
        </w:trPr>
        <w:tc>
          <w:tcPr>
            <w:tcW w:w="5443"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rPr>
                <w:lang w:val="en-US"/>
              </w:rPr>
            </w:pPr>
            <w:r w:rsidRPr="00CB6CBA">
              <w:rPr>
                <w:lang w:val="en-US"/>
              </w:rPr>
              <w:t>Radiocommunication in CB range</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0.12</w:t>
            </w:r>
          </w:p>
        </w:tc>
        <w:tc>
          <w:tcPr>
            <w:tcW w:w="760"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1.00</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c>
          <w:tcPr>
            <w:tcW w:w="942"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0.1</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r>
      <w:tr w:rsidR="00CA3B52" w:rsidRPr="00CB6CBA" w:rsidTr="006E036A">
        <w:trPr>
          <w:cantSplit/>
          <w:jc w:val="center"/>
        </w:trPr>
        <w:tc>
          <w:tcPr>
            <w:tcW w:w="5443"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rPr>
                <w:lang w:val="en-US"/>
              </w:rPr>
            </w:pPr>
            <w:r w:rsidRPr="00CB6CBA">
              <w:rPr>
                <w:lang w:val="en-US"/>
              </w:rPr>
              <w:t>Radiolocation</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0.15</w:t>
            </w:r>
          </w:p>
        </w:tc>
        <w:tc>
          <w:tcPr>
            <w:tcW w:w="760"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0.10</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c>
          <w:tcPr>
            <w:tcW w:w="942"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0.1</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r>
      <w:tr w:rsidR="00CA3B52" w:rsidRPr="00CB6CBA" w:rsidTr="006E036A">
        <w:trPr>
          <w:cantSplit/>
          <w:jc w:val="center"/>
        </w:trPr>
        <w:tc>
          <w:tcPr>
            <w:tcW w:w="5443"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rPr>
                <w:lang w:val="en-US"/>
              </w:rPr>
            </w:pPr>
            <w:r w:rsidRPr="00CB6CBA">
              <w:rPr>
                <w:lang w:val="en-US"/>
              </w:rPr>
              <w:t>The security radio signal system</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6</w:t>
            </w:r>
          </w:p>
        </w:tc>
        <w:tc>
          <w:tcPr>
            <w:tcW w:w="760"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1.0</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c>
          <w:tcPr>
            <w:tcW w:w="942"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0.1</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2</w:t>
            </w:r>
          </w:p>
        </w:tc>
      </w:tr>
      <w:tr w:rsidR="00CA3B52" w:rsidRPr="00CB6CBA" w:rsidTr="006E036A">
        <w:trPr>
          <w:cantSplit/>
          <w:jc w:val="center"/>
        </w:trPr>
        <w:tc>
          <w:tcPr>
            <w:tcW w:w="5443"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rPr>
                <w:lang w:val="en-US"/>
              </w:rPr>
            </w:pPr>
            <w:r w:rsidRPr="00CB6CBA">
              <w:rPr>
                <w:lang w:val="en-US"/>
              </w:rPr>
              <w:t>Earth station for fixed</w:t>
            </w:r>
            <w:r w:rsidRPr="00CB6CBA">
              <w:rPr>
                <w:lang w:val="en-US"/>
              </w:rPr>
              <w:noBreakHyphen/>
              <w:t>satellite service</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40</w:t>
            </w:r>
          </w:p>
        </w:tc>
        <w:tc>
          <w:tcPr>
            <w:tcW w:w="760"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1.00</w:t>
            </w:r>
          </w:p>
          <w:p w:rsidR="00CA3B52" w:rsidRPr="00CB6CBA" w:rsidRDefault="00CA3B52" w:rsidP="00F65451">
            <w:pPr>
              <w:pStyle w:val="Tabletext"/>
              <w:jc w:val="center"/>
              <w:rPr>
                <w:lang w:val="en-US"/>
              </w:rPr>
            </w:pPr>
            <w:r w:rsidRPr="00CB6CBA">
              <w:rPr>
                <w:lang w:val="en-US"/>
              </w:rPr>
              <w:t>0.30*</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c>
          <w:tcPr>
            <w:tcW w:w="942"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0.1</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r>
      <w:tr w:rsidR="00CA3B52" w:rsidRPr="00CB6CBA" w:rsidTr="006E036A">
        <w:trPr>
          <w:cantSplit/>
          <w:jc w:val="center"/>
        </w:trPr>
        <w:tc>
          <w:tcPr>
            <w:tcW w:w="5443"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rPr>
                <w:lang w:val="en-US"/>
              </w:rPr>
            </w:pPr>
            <w:r w:rsidRPr="00CB6CBA">
              <w:rPr>
                <w:lang w:val="en-US"/>
              </w:rPr>
              <w:t>Feeder link for broadcasting-satellite service</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7</w:t>
            </w:r>
          </w:p>
        </w:tc>
        <w:tc>
          <w:tcPr>
            <w:tcW w:w="760"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0.30</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c>
          <w:tcPr>
            <w:tcW w:w="942"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0.1</w:t>
            </w:r>
          </w:p>
        </w:tc>
        <w:tc>
          <w:tcPr>
            <w:tcW w:w="851" w:type="dxa"/>
            <w:tcBorders>
              <w:top w:val="single" w:sz="4" w:space="0" w:color="auto"/>
              <w:left w:val="single" w:sz="4" w:space="0" w:color="auto"/>
              <w:bottom w:val="single" w:sz="4" w:space="0" w:color="auto"/>
              <w:right w:val="single" w:sz="4" w:space="0" w:color="auto"/>
            </w:tcBorders>
          </w:tcPr>
          <w:p w:rsidR="00CA3B52" w:rsidRPr="00CB6CBA" w:rsidRDefault="00CA3B52" w:rsidP="00F65451">
            <w:pPr>
              <w:pStyle w:val="Tabletext"/>
              <w:jc w:val="center"/>
              <w:rPr>
                <w:lang w:val="en-US"/>
              </w:rPr>
            </w:pPr>
            <w:r w:rsidRPr="00CB6CBA">
              <w:rPr>
                <w:lang w:val="en-US"/>
              </w:rPr>
              <w:t>1</w:t>
            </w:r>
          </w:p>
        </w:tc>
      </w:tr>
      <w:tr w:rsidR="00CA3B52" w:rsidRPr="00F65451" w:rsidTr="006E036A">
        <w:trPr>
          <w:cantSplit/>
          <w:jc w:val="center"/>
        </w:trPr>
        <w:tc>
          <w:tcPr>
            <w:tcW w:w="9698" w:type="dxa"/>
            <w:gridSpan w:val="6"/>
            <w:tcBorders>
              <w:top w:val="single" w:sz="4" w:space="0" w:color="auto"/>
            </w:tcBorders>
          </w:tcPr>
          <w:p w:rsidR="00CA3B52" w:rsidRPr="00CB6CBA" w:rsidRDefault="00CA3B52" w:rsidP="00F65451">
            <w:pPr>
              <w:pStyle w:val="TableLegendNote"/>
            </w:pPr>
            <w:r w:rsidRPr="00CB6CBA">
              <w:t>NOTE 1 – </w:t>
            </w:r>
            <w:r>
              <w:rPr>
                <w:rFonts w:asciiTheme="majorBidi" w:hAnsiTheme="majorBidi" w:cstheme="majorBidi"/>
              </w:rPr>
              <w:sym w:font="Symbol" w:char="F061"/>
            </w:r>
            <w:r w:rsidRPr="00C06D53">
              <w:rPr>
                <w:position w:val="-4"/>
                <w:vertAlign w:val="subscript"/>
              </w:rPr>
              <w:t>2</w:t>
            </w:r>
            <w:r w:rsidRPr="00CB6CBA">
              <w:t>* – Value taking into account a social factor is entered for international organizations working in the territory of the Kyrgyz Republic, not representing commercial communication services and whose activity is directed towards stability of economy, development of a science, or culture.</w:t>
            </w:r>
          </w:p>
        </w:tc>
      </w:tr>
    </w:tbl>
    <w:p w:rsidR="00A55FD9" w:rsidRDefault="00A55FD9" w:rsidP="00A55FD9">
      <w:pPr>
        <w:pStyle w:val="Tablefin"/>
      </w:pPr>
    </w:p>
    <w:p w:rsidR="00CA3B52" w:rsidRPr="00A6735C" w:rsidRDefault="00CA3B52" w:rsidP="00CA3B52">
      <w:pPr>
        <w:rPr>
          <w:lang w:val="en-US"/>
        </w:rPr>
      </w:pPr>
      <w:r w:rsidRPr="00A6735C">
        <w:rPr>
          <w:lang w:val="en-US"/>
        </w:rPr>
        <w:t xml:space="preserve">Coefficient </w:t>
      </w:r>
      <w:r w:rsidRPr="00753B36">
        <w:sym w:font="Symbol" w:char="F061"/>
      </w:r>
      <w:r w:rsidRPr="00A6735C">
        <w:rPr>
          <w:position w:val="-4"/>
          <w:sz w:val="16"/>
          <w:lang w:val="en-US"/>
        </w:rPr>
        <w:t>3</w:t>
      </w:r>
      <w:r w:rsidRPr="00A6735C">
        <w:rPr>
          <w:lang w:val="en-US"/>
        </w:rPr>
        <w:t xml:space="preserve"> takes into account features of site location in urban and rural areas. In rural areas, where the density of the population and the level of incomes is low, the commercial value of communication services is also low and the technological costs of providing these services is high. Therefore with the purpose of support of these telecommunication operators and services, as well as for encouraging development of radiocommunications services, there is a reduction coefficient </w:t>
      </w:r>
      <w:r>
        <w:sym w:font="Symbol" w:char="F061"/>
      </w:r>
      <w:r w:rsidRPr="00A6735C">
        <w:rPr>
          <w:vertAlign w:val="subscript"/>
          <w:lang w:val="en-US"/>
        </w:rPr>
        <w:t>3</w:t>
      </w:r>
      <w:r w:rsidRPr="00A6735C">
        <w:rPr>
          <w:lang w:val="en-US"/>
        </w:rPr>
        <w:t xml:space="preserve"> = 0.1 (in urban district </w:t>
      </w:r>
      <w:r>
        <w:sym w:font="Symbol" w:char="F061"/>
      </w:r>
      <w:r w:rsidRPr="00A6735C">
        <w:rPr>
          <w:vertAlign w:val="subscript"/>
          <w:lang w:val="en-US"/>
        </w:rPr>
        <w:t>3</w:t>
      </w:r>
      <w:r w:rsidRPr="00A6735C">
        <w:rPr>
          <w:lang w:val="en-US"/>
        </w:rPr>
        <w:t> = 1).</w:t>
      </w:r>
    </w:p>
    <w:p w:rsidR="00CA3B52" w:rsidRPr="00753B36" w:rsidRDefault="00CA3B52" w:rsidP="00CA3B52">
      <w:pPr>
        <w:rPr>
          <w:rFonts w:asciiTheme="majorBidi" w:hAnsiTheme="majorBidi" w:cstheme="majorBidi"/>
          <w:lang w:val="en-US"/>
        </w:rPr>
      </w:pPr>
      <w:r w:rsidRPr="00753B36">
        <w:rPr>
          <w:rFonts w:asciiTheme="majorBidi" w:hAnsiTheme="majorBidi" w:cstheme="majorBidi"/>
          <w:lang w:val="en-US"/>
        </w:rPr>
        <w:t xml:space="preserve">Coefficient </w:t>
      </w:r>
      <w:r>
        <w:rPr>
          <w:rFonts w:asciiTheme="majorBidi" w:hAnsiTheme="majorBidi" w:cstheme="majorBidi"/>
        </w:rPr>
        <w:sym w:font="Symbol" w:char="F061"/>
      </w:r>
      <w:r w:rsidRPr="00753B36">
        <w:rPr>
          <w:rFonts w:asciiTheme="majorBidi" w:hAnsiTheme="majorBidi" w:cstheme="majorBidi"/>
          <w:vertAlign w:val="subscript"/>
          <w:lang w:val="en-US"/>
        </w:rPr>
        <w:t>4</w:t>
      </w:r>
      <w:r w:rsidRPr="00753B36">
        <w:rPr>
          <w:rFonts w:asciiTheme="majorBidi" w:hAnsiTheme="majorBidi" w:cstheme="majorBidi"/>
          <w:lang w:val="en-US"/>
        </w:rPr>
        <w:t xml:space="preserve"> varies in limits from 0 up to 10 and is determined by the complexity of spectrum management functions performed. This coefficient is the highest for mobile services, as here it is required to carry out the function of radiodeterminations of mobile objects, and for television broadcasting, where it is required to determine with high accuracy a number of parameters.</w:t>
      </w:r>
    </w:p>
    <w:p w:rsidR="00CA3B52" w:rsidRPr="00753B36" w:rsidRDefault="00CA3B52" w:rsidP="00CA3B52">
      <w:pPr>
        <w:rPr>
          <w:rFonts w:asciiTheme="majorBidi" w:hAnsiTheme="majorBidi" w:cstheme="majorBidi"/>
          <w:lang w:val="en-US"/>
        </w:rPr>
      </w:pPr>
      <w:r w:rsidRPr="00753B36">
        <w:rPr>
          <w:rFonts w:asciiTheme="majorBidi" w:hAnsiTheme="majorBidi" w:cstheme="majorBidi"/>
          <w:lang w:val="en-US"/>
        </w:rPr>
        <w:t xml:space="preserve">Thus, with the help of weighting coefficients </w:t>
      </w:r>
      <w:r w:rsidRPr="00753B36">
        <w:rPr>
          <w:rFonts w:asciiTheme="majorBidi" w:hAnsiTheme="majorBidi" w:cstheme="majorBidi"/>
          <w:i/>
          <w:iCs/>
          <w:lang w:val="en-US"/>
        </w:rPr>
        <w:t>K</w:t>
      </w:r>
      <w:r w:rsidRPr="00753B36">
        <w:rPr>
          <w:rFonts w:asciiTheme="majorBidi" w:hAnsiTheme="majorBidi" w:cstheme="majorBidi"/>
          <w:i/>
          <w:iCs/>
          <w:vertAlign w:val="subscript"/>
          <w:lang w:val="en-US"/>
        </w:rPr>
        <w:t>j</w:t>
      </w:r>
      <w:r w:rsidRPr="00753B36">
        <w:rPr>
          <w:rFonts w:asciiTheme="majorBidi" w:hAnsiTheme="majorBidi" w:cstheme="majorBidi"/>
          <w:lang w:val="en-US"/>
        </w:rPr>
        <w:t xml:space="preserve">, </w:t>
      </w:r>
      <w:r>
        <w:rPr>
          <w:rFonts w:asciiTheme="majorBidi" w:hAnsiTheme="majorBidi" w:cstheme="majorBidi"/>
        </w:rPr>
        <w:sym w:font="Symbol" w:char="F061"/>
      </w:r>
      <w:r w:rsidRPr="00753B36">
        <w:rPr>
          <w:rFonts w:asciiTheme="majorBidi" w:hAnsiTheme="majorBidi" w:cstheme="majorBidi"/>
          <w:i/>
          <w:iCs/>
          <w:vertAlign w:val="subscript"/>
          <w:lang w:val="en-US"/>
        </w:rPr>
        <w:t>i</w:t>
      </w:r>
      <w:r w:rsidRPr="00753B36">
        <w:rPr>
          <w:rFonts w:asciiTheme="majorBidi" w:hAnsiTheme="majorBidi" w:cstheme="majorBidi"/>
          <w:lang w:val="en-US"/>
        </w:rPr>
        <w:t xml:space="preserve">, and </w:t>
      </w:r>
      <w:r>
        <w:rPr>
          <w:rFonts w:asciiTheme="majorBidi" w:hAnsiTheme="majorBidi" w:cstheme="majorBidi"/>
          <w:lang w:val="en-US"/>
        </w:rPr>
        <w:sym w:font="Symbol" w:char="F062"/>
      </w:r>
      <w:r w:rsidRPr="00753B36">
        <w:rPr>
          <w:rFonts w:asciiTheme="majorBidi" w:hAnsiTheme="majorBidi" w:cstheme="majorBidi"/>
          <w:i/>
          <w:iCs/>
          <w:vertAlign w:val="subscript"/>
          <w:lang w:val="en-US"/>
        </w:rPr>
        <w:t>i</w:t>
      </w:r>
      <w:r w:rsidRPr="00753B36">
        <w:rPr>
          <w:rFonts w:asciiTheme="majorBidi" w:hAnsiTheme="majorBidi" w:cstheme="majorBidi"/>
          <w:lang w:val="en-US"/>
        </w:rPr>
        <w:t xml:space="preserve"> in formulas (55) and (56), according to formula (54) it is possible to determine the given (in view of the various factors) frequency resource </w:t>
      </w:r>
      <w:r w:rsidRPr="00753B36">
        <w:rPr>
          <w:rFonts w:asciiTheme="majorBidi" w:hAnsiTheme="majorBidi" w:cstheme="majorBidi"/>
          <w:i/>
          <w:iCs/>
          <w:lang w:val="en-US"/>
        </w:rPr>
        <w:t>Z</w:t>
      </w:r>
      <w:r w:rsidRPr="00753B36">
        <w:rPr>
          <w:rFonts w:asciiTheme="majorBidi" w:hAnsiTheme="majorBidi" w:cstheme="majorBidi"/>
          <w:i/>
          <w:iCs/>
          <w:vertAlign w:val="subscript"/>
          <w:lang w:val="en-US"/>
        </w:rPr>
        <w:t>i</w:t>
      </w:r>
      <w:r w:rsidRPr="00753B36">
        <w:rPr>
          <w:rFonts w:asciiTheme="majorBidi" w:hAnsiTheme="majorBidi" w:cstheme="majorBidi"/>
          <w:lang w:val="en-US"/>
        </w:rPr>
        <w:t xml:space="preserve"> for each frequency assignment. Then it is possible to determine the general frequency resource used in the Kyrgyz Republic, according to formula (58):</w:t>
      </w:r>
    </w:p>
    <w:p w:rsidR="00CA3B52" w:rsidRDefault="00CA3B52" w:rsidP="00CA3B52">
      <w:pPr>
        <w:pStyle w:val="Blanc"/>
      </w:pPr>
    </w:p>
    <w:p w:rsidR="00CA3B52" w:rsidRDefault="00CA3B52" w:rsidP="00F65451">
      <w:pPr>
        <w:pStyle w:val="Equation"/>
        <w:rPr>
          <w:lang w:val="en-US"/>
        </w:rPr>
      </w:pPr>
      <w:r w:rsidRPr="00CB6CBA">
        <w:rPr>
          <w:lang w:val="en-US"/>
        </w:rPr>
        <w:tab/>
      </w:r>
      <w:r w:rsidRPr="00CB6CBA">
        <w:rPr>
          <w:lang w:val="en-US"/>
        </w:rPr>
        <w:tab/>
      </w:r>
      <w:r w:rsidRPr="00CB6CBA">
        <w:rPr>
          <w:position w:val="-36"/>
          <w:sz w:val="20"/>
          <w:lang w:val="en-US"/>
        </w:rPr>
        <w:object w:dxaOrig="1300" w:dyaOrig="800">
          <v:shape id="_x0000_i1120" type="#_x0000_t75" style="width:64.05pt;height:39.75pt" o:ole="" fillcolor="window">
            <v:imagedata r:id="rId211" o:title=""/>
          </v:shape>
          <o:OLEObject Type="Embed" ProgID="Equation.3" ShapeID="_x0000_i1120" DrawAspect="Content" ObjectID="_1511604909" r:id="rId212"/>
        </w:object>
      </w:r>
      <w:r w:rsidRPr="00CB6CBA">
        <w:rPr>
          <w:lang w:val="en-US"/>
        </w:rPr>
        <w:t>                kHz · km</w:t>
      </w:r>
      <w:r w:rsidRPr="00CB6CBA">
        <w:rPr>
          <w:position w:val="6"/>
          <w:sz w:val="18"/>
          <w:lang w:val="en-US"/>
        </w:rPr>
        <w:t>2</w:t>
      </w:r>
      <w:r w:rsidRPr="00CB6CBA">
        <w:rPr>
          <w:lang w:val="en-US"/>
        </w:rPr>
        <w:t> · 1 year</w:t>
      </w:r>
      <w:r w:rsidRPr="00CB6CBA">
        <w:rPr>
          <w:lang w:val="en-US"/>
        </w:rPr>
        <w:tab/>
        <w:t>(</w:t>
      </w:r>
      <w:r w:rsidRPr="0024702C">
        <w:rPr>
          <w:lang w:val="en-US"/>
        </w:rPr>
        <w:t>58</w:t>
      </w:r>
      <w:r w:rsidRPr="00CB6CBA">
        <w:rPr>
          <w:lang w:val="en-US"/>
        </w:rPr>
        <w:t>)</w:t>
      </w:r>
    </w:p>
    <w:p w:rsidR="00CA3B52" w:rsidRPr="00A6735C" w:rsidRDefault="00CA3B52" w:rsidP="00CA3B52">
      <w:pPr>
        <w:keepNext/>
        <w:keepLines/>
        <w:rPr>
          <w:lang w:val="en-US"/>
        </w:rPr>
      </w:pPr>
      <w:r w:rsidRPr="00A6735C">
        <w:rPr>
          <w:lang w:val="en-US"/>
        </w:rPr>
        <w:lastRenderedPageBreak/>
        <w:t>where:</w:t>
      </w:r>
    </w:p>
    <w:p w:rsidR="00CA3B52" w:rsidRPr="00753B36" w:rsidRDefault="00CA3B52" w:rsidP="00CA3B52">
      <w:pPr>
        <w:pStyle w:val="Equationlegend"/>
        <w:rPr>
          <w:rFonts w:asciiTheme="majorBidi" w:hAnsiTheme="majorBidi" w:cstheme="majorBidi"/>
        </w:rPr>
      </w:pPr>
      <w:r w:rsidRPr="00753B36">
        <w:rPr>
          <w:rFonts w:asciiTheme="majorBidi" w:hAnsiTheme="majorBidi" w:cstheme="majorBidi"/>
        </w:rPr>
        <w:tab/>
      </w:r>
      <w:r w:rsidRPr="00753B36">
        <w:rPr>
          <w:rFonts w:asciiTheme="majorBidi" w:hAnsiTheme="majorBidi" w:cstheme="majorBidi"/>
          <w:i/>
          <w:iCs/>
        </w:rPr>
        <w:t>Z</w:t>
      </w:r>
      <w:r w:rsidRPr="00753B36">
        <w:rPr>
          <w:rFonts w:asciiTheme="majorBidi" w:hAnsiTheme="majorBidi" w:cstheme="majorBidi"/>
          <w:sz w:val="12"/>
        </w:rPr>
        <w:t> </w:t>
      </w:r>
      <w:r w:rsidRPr="00753B36">
        <w:rPr>
          <w:rFonts w:asciiTheme="majorBidi" w:hAnsiTheme="majorBidi" w:cstheme="majorBidi"/>
        </w:rPr>
        <w:t>:</w:t>
      </w:r>
      <w:r w:rsidRPr="00753B36">
        <w:rPr>
          <w:rFonts w:asciiTheme="majorBidi" w:hAnsiTheme="majorBidi" w:cstheme="majorBidi"/>
        </w:rPr>
        <w:tab/>
        <w:t>general frequency resource used in the Republic</w:t>
      </w:r>
    </w:p>
    <w:p w:rsidR="00CA3B52" w:rsidRPr="00753B36" w:rsidRDefault="00CA3B52" w:rsidP="00CA3B52">
      <w:pPr>
        <w:pStyle w:val="Equationlegend"/>
        <w:rPr>
          <w:rFonts w:asciiTheme="majorBidi" w:hAnsiTheme="majorBidi" w:cstheme="majorBidi"/>
        </w:rPr>
      </w:pPr>
      <w:r w:rsidRPr="00753B36">
        <w:rPr>
          <w:rFonts w:asciiTheme="majorBidi" w:hAnsiTheme="majorBidi" w:cstheme="majorBidi"/>
        </w:rPr>
        <w:tab/>
      </w:r>
      <w:r w:rsidRPr="00753B36">
        <w:rPr>
          <w:rFonts w:asciiTheme="majorBidi" w:hAnsiTheme="majorBidi" w:cstheme="majorBidi"/>
          <w:i/>
          <w:iCs/>
        </w:rPr>
        <w:t>Z</w:t>
      </w:r>
      <w:r w:rsidRPr="00753B36">
        <w:rPr>
          <w:rFonts w:asciiTheme="majorBidi" w:hAnsiTheme="majorBidi" w:cstheme="majorBidi"/>
          <w:i/>
          <w:iCs/>
          <w:vertAlign w:val="subscript"/>
        </w:rPr>
        <w:t>i</w:t>
      </w:r>
      <w:r w:rsidRPr="00753B36">
        <w:rPr>
          <w:rFonts w:asciiTheme="majorBidi" w:hAnsiTheme="majorBidi" w:cstheme="majorBidi"/>
          <w:sz w:val="12"/>
        </w:rPr>
        <w:t> </w:t>
      </w:r>
      <w:r w:rsidRPr="00753B36">
        <w:rPr>
          <w:rFonts w:asciiTheme="majorBidi" w:hAnsiTheme="majorBidi" w:cstheme="majorBidi"/>
        </w:rPr>
        <w:t>:</w:t>
      </w:r>
      <w:r w:rsidRPr="00753B36">
        <w:rPr>
          <w:rFonts w:asciiTheme="majorBidi" w:hAnsiTheme="majorBidi" w:cstheme="majorBidi"/>
        </w:rPr>
        <w:tab/>
        <w:t xml:space="preserve">frequency resource used with </w:t>
      </w:r>
      <w:r w:rsidRPr="00753B36">
        <w:rPr>
          <w:rFonts w:asciiTheme="majorBidi" w:hAnsiTheme="majorBidi" w:cstheme="majorBidi"/>
          <w:i/>
          <w:iCs/>
        </w:rPr>
        <w:t>i</w:t>
      </w:r>
      <w:r w:rsidRPr="00753B36">
        <w:rPr>
          <w:rFonts w:asciiTheme="majorBidi" w:hAnsiTheme="majorBidi" w:cstheme="majorBidi"/>
        </w:rPr>
        <w:t>-th frequency assignment</w:t>
      </w:r>
    </w:p>
    <w:p w:rsidR="00CA3B52" w:rsidRPr="00753B36" w:rsidRDefault="00CA3B52" w:rsidP="00CA3B52">
      <w:pPr>
        <w:pStyle w:val="Equationlegend"/>
        <w:rPr>
          <w:rFonts w:asciiTheme="majorBidi" w:hAnsiTheme="majorBidi" w:cstheme="majorBidi"/>
        </w:rPr>
      </w:pPr>
      <w:r w:rsidRPr="00753B36">
        <w:rPr>
          <w:rFonts w:asciiTheme="majorBidi" w:hAnsiTheme="majorBidi" w:cstheme="majorBidi"/>
        </w:rPr>
        <w:tab/>
      </w:r>
      <w:r w:rsidRPr="00753B36">
        <w:rPr>
          <w:rFonts w:asciiTheme="majorBidi" w:hAnsiTheme="majorBidi" w:cstheme="majorBidi"/>
          <w:i/>
          <w:iCs/>
        </w:rPr>
        <w:t>n</w:t>
      </w:r>
      <w:r w:rsidRPr="00753B36">
        <w:rPr>
          <w:rFonts w:asciiTheme="majorBidi" w:hAnsiTheme="majorBidi" w:cstheme="majorBidi"/>
          <w:sz w:val="12"/>
        </w:rPr>
        <w:t> </w:t>
      </w:r>
      <w:r w:rsidRPr="00753B36">
        <w:rPr>
          <w:rFonts w:asciiTheme="majorBidi" w:hAnsiTheme="majorBidi" w:cstheme="majorBidi"/>
        </w:rPr>
        <w:t>:</w:t>
      </w:r>
      <w:r w:rsidRPr="00753B36">
        <w:rPr>
          <w:rFonts w:asciiTheme="majorBidi" w:hAnsiTheme="majorBidi" w:cstheme="majorBidi"/>
        </w:rPr>
        <w:tab/>
        <w:t>overall number of frequency assignments registered in the national database</w:t>
      </w:r>
    </w:p>
    <w:p w:rsidR="00CA3B52" w:rsidRPr="00753B36" w:rsidRDefault="00CA3B52" w:rsidP="00CA3B52">
      <w:pPr>
        <w:pStyle w:val="Equationlegend"/>
        <w:rPr>
          <w:rFonts w:asciiTheme="majorBidi" w:hAnsiTheme="majorBidi" w:cstheme="majorBidi"/>
        </w:rPr>
      </w:pPr>
      <w:r w:rsidRPr="00753B36">
        <w:rPr>
          <w:rFonts w:asciiTheme="majorBidi" w:hAnsiTheme="majorBidi" w:cstheme="majorBidi"/>
        </w:rPr>
        <w:tab/>
      </w:r>
      <w:r w:rsidRPr="00753B36">
        <w:rPr>
          <w:rFonts w:asciiTheme="majorBidi" w:hAnsiTheme="majorBidi" w:cstheme="majorBidi"/>
          <w:i/>
          <w:iCs/>
        </w:rPr>
        <w:t>L</w:t>
      </w:r>
      <w:r w:rsidRPr="00753B36">
        <w:rPr>
          <w:rFonts w:asciiTheme="majorBidi" w:hAnsiTheme="majorBidi" w:cstheme="majorBidi"/>
          <w:sz w:val="12"/>
        </w:rPr>
        <w:t> </w:t>
      </w:r>
      <w:r w:rsidRPr="00753B36">
        <w:rPr>
          <w:rFonts w:asciiTheme="majorBidi" w:hAnsiTheme="majorBidi" w:cstheme="majorBidi"/>
        </w:rPr>
        <w:t>:</w:t>
      </w:r>
      <w:r w:rsidRPr="00753B36">
        <w:rPr>
          <w:rFonts w:asciiTheme="majorBidi" w:hAnsiTheme="majorBidi" w:cstheme="majorBidi"/>
        </w:rPr>
        <w:tab/>
        <w:t>estimated expansion coefficient for the spectrum used. The introduction of this coefficient permits prices for spectrum to be determined in advance for the next fiscal year.</w:t>
      </w:r>
    </w:p>
    <w:p w:rsidR="00CA3B52" w:rsidRPr="00CB6CBA" w:rsidRDefault="00CA3B52" w:rsidP="00CA3B52">
      <w:pPr>
        <w:pStyle w:val="Heading4"/>
        <w:rPr>
          <w:lang w:val="en-US"/>
        </w:rPr>
      </w:pPr>
      <w:bookmarkStart w:id="1710" w:name="_Toc497033222"/>
      <w:bookmarkStart w:id="1711" w:name="_Toc497034020"/>
      <w:r w:rsidRPr="00CB6CBA">
        <w:rPr>
          <w:lang w:val="en-US"/>
        </w:rPr>
        <w:t>5.2.6.3</w:t>
      </w:r>
      <w:r w:rsidRPr="00CB6CBA">
        <w:rPr>
          <w:lang w:val="en-US"/>
        </w:rPr>
        <w:tab/>
        <w:t>Price for the unit of the frequency resource used</w:t>
      </w:r>
      <w:bookmarkEnd w:id="1710"/>
      <w:bookmarkEnd w:id="1711"/>
    </w:p>
    <w:p w:rsidR="00CA3B52" w:rsidRDefault="00CA3B52" w:rsidP="00CA3B52">
      <w:pPr>
        <w:rPr>
          <w:lang w:val="en-US"/>
        </w:rPr>
      </w:pPr>
      <w:r w:rsidRPr="00CB6CBA">
        <w:rPr>
          <w:lang w:val="en-US"/>
        </w:rPr>
        <w:t>On the basis of formula (</w:t>
      </w:r>
      <w:r w:rsidRPr="0024702C">
        <w:rPr>
          <w:lang w:val="en-US"/>
        </w:rPr>
        <w:t>51</w:t>
      </w:r>
      <w:r w:rsidRPr="00CB6CBA">
        <w:rPr>
          <w:lang w:val="en-US"/>
        </w:rPr>
        <w:t>) and in view of formulas (</w:t>
      </w:r>
      <w:r w:rsidRPr="0024702C">
        <w:rPr>
          <w:lang w:val="en-US"/>
        </w:rPr>
        <w:t>52</w:t>
      </w:r>
      <w:r w:rsidRPr="00CB6CBA">
        <w:rPr>
          <w:lang w:val="en-US"/>
        </w:rPr>
        <w:t>) and (</w:t>
      </w:r>
      <w:r w:rsidRPr="0024702C">
        <w:rPr>
          <w:lang w:val="en-US"/>
        </w:rPr>
        <w:t>53</w:t>
      </w:r>
      <w:r w:rsidRPr="00CB6CBA">
        <w:rPr>
          <w:lang w:val="en-US"/>
        </w:rPr>
        <w:t>) the total amount of annual payments is determined.</w:t>
      </w:r>
    </w:p>
    <w:p w:rsidR="00CA3B52" w:rsidRPr="00271685" w:rsidRDefault="00CA3B52" w:rsidP="00CA3B52">
      <w:pPr>
        <w:rPr>
          <w:lang w:val="en-US"/>
        </w:rPr>
      </w:pPr>
      <w:r w:rsidRPr="00CB6CBA">
        <w:rPr>
          <w:lang w:val="en-US"/>
        </w:rPr>
        <w:t>On the basis of formula (</w:t>
      </w:r>
      <w:r w:rsidRPr="0024702C">
        <w:rPr>
          <w:lang w:val="en-US"/>
        </w:rPr>
        <w:t>58</w:t>
      </w:r>
      <w:r w:rsidRPr="00CB6CBA">
        <w:rPr>
          <w:lang w:val="en-US"/>
        </w:rPr>
        <w:t>) the value of the spectrum annually used in the Republic is determined.</w:t>
      </w:r>
    </w:p>
    <w:p w:rsidR="00CA3B52" w:rsidRPr="00CB6CBA" w:rsidRDefault="00CA3B52" w:rsidP="00CA3B52">
      <w:pPr>
        <w:rPr>
          <w:lang w:val="en-US"/>
        </w:rPr>
      </w:pPr>
      <w:r w:rsidRPr="00CB6CBA">
        <w:rPr>
          <w:lang w:val="en-US"/>
        </w:rPr>
        <w:t xml:space="preserve">Then it is possible to determine the price of </w:t>
      </w:r>
      <w:r>
        <w:rPr>
          <w:lang w:val="en-US"/>
        </w:rPr>
        <w:sym w:font="Symbol" w:char="F044"/>
      </w:r>
      <w:r w:rsidRPr="00CB6CBA">
        <w:rPr>
          <w:i/>
          <w:iCs/>
          <w:lang w:val="en-US"/>
        </w:rPr>
        <w:t>C</w:t>
      </w:r>
      <w:r w:rsidRPr="00CB6CBA">
        <w:rPr>
          <w:i/>
          <w:iCs/>
          <w:vertAlign w:val="subscript"/>
          <w:lang w:val="en-US"/>
        </w:rPr>
        <w:t>ann</w:t>
      </w:r>
      <w:r w:rsidRPr="00CB6CBA">
        <w:rPr>
          <w:lang w:val="en-US"/>
        </w:rPr>
        <w:t xml:space="preserve"> for a conventional unit of the frequency resource:</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A86C75">
        <w:rPr>
          <w:position w:val="-32"/>
          <w:sz w:val="20"/>
          <w:lang w:val="en-US"/>
        </w:rPr>
        <w:object w:dxaOrig="3440" w:dyaOrig="760">
          <v:shape id="_x0000_i1121" type="#_x0000_t75" style="width:170.65pt;height:36.45pt" o:ole="" fillcolor="window">
            <v:imagedata r:id="rId213" o:title=""/>
          </v:shape>
          <o:OLEObject Type="Embed" ProgID="Equation.3" ShapeID="_x0000_i1121" DrawAspect="Content" ObjectID="_1511604910" r:id="rId214"/>
        </w:object>
      </w:r>
      <w:r w:rsidRPr="00CB6CBA">
        <w:rPr>
          <w:lang w:val="en-US"/>
        </w:rPr>
        <w:tab/>
        <w:t>(</w:t>
      </w:r>
      <w:r w:rsidRPr="0024702C">
        <w:rPr>
          <w:lang w:val="en-US"/>
        </w:rPr>
        <w:t>59</w:t>
      </w:r>
      <w:r w:rsidRPr="00CB6CBA">
        <w:rPr>
          <w:lang w:val="en-US"/>
        </w:rPr>
        <w:t>)</w:t>
      </w:r>
    </w:p>
    <w:p w:rsidR="00CA3B52" w:rsidRPr="00CB6CBA" w:rsidRDefault="00CA3B52" w:rsidP="00CA3B52">
      <w:pPr>
        <w:pStyle w:val="Equationlegend"/>
      </w:pPr>
      <w:r w:rsidRPr="00CB6CBA">
        <w:tab/>
      </w:r>
      <w:r w:rsidRPr="00CB6CBA">
        <w:rPr>
          <w:i/>
          <w:iCs/>
        </w:rPr>
        <w:t>Som</w:t>
      </w:r>
      <w:r w:rsidRPr="00CB6CBA">
        <w:t>*</w:t>
      </w:r>
      <w:r w:rsidRPr="00CB6CBA">
        <w:rPr>
          <w:rFonts w:ascii="Tms Rmn" w:hAnsi="Tms Rmn"/>
          <w:sz w:val="12"/>
        </w:rPr>
        <w:t> </w:t>
      </w:r>
      <w:r w:rsidRPr="00CB6CBA">
        <w:rPr>
          <w:rFonts w:ascii="Tms Rmn" w:hAnsi="Tms Rmn"/>
        </w:rPr>
        <w:t>:</w:t>
      </w:r>
      <w:r w:rsidRPr="00CB6CBA">
        <w:rPr>
          <w:rFonts w:ascii="Tms Rmn" w:hAnsi="Tms Rmn"/>
        </w:rPr>
        <w:tab/>
      </w:r>
      <w:r w:rsidRPr="00CB6CBA">
        <w:t>name of the national currency.</w:t>
      </w:r>
    </w:p>
    <w:p w:rsidR="00CA3B52" w:rsidRPr="00CB6CBA" w:rsidRDefault="00CA3B52" w:rsidP="00CA3B52">
      <w:pPr>
        <w:pStyle w:val="Heading4"/>
        <w:rPr>
          <w:lang w:val="en-US"/>
        </w:rPr>
      </w:pPr>
      <w:bookmarkStart w:id="1712" w:name="_Toc497033223"/>
      <w:bookmarkStart w:id="1713" w:name="_Toc497034021"/>
      <w:r w:rsidRPr="00CB6CBA">
        <w:rPr>
          <w:lang w:val="en-US"/>
        </w:rPr>
        <w:t>5.2.6.4</w:t>
      </w:r>
      <w:r w:rsidRPr="00CB6CBA">
        <w:rPr>
          <w:lang w:val="en-US"/>
        </w:rPr>
        <w:tab/>
        <w:t>Annual fees for a particular frequency assignment</w:t>
      </w:r>
      <w:bookmarkEnd w:id="1712"/>
      <w:bookmarkEnd w:id="1713"/>
    </w:p>
    <w:p w:rsidR="00CA3B52" w:rsidRDefault="00CA3B52" w:rsidP="00CA3B52">
      <w:pPr>
        <w:rPr>
          <w:lang w:val="en-US"/>
        </w:rPr>
      </w:pPr>
      <w:r w:rsidRPr="00CB6CBA">
        <w:rPr>
          <w:lang w:val="en-US"/>
        </w:rPr>
        <w:t>According to formula (</w:t>
      </w:r>
      <w:r w:rsidRPr="0024702C">
        <w:rPr>
          <w:lang w:val="en-US"/>
        </w:rPr>
        <w:t>59</w:t>
      </w:r>
      <w:r w:rsidRPr="00CB6CBA">
        <w:rPr>
          <w:lang w:val="en-US"/>
        </w:rPr>
        <w:t xml:space="preserve">) the price </w:t>
      </w:r>
      <w:r>
        <w:rPr>
          <w:lang w:val="en-US"/>
        </w:rPr>
        <w:sym w:font="Symbol" w:char="F044"/>
      </w:r>
      <w:r w:rsidRPr="00CB6CBA">
        <w:rPr>
          <w:i/>
          <w:iCs/>
          <w:lang w:val="en-US"/>
        </w:rPr>
        <w:t>C</w:t>
      </w:r>
      <w:r w:rsidRPr="00CB6CBA">
        <w:rPr>
          <w:i/>
          <w:iCs/>
          <w:vertAlign w:val="subscript"/>
          <w:lang w:val="en-US"/>
        </w:rPr>
        <w:t>ann</w:t>
      </w:r>
      <w:r w:rsidRPr="00CB6CBA">
        <w:rPr>
          <w:lang w:val="en-US"/>
        </w:rPr>
        <w:t xml:space="preserve"> for the conventional unit of the frequency resource is determined.</w:t>
      </w:r>
    </w:p>
    <w:p w:rsidR="00CA3B52" w:rsidRDefault="00CA3B52" w:rsidP="00CA3B52">
      <w:pPr>
        <w:rPr>
          <w:lang w:val="en-US"/>
        </w:rPr>
      </w:pPr>
      <w:r w:rsidRPr="00CB6CBA">
        <w:rPr>
          <w:lang w:val="en-US"/>
        </w:rPr>
        <w:t>According to formula (</w:t>
      </w:r>
      <w:r w:rsidRPr="0024702C">
        <w:rPr>
          <w:lang w:val="en-US"/>
        </w:rPr>
        <w:t>54</w:t>
      </w:r>
      <w:r w:rsidRPr="00CB6CBA">
        <w:rPr>
          <w:lang w:val="en-US"/>
        </w:rPr>
        <w:t xml:space="preserve">) the frequency resource </w:t>
      </w:r>
      <w:r w:rsidRPr="00CB6CBA">
        <w:rPr>
          <w:i/>
          <w:iCs/>
          <w:lang w:val="en-US"/>
        </w:rPr>
        <w:t>Z</w:t>
      </w:r>
      <w:r w:rsidRPr="00CB6CBA">
        <w:rPr>
          <w:i/>
          <w:iCs/>
          <w:vertAlign w:val="subscript"/>
          <w:lang w:val="en-US"/>
        </w:rPr>
        <w:t>i</w:t>
      </w:r>
      <w:r w:rsidRPr="00CB6CBA">
        <w:rPr>
          <w:lang w:val="en-US"/>
        </w:rPr>
        <w:t xml:space="preserve"> used for a particular frequency assignment is determined. Then the amount of the annual payment </w:t>
      </w:r>
      <w:r w:rsidRPr="00CB6CBA">
        <w:rPr>
          <w:i/>
          <w:iCs/>
          <w:lang w:val="en-US"/>
        </w:rPr>
        <w:t>C</w:t>
      </w:r>
      <w:r w:rsidRPr="00CB6CBA">
        <w:rPr>
          <w:i/>
          <w:iCs/>
          <w:vertAlign w:val="subscript"/>
          <w:lang w:val="en-US"/>
        </w:rPr>
        <w:t>i</w:t>
      </w:r>
      <w:r w:rsidRPr="00CB6CBA">
        <w:rPr>
          <w:lang w:val="en-US"/>
        </w:rPr>
        <w:t xml:space="preserve"> from a specific user of the spectrum for a specific </w:t>
      </w:r>
      <w:r w:rsidRPr="00CB6CBA">
        <w:rPr>
          <w:i/>
          <w:iCs/>
          <w:lang w:val="en-US"/>
        </w:rPr>
        <w:t>i</w:t>
      </w:r>
      <w:r w:rsidRPr="00CB6CBA">
        <w:rPr>
          <w:lang w:val="en-US"/>
        </w:rPr>
        <w:t>-th frequency assignment is determined by formula (</w:t>
      </w:r>
      <w:r w:rsidRPr="0024702C">
        <w:rPr>
          <w:lang w:val="en-US"/>
        </w:rPr>
        <w:t>60</w:t>
      </w:r>
      <w:r w:rsidRPr="00CB6CBA">
        <w:rPr>
          <w:lang w:val="en-US"/>
        </w:rPr>
        <w:t>):</w:t>
      </w:r>
    </w:p>
    <w:p w:rsidR="00CA3B52" w:rsidRDefault="00CA3B52" w:rsidP="00CA3B52">
      <w:pPr>
        <w:pStyle w:val="Blanc"/>
      </w:pPr>
    </w:p>
    <w:p w:rsidR="00CA3B52" w:rsidRDefault="00CA3B52" w:rsidP="00CA3B52">
      <w:pPr>
        <w:pStyle w:val="Equation"/>
        <w:rPr>
          <w:lang w:val="en-US"/>
        </w:rPr>
      </w:pPr>
      <w:r w:rsidRPr="00CB6CBA">
        <w:rPr>
          <w:lang w:val="en-US"/>
        </w:rPr>
        <w:tab/>
      </w:r>
      <w:r w:rsidRPr="00CB6CBA">
        <w:rPr>
          <w:lang w:val="en-US"/>
        </w:rPr>
        <w:tab/>
      </w:r>
      <w:r w:rsidRPr="000632A8">
        <w:rPr>
          <w:position w:val="-12"/>
          <w:lang w:val="en-US"/>
        </w:rPr>
        <w:object w:dxaOrig="1620" w:dyaOrig="360">
          <v:shape id="_x0000_i1122" type="#_x0000_t75" style="width:79pt;height:19.15pt" o:ole="">
            <v:imagedata r:id="rId215" o:title=""/>
          </v:shape>
          <o:OLEObject Type="Embed" ProgID="Equation.3" ShapeID="_x0000_i1122" DrawAspect="Content" ObjectID="_1511604911" r:id="rId216"/>
        </w:object>
      </w:r>
      <w:r w:rsidRPr="00CB6CBA">
        <w:rPr>
          <w:lang w:val="en-US"/>
        </w:rPr>
        <w:tab/>
        <w:t>(</w:t>
      </w:r>
      <w:r w:rsidRPr="0024702C">
        <w:rPr>
          <w:lang w:val="en-US"/>
        </w:rPr>
        <w:t>60</w:t>
      </w:r>
      <w:r w:rsidRPr="00CB6CBA">
        <w:rPr>
          <w:lang w:val="en-US"/>
        </w:rPr>
        <w:t>)</w:t>
      </w:r>
    </w:p>
    <w:p w:rsidR="00CA3B52" w:rsidRDefault="00CA3B52" w:rsidP="00CA3B52">
      <w:pPr>
        <w:pStyle w:val="Blanc"/>
      </w:pPr>
    </w:p>
    <w:p w:rsidR="00CA3B52" w:rsidRPr="00CB6CBA" w:rsidRDefault="00CA3B52" w:rsidP="00CA3B52">
      <w:pPr>
        <w:rPr>
          <w:lang w:val="en-US"/>
        </w:rPr>
      </w:pPr>
      <w:r w:rsidRPr="00CB6CBA">
        <w:rPr>
          <w:lang w:val="en-US"/>
        </w:rPr>
        <w:t>If any telecommunication operator has more than one frequency assignment, the payment for each assignment is determined and then they are summated.</w:t>
      </w:r>
    </w:p>
    <w:p w:rsidR="00CA3B52" w:rsidRPr="00CB6CBA" w:rsidRDefault="00CA3B52" w:rsidP="00CA3B52">
      <w:pPr>
        <w:pStyle w:val="Heading4"/>
        <w:rPr>
          <w:lang w:val="en-US"/>
        </w:rPr>
      </w:pPr>
      <w:bookmarkStart w:id="1714" w:name="_Toc497033224"/>
      <w:bookmarkStart w:id="1715" w:name="_Toc497034022"/>
      <w:r w:rsidRPr="00CB6CBA">
        <w:rPr>
          <w:lang w:val="en-US"/>
        </w:rPr>
        <w:t>5.2.6.5</w:t>
      </w:r>
      <w:r w:rsidRPr="00CB6CBA">
        <w:rPr>
          <w:lang w:val="en-US"/>
        </w:rPr>
        <w:tab/>
        <w:t>Application of the method</w:t>
      </w:r>
      <w:bookmarkEnd w:id="1714"/>
      <w:bookmarkEnd w:id="1715"/>
    </w:p>
    <w:p w:rsidR="00CA3B52" w:rsidRPr="00CB6CBA" w:rsidRDefault="00CA3B52" w:rsidP="00CA3B52">
      <w:pPr>
        <w:rPr>
          <w:lang w:val="en-US"/>
        </w:rPr>
      </w:pPr>
      <w:r w:rsidRPr="00CB6CBA">
        <w:rPr>
          <w:lang w:val="en-US"/>
        </w:rPr>
        <w:t>This method is authorized by the NCA in a text on determination of the annual payment for all the spectrum used in the Republic. Its application is coordinated with the National Commission of the Kyrgyz Republic on Protection and Development of Competition.</w:t>
      </w:r>
    </w:p>
    <w:p w:rsidR="00CA3B52" w:rsidRPr="00CB6CBA" w:rsidRDefault="00CA3B52" w:rsidP="00CA3B52">
      <w:pPr>
        <w:rPr>
          <w:lang w:val="en-US"/>
        </w:rPr>
      </w:pPr>
      <w:r w:rsidRPr="00CB6CBA">
        <w:rPr>
          <w:lang w:val="en-US"/>
        </w:rPr>
        <w:t>There is software for the national database on frequency assignments, and calculation of the payment for a specific user does not present difficulties.</w:t>
      </w:r>
    </w:p>
    <w:p w:rsidR="00CA3B52" w:rsidRPr="00CB6CBA" w:rsidRDefault="00CA3B52" w:rsidP="00CA3B52">
      <w:pPr>
        <w:rPr>
          <w:lang w:val="en-US"/>
        </w:rPr>
      </w:pPr>
      <w:r w:rsidRPr="00CB6CBA">
        <w:rPr>
          <w:lang w:val="en-US"/>
        </w:rPr>
        <w:t>Seminars for telecommunication operators regarding this method were conducted. Because the method is known for practically all users, transparency is provided.</w:t>
      </w:r>
    </w:p>
    <w:p w:rsidR="00CA3B52" w:rsidRPr="00CB6CBA" w:rsidRDefault="00CA3B52" w:rsidP="00CA3B52">
      <w:pPr>
        <w:pStyle w:val="Heading4"/>
        <w:rPr>
          <w:lang w:val="en-US"/>
        </w:rPr>
      </w:pPr>
      <w:bookmarkStart w:id="1716" w:name="_Toc497033225"/>
      <w:bookmarkStart w:id="1717" w:name="_Toc497034023"/>
      <w:r w:rsidRPr="00CB6CBA">
        <w:rPr>
          <w:lang w:val="en-US"/>
        </w:rPr>
        <w:t>5.2.6.6</w:t>
      </w:r>
      <w:r w:rsidRPr="00CB6CBA">
        <w:rPr>
          <w:lang w:val="en-US"/>
        </w:rPr>
        <w:tab/>
        <w:t>Funding the monitoring system</w:t>
      </w:r>
      <w:bookmarkEnd w:id="1716"/>
      <w:bookmarkEnd w:id="1717"/>
    </w:p>
    <w:p w:rsidR="00CA3B52" w:rsidRPr="00CB6CBA" w:rsidRDefault="00CA3B52" w:rsidP="00CA3B52">
      <w:pPr>
        <w:rPr>
          <w:lang w:val="en-US"/>
        </w:rPr>
      </w:pPr>
      <w:r w:rsidRPr="00CB6CBA">
        <w:rPr>
          <w:lang w:val="en-US"/>
        </w:rPr>
        <w:t>The Kyrgyz Republic, like the majority of new and developing countries, experienced difficulties in funding a modern system of spectrum management. The greatest difficulty was the funding of the national automated radio monitoring system, which can ensure effective spectrum management. Such a system is necessary, but its cost is high. The condition of the State budget does not allow funding of such a system.</w:t>
      </w:r>
    </w:p>
    <w:p w:rsidR="00CA3B52" w:rsidRDefault="00CA3B52" w:rsidP="00CA3B52">
      <w:pPr>
        <w:rPr>
          <w:lang w:val="en-US"/>
        </w:rPr>
      </w:pPr>
      <w:r w:rsidRPr="00CB6CBA">
        <w:rPr>
          <w:lang w:val="en-US"/>
        </w:rPr>
        <w:lastRenderedPageBreak/>
        <w:t xml:space="preserve">One of the ways to fund such a system is a loan on preferential terms from international financial organizations or from other countries. The principal could be included in the amount of the annual payment and gradually returned to the creditor. The mechanism of return of the principal is shown in Fig. </w:t>
      </w:r>
      <w:r w:rsidRPr="0024702C">
        <w:rPr>
          <w:lang w:val="en-US"/>
        </w:rPr>
        <w:t>13</w:t>
      </w:r>
      <w:r w:rsidRPr="00CB6CBA">
        <w:rPr>
          <w:lang w:val="en-US"/>
        </w:rPr>
        <w:t>. It is possible to return the principal in equal payments each year. However, the payment (principal and interest) would be very high in the first years of return of the principal.</w:t>
      </w:r>
    </w:p>
    <w:p w:rsidR="00CA3B52" w:rsidRPr="00CB6CBA" w:rsidRDefault="00CA3B52" w:rsidP="00CA3B52">
      <w:pPr>
        <w:rPr>
          <w:lang w:val="en-US"/>
        </w:rPr>
      </w:pPr>
      <w:r w:rsidRPr="00CB6CBA">
        <w:rPr>
          <w:lang w:val="en-US"/>
        </w:rPr>
        <w:t>Such payments would result in substantial growth of expenses of the telecommunication operators and a rise in price of their services. Accordingly development would be impaired and in some cases operators would fail. The delay of expansion of telecommunication services would cause not only reduction of tax receipts, but a recession, as has happened in the past.</w:t>
      </w:r>
    </w:p>
    <w:p w:rsidR="00CA3B52" w:rsidRDefault="00CA3B52" w:rsidP="00CA3B52">
      <w:pPr>
        <w:pStyle w:val="FigureNo"/>
        <w:rPr>
          <w:lang w:val="en-US"/>
        </w:rPr>
      </w:pPr>
      <w:r>
        <w:rPr>
          <w:lang w:val="en-US"/>
        </w:rPr>
        <w:t>Figure 13</w:t>
      </w:r>
    </w:p>
    <w:p w:rsidR="00CA3B52" w:rsidRDefault="00CA3B52" w:rsidP="00CA3B52">
      <w:pPr>
        <w:pStyle w:val="Figuretitle"/>
        <w:rPr>
          <w:lang w:val="en-US"/>
        </w:rPr>
      </w:pPr>
      <w:r>
        <w:rPr>
          <w:lang w:val="en-US"/>
        </w:rPr>
        <w:t>Mechanism of return of the principal</w:t>
      </w:r>
    </w:p>
    <w:p w:rsidR="00CA3B52" w:rsidRPr="000632A8" w:rsidRDefault="00CA3B52" w:rsidP="00CA3B52">
      <w:pPr>
        <w:pStyle w:val="Figure"/>
        <w:rPr>
          <w:lang w:val="en-US"/>
        </w:rPr>
      </w:pPr>
      <w:r>
        <w:rPr>
          <w:lang w:val="en-US"/>
        </w:rPr>
        <w:object w:dxaOrig="6330" w:dyaOrig="4259">
          <v:shape id="_x0000_i1123" type="#_x0000_t75" style="width:339.45pt;height:229.1pt" o:ole="">
            <v:imagedata r:id="rId217" o:title=""/>
          </v:shape>
          <o:OLEObject Type="Embed" ProgID="CorelDRAW.Graphic.14" ShapeID="_x0000_i1123" DrawAspect="Content" ObjectID="_1511604912" r:id="rId218"/>
        </w:object>
      </w:r>
    </w:p>
    <w:p w:rsidR="00CA3B52" w:rsidRDefault="00CA3B52" w:rsidP="00CA3B52">
      <w:pPr>
        <w:rPr>
          <w:lang w:val="en-US"/>
        </w:rPr>
      </w:pPr>
    </w:p>
    <w:p w:rsidR="00CA3B52" w:rsidRDefault="00CA3B52" w:rsidP="00CA3B52">
      <w:pPr>
        <w:rPr>
          <w:lang w:val="en-US"/>
        </w:rPr>
      </w:pPr>
      <w:r w:rsidRPr="00CB6CBA">
        <w:rPr>
          <w:lang w:val="en-US"/>
        </w:rPr>
        <w:t xml:space="preserve">A different approach is possible. Based on the experience of other countries, the number of the spectrum users will grow. Therefore, it is possible within reasonable limits to increase the price for the unit of the spectrum and to support it in hard currency until the annual total fee has reached the forecast size, </w:t>
      </w:r>
      <w:r w:rsidRPr="00CB6CBA">
        <w:rPr>
          <w:i/>
          <w:iCs/>
          <w:lang w:val="en-US"/>
        </w:rPr>
        <w:t>C</w:t>
      </w:r>
      <w:r w:rsidRPr="00CB6CBA">
        <w:rPr>
          <w:i/>
          <w:iCs/>
          <w:vertAlign w:val="subscript"/>
          <w:lang w:val="en-US"/>
        </w:rPr>
        <w:t>forecast</w:t>
      </w:r>
      <w:r w:rsidRPr="00CB6CBA">
        <w:rPr>
          <w:lang w:val="en-US"/>
        </w:rPr>
        <w:t>, n the middle of an amortization period (for example, 5 years after installation of the equipment, assuming the loan is for 10 years).</w:t>
      </w:r>
    </w:p>
    <w:p w:rsidR="00CA3B52" w:rsidRPr="00CB6CBA" w:rsidRDefault="00CA3B52" w:rsidP="00CA3B52">
      <w:pPr>
        <w:rPr>
          <w:lang w:val="en-US"/>
        </w:rPr>
      </w:pPr>
      <w:r w:rsidRPr="00CB6CBA">
        <w:rPr>
          <w:lang w:val="en-US"/>
        </w:rPr>
        <w:t>The total amount of the taxes for 10 years (including the principal, which it is necessary to return within 10 years) is equivalent to the area shaded by vertical lines. For the first 5 years there would be a shortage, equivalent to the area shaded with vertical and horizontal lines, whereas in the next 5 years there would be a surplus (area shaded with horizontal lines). The main advantage of such policy would be price stability, which would allow the telecommunication operators to plan their incomes, expenditures and development of services.</w:t>
      </w:r>
    </w:p>
    <w:p w:rsidR="00CA3B52" w:rsidRPr="00CB6CBA" w:rsidRDefault="00CA3B52" w:rsidP="00CA3B52">
      <w:pPr>
        <w:rPr>
          <w:lang w:val="en-US"/>
        </w:rPr>
      </w:pPr>
      <w:r w:rsidRPr="00CB6CBA">
        <w:rPr>
          <w:lang w:val="en-US"/>
        </w:rPr>
        <w:t>Of course, the above would be only the initial approach to price policy. If it will possible to forecast more accurately and to determine more precisely the price policy based on actual conditions, it would be possible to make faster payments.</w:t>
      </w:r>
    </w:p>
    <w:p w:rsidR="00CA3B52" w:rsidRPr="00CB6CBA" w:rsidRDefault="00CA3B52" w:rsidP="00CA3B52">
      <w:pPr>
        <w:rPr>
          <w:lang w:val="en-US"/>
        </w:rPr>
      </w:pPr>
      <w:r w:rsidRPr="00CB6CBA">
        <w:rPr>
          <w:lang w:val="en-US"/>
        </w:rPr>
        <w:t>The above technique would allow to determine the Republic tariff policy regarding spectrum use in view of conditions of loan repayments, thus keeping a non-discriminatory approach to the various spectrum users.</w:t>
      </w:r>
    </w:p>
    <w:p w:rsidR="00CA3B52" w:rsidRPr="00CB6CBA" w:rsidRDefault="00CA3B52" w:rsidP="00CA3B52">
      <w:pPr>
        <w:pStyle w:val="Heading3"/>
        <w:rPr>
          <w:lang w:val="en-US"/>
        </w:rPr>
      </w:pPr>
      <w:bookmarkStart w:id="1718" w:name="_Toc497033226"/>
      <w:bookmarkStart w:id="1719" w:name="_Toc497034024"/>
      <w:bookmarkStart w:id="1720" w:name="_Toc289868868"/>
      <w:bookmarkStart w:id="1721" w:name="_Toc289869028"/>
      <w:bookmarkStart w:id="1722" w:name="_Toc289932335"/>
      <w:bookmarkStart w:id="1723" w:name="_Toc289933381"/>
      <w:bookmarkStart w:id="1724" w:name="_Toc291852944"/>
      <w:bookmarkStart w:id="1725" w:name="_Toc392515928"/>
      <w:r w:rsidRPr="00CB6CBA">
        <w:rPr>
          <w:lang w:val="en-US"/>
        </w:rPr>
        <w:lastRenderedPageBreak/>
        <w:t>5.2.7</w:t>
      </w:r>
      <w:r w:rsidRPr="00CB6CBA">
        <w:rPr>
          <w:lang w:val="en-US"/>
        </w:rPr>
        <w:tab/>
        <w:t xml:space="preserve">The Russian Federation’s experience with </w:t>
      </w:r>
      <w:r>
        <w:rPr>
          <w:lang w:val="en-US"/>
        </w:rPr>
        <w:t xml:space="preserve">spectrum </w:t>
      </w:r>
      <w:r w:rsidRPr="00CB6CBA">
        <w:rPr>
          <w:lang w:val="en-US"/>
        </w:rPr>
        <w:t>fees</w:t>
      </w:r>
      <w:bookmarkEnd w:id="1698"/>
      <w:bookmarkEnd w:id="1699"/>
      <w:bookmarkEnd w:id="1700"/>
      <w:bookmarkEnd w:id="1701"/>
      <w:bookmarkEnd w:id="1702"/>
      <w:bookmarkEnd w:id="1718"/>
      <w:bookmarkEnd w:id="1719"/>
      <w:bookmarkEnd w:id="1720"/>
      <w:bookmarkEnd w:id="1721"/>
      <w:bookmarkEnd w:id="1722"/>
      <w:bookmarkEnd w:id="1723"/>
      <w:bookmarkEnd w:id="1724"/>
      <w:bookmarkEnd w:id="1725"/>
    </w:p>
    <w:p w:rsidR="00CA3B52" w:rsidRPr="00403357" w:rsidRDefault="00CA3B52" w:rsidP="00CA3B52">
      <w:pPr>
        <w:pStyle w:val="Headingb"/>
        <w:rPr>
          <w:lang w:val="en-US"/>
        </w:rPr>
      </w:pPr>
      <w:bookmarkStart w:id="1726" w:name="dsgno"/>
      <w:bookmarkStart w:id="1727" w:name="_Toc456492162"/>
      <w:bookmarkStart w:id="1728" w:name="_Toc458355746"/>
      <w:bookmarkStart w:id="1729" w:name="_Toc459746766"/>
      <w:bookmarkStart w:id="1730" w:name="_Toc459792676"/>
      <w:bookmarkStart w:id="1731" w:name="_Toc459793840"/>
      <w:bookmarkStart w:id="1732" w:name="_Toc459793982"/>
      <w:bookmarkStart w:id="1733" w:name="_Toc459970439"/>
      <w:bookmarkStart w:id="1734" w:name="_Toc497033227"/>
      <w:bookmarkStart w:id="1735" w:name="_Toc497034025"/>
      <w:bookmarkStart w:id="1736" w:name="_Toc289868869"/>
      <w:bookmarkStart w:id="1737" w:name="_Toc289869029"/>
      <w:bookmarkStart w:id="1738" w:name="_Toc289932336"/>
      <w:bookmarkStart w:id="1739" w:name="_Toc289933382"/>
      <w:bookmarkStart w:id="1740" w:name="_Toc291852945"/>
      <w:bookmarkEnd w:id="1726"/>
      <w:r w:rsidRPr="00F77E09">
        <w:rPr>
          <w:lang w:val="en-US"/>
        </w:rPr>
        <w:t>Introduction</w:t>
      </w:r>
    </w:p>
    <w:p w:rsidR="00CA3B52" w:rsidRPr="00E71178" w:rsidRDefault="00CA3B52" w:rsidP="00D2341F">
      <w:pPr>
        <w:rPr>
          <w:lang w:val="en-US"/>
        </w:rPr>
      </w:pPr>
      <w:r>
        <w:rPr>
          <w:lang w:val="en-US"/>
        </w:rPr>
        <w:t>1)</w:t>
      </w:r>
      <w:r>
        <w:rPr>
          <w:lang w:val="en-US"/>
        </w:rPr>
        <w:tab/>
      </w:r>
      <w:r w:rsidRPr="00E71178">
        <w:rPr>
          <w:lang w:val="en-US"/>
        </w:rPr>
        <w:t xml:space="preserve">In June, 2011 the Ministry of Communications and Mass Media of the Russian Federation adopted </w:t>
      </w:r>
      <w:r w:rsidR="00D2341F">
        <w:rPr>
          <w:lang w:val="en-US"/>
        </w:rPr>
        <w:t xml:space="preserve">a </w:t>
      </w:r>
      <w:r w:rsidRPr="00E71178">
        <w:rPr>
          <w:lang w:val="en-US"/>
        </w:rPr>
        <w:t xml:space="preserve">new methodology for </w:t>
      </w:r>
      <w:r w:rsidR="00D2341F">
        <w:rPr>
          <w:lang w:val="en-US"/>
        </w:rPr>
        <w:t xml:space="preserve">the </w:t>
      </w:r>
      <w:r w:rsidRPr="00E71178">
        <w:rPr>
          <w:lang w:val="en-US"/>
        </w:rPr>
        <w:t>calculation of one</w:t>
      </w:r>
      <w:r>
        <w:rPr>
          <w:rFonts w:hint="eastAsia"/>
          <w:lang w:val="en-US" w:eastAsia="ko-KR"/>
        </w:rPr>
        <w:t>-</w:t>
      </w:r>
      <w:r w:rsidRPr="00E71178">
        <w:rPr>
          <w:lang w:val="en-US"/>
        </w:rPr>
        <w:t>time payment and annual fee for usage of the frequency spectrum in the Russian Federation.</w:t>
      </w:r>
    </w:p>
    <w:p w:rsidR="00CA3B52" w:rsidRPr="00E71178" w:rsidRDefault="00CA3B52" w:rsidP="00D2341F">
      <w:pPr>
        <w:rPr>
          <w:lang w:val="en-US"/>
        </w:rPr>
      </w:pPr>
      <w:r>
        <w:rPr>
          <w:lang w:val="en-US"/>
        </w:rPr>
        <w:t>2)</w:t>
      </w:r>
      <w:r>
        <w:rPr>
          <w:lang w:val="en-US"/>
        </w:rPr>
        <w:tab/>
      </w:r>
      <w:r w:rsidRPr="00E71178">
        <w:rPr>
          <w:lang w:val="en-US"/>
        </w:rPr>
        <w:t xml:space="preserve">The methodology includes calculation of rates and coefficients depending on used </w:t>
      </w:r>
      <w:r w:rsidRPr="00DA4FFA">
        <w:rPr>
          <w:lang w:val="en-US"/>
        </w:rPr>
        <w:t xml:space="preserve">frequency </w:t>
      </w:r>
      <w:r w:rsidRPr="00E71178">
        <w:rPr>
          <w:lang w:val="en-US"/>
        </w:rPr>
        <w:t>bands, number of radio frequencies (radio channels) and applicable technologies.</w:t>
      </w:r>
    </w:p>
    <w:p w:rsidR="00CA3B52" w:rsidRPr="00E71178" w:rsidRDefault="00CA3B52" w:rsidP="00D2341F">
      <w:pPr>
        <w:rPr>
          <w:lang w:val="en-US"/>
        </w:rPr>
      </w:pPr>
      <w:r>
        <w:rPr>
          <w:lang w:val="en-US"/>
        </w:rPr>
        <w:t>3)</w:t>
      </w:r>
      <w:r>
        <w:rPr>
          <w:lang w:val="en-US"/>
        </w:rPr>
        <w:tab/>
      </w:r>
      <w:r w:rsidRPr="00E71178">
        <w:rPr>
          <w:lang w:val="en-US"/>
        </w:rPr>
        <w:t>The number of radio frequencies (radio channels) is calculated per each authorization for the utilization of radio frequency (radio channel).</w:t>
      </w:r>
    </w:p>
    <w:p w:rsidR="00CA3B52" w:rsidRPr="00765253" w:rsidRDefault="00CA3B52" w:rsidP="00CA3B52">
      <w:pPr>
        <w:pStyle w:val="Headingb"/>
        <w:rPr>
          <w:lang w:val="en-GB"/>
        </w:rPr>
      </w:pPr>
      <w:r w:rsidRPr="00765253">
        <w:rPr>
          <w:lang w:val="en-GB"/>
        </w:rPr>
        <w:t xml:space="preserve">Calculation of one-time </w:t>
      </w:r>
      <w:r w:rsidRPr="00F77E09">
        <w:rPr>
          <w:lang w:val="en-US"/>
        </w:rPr>
        <w:t>payment</w:t>
      </w:r>
    </w:p>
    <w:p w:rsidR="00CA3B52" w:rsidRPr="0082670C" w:rsidRDefault="00CA3B52" w:rsidP="00CA3B52">
      <w:pPr>
        <w:rPr>
          <w:lang w:val="en-US"/>
        </w:rPr>
      </w:pPr>
      <w:r>
        <w:rPr>
          <w:lang w:val="en-US"/>
        </w:rPr>
        <w:t>4)</w:t>
      </w:r>
      <w:r>
        <w:rPr>
          <w:lang w:val="en-US"/>
        </w:rPr>
        <w:tab/>
      </w:r>
      <w:r w:rsidRPr="00E71178">
        <w:rPr>
          <w:lang w:val="en-US"/>
        </w:rPr>
        <w:t>Total one</w:t>
      </w:r>
      <w:r>
        <w:rPr>
          <w:lang w:val="en-US"/>
        </w:rPr>
        <w:noBreakHyphen/>
      </w:r>
      <w:r w:rsidRPr="00E71178">
        <w:rPr>
          <w:lang w:val="en-US"/>
        </w:rPr>
        <w:t>time payment is set for each granted authorization, and calculated using the following formula:</w:t>
      </w:r>
    </w:p>
    <w:p w:rsidR="00CA3B52" w:rsidRDefault="00CA3B52" w:rsidP="00CA3B52">
      <w:pPr>
        <w:pStyle w:val="Equation"/>
        <w:rPr>
          <w:lang w:val="en-US"/>
        </w:rPr>
      </w:pPr>
      <w:r>
        <w:rPr>
          <w:lang w:val="en-US"/>
        </w:rPr>
        <w:tab/>
      </w:r>
      <w:r>
        <w:rPr>
          <w:lang w:val="en-US"/>
        </w:rPr>
        <w:tab/>
      </w:r>
      <w:r w:rsidRPr="00AD125A">
        <w:rPr>
          <w:position w:val="-14"/>
          <w:lang w:val="en-US"/>
        </w:rPr>
        <w:object w:dxaOrig="2740" w:dyaOrig="380">
          <v:shape id="_x0000_i1124" type="#_x0000_t75" style="width:146.35pt;height:21.05pt" o:ole="">
            <v:imagedata r:id="rId219" o:title=""/>
          </v:shape>
          <o:OLEObject Type="Embed" ProgID="Equation.3" ShapeID="_x0000_i1124" DrawAspect="Content" ObjectID="_1511604913" r:id="rId220"/>
        </w:object>
      </w:r>
      <w:r w:rsidRPr="00CB6CBA">
        <w:rPr>
          <w:lang w:val="en-US"/>
        </w:rPr>
        <w:tab/>
        <w:t>(</w:t>
      </w:r>
      <w:r w:rsidRPr="0024702C">
        <w:rPr>
          <w:lang w:val="en-US"/>
        </w:rPr>
        <w:t>6</w:t>
      </w:r>
      <w:r>
        <w:rPr>
          <w:lang w:val="en-US"/>
        </w:rPr>
        <w:t>1</w:t>
      </w:r>
      <w:r w:rsidRPr="00CB6CBA">
        <w:rPr>
          <w:lang w:val="en-US"/>
        </w:rPr>
        <w:t>)</w:t>
      </w:r>
    </w:p>
    <w:p w:rsidR="00CA3B52" w:rsidRPr="00DA4FFA" w:rsidRDefault="00CA3B52" w:rsidP="00CA3B52">
      <w:pPr>
        <w:rPr>
          <w:lang w:val="en-US"/>
        </w:rPr>
      </w:pPr>
      <w:r>
        <w:rPr>
          <w:lang w:val="en-US"/>
        </w:rPr>
        <w:t>where:</w:t>
      </w:r>
    </w:p>
    <w:p w:rsidR="00CA3B52" w:rsidRPr="00DA4FFA" w:rsidRDefault="00CA3B52" w:rsidP="00CA3B52">
      <w:pPr>
        <w:pStyle w:val="Equationlegend"/>
      </w:pPr>
      <w:r>
        <w:rPr>
          <w:i/>
        </w:rPr>
        <w:tab/>
      </w:r>
      <w:r w:rsidRPr="00DA4FFA">
        <w:rPr>
          <w:i/>
        </w:rPr>
        <w:t>P</w:t>
      </w:r>
      <w:r w:rsidRPr="00DA4FFA">
        <w:rPr>
          <w:i/>
          <w:vertAlign w:val="subscript"/>
        </w:rPr>
        <w:t>ot</w:t>
      </w:r>
      <w:r w:rsidRPr="00DA4FFA">
        <w:t xml:space="preserve"> </w:t>
      </w:r>
      <w:r>
        <w:t>:</w:t>
      </w:r>
      <w:r>
        <w:tab/>
      </w:r>
      <w:r w:rsidRPr="00DA4FFA">
        <w:t>total one</w:t>
      </w:r>
      <w:r>
        <w:rPr>
          <w:rFonts w:hint="eastAsia"/>
          <w:lang w:eastAsia="ko-KR"/>
        </w:rPr>
        <w:t>-</w:t>
      </w:r>
      <w:r w:rsidRPr="00DA4FFA">
        <w:t>time payment (roubl</w:t>
      </w:r>
      <w:r>
        <w:t>es</w:t>
      </w:r>
      <w:r w:rsidRPr="00DA4FFA">
        <w:t>)</w:t>
      </w:r>
    </w:p>
    <w:p w:rsidR="00CA3B52" w:rsidRPr="00DA4FFA" w:rsidRDefault="00CA3B52" w:rsidP="00CA3B52">
      <w:pPr>
        <w:pStyle w:val="Equationlegend"/>
      </w:pPr>
      <w:r>
        <w:rPr>
          <w:i/>
        </w:rPr>
        <w:tab/>
      </w:r>
      <w:r w:rsidRPr="00DA4FFA">
        <w:rPr>
          <w:i/>
        </w:rPr>
        <w:t>R</w:t>
      </w:r>
      <w:r w:rsidRPr="00DA4FFA">
        <w:rPr>
          <w:i/>
          <w:vertAlign w:val="subscript"/>
        </w:rPr>
        <w:t>ot</w:t>
      </w:r>
      <w:r w:rsidRPr="00DA4FFA">
        <w:t xml:space="preserve"> </w:t>
      </w:r>
      <w:r>
        <w:t>:</w:t>
      </w:r>
      <w:r>
        <w:tab/>
      </w:r>
      <w:r w:rsidRPr="00DA4FFA">
        <w:t>rate of tariff for one</w:t>
      </w:r>
      <w:r>
        <w:rPr>
          <w:rFonts w:hint="eastAsia"/>
          <w:lang w:eastAsia="ko-KR"/>
        </w:rPr>
        <w:t>-</w:t>
      </w:r>
      <w:r w:rsidRPr="00DA4FFA">
        <w:t>time payment (roubl</w:t>
      </w:r>
      <w:r>
        <w:t>es</w:t>
      </w:r>
      <w:r w:rsidRPr="00DA4FFA">
        <w:t>)</w:t>
      </w:r>
    </w:p>
    <w:p w:rsidR="00CA3B52" w:rsidRPr="00DA4FFA" w:rsidRDefault="00CA3B52" w:rsidP="00CA3B52">
      <w:pPr>
        <w:pStyle w:val="Equationlegend"/>
      </w:pPr>
      <w:r>
        <w:rPr>
          <w:i/>
        </w:rPr>
        <w:tab/>
      </w:r>
      <w:r w:rsidRPr="00DA4FFA">
        <w:rPr>
          <w:i/>
        </w:rPr>
        <w:t>K</w:t>
      </w:r>
      <w:r w:rsidRPr="00DA4FFA">
        <w:rPr>
          <w:i/>
          <w:vertAlign w:val="subscript"/>
        </w:rPr>
        <w:t>band</w:t>
      </w:r>
      <w:r w:rsidRPr="00DA4FFA">
        <w:t xml:space="preserve"> </w:t>
      </w:r>
      <w:r>
        <w:t>:</w:t>
      </w:r>
      <w:r>
        <w:tab/>
      </w:r>
      <w:r w:rsidRPr="00DA4FFA">
        <w:t>coefficient depending on used frequency band</w:t>
      </w:r>
    </w:p>
    <w:p w:rsidR="00CA3B52" w:rsidRPr="00DA4FFA" w:rsidRDefault="00CA3B52" w:rsidP="00CA3B52">
      <w:pPr>
        <w:pStyle w:val="Equationlegend"/>
      </w:pPr>
      <w:r>
        <w:rPr>
          <w:i/>
        </w:rPr>
        <w:tab/>
      </w:r>
      <w:r w:rsidRPr="00DA4FFA">
        <w:rPr>
          <w:i/>
        </w:rPr>
        <w:t>K</w:t>
      </w:r>
      <w:r w:rsidRPr="00451AE4">
        <w:rPr>
          <w:i/>
          <w:vertAlign w:val="subscript"/>
        </w:rPr>
        <w:t>N</w:t>
      </w:r>
      <w:r w:rsidRPr="00DA4FFA">
        <w:rPr>
          <w:i/>
          <w:vertAlign w:val="subscript"/>
        </w:rPr>
        <w:t>f</w:t>
      </w:r>
      <w:r w:rsidRPr="00DA4FFA">
        <w:t xml:space="preserve"> </w:t>
      </w:r>
      <w:r>
        <w:t xml:space="preserve"> :</w:t>
      </w:r>
      <w:r>
        <w:tab/>
      </w:r>
      <w:r w:rsidRPr="00DA4FFA">
        <w:t>coefficient depending on number of used radio frequencies (radio channels)</w:t>
      </w:r>
    </w:p>
    <w:p w:rsidR="00CA3B52" w:rsidRPr="00FF6E3A" w:rsidRDefault="00CA3B52" w:rsidP="00CA3B52">
      <w:pPr>
        <w:pStyle w:val="Equationlegend"/>
      </w:pPr>
      <w:r>
        <w:rPr>
          <w:i/>
        </w:rPr>
        <w:tab/>
      </w:r>
      <w:r w:rsidRPr="00DA4FFA">
        <w:rPr>
          <w:i/>
        </w:rPr>
        <w:t>K</w:t>
      </w:r>
      <w:r w:rsidRPr="00DA4FFA">
        <w:rPr>
          <w:i/>
          <w:vertAlign w:val="subscript"/>
        </w:rPr>
        <w:t>tech</w:t>
      </w:r>
      <w:r w:rsidRPr="00DA4FFA">
        <w:t xml:space="preserve"> </w:t>
      </w:r>
      <w:r>
        <w:t>:</w:t>
      </w:r>
      <w:r>
        <w:tab/>
      </w:r>
      <w:r w:rsidRPr="00DA4FFA">
        <w:t>coefficient depending on applicable technology.</w:t>
      </w:r>
    </w:p>
    <w:p w:rsidR="00CA3B52" w:rsidRDefault="00CA3B52" w:rsidP="00CA3B52">
      <w:pPr>
        <w:rPr>
          <w:lang w:val="en-US"/>
        </w:rPr>
      </w:pPr>
      <w:r w:rsidRPr="0088224A">
        <w:rPr>
          <w:lang w:val="en-US"/>
        </w:rPr>
        <w:t>The coefficients are applied per each radio frequency (radio channel) and/or frequency bandwidth.</w:t>
      </w:r>
    </w:p>
    <w:p w:rsidR="00CA3B52" w:rsidRDefault="00CA3B52" w:rsidP="00CA3B52">
      <w:pPr>
        <w:pStyle w:val="Headingb"/>
        <w:rPr>
          <w:lang w:val="en-US"/>
        </w:rPr>
      </w:pPr>
      <w:r w:rsidRPr="006370BE">
        <w:rPr>
          <w:lang w:val="en-US"/>
        </w:rPr>
        <w:t>Calculation of annual fee</w:t>
      </w:r>
    </w:p>
    <w:p w:rsidR="00CA3B52" w:rsidRPr="0088224A" w:rsidRDefault="00CA3B52" w:rsidP="00CA3B52">
      <w:pPr>
        <w:rPr>
          <w:lang w:val="en-US"/>
        </w:rPr>
      </w:pPr>
      <w:r>
        <w:rPr>
          <w:lang w:val="en-US"/>
        </w:rPr>
        <w:t>5)</w:t>
      </w:r>
      <w:r>
        <w:rPr>
          <w:lang w:val="en-US"/>
        </w:rPr>
        <w:tab/>
      </w:r>
      <w:r w:rsidRPr="0088224A">
        <w:rPr>
          <w:lang w:val="en-US"/>
        </w:rPr>
        <w:t>Annual fee is set for each authorization and calculated using the following formula:</w:t>
      </w:r>
    </w:p>
    <w:p w:rsidR="00CA3B52" w:rsidRPr="0088224A" w:rsidRDefault="00CA3B52" w:rsidP="00CA3B52">
      <w:pPr>
        <w:pStyle w:val="Equation"/>
        <w:rPr>
          <w:sz w:val="26"/>
          <w:szCs w:val="26"/>
          <w:lang w:val="en-US"/>
        </w:rPr>
      </w:pPr>
      <w:r>
        <w:rPr>
          <w:lang w:val="en-US"/>
        </w:rPr>
        <w:tab/>
      </w:r>
      <w:r>
        <w:rPr>
          <w:lang w:val="en-US"/>
        </w:rPr>
        <w:tab/>
      </w:r>
      <w:r w:rsidRPr="00665716">
        <w:rPr>
          <w:position w:val="-28"/>
          <w:lang w:val="en-US"/>
        </w:rPr>
        <w:object w:dxaOrig="1219" w:dyaOrig="680">
          <v:shape id="_x0000_i1125" type="#_x0000_t75" style="width:1in;height:39.75pt" o:ole="">
            <v:imagedata r:id="rId221" o:title=""/>
          </v:shape>
          <o:OLEObject Type="Embed" ProgID="Equation.3" ShapeID="_x0000_i1125" DrawAspect="Content" ObjectID="_1511604914" r:id="rId222"/>
        </w:object>
      </w:r>
      <w:r w:rsidRPr="00CB6CBA">
        <w:rPr>
          <w:lang w:val="en-US"/>
        </w:rPr>
        <w:tab/>
        <w:t>(</w:t>
      </w:r>
      <w:r w:rsidRPr="0024702C">
        <w:rPr>
          <w:lang w:val="en-US"/>
        </w:rPr>
        <w:t>6</w:t>
      </w:r>
      <w:r>
        <w:rPr>
          <w:lang w:val="en-US"/>
        </w:rPr>
        <w:t>2</w:t>
      </w:r>
      <w:r w:rsidRPr="00CB6CBA">
        <w:rPr>
          <w:lang w:val="en-US"/>
        </w:rPr>
        <w:t>)</w:t>
      </w:r>
    </w:p>
    <w:p w:rsidR="000A20B7" w:rsidRPr="00731021" w:rsidRDefault="000A20B7" w:rsidP="000A20B7">
      <w:pPr>
        <w:rPr>
          <w:i/>
          <w:lang w:val="en-US"/>
        </w:rPr>
      </w:pPr>
      <w:r>
        <w:rPr>
          <w:lang w:val="en-US"/>
        </w:rPr>
        <w:t>where:</w:t>
      </w:r>
    </w:p>
    <w:p w:rsidR="00CA3B52" w:rsidRDefault="00CA3B52" w:rsidP="00D2341F">
      <w:pPr>
        <w:pStyle w:val="Equation"/>
        <w:rPr>
          <w:lang w:val="en-US"/>
        </w:rPr>
      </w:pPr>
      <w:r>
        <w:rPr>
          <w:lang w:val="en-US"/>
        </w:rPr>
        <w:tab/>
      </w:r>
      <w:r>
        <w:rPr>
          <w:lang w:val="en-US"/>
        </w:rPr>
        <w:tab/>
      </w:r>
      <w:r w:rsidR="00D2341F" w:rsidRPr="00D2341F">
        <w:rPr>
          <w:position w:val="-16"/>
          <w:lang w:val="en-US"/>
        </w:rPr>
        <w:object w:dxaOrig="4880" w:dyaOrig="460">
          <v:shape id="_x0000_i1126" type="#_x0000_t75" style="width:273.5pt;height:27.6pt" o:ole="">
            <v:imagedata r:id="rId223" o:title=""/>
          </v:shape>
          <o:OLEObject Type="Embed" ProgID="Equation.3" ShapeID="_x0000_i1126" DrawAspect="Content" ObjectID="_1511604915" r:id="rId224"/>
        </w:object>
      </w:r>
    </w:p>
    <w:p w:rsidR="000A20B7" w:rsidRPr="00731021" w:rsidRDefault="000A20B7" w:rsidP="000A20B7">
      <w:pPr>
        <w:rPr>
          <w:i/>
          <w:lang w:val="en-US"/>
        </w:rPr>
      </w:pPr>
      <w:r>
        <w:rPr>
          <w:lang w:val="en-US"/>
        </w:rPr>
        <w:t>where:</w:t>
      </w:r>
    </w:p>
    <w:p w:rsidR="00CA3B52" w:rsidRPr="00CB2991" w:rsidRDefault="00CA3B52" w:rsidP="002443A1">
      <w:pPr>
        <w:pStyle w:val="Equationlegend"/>
      </w:pPr>
      <w:r>
        <w:rPr>
          <w:i/>
        </w:rPr>
        <w:tab/>
      </w:r>
      <w:r w:rsidRPr="00CB2991">
        <w:rPr>
          <w:i/>
        </w:rPr>
        <w:t>P</w:t>
      </w:r>
      <w:r w:rsidRPr="00CB2991">
        <w:rPr>
          <w:i/>
          <w:vertAlign w:val="subscript"/>
        </w:rPr>
        <w:t>a</w:t>
      </w:r>
      <w:r w:rsidRPr="00CB2991">
        <w:t xml:space="preserve"> </w:t>
      </w:r>
      <w:r>
        <w:t>:</w:t>
      </w:r>
      <w:r w:rsidRPr="00CB2991">
        <w:tab/>
        <w:t>annual fee (rouble</w:t>
      </w:r>
      <w:r>
        <w:t>s</w:t>
      </w:r>
      <w:r w:rsidR="008A6D5C">
        <w:t>)</w:t>
      </w:r>
    </w:p>
    <w:p w:rsidR="00CA3B52" w:rsidRPr="00CB2991" w:rsidRDefault="00CA3B52" w:rsidP="00CA3B52">
      <w:pPr>
        <w:pStyle w:val="Equationlegend"/>
      </w:pPr>
      <w:r>
        <w:rPr>
          <w:i/>
        </w:rPr>
        <w:tab/>
      </w:r>
      <w:r w:rsidRPr="00CB2991">
        <w:rPr>
          <w:i/>
        </w:rPr>
        <w:t>P</w:t>
      </w:r>
      <w:r w:rsidRPr="00CB2991">
        <w:rPr>
          <w:i/>
          <w:vertAlign w:val="subscript"/>
        </w:rPr>
        <w:t>a(q)</w:t>
      </w:r>
      <w:r w:rsidRPr="00CB2991">
        <w:t xml:space="preserve"> </w:t>
      </w:r>
      <w:r>
        <w:t>:</w:t>
      </w:r>
      <w:r w:rsidR="002443A1">
        <w:tab/>
        <w:t>annual fee per quarter</w:t>
      </w:r>
      <w:r w:rsidRPr="00CB2991">
        <w:t xml:space="preserve"> (rouble</w:t>
      </w:r>
      <w:r>
        <w:t>s</w:t>
      </w:r>
      <w:r w:rsidR="008A6D5C">
        <w:t>)</w:t>
      </w:r>
    </w:p>
    <w:p w:rsidR="00CA3B52" w:rsidRPr="00CB2991" w:rsidRDefault="00CA3B52" w:rsidP="00CA3B52">
      <w:pPr>
        <w:pStyle w:val="Equationlegend"/>
      </w:pPr>
      <w:r>
        <w:rPr>
          <w:i/>
        </w:rPr>
        <w:tab/>
      </w:r>
      <w:r w:rsidRPr="00CB2991">
        <w:rPr>
          <w:i/>
        </w:rPr>
        <w:t>R</w:t>
      </w:r>
      <w:r w:rsidRPr="00CB2991">
        <w:rPr>
          <w:i/>
          <w:vertAlign w:val="subscript"/>
        </w:rPr>
        <w:t>a</w:t>
      </w:r>
      <w:r w:rsidRPr="00CB2991">
        <w:t xml:space="preserve"> </w:t>
      </w:r>
      <w:r>
        <w:t>:</w:t>
      </w:r>
      <w:r w:rsidRPr="00CB2991">
        <w:tab/>
        <w:t>rate of annual fee (rouble</w:t>
      </w:r>
      <w:r>
        <w:t>s</w:t>
      </w:r>
      <w:r w:rsidR="008A6D5C">
        <w:t>)</w:t>
      </w:r>
    </w:p>
    <w:p w:rsidR="00CA3B52" w:rsidRPr="00CB2991" w:rsidRDefault="00CA3B52" w:rsidP="00CA3B52">
      <w:pPr>
        <w:pStyle w:val="Equationlegend"/>
      </w:pPr>
      <w:r>
        <w:rPr>
          <w:i/>
        </w:rPr>
        <w:tab/>
      </w:r>
      <w:r w:rsidRPr="00CB2991">
        <w:rPr>
          <w:i/>
        </w:rPr>
        <w:t>K</w:t>
      </w:r>
      <w:r w:rsidRPr="00CB2991">
        <w:rPr>
          <w:i/>
          <w:vertAlign w:val="subscript"/>
        </w:rPr>
        <w:t>band</w:t>
      </w:r>
      <w:r w:rsidRPr="00CB2991">
        <w:t xml:space="preserve"> </w:t>
      </w:r>
      <w:r>
        <w:t>:</w:t>
      </w:r>
      <w:r w:rsidRPr="00CB2991">
        <w:tab/>
      </w:r>
      <w:r>
        <w:tab/>
      </w:r>
      <w:r w:rsidRPr="00CB2991">
        <w:t>coefficient d</w:t>
      </w:r>
      <w:r w:rsidR="008A6D5C">
        <w:t>epending on used frequency band</w:t>
      </w:r>
    </w:p>
    <w:p w:rsidR="00CA3B52" w:rsidRPr="00CB2991" w:rsidRDefault="00CA3B52" w:rsidP="00CA3B52">
      <w:pPr>
        <w:pStyle w:val="Equationlegend"/>
      </w:pPr>
      <w:r>
        <w:rPr>
          <w:i/>
        </w:rPr>
        <w:tab/>
      </w:r>
      <w:r w:rsidRPr="00CB2991">
        <w:rPr>
          <w:i/>
        </w:rPr>
        <w:t>K</w:t>
      </w:r>
      <w:r w:rsidRPr="00CB2991">
        <w:rPr>
          <w:i/>
          <w:vertAlign w:val="subscript"/>
        </w:rPr>
        <w:t>Nf</w:t>
      </w:r>
      <w:r w:rsidRPr="00CB2991">
        <w:t xml:space="preserve">  </w:t>
      </w:r>
      <w:r>
        <w:t>:</w:t>
      </w:r>
      <w:r w:rsidRPr="00CB2991">
        <w:tab/>
        <w:t>coefficient depending on number of used radio freque</w:t>
      </w:r>
      <w:r w:rsidR="008A6D5C">
        <w:t>ncies (radio channels)</w:t>
      </w:r>
    </w:p>
    <w:p w:rsidR="00CA3B52" w:rsidRPr="00CB2991" w:rsidRDefault="00CA3B52" w:rsidP="00CA3B52">
      <w:pPr>
        <w:pStyle w:val="Equationlegend"/>
      </w:pPr>
      <w:r>
        <w:rPr>
          <w:i/>
        </w:rPr>
        <w:tab/>
      </w:r>
      <w:r w:rsidRPr="00CB2991">
        <w:rPr>
          <w:i/>
        </w:rPr>
        <w:t>K</w:t>
      </w:r>
      <w:r w:rsidRPr="00CB2991">
        <w:rPr>
          <w:i/>
          <w:vertAlign w:val="subscript"/>
        </w:rPr>
        <w:t>tech</w:t>
      </w:r>
      <w:r w:rsidRPr="00CB2991">
        <w:t xml:space="preserve"> </w:t>
      </w:r>
      <w:r>
        <w:t>:</w:t>
      </w:r>
      <w:r w:rsidRPr="00CB2991">
        <w:tab/>
        <w:t>coefficient dep</w:t>
      </w:r>
      <w:r w:rsidR="008A6D5C">
        <w:t>ending on applicable technology</w:t>
      </w:r>
    </w:p>
    <w:p w:rsidR="00CA3B52" w:rsidRPr="00CB2991" w:rsidRDefault="00CA3B52" w:rsidP="00CA3B52">
      <w:pPr>
        <w:pStyle w:val="Equationlegend"/>
      </w:pPr>
      <w:r>
        <w:rPr>
          <w:i/>
        </w:rPr>
        <w:tab/>
      </w:r>
      <w:r w:rsidRPr="00CB2991">
        <w:rPr>
          <w:i/>
        </w:rPr>
        <w:t>N</w:t>
      </w:r>
      <w:r w:rsidRPr="00CB2991">
        <w:rPr>
          <w:i/>
          <w:vertAlign w:val="subscript"/>
        </w:rPr>
        <w:t>auth(q)</w:t>
      </w:r>
      <w:r w:rsidRPr="00CB2991">
        <w:t xml:space="preserve"> </w:t>
      </w:r>
      <w:r>
        <w:t>:</w:t>
      </w:r>
      <w:r w:rsidRPr="00CB2991">
        <w:tab/>
        <w:t xml:space="preserve">number of authorization </w:t>
      </w:r>
      <w:r w:rsidR="002443A1">
        <w:t xml:space="preserve">of </w:t>
      </w:r>
      <w:r w:rsidRPr="00CB2991">
        <w:t>effe</w:t>
      </w:r>
      <w:r w:rsidR="008A6D5C">
        <w:t>ctive days in a payable quarter</w:t>
      </w:r>
    </w:p>
    <w:p w:rsidR="00CA3B52" w:rsidRPr="00CB2991" w:rsidRDefault="00CA3B52" w:rsidP="00CA3B52">
      <w:pPr>
        <w:pStyle w:val="Equationlegend"/>
      </w:pPr>
      <w:r>
        <w:rPr>
          <w:i/>
        </w:rPr>
        <w:tab/>
      </w:r>
      <w:r w:rsidRPr="00CB2991">
        <w:rPr>
          <w:i/>
        </w:rPr>
        <w:t>N</w:t>
      </w:r>
      <w:r w:rsidRPr="00CB2991">
        <w:rPr>
          <w:i/>
          <w:vertAlign w:val="subscript"/>
        </w:rPr>
        <w:t>q</w:t>
      </w:r>
      <w:r w:rsidRPr="00CB2991">
        <w:t xml:space="preserve"> </w:t>
      </w:r>
      <w:r>
        <w:t>:</w:t>
      </w:r>
      <w:r w:rsidRPr="00CB2991">
        <w:tab/>
        <w:t>number of days in a payable quarter.</w:t>
      </w:r>
    </w:p>
    <w:p w:rsidR="00CA3B52" w:rsidRDefault="00CA3B52" w:rsidP="00CA3B52">
      <w:pPr>
        <w:rPr>
          <w:lang w:val="en-US"/>
        </w:rPr>
      </w:pPr>
      <w:r w:rsidRPr="0088224A">
        <w:rPr>
          <w:lang w:val="en-US"/>
        </w:rPr>
        <w:t xml:space="preserve">The coefficients are applied per each radio frequency (radio channel) and/or frequency band. </w:t>
      </w:r>
    </w:p>
    <w:p w:rsidR="00CA3B52" w:rsidRPr="006370BE" w:rsidRDefault="00CA3B52" w:rsidP="00CA3B52">
      <w:pPr>
        <w:pStyle w:val="Headingb"/>
        <w:rPr>
          <w:szCs w:val="24"/>
          <w:lang w:val="en-US"/>
        </w:rPr>
      </w:pPr>
      <w:r w:rsidRPr="006370BE">
        <w:rPr>
          <w:szCs w:val="24"/>
          <w:lang w:val="en-US"/>
        </w:rPr>
        <w:lastRenderedPageBreak/>
        <w:t xml:space="preserve">Calculation of coefficient </w:t>
      </w:r>
      <w:r w:rsidRPr="0088224A">
        <w:rPr>
          <w:lang w:val="en-US"/>
        </w:rPr>
        <w:t xml:space="preserve">depending </w:t>
      </w:r>
      <w:r>
        <w:rPr>
          <w:lang w:val="en-US"/>
        </w:rPr>
        <w:t xml:space="preserve">on used </w:t>
      </w:r>
      <w:r w:rsidRPr="0088224A">
        <w:rPr>
          <w:lang w:val="en-US"/>
        </w:rPr>
        <w:t>frequency band</w:t>
      </w:r>
    </w:p>
    <w:p w:rsidR="00CA3B52" w:rsidRPr="0088224A" w:rsidRDefault="00CA3B52" w:rsidP="00CA3B52">
      <w:pPr>
        <w:keepNext/>
        <w:rPr>
          <w:lang w:val="en-US"/>
        </w:rPr>
      </w:pPr>
      <w:r>
        <w:rPr>
          <w:lang w:val="en-US"/>
        </w:rPr>
        <w:t>6)</w:t>
      </w:r>
      <w:r>
        <w:rPr>
          <w:lang w:val="en-US"/>
        </w:rPr>
        <w:tab/>
      </w:r>
      <w:r w:rsidRPr="0088224A">
        <w:rPr>
          <w:lang w:val="en-US"/>
        </w:rPr>
        <w:t>Coefficient depending on used frequency band is calculated using the following formula:</w:t>
      </w:r>
    </w:p>
    <w:p w:rsidR="00CA3B52" w:rsidRDefault="00CA3B52" w:rsidP="00EA09E6">
      <w:pPr>
        <w:pStyle w:val="Equation"/>
        <w:rPr>
          <w:lang w:val="en-US"/>
        </w:rPr>
      </w:pPr>
      <w:r w:rsidRPr="00F77E09">
        <w:rPr>
          <w:lang w:val="en-US"/>
        </w:rPr>
        <w:tab/>
      </w:r>
      <w:r w:rsidRPr="00F77E09">
        <w:rPr>
          <w:lang w:val="en-US"/>
        </w:rPr>
        <w:tab/>
      </w:r>
      <w:r w:rsidR="00EA09E6" w:rsidRPr="00EA09E6">
        <w:rPr>
          <w:position w:val="-14"/>
          <w:lang w:val="en-US"/>
        </w:rPr>
        <w:object w:dxaOrig="2100" w:dyaOrig="380">
          <v:shape id="_x0000_i1127" type="#_x0000_t75" style="width:105.2pt;height:18.7pt" o:ole="">
            <v:imagedata r:id="rId225" o:title=""/>
          </v:shape>
          <o:OLEObject Type="Embed" ProgID="Equation.3" ShapeID="_x0000_i1127" DrawAspect="Content" ObjectID="_1511604916" r:id="rId226"/>
        </w:object>
      </w:r>
      <w:r w:rsidRPr="00CB6CBA">
        <w:rPr>
          <w:lang w:val="en-US"/>
        </w:rPr>
        <w:tab/>
        <w:t>(</w:t>
      </w:r>
      <w:r w:rsidRPr="0024702C">
        <w:rPr>
          <w:lang w:val="en-US"/>
        </w:rPr>
        <w:t>6</w:t>
      </w:r>
      <w:r>
        <w:rPr>
          <w:lang w:val="en-US"/>
        </w:rPr>
        <w:t>3</w:t>
      </w:r>
      <w:r w:rsidRPr="00CB6CBA">
        <w:rPr>
          <w:lang w:val="en-US"/>
        </w:rPr>
        <w:t>)</w:t>
      </w:r>
    </w:p>
    <w:p w:rsidR="00CA3B52" w:rsidRPr="0088224A" w:rsidRDefault="00CA3B52" w:rsidP="00CA3B52">
      <w:pPr>
        <w:pStyle w:val="Equation"/>
        <w:rPr>
          <w:lang w:val="en-US"/>
        </w:rPr>
      </w:pPr>
      <w:r>
        <w:rPr>
          <w:lang w:val="en-US"/>
        </w:rPr>
        <w:t>where:</w:t>
      </w:r>
    </w:p>
    <w:p w:rsidR="00CA3B52" w:rsidRPr="00CB2991" w:rsidRDefault="00CA3B52" w:rsidP="00CA3B52">
      <w:pPr>
        <w:pStyle w:val="Equationlegend"/>
      </w:pPr>
      <w:r>
        <w:rPr>
          <w:i/>
        </w:rPr>
        <w:tab/>
      </w:r>
      <w:r w:rsidRPr="00CB2991">
        <w:rPr>
          <w:i/>
        </w:rPr>
        <w:t>K</w:t>
      </w:r>
      <w:r w:rsidRPr="00BD4C8D">
        <w:rPr>
          <w:i/>
          <w:vertAlign w:val="subscript"/>
        </w:rPr>
        <w:t>FB</w:t>
      </w:r>
      <w:r w:rsidRPr="00CB2991">
        <w:t xml:space="preserve"> </w:t>
      </w:r>
      <w:r>
        <w:t>:</w:t>
      </w:r>
      <w:r w:rsidRPr="00CB2991">
        <w:tab/>
        <w:t>coefficient depending on frequency b</w:t>
      </w:r>
      <w:r w:rsidR="0041198C">
        <w:t>and</w:t>
      </w:r>
    </w:p>
    <w:p w:rsidR="00CA3B52" w:rsidRDefault="00CA3B52" w:rsidP="00CA3B52">
      <w:pPr>
        <w:pStyle w:val="Equationlegend"/>
      </w:pPr>
      <w:r>
        <w:rPr>
          <w:i/>
        </w:rPr>
        <w:tab/>
      </w:r>
      <w:r w:rsidRPr="00CB2991">
        <w:rPr>
          <w:i/>
        </w:rPr>
        <w:t>K</w:t>
      </w:r>
      <w:r w:rsidRPr="00913D41">
        <w:rPr>
          <w:i/>
          <w:vertAlign w:val="subscript"/>
        </w:rPr>
        <w:t>categ</w:t>
      </w:r>
      <w:r w:rsidRPr="00CB2991">
        <w:t xml:space="preserve"> </w:t>
      </w:r>
      <w:r>
        <w:t>:</w:t>
      </w:r>
      <w:r w:rsidRPr="00CB2991">
        <w:tab/>
        <w:t>coefficient depending on category of used frequency band.</w:t>
      </w:r>
    </w:p>
    <w:p w:rsidR="00CA3B52" w:rsidRPr="00E2159D" w:rsidRDefault="00CA3B52" w:rsidP="00CA3B52">
      <w:pPr>
        <w:pStyle w:val="Headingb"/>
        <w:rPr>
          <w:lang w:val="en-US"/>
        </w:rPr>
      </w:pPr>
      <w:r w:rsidRPr="00E2159D">
        <w:rPr>
          <w:lang w:val="en-US"/>
        </w:rPr>
        <w:t xml:space="preserve">Calculation of coefficient depending on the number of </w:t>
      </w:r>
      <w:r w:rsidRPr="00831256">
        <w:rPr>
          <w:lang w:val="en-US"/>
        </w:rPr>
        <w:t>used</w:t>
      </w:r>
      <w:r w:rsidRPr="00E2159D">
        <w:rPr>
          <w:lang w:val="en-US"/>
        </w:rPr>
        <w:t xml:space="preserve"> radio frequencies</w:t>
      </w:r>
    </w:p>
    <w:p w:rsidR="00CA3B52" w:rsidRPr="0088224A" w:rsidRDefault="00CA3B52" w:rsidP="00CA3B52">
      <w:pPr>
        <w:rPr>
          <w:lang w:val="en-US"/>
        </w:rPr>
      </w:pPr>
      <w:r>
        <w:rPr>
          <w:lang w:val="en-US"/>
        </w:rPr>
        <w:t>7)</w:t>
      </w:r>
      <w:r>
        <w:rPr>
          <w:lang w:val="en-US"/>
        </w:rPr>
        <w:tab/>
      </w:r>
      <w:r w:rsidRPr="0088224A">
        <w:rPr>
          <w:lang w:val="en-US"/>
        </w:rPr>
        <w:t>The coefficient depending on the number of used radio frequencies (radio channels) excluding earth stations of a satellite system (ESSS) and VSAT Hub (Central) stations is calculated using the following formula:</w:t>
      </w:r>
    </w:p>
    <w:p w:rsidR="00CA3B52" w:rsidRPr="00765253" w:rsidRDefault="00CA3B52" w:rsidP="00EA09E6">
      <w:pPr>
        <w:pStyle w:val="Equation"/>
        <w:rPr>
          <w:lang w:val="en-US"/>
        </w:rPr>
      </w:pPr>
      <w:r>
        <w:rPr>
          <w:lang w:val="en-US"/>
        </w:rPr>
        <w:tab/>
      </w:r>
      <w:r>
        <w:rPr>
          <w:lang w:val="en-US"/>
        </w:rPr>
        <w:tab/>
      </w:r>
      <w:r w:rsidR="00EA09E6" w:rsidRPr="00EA09E6">
        <w:rPr>
          <w:position w:val="-14"/>
          <w:lang w:val="en-US"/>
        </w:rPr>
        <w:object w:dxaOrig="1219" w:dyaOrig="400">
          <v:shape id="_x0000_i1128" type="#_x0000_t75" style="width:60.8pt;height:20.1pt" o:ole="">
            <v:imagedata r:id="rId227" o:title=""/>
          </v:shape>
          <o:OLEObject Type="Embed" ProgID="Equation.3" ShapeID="_x0000_i1128" DrawAspect="Content" ObjectID="_1511604917" r:id="rId228"/>
        </w:object>
      </w:r>
      <w:r w:rsidRPr="00CB6CBA">
        <w:rPr>
          <w:lang w:val="en-US"/>
        </w:rPr>
        <w:tab/>
        <w:t>(</w:t>
      </w:r>
      <w:r w:rsidRPr="0024702C">
        <w:rPr>
          <w:lang w:val="en-US"/>
        </w:rPr>
        <w:t>6</w:t>
      </w:r>
      <w:r>
        <w:rPr>
          <w:lang w:val="en-US"/>
        </w:rPr>
        <w:t>4</w:t>
      </w:r>
      <w:r w:rsidRPr="00CB6CBA">
        <w:rPr>
          <w:lang w:val="en-US"/>
        </w:rPr>
        <w:t>)</w:t>
      </w:r>
    </w:p>
    <w:p w:rsidR="00CA3B52" w:rsidRPr="0088224A" w:rsidRDefault="00CA3B52" w:rsidP="00CA3B52">
      <w:pPr>
        <w:pStyle w:val="Equation"/>
        <w:rPr>
          <w:sz w:val="26"/>
          <w:szCs w:val="26"/>
          <w:lang w:val="en-US"/>
        </w:rPr>
      </w:pPr>
      <w:r w:rsidRPr="00765253">
        <w:rPr>
          <w:lang w:val="en-US"/>
        </w:rPr>
        <w:t>where:</w:t>
      </w:r>
    </w:p>
    <w:p w:rsidR="00CA3B52" w:rsidRPr="00CB2991" w:rsidRDefault="00CA3B52" w:rsidP="00CA3B52">
      <w:pPr>
        <w:pStyle w:val="Equationlegend"/>
      </w:pPr>
      <w:r>
        <w:tab/>
      </w:r>
      <w:r w:rsidRPr="006257D7">
        <w:rPr>
          <w:i/>
          <w:iCs/>
        </w:rPr>
        <w:t>K</w:t>
      </w:r>
      <w:r w:rsidRPr="00CB2991">
        <w:rPr>
          <w:i/>
          <w:vertAlign w:val="subscript"/>
        </w:rPr>
        <w:t>Nf</w:t>
      </w:r>
      <w:r w:rsidRPr="00CB2991">
        <w:t xml:space="preserve">  </w:t>
      </w:r>
      <w:r>
        <w:t>:</w:t>
      </w:r>
      <w:r w:rsidRPr="00CB2991">
        <w:t xml:space="preserve"> </w:t>
      </w:r>
      <w:r w:rsidRPr="00CB2991">
        <w:tab/>
        <w:t>coefficient depending on number of used rad</w:t>
      </w:r>
      <w:r w:rsidR="002074F9">
        <w:t>io frequencies (radio channels)</w:t>
      </w:r>
    </w:p>
    <w:p w:rsidR="00CA3B52" w:rsidRPr="00CB2991" w:rsidRDefault="00CA3B52" w:rsidP="00CA3B52">
      <w:pPr>
        <w:pStyle w:val="Equationlegend"/>
      </w:pPr>
      <w:r>
        <w:rPr>
          <w:i/>
        </w:rPr>
        <w:tab/>
      </w:r>
      <w:r w:rsidRPr="00CB2991">
        <w:rPr>
          <w:i/>
        </w:rPr>
        <w:t>N</w:t>
      </w:r>
      <w:r w:rsidRPr="00CB2991">
        <w:t xml:space="preserve"> </w:t>
      </w:r>
      <w:r>
        <w:t>:</w:t>
      </w:r>
      <w:r w:rsidRPr="00CB2991">
        <w:t xml:space="preserve"> </w:t>
      </w:r>
      <w:r w:rsidRPr="00CB2991">
        <w:tab/>
        <w:t>number of used radio frequencies.</w:t>
      </w:r>
    </w:p>
    <w:p w:rsidR="00CA3B52" w:rsidRPr="0088224A" w:rsidRDefault="00CA3B52" w:rsidP="00CA3B52">
      <w:pPr>
        <w:pStyle w:val="Note"/>
        <w:rPr>
          <w:lang w:val="en-US"/>
        </w:rPr>
      </w:pPr>
      <w:r w:rsidRPr="00747556">
        <w:rPr>
          <w:bCs/>
          <w:lang w:val="en-US"/>
        </w:rPr>
        <w:t>NOTE</w:t>
      </w:r>
      <w:r>
        <w:rPr>
          <w:lang w:val="en-US"/>
        </w:rPr>
        <w:t xml:space="preserve"> – </w:t>
      </w:r>
      <w:r w:rsidRPr="0088224A">
        <w:rPr>
          <w:lang w:val="en-US"/>
        </w:rPr>
        <w:t xml:space="preserve">Number, </w:t>
      </w:r>
      <w:r w:rsidRPr="004F31EB">
        <w:rPr>
          <w:i/>
          <w:iCs/>
          <w:lang w:val="en-US"/>
        </w:rPr>
        <w:t>N</w:t>
      </w:r>
      <w:r w:rsidRPr="0088224A">
        <w:rPr>
          <w:lang w:val="en-US"/>
        </w:rPr>
        <w:t>, for TV transmitters and DECT system is calculated according to the number of used radio channels, while for radio relay stations and base (subscriber) stations of telephone radio extenders it is calculated according to the number of radio frequencies used by transmitters.</w:t>
      </w:r>
    </w:p>
    <w:p w:rsidR="00CA3B52" w:rsidRPr="0088224A" w:rsidRDefault="00CA3B52" w:rsidP="00CA3B52">
      <w:pPr>
        <w:rPr>
          <w:lang w:val="en-US"/>
        </w:rPr>
      </w:pPr>
      <w:r>
        <w:rPr>
          <w:lang w:val="en-US"/>
        </w:rPr>
        <w:t>8)</w:t>
      </w:r>
      <w:r>
        <w:rPr>
          <w:lang w:val="en-US"/>
        </w:rPr>
        <w:tab/>
      </w:r>
      <w:r w:rsidRPr="0088224A">
        <w:rPr>
          <w:lang w:val="en-US"/>
        </w:rPr>
        <w:t xml:space="preserve">The number, </w:t>
      </w:r>
      <w:r w:rsidRPr="006257D7">
        <w:rPr>
          <w:i/>
          <w:iCs/>
          <w:lang w:val="en-US"/>
        </w:rPr>
        <w:t>N</w:t>
      </w:r>
      <w:r w:rsidRPr="0088224A">
        <w:rPr>
          <w:lang w:val="en-US"/>
        </w:rPr>
        <w:t>, of used radio frequencies (radio channels) is calculated according to the authorization granted per each location (defined by geographical coordinates) by summing up the number of radio frequencies (radio channels) used to transmit and/or receive radio signals.</w:t>
      </w:r>
    </w:p>
    <w:p w:rsidR="00CA3B52" w:rsidRPr="0088224A" w:rsidRDefault="00CA3B52" w:rsidP="00CA3B52">
      <w:pPr>
        <w:rPr>
          <w:lang w:val="en-US"/>
        </w:rPr>
      </w:pPr>
      <w:r w:rsidRPr="0088224A">
        <w:rPr>
          <w:lang w:val="en-US"/>
        </w:rPr>
        <w:t xml:space="preserve">If receiver and/or transmitter use the same radio frequency, then number, </w:t>
      </w:r>
      <w:r w:rsidRPr="006257D7">
        <w:rPr>
          <w:i/>
          <w:iCs/>
          <w:lang w:val="en-US"/>
        </w:rPr>
        <w:t>N</w:t>
      </w:r>
      <w:r w:rsidRPr="0088224A">
        <w:rPr>
          <w:lang w:val="en-US"/>
        </w:rPr>
        <w:t>, for this radio frequency is assumed 1 for calculation of the coefficient depending on the number of used radio frequencies (radio channels).</w:t>
      </w:r>
    </w:p>
    <w:p w:rsidR="00CA3B52" w:rsidRPr="0088224A" w:rsidRDefault="00CA3B52" w:rsidP="00CA3B52">
      <w:pPr>
        <w:rPr>
          <w:lang w:val="en-US"/>
        </w:rPr>
      </w:pPr>
      <w:r w:rsidRPr="0088224A">
        <w:rPr>
          <w:lang w:val="en-US"/>
        </w:rPr>
        <w:t>In each authorization for each location (defined by geographical c</w:t>
      </w:r>
      <w:r>
        <w:rPr>
          <w:lang w:val="en-US"/>
        </w:rPr>
        <w:t>oordinates) only differing (non</w:t>
      </w:r>
      <w:r>
        <w:rPr>
          <w:lang w:val="en-US"/>
        </w:rPr>
        <w:noBreakHyphen/>
      </w:r>
      <w:r w:rsidRPr="0088224A">
        <w:rPr>
          <w:lang w:val="en-US"/>
        </w:rPr>
        <w:t>repeated) radio frequencies are used. Repeated radio frequencies in one or more sectors of one or more systems installed in the location, shall be taken into account only once if the authorization has no radio frequencies (radio channels) recommended for reassignment.</w:t>
      </w:r>
    </w:p>
    <w:p w:rsidR="00CA3B52" w:rsidRPr="0088224A" w:rsidRDefault="00CA3B52" w:rsidP="00CA3B52">
      <w:pPr>
        <w:rPr>
          <w:lang w:val="en-US"/>
        </w:rPr>
      </w:pPr>
      <w:r w:rsidRPr="0088224A">
        <w:rPr>
          <w:lang w:val="en-US"/>
        </w:rPr>
        <w:t>Radio frequencies (radio channels) recommended for reassignment are not considered in the calculation of fees on authorization.</w:t>
      </w:r>
    </w:p>
    <w:p w:rsidR="00CA3B52" w:rsidRPr="00EC2BF0" w:rsidRDefault="00CA3B52" w:rsidP="00CA3B52">
      <w:pPr>
        <w:rPr>
          <w:lang w:val="en-US"/>
        </w:rPr>
      </w:pPr>
      <w:r w:rsidRPr="00EC2BF0">
        <w:rPr>
          <w:lang w:val="en-US"/>
        </w:rPr>
        <w:t xml:space="preserve">When calculating the fees on the authorization which has defined radio frequencies (radio channels) recommended for reassignment, coefficient </w:t>
      </w:r>
      <w:r w:rsidRPr="006257D7">
        <w:rPr>
          <w:i/>
          <w:iCs/>
          <w:lang w:val="en-US"/>
        </w:rPr>
        <w:t>K</w:t>
      </w:r>
      <w:r w:rsidRPr="00EC2BF0">
        <w:rPr>
          <w:i/>
          <w:vertAlign w:val="subscript"/>
          <w:lang w:val="en-US"/>
        </w:rPr>
        <w:t>Nf</w:t>
      </w:r>
      <w:r w:rsidRPr="00EC2BF0">
        <w:rPr>
          <w:lang w:val="en-US"/>
        </w:rPr>
        <w:t xml:space="preserve"> is calculated as the sum of all radio frequencies (including the repeated ones) specified in the table of frequency/territory plan of the authorization.</w:t>
      </w:r>
    </w:p>
    <w:p w:rsidR="00CA3B52" w:rsidRPr="00A36B57" w:rsidRDefault="00CA3B52" w:rsidP="00CA3B52">
      <w:pPr>
        <w:rPr>
          <w:lang w:val="en-US"/>
        </w:rPr>
      </w:pPr>
      <w:r>
        <w:rPr>
          <w:lang w:val="en-US"/>
        </w:rPr>
        <w:t>9)</w:t>
      </w:r>
      <w:r>
        <w:rPr>
          <w:lang w:val="en-US"/>
        </w:rPr>
        <w:tab/>
      </w:r>
      <w:r w:rsidRPr="00A36B57">
        <w:rPr>
          <w:lang w:val="en-US"/>
        </w:rPr>
        <w:t>If the authorization (excluding authorization for DECT system and radio location service) has no specified radio frequencies (radio channels) but only frequency bandwidth, Δ</w:t>
      </w:r>
      <w:r w:rsidRPr="006257D7">
        <w:rPr>
          <w:i/>
          <w:iCs/>
          <w:lang w:val="en-US"/>
        </w:rPr>
        <w:t>F</w:t>
      </w:r>
      <w:r w:rsidRPr="00A36B57">
        <w:rPr>
          <w:lang w:val="en-US"/>
        </w:rPr>
        <w:t xml:space="preserve">, then the number, </w:t>
      </w:r>
      <w:r w:rsidRPr="004F31EB">
        <w:rPr>
          <w:i/>
          <w:iCs/>
          <w:lang w:val="en-US"/>
        </w:rPr>
        <w:t>N</w:t>
      </w:r>
      <w:r w:rsidRPr="00A36B57">
        <w:rPr>
          <w:lang w:val="en-US"/>
        </w:rPr>
        <w:t>, is calculated using the following formula:</w:t>
      </w:r>
    </w:p>
    <w:p w:rsidR="00CA3B52" w:rsidRPr="00EE3A82" w:rsidRDefault="00CA3B52" w:rsidP="00CA3B52">
      <w:pPr>
        <w:pStyle w:val="Equation"/>
        <w:rPr>
          <w:lang w:val="en-US"/>
        </w:rPr>
      </w:pPr>
      <w:r>
        <w:rPr>
          <w:lang w:val="en-US"/>
        </w:rPr>
        <w:tab/>
      </w:r>
      <w:r>
        <w:rPr>
          <w:lang w:val="en-US"/>
        </w:rPr>
        <w:tab/>
      </w:r>
      <w:r w:rsidRPr="00A31AA8">
        <w:rPr>
          <w:position w:val="-10"/>
          <w:lang w:val="en-US"/>
        </w:rPr>
        <w:object w:dxaOrig="2260" w:dyaOrig="340">
          <v:shape id="_x0000_i1129" type="#_x0000_t75" style="width:110.35pt;height:17.3pt" o:ole="">
            <v:imagedata r:id="rId229" o:title=""/>
          </v:shape>
          <o:OLEObject Type="Embed" ProgID="Equation.3" ShapeID="_x0000_i1129" DrawAspect="Content" ObjectID="_1511604918" r:id="rId230"/>
        </w:object>
      </w:r>
      <w:r w:rsidRPr="00CB6CBA">
        <w:rPr>
          <w:lang w:val="en-US"/>
        </w:rPr>
        <w:tab/>
        <w:t>(</w:t>
      </w:r>
      <w:r w:rsidRPr="0024702C">
        <w:rPr>
          <w:lang w:val="en-US"/>
        </w:rPr>
        <w:t>6</w:t>
      </w:r>
      <w:r>
        <w:rPr>
          <w:lang w:val="en-US"/>
        </w:rPr>
        <w:t>5</w:t>
      </w:r>
      <w:r w:rsidRPr="00CB6CBA">
        <w:rPr>
          <w:lang w:val="en-US"/>
        </w:rPr>
        <w:t>)</w:t>
      </w:r>
    </w:p>
    <w:p w:rsidR="00CA3B52" w:rsidRPr="00A36B57" w:rsidRDefault="00CA3B52" w:rsidP="00872AC4">
      <w:pPr>
        <w:rPr>
          <w:lang w:val="en-US"/>
        </w:rPr>
      </w:pPr>
      <w:r w:rsidRPr="00A36B57">
        <w:rPr>
          <w:lang w:val="en-US"/>
        </w:rPr>
        <w:t xml:space="preserve">When authorizations for DECT systems and for the radio location service do not specify radio frequencies (radio channels), but rather used bandwidth, </w:t>
      </w:r>
      <w:r w:rsidRPr="00A36B57">
        <w:rPr>
          <w:lang w:val="en-US"/>
        </w:rPr>
        <w:sym w:font="Symbol" w:char="F044"/>
      </w:r>
      <w:r w:rsidRPr="00A36B57">
        <w:rPr>
          <w:i/>
          <w:lang w:val="en-US"/>
        </w:rPr>
        <w:t>F</w:t>
      </w:r>
      <w:r w:rsidRPr="00D94BCA">
        <w:rPr>
          <w:iCs/>
          <w:lang w:val="en-US"/>
        </w:rPr>
        <w:t>,</w:t>
      </w:r>
      <w:r w:rsidRPr="00A36B57">
        <w:rPr>
          <w:i/>
          <w:lang w:val="en-US"/>
        </w:rPr>
        <w:t xml:space="preserve"> </w:t>
      </w:r>
      <w:r w:rsidRPr="00A36B57">
        <w:rPr>
          <w:lang w:val="en-US"/>
        </w:rPr>
        <w:t xml:space="preserve">then </w:t>
      </w:r>
      <w:r w:rsidRPr="00D94BCA">
        <w:rPr>
          <w:i/>
          <w:iCs/>
          <w:lang w:val="en-US"/>
        </w:rPr>
        <w:t>N</w:t>
      </w:r>
      <w:r w:rsidRPr="00A36B57">
        <w:rPr>
          <w:lang w:val="en-US"/>
        </w:rPr>
        <w:t xml:space="preserve"> is calculated according to the following formula:</w:t>
      </w:r>
    </w:p>
    <w:p w:rsidR="00CA3B52" w:rsidRPr="00383FC5" w:rsidRDefault="00CA3B52" w:rsidP="00CA3B52">
      <w:pPr>
        <w:pStyle w:val="Equation"/>
        <w:rPr>
          <w:lang w:val="en-US"/>
        </w:rPr>
      </w:pPr>
      <w:r>
        <w:rPr>
          <w:lang w:val="en-US"/>
        </w:rPr>
        <w:tab/>
      </w:r>
      <w:r>
        <w:rPr>
          <w:lang w:val="en-US"/>
        </w:rPr>
        <w:tab/>
      </w:r>
      <w:r w:rsidRPr="00E53E62">
        <w:rPr>
          <w:position w:val="-10"/>
          <w:szCs w:val="24"/>
          <w:lang w:val="en-US"/>
        </w:rPr>
        <w:object w:dxaOrig="2500" w:dyaOrig="340">
          <v:shape id="_x0000_i1130" type="#_x0000_t75" style="width:133.25pt;height:18.25pt" o:ole="">
            <v:imagedata r:id="rId231" o:title=""/>
          </v:shape>
          <o:OLEObject Type="Embed" ProgID="Equation.3" ShapeID="_x0000_i1130" DrawAspect="Content" ObjectID="_1511604919" r:id="rId232"/>
        </w:object>
      </w:r>
      <w:r w:rsidRPr="00CB6CBA">
        <w:rPr>
          <w:lang w:val="en-US"/>
        </w:rPr>
        <w:tab/>
        <w:t>(</w:t>
      </w:r>
      <w:r w:rsidRPr="0024702C">
        <w:rPr>
          <w:lang w:val="en-US"/>
        </w:rPr>
        <w:t>6</w:t>
      </w:r>
      <w:r>
        <w:rPr>
          <w:lang w:val="en-US"/>
        </w:rPr>
        <w:t>6</w:t>
      </w:r>
      <w:r w:rsidRPr="00CB6CBA">
        <w:rPr>
          <w:lang w:val="en-US"/>
        </w:rPr>
        <w:t>)</w:t>
      </w:r>
    </w:p>
    <w:p w:rsidR="00CA3B52" w:rsidRDefault="00CA3B52" w:rsidP="00CA3B52">
      <w:pPr>
        <w:rPr>
          <w:lang w:val="en-US"/>
        </w:rPr>
      </w:pPr>
      <w:r>
        <w:rPr>
          <w:lang w:val="en-US"/>
        </w:rPr>
        <w:lastRenderedPageBreak/>
        <w:t>10)</w:t>
      </w:r>
      <w:r>
        <w:rPr>
          <w:lang w:val="en-US"/>
        </w:rPr>
        <w:tab/>
      </w:r>
      <w:r w:rsidRPr="00A36B57">
        <w:rPr>
          <w:lang w:val="en-US"/>
        </w:rPr>
        <w:t xml:space="preserve">When the operating receive/transmit frequencies </w:t>
      </w:r>
      <w:r>
        <w:rPr>
          <w:lang w:val="en-US"/>
        </w:rPr>
        <w:t>of earth stations (</w:t>
      </w:r>
      <w:r w:rsidRPr="00A36B57">
        <w:rPr>
          <w:lang w:val="en-US"/>
        </w:rPr>
        <w:t>ES</w:t>
      </w:r>
      <w:r>
        <w:rPr>
          <w:lang w:val="en-US"/>
        </w:rPr>
        <w:t xml:space="preserve">), </w:t>
      </w:r>
      <w:r w:rsidRPr="00A36B57">
        <w:rPr>
          <w:lang w:val="en-US"/>
        </w:rPr>
        <w:t xml:space="preserve">VSAT Hub (Central) stations in the authorizations are set by the formula, the </w:t>
      </w:r>
      <w:r w:rsidRPr="00D94BCA">
        <w:rPr>
          <w:i/>
          <w:iCs/>
          <w:lang w:val="en-US"/>
        </w:rPr>
        <w:t>K</w:t>
      </w:r>
      <w:r w:rsidRPr="00A36B57">
        <w:rPr>
          <w:i/>
          <w:vertAlign w:val="subscript"/>
          <w:lang w:val="en-US"/>
        </w:rPr>
        <w:t>Nf</w:t>
      </w:r>
      <w:r w:rsidRPr="00A36B57">
        <w:rPr>
          <w:i/>
          <w:lang w:val="en-US"/>
        </w:rPr>
        <w:t xml:space="preserve"> </w:t>
      </w:r>
      <w:r>
        <w:rPr>
          <w:lang w:val="en-US"/>
        </w:rPr>
        <w:t>is defined as follows:</w:t>
      </w:r>
    </w:p>
    <w:p w:rsidR="00CA3B52" w:rsidRPr="00383FC5" w:rsidRDefault="00CA3B52" w:rsidP="00CA3B52">
      <w:pPr>
        <w:pStyle w:val="Equation"/>
        <w:rPr>
          <w:i/>
          <w:lang w:val="en-US"/>
        </w:rPr>
      </w:pPr>
      <w:r w:rsidRPr="00B361A7">
        <w:rPr>
          <w:i/>
          <w:lang w:val="en-US"/>
        </w:rPr>
        <w:tab/>
      </w:r>
      <w:r w:rsidRPr="00B361A7">
        <w:rPr>
          <w:i/>
          <w:lang w:val="en-US"/>
        </w:rPr>
        <w:tab/>
      </w:r>
      <w:r w:rsidRPr="00D94BCA">
        <w:rPr>
          <w:position w:val="-28"/>
          <w:lang w:val="en-US"/>
        </w:rPr>
        <w:object w:dxaOrig="3320" w:dyaOrig="680">
          <v:shape id="_x0000_i1131" type="#_x0000_t75" style="width:180pt;height:36pt" o:ole="">
            <v:imagedata r:id="rId233" o:title=""/>
          </v:shape>
          <o:OLEObject Type="Embed" ProgID="Equation.3" ShapeID="_x0000_i1131" DrawAspect="Content" ObjectID="_1511604920" r:id="rId234"/>
        </w:object>
      </w:r>
      <w:r w:rsidRPr="00CB6CBA">
        <w:rPr>
          <w:lang w:val="en-US"/>
        </w:rPr>
        <w:tab/>
        <w:t>(</w:t>
      </w:r>
      <w:r w:rsidRPr="0024702C">
        <w:rPr>
          <w:lang w:val="en-US"/>
        </w:rPr>
        <w:t>6</w:t>
      </w:r>
      <w:r>
        <w:rPr>
          <w:lang w:val="en-US"/>
        </w:rPr>
        <w:t>7</w:t>
      </w:r>
      <w:r w:rsidRPr="00CB6CBA">
        <w:rPr>
          <w:lang w:val="en-US"/>
        </w:rPr>
        <w:t>)</w:t>
      </w:r>
    </w:p>
    <w:p w:rsidR="00CA3B52" w:rsidRDefault="00CA3B52" w:rsidP="00CA3B52">
      <w:pPr>
        <w:rPr>
          <w:lang w:val="en-US"/>
        </w:rPr>
      </w:pPr>
      <w:r>
        <w:rPr>
          <w:lang w:val="en-US"/>
        </w:rPr>
        <w:t>where:</w:t>
      </w:r>
    </w:p>
    <w:p w:rsidR="00CA3B52" w:rsidRPr="00CB2991" w:rsidRDefault="00CA3B52" w:rsidP="00872AC4">
      <w:pPr>
        <w:pStyle w:val="Equationlegend"/>
      </w:pPr>
      <w:r w:rsidRPr="00CB2991">
        <w:rPr>
          <w:i/>
        </w:rPr>
        <w:tab/>
      </w:r>
      <w:r w:rsidR="00872AC4">
        <w:rPr>
          <w:i/>
        </w:rPr>
        <w:t>f</w:t>
      </w:r>
      <w:r w:rsidRPr="00D85193">
        <w:rPr>
          <w:iCs/>
          <w:vertAlign w:val="subscript"/>
        </w:rPr>
        <w:t>max</w:t>
      </w:r>
      <w:r w:rsidRPr="00CB2991">
        <w:t xml:space="preserve"> </w:t>
      </w:r>
      <w:r>
        <w:t>:</w:t>
      </w:r>
      <w:r w:rsidRPr="00CB2991">
        <w:tab/>
        <w:t>maximum authorized fre</w:t>
      </w:r>
      <w:r w:rsidR="008A6D5C">
        <w:t>quency within transponder (MHz)</w:t>
      </w:r>
    </w:p>
    <w:p w:rsidR="00CA3B52" w:rsidRPr="00CB2991" w:rsidRDefault="00CA3B52" w:rsidP="00872AC4">
      <w:pPr>
        <w:pStyle w:val="Equationlegend"/>
      </w:pPr>
      <w:r w:rsidRPr="00CB2991">
        <w:rPr>
          <w:i/>
        </w:rPr>
        <w:tab/>
      </w:r>
      <w:r w:rsidR="00872AC4">
        <w:rPr>
          <w:i/>
        </w:rPr>
        <w:t>f</w:t>
      </w:r>
      <w:r w:rsidRPr="00D85193">
        <w:rPr>
          <w:iCs/>
          <w:vertAlign w:val="subscript"/>
        </w:rPr>
        <w:t>min</w:t>
      </w:r>
      <w:r w:rsidRPr="00CB2991">
        <w:t xml:space="preserve"> </w:t>
      </w:r>
      <w:r>
        <w:t>:</w:t>
      </w:r>
      <w:r w:rsidRPr="00CB2991">
        <w:tab/>
        <w:t>minimum authorized fre</w:t>
      </w:r>
      <w:r w:rsidR="008A6D5C">
        <w:t>quency within transponder (MHz)</w:t>
      </w:r>
    </w:p>
    <w:p w:rsidR="00CA3B52" w:rsidRPr="00CB2991" w:rsidRDefault="00CA3B52" w:rsidP="00CA3B52">
      <w:pPr>
        <w:pStyle w:val="Equationlegend"/>
      </w:pPr>
      <w:r w:rsidRPr="00CB2991">
        <w:tab/>
      </w:r>
      <w:r w:rsidRPr="00872AC4">
        <w:rPr>
          <w:i/>
          <w:iCs/>
        </w:rPr>
        <w:t>S</w:t>
      </w:r>
      <w:r w:rsidRPr="00CB2991">
        <w:t xml:space="preserve"> </w:t>
      </w:r>
      <w:r>
        <w:t>:</w:t>
      </w:r>
      <w:r w:rsidRPr="00CB2991">
        <w:tab/>
        <w:t>number of transponders in the authorization.</w:t>
      </w:r>
    </w:p>
    <w:p w:rsidR="00CA3B52" w:rsidRPr="00A31B3F" w:rsidRDefault="00CA3B52" w:rsidP="00CA3B52">
      <w:pPr>
        <w:rPr>
          <w:lang w:val="en-US"/>
        </w:rPr>
      </w:pPr>
      <w:r w:rsidRPr="00A31B3F">
        <w:rPr>
          <w:lang w:val="en-US"/>
        </w:rPr>
        <w:t xml:space="preserve">When </w:t>
      </w:r>
      <w:r w:rsidRPr="00A36B57">
        <w:rPr>
          <w:lang w:val="en-US"/>
        </w:rPr>
        <w:t xml:space="preserve">the operating </w:t>
      </w:r>
      <w:r w:rsidRPr="00A31B3F">
        <w:rPr>
          <w:lang w:val="en-US"/>
        </w:rPr>
        <w:t>receive/transmit frequencies in the authorizations for ES</w:t>
      </w:r>
      <w:r>
        <w:rPr>
          <w:lang w:val="en-US"/>
        </w:rPr>
        <w:t xml:space="preserve">, </w:t>
      </w:r>
      <w:r w:rsidRPr="00A31B3F">
        <w:rPr>
          <w:lang w:val="en-US"/>
        </w:rPr>
        <w:t xml:space="preserve">VSAT Hub stations are specified, then </w:t>
      </w:r>
      <w:r w:rsidRPr="00D94BCA">
        <w:rPr>
          <w:i/>
          <w:iCs/>
          <w:lang w:val="en-US"/>
        </w:rPr>
        <w:t>K</w:t>
      </w:r>
      <w:r w:rsidRPr="00A31B3F">
        <w:rPr>
          <w:i/>
          <w:vertAlign w:val="subscript"/>
          <w:lang w:val="en-US"/>
        </w:rPr>
        <w:t>Nf</w:t>
      </w:r>
      <w:r w:rsidRPr="00A31B3F">
        <w:rPr>
          <w:lang w:val="en-US"/>
        </w:rPr>
        <w:t xml:space="preserve"> is defined as the sum of transmit/receive frequencies </w:t>
      </w:r>
      <w:r w:rsidRPr="00A31B3F">
        <w:rPr>
          <w:color w:val="000000"/>
          <w:lang w:val="en-US"/>
        </w:rPr>
        <w:t xml:space="preserve">having </w:t>
      </w:r>
      <w:r w:rsidRPr="00A31B3F">
        <w:rPr>
          <w:lang w:val="en-US"/>
        </w:rPr>
        <w:t xml:space="preserve">maximum required bandwidth, </w:t>
      </w:r>
      <w:r w:rsidRPr="00A31B3F">
        <w:rPr>
          <w:i/>
          <w:color w:val="000000"/>
          <w:lang w:val="en-US"/>
        </w:rPr>
        <w:t>B</w:t>
      </w:r>
      <w:r w:rsidRPr="00A31B3F">
        <w:rPr>
          <w:i/>
          <w:color w:val="000000"/>
          <w:vertAlign w:val="subscript"/>
          <w:lang w:val="en-US"/>
        </w:rPr>
        <w:t>req</w:t>
      </w:r>
      <w:r w:rsidRPr="00D94BCA">
        <w:rPr>
          <w:iCs/>
          <w:color w:val="000000"/>
          <w:lang w:val="en-US"/>
        </w:rPr>
        <w:t xml:space="preserve">, </w:t>
      </w:r>
      <w:r w:rsidRPr="00A31B3F">
        <w:rPr>
          <w:lang w:val="en-US"/>
        </w:rPr>
        <w:t>taking into account their class of emission specified for these frequencies:</w:t>
      </w:r>
    </w:p>
    <w:p w:rsidR="00CA3B52" w:rsidRPr="00A31B3F" w:rsidRDefault="00CA3B52" w:rsidP="00CA3B52">
      <w:pPr>
        <w:pStyle w:val="Equation"/>
        <w:rPr>
          <w:lang w:val="en-US"/>
        </w:rPr>
      </w:pPr>
      <w:r>
        <w:rPr>
          <w:i/>
          <w:lang w:val="en-US"/>
        </w:rPr>
        <w:tab/>
      </w:r>
      <w:r>
        <w:rPr>
          <w:i/>
          <w:lang w:val="en-US"/>
        </w:rPr>
        <w:tab/>
      </w:r>
      <w:r w:rsidRPr="002815D5">
        <w:rPr>
          <w:position w:val="-28"/>
          <w:szCs w:val="24"/>
          <w:lang w:val="en-US"/>
        </w:rPr>
        <w:object w:dxaOrig="2880" w:dyaOrig="680">
          <v:shape id="_x0000_i1132" type="#_x0000_t75" style="width:150.55pt;height:36pt" o:ole="">
            <v:imagedata r:id="rId235" o:title=""/>
          </v:shape>
          <o:OLEObject Type="Embed" ProgID="Equation.3" ShapeID="_x0000_i1132" DrawAspect="Content" ObjectID="_1511604921" r:id="rId236"/>
        </w:object>
      </w:r>
      <w:r w:rsidRPr="00CB6CBA">
        <w:rPr>
          <w:lang w:val="en-US"/>
        </w:rPr>
        <w:tab/>
        <w:t>(</w:t>
      </w:r>
      <w:r w:rsidRPr="0024702C">
        <w:rPr>
          <w:lang w:val="en-US"/>
        </w:rPr>
        <w:t>6</w:t>
      </w:r>
      <w:r>
        <w:rPr>
          <w:lang w:val="en-US"/>
        </w:rPr>
        <w:t>8</w:t>
      </w:r>
      <w:r w:rsidRPr="00CB6CBA">
        <w:rPr>
          <w:lang w:val="en-US"/>
        </w:rPr>
        <w:t>)</w:t>
      </w:r>
    </w:p>
    <w:p w:rsidR="00CA3B52" w:rsidRPr="00564339" w:rsidRDefault="00CA3B52" w:rsidP="00CA3B52">
      <w:pPr>
        <w:overflowPunct/>
        <w:autoSpaceDE/>
        <w:autoSpaceDN/>
        <w:adjustRightInd/>
        <w:spacing w:before="0"/>
        <w:textAlignment w:val="auto"/>
        <w:rPr>
          <w:sz w:val="26"/>
          <w:szCs w:val="26"/>
          <w:lang w:val="en-US"/>
        </w:rPr>
      </w:pPr>
      <w:r w:rsidRPr="00CB2991">
        <w:rPr>
          <w:szCs w:val="24"/>
          <w:lang w:val="en-US"/>
        </w:rPr>
        <w:t>where</w:t>
      </w:r>
      <w:r>
        <w:rPr>
          <w:szCs w:val="24"/>
          <w:lang w:val="en-US"/>
        </w:rPr>
        <w:t>:</w:t>
      </w:r>
    </w:p>
    <w:p w:rsidR="00CA3B52" w:rsidRPr="00CB2991" w:rsidRDefault="00CA3B52" w:rsidP="00CA3B52">
      <w:pPr>
        <w:pStyle w:val="Equationlegend"/>
      </w:pPr>
      <w:r w:rsidRPr="00CB2991">
        <w:rPr>
          <w:i/>
          <w:color w:val="000000"/>
        </w:rPr>
        <w:tab/>
        <w:t>B</w:t>
      </w:r>
      <w:r w:rsidRPr="00D85193">
        <w:rPr>
          <w:i/>
          <w:iCs/>
          <w:color w:val="000000"/>
          <w:vertAlign w:val="subscript"/>
        </w:rPr>
        <w:t>req</w:t>
      </w:r>
      <w:r>
        <w:rPr>
          <w:color w:val="000000"/>
          <w:vertAlign w:val="subscript"/>
        </w:rPr>
        <w:t>_</w:t>
      </w:r>
      <w:r w:rsidRPr="00CB2991">
        <w:rPr>
          <w:color w:val="000000"/>
          <w:vertAlign w:val="subscript"/>
        </w:rPr>
        <w:sym w:font="Symbol" w:char="F0A6"/>
      </w:r>
      <w:r w:rsidRPr="00D85193">
        <w:rPr>
          <w:i/>
          <w:iCs/>
          <w:color w:val="000000"/>
          <w:vertAlign w:val="subscript"/>
        </w:rPr>
        <w:t>i</w:t>
      </w:r>
      <w:r w:rsidRPr="00CB2991">
        <w:t xml:space="preserve"> </w:t>
      </w:r>
      <w:r>
        <w:t>:</w:t>
      </w:r>
      <w:r w:rsidRPr="00CB2991">
        <w:t xml:space="preserve"> </w:t>
      </w:r>
      <w:r w:rsidRPr="00CB2991">
        <w:tab/>
        <w:t>maximum required bandwidth specified for this fre</w:t>
      </w:r>
      <w:r w:rsidR="00B62BDB">
        <w:t>quency in the class of emission</w:t>
      </w:r>
    </w:p>
    <w:p w:rsidR="00CA3B52" w:rsidRPr="00CB2991" w:rsidRDefault="00CA3B52" w:rsidP="00CA3B52">
      <w:pPr>
        <w:pStyle w:val="Equationlegend"/>
      </w:pPr>
      <w:r w:rsidRPr="00CB2991">
        <w:rPr>
          <w:i/>
        </w:rPr>
        <w:tab/>
        <w:t>M</w:t>
      </w:r>
      <w:r w:rsidRPr="00CB2991">
        <w:t xml:space="preserve"> </w:t>
      </w:r>
      <w:r>
        <w:t>:</w:t>
      </w:r>
      <w:r w:rsidRPr="00CB2991">
        <w:t xml:space="preserve"> </w:t>
      </w:r>
      <w:r w:rsidRPr="00CB2991">
        <w:tab/>
        <w:t>number of operating frequencies.</w:t>
      </w:r>
    </w:p>
    <w:p w:rsidR="00CA3B52" w:rsidRDefault="00CA3B52" w:rsidP="00B62BDB">
      <w:pPr>
        <w:rPr>
          <w:lang w:val="en-US"/>
        </w:rPr>
      </w:pPr>
      <w:r w:rsidRPr="00A31B3F">
        <w:rPr>
          <w:lang w:val="en-US"/>
        </w:rPr>
        <w:t xml:space="preserve">In the case when the authorization specifies operating frequencies by the formula and the number of frequencies, then the total number </w:t>
      </w:r>
      <w:r w:rsidRPr="00A31B3F">
        <w:rPr>
          <w:i/>
          <w:lang w:val="en-US"/>
        </w:rPr>
        <w:t>K</w:t>
      </w:r>
      <w:r w:rsidRPr="00A31B3F">
        <w:rPr>
          <w:i/>
          <w:vertAlign w:val="subscript"/>
          <w:lang w:val="en-US"/>
        </w:rPr>
        <w:t>Nf</w:t>
      </w:r>
      <w:r w:rsidRPr="00A31B3F">
        <w:rPr>
          <w:lang w:val="en-US"/>
        </w:rPr>
        <w:t xml:space="preserve">  is defined by:</w:t>
      </w:r>
    </w:p>
    <w:p w:rsidR="00CA3B52" w:rsidRDefault="00CA3B52" w:rsidP="00CA3B52">
      <w:pPr>
        <w:pStyle w:val="Equation"/>
        <w:rPr>
          <w:lang w:val="en-US"/>
        </w:rPr>
      </w:pPr>
      <w:r>
        <w:rPr>
          <w:lang w:val="en-US"/>
        </w:rPr>
        <w:tab/>
      </w:r>
      <w:r>
        <w:rPr>
          <w:lang w:val="en-US"/>
        </w:rPr>
        <w:tab/>
      </w:r>
      <w:r w:rsidRPr="004F44BF">
        <w:rPr>
          <w:position w:val="-30"/>
          <w:lang w:val="en-US"/>
        </w:rPr>
        <w:object w:dxaOrig="4780" w:dyaOrig="720">
          <v:shape id="_x0000_i1133" type="#_x0000_t75" style="width:247.3pt;height:37.4pt" o:ole="">
            <v:imagedata r:id="rId237" o:title=""/>
          </v:shape>
          <o:OLEObject Type="Embed" ProgID="Equation.3" ShapeID="_x0000_i1133" DrawAspect="Content" ObjectID="_1511604922" r:id="rId238"/>
        </w:object>
      </w:r>
      <w:r w:rsidRPr="00CB6CBA">
        <w:rPr>
          <w:lang w:val="en-US"/>
        </w:rPr>
        <w:tab/>
        <w:t>(</w:t>
      </w:r>
      <w:r w:rsidRPr="0024702C">
        <w:rPr>
          <w:lang w:val="en-US"/>
        </w:rPr>
        <w:t>6</w:t>
      </w:r>
      <w:r>
        <w:rPr>
          <w:lang w:val="en-US"/>
        </w:rPr>
        <w:t>9</w:t>
      </w:r>
      <w:r w:rsidRPr="00CB6CBA">
        <w:rPr>
          <w:lang w:val="en-US"/>
        </w:rPr>
        <w:t>)</w:t>
      </w:r>
    </w:p>
    <w:p w:rsidR="00CA3B52" w:rsidRDefault="00CA3B52" w:rsidP="00CA3B52">
      <w:pPr>
        <w:rPr>
          <w:lang w:val="en-US"/>
        </w:rPr>
      </w:pPr>
      <w:r w:rsidRPr="00BD4C8D">
        <w:rPr>
          <w:lang w:val="en-US"/>
        </w:rPr>
        <w:t xml:space="preserve">If several different classes of emission are specified for the operating frequency, then calculations are performed according to the class of emission having maximum </w:t>
      </w:r>
      <w:r w:rsidRPr="00BD4C8D">
        <w:rPr>
          <w:i/>
          <w:color w:val="000000"/>
          <w:lang w:val="en-US"/>
        </w:rPr>
        <w:t>B</w:t>
      </w:r>
      <w:r w:rsidRPr="00BD4C8D">
        <w:rPr>
          <w:i/>
          <w:color w:val="000000"/>
          <w:vertAlign w:val="subscript"/>
          <w:lang w:val="en-US"/>
        </w:rPr>
        <w:t>req</w:t>
      </w:r>
      <w:r w:rsidRPr="00BD4C8D">
        <w:rPr>
          <w:color w:val="000000"/>
          <w:lang w:val="en-US"/>
        </w:rPr>
        <w:t xml:space="preserve"> </w:t>
      </w:r>
      <w:r w:rsidRPr="00BD4C8D">
        <w:rPr>
          <w:lang w:val="en-US"/>
        </w:rPr>
        <w:t>for this operating frequency.</w:t>
      </w:r>
    </w:p>
    <w:p w:rsidR="00CA3B52" w:rsidRPr="00257B52" w:rsidRDefault="00CA3B52" w:rsidP="00CA3B52">
      <w:pPr>
        <w:pStyle w:val="Headingb"/>
        <w:rPr>
          <w:lang w:val="en-US"/>
        </w:rPr>
      </w:pPr>
      <w:r w:rsidRPr="00257B52">
        <w:rPr>
          <w:lang w:val="en-US"/>
        </w:rPr>
        <w:t>Calculation of coefficient depending on the technology</w:t>
      </w:r>
    </w:p>
    <w:p w:rsidR="00CA3B52" w:rsidRDefault="00CA3B52" w:rsidP="00CA3B52">
      <w:pPr>
        <w:rPr>
          <w:lang w:val="en-US"/>
        </w:rPr>
      </w:pPr>
      <w:r>
        <w:rPr>
          <w:lang w:val="en-US"/>
        </w:rPr>
        <w:t>11)</w:t>
      </w:r>
      <w:r>
        <w:rPr>
          <w:lang w:val="en-US"/>
        </w:rPr>
        <w:tab/>
      </w:r>
      <w:r w:rsidRPr="00BD4C8D">
        <w:rPr>
          <w:lang w:val="en-US"/>
        </w:rPr>
        <w:t>The coefficient depending on the technology applied is calculated according to the following formula:</w:t>
      </w:r>
    </w:p>
    <w:p w:rsidR="00CA3B52" w:rsidRDefault="00CA3B52" w:rsidP="00CA3B52">
      <w:pPr>
        <w:pStyle w:val="Equation"/>
        <w:rPr>
          <w:lang w:val="en-US"/>
        </w:rPr>
      </w:pPr>
      <w:r>
        <w:rPr>
          <w:lang w:val="en-US"/>
        </w:rPr>
        <w:tab/>
      </w:r>
      <w:r>
        <w:rPr>
          <w:lang w:val="en-US"/>
        </w:rPr>
        <w:tab/>
      </w:r>
      <w:r w:rsidRPr="00502247">
        <w:rPr>
          <w:position w:val="-14"/>
          <w:lang w:val="en-US"/>
        </w:rPr>
        <w:object w:dxaOrig="3080" w:dyaOrig="380">
          <v:shape id="_x0000_i1134" type="#_x0000_t75" style="width:158.5pt;height:21.05pt" o:ole="">
            <v:imagedata r:id="rId239" o:title=""/>
          </v:shape>
          <o:OLEObject Type="Embed" ProgID="Equation.3" ShapeID="_x0000_i1134" DrawAspect="Content" ObjectID="_1511604923" r:id="rId240"/>
        </w:object>
      </w:r>
      <w:r w:rsidRPr="00CB6CBA">
        <w:rPr>
          <w:lang w:val="en-US"/>
        </w:rPr>
        <w:tab/>
        <w:t>(</w:t>
      </w:r>
      <w:r>
        <w:rPr>
          <w:lang w:val="en-US"/>
        </w:rPr>
        <w:t>70</w:t>
      </w:r>
      <w:r w:rsidRPr="00CB6CBA">
        <w:rPr>
          <w:lang w:val="en-US"/>
        </w:rPr>
        <w:t>)</w:t>
      </w:r>
    </w:p>
    <w:p w:rsidR="00CA3B52" w:rsidRPr="009A67EA" w:rsidRDefault="00CA3B52" w:rsidP="00CA3B52">
      <w:pPr>
        <w:pStyle w:val="Equation"/>
        <w:rPr>
          <w:lang w:val="en-US"/>
        </w:rPr>
      </w:pPr>
      <w:r>
        <w:rPr>
          <w:lang w:val="en-US"/>
        </w:rPr>
        <w:t>where:</w:t>
      </w:r>
    </w:p>
    <w:p w:rsidR="00CA3B52" w:rsidRPr="00CB2991" w:rsidRDefault="00CA3B52" w:rsidP="00CA3B52">
      <w:pPr>
        <w:pStyle w:val="Equationlegend"/>
      </w:pPr>
      <w:r w:rsidRPr="00CB2991">
        <w:rPr>
          <w:i/>
        </w:rPr>
        <w:tab/>
        <w:t>K</w:t>
      </w:r>
      <w:r w:rsidRPr="00CB2991">
        <w:rPr>
          <w:i/>
          <w:vertAlign w:val="subscript"/>
        </w:rPr>
        <w:t>adv</w:t>
      </w:r>
      <w:r w:rsidRPr="00CB2991">
        <w:t xml:space="preserve"> </w:t>
      </w:r>
      <w:r>
        <w:t>:</w:t>
      </w:r>
      <w:r>
        <w:rPr>
          <w:rFonts w:hint="eastAsia"/>
          <w:lang w:eastAsia="ko-KR"/>
        </w:rPr>
        <w:t xml:space="preserve"> </w:t>
      </w:r>
      <w:r>
        <w:rPr>
          <w:lang w:eastAsia="ko-KR"/>
        </w:rPr>
        <w:tab/>
      </w:r>
      <w:r w:rsidRPr="00CB2991">
        <w:t>coefficient depending on the use of advanced technologies. Coefficients corresponding to technologies for which the SRFC has taken a decision to cancel their further use and/or move to other frequency bands, starts to be applied from the date this decision was taken by the SRFC with regar</w:t>
      </w:r>
      <w:r w:rsidR="008A6D5C">
        <w:t>d to civil purpose radio system</w:t>
      </w:r>
    </w:p>
    <w:p w:rsidR="00CA3B52" w:rsidRPr="00CB2991" w:rsidRDefault="00CA3B52" w:rsidP="00CA3B52">
      <w:pPr>
        <w:pStyle w:val="Equationlegend"/>
      </w:pPr>
      <w:r w:rsidRPr="00CB2991">
        <w:rPr>
          <w:i/>
        </w:rPr>
        <w:tab/>
        <w:t>K</w:t>
      </w:r>
      <w:r w:rsidRPr="00CB2991">
        <w:rPr>
          <w:i/>
          <w:vertAlign w:val="subscript"/>
        </w:rPr>
        <w:t>Breq</w:t>
      </w:r>
      <w:r w:rsidRPr="00CB2991">
        <w:t xml:space="preserve"> </w:t>
      </w:r>
      <w:r>
        <w:t>:</w:t>
      </w:r>
      <w:r w:rsidRPr="00CB2991">
        <w:t xml:space="preserve"> </w:t>
      </w:r>
      <w:r>
        <w:tab/>
      </w:r>
      <w:r w:rsidRPr="00CB2991">
        <w:t>coefficient depending on required signal bandwidth for transmission of informa</w:t>
      </w:r>
      <w:r w:rsidR="008A6D5C">
        <w:t>tion with the specified quality</w:t>
      </w:r>
    </w:p>
    <w:p w:rsidR="00CA3B52" w:rsidRPr="00CB2991" w:rsidRDefault="00CA3B52" w:rsidP="00CA3B52">
      <w:pPr>
        <w:pStyle w:val="Equationlegend"/>
      </w:pPr>
      <w:r w:rsidRPr="00CB2991">
        <w:rPr>
          <w:i/>
        </w:rPr>
        <w:tab/>
        <w:t>K</w:t>
      </w:r>
      <w:r w:rsidRPr="00CB2991">
        <w:rPr>
          <w:i/>
          <w:vertAlign w:val="subscript"/>
        </w:rPr>
        <w:t>pop</w:t>
      </w:r>
      <w:r w:rsidRPr="00CB2991">
        <w:t xml:space="preserve"> </w:t>
      </w:r>
      <w:r>
        <w:t>:</w:t>
      </w:r>
      <w:r w:rsidRPr="00CB2991">
        <w:t xml:space="preserve"> </w:t>
      </w:r>
      <w:r>
        <w:tab/>
      </w:r>
      <w:r w:rsidRPr="00CB2991">
        <w:t>coefficient depending on the population in the location of the radio system and taking into account administrat</w:t>
      </w:r>
      <w:r w:rsidR="008A6D5C">
        <w:t>ive boundaries of the community</w:t>
      </w:r>
    </w:p>
    <w:p w:rsidR="00CA3B52" w:rsidRPr="00CB2991" w:rsidRDefault="00CA3B52" w:rsidP="00CA3B52">
      <w:pPr>
        <w:pStyle w:val="Equationlegend"/>
      </w:pPr>
      <w:r w:rsidRPr="00CB2991">
        <w:rPr>
          <w:i/>
        </w:rPr>
        <w:tab/>
        <w:t>K</w:t>
      </w:r>
      <w:r w:rsidRPr="00CB2991">
        <w:rPr>
          <w:i/>
          <w:vertAlign w:val="subscript"/>
        </w:rPr>
        <w:t>soc</w:t>
      </w:r>
      <w:r w:rsidRPr="00CB2991">
        <w:t xml:space="preserve"> </w:t>
      </w:r>
      <w:r>
        <w:t>:</w:t>
      </w:r>
      <w:r w:rsidRPr="00CB2991">
        <w:t xml:space="preserve"> </w:t>
      </w:r>
      <w:r>
        <w:tab/>
      </w:r>
      <w:r w:rsidRPr="00CB2991">
        <w:t>coefficient taking into account a social factor of the technology.</w:t>
      </w:r>
    </w:p>
    <w:p w:rsidR="00CA3B52" w:rsidRPr="009A67EA" w:rsidRDefault="00CA3B52" w:rsidP="00CA3B52">
      <w:pPr>
        <w:pStyle w:val="TableNo"/>
        <w:rPr>
          <w:lang w:val="en-US"/>
        </w:rPr>
      </w:pPr>
      <w:r w:rsidRPr="00F77E09">
        <w:rPr>
          <w:lang w:val="en-US"/>
        </w:rPr>
        <w:lastRenderedPageBreak/>
        <w:t>TABLE</w:t>
      </w:r>
      <w:r w:rsidRPr="009A67EA">
        <w:rPr>
          <w:lang w:val="en-US"/>
        </w:rPr>
        <w:t xml:space="preserve"> </w:t>
      </w:r>
      <w:r>
        <w:rPr>
          <w:lang w:val="en-US"/>
        </w:rPr>
        <w:t>23</w:t>
      </w:r>
    </w:p>
    <w:p w:rsidR="00CA3B52" w:rsidRPr="00BD4C8D" w:rsidRDefault="00CA3B52" w:rsidP="00CA3B52">
      <w:pPr>
        <w:pStyle w:val="Tabletitle"/>
        <w:rPr>
          <w:lang w:val="en-US"/>
        </w:rPr>
      </w:pPr>
      <w:r w:rsidRPr="00BD4C8D">
        <w:rPr>
          <w:lang w:val="en-US"/>
        </w:rPr>
        <w:t xml:space="preserve">Rate of tariff used for calculation of </w:t>
      </w:r>
      <w:r w:rsidRPr="00F77E09">
        <w:rPr>
          <w:lang w:val="en-US"/>
        </w:rPr>
        <w:t>one</w:t>
      </w:r>
      <w:r w:rsidRPr="00BD4C8D">
        <w:rPr>
          <w:lang w:val="en-US"/>
        </w:rPr>
        <w:t>-time payments and annual fees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551"/>
      </w:tblGrid>
      <w:tr w:rsidR="00CA3B52" w:rsidRPr="00D150E0" w:rsidTr="002D1D5C">
        <w:trPr>
          <w:jc w:val="center"/>
        </w:trPr>
        <w:tc>
          <w:tcPr>
            <w:tcW w:w="3085" w:type="dxa"/>
          </w:tcPr>
          <w:p w:rsidR="00CA3B52" w:rsidRPr="00D150E0" w:rsidRDefault="00CA3B52" w:rsidP="002D1D5C">
            <w:pPr>
              <w:pStyle w:val="Tablehead"/>
            </w:pPr>
            <w:r w:rsidRPr="00D150E0">
              <w:t>Payment</w:t>
            </w:r>
          </w:p>
        </w:tc>
        <w:tc>
          <w:tcPr>
            <w:tcW w:w="2551" w:type="dxa"/>
          </w:tcPr>
          <w:p w:rsidR="00CA3B52" w:rsidRPr="00D150E0" w:rsidRDefault="00CA3B52" w:rsidP="002D1D5C">
            <w:pPr>
              <w:pStyle w:val="Tablehead"/>
            </w:pPr>
            <w:r w:rsidRPr="00D150E0">
              <w:t>Rate (roubles)</w:t>
            </w:r>
          </w:p>
        </w:tc>
      </w:tr>
      <w:tr w:rsidR="00CA3B52" w:rsidRPr="00D150E0" w:rsidTr="002D1D5C">
        <w:trPr>
          <w:jc w:val="center"/>
        </w:trPr>
        <w:tc>
          <w:tcPr>
            <w:tcW w:w="3085" w:type="dxa"/>
          </w:tcPr>
          <w:p w:rsidR="00CA3B52" w:rsidRPr="00D150E0" w:rsidRDefault="00CA3B52" w:rsidP="002D1D5C">
            <w:pPr>
              <w:pStyle w:val="Tabletext"/>
              <w:jc w:val="center"/>
            </w:pPr>
            <w:r w:rsidRPr="00D150E0">
              <w:t>One-time</w:t>
            </w:r>
          </w:p>
        </w:tc>
        <w:tc>
          <w:tcPr>
            <w:tcW w:w="2551" w:type="dxa"/>
          </w:tcPr>
          <w:p w:rsidR="00CA3B52" w:rsidRPr="00D150E0" w:rsidRDefault="00CA3B52" w:rsidP="002D1D5C">
            <w:pPr>
              <w:pStyle w:val="Tabletext"/>
              <w:jc w:val="center"/>
            </w:pPr>
            <w:r w:rsidRPr="00D150E0">
              <w:t>300</w:t>
            </w:r>
          </w:p>
        </w:tc>
      </w:tr>
      <w:tr w:rsidR="00CA3B52" w:rsidRPr="00D150E0" w:rsidTr="002D1D5C">
        <w:trPr>
          <w:jc w:val="center"/>
        </w:trPr>
        <w:tc>
          <w:tcPr>
            <w:tcW w:w="3085" w:type="dxa"/>
          </w:tcPr>
          <w:p w:rsidR="00CA3B52" w:rsidRPr="00D150E0" w:rsidRDefault="00CA3B52" w:rsidP="002D1D5C">
            <w:pPr>
              <w:pStyle w:val="Tabletext"/>
              <w:jc w:val="center"/>
            </w:pPr>
            <w:r w:rsidRPr="00D150E0">
              <w:t>Annual</w:t>
            </w:r>
          </w:p>
        </w:tc>
        <w:tc>
          <w:tcPr>
            <w:tcW w:w="2551" w:type="dxa"/>
          </w:tcPr>
          <w:p w:rsidR="00CA3B52" w:rsidRPr="00D150E0" w:rsidRDefault="00CA3B52" w:rsidP="002D1D5C">
            <w:pPr>
              <w:pStyle w:val="Tabletext"/>
              <w:jc w:val="center"/>
            </w:pPr>
            <w:r w:rsidRPr="00D150E0">
              <w:t>1 400</w:t>
            </w:r>
          </w:p>
        </w:tc>
      </w:tr>
    </w:tbl>
    <w:p w:rsidR="00CA3B52" w:rsidRDefault="00CA3B52" w:rsidP="00CA3B52">
      <w:pPr>
        <w:pStyle w:val="Tablefin"/>
      </w:pPr>
    </w:p>
    <w:p w:rsidR="00CA3B52" w:rsidRDefault="00CA3B52" w:rsidP="00CA3B52">
      <w:pPr>
        <w:pStyle w:val="TableNo"/>
        <w:rPr>
          <w:lang w:val="en-US"/>
        </w:rPr>
      </w:pPr>
      <w:r w:rsidRPr="005C1150">
        <w:rPr>
          <w:lang w:val="en-US"/>
        </w:rPr>
        <w:t>TABLE</w:t>
      </w:r>
      <w:r w:rsidRPr="00BD4C8D">
        <w:rPr>
          <w:lang w:val="en-US"/>
        </w:rPr>
        <w:t xml:space="preserve"> 2</w:t>
      </w:r>
      <w:r>
        <w:rPr>
          <w:lang w:val="en-US"/>
        </w:rPr>
        <w:t>4</w:t>
      </w:r>
    </w:p>
    <w:p w:rsidR="00CA3B52" w:rsidRPr="00BD4C8D" w:rsidRDefault="00CA3B52" w:rsidP="00CA3B52">
      <w:pPr>
        <w:pStyle w:val="Tabletitle"/>
        <w:rPr>
          <w:lang w:val="en-US"/>
        </w:rPr>
      </w:pPr>
      <w:r w:rsidRPr="00BD4C8D">
        <w:rPr>
          <w:lang w:val="en-US"/>
        </w:rPr>
        <w:t xml:space="preserve">Coefficients depending </w:t>
      </w:r>
      <w:r w:rsidRPr="005C1150">
        <w:rPr>
          <w:lang w:val="en-US"/>
        </w:rPr>
        <w:t>on</w:t>
      </w:r>
      <w:r w:rsidRPr="00BD4C8D">
        <w:rPr>
          <w:lang w:val="en-US"/>
        </w:rPr>
        <w:t xml:space="preserve"> frequency bands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7"/>
        <w:gridCol w:w="1559"/>
      </w:tblGrid>
      <w:tr w:rsidR="00CA3B52" w:rsidRPr="00D150E0" w:rsidTr="002D1D5C">
        <w:trPr>
          <w:jc w:val="center"/>
        </w:trPr>
        <w:tc>
          <w:tcPr>
            <w:tcW w:w="2677" w:type="dxa"/>
          </w:tcPr>
          <w:p w:rsidR="00CA3B52" w:rsidRPr="00D150E0" w:rsidRDefault="00CA3B52" w:rsidP="002D1D5C">
            <w:pPr>
              <w:pStyle w:val="Tablehead"/>
            </w:pPr>
            <w:r w:rsidRPr="00D150E0">
              <w:t>Frequency band</w:t>
            </w:r>
          </w:p>
        </w:tc>
        <w:tc>
          <w:tcPr>
            <w:tcW w:w="1559" w:type="dxa"/>
          </w:tcPr>
          <w:p w:rsidR="00CA3B52" w:rsidRPr="003A154B" w:rsidRDefault="00CA3B52" w:rsidP="002D1D5C">
            <w:pPr>
              <w:pStyle w:val="Tablehead"/>
              <w:rPr>
                <w:i/>
                <w:iCs/>
              </w:rPr>
            </w:pPr>
            <w:r w:rsidRPr="003A154B">
              <w:rPr>
                <w:i/>
                <w:iCs/>
              </w:rPr>
              <w:t>K</w:t>
            </w:r>
            <w:r w:rsidRPr="003A154B">
              <w:rPr>
                <w:i/>
                <w:iCs/>
                <w:vertAlign w:val="subscript"/>
              </w:rPr>
              <w:t>FB</w:t>
            </w:r>
          </w:p>
        </w:tc>
      </w:tr>
      <w:tr w:rsidR="00CA3B52" w:rsidRPr="00BD4C8D" w:rsidTr="002D1D5C">
        <w:trPr>
          <w:jc w:val="center"/>
        </w:trPr>
        <w:tc>
          <w:tcPr>
            <w:tcW w:w="2677" w:type="dxa"/>
          </w:tcPr>
          <w:p w:rsidR="00CA3B52" w:rsidRPr="00BD4C8D" w:rsidRDefault="00CA3B52" w:rsidP="002D1D5C">
            <w:pPr>
              <w:pStyle w:val="Tabletext"/>
              <w:rPr>
                <w:lang w:val="en-US"/>
              </w:rPr>
            </w:pPr>
            <w:r w:rsidRPr="00BD4C8D">
              <w:rPr>
                <w:lang w:val="en-US"/>
              </w:rPr>
              <w:t>From 3 up to 30 kHz</w:t>
            </w:r>
          </w:p>
        </w:tc>
        <w:tc>
          <w:tcPr>
            <w:tcW w:w="1559" w:type="dxa"/>
          </w:tcPr>
          <w:p w:rsidR="00CA3B52" w:rsidRPr="00BD4C8D" w:rsidRDefault="00CA3B52" w:rsidP="002D1D5C">
            <w:pPr>
              <w:pStyle w:val="Tabletext"/>
              <w:jc w:val="center"/>
              <w:rPr>
                <w:lang w:val="en-US"/>
              </w:rPr>
            </w:pPr>
            <w:r w:rsidRPr="00BD4C8D">
              <w:rPr>
                <w:lang w:val="en-US"/>
              </w:rPr>
              <w:t>0.1</w:t>
            </w:r>
          </w:p>
        </w:tc>
      </w:tr>
      <w:tr w:rsidR="00CA3B52" w:rsidRPr="00BD4C8D" w:rsidTr="002D1D5C">
        <w:trPr>
          <w:jc w:val="center"/>
        </w:trPr>
        <w:tc>
          <w:tcPr>
            <w:tcW w:w="2677" w:type="dxa"/>
          </w:tcPr>
          <w:p w:rsidR="00CA3B52" w:rsidRPr="00BD4C8D" w:rsidRDefault="00CA3B52" w:rsidP="002D1D5C">
            <w:pPr>
              <w:pStyle w:val="Tabletext"/>
              <w:rPr>
                <w:lang w:val="en-US"/>
              </w:rPr>
            </w:pPr>
            <w:r w:rsidRPr="00BD4C8D">
              <w:rPr>
                <w:lang w:val="en-US"/>
              </w:rPr>
              <w:t>From 30 up to 300 kHz</w:t>
            </w:r>
          </w:p>
        </w:tc>
        <w:tc>
          <w:tcPr>
            <w:tcW w:w="1559" w:type="dxa"/>
          </w:tcPr>
          <w:p w:rsidR="00CA3B52" w:rsidRPr="00BD4C8D" w:rsidRDefault="00CA3B52" w:rsidP="002D1D5C">
            <w:pPr>
              <w:pStyle w:val="Tabletext"/>
              <w:jc w:val="center"/>
              <w:rPr>
                <w:lang w:val="en-US"/>
              </w:rPr>
            </w:pPr>
            <w:r w:rsidRPr="00BD4C8D">
              <w:rPr>
                <w:lang w:val="en-US"/>
              </w:rPr>
              <w:t>0.1</w:t>
            </w:r>
          </w:p>
        </w:tc>
      </w:tr>
      <w:tr w:rsidR="00CA3B52" w:rsidRPr="00BD4C8D" w:rsidTr="002D1D5C">
        <w:trPr>
          <w:jc w:val="center"/>
        </w:trPr>
        <w:tc>
          <w:tcPr>
            <w:tcW w:w="2677" w:type="dxa"/>
          </w:tcPr>
          <w:p w:rsidR="00CA3B52" w:rsidRPr="00BD4C8D" w:rsidRDefault="00CA3B52" w:rsidP="002D1D5C">
            <w:pPr>
              <w:pStyle w:val="Tabletext"/>
              <w:rPr>
                <w:lang w:val="en-US"/>
              </w:rPr>
            </w:pPr>
            <w:r w:rsidRPr="00BD4C8D">
              <w:rPr>
                <w:lang w:val="en-US"/>
              </w:rPr>
              <w:t>From 300 up to 3</w:t>
            </w:r>
            <w:r>
              <w:rPr>
                <w:lang w:val="en-US"/>
              </w:rPr>
              <w:t xml:space="preserve"> </w:t>
            </w:r>
            <w:r w:rsidRPr="00BD4C8D">
              <w:rPr>
                <w:lang w:val="en-US"/>
              </w:rPr>
              <w:t>000 kHz</w:t>
            </w:r>
          </w:p>
        </w:tc>
        <w:tc>
          <w:tcPr>
            <w:tcW w:w="1559" w:type="dxa"/>
          </w:tcPr>
          <w:p w:rsidR="00CA3B52" w:rsidRPr="00BD4C8D" w:rsidRDefault="00CA3B52" w:rsidP="002D1D5C">
            <w:pPr>
              <w:pStyle w:val="Tabletext"/>
              <w:jc w:val="center"/>
              <w:rPr>
                <w:lang w:val="en-US"/>
              </w:rPr>
            </w:pPr>
            <w:r w:rsidRPr="00BD4C8D">
              <w:rPr>
                <w:lang w:val="en-US"/>
              </w:rPr>
              <w:t>0.1</w:t>
            </w:r>
          </w:p>
        </w:tc>
      </w:tr>
      <w:tr w:rsidR="00CA3B52" w:rsidRPr="00BD4C8D" w:rsidTr="002D1D5C">
        <w:trPr>
          <w:jc w:val="center"/>
        </w:trPr>
        <w:tc>
          <w:tcPr>
            <w:tcW w:w="2677" w:type="dxa"/>
          </w:tcPr>
          <w:p w:rsidR="00CA3B52" w:rsidRPr="00BD4C8D" w:rsidRDefault="00CA3B52" w:rsidP="002D1D5C">
            <w:pPr>
              <w:pStyle w:val="Tabletext"/>
              <w:rPr>
                <w:lang w:val="en-US"/>
              </w:rPr>
            </w:pPr>
            <w:r w:rsidRPr="00BD4C8D">
              <w:rPr>
                <w:lang w:val="en-US"/>
              </w:rPr>
              <w:t>From 3 up to 30 MHz</w:t>
            </w:r>
          </w:p>
        </w:tc>
        <w:tc>
          <w:tcPr>
            <w:tcW w:w="1559" w:type="dxa"/>
          </w:tcPr>
          <w:p w:rsidR="00CA3B52" w:rsidRPr="00BD4C8D" w:rsidRDefault="00CA3B52" w:rsidP="002D1D5C">
            <w:pPr>
              <w:pStyle w:val="Tabletext"/>
              <w:jc w:val="center"/>
              <w:rPr>
                <w:lang w:val="en-US"/>
              </w:rPr>
            </w:pPr>
            <w:r w:rsidRPr="00BD4C8D">
              <w:rPr>
                <w:lang w:val="en-US"/>
              </w:rPr>
              <w:t>0.5</w:t>
            </w:r>
          </w:p>
        </w:tc>
      </w:tr>
      <w:tr w:rsidR="00CA3B52" w:rsidRPr="00BD4C8D" w:rsidTr="002D1D5C">
        <w:trPr>
          <w:jc w:val="center"/>
        </w:trPr>
        <w:tc>
          <w:tcPr>
            <w:tcW w:w="2677" w:type="dxa"/>
          </w:tcPr>
          <w:p w:rsidR="00CA3B52" w:rsidRPr="00BD4C8D" w:rsidRDefault="00CA3B52" w:rsidP="002D1D5C">
            <w:pPr>
              <w:pStyle w:val="Tabletext"/>
              <w:rPr>
                <w:lang w:val="en-US"/>
              </w:rPr>
            </w:pPr>
            <w:r w:rsidRPr="00BD4C8D">
              <w:rPr>
                <w:lang w:val="en-US"/>
              </w:rPr>
              <w:t>From 30 up to 300 MHz</w:t>
            </w:r>
          </w:p>
        </w:tc>
        <w:tc>
          <w:tcPr>
            <w:tcW w:w="1559" w:type="dxa"/>
          </w:tcPr>
          <w:p w:rsidR="00CA3B52" w:rsidRPr="00BD4C8D" w:rsidRDefault="00CA3B52" w:rsidP="002D1D5C">
            <w:pPr>
              <w:pStyle w:val="Tabletext"/>
              <w:jc w:val="center"/>
              <w:rPr>
                <w:lang w:val="en-US"/>
              </w:rPr>
            </w:pPr>
            <w:r w:rsidRPr="00BD4C8D">
              <w:rPr>
                <w:lang w:val="en-US"/>
              </w:rPr>
              <w:t>2</w:t>
            </w:r>
          </w:p>
        </w:tc>
      </w:tr>
      <w:tr w:rsidR="00CA3B52" w:rsidRPr="00BD4C8D" w:rsidTr="002D1D5C">
        <w:trPr>
          <w:jc w:val="center"/>
        </w:trPr>
        <w:tc>
          <w:tcPr>
            <w:tcW w:w="2677" w:type="dxa"/>
          </w:tcPr>
          <w:p w:rsidR="00CA3B52" w:rsidRPr="00BD4C8D" w:rsidRDefault="00CA3B52" w:rsidP="002D1D5C">
            <w:pPr>
              <w:pStyle w:val="Tabletext"/>
              <w:rPr>
                <w:lang w:val="en-US"/>
              </w:rPr>
            </w:pPr>
            <w:r w:rsidRPr="00BD4C8D">
              <w:rPr>
                <w:lang w:val="en-US"/>
              </w:rPr>
              <w:t>From 300 up to 3</w:t>
            </w:r>
            <w:r>
              <w:rPr>
                <w:lang w:val="en-US"/>
              </w:rPr>
              <w:t xml:space="preserve"> </w:t>
            </w:r>
            <w:r w:rsidRPr="00BD4C8D">
              <w:rPr>
                <w:lang w:val="en-US"/>
              </w:rPr>
              <w:t>000 MHz</w:t>
            </w:r>
          </w:p>
        </w:tc>
        <w:tc>
          <w:tcPr>
            <w:tcW w:w="1559" w:type="dxa"/>
          </w:tcPr>
          <w:p w:rsidR="00CA3B52" w:rsidRPr="00BD4C8D" w:rsidRDefault="00CA3B52" w:rsidP="002D1D5C">
            <w:pPr>
              <w:pStyle w:val="Tabletext"/>
              <w:jc w:val="center"/>
              <w:rPr>
                <w:lang w:val="en-US"/>
              </w:rPr>
            </w:pPr>
            <w:r w:rsidRPr="00BD4C8D">
              <w:rPr>
                <w:lang w:val="en-US"/>
              </w:rPr>
              <w:t>2</w:t>
            </w:r>
          </w:p>
        </w:tc>
      </w:tr>
      <w:tr w:rsidR="00CA3B52" w:rsidRPr="00166F49" w:rsidTr="002D1D5C">
        <w:trPr>
          <w:jc w:val="center"/>
        </w:trPr>
        <w:tc>
          <w:tcPr>
            <w:tcW w:w="2677" w:type="dxa"/>
          </w:tcPr>
          <w:p w:rsidR="00CA3B52" w:rsidRPr="00BD4C8D" w:rsidRDefault="00CA3B52" w:rsidP="002D1D5C">
            <w:pPr>
              <w:pStyle w:val="Tabletext"/>
              <w:rPr>
                <w:lang w:val="en-US"/>
              </w:rPr>
            </w:pPr>
            <w:r w:rsidRPr="00BD4C8D">
              <w:rPr>
                <w:lang w:val="en-US"/>
              </w:rPr>
              <w:t>From 3 up to 30 GHz</w:t>
            </w:r>
          </w:p>
        </w:tc>
        <w:tc>
          <w:tcPr>
            <w:tcW w:w="1559" w:type="dxa"/>
          </w:tcPr>
          <w:p w:rsidR="00CA3B52" w:rsidRPr="00BD4C8D" w:rsidRDefault="00CA3B52" w:rsidP="002D1D5C">
            <w:pPr>
              <w:pStyle w:val="Tabletext"/>
              <w:jc w:val="center"/>
              <w:rPr>
                <w:lang w:val="en-US"/>
              </w:rPr>
            </w:pPr>
            <w:r w:rsidRPr="00BD4C8D">
              <w:rPr>
                <w:lang w:val="en-US"/>
              </w:rPr>
              <w:t>1</w:t>
            </w:r>
          </w:p>
        </w:tc>
      </w:tr>
      <w:tr w:rsidR="00CA3B52" w:rsidRPr="00913D41" w:rsidTr="002D1D5C">
        <w:trPr>
          <w:jc w:val="center"/>
        </w:trPr>
        <w:tc>
          <w:tcPr>
            <w:tcW w:w="2677" w:type="dxa"/>
          </w:tcPr>
          <w:p w:rsidR="00CA3B52" w:rsidRPr="00913D41" w:rsidRDefault="00CA3B52" w:rsidP="002D1D5C">
            <w:pPr>
              <w:pStyle w:val="Tabletext"/>
              <w:rPr>
                <w:lang w:val="en-US"/>
              </w:rPr>
            </w:pPr>
            <w:r w:rsidRPr="00913D41">
              <w:rPr>
                <w:lang w:val="en-US"/>
              </w:rPr>
              <w:t>From 30 up to 300 GHz</w:t>
            </w:r>
          </w:p>
        </w:tc>
        <w:tc>
          <w:tcPr>
            <w:tcW w:w="1559" w:type="dxa"/>
          </w:tcPr>
          <w:p w:rsidR="00CA3B52" w:rsidRPr="00913D41" w:rsidRDefault="00CA3B52" w:rsidP="002D1D5C">
            <w:pPr>
              <w:pStyle w:val="Tabletext"/>
              <w:jc w:val="center"/>
              <w:rPr>
                <w:lang w:val="en-US"/>
              </w:rPr>
            </w:pPr>
            <w:r w:rsidRPr="00913D41">
              <w:rPr>
                <w:lang w:val="en-US"/>
              </w:rPr>
              <w:t>0.1</w:t>
            </w:r>
          </w:p>
        </w:tc>
      </w:tr>
    </w:tbl>
    <w:p w:rsidR="00CA3B52" w:rsidRDefault="00CA3B52" w:rsidP="00CA3B52">
      <w:pPr>
        <w:pStyle w:val="Tablefin"/>
      </w:pPr>
    </w:p>
    <w:p w:rsidR="00CA3B52" w:rsidRPr="009A67EA" w:rsidRDefault="00CA3B52" w:rsidP="00CA3B52">
      <w:pPr>
        <w:pStyle w:val="TableNo"/>
        <w:rPr>
          <w:lang w:val="en-US"/>
        </w:rPr>
      </w:pPr>
      <w:r w:rsidRPr="00913D41">
        <w:rPr>
          <w:lang w:val="en-US"/>
        </w:rPr>
        <w:t xml:space="preserve">TABLE </w:t>
      </w:r>
      <w:r>
        <w:rPr>
          <w:lang w:val="en-US"/>
        </w:rPr>
        <w:t>25</w:t>
      </w:r>
    </w:p>
    <w:p w:rsidR="00CA3B52" w:rsidRPr="00913D41" w:rsidRDefault="00CA3B52" w:rsidP="00CA3B52">
      <w:pPr>
        <w:pStyle w:val="Tabletitle"/>
        <w:rPr>
          <w:lang w:val="en-US"/>
        </w:rPr>
      </w:pPr>
      <w:r w:rsidRPr="00913D41">
        <w:rPr>
          <w:lang w:val="en-US"/>
        </w:rPr>
        <w:t xml:space="preserve">Coefficient </w:t>
      </w:r>
      <w:r w:rsidRPr="00913D41">
        <w:rPr>
          <w:i/>
          <w:lang w:val="en-US"/>
        </w:rPr>
        <w:t>K</w:t>
      </w:r>
      <w:r w:rsidRPr="00913D41">
        <w:rPr>
          <w:i/>
          <w:vertAlign w:val="subscript"/>
          <w:lang w:val="en-US"/>
        </w:rPr>
        <w:t>categ</w:t>
      </w:r>
      <w:r w:rsidRPr="00913D41">
        <w:rPr>
          <w:lang w:val="en-US"/>
        </w:rPr>
        <w:t xml:space="preserve"> taking into account category of frequency band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51"/>
        <w:gridCol w:w="2498"/>
      </w:tblGrid>
      <w:tr w:rsidR="00CA3B52" w:rsidRPr="00913D41" w:rsidTr="002D1D5C">
        <w:trPr>
          <w:jc w:val="center"/>
        </w:trPr>
        <w:tc>
          <w:tcPr>
            <w:tcW w:w="2660" w:type="dxa"/>
            <w:vMerge w:val="restart"/>
            <w:vAlign w:val="center"/>
          </w:tcPr>
          <w:p w:rsidR="00CA3B52" w:rsidRPr="00913D41" w:rsidRDefault="00CA3B52" w:rsidP="002D1D5C">
            <w:pPr>
              <w:pStyle w:val="Tablehead"/>
              <w:rPr>
                <w:lang w:val="en-US"/>
              </w:rPr>
            </w:pPr>
            <w:r w:rsidRPr="00913D41">
              <w:rPr>
                <w:lang w:val="en-US"/>
              </w:rPr>
              <w:t>Category of frequency band</w:t>
            </w:r>
          </w:p>
        </w:tc>
        <w:tc>
          <w:tcPr>
            <w:tcW w:w="5049" w:type="dxa"/>
            <w:gridSpan w:val="2"/>
            <w:vAlign w:val="center"/>
          </w:tcPr>
          <w:p w:rsidR="00CA3B52" w:rsidRPr="00913D41" w:rsidRDefault="00CA3B52" w:rsidP="002D1D5C">
            <w:pPr>
              <w:pStyle w:val="Tablehead"/>
              <w:rPr>
                <w:lang w:val="en-US"/>
              </w:rPr>
            </w:pPr>
            <w:r w:rsidRPr="00913D41">
              <w:rPr>
                <w:i/>
                <w:lang w:val="en-US"/>
              </w:rPr>
              <w:t>K</w:t>
            </w:r>
            <w:r w:rsidRPr="00913D41">
              <w:rPr>
                <w:i/>
                <w:vertAlign w:val="subscript"/>
                <w:lang w:val="en-US"/>
              </w:rPr>
              <w:t>categ</w:t>
            </w:r>
          </w:p>
        </w:tc>
      </w:tr>
      <w:tr w:rsidR="00CA3B52" w:rsidRPr="00913D41" w:rsidTr="002D1D5C">
        <w:trPr>
          <w:jc w:val="center"/>
        </w:trPr>
        <w:tc>
          <w:tcPr>
            <w:tcW w:w="2660" w:type="dxa"/>
            <w:vMerge/>
            <w:vAlign w:val="center"/>
          </w:tcPr>
          <w:p w:rsidR="00CA3B52" w:rsidRPr="00913D41" w:rsidRDefault="00CA3B52" w:rsidP="002D1D5C">
            <w:pPr>
              <w:pStyle w:val="Tablehead"/>
              <w:rPr>
                <w:lang w:val="en-US"/>
              </w:rPr>
            </w:pPr>
          </w:p>
        </w:tc>
        <w:tc>
          <w:tcPr>
            <w:tcW w:w="2551" w:type="dxa"/>
            <w:tcBorders>
              <w:right w:val="single" w:sz="4" w:space="0" w:color="auto"/>
            </w:tcBorders>
            <w:vAlign w:val="center"/>
          </w:tcPr>
          <w:p w:rsidR="00CA3B52" w:rsidRPr="00913D41" w:rsidRDefault="00CA3B52" w:rsidP="002D1D5C">
            <w:pPr>
              <w:pStyle w:val="Tablehead"/>
              <w:rPr>
                <w:lang w:val="en-US"/>
              </w:rPr>
            </w:pPr>
            <w:r w:rsidRPr="00913D41">
              <w:rPr>
                <w:lang w:val="en-US"/>
              </w:rPr>
              <w:t>For civil purpose system</w:t>
            </w:r>
          </w:p>
        </w:tc>
        <w:tc>
          <w:tcPr>
            <w:tcW w:w="2498" w:type="dxa"/>
            <w:tcBorders>
              <w:left w:val="single" w:sz="4" w:space="0" w:color="auto"/>
            </w:tcBorders>
            <w:vAlign w:val="center"/>
          </w:tcPr>
          <w:p w:rsidR="00CA3B52" w:rsidRPr="00913D41" w:rsidRDefault="00CA3B52" w:rsidP="002D1D5C">
            <w:pPr>
              <w:pStyle w:val="Tablehead"/>
              <w:rPr>
                <w:lang w:val="en-US"/>
              </w:rPr>
            </w:pPr>
            <w:r w:rsidRPr="00913D41">
              <w:rPr>
                <w:lang w:val="en-US"/>
              </w:rPr>
              <w:t>For Government system</w:t>
            </w:r>
          </w:p>
        </w:tc>
      </w:tr>
      <w:tr w:rsidR="00CA3B52" w:rsidRPr="00913D41" w:rsidTr="002D1D5C">
        <w:trPr>
          <w:jc w:val="center"/>
        </w:trPr>
        <w:tc>
          <w:tcPr>
            <w:tcW w:w="2660" w:type="dxa"/>
          </w:tcPr>
          <w:p w:rsidR="00CA3B52" w:rsidRPr="00913D41" w:rsidRDefault="00CA3B52" w:rsidP="002D1D5C">
            <w:pPr>
              <w:pStyle w:val="Tabletext"/>
              <w:jc w:val="center"/>
              <w:rPr>
                <w:lang w:val="en-US"/>
              </w:rPr>
            </w:pPr>
            <w:r w:rsidRPr="00913D41">
              <w:rPr>
                <w:lang w:val="en-US"/>
              </w:rPr>
              <w:t>Shared use</w:t>
            </w:r>
          </w:p>
        </w:tc>
        <w:tc>
          <w:tcPr>
            <w:tcW w:w="2551" w:type="dxa"/>
          </w:tcPr>
          <w:p w:rsidR="00CA3B52" w:rsidRPr="00913D41" w:rsidRDefault="00CA3B52" w:rsidP="002D1D5C">
            <w:pPr>
              <w:pStyle w:val="Tabletext"/>
              <w:jc w:val="center"/>
              <w:rPr>
                <w:lang w:val="en-US"/>
              </w:rPr>
            </w:pPr>
            <w:r w:rsidRPr="00913D41">
              <w:rPr>
                <w:lang w:val="en-US"/>
              </w:rPr>
              <w:t>1</w:t>
            </w:r>
          </w:p>
        </w:tc>
        <w:tc>
          <w:tcPr>
            <w:tcW w:w="2498" w:type="dxa"/>
          </w:tcPr>
          <w:p w:rsidR="00CA3B52" w:rsidRPr="00913D41" w:rsidRDefault="00CA3B52" w:rsidP="002D1D5C">
            <w:pPr>
              <w:pStyle w:val="Tabletext"/>
              <w:jc w:val="center"/>
              <w:rPr>
                <w:lang w:val="en-US"/>
              </w:rPr>
            </w:pPr>
            <w:r w:rsidRPr="00913D41">
              <w:rPr>
                <w:lang w:val="en-US"/>
              </w:rPr>
              <w:t>2</w:t>
            </w:r>
          </w:p>
        </w:tc>
      </w:tr>
      <w:tr w:rsidR="00CA3B52" w:rsidRPr="00913D41" w:rsidTr="002D1D5C">
        <w:trPr>
          <w:jc w:val="center"/>
        </w:trPr>
        <w:tc>
          <w:tcPr>
            <w:tcW w:w="2660" w:type="dxa"/>
          </w:tcPr>
          <w:p w:rsidR="00CA3B52" w:rsidRPr="00913D41" w:rsidRDefault="00CA3B52" w:rsidP="002D1D5C">
            <w:pPr>
              <w:pStyle w:val="Tabletext"/>
              <w:jc w:val="center"/>
              <w:rPr>
                <w:lang w:val="en-US"/>
              </w:rPr>
            </w:pPr>
            <w:r w:rsidRPr="00913D41">
              <w:rPr>
                <w:lang w:val="en-US"/>
              </w:rPr>
              <w:t>Government</w:t>
            </w:r>
          </w:p>
        </w:tc>
        <w:tc>
          <w:tcPr>
            <w:tcW w:w="2551" w:type="dxa"/>
          </w:tcPr>
          <w:p w:rsidR="00CA3B52" w:rsidRPr="00913D41" w:rsidRDefault="00CA3B52" w:rsidP="002D1D5C">
            <w:pPr>
              <w:pStyle w:val="Tabletext"/>
              <w:jc w:val="center"/>
              <w:rPr>
                <w:lang w:val="en-US"/>
              </w:rPr>
            </w:pPr>
            <w:r w:rsidRPr="00913D41">
              <w:rPr>
                <w:lang w:val="en-US"/>
              </w:rPr>
              <w:t>1.5</w:t>
            </w:r>
          </w:p>
        </w:tc>
        <w:tc>
          <w:tcPr>
            <w:tcW w:w="2498" w:type="dxa"/>
          </w:tcPr>
          <w:p w:rsidR="00CA3B52" w:rsidRPr="00913D41" w:rsidRDefault="00CA3B52" w:rsidP="002D1D5C">
            <w:pPr>
              <w:pStyle w:val="Tabletext"/>
              <w:jc w:val="center"/>
              <w:rPr>
                <w:lang w:val="en-US"/>
              </w:rPr>
            </w:pPr>
            <w:r w:rsidRPr="00913D41">
              <w:rPr>
                <w:lang w:val="en-US"/>
              </w:rPr>
              <w:t>0</w:t>
            </w:r>
          </w:p>
        </w:tc>
      </w:tr>
      <w:tr w:rsidR="00CA3B52" w:rsidRPr="00913D41" w:rsidTr="002D1D5C">
        <w:trPr>
          <w:jc w:val="center"/>
        </w:trPr>
        <w:tc>
          <w:tcPr>
            <w:tcW w:w="2660" w:type="dxa"/>
          </w:tcPr>
          <w:p w:rsidR="00CA3B52" w:rsidRPr="00913D41" w:rsidRDefault="00CA3B52" w:rsidP="002D1D5C">
            <w:pPr>
              <w:pStyle w:val="Tabletext"/>
              <w:jc w:val="center"/>
              <w:rPr>
                <w:lang w:val="en-US"/>
              </w:rPr>
            </w:pPr>
            <w:r w:rsidRPr="00913D41">
              <w:rPr>
                <w:lang w:val="en-US"/>
              </w:rPr>
              <w:t>Civil</w:t>
            </w:r>
          </w:p>
        </w:tc>
        <w:tc>
          <w:tcPr>
            <w:tcW w:w="2551" w:type="dxa"/>
          </w:tcPr>
          <w:p w:rsidR="00CA3B52" w:rsidRPr="00913D41" w:rsidRDefault="00CA3B52" w:rsidP="002D1D5C">
            <w:pPr>
              <w:pStyle w:val="Tabletext"/>
              <w:jc w:val="center"/>
              <w:rPr>
                <w:lang w:val="en-US"/>
              </w:rPr>
            </w:pPr>
            <w:r w:rsidRPr="00913D41">
              <w:rPr>
                <w:lang w:val="en-US"/>
              </w:rPr>
              <w:t>1</w:t>
            </w:r>
          </w:p>
        </w:tc>
        <w:tc>
          <w:tcPr>
            <w:tcW w:w="2498" w:type="dxa"/>
          </w:tcPr>
          <w:p w:rsidR="00CA3B52" w:rsidRPr="00913D41" w:rsidRDefault="00CA3B52" w:rsidP="002D1D5C">
            <w:pPr>
              <w:pStyle w:val="Tabletext"/>
              <w:jc w:val="center"/>
              <w:rPr>
                <w:lang w:val="en-US"/>
              </w:rPr>
            </w:pPr>
            <w:r w:rsidRPr="00913D41">
              <w:rPr>
                <w:lang w:val="en-US"/>
              </w:rPr>
              <w:t>2</w:t>
            </w:r>
          </w:p>
        </w:tc>
      </w:tr>
    </w:tbl>
    <w:p w:rsidR="00CA3B52" w:rsidRDefault="00CA3B52" w:rsidP="00CA3B52">
      <w:pPr>
        <w:pStyle w:val="Tablefin"/>
      </w:pPr>
    </w:p>
    <w:p w:rsidR="00CA3B52" w:rsidRPr="00741405" w:rsidRDefault="00CA3B52" w:rsidP="00CA3B52">
      <w:pPr>
        <w:pStyle w:val="TableNo"/>
      </w:pPr>
      <w:r w:rsidRPr="00741405">
        <w:t xml:space="preserve">TABLE </w:t>
      </w:r>
      <w:r>
        <w:t>26</w:t>
      </w:r>
    </w:p>
    <w:p w:rsidR="00CA3B52" w:rsidRPr="00913D41" w:rsidRDefault="00CA3B52" w:rsidP="00CA3B52">
      <w:pPr>
        <w:pStyle w:val="Tabletitle"/>
        <w:rPr>
          <w:lang w:val="en-US"/>
        </w:rPr>
      </w:pPr>
      <w:r w:rsidRPr="00913D41">
        <w:rPr>
          <w:lang w:val="en-US"/>
        </w:rPr>
        <w:t xml:space="preserve">Coefficient </w:t>
      </w:r>
      <w:r w:rsidRPr="00913D41">
        <w:rPr>
          <w:i/>
          <w:lang w:val="en-US"/>
        </w:rPr>
        <w:t>K</w:t>
      </w:r>
      <w:r w:rsidRPr="00913D41">
        <w:rPr>
          <w:i/>
          <w:vertAlign w:val="subscript"/>
          <w:lang w:val="en-US"/>
        </w:rPr>
        <w:t>adv</w:t>
      </w:r>
      <w:r w:rsidRPr="00913D41">
        <w:rPr>
          <w:lang w:val="en-US"/>
        </w:rPr>
        <w:t xml:space="preserve"> depending on the use of advanced radio technologies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513"/>
        <w:gridCol w:w="1383"/>
      </w:tblGrid>
      <w:tr w:rsidR="00CA3B52" w:rsidRPr="00913D41" w:rsidTr="002D1D5C">
        <w:trPr>
          <w:jc w:val="center"/>
        </w:trPr>
        <w:tc>
          <w:tcPr>
            <w:tcW w:w="675" w:type="dxa"/>
          </w:tcPr>
          <w:p w:rsidR="00CA3B52" w:rsidRPr="00913D41" w:rsidRDefault="00B62BDB" w:rsidP="002D1D5C">
            <w:pPr>
              <w:pStyle w:val="Tablehead"/>
            </w:pPr>
            <w:r>
              <w:t>No.</w:t>
            </w:r>
          </w:p>
        </w:tc>
        <w:tc>
          <w:tcPr>
            <w:tcW w:w="7513" w:type="dxa"/>
          </w:tcPr>
          <w:p w:rsidR="00CA3B52" w:rsidRPr="00913D41" w:rsidRDefault="00CA3B52" w:rsidP="002D1D5C">
            <w:pPr>
              <w:pStyle w:val="Tablehead"/>
              <w:rPr>
                <w:lang w:val="en-US"/>
              </w:rPr>
            </w:pPr>
            <w:r w:rsidRPr="00913D41">
              <w:rPr>
                <w:lang w:val="en-US"/>
              </w:rPr>
              <w:t>Group of radio technologies</w:t>
            </w:r>
          </w:p>
        </w:tc>
        <w:tc>
          <w:tcPr>
            <w:tcW w:w="1383" w:type="dxa"/>
          </w:tcPr>
          <w:p w:rsidR="00CA3B52" w:rsidRPr="00913D41" w:rsidRDefault="00CA3B52" w:rsidP="002D1D5C">
            <w:pPr>
              <w:pStyle w:val="Tablehead"/>
              <w:rPr>
                <w:lang w:val="en-US"/>
              </w:rPr>
            </w:pPr>
            <w:r w:rsidRPr="00913D41">
              <w:rPr>
                <w:i/>
                <w:lang w:val="en-US"/>
              </w:rPr>
              <w:t>K</w:t>
            </w:r>
            <w:r w:rsidRPr="00913D41">
              <w:rPr>
                <w:i/>
                <w:vertAlign w:val="subscript"/>
                <w:lang w:val="en-US"/>
              </w:rPr>
              <w:t>adv</w:t>
            </w:r>
          </w:p>
        </w:tc>
      </w:tr>
      <w:tr w:rsidR="00CA3B52" w:rsidRPr="00913D41" w:rsidTr="000338C4">
        <w:trPr>
          <w:jc w:val="center"/>
        </w:trPr>
        <w:tc>
          <w:tcPr>
            <w:tcW w:w="675" w:type="dxa"/>
          </w:tcPr>
          <w:p w:rsidR="00CA3B52" w:rsidRPr="00913D41" w:rsidRDefault="00CA3B52" w:rsidP="002D1D5C">
            <w:pPr>
              <w:pStyle w:val="Tabletext"/>
              <w:jc w:val="center"/>
              <w:rPr>
                <w:lang w:val="en-US"/>
              </w:rPr>
            </w:pPr>
            <w:r w:rsidRPr="00913D41">
              <w:rPr>
                <w:lang w:val="en-US"/>
              </w:rPr>
              <w:t>1</w:t>
            </w:r>
          </w:p>
        </w:tc>
        <w:tc>
          <w:tcPr>
            <w:tcW w:w="7513" w:type="dxa"/>
          </w:tcPr>
          <w:p w:rsidR="00CA3B52" w:rsidRPr="00913D41" w:rsidRDefault="00CA3B52" w:rsidP="002D1D5C">
            <w:pPr>
              <w:pStyle w:val="Tabletext"/>
              <w:rPr>
                <w:lang w:val="en-US"/>
              </w:rPr>
            </w:pPr>
            <w:r w:rsidRPr="00913D41">
              <w:rPr>
                <w:lang w:val="en-US"/>
              </w:rPr>
              <w:t>Advanced radio technologies identified by the Russian Federation Government in the “Plan to use frequency bands in the framework of developing advanced radio technologies in the Russian Federation”</w:t>
            </w:r>
            <w:r>
              <w:rPr>
                <w:lang w:val="en-US"/>
              </w:rPr>
              <w:t>.</w:t>
            </w:r>
          </w:p>
        </w:tc>
        <w:tc>
          <w:tcPr>
            <w:tcW w:w="1383" w:type="dxa"/>
          </w:tcPr>
          <w:p w:rsidR="00CA3B52" w:rsidRPr="00913D41" w:rsidRDefault="00CA3B52" w:rsidP="000338C4">
            <w:pPr>
              <w:pStyle w:val="Tabletext"/>
              <w:jc w:val="center"/>
              <w:rPr>
                <w:lang w:val="en-US"/>
              </w:rPr>
            </w:pPr>
            <w:r w:rsidRPr="00913D41">
              <w:rPr>
                <w:lang w:val="en-US"/>
              </w:rPr>
              <w:t>0.5</w:t>
            </w:r>
          </w:p>
        </w:tc>
      </w:tr>
      <w:tr w:rsidR="00CA3B52" w:rsidRPr="00913D41" w:rsidTr="000338C4">
        <w:trPr>
          <w:jc w:val="center"/>
        </w:trPr>
        <w:tc>
          <w:tcPr>
            <w:tcW w:w="675" w:type="dxa"/>
          </w:tcPr>
          <w:p w:rsidR="00CA3B52" w:rsidRPr="00913D41" w:rsidRDefault="00CA3B52" w:rsidP="002D1D5C">
            <w:pPr>
              <w:pStyle w:val="Tabletext"/>
              <w:jc w:val="center"/>
              <w:rPr>
                <w:lang w:val="en-US"/>
              </w:rPr>
            </w:pPr>
            <w:r w:rsidRPr="00913D41">
              <w:rPr>
                <w:lang w:val="en-US"/>
              </w:rPr>
              <w:t>2</w:t>
            </w:r>
          </w:p>
        </w:tc>
        <w:tc>
          <w:tcPr>
            <w:tcW w:w="7513" w:type="dxa"/>
          </w:tcPr>
          <w:p w:rsidR="00CA3B52" w:rsidRPr="00913D41" w:rsidRDefault="00CA3B52" w:rsidP="002D1D5C">
            <w:pPr>
              <w:pStyle w:val="Tabletext"/>
              <w:rPr>
                <w:lang w:val="en-US"/>
              </w:rPr>
            </w:pPr>
            <w:r w:rsidRPr="00913D41">
              <w:rPr>
                <w:lang w:val="en-US"/>
              </w:rPr>
              <w:t>Civil radio technologies for which the SRFC of the Russian Federation has taken the decision to cancel their further use and/or move this technology to other frequency bands.</w:t>
            </w:r>
          </w:p>
        </w:tc>
        <w:tc>
          <w:tcPr>
            <w:tcW w:w="1383" w:type="dxa"/>
          </w:tcPr>
          <w:p w:rsidR="00CA3B52" w:rsidRPr="00913D41" w:rsidRDefault="00CA3B52" w:rsidP="000338C4">
            <w:pPr>
              <w:pStyle w:val="Tabletext"/>
              <w:jc w:val="center"/>
              <w:rPr>
                <w:lang w:val="en-US"/>
              </w:rPr>
            </w:pPr>
            <w:r w:rsidRPr="00913D41">
              <w:rPr>
                <w:lang w:val="en-US"/>
              </w:rPr>
              <w:t>3</w:t>
            </w:r>
          </w:p>
        </w:tc>
      </w:tr>
      <w:tr w:rsidR="00CA3B52" w:rsidRPr="009A67EA" w:rsidTr="000338C4">
        <w:trPr>
          <w:jc w:val="center"/>
        </w:trPr>
        <w:tc>
          <w:tcPr>
            <w:tcW w:w="675" w:type="dxa"/>
          </w:tcPr>
          <w:p w:rsidR="00CA3B52" w:rsidRPr="00913D41" w:rsidRDefault="00CA3B52" w:rsidP="002D1D5C">
            <w:pPr>
              <w:pStyle w:val="Tabletext"/>
              <w:jc w:val="center"/>
              <w:rPr>
                <w:lang w:val="en-US"/>
              </w:rPr>
            </w:pPr>
            <w:r w:rsidRPr="00913D41">
              <w:rPr>
                <w:lang w:val="en-US"/>
              </w:rPr>
              <w:t>3</w:t>
            </w:r>
          </w:p>
        </w:tc>
        <w:tc>
          <w:tcPr>
            <w:tcW w:w="7513" w:type="dxa"/>
          </w:tcPr>
          <w:p w:rsidR="00CA3B52" w:rsidRPr="00913D41" w:rsidRDefault="00CA3B52" w:rsidP="00B62BDB">
            <w:pPr>
              <w:pStyle w:val="Tabletext"/>
              <w:rPr>
                <w:lang w:val="en-US"/>
              </w:rPr>
            </w:pPr>
            <w:r w:rsidRPr="00913D41">
              <w:rPr>
                <w:lang w:val="en-US"/>
              </w:rPr>
              <w:t xml:space="preserve">Other civil radio technologies based on digital processing, not covered by </w:t>
            </w:r>
            <w:r w:rsidR="00B62BDB">
              <w:rPr>
                <w:lang w:val="en-US"/>
              </w:rPr>
              <w:t xml:space="preserve">Nos </w:t>
            </w:r>
            <w:r w:rsidRPr="00913D41">
              <w:rPr>
                <w:lang w:val="en-US"/>
              </w:rPr>
              <w:t xml:space="preserve">1 and 2 of this </w:t>
            </w:r>
            <w:r w:rsidR="00B62BDB">
              <w:rPr>
                <w:lang w:val="en-US"/>
              </w:rPr>
              <w:t>T</w:t>
            </w:r>
            <w:r w:rsidRPr="00913D41">
              <w:rPr>
                <w:lang w:val="en-US"/>
              </w:rPr>
              <w:t>able.</w:t>
            </w:r>
          </w:p>
        </w:tc>
        <w:tc>
          <w:tcPr>
            <w:tcW w:w="1383" w:type="dxa"/>
          </w:tcPr>
          <w:p w:rsidR="00CA3B52" w:rsidRPr="009A67EA" w:rsidRDefault="00CA3B52" w:rsidP="000338C4">
            <w:pPr>
              <w:pStyle w:val="Tabletext"/>
              <w:jc w:val="center"/>
              <w:rPr>
                <w:lang w:val="en-US"/>
              </w:rPr>
            </w:pPr>
            <w:r w:rsidRPr="00913D41">
              <w:rPr>
                <w:lang w:val="en-US"/>
              </w:rPr>
              <w:t>1</w:t>
            </w:r>
          </w:p>
        </w:tc>
      </w:tr>
    </w:tbl>
    <w:p w:rsidR="00CA3B52" w:rsidRPr="00741405" w:rsidRDefault="00CA3B52" w:rsidP="00CA3B52">
      <w:pPr>
        <w:pStyle w:val="TableNo"/>
      </w:pPr>
      <w:r w:rsidRPr="00741405">
        <w:lastRenderedPageBreak/>
        <w:t xml:space="preserve">TABLE </w:t>
      </w:r>
      <w:r>
        <w:t>26 (</w:t>
      </w:r>
      <w:r w:rsidRPr="008567DA">
        <w:rPr>
          <w:i/>
          <w:iCs/>
        </w:rPr>
        <w:t>end</w:t>
      </w:r>
      <w: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513"/>
        <w:gridCol w:w="1383"/>
      </w:tblGrid>
      <w:tr w:rsidR="00CA3B52" w:rsidRPr="00913D41" w:rsidTr="002D1D5C">
        <w:trPr>
          <w:jc w:val="center"/>
        </w:trPr>
        <w:tc>
          <w:tcPr>
            <w:tcW w:w="675" w:type="dxa"/>
          </w:tcPr>
          <w:p w:rsidR="00CA3B52" w:rsidRPr="00913D41" w:rsidRDefault="00B62BDB" w:rsidP="002D1D5C">
            <w:pPr>
              <w:pStyle w:val="Tablehead"/>
            </w:pPr>
            <w:r>
              <w:t>No.</w:t>
            </w:r>
          </w:p>
        </w:tc>
        <w:tc>
          <w:tcPr>
            <w:tcW w:w="7513" w:type="dxa"/>
          </w:tcPr>
          <w:p w:rsidR="00CA3B52" w:rsidRPr="00913D41" w:rsidRDefault="00CA3B52" w:rsidP="002D1D5C">
            <w:pPr>
              <w:pStyle w:val="Tablehead"/>
              <w:rPr>
                <w:lang w:val="en-US"/>
              </w:rPr>
            </w:pPr>
            <w:r w:rsidRPr="00913D41">
              <w:rPr>
                <w:lang w:val="en-US"/>
              </w:rPr>
              <w:t>Group of radio technologies</w:t>
            </w:r>
          </w:p>
        </w:tc>
        <w:tc>
          <w:tcPr>
            <w:tcW w:w="1383" w:type="dxa"/>
          </w:tcPr>
          <w:p w:rsidR="00CA3B52" w:rsidRPr="00913D41" w:rsidRDefault="00CA3B52" w:rsidP="002D1D5C">
            <w:pPr>
              <w:pStyle w:val="Tablehead"/>
              <w:rPr>
                <w:lang w:val="en-US"/>
              </w:rPr>
            </w:pPr>
            <w:r w:rsidRPr="00913D41">
              <w:rPr>
                <w:i/>
                <w:lang w:val="en-US"/>
              </w:rPr>
              <w:t>K</w:t>
            </w:r>
            <w:r w:rsidRPr="00913D41">
              <w:rPr>
                <w:i/>
                <w:vertAlign w:val="subscript"/>
                <w:lang w:val="en-US"/>
              </w:rPr>
              <w:t>adv</w:t>
            </w:r>
          </w:p>
        </w:tc>
      </w:tr>
      <w:tr w:rsidR="00CA3B52" w:rsidRPr="00B62BDB" w:rsidTr="000338C4">
        <w:trPr>
          <w:jc w:val="center"/>
        </w:trPr>
        <w:tc>
          <w:tcPr>
            <w:tcW w:w="675" w:type="dxa"/>
          </w:tcPr>
          <w:p w:rsidR="00CA3B52" w:rsidRPr="009A67EA" w:rsidRDefault="00CA3B52" w:rsidP="002D1D5C">
            <w:pPr>
              <w:pStyle w:val="Tabletext"/>
              <w:keepNext/>
              <w:jc w:val="center"/>
              <w:rPr>
                <w:lang w:val="en-US"/>
              </w:rPr>
            </w:pPr>
            <w:r w:rsidRPr="009A67EA">
              <w:rPr>
                <w:lang w:val="en-US"/>
              </w:rPr>
              <w:t>4</w:t>
            </w:r>
          </w:p>
        </w:tc>
        <w:tc>
          <w:tcPr>
            <w:tcW w:w="7513" w:type="dxa"/>
            <w:shd w:val="clear" w:color="auto" w:fill="auto"/>
          </w:tcPr>
          <w:p w:rsidR="00CA3B52" w:rsidRPr="00913D41" w:rsidRDefault="00CA3B52" w:rsidP="00B62BDB">
            <w:pPr>
              <w:pStyle w:val="Tabletext"/>
              <w:keepNext/>
              <w:rPr>
                <w:lang w:val="en-US"/>
              </w:rPr>
            </w:pPr>
            <w:r w:rsidRPr="00913D41">
              <w:rPr>
                <w:lang w:val="en-US"/>
              </w:rPr>
              <w:t xml:space="preserve">Other civil radio technologies based on analog processing, not covered by </w:t>
            </w:r>
            <w:r w:rsidR="00B62BDB">
              <w:rPr>
                <w:lang w:val="en-US"/>
              </w:rPr>
              <w:t xml:space="preserve">Nos </w:t>
            </w:r>
            <w:r w:rsidRPr="00913D41">
              <w:rPr>
                <w:lang w:val="en-US"/>
              </w:rPr>
              <w:t xml:space="preserve">1 and 2 of this </w:t>
            </w:r>
            <w:r w:rsidR="00B62BDB">
              <w:rPr>
                <w:lang w:val="en-US"/>
              </w:rPr>
              <w:t>T</w:t>
            </w:r>
            <w:r w:rsidRPr="00913D41">
              <w:rPr>
                <w:lang w:val="en-US"/>
              </w:rPr>
              <w:t>able.</w:t>
            </w:r>
          </w:p>
        </w:tc>
        <w:tc>
          <w:tcPr>
            <w:tcW w:w="1383" w:type="dxa"/>
          </w:tcPr>
          <w:p w:rsidR="00CA3B52" w:rsidRPr="009A67EA" w:rsidRDefault="00CA3B52" w:rsidP="000338C4">
            <w:pPr>
              <w:pStyle w:val="Tabletext"/>
              <w:keepNext/>
              <w:jc w:val="center"/>
              <w:rPr>
                <w:lang w:val="en-US"/>
              </w:rPr>
            </w:pPr>
            <w:r w:rsidRPr="009A67EA">
              <w:rPr>
                <w:lang w:val="en-US"/>
              </w:rPr>
              <w:t>1.5</w:t>
            </w:r>
          </w:p>
        </w:tc>
      </w:tr>
      <w:tr w:rsidR="00CA3B52" w:rsidRPr="00B62BDB" w:rsidTr="000338C4">
        <w:trPr>
          <w:jc w:val="center"/>
        </w:trPr>
        <w:tc>
          <w:tcPr>
            <w:tcW w:w="675" w:type="dxa"/>
          </w:tcPr>
          <w:p w:rsidR="00CA3B52" w:rsidRPr="009A67EA" w:rsidRDefault="00CA3B52" w:rsidP="002D1D5C">
            <w:pPr>
              <w:pStyle w:val="Tabletext"/>
              <w:jc w:val="center"/>
              <w:rPr>
                <w:lang w:val="en-US"/>
              </w:rPr>
            </w:pPr>
            <w:r w:rsidRPr="009A67EA">
              <w:rPr>
                <w:lang w:val="en-US"/>
              </w:rPr>
              <w:t>5</w:t>
            </w:r>
          </w:p>
        </w:tc>
        <w:tc>
          <w:tcPr>
            <w:tcW w:w="7513" w:type="dxa"/>
            <w:shd w:val="clear" w:color="auto" w:fill="auto"/>
          </w:tcPr>
          <w:p w:rsidR="00CA3B52" w:rsidRPr="00913D41" w:rsidRDefault="00CA3B52" w:rsidP="00B62BDB">
            <w:pPr>
              <w:pStyle w:val="Tabletext"/>
              <w:rPr>
                <w:lang w:val="en-US"/>
              </w:rPr>
            </w:pPr>
            <w:r w:rsidRPr="00913D41">
              <w:rPr>
                <w:lang w:val="en-US"/>
              </w:rPr>
              <w:t xml:space="preserve">Radio technologies serving state administration, including presidential and government communications, national defense, state security and law enforcement, not covered by </w:t>
            </w:r>
            <w:r w:rsidR="00B62BDB">
              <w:rPr>
                <w:lang w:val="en-US"/>
              </w:rPr>
              <w:t xml:space="preserve">No. </w:t>
            </w:r>
            <w:r w:rsidRPr="00913D41">
              <w:rPr>
                <w:lang w:val="en-US"/>
              </w:rPr>
              <w:t xml:space="preserve">1 of this </w:t>
            </w:r>
            <w:r w:rsidR="00B62BDB">
              <w:rPr>
                <w:lang w:val="en-US"/>
              </w:rPr>
              <w:t>T</w:t>
            </w:r>
            <w:r w:rsidRPr="00913D41">
              <w:rPr>
                <w:lang w:val="en-US"/>
              </w:rPr>
              <w:t>able.</w:t>
            </w:r>
          </w:p>
        </w:tc>
        <w:tc>
          <w:tcPr>
            <w:tcW w:w="1383" w:type="dxa"/>
          </w:tcPr>
          <w:p w:rsidR="00CA3B52" w:rsidRPr="009A67EA" w:rsidRDefault="00CA3B52" w:rsidP="000338C4">
            <w:pPr>
              <w:pStyle w:val="Tabletext"/>
              <w:jc w:val="center"/>
              <w:rPr>
                <w:lang w:val="en-US"/>
              </w:rPr>
            </w:pPr>
            <w:r w:rsidRPr="009A67EA">
              <w:rPr>
                <w:lang w:val="en-US"/>
              </w:rPr>
              <w:t>1</w:t>
            </w:r>
          </w:p>
        </w:tc>
      </w:tr>
    </w:tbl>
    <w:p w:rsidR="00CA3B52" w:rsidRDefault="00CA3B52" w:rsidP="00CA3B52">
      <w:pPr>
        <w:pStyle w:val="Tablefin"/>
      </w:pPr>
    </w:p>
    <w:p w:rsidR="00CA3B52" w:rsidRPr="00913D41" w:rsidRDefault="00CA3B52" w:rsidP="00CA3B52">
      <w:pPr>
        <w:pStyle w:val="TableNo"/>
        <w:rPr>
          <w:lang w:val="en-US"/>
        </w:rPr>
      </w:pPr>
      <w:r w:rsidRPr="00913D41">
        <w:rPr>
          <w:lang w:val="en-US"/>
        </w:rPr>
        <w:t xml:space="preserve">TABLE </w:t>
      </w:r>
      <w:r>
        <w:rPr>
          <w:lang w:val="en-US"/>
        </w:rPr>
        <w:t>27</w:t>
      </w:r>
    </w:p>
    <w:p w:rsidR="00CA3B52" w:rsidRPr="00913D41" w:rsidRDefault="00CA3B52" w:rsidP="00CA3B52">
      <w:pPr>
        <w:pStyle w:val="Tabletitle"/>
        <w:rPr>
          <w:lang w:val="en-US"/>
        </w:rPr>
      </w:pPr>
      <w:r w:rsidRPr="00913D41">
        <w:rPr>
          <w:lang w:val="en-US"/>
        </w:rPr>
        <w:t>Coefficient depending on the requ</w:t>
      </w:r>
      <w:r>
        <w:rPr>
          <w:lang w:val="en-US"/>
        </w:rPr>
        <w:t>ired signal bandwidth necessary</w:t>
      </w:r>
      <w:r>
        <w:rPr>
          <w:lang w:val="en-US"/>
        </w:rPr>
        <w:br/>
      </w:r>
      <w:r w:rsidRPr="00913D41">
        <w:rPr>
          <w:lang w:val="en-US"/>
        </w:rPr>
        <w:t>to transmit information with the specified quality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701"/>
      </w:tblGrid>
      <w:tr w:rsidR="00CA3B52" w:rsidRPr="00913D41" w:rsidTr="002D1D5C">
        <w:trPr>
          <w:jc w:val="center"/>
        </w:trPr>
        <w:tc>
          <w:tcPr>
            <w:tcW w:w="3652" w:type="dxa"/>
          </w:tcPr>
          <w:p w:rsidR="00CA3B52" w:rsidRPr="00913D41" w:rsidRDefault="00CA3B52" w:rsidP="002D1D5C">
            <w:pPr>
              <w:pStyle w:val="Tablehead"/>
              <w:rPr>
                <w:lang w:val="en-US"/>
              </w:rPr>
            </w:pPr>
            <w:r w:rsidRPr="00913D41">
              <w:rPr>
                <w:lang w:val="en-US"/>
              </w:rPr>
              <w:t>Required bandwidth</w:t>
            </w:r>
          </w:p>
        </w:tc>
        <w:tc>
          <w:tcPr>
            <w:tcW w:w="1701" w:type="dxa"/>
          </w:tcPr>
          <w:p w:rsidR="00CA3B52" w:rsidRPr="00913D41" w:rsidRDefault="00CA3B52" w:rsidP="002D1D5C">
            <w:pPr>
              <w:pStyle w:val="Tablehead"/>
              <w:rPr>
                <w:lang w:val="en-US"/>
              </w:rPr>
            </w:pPr>
            <w:r w:rsidRPr="00913D41">
              <w:rPr>
                <w:i/>
                <w:lang w:val="en-US"/>
              </w:rPr>
              <w:t>K</w:t>
            </w:r>
            <w:r w:rsidRPr="00913D41">
              <w:rPr>
                <w:i/>
                <w:vertAlign w:val="subscript"/>
                <w:lang w:val="en-US"/>
              </w:rPr>
              <w:t>Breq</w:t>
            </w:r>
          </w:p>
        </w:tc>
      </w:tr>
      <w:tr w:rsidR="00CA3B52" w:rsidRPr="00913D41" w:rsidTr="002D1D5C">
        <w:trPr>
          <w:jc w:val="center"/>
        </w:trPr>
        <w:tc>
          <w:tcPr>
            <w:tcW w:w="3652" w:type="dxa"/>
          </w:tcPr>
          <w:p w:rsidR="00CA3B52" w:rsidRPr="00913D41" w:rsidRDefault="00CA3B52" w:rsidP="002D1D5C">
            <w:pPr>
              <w:pStyle w:val="Tabletext"/>
              <w:rPr>
                <w:lang w:val="en-US"/>
              </w:rPr>
            </w:pPr>
            <w:r w:rsidRPr="00913D41">
              <w:rPr>
                <w:lang w:val="en-US"/>
              </w:rPr>
              <w:t>Less than 100 kHz</w:t>
            </w:r>
          </w:p>
        </w:tc>
        <w:tc>
          <w:tcPr>
            <w:tcW w:w="1701" w:type="dxa"/>
          </w:tcPr>
          <w:p w:rsidR="00CA3B52" w:rsidRPr="00913D41" w:rsidRDefault="00CA3B52" w:rsidP="002D1D5C">
            <w:pPr>
              <w:pStyle w:val="Tabletext"/>
              <w:jc w:val="center"/>
              <w:rPr>
                <w:lang w:val="en-US"/>
              </w:rPr>
            </w:pPr>
            <w:r w:rsidRPr="00913D41">
              <w:rPr>
                <w:lang w:val="en-US"/>
              </w:rPr>
              <w:t>1</w:t>
            </w:r>
          </w:p>
        </w:tc>
      </w:tr>
      <w:tr w:rsidR="00CA3B52" w:rsidRPr="00913D41" w:rsidTr="002D1D5C">
        <w:trPr>
          <w:jc w:val="center"/>
        </w:trPr>
        <w:tc>
          <w:tcPr>
            <w:tcW w:w="3652" w:type="dxa"/>
          </w:tcPr>
          <w:p w:rsidR="00CA3B52" w:rsidRPr="00913D41" w:rsidRDefault="00CA3B52" w:rsidP="002D1D5C">
            <w:pPr>
              <w:pStyle w:val="Tabletext"/>
              <w:rPr>
                <w:lang w:val="en-US"/>
              </w:rPr>
            </w:pPr>
            <w:r w:rsidRPr="00913D41">
              <w:rPr>
                <w:lang w:val="en-US"/>
              </w:rPr>
              <w:t xml:space="preserve">From 100 kHz up to 1 MHz </w:t>
            </w:r>
          </w:p>
        </w:tc>
        <w:tc>
          <w:tcPr>
            <w:tcW w:w="1701" w:type="dxa"/>
          </w:tcPr>
          <w:p w:rsidR="00CA3B52" w:rsidRPr="00913D41" w:rsidRDefault="00CA3B52" w:rsidP="002D1D5C">
            <w:pPr>
              <w:pStyle w:val="Tabletext"/>
              <w:jc w:val="center"/>
              <w:rPr>
                <w:lang w:val="en-US"/>
              </w:rPr>
            </w:pPr>
            <w:r w:rsidRPr="00913D41">
              <w:rPr>
                <w:lang w:val="en-US"/>
              </w:rPr>
              <w:t>2</w:t>
            </w:r>
          </w:p>
        </w:tc>
      </w:tr>
      <w:tr w:rsidR="00CA3B52" w:rsidRPr="00913D41" w:rsidTr="002D1D5C">
        <w:trPr>
          <w:jc w:val="center"/>
        </w:trPr>
        <w:tc>
          <w:tcPr>
            <w:tcW w:w="3652" w:type="dxa"/>
          </w:tcPr>
          <w:p w:rsidR="00CA3B52" w:rsidRPr="00913D41" w:rsidRDefault="00CA3B52" w:rsidP="002D1D5C">
            <w:pPr>
              <w:pStyle w:val="Tabletext"/>
              <w:rPr>
                <w:lang w:val="en-US"/>
              </w:rPr>
            </w:pPr>
            <w:r w:rsidRPr="00913D41">
              <w:rPr>
                <w:lang w:val="en-US"/>
              </w:rPr>
              <w:t>From 1 MHz up to 10 MHz</w:t>
            </w:r>
          </w:p>
        </w:tc>
        <w:tc>
          <w:tcPr>
            <w:tcW w:w="1701" w:type="dxa"/>
          </w:tcPr>
          <w:p w:rsidR="00CA3B52" w:rsidRPr="00913D41" w:rsidRDefault="00CA3B52" w:rsidP="002D1D5C">
            <w:pPr>
              <w:pStyle w:val="Tabletext"/>
              <w:jc w:val="center"/>
              <w:rPr>
                <w:lang w:val="en-US"/>
              </w:rPr>
            </w:pPr>
            <w:r w:rsidRPr="00913D41">
              <w:rPr>
                <w:lang w:val="en-US"/>
              </w:rPr>
              <w:t>2.5</w:t>
            </w:r>
          </w:p>
        </w:tc>
      </w:tr>
      <w:tr w:rsidR="00CA3B52" w:rsidRPr="009A67EA" w:rsidTr="002D1D5C">
        <w:trPr>
          <w:jc w:val="center"/>
        </w:trPr>
        <w:tc>
          <w:tcPr>
            <w:tcW w:w="3652" w:type="dxa"/>
          </w:tcPr>
          <w:p w:rsidR="00CA3B52" w:rsidRPr="00913D41" w:rsidRDefault="00CA3B52" w:rsidP="002D1D5C">
            <w:pPr>
              <w:pStyle w:val="Tabletext"/>
              <w:rPr>
                <w:lang w:val="en-US"/>
              </w:rPr>
            </w:pPr>
            <w:r w:rsidRPr="00913D41">
              <w:rPr>
                <w:lang w:val="en-US"/>
              </w:rPr>
              <w:t>More than 10 MHz</w:t>
            </w:r>
          </w:p>
        </w:tc>
        <w:tc>
          <w:tcPr>
            <w:tcW w:w="1701" w:type="dxa"/>
          </w:tcPr>
          <w:p w:rsidR="00CA3B52" w:rsidRPr="009A67EA" w:rsidRDefault="00CA3B52" w:rsidP="002D1D5C">
            <w:pPr>
              <w:pStyle w:val="Tabletext"/>
              <w:jc w:val="center"/>
              <w:rPr>
                <w:lang w:val="en-US"/>
              </w:rPr>
            </w:pPr>
            <w:r w:rsidRPr="00913D41">
              <w:rPr>
                <w:lang w:val="en-US"/>
              </w:rPr>
              <w:t>3</w:t>
            </w:r>
          </w:p>
        </w:tc>
      </w:tr>
    </w:tbl>
    <w:p w:rsidR="00CA3B52" w:rsidRDefault="00CA3B52" w:rsidP="00CA3B52">
      <w:pPr>
        <w:pStyle w:val="Tablefin"/>
      </w:pPr>
    </w:p>
    <w:p w:rsidR="00CA3B52" w:rsidRPr="00913D41" w:rsidRDefault="00CA3B52" w:rsidP="00CA3B52">
      <w:pPr>
        <w:pStyle w:val="Note"/>
        <w:rPr>
          <w:lang w:val="en-US"/>
        </w:rPr>
      </w:pPr>
      <w:r>
        <w:rPr>
          <w:lang w:val="en-US"/>
        </w:rPr>
        <w:t xml:space="preserve">NOTE </w:t>
      </w:r>
      <w:r w:rsidR="00E712CE">
        <w:rPr>
          <w:lang w:val="en-US"/>
        </w:rPr>
        <w:t xml:space="preserve">1 </w:t>
      </w:r>
      <w:r>
        <w:rPr>
          <w:lang w:val="en-US"/>
        </w:rPr>
        <w:t xml:space="preserve">– </w:t>
      </w:r>
      <w:r w:rsidRPr="00913D41">
        <w:rPr>
          <w:lang w:val="en-US"/>
        </w:rPr>
        <w:t xml:space="preserve">If the authorization to use radio frequencies or radio channels indicates several </w:t>
      </w:r>
      <w:r w:rsidRPr="00913D41">
        <w:rPr>
          <w:color w:val="000000"/>
          <w:lang w:val="en-US"/>
        </w:rPr>
        <w:t>required bandwidths</w:t>
      </w:r>
      <w:r w:rsidRPr="00913D41">
        <w:rPr>
          <w:lang w:val="en-US"/>
        </w:rPr>
        <w:t xml:space="preserve">, then the maximum value of </w:t>
      </w:r>
      <w:r w:rsidRPr="00B310E9">
        <w:rPr>
          <w:i/>
          <w:iCs/>
          <w:color w:val="000000"/>
          <w:lang w:val="en-US"/>
        </w:rPr>
        <w:t>B</w:t>
      </w:r>
      <w:r w:rsidRPr="00B310E9">
        <w:rPr>
          <w:i/>
          <w:iCs/>
          <w:color w:val="000000"/>
          <w:vertAlign w:val="subscript"/>
          <w:lang w:val="en-US"/>
        </w:rPr>
        <w:t>req</w:t>
      </w:r>
      <w:r w:rsidRPr="00913D41">
        <w:rPr>
          <w:color w:val="000000"/>
          <w:lang w:val="en-US"/>
        </w:rPr>
        <w:t xml:space="preserve"> i</w:t>
      </w:r>
      <w:r w:rsidRPr="00913D41">
        <w:rPr>
          <w:lang w:val="en-US"/>
        </w:rPr>
        <w:t>s used.</w:t>
      </w:r>
    </w:p>
    <w:p w:rsidR="00CA3B52" w:rsidRPr="00913D41" w:rsidRDefault="00CA3B52" w:rsidP="00CA3B52">
      <w:pPr>
        <w:rPr>
          <w:lang w:val="en-US"/>
        </w:rPr>
      </w:pPr>
      <w:r w:rsidRPr="00913D41">
        <w:rPr>
          <w:lang w:val="en-US"/>
        </w:rPr>
        <w:t xml:space="preserve">For ES and VSAT Hub stations, </w:t>
      </w:r>
      <w:r w:rsidRPr="00913D41">
        <w:rPr>
          <w:i/>
          <w:lang w:val="en-US"/>
        </w:rPr>
        <w:t>K</w:t>
      </w:r>
      <w:r w:rsidRPr="00913D41">
        <w:rPr>
          <w:i/>
          <w:vertAlign w:val="subscript"/>
          <w:lang w:val="en-US"/>
        </w:rPr>
        <w:t>Breq</w:t>
      </w:r>
      <w:r w:rsidRPr="00913D41">
        <w:rPr>
          <w:lang w:val="en-US"/>
        </w:rPr>
        <w:t xml:space="preserve"> = 1.</w:t>
      </w:r>
    </w:p>
    <w:p w:rsidR="00CA3B52" w:rsidRPr="009A67EA" w:rsidRDefault="00CA3B52" w:rsidP="00CA3B52">
      <w:pPr>
        <w:rPr>
          <w:lang w:val="en-US"/>
        </w:rPr>
      </w:pPr>
      <w:r w:rsidRPr="00E05E3A">
        <w:rPr>
          <w:lang w:val="en-US"/>
        </w:rPr>
        <w:t xml:space="preserve">For devices generating radio noise, </w:t>
      </w:r>
      <w:r w:rsidRPr="00E05E3A">
        <w:rPr>
          <w:i/>
          <w:lang w:val="en-US"/>
        </w:rPr>
        <w:t>K</w:t>
      </w:r>
      <w:r w:rsidRPr="00E05E3A">
        <w:rPr>
          <w:i/>
          <w:vertAlign w:val="subscript"/>
          <w:lang w:val="en-US"/>
        </w:rPr>
        <w:t>Breq</w:t>
      </w:r>
      <w:r w:rsidRPr="00E05E3A">
        <w:rPr>
          <w:lang w:val="en-US"/>
        </w:rPr>
        <w:t xml:space="preserve"> = 0.</w:t>
      </w:r>
    </w:p>
    <w:p w:rsidR="00CA3B52" w:rsidRPr="009A67EA" w:rsidRDefault="00CA3B52" w:rsidP="00CA3B52">
      <w:pPr>
        <w:rPr>
          <w:lang w:val="en-US"/>
        </w:rPr>
      </w:pPr>
      <w:r w:rsidRPr="00E05E3A">
        <w:rPr>
          <w:lang w:val="en-US"/>
        </w:rPr>
        <w:t xml:space="preserve">When calculating </w:t>
      </w:r>
      <w:r w:rsidRPr="00E05E3A">
        <w:rPr>
          <w:i/>
          <w:lang w:val="en-US"/>
        </w:rPr>
        <w:t>K</w:t>
      </w:r>
      <w:r w:rsidRPr="00E05E3A">
        <w:rPr>
          <w:i/>
          <w:vertAlign w:val="subscript"/>
          <w:lang w:val="en-US"/>
        </w:rPr>
        <w:t>Nf</w:t>
      </w:r>
      <w:r w:rsidRPr="00E05E3A">
        <w:rPr>
          <w:lang w:val="en-US"/>
        </w:rPr>
        <w:t xml:space="preserve"> </w:t>
      </w:r>
      <w:r w:rsidRPr="00E05E3A">
        <w:rPr>
          <w:i/>
          <w:lang w:val="en-US"/>
        </w:rPr>
        <w:t xml:space="preserve">(N) </w:t>
      </w:r>
      <w:r w:rsidRPr="00E05E3A">
        <w:rPr>
          <w:lang w:val="en-US"/>
        </w:rPr>
        <w:t>in accordance with</w:t>
      </w:r>
      <w:r w:rsidRPr="00E05E3A">
        <w:rPr>
          <w:i/>
          <w:lang w:val="en-US"/>
        </w:rPr>
        <w:t xml:space="preserve"> </w:t>
      </w:r>
      <w:r w:rsidR="00B62BDB">
        <w:rPr>
          <w:lang w:val="en-US"/>
        </w:rPr>
        <w:t>the m</w:t>
      </w:r>
      <w:r w:rsidRPr="00E05E3A">
        <w:rPr>
          <w:lang w:val="en-US"/>
        </w:rPr>
        <w:t xml:space="preserve">ethodology, </w:t>
      </w:r>
      <w:r w:rsidRPr="00E05E3A">
        <w:rPr>
          <w:i/>
          <w:lang w:val="en-US"/>
        </w:rPr>
        <w:t>K</w:t>
      </w:r>
      <w:r w:rsidRPr="00E05E3A">
        <w:rPr>
          <w:i/>
          <w:vertAlign w:val="subscript"/>
          <w:lang w:val="en-US"/>
        </w:rPr>
        <w:t>Breq</w:t>
      </w:r>
      <w:r w:rsidRPr="00E05E3A">
        <w:rPr>
          <w:lang w:val="en-US"/>
        </w:rPr>
        <w:t xml:space="preserve"> = 1.</w:t>
      </w:r>
    </w:p>
    <w:p w:rsidR="00CA3B52" w:rsidRPr="00E05E3A" w:rsidRDefault="00CA3B52" w:rsidP="00CA3B52">
      <w:pPr>
        <w:pStyle w:val="TableNo"/>
        <w:rPr>
          <w:lang w:val="en-US"/>
        </w:rPr>
      </w:pPr>
      <w:r w:rsidRPr="00E05E3A">
        <w:rPr>
          <w:lang w:val="en-US"/>
        </w:rPr>
        <w:t xml:space="preserve">TABLE </w:t>
      </w:r>
      <w:r>
        <w:rPr>
          <w:lang w:val="en-US"/>
        </w:rPr>
        <w:t>28</w:t>
      </w:r>
    </w:p>
    <w:p w:rsidR="00CA3B52" w:rsidRPr="009A67EA" w:rsidRDefault="00CA3B52" w:rsidP="00CA3B52">
      <w:pPr>
        <w:pStyle w:val="Tabletitle"/>
        <w:rPr>
          <w:lang w:val="en-US"/>
        </w:rPr>
      </w:pPr>
      <w:r w:rsidRPr="00E05E3A">
        <w:rPr>
          <w:lang w:val="en-US"/>
        </w:rPr>
        <w:t>Coefficient depending on the population in the l</w:t>
      </w:r>
      <w:r>
        <w:rPr>
          <w:lang w:val="en-US"/>
        </w:rPr>
        <w:t>ocation of the radio system and</w:t>
      </w:r>
      <w:r>
        <w:rPr>
          <w:lang w:val="en-US"/>
        </w:rPr>
        <w:br/>
      </w:r>
      <w:r w:rsidRPr="00E05E3A">
        <w:rPr>
          <w:lang w:val="en-US"/>
        </w:rPr>
        <w:t>taking into account administrative boundaries of the community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418"/>
      </w:tblGrid>
      <w:tr w:rsidR="00CA3B52" w:rsidRPr="009A67EA" w:rsidTr="002D1D5C">
        <w:trPr>
          <w:jc w:val="center"/>
        </w:trPr>
        <w:tc>
          <w:tcPr>
            <w:tcW w:w="4644" w:type="dxa"/>
          </w:tcPr>
          <w:p w:rsidR="00CA3B52" w:rsidRPr="00E05E3A" w:rsidRDefault="00CA3B52" w:rsidP="002D1D5C">
            <w:pPr>
              <w:pStyle w:val="Tablehead"/>
              <w:rPr>
                <w:lang w:val="en-US"/>
              </w:rPr>
            </w:pPr>
            <w:r w:rsidRPr="00E05E3A">
              <w:rPr>
                <w:lang w:val="en-US"/>
              </w:rPr>
              <w:t>Population (in thousands)</w:t>
            </w:r>
          </w:p>
        </w:tc>
        <w:tc>
          <w:tcPr>
            <w:tcW w:w="1418" w:type="dxa"/>
          </w:tcPr>
          <w:p w:rsidR="00CA3B52" w:rsidRPr="00E05E3A" w:rsidRDefault="00CA3B52" w:rsidP="002D1D5C">
            <w:pPr>
              <w:pStyle w:val="Tablehead"/>
              <w:rPr>
                <w:lang w:val="en-US"/>
              </w:rPr>
            </w:pPr>
            <w:r w:rsidRPr="00E05E3A">
              <w:rPr>
                <w:i/>
                <w:lang w:val="en-US"/>
              </w:rPr>
              <w:t>K</w:t>
            </w:r>
            <w:r w:rsidRPr="00E05E3A">
              <w:rPr>
                <w:i/>
                <w:vertAlign w:val="subscript"/>
                <w:lang w:val="en-US"/>
              </w:rPr>
              <w:t>pop</w:t>
            </w:r>
          </w:p>
        </w:tc>
      </w:tr>
      <w:tr w:rsidR="00CA3B52" w:rsidRPr="009A67EA" w:rsidTr="002D1D5C">
        <w:trPr>
          <w:jc w:val="center"/>
        </w:trPr>
        <w:tc>
          <w:tcPr>
            <w:tcW w:w="4644" w:type="dxa"/>
          </w:tcPr>
          <w:p w:rsidR="00CA3B52" w:rsidRPr="00E05E3A" w:rsidRDefault="00CA3B52" w:rsidP="002D1D5C">
            <w:pPr>
              <w:pStyle w:val="Tabletext"/>
              <w:rPr>
                <w:lang w:val="en-US"/>
              </w:rPr>
            </w:pPr>
            <w:r w:rsidRPr="00E05E3A">
              <w:rPr>
                <w:lang w:val="en-US"/>
              </w:rPr>
              <w:t xml:space="preserve">Regions of the </w:t>
            </w:r>
            <w:r w:rsidR="00B62BDB" w:rsidRPr="00E05E3A">
              <w:rPr>
                <w:color w:val="000000"/>
                <w:lang w:val="en-US"/>
              </w:rPr>
              <w:t>far north</w:t>
            </w:r>
            <w:r w:rsidR="00B62BDB" w:rsidRPr="00E05E3A">
              <w:rPr>
                <w:lang w:val="en-US"/>
              </w:rPr>
              <w:t xml:space="preserve"> </w:t>
            </w:r>
            <w:r w:rsidRPr="00E05E3A">
              <w:rPr>
                <w:lang w:val="en-US"/>
              </w:rPr>
              <w:t>and equivalent regions</w:t>
            </w:r>
          </w:p>
        </w:tc>
        <w:tc>
          <w:tcPr>
            <w:tcW w:w="1418" w:type="dxa"/>
          </w:tcPr>
          <w:p w:rsidR="00CA3B52" w:rsidRPr="00E05E3A" w:rsidRDefault="00CA3B52" w:rsidP="002D1D5C">
            <w:pPr>
              <w:pStyle w:val="Tabletext"/>
              <w:jc w:val="center"/>
              <w:rPr>
                <w:lang w:val="en-US"/>
              </w:rPr>
            </w:pPr>
            <w:r w:rsidRPr="00E05E3A">
              <w:rPr>
                <w:lang w:val="en-US"/>
              </w:rPr>
              <w:t>0.5</w:t>
            </w:r>
            <w:r w:rsidRPr="0023225D">
              <w:rPr>
                <w:rStyle w:val="FootnoteReference"/>
              </w:rPr>
              <w:t>*</w:t>
            </w:r>
          </w:p>
        </w:tc>
      </w:tr>
      <w:tr w:rsidR="00CA3B52" w:rsidRPr="009A67EA" w:rsidTr="002D1D5C">
        <w:trPr>
          <w:jc w:val="center"/>
        </w:trPr>
        <w:tc>
          <w:tcPr>
            <w:tcW w:w="4644" w:type="dxa"/>
          </w:tcPr>
          <w:p w:rsidR="00CA3B52" w:rsidRPr="00E05E3A" w:rsidRDefault="00CA3B52" w:rsidP="002D1D5C">
            <w:pPr>
              <w:pStyle w:val="Tabletext"/>
              <w:rPr>
                <w:lang w:val="en-US"/>
              </w:rPr>
            </w:pPr>
            <w:r w:rsidRPr="00E05E3A">
              <w:rPr>
                <w:lang w:val="en-US"/>
              </w:rPr>
              <w:t>Less than 200 and outside of communities</w:t>
            </w:r>
          </w:p>
        </w:tc>
        <w:tc>
          <w:tcPr>
            <w:tcW w:w="1418" w:type="dxa"/>
          </w:tcPr>
          <w:p w:rsidR="00CA3B52" w:rsidRPr="00E05E3A" w:rsidRDefault="00CA3B52" w:rsidP="002D1D5C">
            <w:pPr>
              <w:pStyle w:val="Tabletext"/>
              <w:jc w:val="center"/>
              <w:rPr>
                <w:lang w:val="en-US"/>
              </w:rPr>
            </w:pPr>
            <w:r w:rsidRPr="00E05E3A">
              <w:rPr>
                <w:lang w:val="en-US"/>
              </w:rPr>
              <w:t>0.9</w:t>
            </w:r>
            <w:r w:rsidRPr="0023225D">
              <w:rPr>
                <w:rStyle w:val="FootnoteReference"/>
              </w:rPr>
              <w:t>*</w:t>
            </w:r>
          </w:p>
        </w:tc>
      </w:tr>
      <w:tr w:rsidR="00CA3B52" w:rsidRPr="009A67EA" w:rsidTr="002D1D5C">
        <w:trPr>
          <w:jc w:val="center"/>
        </w:trPr>
        <w:tc>
          <w:tcPr>
            <w:tcW w:w="4644" w:type="dxa"/>
          </w:tcPr>
          <w:p w:rsidR="00CA3B52" w:rsidRPr="00E05E3A" w:rsidRDefault="00CA3B52" w:rsidP="00B62BDB">
            <w:pPr>
              <w:pStyle w:val="Tabletext"/>
              <w:rPr>
                <w:lang w:val="en-US"/>
              </w:rPr>
            </w:pPr>
            <w:r w:rsidRPr="00E05E3A">
              <w:rPr>
                <w:lang w:val="en-US"/>
              </w:rPr>
              <w:t>200</w:t>
            </w:r>
            <w:r w:rsidR="00B62BDB">
              <w:rPr>
                <w:lang w:val="en-US"/>
              </w:rPr>
              <w:t>-</w:t>
            </w:r>
            <w:r w:rsidRPr="00E05E3A">
              <w:rPr>
                <w:lang w:val="en-US"/>
              </w:rPr>
              <w:t xml:space="preserve">1 000 </w:t>
            </w:r>
          </w:p>
        </w:tc>
        <w:tc>
          <w:tcPr>
            <w:tcW w:w="1418" w:type="dxa"/>
          </w:tcPr>
          <w:p w:rsidR="00CA3B52" w:rsidRPr="00E05E3A" w:rsidRDefault="00CA3B52" w:rsidP="002D1D5C">
            <w:pPr>
              <w:pStyle w:val="Tabletext"/>
              <w:jc w:val="center"/>
              <w:rPr>
                <w:lang w:val="en-US"/>
              </w:rPr>
            </w:pPr>
            <w:r w:rsidRPr="00E05E3A">
              <w:rPr>
                <w:lang w:val="en-US"/>
              </w:rPr>
              <w:t>1</w:t>
            </w:r>
          </w:p>
        </w:tc>
      </w:tr>
      <w:tr w:rsidR="00CA3B52" w:rsidRPr="009A67EA" w:rsidTr="002D1D5C">
        <w:trPr>
          <w:jc w:val="center"/>
        </w:trPr>
        <w:tc>
          <w:tcPr>
            <w:tcW w:w="4644" w:type="dxa"/>
          </w:tcPr>
          <w:p w:rsidR="00CA3B52" w:rsidRPr="00E05E3A" w:rsidRDefault="00CA3B52" w:rsidP="00B62BDB">
            <w:pPr>
              <w:pStyle w:val="Tabletext"/>
              <w:rPr>
                <w:lang w:val="en-US"/>
              </w:rPr>
            </w:pPr>
            <w:r w:rsidRPr="00E05E3A">
              <w:rPr>
                <w:lang w:val="en-US"/>
              </w:rPr>
              <w:t>1 000</w:t>
            </w:r>
            <w:r w:rsidR="00B62BDB">
              <w:rPr>
                <w:lang w:val="en-US"/>
              </w:rPr>
              <w:t>-</w:t>
            </w:r>
            <w:r w:rsidRPr="00E05E3A">
              <w:rPr>
                <w:lang w:val="en-US"/>
              </w:rPr>
              <w:t>3 000</w:t>
            </w:r>
          </w:p>
        </w:tc>
        <w:tc>
          <w:tcPr>
            <w:tcW w:w="1418" w:type="dxa"/>
          </w:tcPr>
          <w:p w:rsidR="00CA3B52" w:rsidRPr="00E05E3A" w:rsidRDefault="00CA3B52" w:rsidP="002D1D5C">
            <w:pPr>
              <w:pStyle w:val="Tabletext"/>
              <w:jc w:val="center"/>
              <w:rPr>
                <w:lang w:val="en-US"/>
              </w:rPr>
            </w:pPr>
            <w:r w:rsidRPr="00E05E3A">
              <w:rPr>
                <w:lang w:val="en-US"/>
              </w:rPr>
              <w:t>1.1</w:t>
            </w:r>
          </w:p>
        </w:tc>
      </w:tr>
      <w:tr w:rsidR="00CA3B52" w:rsidRPr="009A67EA" w:rsidTr="002D1D5C">
        <w:trPr>
          <w:jc w:val="center"/>
        </w:trPr>
        <w:tc>
          <w:tcPr>
            <w:tcW w:w="4644" w:type="dxa"/>
            <w:tcBorders>
              <w:bottom w:val="single" w:sz="4" w:space="0" w:color="auto"/>
            </w:tcBorders>
          </w:tcPr>
          <w:p w:rsidR="00CA3B52" w:rsidRPr="00E05E3A" w:rsidRDefault="00CA3B52" w:rsidP="002D1D5C">
            <w:pPr>
              <w:pStyle w:val="Tabletext"/>
              <w:rPr>
                <w:lang w:val="en-US"/>
              </w:rPr>
            </w:pPr>
            <w:r w:rsidRPr="00E05E3A">
              <w:rPr>
                <w:lang w:val="en-US"/>
              </w:rPr>
              <w:t>More than 3 000</w:t>
            </w:r>
          </w:p>
        </w:tc>
        <w:tc>
          <w:tcPr>
            <w:tcW w:w="1418" w:type="dxa"/>
            <w:tcBorders>
              <w:bottom w:val="single" w:sz="4" w:space="0" w:color="auto"/>
            </w:tcBorders>
          </w:tcPr>
          <w:p w:rsidR="00CA3B52" w:rsidRPr="00E05E3A" w:rsidRDefault="00CA3B52" w:rsidP="002D1D5C">
            <w:pPr>
              <w:pStyle w:val="Tabletext"/>
              <w:jc w:val="center"/>
              <w:rPr>
                <w:lang w:val="en-US"/>
              </w:rPr>
            </w:pPr>
            <w:r w:rsidRPr="00E05E3A">
              <w:rPr>
                <w:lang w:val="en-US"/>
              </w:rPr>
              <w:t>1.2</w:t>
            </w:r>
            <w:r w:rsidRPr="0023225D">
              <w:rPr>
                <w:rStyle w:val="FootnoteReference"/>
              </w:rPr>
              <w:t>**</w:t>
            </w:r>
          </w:p>
        </w:tc>
      </w:tr>
      <w:tr w:rsidR="00CA3B52" w:rsidRPr="00F65451" w:rsidTr="002D1D5C">
        <w:trPr>
          <w:jc w:val="center"/>
        </w:trPr>
        <w:tc>
          <w:tcPr>
            <w:tcW w:w="6062" w:type="dxa"/>
            <w:gridSpan w:val="2"/>
            <w:tcBorders>
              <w:top w:val="single" w:sz="4" w:space="0" w:color="auto"/>
              <w:left w:val="nil"/>
              <w:bottom w:val="nil"/>
              <w:right w:val="nil"/>
            </w:tcBorders>
          </w:tcPr>
          <w:p w:rsidR="00CA3B52" w:rsidRPr="00466DB3" w:rsidRDefault="00CA3B52" w:rsidP="002D1D5C">
            <w:pPr>
              <w:pStyle w:val="Tablelegend"/>
              <w:rPr>
                <w:lang w:val="en-US"/>
              </w:rPr>
            </w:pPr>
            <w:r w:rsidRPr="0023225D">
              <w:rPr>
                <w:rStyle w:val="FootnoteReference"/>
                <w:lang w:val="en-US"/>
              </w:rPr>
              <w:t>*</w:t>
            </w:r>
            <w:r>
              <w:rPr>
                <w:lang w:val="en-US"/>
              </w:rPr>
              <w:tab/>
            </w:r>
            <w:r w:rsidRPr="00466DB3">
              <w:rPr>
                <w:lang w:val="en-US"/>
              </w:rPr>
              <w:t xml:space="preserve">When distributing Russian mandatory public TV and sound broadcasting channels, coefficient </w:t>
            </w:r>
            <w:r w:rsidRPr="00466DB3">
              <w:rPr>
                <w:i/>
                <w:lang w:val="en-US"/>
              </w:rPr>
              <w:t>K</w:t>
            </w:r>
            <w:r w:rsidRPr="00466DB3">
              <w:rPr>
                <w:i/>
                <w:vertAlign w:val="subscript"/>
                <w:lang w:val="en-US"/>
              </w:rPr>
              <w:t>pop</w:t>
            </w:r>
            <w:r w:rsidRPr="00466DB3">
              <w:rPr>
                <w:lang w:val="en-US"/>
              </w:rPr>
              <w:t xml:space="preserve"> = 0.3.</w:t>
            </w:r>
          </w:p>
          <w:p w:rsidR="00CA3B52" w:rsidRPr="0023225D" w:rsidRDefault="00CA3B52" w:rsidP="002D1D5C">
            <w:pPr>
              <w:pStyle w:val="Tablelegend"/>
              <w:rPr>
                <w:lang w:val="en-US"/>
              </w:rPr>
            </w:pPr>
            <w:r w:rsidRPr="0023225D">
              <w:rPr>
                <w:rStyle w:val="FootnoteReference"/>
                <w:lang w:val="en-US"/>
              </w:rPr>
              <w:t>**</w:t>
            </w:r>
            <w:r>
              <w:rPr>
                <w:lang w:val="en-US"/>
              </w:rPr>
              <w:tab/>
            </w:r>
            <w:r w:rsidRPr="00466DB3">
              <w:rPr>
                <w:lang w:val="en-US"/>
              </w:rPr>
              <w:t xml:space="preserve">For the Moscow territory, </w:t>
            </w:r>
            <w:r w:rsidRPr="00466DB3">
              <w:rPr>
                <w:i/>
                <w:lang w:val="en-US"/>
              </w:rPr>
              <w:t>K</w:t>
            </w:r>
            <w:r w:rsidRPr="00466DB3">
              <w:rPr>
                <w:i/>
                <w:vertAlign w:val="subscript"/>
                <w:lang w:val="en-US"/>
              </w:rPr>
              <w:t>pop</w:t>
            </w:r>
            <w:r w:rsidRPr="00466DB3">
              <w:rPr>
                <w:lang w:val="en-US"/>
              </w:rPr>
              <w:t xml:space="preserve"> = 0.6.</w:t>
            </w:r>
          </w:p>
        </w:tc>
      </w:tr>
    </w:tbl>
    <w:p w:rsidR="00CA3B52" w:rsidRDefault="00CA3B52" w:rsidP="00CA3B52">
      <w:pPr>
        <w:pStyle w:val="Tablefin"/>
      </w:pPr>
    </w:p>
    <w:p w:rsidR="00CA3B52" w:rsidRPr="00E05E3A" w:rsidRDefault="00CA3B52" w:rsidP="00CA3B52">
      <w:pPr>
        <w:pStyle w:val="Note"/>
        <w:rPr>
          <w:lang w:val="en-US"/>
        </w:rPr>
      </w:pPr>
      <w:r w:rsidRPr="00E05E3A">
        <w:rPr>
          <w:lang w:val="en-US"/>
        </w:rPr>
        <w:t>NOTE</w:t>
      </w:r>
      <w:r>
        <w:rPr>
          <w:lang w:val="en-US"/>
        </w:rPr>
        <w:t xml:space="preserve"> </w:t>
      </w:r>
      <w:r w:rsidR="00E712CE">
        <w:rPr>
          <w:lang w:val="en-US"/>
        </w:rPr>
        <w:t xml:space="preserve">2 </w:t>
      </w:r>
      <w:r>
        <w:rPr>
          <w:lang w:val="en-US"/>
        </w:rPr>
        <w:t xml:space="preserve">– </w:t>
      </w:r>
      <w:r w:rsidRPr="00E05E3A">
        <w:rPr>
          <w:lang w:val="en-US"/>
        </w:rPr>
        <w:t>For users who are authorized to use the radio spectrum for the needs of state administration, including presidential and government communications, national</w:t>
      </w:r>
      <w:r>
        <w:rPr>
          <w:lang w:val="en-US"/>
        </w:rPr>
        <w:t xml:space="preserve"> defense, state </w:t>
      </w:r>
      <w:r w:rsidRPr="00E05E3A">
        <w:rPr>
          <w:lang w:val="en-US"/>
        </w:rPr>
        <w:t xml:space="preserve">security and law enforcement, </w:t>
      </w:r>
      <w:r w:rsidRPr="00E05E3A">
        <w:rPr>
          <w:i/>
          <w:lang w:val="en-US"/>
        </w:rPr>
        <w:t>K</w:t>
      </w:r>
      <w:r w:rsidRPr="00E05E3A">
        <w:rPr>
          <w:i/>
          <w:vertAlign w:val="subscript"/>
          <w:lang w:val="en-US"/>
        </w:rPr>
        <w:t>pop</w:t>
      </w:r>
      <w:r w:rsidRPr="00E05E3A">
        <w:rPr>
          <w:lang w:val="en-US"/>
        </w:rPr>
        <w:t xml:space="preserve"> = 0.5.</w:t>
      </w:r>
    </w:p>
    <w:p w:rsidR="00CA3B52" w:rsidRDefault="00CA3B52" w:rsidP="00CA3B52">
      <w:pPr>
        <w:rPr>
          <w:lang w:val="en-US"/>
        </w:rPr>
      </w:pPr>
      <w:r w:rsidRPr="00E05E3A">
        <w:rPr>
          <w:lang w:val="en-US"/>
        </w:rPr>
        <w:t xml:space="preserve">If in </w:t>
      </w:r>
      <w:r w:rsidRPr="0023225D">
        <w:rPr>
          <w:lang w:val="en-US"/>
        </w:rPr>
        <w:t xml:space="preserve">the Frequency-Territorial </w:t>
      </w:r>
      <w:r w:rsidRPr="00E05E3A">
        <w:rPr>
          <w:lang w:val="en-US"/>
        </w:rPr>
        <w:t xml:space="preserve">Plan of the authorization, geographic coordinates are not specified, then </w:t>
      </w:r>
      <w:r w:rsidRPr="0023225D">
        <w:rPr>
          <w:i/>
          <w:iCs/>
          <w:lang w:val="en-US"/>
        </w:rPr>
        <w:t>K</w:t>
      </w:r>
      <w:r w:rsidRPr="0023225D">
        <w:rPr>
          <w:i/>
          <w:iCs/>
          <w:vertAlign w:val="subscript"/>
          <w:lang w:val="en-US"/>
        </w:rPr>
        <w:t>pop</w:t>
      </w:r>
      <w:r w:rsidRPr="00E05E3A">
        <w:rPr>
          <w:lang w:val="en-US"/>
        </w:rPr>
        <w:t xml:space="preserve"> is applied according to the maximum population in the territory, where the system is used.</w:t>
      </w:r>
    </w:p>
    <w:p w:rsidR="00CA3B52" w:rsidRPr="00953132" w:rsidRDefault="00CA3B52" w:rsidP="00CA3B52">
      <w:pPr>
        <w:pStyle w:val="TableNo"/>
        <w:rPr>
          <w:lang w:val="en-US"/>
        </w:rPr>
      </w:pPr>
      <w:r w:rsidRPr="00953132">
        <w:rPr>
          <w:lang w:val="en-US"/>
        </w:rPr>
        <w:lastRenderedPageBreak/>
        <w:t xml:space="preserve">TABLE </w:t>
      </w:r>
      <w:r>
        <w:rPr>
          <w:lang w:val="en-US"/>
        </w:rPr>
        <w:t>29</w:t>
      </w:r>
    </w:p>
    <w:p w:rsidR="00CA3B52" w:rsidRPr="00E05E3A" w:rsidRDefault="00CA3B52" w:rsidP="00CA3B52">
      <w:pPr>
        <w:pStyle w:val="Tabletitle"/>
        <w:rPr>
          <w:lang w:val="en-US"/>
        </w:rPr>
      </w:pPr>
      <w:r w:rsidRPr="00E05E3A">
        <w:rPr>
          <w:lang w:val="en-US"/>
        </w:rPr>
        <w:t>Coefficients depending on the social factors for the implemented technology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61"/>
        <w:gridCol w:w="1678"/>
      </w:tblGrid>
      <w:tr w:rsidR="00CA3B52" w:rsidRPr="009A67EA" w:rsidTr="002D1D5C">
        <w:trPr>
          <w:jc w:val="center"/>
        </w:trPr>
        <w:tc>
          <w:tcPr>
            <w:tcW w:w="7961" w:type="dxa"/>
          </w:tcPr>
          <w:p w:rsidR="00CA3B52" w:rsidRPr="00E05E3A" w:rsidRDefault="00CA3B52" w:rsidP="002D1D5C">
            <w:pPr>
              <w:pStyle w:val="Tablehead"/>
              <w:rPr>
                <w:lang w:val="en-US"/>
              </w:rPr>
            </w:pPr>
            <w:r w:rsidRPr="00E05E3A">
              <w:rPr>
                <w:lang w:val="en-US"/>
              </w:rPr>
              <w:t>Social factors</w:t>
            </w:r>
          </w:p>
        </w:tc>
        <w:tc>
          <w:tcPr>
            <w:tcW w:w="1678" w:type="dxa"/>
          </w:tcPr>
          <w:p w:rsidR="00CA3B52" w:rsidRPr="00E05E3A" w:rsidRDefault="00CA3B52" w:rsidP="002D1D5C">
            <w:pPr>
              <w:pStyle w:val="Tablehead"/>
              <w:rPr>
                <w:lang w:val="en-US"/>
              </w:rPr>
            </w:pPr>
            <w:r w:rsidRPr="00E05E3A">
              <w:rPr>
                <w:i/>
                <w:lang w:val="en-US"/>
              </w:rPr>
              <w:t>K</w:t>
            </w:r>
            <w:r>
              <w:rPr>
                <w:i/>
                <w:vertAlign w:val="subscript"/>
                <w:lang w:val="en-US"/>
              </w:rPr>
              <w:t>soc</w:t>
            </w:r>
          </w:p>
        </w:tc>
      </w:tr>
      <w:tr w:rsidR="00CA3B52" w:rsidRPr="009A67EA" w:rsidTr="002D1D5C">
        <w:trPr>
          <w:jc w:val="center"/>
        </w:trPr>
        <w:tc>
          <w:tcPr>
            <w:tcW w:w="7961" w:type="dxa"/>
          </w:tcPr>
          <w:p w:rsidR="00CA3B52" w:rsidRPr="00E05E3A" w:rsidRDefault="00CA3B52" w:rsidP="002D1D5C">
            <w:pPr>
              <w:pStyle w:val="Tabletext"/>
              <w:rPr>
                <w:lang w:val="en-US"/>
              </w:rPr>
            </w:pPr>
            <w:r w:rsidRPr="00E05E3A">
              <w:rPr>
                <w:lang w:val="en-US"/>
              </w:rPr>
              <w:t>Technology used to ensure public safety, including emergency situations</w:t>
            </w:r>
            <w:r w:rsidRPr="005652CA">
              <w:rPr>
                <w:rStyle w:val="FootnoteReference"/>
                <w:lang w:val="en-US"/>
              </w:rPr>
              <w:t>*</w:t>
            </w:r>
          </w:p>
        </w:tc>
        <w:tc>
          <w:tcPr>
            <w:tcW w:w="1678" w:type="dxa"/>
          </w:tcPr>
          <w:p w:rsidR="00CA3B52" w:rsidRPr="00E05E3A" w:rsidRDefault="00CA3B52" w:rsidP="002D1D5C">
            <w:pPr>
              <w:pStyle w:val="Tabletext"/>
              <w:jc w:val="center"/>
              <w:rPr>
                <w:lang w:val="en-US"/>
              </w:rPr>
            </w:pPr>
            <w:r w:rsidRPr="00E05E3A">
              <w:rPr>
                <w:lang w:val="en-US"/>
              </w:rPr>
              <w:t>0.3</w:t>
            </w:r>
          </w:p>
        </w:tc>
      </w:tr>
      <w:tr w:rsidR="00CA3B52" w:rsidRPr="00821C07" w:rsidTr="002D1D5C">
        <w:trPr>
          <w:jc w:val="center"/>
        </w:trPr>
        <w:tc>
          <w:tcPr>
            <w:tcW w:w="7961" w:type="dxa"/>
          </w:tcPr>
          <w:p w:rsidR="00CA3B52" w:rsidRPr="00E05E3A" w:rsidRDefault="00CA3B52" w:rsidP="00E712CE">
            <w:pPr>
              <w:pStyle w:val="Tabletext"/>
              <w:jc w:val="left"/>
              <w:rPr>
                <w:lang w:val="en-US"/>
              </w:rPr>
            </w:pPr>
            <w:r w:rsidRPr="00E05E3A">
              <w:rPr>
                <w:lang w:val="en-US"/>
              </w:rPr>
              <w:t>Technology used by civil purpose systems in technological networks of r</w:t>
            </w:r>
            <w:r>
              <w:rPr>
                <w:lang w:val="en-US"/>
              </w:rPr>
              <w:t xml:space="preserve">ailway communications in </w:t>
            </w:r>
            <w:r w:rsidR="00E712CE">
              <w:rPr>
                <w:lang w:val="en-US"/>
              </w:rPr>
              <w:t xml:space="preserve">the </w:t>
            </w:r>
            <w:r>
              <w:rPr>
                <w:lang w:val="en-US"/>
              </w:rPr>
              <w:t>2</w:t>
            </w:r>
            <w:r w:rsidR="00E712CE">
              <w:rPr>
                <w:lang w:val="en-US"/>
              </w:rPr>
              <w:t> </w:t>
            </w:r>
            <w:r>
              <w:rPr>
                <w:lang w:val="en-US"/>
              </w:rPr>
              <w:t>124</w:t>
            </w:r>
            <w:r w:rsidR="00E712CE">
              <w:rPr>
                <w:lang w:val="en-US"/>
              </w:rPr>
              <w:noBreakHyphen/>
            </w:r>
            <w:r w:rsidRPr="00E05E3A">
              <w:rPr>
                <w:lang w:val="en-US"/>
              </w:rPr>
              <w:t>2</w:t>
            </w:r>
            <w:r w:rsidR="00E712CE">
              <w:rPr>
                <w:lang w:val="en-US"/>
              </w:rPr>
              <w:t> </w:t>
            </w:r>
            <w:r w:rsidRPr="00E05E3A">
              <w:rPr>
                <w:lang w:val="en-US"/>
              </w:rPr>
              <w:t>136 kHz band (nominal frequency 2</w:t>
            </w:r>
            <w:r w:rsidR="00E712CE">
              <w:rPr>
                <w:lang w:val="en-US"/>
              </w:rPr>
              <w:t> </w:t>
            </w:r>
            <w:r w:rsidRPr="00E05E3A">
              <w:rPr>
                <w:lang w:val="en-US"/>
              </w:rPr>
              <w:t>130</w:t>
            </w:r>
            <w:r w:rsidR="00E712CE">
              <w:rPr>
                <w:lang w:val="en-US"/>
              </w:rPr>
              <w:t> </w:t>
            </w:r>
            <w:r w:rsidRPr="00E05E3A">
              <w:rPr>
                <w:lang w:val="en-US"/>
              </w:rPr>
              <w:t>kHz); 2</w:t>
            </w:r>
            <w:r w:rsidR="00E712CE">
              <w:rPr>
                <w:lang w:val="en-US"/>
              </w:rPr>
              <w:t> </w:t>
            </w:r>
            <w:r>
              <w:rPr>
                <w:lang w:val="en-US"/>
              </w:rPr>
              <w:t>144</w:t>
            </w:r>
            <w:r w:rsidR="00E712CE">
              <w:rPr>
                <w:lang w:val="en-US"/>
              </w:rPr>
              <w:noBreakHyphen/>
            </w:r>
            <w:r w:rsidRPr="00E05E3A">
              <w:rPr>
                <w:lang w:val="en-US"/>
              </w:rPr>
              <w:t>2</w:t>
            </w:r>
            <w:r>
              <w:rPr>
                <w:lang w:val="en-US"/>
              </w:rPr>
              <w:t> </w:t>
            </w:r>
            <w:r w:rsidRPr="00E05E3A">
              <w:rPr>
                <w:lang w:val="en-US"/>
              </w:rPr>
              <w:t>156</w:t>
            </w:r>
            <w:r w:rsidR="00E712CE">
              <w:rPr>
                <w:lang w:val="en-US"/>
              </w:rPr>
              <w:t> </w:t>
            </w:r>
            <w:r w:rsidRPr="00E05E3A">
              <w:rPr>
                <w:lang w:val="en-US"/>
              </w:rPr>
              <w:t>kHz (nominal frequency 2</w:t>
            </w:r>
            <w:r w:rsidR="00E712CE">
              <w:rPr>
                <w:lang w:val="en-US"/>
              </w:rPr>
              <w:t> </w:t>
            </w:r>
            <w:r>
              <w:rPr>
                <w:lang w:val="en-US"/>
              </w:rPr>
              <w:t>150</w:t>
            </w:r>
            <w:r w:rsidR="00E712CE">
              <w:rPr>
                <w:lang w:val="en-US"/>
              </w:rPr>
              <w:t> </w:t>
            </w:r>
            <w:r>
              <w:rPr>
                <w:lang w:val="en-US"/>
              </w:rPr>
              <w:t>kHz); 151.7125</w:t>
            </w:r>
            <w:r w:rsidR="00E712CE">
              <w:rPr>
                <w:lang w:val="en-US"/>
              </w:rPr>
              <w:noBreakHyphen/>
            </w:r>
            <w:r>
              <w:rPr>
                <w:lang w:val="en-US"/>
              </w:rPr>
              <w:t>154.0125</w:t>
            </w:r>
            <w:r w:rsidR="00E712CE">
              <w:rPr>
                <w:lang w:val="en-US"/>
              </w:rPr>
              <w:t> </w:t>
            </w:r>
            <w:r>
              <w:rPr>
                <w:lang w:val="en-US"/>
              </w:rPr>
              <w:t>MHz; 154.9875</w:t>
            </w:r>
            <w:r w:rsidR="00E712CE">
              <w:rPr>
                <w:lang w:val="en-US"/>
              </w:rPr>
              <w:noBreakHyphen/>
            </w:r>
            <w:r w:rsidRPr="00E05E3A">
              <w:rPr>
                <w:lang w:val="en-US"/>
              </w:rPr>
              <w:t>156.0125</w:t>
            </w:r>
            <w:r w:rsidR="00E712CE">
              <w:rPr>
                <w:lang w:val="en-US"/>
              </w:rPr>
              <w:t> </w:t>
            </w:r>
            <w:r w:rsidRPr="00E05E3A">
              <w:rPr>
                <w:lang w:val="en-US"/>
              </w:rPr>
              <w:t xml:space="preserve">MHz; </w:t>
            </w:r>
            <w:r>
              <w:rPr>
                <w:lang w:val="en-US"/>
              </w:rPr>
              <w:t>307.0-307.4625 MHz; 343.0-</w:t>
            </w:r>
            <w:r w:rsidRPr="00E05E3A">
              <w:rPr>
                <w:lang w:val="en-US"/>
              </w:rPr>
              <w:t>343.4625 MHz</w:t>
            </w:r>
          </w:p>
        </w:tc>
        <w:tc>
          <w:tcPr>
            <w:tcW w:w="1678" w:type="dxa"/>
          </w:tcPr>
          <w:p w:rsidR="00CA3B52" w:rsidRPr="00E05E3A" w:rsidRDefault="00CA3B52" w:rsidP="002D1D5C">
            <w:pPr>
              <w:pStyle w:val="Tabletext"/>
              <w:jc w:val="center"/>
              <w:rPr>
                <w:lang w:val="en-US"/>
              </w:rPr>
            </w:pPr>
            <w:r w:rsidRPr="00E05E3A">
              <w:rPr>
                <w:lang w:val="en-US"/>
              </w:rPr>
              <w:t>0.5</w:t>
            </w:r>
          </w:p>
        </w:tc>
      </w:tr>
      <w:tr w:rsidR="00CA3B52" w:rsidRPr="009A67EA" w:rsidTr="002D1D5C">
        <w:trPr>
          <w:jc w:val="center"/>
        </w:trPr>
        <w:tc>
          <w:tcPr>
            <w:tcW w:w="7961" w:type="dxa"/>
          </w:tcPr>
          <w:p w:rsidR="00CA3B52" w:rsidRPr="009A67EA" w:rsidRDefault="00CA3B52" w:rsidP="002D1D5C">
            <w:pPr>
              <w:pStyle w:val="Tabletext"/>
              <w:rPr>
                <w:lang w:val="en-US"/>
              </w:rPr>
            </w:pPr>
            <w:r w:rsidRPr="00E05E3A">
              <w:rPr>
                <w:lang w:val="en-US"/>
              </w:rPr>
              <w:t>Technology used by radio extenders of telephone channels, radio telephone systems “Altai” and “Actionel”, as well as systems in amateur service (amateur repeater and amateur radio beacon)</w:t>
            </w:r>
          </w:p>
        </w:tc>
        <w:tc>
          <w:tcPr>
            <w:tcW w:w="1678" w:type="dxa"/>
          </w:tcPr>
          <w:p w:rsidR="00CA3B52" w:rsidRPr="009A67EA" w:rsidRDefault="00CA3B52" w:rsidP="002D1D5C">
            <w:pPr>
              <w:pStyle w:val="Tabletext"/>
              <w:jc w:val="center"/>
              <w:rPr>
                <w:lang w:val="en-US"/>
              </w:rPr>
            </w:pPr>
            <w:r w:rsidRPr="009A67EA">
              <w:rPr>
                <w:lang w:val="en-US"/>
              </w:rPr>
              <w:t>0.3</w:t>
            </w:r>
          </w:p>
        </w:tc>
      </w:tr>
      <w:tr w:rsidR="00CA3B52" w:rsidRPr="009A67EA" w:rsidTr="002D1D5C">
        <w:trPr>
          <w:jc w:val="center"/>
        </w:trPr>
        <w:tc>
          <w:tcPr>
            <w:tcW w:w="7961" w:type="dxa"/>
          </w:tcPr>
          <w:p w:rsidR="00CA3B52" w:rsidRPr="009A67EA" w:rsidRDefault="00CA3B52" w:rsidP="002D1D5C">
            <w:pPr>
              <w:pStyle w:val="Tabletext"/>
              <w:rPr>
                <w:lang w:val="en-US"/>
              </w:rPr>
            </w:pPr>
            <w:r w:rsidRPr="00E05E3A">
              <w:rPr>
                <w:lang w:val="en-US"/>
              </w:rPr>
              <w:t>Technology used for terrestrial and satellite TV and sound broadcasting when distributing mandatory public TV and sound programmes</w:t>
            </w:r>
          </w:p>
        </w:tc>
        <w:tc>
          <w:tcPr>
            <w:tcW w:w="1678" w:type="dxa"/>
          </w:tcPr>
          <w:p w:rsidR="00CA3B52" w:rsidRPr="009A67EA" w:rsidRDefault="00CA3B52" w:rsidP="002D1D5C">
            <w:pPr>
              <w:pStyle w:val="Tabletext"/>
              <w:jc w:val="center"/>
              <w:rPr>
                <w:lang w:val="en-US"/>
              </w:rPr>
            </w:pPr>
            <w:r w:rsidRPr="009A67EA">
              <w:rPr>
                <w:lang w:val="en-US"/>
              </w:rPr>
              <w:t>0.5</w:t>
            </w:r>
          </w:p>
        </w:tc>
      </w:tr>
      <w:tr w:rsidR="00CA3B52" w:rsidRPr="009A67EA" w:rsidTr="007A44FB">
        <w:trPr>
          <w:trHeight w:val="70"/>
          <w:jc w:val="center"/>
        </w:trPr>
        <w:tc>
          <w:tcPr>
            <w:tcW w:w="7961" w:type="dxa"/>
            <w:tcBorders>
              <w:bottom w:val="single" w:sz="4" w:space="0" w:color="auto"/>
            </w:tcBorders>
          </w:tcPr>
          <w:p w:rsidR="00CA3B52" w:rsidRPr="009A67EA" w:rsidRDefault="00CA3B52" w:rsidP="002D1D5C">
            <w:pPr>
              <w:pStyle w:val="Tabletext"/>
              <w:rPr>
                <w:lang w:val="en-US"/>
              </w:rPr>
            </w:pPr>
            <w:r w:rsidRPr="00E05E3A">
              <w:rPr>
                <w:lang w:val="en-US"/>
              </w:rPr>
              <w:t>Wireless radio access technology (Wi-Fi, IEEE 802.11 series)</w:t>
            </w:r>
          </w:p>
        </w:tc>
        <w:tc>
          <w:tcPr>
            <w:tcW w:w="1678" w:type="dxa"/>
            <w:tcBorders>
              <w:bottom w:val="single" w:sz="4" w:space="0" w:color="auto"/>
            </w:tcBorders>
          </w:tcPr>
          <w:p w:rsidR="00CA3B52" w:rsidRPr="009A67EA" w:rsidRDefault="00CA3B52" w:rsidP="002D1D5C">
            <w:pPr>
              <w:pStyle w:val="Tabletext"/>
              <w:jc w:val="center"/>
              <w:rPr>
                <w:lang w:val="en-US"/>
              </w:rPr>
            </w:pPr>
            <w:r w:rsidRPr="009A67EA">
              <w:rPr>
                <w:lang w:val="en-US"/>
              </w:rPr>
              <w:t>0.1</w:t>
            </w:r>
          </w:p>
        </w:tc>
      </w:tr>
      <w:tr w:rsidR="00CA3B52" w:rsidRPr="00F65451" w:rsidTr="002D1D5C">
        <w:trPr>
          <w:jc w:val="center"/>
        </w:trPr>
        <w:tc>
          <w:tcPr>
            <w:tcW w:w="9639" w:type="dxa"/>
            <w:gridSpan w:val="2"/>
            <w:tcBorders>
              <w:top w:val="single" w:sz="4" w:space="0" w:color="auto"/>
              <w:left w:val="nil"/>
              <w:bottom w:val="nil"/>
              <w:right w:val="nil"/>
            </w:tcBorders>
          </w:tcPr>
          <w:p w:rsidR="00CA3B52" w:rsidRDefault="00CA3B52" w:rsidP="007D3DBF">
            <w:pPr>
              <w:pStyle w:val="Tablelegend"/>
              <w:rPr>
                <w:lang w:val="en-US"/>
              </w:rPr>
            </w:pPr>
            <w:r w:rsidRPr="005C1150">
              <w:rPr>
                <w:rStyle w:val="FootnoteReference"/>
                <w:lang w:val="en-US"/>
              </w:rPr>
              <w:t>*</w:t>
            </w:r>
            <w:r>
              <w:rPr>
                <w:lang w:val="en-US"/>
              </w:rPr>
              <w:tab/>
            </w:r>
            <w:r w:rsidRPr="008C4753">
              <w:rPr>
                <w:lang w:val="en-US"/>
              </w:rPr>
              <w:t xml:space="preserve">Technologies used to ensure public safety in the Russian Federation, including emergency situations, cover those used by the following radio services: radio location; radio navigation; meteorological; radio determination; and services using </w:t>
            </w:r>
            <w:r w:rsidRPr="008C4753">
              <w:rPr>
                <w:color w:val="000000"/>
                <w:lang w:val="en-US"/>
              </w:rPr>
              <w:t>calling and distress alert frequencies</w:t>
            </w:r>
            <w:r w:rsidRPr="008C4753">
              <w:rPr>
                <w:lang w:val="en-US"/>
              </w:rPr>
              <w:t xml:space="preserve"> defined in the Radio Regulations.</w:t>
            </w:r>
          </w:p>
          <w:p w:rsidR="00001399" w:rsidRPr="009A67EA" w:rsidRDefault="00001399" w:rsidP="00001399">
            <w:pPr>
              <w:pStyle w:val="TableLegendNote"/>
            </w:pPr>
            <w:r w:rsidRPr="00E05E3A">
              <w:t>NOTE</w:t>
            </w:r>
            <w:r>
              <w:t xml:space="preserve"> – </w:t>
            </w:r>
            <w:r w:rsidRPr="00E05E3A">
              <w:t xml:space="preserve">In all other cases </w:t>
            </w:r>
            <w:r w:rsidRPr="00E05E3A">
              <w:rPr>
                <w:i/>
              </w:rPr>
              <w:t>K</w:t>
            </w:r>
            <w:r w:rsidRPr="00E05E3A">
              <w:rPr>
                <w:i/>
                <w:vertAlign w:val="subscript"/>
              </w:rPr>
              <w:t>soc</w:t>
            </w:r>
            <w:r w:rsidRPr="00E05E3A">
              <w:t xml:space="preserve"> equals 1.</w:t>
            </w:r>
          </w:p>
        </w:tc>
      </w:tr>
    </w:tbl>
    <w:p w:rsidR="00CA3B52" w:rsidRPr="00821C07" w:rsidRDefault="00CA3B52" w:rsidP="00CA3B52">
      <w:pPr>
        <w:pStyle w:val="Tablefin"/>
        <w:rPr>
          <w:rStyle w:val="FootnoteReference"/>
        </w:rPr>
      </w:pPr>
    </w:p>
    <w:p w:rsidR="00CA3B52" w:rsidRDefault="00CA3B52" w:rsidP="00CA3B52">
      <w:pPr>
        <w:rPr>
          <w:lang w:val="en-US"/>
        </w:rPr>
      </w:pPr>
      <w:r w:rsidRPr="00E05E3A">
        <w:rPr>
          <w:lang w:val="en-US"/>
        </w:rPr>
        <w:t>If the applied technology is related to several groups in this table, then the coefficient depending on the social factors is selected according to its minimum value.</w:t>
      </w:r>
    </w:p>
    <w:p w:rsidR="00CA3B52" w:rsidRPr="00CB6CBA" w:rsidRDefault="00CA3B52" w:rsidP="00CA3B52">
      <w:pPr>
        <w:pStyle w:val="Heading3"/>
        <w:rPr>
          <w:lang w:val="en-US"/>
        </w:rPr>
      </w:pPr>
      <w:bookmarkStart w:id="1741" w:name="_Toc392515929"/>
      <w:r w:rsidRPr="00CB6CBA">
        <w:rPr>
          <w:lang w:val="en-US"/>
        </w:rPr>
        <w:t>5.2.8</w:t>
      </w:r>
      <w:r w:rsidRPr="00CB6CBA">
        <w:rPr>
          <w:lang w:val="en-US"/>
        </w:rPr>
        <w:tab/>
        <w:t xml:space="preserve">The </w:t>
      </w:r>
      <w:r w:rsidRPr="005652CA">
        <w:rPr>
          <w:lang w:val="en-US"/>
        </w:rPr>
        <w:t>United</w:t>
      </w:r>
      <w:r w:rsidRPr="00CB6CBA">
        <w:rPr>
          <w:lang w:val="en-US"/>
        </w:rPr>
        <w:t xml:space="preserve"> Kingdom’s experience with licence fees</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rsidR="00CA3B52" w:rsidRPr="00CB6CBA" w:rsidRDefault="00CA3B52" w:rsidP="00CA3B52">
      <w:pPr>
        <w:rPr>
          <w:lang w:val="en-US"/>
        </w:rPr>
      </w:pPr>
      <w:bookmarkStart w:id="1742" w:name="_Toc459746767"/>
      <w:bookmarkStart w:id="1743" w:name="_Toc459792677"/>
      <w:bookmarkStart w:id="1744" w:name="_Toc459793841"/>
      <w:bookmarkStart w:id="1745" w:name="_Toc459793983"/>
      <w:bookmarkStart w:id="1746" w:name="_Toc459970440"/>
      <w:r w:rsidRPr="00CB6CBA">
        <w:rPr>
          <w:lang w:val="en-US"/>
        </w:rPr>
        <w:t>Administered Incentive Pricing (AIP) was first introduced in the UK in 1998. AIP aims to set licence fees to reflect the opportunity cost of spectrum denied to other uses and users, rather than just the costs of managing the radio spectrum. As a new and fundamentally different approach to fee-setting, it has to date been applied in a conservative manner: implementation has been rolled out to different users of spectrum slowly, and fee levels have generally been set at most at around 50% of the estimated full opportunity cost. Significant fee increases have also been phased in over a number of years.</w:t>
      </w:r>
    </w:p>
    <w:p w:rsidR="00CA3B52" w:rsidRPr="00CB6CBA" w:rsidRDefault="00CA3B52" w:rsidP="00CA3B52">
      <w:pPr>
        <w:rPr>
          <w:lang w:val="en-US"/>
        </w:rPr>
      </w:pPr>
      <w:r w:rsidRPr="00CB6CBA">
        <w:rPr>
          <w:lang w:val="en-US"/>
        </w:rPr>
        <w:t xml:space="preserve">AIP is intended to provide long term signals of spectrum value to spectrum users. These long-term value signals are intended to help spectrum users (and their suppliers) make more efficient decisions concerning their use of spectrum and investment in radio technology. At the same time, given the significant investment that many users have tied up in radio equipment which in most cases cannot easily and quickly be returned to different frequencies and has a lifetime of many years it cannot be expected that AIP will lead to significant changes to spectrum use in the short term. AIP is not intended to achieve any specific short term spectrum reallocation goals. </w:t>
      </w:r>
    </w:p>
    <w:p w:rsidR="00CA3B52" w:rsidRPr="00CB6CBA" w:rsidRDefault="00CA3B52" w:rsidP="00CA3B52">
      <w:pPr>
        <w:rPr>
          <w:b/>
          <w:lang w:val="en-US" w:eastAsia="zh-CN"/>
        </w:rPr>
      </w:pPr>
      <w:r w:rsidRPr="00CB6CBA">
        <w:rPr>
          <w:lang w:val="en-US"/>
        </w:rPr>
        <w:t xml:space="preserve">UK had carried out an evaluation of the policy of charging spectrum fees based on AIP. </w:t>
      </w:r>
      <w:r w:rsidRPr="00CB6CBA">
        <w:rPr>
          <w:lang w:val="en-US" w:eastAsia="zh-CN"/>
        </w:rPr>
        <w:t>The full policy document is available in</w:t>
      </w:r>
      <w:r>
        <w:rPr>
          <w:lang w:val="en-US" w:eastAsia="zh-CN"/>
        </w:rPr>
        <w:t>:</w:t>
      </w:r>
      <w:r w:rsidRPr="00CB6CBA">
        <w:rPr>
          <w:b/>
          <w:lang w:val="en-US" w:eastAsia="zh-CN"/>
        </w:rPr>
        <w:t xml:space="preserve"> </w:t>
      </w:r>
    </w:p>
    <w:p w:rsidR="00CA3B52" w:rsidRPr="00CB6CBA" w:rsidRDefault="00796FC7" w:rsidP="00CA3B52">
      <w:pPr>
        <w:rPr>
          <w:b/>
          <w:lang w:val="en-US" w:eastAsia="zh-CN"/>
        </w:rPr>
      </w:pPr>
      <w:hyperlink r:id="rId241" w:history="1">
        <w:r w:rsidR="00CA3B52" w:rsidRPr="00CB6CBA">
          <w:rPr>
            <w:rStyle w:val="Hyperlink"/>
            <w:lang w:val="en-US"/>
          </w:rPr>
          <w:t>http://www.ofcom.org.uk/research/radiocomms/reports/policy_report/evaluation_report_AIP.pdf</w:t>
        </w:r>
      </w:hyperlink>
    </w:p>
    <w:p w:rsidR="00CA3B52" w:rsidRPr="00CB6CBA" w:rsidRDefault="00CA3B52" w:rsidP="00CA3B52">
      <w:pPr>
        <w:rPr>
          <w:lang w:val="en-US"/>
        </w:rPr>
      </w:pPr>
      <w:r w:rsidRPr="00CB6CBA">
        <w:rPr>
          <w:lang w:val="en-US"/>
        </w:rPr>
        <w:t>The overall conclusions of this report are:</w:t>
      </w:r>
    </w:p>
    <w:p w:rsidR="00CA3B52" w:rsidRPr="00CB6CBA" w:rsidRDefault="00CA3B52" w:rsidP="00CA3B52">
      <w:pPr>
        <w:pStyle w:val="enumlev1"/>
        <w:rPr>
          <w:lang w:val="en-US"/>
        </w:rPr>
      </w:pPr>
      <w:r w:rsidRPr="00CB6CBA">
        <w:rPr>
          <w:lang w:val="en-US"/>
        </w:rPr>
        <w:t>–</w:t>
      </w:r>
      <w:r w:rsidRPr="00CB6CBA">
        <w:rPr>
          <w:lang w:val="en-US"/>
        </w:rPr>
        <w:tab/>
        <w:t>In the main, AIP has met its primary objective in helping to incentivi</w:t>
      </w:r>
      <w:r>
        <w:rPr>
          <w:lang w:val="en-US"/>
        </w:rPr>
        <w:t>z</w:t>
      </w:r>
      <w:r w:rsidRPr="00CB6CBA">
        <w:rPr>
          <w:lang w:val="en-US"/>
        </w:rPr>
        <w:t xml:space="preserve">e spectrum users to consider more carefully the value of the spectrum they use alongside that of other inputs, and to take decisions that are more likely to lead to optimal use of the available spectrum. Because each individual users decisions reflect their particular circumstances and objectives, improvements in spectrum allocation are difficult to attribute, with confidence, </w:t>
      </w:r>
      <w:r w:rsidRPr="00CB6CBA">
        <w:rPr>
          <w:lang w:val="en-US"/>
        </w:rPr>
        <w:lastRenderedPageBreak/>
        <w:t xml:space="preserve">solely to the influence of AIP. However in the course of this evaluation a number of important actions by users were identified, in the period since AIP has been implemented, where it was believe that AIP may have contributed to incentivizing more efficient use. </w:t>
      </w:r>
    </w:p>
    <w:p w:rsidR="00CA3B52" w:rsidRPr="00CB6CBA" w:rsidRDefault="00CA3B52" w:rsidP="00CA3B52">
      <w:pPr>
        <w:pStyle w:val="enumlev1"/>
        <w:rPr>
          <w:lang w:val="en-US"/>
        </w:rPr>
      </w:pPr>
      <w:r w:rsidRPr="00CB6CBA">
        <w:rPr>
          <w:lang w:val="en-US"/>
        </w:rPr>
        <w:t>–</w:t>
      </w:r>
      <w:r w:rsidRPr="00CB6CBA">
        <w:rPr>
          <w:lang w:val="en-US"/>
        </w:rPr>
        <w:tab/>
        <w:t xml:space="preserve">In particular: </w:t>
      </w:r>
    </w:p>
    <w:p w:rsidR="00CA3B52" w:rsidRPr="00CB6CBA" w:rsidRDefault="005C1150" w:rsidP="00CA3B52">
      <w:pPr>
        <w:pStyle w:val="enumlev2"/>
        <w:rPr>
          <w:lang w:val="en-US"/>
        </w:rPr>
      </w:pPr>
      <w:r w:rsidRPr="005C1150">
        <w:rPr>
          <w:lang w:val="en-US"/>
        </w:rPr>
        <w:t>•</w:t>
      </w:r>
      <w:r w:rsidR="00CA3B52" w:rsidRPr="00CB6CBA">
        <w:rPr>
          <w:lang w:val="en-US"/>
        </w:rPr>
        <w:tab/>
        <w:t>the removal of legacy fixed links in the 4 GHz band, generally regarded as technically inefficient due to the age of the equipment deployed;</w:t>
      </w:r>
    </w:p>
    <w:p w:rsidR="00CA3B52" w:rsidRPr="00CB6CBA" w:rsidRDefault="005C1150" w:rsidP="00CA3B52">
      <w:pPr>
        <w:pStyle w:val="enumlev2"/>
        <w:rPr>
          <w:lang w:val="en-US"/>
        </w:rPr>
      </w:pPr>
      <w:r w:rsidRPr="005C1150">
        <w:rPr>
          <w:lang w:val="en-US"/>
        </w:rPr>
        <w:t>•</w:t>
      </w:r>
      <w:r w:rsidR="00CA3B52" w:rsidRPr="00CB6CBA">
        <w:rPr>
          <w:lang w:val="en-US"/>
        </w:rPr>
        <w:tab/>
        <w:t>the removal of constraints on active services in spectrum bands, used by the Radio Astronomy Service, following the introduction of AIP fees for grants of Recognized Spectrum Access (RSA);</w:t>
      </w:r>
    </w:p>
    <w:p w:rsidR="00CA3B52" w:rsidRPr="00CB6CBA" w:rsidRDefault="005C1150" w:rsidP="00CA3B52">
      <w:pPr>
        <w:pStyle w:val="enumlev2"/>
        <w:rPr>
          <w:lang w:val="en-US"/>
        </w:rPr>
      </w:pPr>
      <w:r w:rsidRPr="005C1150">
        <w:rPr>
          <w:lang w:val="en-US"/>
        </w:rPr>
        <w:t>•</w:t>
      </w:r>
      <w:r w:rsidR="00CA3B52" w:rsidRPr="00CB6CBA">
        <w:rPr>
          <w:lang w:val="en-US"/>
        </w:rPr>
        <w:tab/>
        <w:t>the return of some UHF2 spectrum used by the police in Scotland</w:t>
      </w:r>
      <w:r w:rsidR="00CA3B52">
        <w:rPr>
          <w:lang w:val="en-US"/>
        </w:rPr>
        <w:t>;</w:t>
      </w:r>
    </w:p>
    <w:p w:rsidR="00CA3B52" w:rsidRPr="00CB6CBA" w:rsidRDefault="005C1150" w:rsidP="00CA3B52">
      <w:pPr>
        <w:pStyle w:val="enumlev2"/>
        <w:rPr>
          <w:lang w:val="en-US"/>
        </w:rPr>
      </w:pPr>
      <w:r w:rsidRPr="005C1150">
        <w:rPr>
          <w:lang w:val="en-US"/>
        </w:rPr>
        <w:t>•</w:t>
      </w:r>
      <w:r w:rsidR="00CA3B52" w:rsidRPr="00CB6CBA">
        <w:rPr>
          <w:lang w:val="en-US"/>
        </w:rPr>
        <w:tab/>
        <w:t>no evidence was found to suggest that the application of AIP has given rise to material adverse consequences for spectrum efficiency. In particular it has not resulted in demand for spectrum falling off significantly where AIP has been applied.</w:t>
      </w:r>
    </w:p>
    <w:p w:rsidR="00CA3B52" w:rsidRPr="00CB6CBA" w:rsidRDefault="00CA3B52" w:rsidP="00CA3B52">
      <w:pPr>
        <w:pStyle w:val="Heading3"/>
        <w:rPr>
          <w:u w:val="single"/>
          <w:lang w:val="en-US"/>
        </w:rPr>
      </w:pPr>
      <w:bookmarkStart w:id="1747" w:name="_Toc497033233"/>
      <w:bookmarkStart w:id="1748" w:name="_Toc497034031"/>
      <w:bookmarkStart w:id="1749" w:name="_Toc289868870"/>
      <w:bookmarkStart w:id="1750" w:name="_Toc289869030"/>
      <w:bookmarkStart w:id="1751" w:name="_Toc289932337"/>
      <w:bookmarkStart w:id="1752" w:name="_Toc289933383"/>
      <w:bookmarkStart w:id="1753" w:name="_Toc291852946"/>
      <w:bookmarkStart w:id="1754" w:name="_Toc392515930"/>
      <w:r>
        <w:rPr>
          <w:lang w:val="en-US"/>
        </w:rPr>
        <w:t>5</w:t>
      </w:r>
      <w:r w:rsidRPr="00CB6CBA">
        <w:rPr>
          <w:lang w:val="en-US"/>
        </w:rPr>
        <w:t>.2.9</w:t>
      </w:r>
      <w:r w:rsidRPr="00CB6CBA">
        <w:rPr>
          <w:lang w:val="en-US"/>
        </w:rPr>
        <w:tab/>
        <w:t>United States of America’s experience with licence fees</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rsidR="00CA3B52" w:rsidRPr="00CB6CBA" w:rsidRDefault="00CA3B52" w:rsidP="00CA3B52">
      <w:pPr>
        <w:rPr>
          <w:lang w:val="en-US"/>
        </w:rPr>
      </w:pPr>
      <w:bookmarkStart w:id="1755" w:name="_Toc394386014"/>
      <w:bookmarkStart w:id="1756" w:name="_Toc394386101"/>
      <w:bookmarkStart w:id="1757" w:name="_Toc395503205"/>
      <w:bookmarkStart w:id="1758" w:name="_Toc459746771"/>
      <w:bookmarkStart w:id="1759" w:name="_Toc459792678"/>
      <w:bookmarkStart w:id="1760" w:name="_Toc459793842"/>
      <w:bookmarkStart w:id="1761" w:name="_Toc459793984"/>
      <w:bookmarkStart w:id="1762" w:name="_Toc459970441"/>
      <w:r w:rsidRPr="00CB6CBA">
        <w:rPr>
          <w:lang w:val="en-US"/>
        </w:rPr>
        <w:t>The FCC regulates both spectrum and wired services for the civilian sector and charges application fees (also known as filing fees) and regulatory fees (information is included here for wired services only for background and completeness). The FCC process of imposing and collecting fees is mandated by statute of the U.S. Congress solely as a means to reimburse costs of issuing licences and of associated regulatory services.</w:t>
      </w:r>
    </w:p>
    <w:p w:rsidR="00CA3B52" w:rsidRPr="00CB6CBA" w:rsidRDefault="00CA3B52" w:rsidP="00CA3B52">
      <w:pPr>
        <w:rPr>
          <w:lang w:val="en-US"/>
        </w:rPr>
      </w:pPr>
      <w:r w:rsidRPr="00CB6CBA">
        <w:rPr>
          <w:lang w:val="en-US"/>
        </w:rPr>
        <w:t>In 1987, the FCC began collecting application fees that are charged for all FCC</w:t>
      </w:r>
      <w:r w:rsidRPr="00CB6CBA">
        <w:rPr>
          <w:lang w:val="en-US"/>
        </w:rPr>
        <w:noBreakHyphen/>
        <w:t>licensed radio services and are intended to cover the direct administrative costs of processing a licence application. They are paid when a licence is obtained or renewed. Local and state governments and non-profit entities are generally exempt from application fees. Application fees vary from service to service.</w:t>
      </w:r>
    </w:p>
    <w:p w:rsidR="00CA3B52" w:rsidRPr="00CB6CBA" w:rsidRDefault="00CA3B52" w:rsidP="00CA3B52">
      <w:pPr>
        <w:rPr>
          <w:lang w:val="en-US"/>
        </w:rPr>
      </w:pPr>
      <w:r w:rsidRPr="00CB6CBA">
        <w:rPr>
          <w:lang w:val="en-US"/>
        </w:rPr>
        <w:t>The authority to impose and collect application fees was not assumed independently by the FCC, but was established by the U.S. Congress and is contained in Title III, Section 3001 of the Omnibus Budget Reconciliation Act of 1989 (Public Law 101-239), Section 8, revising 47 U.S.C. 158, which directs the FCC to prescribe charges for certain types of application processing or authorization services it provides to communications entities over which it has jurisdiction. Funds collected as application or filing fees pursuant to Section 8 of the Act are deposited into the General Fund of the U.S. Treasury as reimbursement to the United States of America Federal Government. They do not offset funds appropriated to the FCC (47 U.S.C. 158(a)). Section 8(b) of the Communications Act, as amended, requires that the FCC review and adjust its application fees every two years after 1 October 1991 (47 U.S.C. Section 158(b)). The adjusted or increased fees reflect the net change in the Consumer Price Index for all Urban Consumers (CPI-U).</w:t>
      </w:r>
    </w:p>
    <w:p w:rsidR="00CA3B52" w:rsidRPr="00CB6CBA" w:rsidRDefault="00CA3B52" w:rsidP="00CA3B52">
      <w:pPr>
        <w:rPr>
          <w:lang w:val="en-US"/>
        </w:rPr>
      </w:pPr>
      <w:r w:rsidRPr="00CB6CBA">
        <w:rPr>
          <w:lang w:val="en-US"/>
        </w:rPr>
        <w:t>Since 1990, the FCC has collected application fees averaging abo</w:t>
      </w:r>
      <w:r>
        <w:rPr>
          <w:lang w:val="en-US"/>
        </w:rPr>
        <w:t>ut USD 39 million annually. The </w:t>
      </w:r>
      <w:r w:rsidRPr="00CB6CBA">
        <w:rPr>
          <w:lang w:val="en-US"/>
        </w:rPr>
        <w:t>programme encompasses over 300 different fees with the vast majority collected at the time an original licence application, renewal or request for licence modification is filed with the FCC.</w:t>
      </w:r>
    </w:p>
    <w:p w:rsidR="00CA3B52" w:rsidRPr="00CB6CBA" w:rsidRDefault="00CA3B52" w:rsidP="00CA3B52">
      <w:pPr>
        <w:rPr>
          <w:lang w:val="en-US"/>
        </w:rPr>
      </w:pPr>
      <w:r w:rsidRPr="00CB6CBA">
        <w:rPr>
          <w:lang w:val="en-US"/>
        </w:rPr>
        <w:t>Most fees are assessed as a one-time charge on a per-application basis, although there are certain exceptions. Local (state, county, city, etc.) government, non</w:t>
      </w:r>
      <w:r w:rsidRPr="00CB6CBA">
        <w:rPr>
          <w:lang w:val="en-US"/>
        </w:rPr>
        <w:noBreakHyphen/>
        <w:t>profit, non-commercial broadcast and amateur licence applicants are exempt from the fees.</w:t>
      </w:r>
    </w:p>
    <w:p w:rsidR="00CA3B52" w:rsidRPr="00CB6CBA" w:rsidRDefault="00CA3B52" w:rsidP="00CA3B52">
      <w:pPr>
        <w:rPr>
          <w:lang w:val="en-US"/>
        </w:rPr>
      </w:pPr>
      <w:r w:rsidRPr="00CB6CBA">
        <w:rPr>
          <w:lang w:val="en-US"/>
        </w:rPr>
        <w:t>The schedule of charges is exactly as reviewed and approved by Congress. The charges represent the best estimate of the FCC’s actual direct administrative costs of processing a licence application.</w:t>
      </w:r>
    </w:p>
    <w:p w:rsidR="00CA3B52" w:rsidRPr="00CB6CBA" w:rsidRDefault="00CA3B52" w:rsidP="00CA3B52">
      <w:pPr>
        <w:rPr>
          <w:lang w:val="en-US"/>
        </w:rPr>
      </w:pPr>
      <w:r>
        <w:rPr>
          <w:lang w:val="en-US"/>
        </w:rPr>
        <w:t xml:space="preserve">The public notices, orders, and guidelines for these application processing fees may be found at </w:t>
      </w:r>
      <w:hyperlink r:id="rId242" w:history="1">
        <w:r w:rsidRPr="006D36A1">
          <w:rPr>
            <w:rStyle w:val="Hyperlink"/>
            <w:lang w:val="en-US"/>
          </w:rPr>
          <w:t>http://transition.fcc.gov/fees/appfees.html</w:t>
        </w:r>
      </w:hyperlink>
      <w:r w:rsidRPr="006D36A1">
        <w:rPr>
          <w:lang w:val="en-US"/>
        </w:rPr>
        <w:t>.</w:t>
      </w:r>
    </w:p>
    <w:p w:rsidR="00CA3B52" w:rsidRPr="006D36A1" w:rsidRDefault="00CA3B52" w:rsidP="004E6D7E">
      <w:pPr>
        <w:keepNext/>
        <w:keepLines/>
        <w:rPr>
          <w:lang w:val="en-US"/>
        </w:rPr>
      </w:pPr>
      <w:r w:rsidRPr="006D36A1">
        <w:rPr>
          <w:lang w:val="en-US"/>
        </w:rPr>
        <w:lastRenderedPageBreak/>
        <w:t>In addition to application and regulatory fees, the FCC may assess penalties for violations of law or non</w:t>
      </w:r>
      <w:r w:rsidR="00E24F2B">
        <w:rPr>
          <w:lang w:val="en-US"/>
        </w:rPr>
        <w:t>-</w:t>
      </w:r>
      <w:r w:rsidRPr="006D36A1">
        <w:rPr>
          <w:lang w:val="en-US"/>
        </w:rPr>
        <w:t>c</w:t>
      </w:r>
      <w:r>
        <w:rPr>
          <w:lang w:val="en-US"/>
        </w:rPr>
        <w:t xml:space="preserve">ompliance with authorizations. </w:t>
      </w:r>
      <w:r w:rsidRPr="006D36A1">
        <w:rPr>
          <w:lang w:val="en-US"/>
        </w:rPr>
        <w:t>The rules for forfeiture proceedings may be found at</w:t>
      </w:r>
      <w:r>
        <w:rPr>
          <w:lang w:val="en-US"/>
        </w:rPr>
        <w:t xml:space="preserve"> </w:t>
      </w:r>
      <w:hyperlink r:id="rId243" w:history="1">
        <w:r w:rsidRPr="00D80DE7">
          <w:rPr>
            <w:rStyle w:val="Hyperlink"/>
            <w:lang w:val="en-US"/>
          </w:rPr>
          <w:t>http://www.ecfr.gov/cgi-bin/text-idx?SID=8ff7d70cef964a24a25ff9612c757d00&amp;node=47:1.0.1.</w:t>
        </w:r>
        <w:r w:rsidRPr="00D80DE7">
          <w:rPr>
            <w:rStyle w:val="Hyperlink"/>
            <w:lang w:val="en-US"/>
          </w:rPr>
          <w:br/>
          <w:t>1.2.1.152.49&amp;rgn=div8</w:t>
        </w:r>
      </w:hyperlink>
      <w:r w:rsidRPr="006D36A1">
        <w:rPr>
          <w:lang w:val="en-US"/>
        </w:rPr>
        <w:t>.</w:t>
      </w:r>
    </w:p>
    <w:p w:rsidR="00CA3B52" w:rsidRPr="00CB6CBA" w:rsidRDefault="00CA3B52" w:rsidP="00CA3B52">
      <w:pPr>
        <w:rPr>
          <w:lang w:val="en-US"/>
        </w:rPr>
      </w:pPr>
      <w:r w:rsidRPr="00CB6CBA">
        <w:rPr>
          <w:lang w:val="en-US"/>
        </w:rPr>
        <w:t>In 1993, Congress mandated that the FCC must collect regulatory fees to cover its enforcement activities, policy and rule-making activities, user information services, and international activities. Consequently, regulatory-related fees were implemented in 1994.</w:t>
      </w:r>
    </w:p>
    <w:p w:rsidR="00CA3B52" w:rsidRPr="00CB6CBA" w:rsidRDefault="00CA3B52" w:rsidP="00CA3B52">
      <w:pPr>
        <w:rPr>
          <w:lang w:val="en-US"/>
        </w:rPr>
      </w:pPr>
      <w:r w:rsidRPr="00CB6CBA">
        <w:rPr>
          <w:lang w:val="en-US"/>
        </w:rPr>
        <w:t>The requirement to collect annual regulatory fees is contained in Public Law 103-66 “The Omnibus Budget Reconciliation Act of 1993”. These regulatory fees, which may change yearly, are used to offset costs associated with the FCC’s enforcement, public service, international, policy and rulemaking activities. These fees are in addition to any application processing fees associated with obtaining a licence or other authorization from the FCC.</w:t>
      </w:r>
    </w:p>
    <w:p w:rsidR="00CA3B52" w:rsidRPr="00CB6CBA" w:rsidRDefault="00CA3B52" w:rsidP="00CA3B52">
      <w:pPr>
        <w:rPr>
          <w:lang w:val="en-US"/>
        </w:rPr>
      </w:pPr>
      <w:r w:rsidRPr="00CB6CBA">
        <w:rPr>
          <w:lang w:val="en-US"/>
        </w:rPr>
        <w:t>Without regulatory fees to offset the FCC’s costs, the agency would have required a Congressional appropriation of USD 189 million for fiscal year 1997 (1 October 1996 to 30 September 1998). When offsetting regulatory fees (USD 152 million) were taken into consideration, only USD 37 million had to be appropriated from the U.S. Treasury to fund the FCC.</w:t>
      </w:r>
    </w:p>
    <w:p w:rsidR="00CA3B52" w:rsidRPr="00CB6CBA" w:rsidRDefault="00CA3B52" w:rsidP="00CA3B52">
      <w:pPr>
        <w:rPr>
          <w:lang w:val="en-US"/>
        </w:rPr>
      </w:pPr>
      <w:r w:rsidRPr="00CB6CBA">
        <w:rPr>
          <w:lang w:val="en-US"/>
        </w:rPr>
        <w:t>By statute, the total fees collected should cover, but cannot exceed, the amount of money appropriated by Congress to the FCC for these activities. Regulatory fees collected are deposited into an account providing appropriations to the FCC.</w:t>
      </w:r>
    </w:p>
    <w:p w:rsidR="00CA3B52" w:rsidRPr="00CB6CBA" w:rsidRDefault="00CA3B52" w:rsidP="00CA3B52">
      <w:pPr>
        <w:rPr>
          <w:lang w:val="en-US"/>
        </w:rPr>
      </w:pPr>
      <w:r w:rsidRPr="00CB6CBA">
        <w:rPr>
          <w:lang w:val="en-US"/>
        </w:rPr>
        <w:t>Some of the activities included in the regulatory fees are considered below.</w:t>
      </w:r>
    </w:p>
    <w:p w:rsidR="00CA3B52" w:rsidRPr="00CB6CBA" w:rsidRDefault="00CA3B52" w:rsidP="00CA3B52">
      <w:pPr>
        <w:pStyle w:val="Heading4"/>
        <w:rPr>
          <w:lang w:val="en-US"/>
        </w:rPr>
      </w:pPr>
      <w:bookmarkStart w:id="1763" w:name="_Toc426513725"/>
      <w:bookmarkStart w:id="1764" w:name="_Toc426514005"/>
      <w:bookmarkStart w:id="1765" w:name="_Toc459746768"/>
      <w:bookmarkStart w:id="1766" w:name="_Toc497033234"/>
      <w:bookmarkStart w:id="1767" w:name="_Toc497034032"/>
      <w:r w:rsidRPr="00CB6CBA">
        <w:rPr>
          <w:lang w:val="en-US"/>
        </w:rPr>
        <w:t>5.2.9.1</w:t>
      </w:r>
      <w:r w:rsidRPr="00CB6CBA">
        <w:rPr>
          <w:lang w:val="en-US"/>
        </w:rPr>
        <w:tab/>
        <w:t>Policy and rulemaking</w:t>
      </w:r>
      <w:bookmarkEnd w:id="1763"/>
      <w:bookmarkEnd w:id="1764"/>
      <w:bookmarkEnd w:id="1765"/>
      <w:bookmarkEnd w:id="1766"/>
      <w:bookmarkEnd w:id="1767"/>
    </w:p>
    <w:p w:rsidR="00CA3B52" w:rsidRPr="00CB6CBA" w:rsidRDefault="00CA3B52" w:rsidP="00CA3B52">
      <w:pPr>
        <w:rPr>
          <w:lang w:val="en-US"/>
        </w:rPr>
      </w:pPr>
      <w:r w:rsidRPr="00CB6CBA">
        <w:rPr>
          <w:lang w:val="en-US"/>
        </w:rPr>
        <w:t>Formal inquiries, rulemaking proceedings to establish or amend the FCC’s rules and regulations, action on petitions for rulemaking, and requests for rule interpretations or waivers; economic studies and analyses; spectrum planning, modelling, propagation interference analyses, and allocation; and development of equipment standards. This also includes policy direction, programme development, legal services, and executive direction, as well as support services associated with policy and rulemaking activities.</w:t>
      </w:r>
    </w:p>
    <w:p w:rsidR="00CA3B52" w:rsidRPr="00CB6CBA" w:rsidRDefault="00CA3B52" w:rsidP="00CA3B52">
      <w:pPr>
        <w:pStyle w:val="Heading4"/>
        <w:rPr>
          <w:lang w:val="en-US"/>
        </w:rPr>
      </w:pPr>
      <w:bookmarkStart w:id="1768" w:name="_Toc426513726"/>
      <w:bookmarkStart w:id="1769" w:name="_Toc426514006"/>
      <w:bookmarkStart w:id="1770" w:name="_Toc459746769"/>
      <w:bookmarkStart w:id="1771" w:name="_Toc497033235"/>
      <w:bookmarkStart w:id="1772" w:name="_Toc497034033"/>
      <w:r w:rsidRPr="00CB6CBA">
        <w:rPr>
          <w:lang w:val="en-US"/>
        </w:rPr>
        <w:t>5.2.9.2</w:t>
      </w:r>
      <w:r w:rsidRPr="00CB6CBA">
        <w:rPr>
          <w:lang w:val="en-US"/>
        </w:rPr>
        <w:tab/>
        <w:t>Enforcement</w:t>
      </w:r>
      <w:bookmarkEnd w:id="1768"/>
      <w:bookmarkEnd w:id="1769"/>
      <w:bookmarkEnd w:id="1770"/>
      <w:bookmarkEnd w:id="1771"/>
      <w:bookmarkEnd w:id="1772"/>
    </w:p>
    <w:p w:rsidR="00CA3B52" w:rsidRPr="00CB6CBA" w:rsidRDefault="00CA3B52" w:rsidP="00CA3B52">
      <w:pPr>
        <w:rPr>
          <w:lang w:val="en-US"/>
        </w:rPr>
      </w:pPr>
      <w:r w:rsidRPr="00CB6CBA">
        <w:rPr>
          <w:lang w:val="en-US"/>
        </w:rPr>
        <w:t>Enforcement of the FCC’s rules, regulations and authorizations, including investigations, inspections, compliance monitoring, and sanctions of all types. This also includes the receipt and disposition of formal and informal complaints regarding common carrier rates and services, the review and acceptance/rejection of carrier tariffs, and the review, prescription and audit of carrier accounting practices. It also includes policy direction, programme development, legal services, and executive direction, as well as support services associated with enforcement activities.</w:t>
      </w:r>
    </w:p>
    <w:p w:rsidR="00CA3B52" w:rsidRPr="00CB6CBA" w:rsidRDefault="00CA3B52" w:rsidP="00CA3B52">
      <w:pPr>
        <w:pStyle w:val="Heading4"/>
        <w:rPr>
          <w:lang w:val="en-US"/>
        </w:rPr>
      </w:pPr>
      <w:bookmarkStart w:id="1773" w:name="_Toc426513727"/>
      <w:bookmarkStart w:id="1774" w:name="_Toc426514007"/>
      <w:bookmarkStart w:id="1775" w:name="_Toc459746770"/>
      <w:bookmarkStart w:id="1776" w:name="_Toc497033236"/>
      <w:bookmarkStart w:id="1777" w:name="_Toc497034034"/>
      <w:r w:rsidRPr="00CB6CBA">
        <w:rPr>
          <w:lang w:val="en-US"/>
        </w:rPr>
        <w:t>5.2.9.3</w:t>
      </w:r>
      <w:r w:rsidRPr="00CB6CBA">
        <w:rPr>
          <w:lang w:val="en-US"/>
        </w:rPr>
        <w:tab/>
        <w:t>Public information services</w:t>
      </w:r>
      <w:bookmarkEnd w:id="1773"/>
      <w:bookmarkEnd w:id="1774"/>
      <w:bookmarkEnd w:id="1775"/>
      <w:bookmarkEnd w:id="1776"/>
      <w:bookmarkEnd w:id="1777"/>
    </w:p>
    <w:p w:rsidR="00CA3B52" w:rsidRPr="00CB6CBA" w:rsidRDefault="00CA3B52" w:rsidP="00CA3B52">
      <w:pPr>
        <w:rPr>
          <w:lang w:val="en-US"/>
        </w:rPr>
      </w:pPr>
      <w:r w:rsidRPr="00CB6CBA">
        <w:rPr>
          <w:lang w:val="en-US"/>
        </w:rPr>
        <w:t>The publication and dissemination of FCC decisions and actions, and related activities; public reference and library services; the duplication and dissemination of FCC records and databases; the receipt and disposition of public inquiries; consumer, small business, and public assistance; and public affairs and media relations. This activity also includes policy direction, programme development, legal services, and executive direction, as well as support services associated with public information activities.</w:t>
      </w:r>
    </w:p>
    <w:p w:rsidR="00CA3B52" w:rsidRPr="00CB6CBA" w:rsidRDefault="00CA3B52" w:rsidP="00CA3B52">
      <w:pPr>
        <w:rPr>
          <w:lang w:val="en-US"/>
        </w:rPr>
      </w:pPr>
      <w:r w:rsidRPr="00CB6CBA">
        <w:rPr>
          <w:lang w:val="en-US"/>
        </w:rPr>
        <w:t>The following licensees and other entities regulated by the FCC must pay regulatory fees:</w:t>
      </w:r>
    </w:p>
    <w:p w:rsidR="00CA3B52" w:rsidRPr="00CB6CBA" w:rsidRDefault="00CA3B52" w:rsidP="00CA3B52">
      <w:pPr>
        <w:rPr>
          <w:lang w:val="en-US"/>
        </w:rPr>
      </w:pPr>
      <w:r w:rsidRPr="00CB6CBA">
        <w:rPr>
          <w:i/>
          <w:iCs/>
          <w:lang w:val="en-US"/>
        </w:rPr>
        <w:t>Common carrier regulatees</w:t>
      </w:r>
      <w:r w:rsidRPr="00CB6CBA">
        <w:rPr>
          <w:lang w:val="en-US"/>
        </w:rPr>
        <w:t xml:space="preserve">:  inter-exchange carriers (long-distance companies), local exchange carriers (local telephone operating companies), competitive access providers (companies other than the traditional local telephone companies that provide interstate access services to long-distance </w:t>
      </w:r>
      <w:r w:rsidRPr="00CB6CBA">
        <w:rPr>
          <w:lang w:val="en-US"/>
        </w:rPr>
        <w:lastRenderedPageBreak/>
        <w:t>carriers and other companies), operator service providers (carriers that enable customers to make away from home calls and to place calls with alternative billing arrangements), pay telephone operators (owners of pay telephones), resellers (companies that obtain lines from facilities-based carriers and sell service to others, but does not include mobile resellers governed by the commercial wireless radio services), and other interstate providers (e.g., calling card providers).</w:t>
      </w:r>
    </w:p>
    <w:p w:rsidR="00CA3B52" w:rsidRPr="00CB6CBA" w:rsidRDefault="00CA3B52" w:rsidP="00CA3B52">
      <w:pPr>
        <w:rPr>
          <w:lang w:val="en-US"/>
        </w:rPr>
      </w:pPr>
      <w:r w:rsidRPr="00CB6CBA">
        <w:rPr>
          <w:i/>
          <w:iCs/>
          <w:lang w:val="en-US"/>
        </w:rPr>
        <w:t>Commercial mobile radio services (CMRS) regulatees</w:t>
      </w:r>
      <w:r w:rsidRPr="00CB6CBA">
        <w:rPr>
          <w:lang w:val="en-US"/>
        </w:rPr>
        <w:t>:  specialized mobile radio services (Part 90); public coast stations (Part 80); public mobile radio, cellular, 800 MHz air-ground radiotelephone, and offshore radio services (Part 22); and PCS broadband services (Part 24). The CMRS messaging services category includes all one-way paging (Parts 22 and 90), two-way paging, qualifying interconnected business radio services, 220-222 MHz land mobile systems (Part 90), and PCS narrow-band services (Part 24). All other private wireless regulatory fees are paid in advance for the full licence term and submitted along with the appropriate application fee.</w:t>
      </w:r>
    </w:p>
    <w:p w:rsidR="00CA3B52" w:rsidRPr="00CB6CBA" w:rsidRDefault="00CA3B52" w:rsidP="00CA3B52">
      <w:pPr>
        <w:rPr>
          <w:lang w:val="en-US"/>
        </w:rPr>
      </w:pPr>
      <w:r w:rsidRPr="00CB6CBA">
        <w:rPr>
          <w:bCs/>
          <w:i/>
          <w:iCs/>
          <w:lang w:val="en-US"/>
        </w:rPr>
        <w:t>Mass media licensees</w:t>
      </w:r>
      <w:r w:rsidRPr="00CB6CBA">
        <w:rPr>
          <w:lang w:val="en-US"/>
        </w:rPr>
        <w:t>:  commercial AM and FM radio stations, commercial TV stations, low power television and television translator and booster licensees, broadcast auxiliary, FM translator and FM booster licensees, and multipoint distribution service licensees (includes multichannel multipoint distribution service). Non-commercial educational licensees are exempt from regulatory fees as are licensees of auxiliary broadcast services such as low power auxiliary stations, television auxiliary service stations, remote pickup stations and aural broadcast auxiliary stations where such licences are used in conjunction with commonly owned non-commercial educational stations. Emergency alert system (EAS) licences for auxiliary service facilities are also exempt as are instructional television fixed service (ITFS) licensees. In the event that there has been a change in ownership of a system after the effective date, but before the date payment is due, responsibility for payment of the regulatory fees rests with the owner of record on the effective date noted.</w:t>
      </w:r>
    </w:p>
    <w:p w:rsidR="00CA3B52" w:rsidRPr="00CB6CBA" w:rsidRDefault="00CA3B52" w:rsidP="00CA3B52">
      <w:pPr>
        <w:rPr>
          <w:lang w:val="en-US"/>
        </w:rPr>
      </w:pPr>
      <w:r w:rsidRPr="00CB6CBA">
        <w:rPr>
          <w:bCs/>
          <w:i/>
          <w:iCs/>
          <w:lang w:val="en-US"/>
        </w:rPr>
        <w:t>Cable television systems</w:t>
      </w:r>
      <w:r w:rsidRPr="00CB6CBA">
        <w:rPr>
          <w:bCs/>
          <w:lang w:val="en-US"/>
        </w:rPr>
        <w:t>:  </w:t>
      </w:r>
      <w:r w:rsidRPr="00CB6CBA">
        <w:rPr>
          <w:lang w:val="en-US"/>
        </w:rPr>
        <w:t>cable television systems operating on 31 December 1996, were requested to pay regulatory fees per subscriber in the fiscal year 1997. All cable television systems were requested to pay regulatory fees of USD 0.54 per subscriber for each community unit in which they operate. Additionally, each system operating on 1 October 1996, was requested to pay a USD 65.00 fee for each community antenna relay service licence held and, if applicable, a USD 25.00 fee for each broadcast auxiliary service licence held. In the event that there had been a change in ownership of a system after the effective dates above, but before the date payment was due, responsibility for payment of the regulatory fees rested with the owner of record on the appropriate effective date noted above.</w:t>
      </w:r>
    </w:p>
    <w:p w:rsidR="00CA3B52" w:rsidRPr="00CB6CBA" w:rsidRDefault="00CA3B52" w:rsidP="00CA3B52">
      <w:pPr>
        <w:rPr>
          <w:lang w:val="en-US"/>
        </w:rPr>
      </w:pPr>
      <w:r w:rsidRPr="00CB6CBA">
        <w:rPr>
          <w:lang w:val="en-US"/>
        </w:rPr>
        <w:t>International public fixed licensees (Part 23), international (HF) broadcast licensees (Part 73), providers of international bearer circuits, earth station regulatees (Part 25), geosynchronous space station regulatees (Part 25) and direct broadcast satellite licensees (Part 100), and low-Earth orbit system licensees (Part 25).</w:t>
      </w:r>
    </w:p>
    <w:p w:rsidR="00CA3B52" w:rsidRPr="00CB6CBA" w:rsidRDefault="00CA3B52" w:rsidP="00CA3B52">
      <w:pPr>
        <w:rPr>
          <w:lang w:val="en-US"/>
        </w:rPr>
      </w:pPr>
      <w:r w:rsidRPr="00CB6CBA">
        <w:rPr>
          <w:lang w:val="en-US"/>
        </w:rPr>
        <w:t>Local governments and non-profit entities are not required to pay regulatory fees. However, the FCC is considering a proposal which would require that each exempt entity submit, or have on file with the FCC, a current internal revenue service determination letter documenting its non-profit status, a certification of local governmental authority, or certification from a local governmental authority attesting to its exempt status. Under the proposal, a regulatee would be relieved of its fee payment requirement if its total fee due, including all categories of fees, amounts to less than USD 10.</w:t>
      </w:r>
    </w:p>
    <w:p w:rsidR="00CA3B52" w:rsidRPr="00CB6CBA" w:rsidRDefault="00CA3B52" w:rsidP="00CA3B52">
      <w:pPr>
        <w:rPr>
          <w:lang w:val="en-US"/>
        </w:rPr>
      </w:pPr>
      <w:r w:rsidRPr="00CB6CBA">
        <w:rPr>
          <w:lang w:val="en-US"/>
        </w:rPr>
        <w:t>For the fiscal year 1997, the FCC adjusted the estimated regulatory payment units for each service from the fiscal year 1996 fees. The FCC obtained its estimated payment units through a variety of means, including its licensee databases, actual prior-year payment records, and industry and trade group projections. Whenever possible, the FCC verified these estimates from multiple sources to ensure their accuracy.</w:t>
      </w:r>
    </w:p>
    <w:p w:rsidR="00CA3B52" w:rsidRPr="00CB6CBA" w:rsidRDefault="00CA3B52" w:rsidP="00CA3B52">
      <w:pPr>
        <w:rPr>
          <w:lang w:val="en-US"/>
        </w:rPr>
      </w:pPr>
      <w:r w:rsidRPr="00CB6CBA">
        <w:rPr>
          <w:lang w:val="en-US"/>
        </w:rPr>
        <w:lastRenderedPageBreak/>
        <w:t>The FCC multiplied the revised payment units for each service by its fiscal year 1996 fee amounts in each fee category to estimate how much revenue the FCC would collect in the fiscal year 1997 without any change to the existing schedule of regulatory fees. The amount of revenue the FCC would have collected was approximately USD 137.3 million. This amount was approximately USD 15.2 million less than the amount the FCC was required to colle</w:t>
      </w:r>
      <w:r>
        <w:rPr>
          <w:lang w:val="en-US"/>
        </w:rPr>
        <w:t>ct in the fiscal year 1997. The </w:t>
      </w:r>
      <w:r w:rsidRPr="00CB6CBA">
        <w:rPr>
          <w:lang w:val="en-US"/>
        </w:rPr>
        <w:t xml:space="preserve">FCC therefore adjusted the revenue requirements for each fee category on a proportional basis, consistent with Section 9(b)(2) of the Act, to obtain an estimate of revenue requirements for each fee category necessary to collect the USD 152 million required </w:t>
      </w:r>
      <w:r>
        <w:rPr>
          <w:lang w:val="en-US"/>
        </w:rPr>
        <w:t>by Congress for the fiscal year </w:t>
      </w:r>
      <w:r w:rsidRPr="00CB6CBA">
        <w:rPr>
          <w:lang w:val="en-US"/>
        </w:rPr>
        <w:t>1997.</w:t>
      </w:r>
    </w:p>
    <w:p w:rsidR="00CA3B52" w:rsidRPr="00CB6CBA" w:rsidRDefault="00CA3B52" w:rsidP="00CA3B52">
      <w:pPr>
        <w:rPr>
          <w:lang w:val="en-US"/>
        </w:rPr>
      </w:pPr>
      <w:r w:rsidRPr="00CB6CBA">
        <w:rPr>
          <w:lang w:val="en-US"/>
        </w:rPr>
        <w:t>On 1 October 1995, the FCC implemented, in accordance with 47 U.S.C. § 159(i), a cost accounting system designed, in part, to provide the FCC with useful data, in combination with other information, to help ensure that fees closely reflected the FCC’s actual costs of regulation.</w:t>
      </w:r>
    </w:p>
    <w:p w:rsidR="00CA3B52" w:rsidRPr="00CB6CBA" w:rsidRDefault="00CA3B52" w:rsidP="00CA3B52">
      <w:pPr>
        <w:rPr>
          <w:lang w:val="en-US"/>
        </w:rPr>
      </w:pPr>
      <w:r w:rsidRPr="00CB6CBA">
        <w:rPr>
          <w:lang w:val="en-US"/>
        </w:rPr>
        <w:t>In order to utilize actual costs derived from the FCC’s cost accounting system for fee development purposes, indirect support costs contained in the cost accounting system had to be added to direct costs (see Note 1) and the results adjusted further to approximate the amount of revenue that Congress required the FCC to collect in the fiscal year 1997 (USD 152 million) (see Note 2).</w:t>
      </w:r>
      <w:r w:rsidRPr="00CB6CBA">
        <w:rPr>
          <w:position w:val="6"/>
          <w:lang w:val="en-US"/>
        </w:rPr>
        <w:t xml:space="preserve"> </w:t>
      </w:r>
      <w:r w:rsidRPr="00CB6CBA">
        <w:rPr>
          <w:lang w:val="en-US"/>
        </w:rPr>
        <w:t>Thus, the FCC proportionally adjusted the actual cost data related to regulatory fee activities recorded for the period 1 October 1995, through 30 September 1996, among the fee categories so that total costs approximated the USD 152 million.</w:t>
      </w:r>
    </w:p>
    <w:p w:rsidR="00CA3B52" w:rsidRPr="00CB6CBA" w:rsidRDefault="00CA3B52" w:rsidP="00CA3B52">
      <w:pPr>
        <w:rPr>
          <w:lang w:val="en-US"/>
        </w:rPr>
      </w:pPr>
      <w:r w:rsidRPr="00CB6CBA">
        <w:rPr>
          <w:lang w:val="en-US"/>
        </w:rPr>
        <w:t>The FCC’s next step was to determine whether reliance on actual costs to develop fiscal year 1997 regulatory fees would result in fees which were too disparate from the corresponding fiscal year 1996 fees. As a result of this analysis, the FCC proposed establishing a ceiling of 25% on the increase in the revenue requirement of any service over and above the Congressionally mandated overall increase in the revenue requirement and after taking into consideration changes in payment unit counts (see Note 3).</w:t>
      </w:r>
    </w:p>
    <w:p w:rsidR="00CA3B52" w:rsidRPr="00CB6CBA" w:rsidRDefault="00CA3B52" w:rsidP="00CA3B52">
      <w:pPr>
        <w:rPr>
          <w:lang w:val="en-US"/>
        </w:rPr>
      </w:pPr>
      <w:r w:rsidRPr="00CB6CBA">
        <w:rPr>
          <w:lang w:val="en-US"/>
        </w:rPr>
        <w:t>Because Congress, for the fiscal year 1997, increased the FCC’s overall fee collection requirement, the FCC was required to collect substantially more than it collected in the fiscal year 1996. Nevertheless, capping each service’s revenue requirement at no more than a 25% increase enabled the FCC to begin the process of realigning fees to account for diffe</w:t>
      </w:r>
      <w:r>
        <w:rPr>
          <w:lang w:val="en-US"/>
        </w:rPr>
        <w:t>rences in regulatory costs. The </w:t>
      </w:r>
      <w:r w:rsidRPr="00CB6CBA">
        <w:rPr>
          <w:lang w:val="en-US"/>
        </w:rPr>
        <w:t>25% increase was over and above the revenue which was required after adjusting for the projected fiscal year 1997 payment units and the proportional share of the 21% increased in the amount that Congress requires the FCC to collect. Thus, the fiscal year 1997 fees increased by more than 25% over the fiscal year 1996 fees. Under this methodology, fees actually increased by as much as 40%.</w:t>
      </w:r>
    </w:p>
    <w:p w:rsidR="00CA3B52" w:rsidRPr="00CB6CBA" w:rsidRDefault="00CA3B52" w:rsidP="00CA3B52">
      <w:pPr>
        <w:rPr>
          <w:position w:val="6"/>
          <w:lang w:val="en-US"/>
        </w:rPr>
      </w:pPr>
      <w:r w:rsidRPr="00CB6CBA">
        <w:rPr>
          <w:lang w:val="en-US"/>
        </w:rPr>
        <w:t>An important consideration in establishing a revenue ceiling is the impact on other fee payers. Because the FCC was required to collect USD 152 million in the fiscal year 1997 regulatory fees, the additional revenue that would have been collected from classes of licensees subject to a revenue ceiling, instead needs to be collected from licensees not subject to the ceiling. This results in a certain amount of cross-subsidization between fee payer classes (see Note 4). The FCC asserted, however, that the public interest would best be served by adopting a revenue ceiling because, otherwise, several entities would be subjected to unexpected, substantial increases which could severely impact the economic well being of these licensees.</w:t>
      </w:r>
    </w:p>
    <w:p w:rsidR="00CA3B52" w:rsidRPr="00CB6CBA" w:rsidRDefault="00CA3B52" w:rsidP="00CA3B52">
      <w:pPr>
        <w:rPr>
          <w:lang w:val="en-US"/>
        </w:rPr>
      </w:pPr>
      <w:r w:rsidRPr="00CB6CBA">
        <w:rPr>
          <w:lang w:val="en-US"/>
        </w:rPr>
        <w:t>Regulation of interstate telephone service providers accounts for approximately 36% of all FCC costs. Therefore, any methodology which employs a subsidization feature, such as the FCC’s proposed revenue ceiling, will impact these regulatees to a greater extent than others, at least in the short term. As other fee payers’ fees approach amounts that bring their revenues closer to their actual costs, as the FCC’s phased-in revenue ceiling technique would do, the amount of subsidization required of fee payers below their revenue ceilings (such as those common carriers providing interstate telephone service) will steadily decrease. Thus, in the long term, cross-</w:t>
      </w:r>
      <w:r w:rsidRPr="00CB6CBA">
        <w:rPr>
          <w:lang w:val="en-US"/>
        </w:rPr>
        <w:lastRenderedPageBreak/>
        <w:t>subsidization will decrease and revenue requirements for all services will approach actual costs (assuming other factors, such as the total amount that Congress requires the FCC to collect, remain constant).</w:t>
      </w:r>
    </w:p>
    <w:p w:rsidR="00CA3B52" w:rsidRPr="00CB6CBA" w:rsidRDefault="00CA3B52" w:rsidP="00CA3B52">
      <w:pPr>
        <w:rPr>
          <w:lang w:val="en-US"/>
        </w:rPr>
      </w:pPr>
      <w:r w:rsidRPr="00CB6CBA">
        <w:rPr>
          <w:lang w:val="en-US"/>
        </w:rPr>
        <w:t>The FCC adopted the 25% revenue ceiling as proposed. Application of the 25% ceiling was accomplished by choosing a “target” fee revenue requirement for eac</w:t>
      </w:r>
      <w:r>
        <w:rPr>
          <w:lang w:val="en-US"/>
        </w:rPr>
        <w:t>h individual fee category. This </w:t>
      </w:r>
      <w:r w:rsidRPr="00CB6CBA">
        <w:rPr>
          <w:lang w:val="en-US"/>
        </w:rPr>
        <w:t>“target” was either the actual calculated revenue requirement (for those categories at or below the 25% ceiling) or, in cases where the calculated revenue exceeded the ceiling, an amount equal to the ceiling. The shortfall created by reducing the revenue requirement of those whose revenue requirement exceeded the revenue ceiling was proportionately spread among those fee categories whose revenue requirements were below the ceiling. This computation required more than one round of adjustment because the allocation of this revenue, in a few instances, caused the new revenue requirement amount to exceed the 25% ceiling. After two iterations (rounds), all the revenue requirements were at or below the revenue ceiling.</w:t>
      </w:r>
    </w:p>
    <w:p w:rsidR="00CA3B52" w:rsidRPr="00CB6CBA" w:rsidRDefault="00CA3B52" w:rsidP="00CA3B52">
      <w:pPr>
        <w:rPr>
          <w:lang w:val="en-US"/>
        </w:rPr>
      </w:pPr>
      <w:r w:rsidRPr="00CB6CBA">
        <w:rPr>
          <w:lang w:val="en-US"/>
        </w:rPr>
        <w:t>Once the FCC determined the amount of fee revenue needed to be collected from each class of licensee, the FCC divided the individual revenue requirements by the number of associated payment units (and by the licence term, if applicable, for “small” fees) to obtain actual fee amounts for each fee category. These calculated fee amounts were then rounded to an even amount.</w:t>
      </w:r>
    </w:p>
    <w:p w:rsidR="00CA3B52" w:rsidRPr="00CB6CBA" w:rsidRDefault="00CA3B52" w:rsidP="00CA3B52">
      <w:pPr>
        <w:pStyle w:val="Note"/>
        <w:rPr>
          <w:lang w:val="en-US"/>
        </w:rPr>
      </w:pPr>
      <w:bookmarkStart w:id="1778" w:name="_Toc497033237"/>
      <w:bookmarkStart w:id="1779" w:name="_Toc497034035"/>
      <w:r w:rsidRPr="00CB6CBA">
        <w:rPr>
          <w:lang w:val="en-US"/>
        </w:rPr>
        <w:t xml:space="preserve">NOTE 1 – One feature of the cost accounting system is that it separately identifies direct and indirect costs. Direct costs </w:t>
      </w:r>
      <w:r>
        <w:rPr>
          <w:lang w:val="en-US"/>
        </w:rPr>
        <w:t>include salary and expenses for:</w:t>
      </w:r>
    </w:p>
    <w:p w:rsidR="00CA3B52" w:rsidRPr="000632A8" w:rsidRDefault="00CA3B52" w:rsidP="00CA3B52">
      <w:pPr>
        <w:pStyle w:val="enumlev1"/>
        <w:rPr>
          <w:sz w:val="22"/>
          <w:szCs w:val="22"/>
          <w:lang w:val="en-US"/>
        </w:rPr>
      </w:pPr>
      <w:r w:rsidRPr="000632A8">
        <w:rPr>
          <w:sz w:val="22"/>
          <w:szCs w:val="22"/>
          <w:lang w:val="en-US"/>
        </w:rPr>
        <w:t>a)</w:t>
      </w:r>
      <w:r w:rsidRPr="000632A8">
        <w:rPr>
          <w:sz w:val="22"/>
          <w:szCs w:val="22"/>
          <w:lang w:val="en-US"/>
        </w:rPr>
        <w:tab/>
        <w:t xml:space="preserve">staff directly assigned to the FCC’s operating Bureaus and performing regulatory activities; </w:t>
      </w:r>
    </w:p>
    <w:p w:rsidR="00CA3B52" w:rsidRPr="000632A8" w:rsidRDefault="00CA3B52" w:rsidP="00CA3B52">
      <w:pPr>
        <w:pStyle w:val="enumlev1"/>
        <w:rPr>
          <w:sz w:val="22"/>
          <w:szCs w:val="22"/>
          <w:lang w:val="en-US"/>
        </w:rPr>
      </w:pPr>
      <w:r w:rsidRPr="000632A8">
        <w:rPr>
          <w:sz w:val="22"/>
          <w:szCs w:val="22"/>
          <w:lang w:val="en-US"/>
        </w:rPr>
        <w:t>b)</w:t>
      </w:r>
      <w:r w:rsidRPr="000632A8">
        <w:rPr>
          <w:sz w:val="22"/>
          <w:szCs w:val="22"/>
          <w:lang w:val="en-US"/>
        </w:rPr>
        <w:tab/>
        <w:t>staff assigned outside the operating Bureaus to the extent that their time is spent performing regulatory activities pertinent to an operating Bureau.</w:t>
      </w:r>
    </w:p>
    <w:p w:rsidR="00CA3B52" w:rsidRPr="00CB6CBA" w:rsidRDefault="00CA3B52" w:rsidP="00CA3B52">
      <w:pPr>
        <w:pStyle w:val="Note"/>
        <w:rPr>
          <w:lang w:val="en-US"/>
        </w:rPr>
      </w:pPr>
      <w:r w:rsidRPr="00CB6CBA">
        <w:rPr>
          <w:lang w:val="en-US"/>
        </w:rPr>
        <w:t>These costs include rent, utilities and contractual costs attributable to such personnel. Indirect costs include support personnel assigned to overhead functions such as field and laboratory staff and certain staff assigned to the Office of the Managing Director. The combining of direct and indirect costs is accomplished on a proportional basis among all fee categories.</w:t>
      </w:r>
    </w:p>
    <w:p w:rsidR="00CA3B52" w:rsidRPr="00CB6CBA" w:rsidRDefault="00CA3B52" w:rsidP="00CA3B52">
      <w:pPr>
        <w:pStyle w:val="Note"/>
        <w:rPr>
          <w:lang w:val="en-US"/>
        </w:rPr>
      </w:pPr>
      <w:r w:rsidRPr="00CB6CBA">
        <w:rPr>
          <w:lang w:val="en-US"/>
        </w:rPr>
        <w:t>NOTE 2 – Congres’s estimate of costs to be recovered through regulatory fees is generally determined at least twelve months before the end of the fiscal year to which the fees actually apply. As such, year-end actual activity costs will not equal exactly the amount Congress designates for collection in a particular fiscal year.</w:t>
      </w:r>
    </w:p>
    <w:p w:rsidR="00CA3B52" w:rsidRPr="00CB6CBA" w:rsidRDefault="00CA3B52" w:rsidP="00CA3B52">
      <w:pPr>
        <w:pStyle w:val="Note"/>
        <w:rPr>
          <w:lang w:val="en-US"/>
        </w:rPr>
      </w:pPr>
      <w:r w:rsidRPr="00CB6CBA">
        <w:rPr>
          <w:lang w:val="en-US"/>
        </w:rPr>
        <w:t>NOTE 3 – For example, the regulatory cost associated with the Aviation (Aircraft) service is USD 934 905. If no change were made to this service’s fiscal year 1996 regulatory fee (USD 3 per year), the total revenue collected from licensees in this service would have been only USD 70 634 in the fiscal year 1997, a shortfall of USD 864 271. Application of the proposed 25% revenue ceiling to this service resulted in a capped revenue cei</w:t>
      </w:r>
      <w:r>
        <w:rPr>
          <w:lang w:val="en-US"/>
        </w:rPr>
        <w:t>ling of USD 88 293 (USD 70 634 ×</w:t>
      </w:r>
      <w:r w:rsidRPr="00CB6CBA">
        <w:rPr>
          <w:lang w:val="en-US"/>
        </w:rPr>
        <w:t> 125%).</w:t>
      </w:r>
    </w:p>
    <w:p w:rsidR="00CA3B52" w:rsidRPr="00CB6CBA" w:rsidRDefault="00CA3B52" w:rsidP="00CA3B52">
      <w:pPr>
        <w:pStyle w:val="Note"/>
        <w:rPr>
          <w:lang w:val="en-US"/>
        </w:rPr>
      </w:pPr>
      <w:r w:rsidRPr="00CB6CBA">
        <w:rPr>
          <w:lang w:val="en-US"/>
        </w:rPr>
        <w:t>NOTE 4 – Revenues from current fee payers already offset significant costs attributable to regulatees exempt from payment of a fee or otherwise not subject to a fee pursuant to Section 9(h) of the Act or the Commission’s rules. For example, CB and ship radio station users, amateur radio licensees, governmental entities, licensees in the public safety radio services, and all non-profit groups are not required to pay a fee. The costs of regulating these entities are borne by those regulatees subject to a fee requirement.</w:t>
      </w:r>
    </w:p>
    <w:p w:rsidR="00CA3B52" w:rsidRPr="00CB6CBA" w:rsidRDefault="00CA3B52" w:rsidP="00CA3B52">
      <w:pPr>
        <w:pStyle w:val="Heading3"/>
        <w:rPr>
          <w:lang w:val="en-US"/>
        </w:rPr>
      </w:pPr>
      <w:bookmarkStart w:id="1780" w:name="_Toc289868871"/>
      <w:bookmarkStart w:id="1781" w:name="_Toc289869031"/>
      <w:bookmarkStart w:id="1782" w:name="_Toc289932338"/>
      <w:bookmarkStart w:id="1783" w:name="_Toc289933384"/>
      <w:bookmarkStart w:id="1784" w:name="_Toc291852947"/>
      <w:bookmarkStart w:id="1785" w:name="_Toc392515931"/>
      <w:r w:rsidRPr="00CB6CBA">
        <w:rPr>
          <w:lang w:val="en-US"/>
        </w:rPr>
        <w:t>5.2.10</w:t>
      </w:r>
      <w:r w:rsidRPr="00CB6CBA">
        <w:rPr>
          <w:lang w:val="en-US"/>
        </w:rPr>
        <w:tab/>
        <w:t>Brazil’s experience with spectrum fees</w:t>
      </w:r>
      <w:bookmarkEnd w:id="1780"/>
      <w:bookmarkEnd w:id="1781"/>
      <w:bookmarkEnd w:id="1782"/>
      <w:bookmarkEnd w:id="1783"/>
      <w:bookmarkEnd w:id="1784"/>
      <w:bookmarkEnd w:id="1785"/>
    </w:p>
    <w:p w:rsidR="00CA3B52" w:rsidRPr="00CB6CBA" w:rsidRDefault="00CA3B52" w:rsidP="00CA3B52">
      <w:pPr>
        <w:rPr>
          <w:lang w:val="en-US"/>
        </w:rPr>
      </w:pPr>
      <w:r w:rsidRPr="00CB6CBA">
        <w:rPr>
          <w:lang w:val="en-US"/>
        </w:rPr>
        <w:t>The Brazilian General Telecommunication Law, issued in 1997, established that the use of radio frequency for any service would always be charged. The value of the charge should alternatively be:</w:t>
      </w:r>
    </w:p>
    <w:p w:rsidR="00CA3B52" w:rsidRPr="00CB6CBA" w:rsidRDefault="00CA3B52" w:rsidP="00CA3B52">
      <w:pPr>
        <w:pStyle w:val="enumlev1"/>
        <w:rPr>
          <w:lang w:val="en-US"/>
        </w:rPr>
      </w:pPr>
      <w:r w:rsidRPr="00CB6CBA">
        <w:rPr>
          <w:szCs w:val="24"/>
          <w:lang w:val="en-US"/>
        </w:rPr>
        <w:sym w:font="Symbol" w:char="F02D"/>
      </w:r>
      <w:r w:rsidRPr="00CB6CBA">
        <w:rPr>
          <w:lang w:val="en-US"/>
        </w:rPr>
        <w:tab/>
        <w:t>determined by the regulations or the tender invitation document; or</w:t>
      </w:r>
    </w:p>
    <w:p w:rsidR="00CA3B52" w:rsidRPr="00CB6CBA" w:rsidRDefault="00CA3B52" w:rsidP="00CA3B52">
      <w:pPr>
        <w:pStyle w:val="enumlev1"/>
        <w:rPr>
          <w:lang w:val="en-US"/>
        </w:rPr>
      </w:pPr>
      <w:r w:rsidRPr="00CB6CBA">
        <w:rPr>
          <w:szCs w:val="24"/>
          <w:lang w:val="en-US"/>
        </w:rPr>
        <w:sym w:font="Symbol" w:char="F02D"/>
      </w:r>
      <w:r w:rsidRPr="00CB6CBA">
        <w:rPr>
          <w:lang w:val="en-US"/>
        </w:rPr>
        <w:tab/>
        <w:t>established as per the winning proposal, when it becomes a judgment item or established in the concession contract or license act, in the cases where bidding is not required.</w:t>
      </w:r>
    </w:p>
    <w:p w:rsidR="00CA3B52" w:rsidRPr="00CB6CBA" w:rsidRDefault="00CA3B52" w:rsidP="00A55FD9">
      <w:pPr>
        <w:keepNext/>
        <w:keepLines/>
        <w:rPr>
          <w:lang w:val="en-US"/>
        </w:rPr>
      </w:pPr>
      <w:r w:rsidRPr="00CB6CBA">
        <w:rPr>
          <w:lang w:val="en-US"/>
        </w:rPr>
        <w:lastRenderedPageBreak/>
        <w:t>In 2004, the National Telecommunication Agency reviewed the regulation on the collection of public fees for the right to use radio frequencies. The main premise of such rules was kept, i.e., the price should be based on how one precludes the use of a specific rad</w:t>
      </w:r>
      <w:r>
        <w:rPr>
          <w:lang w:val="en-US"/>
        </w:rPr>
        <w:t>io frequency to other users. So </w:t>
      </w:r>
      <w:r w:rsidRPr="00CB6CBA">
        <w:rPr>
          <w:lang w:val="en-US"/>
        </w:rPr>
        <w:t>the following aspects were considered: time, space (geographic area), bandwidth and frequency band.</w:t>
      </w:r>
    </w:p>
    <w:p w:rsidR="00CA3B52" w:rsidRDefault="00CA3B52" w:rsidP="00CA3B52">
      <w:pPr>
        <w:rPr>
          <w:lang w:val="en-US"/>
        </w:rPr>
      </w:pPr>
      <w:r w:rsidRPr="00CB6CBA">
        <w:rPr>
          <w:lang w:val="en-US"/>
        </w:rPr>
        <w:t>It was considered that the frequency bands around 1.5 GHz were, from the economic point of view, more important than any other, and so they should have a higher value. Consequently, two functions were defined to describe such idea, which is illustrated in the Fig. </w:t>
      </w:r>
      <w:r w:rsidRPr="0024702C">
        <w:rPr>
          <w:lang w:val="en-US"/>
        </w:rPr>
        <w:t>14</w:t>
      </w:r>
      <w:r w:rsidRPr="00CB6CBA">
        <w:rPr>
          <w:lang w:val="en-US"/>
        </w:rPr>
        <w:t>.</w:t>
      </w:r>
    </w:p>
    <w:p w:rsidR="00CA3B52" w:rsidRDefault="00CA3B52" w:rsidP="00A55FD9">
      <w:pPr>
        <w:pStyle w:val="FigureNo"/>
        <w:rPr>
          <w:lang w:val="en-US"/>
        </w:rPr>
      </w:pPr>
      <w:r>
        <w:rPr>
          <w:lang w:val="en-US"/>
        </w:rPr>
        <w:t>figure 14</w:t>
      </w:r>
    </w:p>
    <w:p w:rsidR="00CA3B52" w:rsidRPr="000632A8" w:rsidRDefault="00A55FD9" w:rsidP="00CA3B52">
      <w:pPr>
        <w:pStyle w:val="Figure"/>
        <w:rPr>
          <w:lang w:val="en-US"/>
        </w:rPr>
      </w:pPr>
      <w:r>
        <w:rPr>
          <w:lang w:val="en-US"/>
        </w:rPr>
        <w:object w:dxaOrig="6013" w:dyaOrig="3753">
          <v:shape id="_x0000_i1135" type="#_x0000_t75" style="width:389pt;height:242.65pt;mso-position-horizontal:absolute" o:ole="">
            <v:imagedata r:id="rId244" o:title=""/>
          </v:shape>
          <o:OLEObject Type="Embed" ProgID="CorelDRAW.Graphic.14" ShapeID="_x0000_i1135" DrawAspect="Content" ObjectID="_1511604924" r:id="rId245"/>
        </w:object>
      </w:r>
    </w:p>
    <w:p w:rsidR="00CA3B52" w:rsidRDefault="00CA3B52" w:rsidP="00CA3B52">
      <w:pPr>
        <w:rPr>
          <w:lang w:val="en-US"/>
        </w:rPr>
      </w:pPr>
    </w:p>
    <w:p w:rsidR="00CA3B52" w:rsidRDefault="00CA3B52" w:rsidP="00CA3B52">
      <w:pPr>
        <w:rPr>
          <w:lang w:val="en-US"/>
        </w:rPr>
      </w:pPr>
      <w:r w:rsidRPr="00CB6CBA">
        <w:rPr>
          <w:lang w:val="en-US"/>
        </w:rPr>
        <w:t xml:space="preserve">For a centre frequency </w:t>
      </w:r>
      <w:r w:rsidRPr="00CB6CBA">
        <w:rPr>
          <w:i/>
          <w:iCs/>
          <w:lang w:val="en-US"/>
        </w:rPr>
        <w:t>f</w:t>
      </w:r>
      <w:r w:rsidRPr="00CB6CBA">
        <w:rPr>
          <w:lang w:val="en-US"/>
        </w:rPr>
        <w:t xml:space="preserve"> (kHz) less than, or equal to, 1.5 GHz:</w:t>
      </w:r>
    </w:p>
    <w:p w:rsidR="00CA3B52" w:rsidRPr="00CB6CBA" w:rsidRDefault="00CA3B52" w:rsidP="00CA3B52">
      <w:pPr>
        <w:pStyle w:val="Blanc"/>
      </w:pPr>
    </w:p>
    <w:p w:rsidR="00CA3B52" w:rsidRPr="00CB6CBA" w:rsidRDefault="00CA3B52" w:rsidP="00F65451">
      <w:pPr>
        <w:pStyle w:val="Equation"/>
        <w:rPr>
          <w:lang w:val="en-US"/>
        </w:rPr>
      </w:pPr>
      <w:r w:rsidRPr="00A6735C">
        <w:rPr>
          <w:lang w:val="en-US"/>
        </w:rPr>
        <w:tab/>
      </w:r>
      <w:r w:rsidRPr="00A6735C">
        <w:rPr>
          <w:lang w:val="en-US"/>
        </w:rPr>
        <w:tab/>
      </w:r>
      <w:r w:rsidRPr="00CB6CBA">
        <w:rPr>
          <w:position w:val="-10"/>
          <w:lang w:val="en-US"/>
        </w:rPr>
        <w:object w:dxaOrig="4200" w:dyaOrig="720">
          <v:shape id="_x0000_i1136" type="#_x0000_t75" style="width:207.6pt;height:35.05pt" o:ole="">
            <v:imagedata r:id="rId246" o:title=""/>
          </v:shape>
          <o:OLEObject Type="Embed" ProgID="Equation.3" ShapeID="_x0000_i1136" DrawAspect="Content" ObjectID="_1511604925" r:id="rId247"/>
        </w:object>
      </w:r>
    </w:p>
    <w:p w:rsidR="00CA3B52" w:rsidRPr="00CB6CBA" w:rsidRDefault="00CA3B52" w:rsidP="00CA3B52">
      <w:pPr>
        <w:pStyle w:val="Blanc"/>
      </w:pPr>
    </w:p>
    <w:p w:rsidR="00CA3B52" w:rsidRPr="00CB6CBA" w:rsidRDefault="00CA3B52" w:rsidP="00CA3B52">
      <w:pPr>
        <w:rPr>
          <w:lang w:val="en-US"/>
        </w:rPr>
      </w:pPr>
      <w:r w:rsidRPr="00CB6CBA">
        <w:rPr>
          <w:lang w:val="en-US"/>
        </w:rPr>
        <w:t xml:space="preserve">For a centre frequency </w:t>
      </w:r>
      <w:r w:rsidRPr="00CB6CBA">
        <w:rPr>
          <w:i/>
          <w:iCs/>
          <w:lang w:val="en-US"/>
        </w:rPr>
        <w:t>f</w:t>
      </w:r>
      <w:r w:rsidRPr="00CB6CBA">
        <w:rPr>
          <w:lang w:val="en-US"/>
        </w:rPr>
        <w:t xml:space="preserve"> (kHz) greater than 1.5 GHz:</w:t>
      </w:r>
    </w:p>
    <w:p w:rsidR="00CA3B52" w:rsidRPr="00CB6CBA" w:rsidRDefault="00CA3B52" w:rsidP="00CA3B52">
      <w:pPr>
        <w:pStyle w:val="Blanc"/>
      </w:pPr>
    </w:p>
    <w:p w:rsidR="00CA3B52" w:rsidRPr="00CB6CBA" w:rsidRDefault="00CA3B52" w:rsidP="00F65451">
      <w:pPr>
        <w:pStyle w:val="Equation"/>
        <w:rPr>
          <w:lang w:val="en-US"/>
        </w:rPr>
      </w:pPr>
      <w:r>
        <w:rPr>
          <w:position w:val="-10"/>
          <w:lang w:val="en-US"/>
        </w:rPr>
        <w:tab/>
      </w:r>
      <w:r>
        <w:rPr>
          <w:position w:val="-10"/>
          <w:lang w:val="en-US"/>
        </w:rPr>
        <w:tab/>
      </w:r>
      <w:r w:rsidRPr="00CB6CBA">
        <w:rPr>
          <w:position w:val="-10"/>
          <w:lang w:val="en-US"/>
        </w:rPr>
        <w:object w:dxaOrig="4200" w:dyaOrig="720">
          <v:shape id="_x0000_i1137" type="#_x0000_t75" style="width:207.6pt;height:35.05pt" o:ole="">
            <v:imagedata r:id="rId248" o:title=""/>
          </v:shape>
          <o:OLEObject Type="Embed" ProgID="Equation.3" ShapeID="_x0000_i1137" DrawAspect="Content" ObjectID="_1511604926" r:id="rId249"/>
        </w:object>
      </w:r>
    </w:p>
    <w:p w:rsidR="00CA3B52" w:rsidRPr="00CB6CBA" w:rsidRDefault="00CA3B52" w:rsidP="00CA3B52">
      <w:pPr>
        <w:pStyle w:val="Blanc"/>
      </w:pPr>
    </w:p>
    <w:p w:rsidR="00CA3B52" w:rsidRPr="00CB6CBA" w:rsidRDefault="00CA3B52" w:rsidP="00CA3B52">
      <w:pPr>
        <w:rPr>
          <w:lang w:val="en-US"/>
        </w:rPr>
      </w:pPr>
      <w:r w:rsidRPr="00CB6CBA">
        <w:rPr>
          <w:lang w:val="en-US"/>
        </w:rPr>
        <w:t>It is important to note that the procedure described for the calculation of the public fee applies to the authorization of use of any frequency within the entire radio frequency band.</w:t>
      </w:r>
    </w:p>
    <w:p w:rsidR="00CA3B52" w:rsidRPr="00CB6CBA" w:rsidRDefault="00CA3B52" w:rsidP="00CA3B52">
      <w:pPr>
        <w:pStyle w:val="Headingb"/>
        <w:rPr>
          <w:lang w:val="en-US"/>
        </w:rPr>
      </w:pPr>
      <w:r w:rsidRPr="00CB6CBA">
        <w:rPr>
          <w:lang w:val="en-US"/>
        </w:rPr>
        <w:t xml:space="preserve">The reference value, </w:t>
      </w:r>
      <w:r w:rsidRPr="00CB6CBA">
        <w:rPr>
          <w:i/>
          <w:lang w:val="en-US"/>
        </w:rPr>
        <w:t>P</w:t>
      </w:r>
    </w:p>
    <w:p w:rsidR="00CA3B52" w:rsidRPr="00CB6CBA" w:rsidRDefault="00CA3B52" w:rsidP="00CA3B52">
      <w:pPr>
        <w:rPr>
          <w:lang w:val="en-US"/>
        </w:rPr>
      </w:pPr>
      <w:r w:rsidRPr="00CB6CBA">
        <w:rPr>
          <w:lang w:val="en-US"/>
        </w:rPr>
        <w:t>A reference value for the right to use radio frequencies is obtained by applying the following formula:</w:t>
      </w:r>
    </w:p>
    <w:p w:rsidR="00CA3B52" w:rsidRPr="00CB6CBA" w:rsidRDefault="00CA3B52" w:rsidP="00F65451">
      <w:pPr>
        <w:pStyle w:val="Equation"/>
        <w:rPr>
          <w:lang w:val="en-US"/>
        </w:rPr>
      </w:pPr>
      <w:r w:rsidRPr="00A6735C">
        <w:rPr>
          <w:lang w:val="en-US"/>
        </w:rPr>
        <w:tab/>
      </w:r>
      <w:r w:rsidRPr="00A6735C">
        <w:rPr>
          <w:lang w:val="en-US"/>
        </w:rPr>
        <w:tab/>
      </w:r>
      <w:r w:rsidRPr="00CB6CBA">
        <w:rPr>
          <w:position w:val="-10"/>
          <w:lang w:val="en-US"/>
        </w:rPr>
        <w:object w:dxaOrig="2640" w:dyaOrig="400">
          <v:shape id="_x0000_i1138" type="#_x0000_t75" style="width:129.95pt;height:20.55pt" o:ole="" fillcolor="window">
            <v:imagedata r:id="rId250" o:title=""/>
          </v:shape>
          <o:OLEObject Type="Embed" ProgID="Equation.3" ShapeID="_x0000_i1138" DrawAspect="Content" ObjectID="_1511604927" r:id="rId251"/>
        </w:object>
      </w:r>
    </w:p>
    <w:p w:rsidR="00CA3B52" w:rsidRPr="00CB6CBA" w:rsidRDefault="00CA3B52" w:rsidP="00CA3B52">
      <w:pPr>
        <w:rPr>
          <w:lang w:val="en-US"/>
        </w:rPr>
      </w:pPr>
      <w:r w:rsidRPr="00CB6CBA">
        <w:rPr>
          <w:lang w:val="en-US"/>
        </w:rPr>
        <w:lastRenderedPageBreak/>
        <w:t>where:</w:t>
      </w:r>
    </w:p>
    <w:p w:rsidR="00CA3B52" w:rsidRPr="00CB6CBA" w:rsidRDefault="00CA3B52" w:rsidP="00CA3B52">
      <w:pPr>
        <w:pStyle w:val="Equationlegend"/>
      </w:pPr>
      <w:r w:rsidRPr="00CB6CBA">
        <w:tab/>
      </w:r>
      <w:r w:rsidRPr="00CB6CBA">
        <w:rPr>
          <w:i/>
          <w:iCs/>
        </w:rPr>
        <w:t>B</w:t>
      </w:r>
      <w:r w:rsidRPr="00CB6CBA">
        <w:rPr>
          <w:rFonts w:ascii="Tms Rmn" w:hAnsi="Tms Rmn"/>
          <w:sz w:val="12"/>
        </w:rPr>
        <w:t> </w:t>
      </w:r>
      <w:r w:rsidRPr="00CB6CBA">
        <w:t>:</w:t>
      </w:r>
      <w:r w:rsidRPr="00CB6CBA">
        <w:tab/>
        <w:t>bandwidth to be authorized (kHz)</w:t>
      </w:r>
    </w:p>
    <w:p w:rsidR="00CA3B52" w:rsidRPr="00CB6CBA" w:rsidRDefault="00CA3B52" w:rsidP="00CA3B52">
      <w:pPr>
        <w:pStyle w:val="Equationlegend"/>
      </w:pPr>
      <w:r w:rsidRPr="00CB6CBA">
        <w:tab/>
      </w:r>
      <w:r w:rsidRPr="00CB6CBA">
        <w:rPr>
          <w:i/>
          <w:iCs/>
        </w:rPr>
        <w:t>A</w:t>
      </w:r>
      <w:r w:rsidRPr="00CB6CBA">
        <w:rPr>
          <w:rFonts w:ascii="Tms Rmn" w:hAnsi="Tms Rmn"/>
          <w:sz w:val="12"/>
        </w:rPr>
        <w:t> </w:t>
      </w:r>
      <w:r w:rsidRPr="00CB6CBA">
        <w:t>:</w:t>
      </w:r>
      <w:r w:rsidRPr="00CB6CBA">
        <w:tab/>
        <w:t>geographic area in which the frequency shall be used (km</w:t>
      </w:r>
      <w:r w:rsidRPr="00CB6CBA">
        <w:rPr>
          <w:szCs w:val="24"/>
          <w:vertAlign w:val="superscript"/>
        </w:rPr>
        <w:t>2</w:t>
      </w:r>
      <w:r w:rsidRPr="00CB6CBA">
        <w:t>)</w:t>
      </w:r>
    </w:p>
    <w:p w:rsidR="00CA3B52" w:rsidRPr="00CB6CBA" w:rsidRDefault="00CA3B52" w:rsidP="00CA3B52">
      <w:pPr>
        <w:pStyle w:val="Equationlegend"/>
      </w:pPr>
      <w:r w:rsidRPr="00CB6CBA">
        <w:tab/>
      </w:r>
      <w:r w:rsidRPr="00CB6CBA">
        <w:rPr>
          <w:i/>
          <w:iCs/>
        </w:rPr>
        <w:t>T</w:t>
      </w:r>
      <w:r w:rsidRPr="00CB6CBA">
        <w:rPr>
          <w:rFonts w:ascii="Tms Rmn" w:hAnsi="Tms Rmn"/>
          <w:sz w:val="12"/>
        </w:rPr>
        <w:t> </w:t>
      </w:r>
      <w:r w:rsidRPr="00CB6CBA">
        <w:t>:</w:t>
      </w:r>
      <w:r w:rsidRPr="00CB6CBA">
        <w:tab/>
        <w:t>factor related to the time period of use</w:t>
      </w:r>
    </w:p>
    <w:p w:rsidR="00CA3B52" w:rsidRPr="00CB6CBA" w:rsidRDefault="00CA3B52" w:rsidP="00CA3B52">
      <w:pPr>
        <w:pStyle w:val="Equationlegend"/>
      </w:pPr>
      <w:r w:rsidRPr="00CB6CBA">
        <w:tab/>
      </w:r>
      <w:r w:rsidRPr="00CB6CBA">
        <w:rPr>
          <w:i/>
          <w:iCs/>
        </w:rPr>
        <w:t>F</w:t>
      </w:r>
      <w:r w:rsidRPr="00CB6CBA">
        <w:rPr>
          <w:rFonts w:ascii="Tms Rmn" w:hAnsi="Tms Rmn"/>
          <w:sz w:val="12"/>
        </w:rPr>
        <w:t> </w:t>
      </w:r>
      <w:r w:rsidRPr="00CB6CBA">
        <w:t>(</w:t>
      </w:r>
      <w:r w:rsidRPr="00CB6CBA">
        <w:rPr>
          <w:rFonts w:ascii="Tms Rmn" w:hAnsi="Tms Rmn"/>
          <w:sz w:val="16"/>
        </w:rPr>
        <w:t> </w:t>
      </w:r>
      <w:r w:rsidRPr="00CB6CBA">
        <w:rPr>
          <w:i/>
          <w:iCs/>
        </w:rPr>
        <w:t>f</w:t>
      </w:r>
      <w:r w:rsidRPr="00CB6CBA">
        <w:rPr>
          <w:rFonts w:ascii="Tms Rmn" w:hAnsi="Tms Rmn"/>
          <w:i/>
          <w:iCs/>
        </w:rPr>
        <w:t> </w:t>
      </w:r>
      <w:r w:rsidRPr="00CB6CBA">
        <w:t>)</w:t>
      </w:r>
      <w:r w:rsidRPr="00CB6CBA">
        <w:rPr>
          <w:rFonts w:ascii="Tms Rmn" w:hAnsi="Tms Rmn"/>
          <w:sz w:val="12"/>
        </w:rPr>
        <w:t> </w:t>
      </w:r>
      <w:r w:rsidRPr="00CB6CBA">
        <w:t>:</w:t>
      </w:r>
      <w:r w:rsidRPr="00CB6CBA">
        <w:tab/>
        <w:t>frequency factor, according to the expression given above</w:t>
      </w:r>
    </w:p>
    <w:p w:rsidR="00CA3B52" w:rsidRPr="00CB6CBA" w:rsidRDefault="00CA3B52" w:rsidP="00CA3B52">
      <w:pPr>
        <w:pStyle w:val="Equationlegend"/>
      </w:pPr>
      <w:r w:rsidRPr="00CB6CBA">
        <w:tab/>
      </w:r>
      <w:r w:rsidRPr="00CB6CBA">
        <w:rPr>
          <w:i/>
          <w:iCs/>
        </w:rPr>
        <w:t>f</w:t>
      </w:r>
      <w:r w:rsidRPr="00CB6CBA">
        <w:rPr>
          <w:rFonts w:ascii="Tms Rmn" w:hAnsi="Tms Rmn"/>
          <w:sz w:val="12"/>
        </w:rPr>
        <w:t> </w:t>
      </w:r>
      <w:r w:rsidRPr="00CB6CBA">
        <w:t>:</w:t>
      </w:r>
      <w:r w:rsidRPr="00CB6CBA">
        <w:tab/>
        <w:t>centre frequency of the operating frequency band (kHz)</w:t>
      </w:r>
    </w:p>
    <w:p w:rsidR="00CA3B52" w:rsidRPr="00CB6CBA" w:rsidRDefault="00CA3B52" w:rsidP="00CA3B52">
      <w:pPr>
        <w:pStyle w:val="Equationlegend"/>
      </w:pPr>
      <w:r w:rsidRPr="00CB6CBA">
        <w:tab/>
      </w:r>
      <w:r w:rsidRPr="00CB6CBA">
        <w:rPr>
          <w:i/>
          <w:iCs/>
        </w:rPr>
        <w:t>K</w:t>
      </w:r>
      <w:r w:rsidRPr="00CB6CBA">
        <w:rPr>
          <w:rFonts w:ascii="Tms Rmn" w:hAnsi="Tms Rmn"/>
          <w:sz w:val="12"/>
        </w:rPr>
        <w:t> </w:t>
      </w:r>
      <w:r w:rsidRPr="00CB6CBA">
        <w:t>:</w:t>
      </w:r>
      <w:r w:rsidRPr="00CB6CBA">
        <w:tab/>
        <w:t>cost factor of radio frequency.</w:t>
      </w:r>
    </w:p>
    <w:p w:rsidR="00CA3B52" w:rsidRPr="00CB6CBA" w:rsidRDefault="00CA3B52" w:rsidP="00CA3B52">
      <w:pPr>
        <w:rPr>
          <w:lang w:val="en-US"/>
        </w:rPr>
      </w:pPr>
      <w:r w:rsidRPr="00CB6CBA">
        <w:rPr>
          <w:lang w:val="en-US"/>
        </w:rPr>
        <w:t xml:space="preserve">The value of frequency, </w:t>
      </w:r>
      <w:r w:rsidRPr="00CB6CBA">
        <w:rPr>
          <w:i/>
          <w:lang w:val="en-US"/>
        </w:rPr>
        <w:t>f</w:t>
      </w:r>
      <w:r w:rsidRPr="00CB6CBA">
        <w:rPr>
          <w:iCs/>
          <w:lang w:val="en-US"/>
        </w:rPr>
        <w:t>,</w:t>
      </w:r>
      <w:r w:rsidRPr="00CB6CBA">
        <w:rPr>
          <w:lang w:val="en-US"/>
        </w:rPr>
        <w:t xml:space="preserve"> to be used in the formula shall be the average value of the minimum and maximum authorized frequencies, and, in the case that a specific channel is used, such value shall be equal to that of the carrier frequency of the mentioned channel.</w:t>
      </w:r>
    </w:p>
    <w:p w:rsidR="00CA3B52" w:rsidRPr="00CB6CBA" w:rsidRDefault="00CA3B52" w:rsidP="00CA3B52">
      <w:pPr>
        <w:pStyle w:val="Headingb"/>
        <w:rPr>
          <w:lang w:val="en-US"/>
        </w:rPr>
      </w:pPr>
      <w:r w:rsidRPr="00CB6CBA">
        <w:rPr>
          <w:lang w:val="en-US"/>
        </w:rPr>
        <w:t xml:space="preserve">The bandwidth, </w:t>
      </w:r>
      <w:r w:rsidRPr="00CB6CBA">
        <w:rPr>
          <w:i/>
          <w:lang w:val="en-US"/>
        </w:rPr>
        <w:t>B</w:t>
      </w:r>
    </w:p>
    <w:p w:rsidR="00CA3B52" w:rsidRPr="00CB6CBA" w:rsidRDefault="00CA3B52" w:rsidP="00CA3B52">
      <w:pPr>
        <w:rPr>
          <w:lang w:val="en-US"/>
        </w:rPr>
      </w:pPr>
      <w:r w:rsidRPr="00CB6CBA">
        <w:rPr>
          <w:lang w:val="en-US"/>
        </w:rPr>
        <w:t xml:space="preserve">As regards exclusive use, the value of bandwidth </w:t>
      </w:r>
      <w:r w:rsidRPr="00CB6CBA">
        <w:rPr>
          <w:i/>
          <w:lang w:val="en-US"/>
        </w:rPr>
        <w:t>B</w:t>
      </w:r>
      <w:r w:rsidRPr="00CB6CBA">
        <w:rPr>
          <w:lang w:val="en-US"/>
        </w:rPr>
        <w:t xml:space="preserve"> to be used in the formula is that of the total authorized band, whereas as regards non-exclusive use, the value to be considered is that of the authorized bandwidth, according to the emission designation.</w:t>
      </w:r>
    </w:p>
    <w:p w:rsidR="00CA3B52" w:rsidRPr="00CB6CBA" w:rsidRDefault="00CA3B52" w:rsidP="00CA3B52">
      <w:pPr>
        <w:pStyle w:val="Headingb"/>
        <w:rPr>
          <w:u w:val="single"/>
          <w:lang w:val="en-US"/>
        </w:rPr>
      </w:pPr>
      <w:r w:rsidRPr="00CB6CBA">
        <w:rPr>
          <w:lang w:val="en-US"/>
        </w:rPr>
        <w:t xml:space="preserve">The area, </w:t>
      </w:r>
      <w:r w:rsidRPr="00CB6CBA">
        <w:rPr>
          <w:i/>
          <w:lang w:val="en-US"/>
        </w:rPr>
        <w:t>A</w:t>
      </w:r>
    </w:p>
    <w:p w:rsidR="00CA3B52" w:rsidRDefault="00CA3B52" w:rsidP="00CA3B52">
      <w:pPr>
        <w:rPr>
          <w:lang w:val="en-US"/>
        </w:rPr>
      </w:pPr>
      <w:r w:rsidRPr="00CB6CBA">
        <w:rPr>
          <w:lang w:val="en-US"/>
        </w:rPr>
        <w:t xml:space="preserve">As regards exclusive use, the value of area </w:t>
      </w:r>
      <w:r w:rsidRPr="00CB6CBA">
        <w:rPr>
          <w:i/>
          <w:lang w:val="en-US"/>
        </w:rPr>
        <w:t>A</w:t>
      </w:r>
      <w:r w:rsidRPr="00CB6CBA">
        <w:rPr>
          <w:lang w:val="en-US"/>
        </w:rPr>
        <w:t xml:space="preserve"> to be used in the formula is that of the region for which the service was authorized, or the designated area covered by the station. Whereas as regards non-exclusive use, the value of area </w:t>
      </w:r>
      <w:r w:rsidRPr="00CB6CBA">
        <w:rPr>
          <w:i/>
          <w:lang w:val="en-US"/>
        </w:rPr>
        <w:t>A</w:t>
      </w:r>
      <w:r w:rsidRPr="00CB6CBA">
        <w:rPr>
          <w:lang w:val="en-US"/>
        </w:rPr>
        <w:t xml:space="preserve"> shall be that which is indicated in the license. If no such indication exists, the value of the area shall be that of the surface defined by the circular sector of radius </w:t>
      </w:r>
      <w:r w:rsidRPr="00CB6CBA">
        <w:rPr>
          <w:i/>
          <w:lang w:val="en-US"/>
        </w:rPr>
        <w:t>d</w:t>
      </w:r>
      <w:r w:rsidRPr="00CB6CBA">
        <w:rPr>
          <w:lang w:val="en-US"/>
        </w:rPr>
        <w:t xml:space="preserve"> and antenna aperture </w:t>
      </w:r>
      <w:r w:rsidRPr="00CB6CBA">
        <w:rPr>
          <w:szCs w:val="24"/>
          <w:lang w:val="en-US"/>
        </w:rPr>
        <w:sym w:font="Symbol" w:char="F061"/>
      </w:r>
      <w:r w:rsidRPr="00CB6CBA">
        <w:rPr>
          <w:lang w:val="en-US"/>
        </w:rPr>
        <w:t>, that is:</w:t>
      </w:r>
    </w:p>
    <w:p w:rsidR="00CA3B52" w:rsidRPr="00CB6CBA" w:rsidRDefault="00CA3B52" w:rsidP="00CA3B52">
      <w:pPr>
        <w:pStyle w:val="Blanc"/>
      </w:pPr>
    </w:p>
    <w:p w:rsidR="00CA3B52" w:rsidRPr="00CB6CBA" w:rsidRDefault="00CA3B52" w:rsidP="00F65451">
      <w:pPr>
        <w:pStyle w:val="Equation"/>
        <w:rPr>
          <w:lang w:val="en-US"/>
        </w:rPr>
      </w:pPr>
      <w:r w:rsidRPr="00A6735C">
        <w:rPr>
          <w:lang w:val="en-US"/>
        </w:rPr>
        <w:tab/>
      </w:r>
      <w:r w:rsidRPr="00A6735C">
        <w:rPr>
          <w:lang w:val="en-US"/>
        </w:rPr>
        <w:tab/>
      </w:r>
      <w:r w:rsidRPr="009A4770">
        <w:rPr>
          <w:position w:val="-24"/>
          <w:lang w:val="en-US"/>
        </w:rPr>
        <w:object w:dxaOrig="1800" w:dyaOrig="620">
          <v:shape id="_x0000_i1139" type="#_x0000_t75" style="width:87.9pt;height:31.8pt" o:ole="">
            <v:imagedata r:id="rId252" o:title=""/>
          </v:shape>
          <o:OLEObject Type="Embed" ProgID="Equation.3" ShapeID="_x0000_i1139" DrawAspect="Content" ObjectID="_1511604928" r:id="rId253"/>
        </w:object>
      </w:r>
    </w:p>
    <w:p w:rsidR="00CA3B52" w:rsidRPr="00CB6CBA" w:rsidRDefault="00CA3B52" w:rsidP="00CA3B52">
      <w:pPr>
        <w:pStyle w:val="Blanc"/>
      </w:pPr>
    </w:p>
    <w:p w:rsidR="00CA3B52" w:rsidRPr="00CB6CBA" w:rsidRDefault="00CA3B52" w:rsidP="00CA3B52">
      <w:pPr>
        <w:rPr>
          <w:lang w:val="en-US"/>
        </w:rPr>
      </w:pPr>
      <w:r w:rsidRPr="00CB6CBA">
        <w:rPr>
          <w:lang w:val="en-US"/>
        </w:rPr>
        <w:t xml:space="preserve">For point-to-point systems, </w:t>
      </w:r>
      <w:r w:rsidRPr="00CB6CBA">
        <w:rPr>
          <w:i/>
          <w:lang w:val="en-US"/>
        </w:rPr>
        <w:t>d</w:t>
      </w:r>
      <w:r w:rsidRPr="00CB6CBA">
        <w:rPr>
          <w:lang w:val="en-US"/>
        </w:rPr>
        <w:t xml:space="preserve"> is the distance (km) between the stations involved and </w:t>
      </w:r>
      <w:r w:rsidRPr="00CB6CBA">
        <w:rPr>
          <w:szCs w:val="24"/>
          <w:lang w:val="en-US"/>
        </w:rPr>
        <w:sym w:font="Symbol" w:char="F061"/>
      </w:r>
      <w:r w:rsidRPr="00CB6CBA">
        <w:rPr>
          <w:lang w:val="en-US"/>
        </w:rPr>
        <w:t xml:space="preserve"> is the half</w:t>
      </w:r>
      <w:r>
        <w:rPr>
          <w:lang w:val="en-US"/>
        </w:rPr>
        <w:noBreakHyphen/>
      </w:r>
      <w:r w:rsidRPr="00CB6CBA">
        <w:rPr>
          <w:lang w:val="en-US"/>
        </w:rPr>
        <w:t xml:space="preserve">power angle (degrees) of the radiating system. For point-area systems, the distance, </w:t>
      </w:r>
      <w:r w:rsidRPr="00CB6CBA">
        <w:rPr>
          <w:i/>
          <w:lang w:val="en-US"/>
        </w:rPr>
        <w:t>d</w:t>
      </w:r>
      <w:r w:rsidRPr="00CB6CBA">
        <w:rPr>
          <w:iCs/>
          <w:lang w:val="en-US"/>
        </w:rPr>
        <w:t>,</w:t>
      </w:r>
      <w:r w:rsidRPr="00CB6CBA">
        <w:rPr>
          <w:lang w:val="en-US"/>
        </w:rPr>
        <w:t xml:space="preserve"> to be considered is the farthest distance (km) covered by the nodal station.</w:t>
      </w:r>
    </w:p>
    <w:p w:rsidR="00CA3B52" w:rsidRPr="00CB6CBA" w:rsidRDefault="00CA3B52" w:rsidP="00CA3B52">
      <w:pPr>
        <w:rPr>
          <w:lang w:val="en-US"/>
        </w:rPr>
      </w:pPr>
      <w:r w:rsidRPr="00CB6CBA">
        <w:rPr>
          <w:lang w:val="en-US"/>
        </w:rPr>
        <w:t>Under any circumstances, the surface to be considered in the calculation of the area shall be limited to the national territory, including the Brazilian territorial waters.</w:t>
      </w:r>
    </w:p>
    <w:p w:rsidR="00CA3B52" w:rsidRPr="00CB6CBA" w:rsidRDefault="00CA3B52" w:rsidP="00CA3B52">
      <w:pPr>
        <w:rPr>
          <w:lang w:val="en-US"/>
        </w:rPr>
      </w:pPr>
      <w:r w:rsidRPr="00CB6CBA">
        <w:rPr>
          <w:lang w:val="en-US"/>
        </w:rPr>
        <w:t>The minimum value of the area shall be 1 km</w:t>
      </w:r>
      <w:r w:rsidRPr="00CB6CBA">
        <w:rPr>
          <w:vertAlign w:val="superscript"/>
          <w:lang w:val="en-US"/>
        </w:rPr>
        <w:t>2</w:t>
      </w:r>
      <w:r w:rsidRPr="00CB6CBA">
        <w:rPr>
          <w:lang w:val="en-US"/>
        </w:rPr>
        <w:t>.</w:t>
      </w:r>
    </w:p>
    <w:p w:rsidR="00CA3B52" w:rsidRPr="00CB6CBA" w:rsidRDefault="00CA3B52" w:rsidP="00CA3B52">
      <w:pPr>
        <w:tabs>
          <w:tab w:val="left" w:pos="3969"/>
        </w:tabs>
        <w:rPr>
          <w:lang w:val="en-US"/>
        </w:rPr>
      </w:pPr>
      <w:r w:rsidRPr="00CB6CBA">
        <w:rPr>
          <w:lang w:val="en-US"/>
        </w:rPr>
        <w:t xml:space="preserve">With respect to Earth-space feeder links for satellite communications systems, the value of area </w:t>
      </w:r>
      <w:r w:rsidRPr="00CB6CBA">
        <w:rPr>
          <w:i/>
          <w:lang w:val="en-US"/>
        </w:rPr>
        <w:t>A</w:t>
      </w:r>
      <w:r w:rsidRPr="00CB6CBA">
        <w:rPr>
          <w:lang w:val="en-US"/>
        </w:rPr>
        <w:t xml:space="preserve"> to be considered shall be that of the coordination area, determined in accordance with the procedures described in RR Appendix </w:t>
      </w:r>
      <w:r w:rsidRPr="0024294C">
        <w:rPr>
          <w:lang w:val="en-US"/>
        </w:rPr>
        <w:t>7</w:t>
      </w:r>
      <w:r w:rsidRPr="00CB6CBA">
        <w:rPr>
          <w:lang w:val="en-US"/>
        </w:rPr>
        <w:t>.</w:t>
      </w:r>
    </w:p>
    <w:p w:rsidR="00CA3B52" w:rsidRPr="00CB6CBA" w:rsidRDefault="00CA3B52" w:rsidP="00CA3B52">
      <w:pPr>
        <w:pStyle w:val="Headingb"/>
        <w:rPr>
          <w:lang w:val="en-US"/>
        </w:rPr>
      </w:pPr>
      <w:r w:rsidRPr="00CB6CBA">
        <w:rPr>
          <w:lang w:val="en-US"/>
        </w:rPr>
        <w:t xml:space="preserve">The Time, </w:t>
      </w:r>
      <w:r w:rsidRPr="00CB6CBA">
        <w:rPr>
          <w:i/>
          <w:lang w:val="en-US"/>
        </w:rPr>
        <w:t>T</w:t>
      </w:r>
    </w:p>
    <w:p w:rsidR="00CA3B52" w:rsidRDefault="00CA3B52" w:rsidP="00CA3B52">
      <w:pPr>
        <w:keepNext/>
        <w:keepLines/>
        <w:rPr>
          <w:lang w:val="en-US"/>
        </w:rPr>
      </w:pPr>
      <w:r w:rsidRPr="00CB6CBA">
        <w:rPr>
          <w:lang w:val="en-US"/>
        </w:rPr>
        <w:t xml:space="preserve">The factor </w:t>
      </w:r>
      <w:r w:rsidRPr="00CB6CBA">
        <w:rPr>
          <w:i/>
          <w:lang w:val="en-US"/>
        </w:rPr>
        <w:t>T</w:t>
      </w:r>
      <w:r w:rsidRPr="00CB6CBA">
        <w:rPr>
          <w:lang w:val="en-US"/>
        </w:rPr>
        <w:t xml:space="preserve"> takes into consideration both the number of hours of use per day </w:t>
      </w:r>
      <w:r w:rsidRPr="00CB6CBA">
        <w:rPr>
          <w:i/>
          <w:lang w:val="en-US"/>
        </w:rPr>
        <w:t>T</w:t>
      </w:r>
      <w:r w:rsidRPr="00CB6CBA">
        <w:rPr>
          <w:vertAlign w:val="subscript"/>
          <w:lang w:val="en-US"/>
        </w:rPr>
        <w:t>1</w:t>
      </w:r>
      <w:r w:rsidRPr="00CB6CBA">
        <w:rPr>
          <w:lang w:val="en-US"/>
        </w:rPr>
        <w:t xml:space="preserve"> and the term </w:t>
      </w:r>
      <w:r w:rsidRPr="00CB6CBA">
        <w:rPr>
          <w:i/>
          <w:lang w:val="en-US"/>
        </w:rPr>
        <w:t>T</w:t>
      </w:r>
      <w:r w:rsidRPr="00CB6CBA">
        <w:rPr>
          <w:vertAlign w:val="subscript"/>
          <w:lang w:val="en-US"/>
        </w:rPr>
        <w:t>2</w:t>
      </w:r>
      <w:r w:rsidRPr="00CB6CBA">
        <w:rPr>
          <w:lang w:val="en-US"/>
        </w:rPr>
        <w:t>, in years, of the authorization to use the radio frequency, and shall be calculated by the following formula:</w:t>
      </w:r>
    </w:p>
    <w:p w:rsidR="00CA3B52" w:rsidRPr="00CB6CBA" w:rsidRDefault="00CA3B52" w:rsidP="00CA3B52">
      <w:pPr>
        <w:pStyle w:val="Blanc"/>
      </w:pPr>
    </w:p>
    <w:p w:rsidR="00CA3B52" w:rsidRPr="00CB6CBA" w:rsidRDefault="00CA3B52" w:rsidP="00F65451">
      <w:pPr>
        <w:pStyle w:val="Equation"/>
        <w:rPr>
          <w:lang w:val="en-US"/>
        </w:rPr>
      </w:pPr>
      <w:r w:rsidRPr="00A6735C">
        <w:rPr>
          <w:lang w:val="en-US"/>
        </w:rPr>
        <w:tab/>
      </w:r>
      <w:r w:rsidRPr="00A6735C">
        <w:rPr>
          <w:lang w:val="en-US"/>
        </w:rPr>
        <w:tab/>
      </w:r>
      <w:r w:rsidRPr="00CB6CBA">
        <w:rPr>
          <w:position w:val="-26"/>
          <w:sz w:val="20"/>
          <w:lang w:val="en-US"/>
        </w:rPr>
        <w:object w:dxaOrig="1600" w:dyaOrig="639">
          <v:shape id="_x0000_i1140" type="#_x0000_t75" style="width:79.95pt;height:32.25pt" o:ole="">
            <v:imagedata r:id="rId254" o:title=""/>
          </v:shape>
          <o:OLEObject Type="Embed" ProgID="Equation.3" ShapeID="_x0000_i1140" DrawAspect="Content" ObjectID="_1511604929" r:id="rId255"/>
        </w:object>
      </w:r>
    </w:p>
    <w:p w:rsidR="00CA3B52" w:rsidRPr="00CB6CBA" w:rsidRDefault="00CA3B52" w:rsidP="00CA3B52">
      <w:pPr>
        <w:pStyle w:val="Blanc"/>
      </w:pPr>
    </w:p>
    <w:p w:rsidR="00CA3B52" w:rsidRPr="00CB6CBA" w:rsidRDefault="00CA3B52" w:rsidP="00CA3B52">
      <w:pPr>
        <w:rPr>
          <w:lang w:val="en-US"/>
        </w:rPr>
      </w:pPr>
      <w:r w:rsidRPr="00CB6CBA">
        <w:rPr>
          <w:lang w:val="en-US"/>
        </w:rPr>
        <w:t xml:space="preserve">For periods of use per day of less than one hour, the value of </w:t>
      </w:r>
      <w:r w:rsidRPr="00CB6CBA">
        <w:rPr>
          <w:i/>
          <w:iCs/>
          <w:lang w:val="en-US"/>
        </w:rPr>
        <w:t>T</w:t>
      </w:r>
      <w:r w:rsidRPr="00CB6CBA">
        <w:rPr>
          <w:vertAlign w:val="subscript"/>
          <w:lang w:val="en-US"/>
        </w:rPr>
        <w:t>1</w:t>
      </w:r>
      <w:r w:rsidRPr="00CB6CBA">
        <w:rPr>
          <w:lang w:val="en-US"/>
        </w:rPr>
        <w:t xml:space="preserve"> to be considered shall be 1 h.</w:t>
      </w:r>
    </w:p>
    <w:p w:rsidR="00CA3B52" w:rsidRPr="00CB6CBA" w:rsidRDefault="00CA3B52" w:rsidP="00CA3B52">
      <w:pPr>
        <w:rPr>
          <w:lang w:val="en-US"/>
        </w:rPr>
      </w:pPr>
      <w:r w:rsidRPr="00CB6CBA">
        <w:rPr>
          <w:lang w:val="en-US"/>
        </w:rPr>
        <w:lastRenderedPageBreak/>
        <w:t xml:space="preserve">For authorizations granted for a term of less than one year, the value of </w:t>
      </w:r>
      <w:r w:rsidRPr="00CB6CBA">
        <w:rPr>
          <w:i/>
          <w:iCs/>
          <w:lang w:val="en-US"/>
        </w:rPr>
        <w:t>T</w:t>
      </w:r>
      <w:r w:rsidRPr="00CB6CBA">
        <w:rPr>
          <w:vertAlign w:val="subscript"/>
          <w:lang w:val="en-US"/>
        </w:rPr>
        <w:t>2</w:t>
      </w:r>
      <w:r w:rsidRPr="00CB6CBA">
        <w:rPr>
          <w:lang w:val="en-US"/>
        </w:rPr>
        <w:t xml:space="preserve"> to be considered shall be one year.</w:t>
      </w:r>
    </w:p>
    <w:p w:rsidR="00CA3B52" w:rsidRPr="00CB6CBA" w:rsidRDefault="00CA3B52" w:rsidP="00CA3B52">
      <w:pPr>
        <w:pStyle w:val="Headingb"/>
        <w:rPr>
          <w:lang w:val="en-US"/>
        </w:rPr>
      </w:pPr>
      <w:r w:rsidRPr="00CB6CBA">
        <w:rPr>
          <w:lang w:val="en-US"/>
        </w:rPr>
        <w:t xml:space="preserve">The cost factor, </w:t>
      </w:r>
      <w:r w:rsidRPr="00CB6CBA">
        <w:rPr>
          <w:i/>
          <w:lang w:val="en-US"/>
        </w:rPr>
        <w:t>K</w:t>
      </w:r>
    </w:p>
    <w:p w:rsidR="00CA3B52" w:rsidRPr="00CB6CBA" w:rsidRDefault="00CA3B52" w:rsidP="00CA3B52">
      <w:pPr>
        <w:rPr>
          <w:lang w:val="en-US"/>
        </w:rPr>
      </w:pPr>
      <w:r w:rsidRPr="00CB6CBA">
        <w:rPr>
          <w:lang w:val="en-US"/>
        </w:rPr>
        <w:t xml:space="preserve">The cost factor </w:t>
      </w:r>
      <w:r w:rsidRPr="00CB6CBA">
        <w:rPr>
          <w:i/>
          <w:lang w:val="en-US"/>
        </w:rPr>
        <w:t>K</w:t>
      </w:r>
      <w:r w:rsidRPr="00CB6CBA">
        <w:rPr>
          <w:lang w:val="en-US"/>
        </w:rPr>
        <w:t xml:space="preserve"> is defined by taking into consideration the mode of use of the spectrum, whether exclusive or non-exclusive, and the nature of the interest in the service, whether collective or restricted, as shown in Table </w:t>
      </w:r>
      <w:r>
        <w:rPr>
          <w:lang w:val="en-US"/>
        </w:rPr>
        <w:t>30</w:t>
      </w:r>
      <w:r w:rsidRPr="00CB6CBA">
        <w:rPr>
          <w:lang w:val="en-US"/>
        </w:rPr>
        <w:t>:</w:t>
      </w:r>
    </w:p>
    <w:p w:rsidR="00CA3B52" w:rsidRPr="00CB6CBA" w:rsidRDefault="00CA3B52" w:rsidP="00F65451">
      <w:pPr>
        <w:pStyle w:val="TableNo"/>
        <w:rPr>
          <w:lang w:val="en-US"/>
        </w:rPr>
      </w:pPr>
      <w:r w:rsidRPr="00CB6CBA">
        <w:rPr>
          <w:lang w:val="en-US"/>
        </w:rPr>
        <w:t xml:space="preserve">TABLE </w:t>
      </w:r>
      <w:r>
        <w:rPr>
          <w:lang w:val="en-US"/>
        </w:rPr>
        <w:t>30</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Layout w:type="fixed"/>
        <w:tblLook w:val="0000" w:firstRow="0" w:lastRow="0" w:firstColumn="0" w:lastColumn="0" w:noHBand="0" w:noVBand="0"/>
      </w:tblPr>
      <w:tblGrid>
        <w:gridCol w:w="2268"/>
        <w:gridCol w:w="2268"/>
        <w:gridCol w:w="2268"/>
      </w:tblGrid>
      <w:tr w:rsidR="00CA3B52" w:rsidRPr="00DC0BDE" w:rsidTr="002D1D5C">
        <w:trPr>
          <w:cantSplit/>
          <w:jc w:val="center"/>
        </w:trPr>
        <w:tc>
          <w:tcPr>
            <w:tcW w:w="2268" w:type="dxa"/>
            <w:tcBorders>
              <w:top w:val="single" w:sz="2" w:space="0" w:color="auto"/>
              <w:bottom w:val="single" w:sz="2" w:space="0" w:color="auto"/>
            </w:tcBorders>
          </w:tcPr>
          <w:p w:rsidR="00CA3B52" w:rsidRPr="00DC0BDE" w:rsidRDefault="00CA3B52" w:rsidP="00F65451">
            <w:pPr>
              <w:pStyle w:val="Tablehead"/>
              <w:rPr>
                <w:lang w:val="en-US"/>
              </w:rPr>
            </w:pPr>
            <w:r w:rsidRPr="00DC0BDE">
              <w:rPr>
                <w:lang w:val="en-US"/>
              </w:rPr>
              <w:t>Mode of use</w:t>
            </w:r>
          </w:p>
        </w:tc>
        <w:tc>
          <w:tcPr>
            <w:tcW w:w="2268" w:type="dxa"/>
            <w:tcBorders>
              <w:top w:val="single" w:sz="2" w:space="0" w:color="auto"/>
              <w:bottom w:val="single" w:sz="2" w:space="0" w:color="auto"/>
            </w:tcBorders>
          </w:tcPr>
          <w:p w:rsidR="00CA3B52" w:rsidRPr="00DC0BDE" w:rsidRDefault="00CA3B52" w:rsidP="00F65451">
            <w:pPr>
              <w:pStyle w:val="Tablehead"/>
              <w:rPr>
                <w:lang w:val="en-US"/>
              </w:rPr>
            </w:pPr>
            <w:r w:rsidRPr="00DC0BDE">
              <w:rPr>
                <w:lang w:val="en-US"/>
              </w:rPr>
              <w:t>Nature of interest</w:t>
            </w:r>
          </w:p>
        </w:tc>
        <w:tc>
          <w:tcPr>
            <w:tcW w:w="2268" w:type="dxa"/>
            <w:tcBorders>
              <w:top w:val="single" w:sz="2" w:space="0" w:color="auto"/>
              <w:bottom w:val="single" w:sz="2" w:space="0" w:color="auto"/>
            </w:tcBorders>
          </w:tcPr>
          <w:p w:rsidR="00CA3B52" w:rsidRPr="00DC0BDE" w:rsidRDefault="00CA3B52" w:rsidP="00F65451">
            <w:pPr>
              <w:pStyle w:val="Tablehead"/>
              <w:rPr>
                <w:lang w:val="en-US"/>
              </w:rPr>
            </w:pPr>
            <w:r w:rsidRPr="00DC0BDE">
              <w:rPr>
                <w:lang w:val="en-US"/>
              </w:rPr>
              <w:t xml:space="preserve">Cost factor </w:t>
            </w:r>
            <w:r w:rsidRPr="00DC0BDE">
              <w:rPr>
                <w:i/>
                <w:iCs/>
                <w:lang w:val="en-US"/>
              </w:rPr>
              <w:t>K</w:t>
            </w:r>
          </w:p>
        </w:tc>
      </w:tr>
      <w:tr w:rsidR="00CA3B52" w:rsidRPr="00DC0BDE" w:rsidTr="002D1D5C">
        <w:trPr>
          <w:cantSplit/>
          <w:jc w:val="center"/>
        </w:trPr>
        <w:tc>
          <w:tcPr>
            <w:tcW w:w="2268" w:type="dxa"/>
            <w:tcBorders>
              <w:top w:val="single" w:sz="2" w:space="0" w:color="auto"/>
            </w:tcBorders>
          </w:tcPr>
          <w:p w:rsidR="00CA3B52" w:rsidRPr="00DC0BDE" w:rsidRDefault="00CA3B52" w:rsidP="00A55FD9">
            <w:pPr>
              <w:pStyle w:val="Tabletext"/>
              <w:rPr>
                <w:lang w:val="en-US"/>
              </w:rPr>
            </w:pPr>
            <w:r w:rsidRPr="00DC0BDE">
              <w:rPr>
                <w:lang w:val="en-US"/>
              </w:rPr>
              <w:t>Non-exclusive</w:t>
            </w:r>
          </w:p>
        </w:tc>
        <w:tc>
          <w:tcPr>
            <w:tcW w:w="2268" w:type="dxa"/>
            <w:tcBorders>
              <w:top w:val="single" w:sz="2" w:space="0" w:color="auto"/>
            </w:tcBorders>
          </w:tcPr>
          <w:p w:rsidR="00CA3B52" w:rsidRPr="00DC0BDE" w:rsidRDefault="00CA3B52" w:rsidP="00F65451">
            <w:pPr>
              <w:pStyle w:val="Tabletext"/>
              <w:rPr>
                <w:lang w:val="en-US"/>
              </w:rPr>
            </w:pPr>
            <w:r w:rsidRPr="00DC0BDE">
              <w:rPr>
                <w:lang w:val="en-US"/>
              </w:rPr>
              <w:t>Collective</w:t>
            </w:r>
          </w:p>
        </w:tc>
        <w:tc>
          <w:tcPr>
            <w:tcW w:w="2268" w:type="dxa"/>
            <w:tcBorders>
              <w:top w:val="single" w:sz="2" w:space="0" w:color="auto"/>
            </w:tcBorders>
          </w:tcPr>
          <w:p w:rsidR="00CA3B52" w:rsidRPr="00DC0BDE" w:rsidRDefault="00CA3B52" w:rsidP="00F65451">
            <w:pPr>
              <w:pStyle w:val="Tabletext"/>
              <w:jc w:val="center"/>
              <w:rPr>
                <w:lang w:val="en-US"/>
              </w:rPr>
            </w:pPr>
            <w:r w:rsidRPr="00DC0BDE">
              <w:rPr>
                <w:lang w:val="en-US"/>
              </w:rPr>
              <w:t>20</w:t>
            </w:r>
          </w:p>
        </w:tc>
      </w:tr>
      <w:tr w:rsidR="00CA3B52" w:rsidRPr="00DC0BDE" w:rsidTr="002D1D5C">
        <w:trPr>
          <w:cantSplit/>
          <w:jc w:val="center"/>
        </w:trPr>
        <w:tc>
          <w:tcPr>
            <w:tcW w:w="2268" w:type="dxa"/>
          </w:tcPr>
          <w:p w:rsidR="00CA3B52" w:rsidRPr="00DC0BDE" w:rsidRDefault="00CA3B52" w:rsidP="00A55FD9">
            <w:pPr>
              <w:pStyle w:val="Tabletext"/>
              <w:rPr>
                <w:lang w:val="en-US"/>
              </w:rPr>
            </w:pPr>
          </w:p>
        </w:tc>
        <w:tc>
          <w:tcPr>
            <w:tcW w:w="2268" w:type="dxa"/>
          </w:tcPr>
          <w:p w:rsidR="00CA3B52" w:rsidRPr="00DC0BDE" w:rsidRDefault="00CA3B52" w:rsidP="00F65451">
            <w:pPr>
              <w:pStyle w:val="Tabletext"/>
              <w:rPr>
                <w:lang w:val="en-US"/>
              </w:rPr>
            </w:pPr>
            <w:r w:rsidRPr="00DC0BDE">
              <w:rPr>
                <w:lang w:val="en-US"/>
              </w:rPr>
              <w:t>Restricted</w:t>
            </w:r>
          </w:p>
        </w:tc>
        <w:tc>
          <w:tcPr>
            <w:tcW w:w="2268" w:type="dxa"/>
          </w:tcPr>
          <w:p w:rsidR="00CA3B52" w:rsidRPr="00DC0BDE" w:rsidRDefault="00CA3B52" w:rsidP="00F65451">
            <w:pPr>
              <w:pStyle w:val="Tabletext"/>
              <w:jc w:val="center"/>
              <w:rPr>
                <w:lang w:val="en-US"/>
              </w:rPr>
            </w:pPr>
            <w:r w:rsidRPr="00DC0BDE">
              <w:rPr>
                <w:lang w:val="en-US"/>
              </w:rPr>
              <w:t>25</w:t>
            </w:r>
          </w:p>
        </w:tc>
      </w:tr>
      <w:tr w:rsidR="00CA3B52" w:rsidRPr="00DC0BDE" w:rsidTr="002D1D5C">
        <w:trPr>
          <w:cantSplit/>
          <w:jc w:val="center"/>
        </w:trPr>
        <w:tc>
          <w:tcPr>
            <w:tcW w:w="2268" w:type="dxa"/>
          </w:tcPr>
          <w:p w:rsidR="00CA3B52" w:rsidRPr="00DC0BDE" w:rsidRDefault="00CA3B52" w:rsidP="00A55FD9">
            <w:pPr>
              <w:pStyle w:val="Tabletext"/>
              <w:rPr>
                <w:lang w:val="en-US"/>
              </w:rPr>
            </w:pPr>
            <w:r w:rsidRPr="00DC0BDE">
              <w:rPr>
                <w:lang w:val="en-US"/>
              </w:rPr>
              <w:t>Exclusive</w:t>
            </w:r>
          </w:p>
        </w:tc>
        <w:tc>
          <w:tcPr>
            <w:tcW w:w="2268" w:type="dxa"/>
          </w:tcPr>
          <w:p w:rsidR="00CA3B52" w:rsidRPr="00DC0BDE" w:rsidRDefault="00CA3B52" w:rsidP="00F65451">
            <w:pPr>
              <w:pStyle w:val="Tabletext"/>
              <w:rPr>
                <w:lang w:val="en-US"/>
              </w:rPr>
            </w:pPr>
            <w:r w:rsidRPr="00DC0BDE">
              <w:rPr>
                <w:lang w:val="en-US"/>
              </w:rPr>
              <w:t>Collective</w:t>
            </w:r>
          </w:p>
        </w:tc>
        <w:tc>
          <w:tcPr>
            <w:tcW w:w="2268" w:type="dxa"/>
          </w:tcPr>
          <w:p w:rsidR="00CA3B52" w:rsidRPr="00DC0BDE" w:rsidRDefault="00CA3B52" w:rsidP="00F65451">
            <w:pPr>
              <w:pStyle w:val="Tabletext"/>
              <w:jc w:val="center"/>
              <w:rPr>
                <w:lang w:val="en-US"/>
              </w:rPr>
            </w:pPr>
            <w:r w:rsidRPr="00DC0BDE">
              <w:rPr>
                <w:lang w:val="en-US"/>
              </w:rPr>
              <w:t>50</w:t>
            </w:r>
          </w:p>
        </w:tc>
      </w:tr>
    </w:tbl>
    <w:p w:rsidR="00CA3B52" w:rsidRPr="00CB6CBA" w:rsidRDefault="00CA3B52" w:rsidP="00F65451">
      <w:pPr>
        <w:pStyle w:val="Tablefin"/>
        <w:rPr>
          <w:sz w:val="2"/>
          <w:szCs w:val="2"/>
          <w:lang w:val="en-US"/>
        </w:rPr>
      </w:pPr>
    </w:p>
    <w:p w:rsidR="00CA3B52" w:rsidRDefault="00CA3B52" w:rsidP="00CA3B52">
      <w:pPr>
        <w:pStyle w:val="Tablefin"/>
      </w:pPr>
    </w:p>
    <w:p w:rsidR="00CA3B52" w:rsidRPr="00CB6CBA" w:rsidRDefault="00CA3B52" w:rsidP="00CA3B52">
      <w:pPr>
        <w:pStyle w:val="Headingb"/>
        <w:rPr>
          <w:lang w:val="en-US"/>
        </w:rPr>
      </w:pPr>
      <w:r w:rsidRPr="00CB6CBA">
        <w:rPr>
          <w:lang w:val="en-US"/>
        </w:rPr>
        <w:t xml:space="preserve">The value to be paid, </w:t>
      </w:r>
      <w:r w:rsidRPr="00CB6CBA">
        <w:rPr>
          <w:i/>
          <w:lang w:val="en-US"/>
        </w:rPr>
        <w:t>V</w:t>
      </w:r>
    </w:p>
    <w:p w:rsidR="00CA3B52" w:rsidRDefault="00CA3B52" w:rsidP="00CA3B52">
      <w:pPr>
        <w:rPr>
          <w:lang w:val="en-US"/>
        </w:rPr>
      </w:pPr>
      <w:r w:rsidRPr="00CB6CBA">
        <w:rPr>
          <w:lang w:val="en-US"/>
        </w:rPr>
        <w:t xml:space="preserve">For the use of radio frequencies, </w:t>
      </w:r>
      <w:r w:rsidRPr="00CB6CBA">
        <w:rPr>
          <w:i/>
          <w:lang w:val="en-US"/>
        </w:rPr>
        <w:t>V</w:t>
      </w:r>
      <w:r w:rsidRPr="00CB6CBA">
        <w:rPr>
          <w:iCs/>
          <w:lang w:val="en-US"/>
        </w:rPr>
        <w:t>,</w:t>
      </w:r>
      <w:r w:rsidRPr="00CB6CBA">
        <w:rPr>
          <w:lang w:val="en-US"/>
        </w:rPr>
        <w:t xml:space="preserve"> shall be obtained by applying the following formula:</w:t>
      </w:r>
    </w:p>
    <w:p w:rsidR="00CA3B52" w:rsidRPr="00CB6CBA" w:rsidRDefault="00CA3B52" w:rsidP="00CA3B52">
      <w:pPr>
        <w:pStyle w:val="Blanc"/>
      </w:pPr>
    </w:p>
    <w:p w:rsidR="00CA3B52" w:rsidRPr="00CB6CBA" w:rsidRDefault="00CA3B52" w:rsidP="00F65451">
      <w:pPr>
        <w:pStyle w:val="Equation"/>
        <w:rPr>
          <w:lang w:val="en-US"/>
        </w:rPr>
      </w:pPr>
      <w:r w:rsidRPr="00A6735C">
        <w:rPr>
          <w:lang w:val="en-US"/>
        </w:rPr>
        <w:tab/>
      </w:r>
      <w:r w:rsidRPr="00A6735C">
        <w:rPr>
          <w:lang w:val="en-US"/>
        </w:rPr>
        <w:tab/>
      </w:r>
      <w:r w:rsidRPr="00CB6CBA">
        <w:rPr>
          <w:position w:val="-10"/>
          <w:lang w:val="en-US"/>
        </w:rPr>
        <w:object w:dxaOrig="1760" w:dyaOrig="320">
          <v:shape id="_x0000_i1141" type="#_x0000_t75" style="width:85.1pt;height:16.85pt" o:ole="" fillcolor="window">
            <v:imagedata r:id="rId256" o:title=""/>
          </v:shape>
          <o:OLEObject Type="Embed" ProgID="Equation.3" ShapeID="_x0000_i1141" DrawAspect="Content" ObjectID="_1511604930" r:id="rId257"/>
        </w:object>
      </w:r>
    </w:p>
    <w:p w:rsidR="00CA3B52" w:rsidRPr="00CB6CBA" w:rsidRDefault="00CA3B52" w:rsidP="00CA3B52">
      <w:pPr>
        <w:rPr>
          <w:lang w:val="en-US"/>
        </w:rPr>
      </w:pPr>
      <w:r w:rsidRPr="00CB6CBA">
        <w:rPr>
          <w:lang w:val="en-US"/>
        </w:rPr>
        <w:t>where:</w:t>
      </w:r>
    </w:p>
    <w:p w:rsidR="00CA3B52" w:rsidRPr="00CB6CBA" w:rsidRDefault="00CA3B52" w:rsidP="00CA3B52">
      <w:pPr>
        <w:pStyle w:val="Equationlegend"/>
      </w:pPr>
      <w:r w:rsidRPr="00CB6CBA">
        <w:rPr>
          <w:i/>
        </w:rPr>
        <w:tab/>
        <w:t>P</w:t>
      </w:r>
      <w:r w:rsidRPr="00CB6CBA">
        <w:rPr>
          <w:rFonts w:ascii="Tms Rmn" w:hAnsi="Tms Rmn"/>
          <w:iCs/>
          <w:sz w:val="12"/>
        </w:rPr>
        <w:t> </w:t>
      </w:r>
      <w:r w:rsidRPr="00CB6CBA">
        <w:t>:</w:t>
      </w:r>
      <w:r w:rsidRPr="00CB6CBA">
        <w:tab/>
        <w:t>reference value for the rights to use radio frequencies</w:t>
      </w:r>
    </w:p>
    <w:p w:rsidR="00CA3B52" w:rsidRPr="00CB6CBA" w:rsidRDefault="00CA3B52" w:rsidP="00CA3B52">
      <w:pPr>
        <w:pStyle w:val="Equationlegend"/>
      </w:pPr>
      <w:r w:rsidRPr="00CB6CBA">
        <w:rPr>
          <w:i/>
        </w:rPr>
        <w:tab/>
        <w:t>C</w:t>
      </w:r>
      <w:r w:rsidRPr="00CB6CBA">
        <w:rPr>
          <w:rFonts w:ascii="Tms Rmn" w:hAnsi="Tms Rmn"/>
          <w:iCs/>
          <w:sz w:val="12"/>
        </w:rPr>
        <w:t> </w:t>
      </w:r>
      <w:r w:rsidRPr="00CB6CBA">
        <w:t>:</w:t>
      </w:r>
      <w:r w:rsidRPr="00CB6CBA">
        <w:tab/>
        <w:t>0.6 for stations of mass media services and stations of radio broadcasting services, and 1.0 for stations of other services</w:t>
      </w:r>
    </w:p>
    <w:p w:rsidR="00CA3B52" w:rsidRPr="00CB6CBA" w:rsidRDefault="00CA3B52" w:rsidP="00CA3B52">
      <w:pPr>
        <w:pStyle w:val="Equationlegend"/>
      </w:pPr>
      <w:r w:rsidRPr="00CB6CBA">
        <w:rPr>
          <w:i/>
        </w:rPr>
        <w:tab/>
        <w:t>D</w:t>
      </w:r>
      <w:r w:rsidRPr="00CB6CBA">
        <w:rPr>
          <w:rFonts w:ascii="Tms Rmn" w:hAnsi="Tms Rmn"/>
          <w:iCs/>
          <w:sz w:val="12"/>
        </w:rPr>
        <w:t> </w:t>
      </w:r>
      <w:r w:rsidRPr="00CB6CBA">
        <w:t>:</w:t>
      </w:r>
      <w:r w:rsidRPr="00CB6CBA">
        <w:tab/>
        <w:t>0.3 for stations intended for services of a scientific nature, and 1.0 for stations intended for other services</w:t>
      </w:r>
    </w:p>
    <w:p w:rsidR="00CA3B52" w:rsidRPr="00CB6CBA" w:rsidRDefault="00CA3B52" w:rsidP="00CA3B52">
      <w:pPr>
        <w:pStyle w:val="Equationlegend"/>
      </w:pPr>
      <w:r w:rsidRPr="00CB6CBA">
        <w:rPr>
          <w:i/>
        </w:rPr>
        <w:tab/>
        <w:t>E</w:t>
      </w:r>
      <w:r w:rsidRPr="00CB6CBA">
        <w:rPr>
          <w:rFonts w:ascii="Tms Rmn" w:hAnsi="Tms Rmn"/>
          <w:iCs/>
          <w:sz w:val="12"/>
        </w:rPr>
        <w:t> </w:t>
      </w:r>
      <w:r w:rsidRPr="00CB6CBA">
        <w:t>:</w:t>
      </w:r>
      <w:r w:rsidRPr="00CB6CBA">
        <w:tab/>
        <w:t xml:space="preserve">1 for point-to-point systems and, in accordance with Table </w:t>
      </w:r>
      <w:r>
        <w:t>31</w:t>
      </w:r>
      <w:r w:rsidRPr="00CB6CBA">
        <w:t>, for point-area systems.</w:t>
      </w:r>
    </w:p>
    <w:p w:rsidR="00CA3B52" w:rsidRPr="00CB6CBA" w:rsidRDefault="00CA3B52" w:rsidP="00A55FD9">
      <w:pPr>
        <w:pStyle w:val="TableNo"/>
        <w:keepNext w:val="0"/>
        <w:rPr>
          <w:lang w:val="en-US"/>
        </w:rPr>
      </w:pPr>
      <w:r w:rsidRPr="00CB6CBA">
        <w:rPr>
          <w:lang w:val="en-US"/>
        </w:rPr>
        <w:t xml:space="preserve">TABLE </w:t>
      </w:r>
      <w:r>
        <w:rPr>
          <w:lang w:val="en-US"/>
        </w:rPr>
        <w:t>31</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402"/>
        <w:gridCol w:w="2268"/>
      </w:tblGrid>
      <w:tr w:rsidR="00CA3B52" w:rsidRPr="00DC0BDE" w:rsidTr="002D1D5C">
        <w:trPr>
          <w:jc w:val="center"/>
        </w:trPr>
        <w:tc>
          <w:tcPr>
            <w:tcW w:w="3402" w:type="dxa"/>
          </w:tcPr>
          <w:p w:rsidR="00CA3B52" w:rsidRPr="00DC0BDE" w:rsidRDefault="00CA3B52" w:rsidP="002D1D5C">
            <w:pPr>
              <w:pStyle w:val="Tablehead"/>
              <w:keepLines/>
              <w:rPr>
                <w:lang w:val="en-US"/>
              </w:rPr>
            </w:pPr>
            <w:r w:rsidRPr="00DC0BDE">
              <w:rPr>
                <w:lang w:val="en-US"/>
              </w:rPr>
              <w:t>Population (inhabitants)</w:t>
            </w:r>
          </w:p>
        </w:tc>
        <w:tc>
          <w:tcPr>
            <w:tcW w:w="2268" w:type="dxa"/>
          </w:tcPr>
          <w:p w:rsidR="00CA3B52" w:rsidRPr="00DC0BDE" w:rsidRDefault="00CA3B52" w:rsidP="00A55FD9">
            <w:pPr>
              <w:pStyle w:val="Tablehead"/>
              <w:keepLines/>
              <w:rPr>
                <w:lang w:val="en-US"/>
              </w:rPr>
            </w:pPr>
            <w:r w:rsidRPr="00DC0BDE">
              <w:rPr>
                <w:lang w:val="en-US"/>
              </w:rPr>
              <w:t xml:space="preserve">Value of </w:t>
            </w:r>
            <w:r w:rsidRPr="00DC0BDE">
              <w:rPr>
                <w:i/>
                <w:iCs/>
                <w:lang w:val="en-US"/>
              </w:rPr>
              <w:t>E</w:t>
            </w:r>
          </w:p>
        </w:tc>
      </w:tr>
      <w:tr w:rsidR="00CA3B52" w:rsidRPr="00DC0BDE" w:rsidTr="002D1D5C">
        <w:trPr>
          <w:jc w:val="center"/>
        </w:trPr>
        <w:tc>
          <w:tcPr>
            <w:tcW w:w="3402" w:type="dxa"/>
          </w:tcPr>
          <w:p w:rsidR="00CA3B52" w:rsidRPr="00DC0BDE" w:rsidRDefault="00CA3B52" w:rsidP="00F65451">
            <w:pPr>
              <w:pStyle w:val="Tabletext"/>
              <w:rPr>
                <w:lang w:val="en-US"/>
              </w:rPr>
            </w:pPr>
            <w:r w:rsidRPr="00DC0BDE">
              <w:rPr>
                <w:lang w:val="en-US"/>
              </w:rPr>
              <w:t>Up to 50</w:t>
            </w:r>
            <w:r w:rsidRPr="00DC0BDE">
              <w:rPr>
                <w:rFonts w:ascii="Tms Rmn" w:hAnsi="Tms Rmn"/>
                <w:lang w:val="en-US"/>
              </w:rPr>
              <w:t> </w:t>
            </w:r>
            <w:r w:rsidRPr="00DC0BDE">
              <w:rPr>
                <w:lang w:val="en-US"/>
              </w:rPr>
              <w:t>000</w:t>
            </w:r>
          </w:p>
        </w:tc>
        <w:tc>
          <w:tcPr>
            <w:tcW w:w="2268" w:type="dxa"/>
          </w:tcPr>
          <w:p w:rsidR="00CA3B52" w:rsidRPr="00DC0BDE" w:rsidRDefault="00CA3B52" w:rsidP="00F65451">
            <w:pPr>
              <w:pStyle w:val="Tabletext"/>
              <w:jc w:val="center"/>
              <w:rPr>
                <w:lang w:val="en-US"/>
              </w:rPr>
            </w:pPr>
            <w:r w:rsidRPr="00DC0BDE">
              <w:rPr>
                <w:lang w:val="en-US"/>
              </w:rPr>
              <w:t>0.10</w:t>
            </w:r>
          </w:p>
        </w:tc>
      </w:tr>
      <w:tr w:rsidR="00CA3B52" w:rsidRPr="00DC0BDE" w:rsidTr="002D1D5C">
        <w:trPr>
          <w:jc w:val="center"/>
        </w:trPr>
        <w:tc>
          <w:tcPr>
            <w:tcW w:w="3402" w:type="dxa"/>
          </w:tcPr>
          <w:p w:rsidR="00CA3B52" w:rsidRPr="00DC0BDE" w:rsidRDefault="00CA3B52" w:rsidP="00F65451">
            <w:pPr>
              <w:pStyle w:val="Tabletext"/>
              <w:rPr>
                <w:lang w:val="en-US"/>
              </w:rPr>
            </w:pPr>
            <w:r w:rsidRPr="00DC0BDE">
              <w:rPr>
                <w:lang w:val="en-US"/>
              </w:rPr>
              <w:t>From 50</w:t>
            </w:r>
            <w:r w:rsidRPr="00DC0BDE">
              <w:rPr>
                <w:rFonts w:ascii="Tms Rmn" w:hAnsi="Tms Rmn"/>
                <w:lang w:val="en-US"/>
              </w:rPr>
              <w:t> </w:t>
            </w:r>
            <w:r w:rsidRPr="00DC0BDE">
              <w:rPr>
                <w:lang w:val="en-US"/>
              </w:rPr>
              <w:t>001 to 100</w:t>
            </w:r>
            <w:r w:rsidRPr="00DC0BDE">
              <w:rPr>
                <w:rFonts w:ascii="Tms Rmn" w:hAnsi="Tms Rmn"/>
                <w:lang w:val="en-US"/>
              </w:rPr>
              <w:t> </w:t>
            </w:r>
            <w:r w:rsidRPr="00DC0BDE">
              <w:rPr>
                <w:lang w:val="en-US"/>
              </w:rPr>
              <w:t>000</w:t>
            </w:r>
          </w:p>
        </w:tc>
        <w:tc>
          <w:tcPr>
            <w:tcW w:w="2268" w:type="dxa"/>
          </w:tcPr>
          <w:p w:rsidR="00CA3B52" w:rsidRPr="00DC0BDE" w:rsidRDefault="00CA3B52" w:rsidP="00F65451">
            <w:pPr>
              <w:pStyle w:val="Tabletext"/>
              <w:jc w:val="center"/>
              <w:rPr>
                <w:lang w:val="en-US"/>
              </w:rPr>
            </w:pPr>
            <w:r w:rsidRPr="00DC0BDE">
              <w:rPr>
                <w:lang w:val="en-US"/>
              </w:rPr>
              <w:t>0.15</w:t>
            </w:r>
          </w:p>
        </w:tc>
      </w:tr>
      <w:tr w:rsidR="00CA3B52" w:rsidRPr="00DC0BDE" w:rsidTr="002D1D5C">
        <w:trPr>
          <w:trHeight w:val="296"/>
          <w:jc w:val="center"/>
        </w:trPr>
        <w:tc>
          <w:tcPr>
            <w:tcW w:w="3402" w:type="dxa"/>
          </w:tcPr>
          <w:p w:rsidR="00CA3B52" w:rsidRPr="00DC0BDE" w:rsidRDefault="00CA3B52" w:rsidP="00F65451">
            <w:pPr>
              <w:pStyle w:val="Tabletext"/>
              <w:rPr>
                <w:lang w:val="en-US"/>
              </w:rPr>
            </w:pPr>
            <w:r w:rsidRPr="00DC0BDE">
              <w:rPr>
                <w:lang w:val="en-US"/>
              </w:rPr>
              <w:t>From 100</w:t>
            </w:r>
            <w:r w:rsidRPr="00DC0BDE">
              <w:rPr>
                <w:rFonts w:ascii="Tms Rmn" w:hAnsi="Tms Rmn"/>
                <w:lang w:val="en-US"/>
              </w:rPr>
              <w:t> </w:t>
            </w:r>
            <w:r w:rsidRPr="00DC0BDE">
              <w:rPr>
                <w:lang w:val="en-US"/>
              </w:rPr>
              <w:t>001 to 150</w:t>
            </w:r>
            <w:r w:rsidRPr="00DC0BDE">
              <w:rPr>
                <w:rFonts w:ascii="Tms Rmn" w:hAnsi="Tms Rmn"/>
                <w:lang w:val="en-US"/>
              </w:rPr>
              <w:t> </w:t>
            </w:r>
            <w:r w:rsidRPr="00DC0BDE">
              <w:rPr>
                <w:lang w:val="en-US"/>
              </w:rPr>
              <w:t>000</w:t>
            </w:r>
          </w:p>
        </w:tc>
        <w:tc>
          <w:tcPr>
            <w:tcW w:w="2268" w:type="dxa"/>
          </w:tcPr>
          <w:p w:rsidR="00CA3B52" w:rsidRPr="00DC0BDE" w:rsidRDefault="00CA3B52" w:rsidP="00F65451">
            <w:pPr>
              <w:pStyle w:val="Tabletext"/>
              <w:jc w:val="center"/>
              <w:rPr>
                <w:lang w:val="en-US"/>
              </w:rPr>
            </w:pPr>
            <w:r w:rsidRPr="00DC0BDE">
              <w:rPr>
                <w:lang w:val="en-US"/>
              </w:rPr>
              <w:t>0.20</w:t>
            </w:r>
          </w:p>
        </w:tc>
      </w:tr>
      <w:tr w:rsidR="00CA3B52" w:rsidRPr="00DC0BDE" w:rsidTr="002D1D5C">
        <w:trPr>
          <w:trHeight w:val="296"/>
          <w:jc w:val="center"/>
        </w:trPr>
        <w:tc>
          <w:tcPr>
            <w:tcW w:w="3402" w:type="dxa"/>
          </w:tcPr>
          <w:p w:rsidR="00CA3B52" w:rsidRPr="00DC0BDE" w:rsidRDefault="00CA3B52" w:rsidP="00F65451">
            <w:pPr>
              <w:pStyle w:val="Tabletext"/>
              <w:rPr>
                <w:lang w:val="en-US"/>
              </w:rPr>
            </w:pPr>
            <w:r w:rsidRPr="00DC0BDE">
              <w:rPr>
                <w:lang w:val="en-US"/>
              </w:rPr>
              <w:t>From 150</w:t>
            </w:r>
            <w:r w:rsidRPr="00DC0BDE">
              <w:rPr>
                <w:rFonts w:ascii="Tms Rmn" w:hAnsi="Tms Rmn"/>
                <w:lang w:val="en-US"/>
              </w:rPr>
              <w:t> </w:t>
            </w:r>
            <w:r w:rsidRPr="00DC0BDE">
              <w:rPr>
                <w:lang w:val="en-US"/>
              </w:rPr>
              <w:t>001 to 200</w:t>
            </w:r>
            <w:r w:rsidRPr="00DC0BDE">
              <w:rPr>
                <w:rFonts w:ascii="Tms Rmn" w:hAnsi="Tms Rmn"/>
                <w:lang w:val="en-US"/>
              </w:rPr>
              <w:t> </w:t>
            </w:r>
            <w:r w:rsidRPr="00DC0BDE">
              <w:rPr>
                <w:lang w:val="en-US"/>
              </w:rPr>
              <w:t>000</w:t>
            </w:r>
          </w:p>
        </w:tc>
        <w:tc>
          <w:tcPr>
            <w:tcW w:w="2268" w:type="dxa"/>
          </w:tcPr>
          <w:p w:rsidR="00CA3B52" w:rsidRPr="00DC0BDE" w:rsidRDefault="00CA3B52" w:rsidP="00F65451">
            <w:pPr>
              <w:pStyle w:val="Tabletext"/>
              <w:jc w:val="center"/>
              <w:rPr>
                <w:lang w:val="en-US"/>
              </w:rPr>
            </w:pPr>
            <w:r w:rsidRPr="00DC0BDE">
              <w:rPr>
                <w:lang w:val="en-US"/>
              </w:rPr>
              <w:t>0.35</w:t>
            </w:r>
          </w:p>
        </w:tc>
      </w:tr>
      <w:tr w:rsidR="00CA3B52" w:rsidRPr="00DC0BDE" w:rsidTr="002D1D5C">
        <w:trPr>
          <w:trHeight w:val="296"/>
          <w:jc w:val="center"/>
        </w:trPr>
        <w:tc>
          <w:tcPr>
            <w:tcW w:w="3402" w:type="dxa"/>
          </w:tcPr>
          <w:p w:rsidR="00CA3B52" w:rsidRPr="00DC0BDE" w:rsidRDefault="00CA3B52" w:rsidP="00F65451">
            <w:pPr>
              <w:pStyle w:val="Tabletext"/>
              <w:rPr>
                <w:lang w:val="en-US"/>
              </w:rPr>
            </w:pPr>
            <w:r w:rsidRPr="00DC0BDE">
              <w:rPr>
                <w:lang w:val="en-US"/>
              </w:rPr>
              <w:t>From 200</w:t>
            </w:r>
            <w:r w:rsidRPr="00DC0BDE">
              <w:rPr>
                <w:rFonts w:ascii="Tms Rmn" w:hAnsi="Tms Rmn"/>
                <w:lang w:val="en-US"/>
              </w:rPr>
              <w:t> </w:t>
            </w:r>
            <w:r w:rsidRPr="00DC0BDE">
              <w:rPr>
                <w:lang w:val="en-US"/>
              </w:rPr>
              <w:t>001 to 250</w:t>
            </w:r>
            <w:r w:rsidRPr="00DC0BDE">
              <w:rPr>
                <w:rFonts w:ascii="Tms Rmn" w:hAnsi="Tms Rmn"/>
                <w:lang w:val="en-US"/>
              </w:rPr>
              <w:t> </w:t>
            </w:r>
            <w:r w:rsidRPr="00DC0BDE">
              <w:rPr>
                <w:lang w:val="en-US"/>
              </w:rPr>
              <w:t>000</w:t>
            </w:r>
          </w:p>
        </w:tc>
        <w:tc>
          <w:tcPr>
            <w:tcW w:w="2268" w:type="dxa"/>
          </w:tcPr>
          <w:p w:rsidR="00CA3B52" w:rsidRPr="00DC0BDE" w:rsidRDefault="00CA3B52" w:rsidP="00F65451">
            <w:pPr>
              <w:pStyle w:val="Tabletext"/>
              <w:jc w:val="center"/>
              <w:rPr>
                <w:lang w:val="en-US"/>
              </w:rPr>
            </w:pPr>
            <w:r w:rsidRPr="00DC0BDE">
              <w:rPr>
                <w:lang w:val="en-US"/>
              </w:rPr>
              <w:t>0.40</w:t>
            </w:r>
          </w:p>
        </w:tc>
      </w:tr>
      <w:tr w:rsidR="00CA3B52" w:rsidRPr="00DC0BDE" w:rsidTr="002D1D5C">
        <w:trPr>
          <w:trHeight w:val="296"/>
          <w:jc w:val="center"/>
        </w:trPr>
        <w:tc>
          <w:tcPr>
            <w:tcW w:w="3402" w:type="dxa"/>
          </w:tcPr>
          <w:p w:rsidR="00CA3B52" w:rsidRPr="00DC0BDE" w:rsidRDefault="00CA3B52" w:rsidP="00F65451">
            <w:pPr>
              <w:pStyle w:val="Tabletext"/>
              <w:rPr>
                <w:lang w:val="en-US"/>
              </w:rPr>
            </w:pPr>
            <w:r w:rsidRPr="00DC0BDE">
              <w:rPr>
                <w:lang w:val="en-US"/>
              </w:rPr>
              <w:t>From 250</w:t>
            </w:r>
            <w:r w:rsidRPr="00DC0BDE">
              <w:rPr>
                <w:rFonts w:ascii="Tms Rmn" w:hAnsi="Tms Rmn"/>
                <w:lang w:val="en-US"/>
              </w:rPr>
              <w:t> </w:t>
            </w:r>
            <w:r w:rsidRPr="00DC0BDE">
              <w:rPr>
                <w:lang w:val="en-US"/>
              </w:rPr>
              <w:t>001 to 300</w:t>
            </w:r>
            <w:r w:rsidRPr="00DC0BDE">
              <w:rPr>
                <w:rFonts w:ascii="Tms Rmn" w:hAnsi="Tms Rmn"/>
                <w:lang w:val="en-US"/>
              </w:rPr>
              <w:t> </w:t>
            </w:r>
            <w:r w:rsidRPr="00DC0BDE">
              <w:rPr>
                <w:lang w:val="en-US"/>
              </w:rPr>
              <w:t>000</w:t>
            </w:r>
          </w:p>
        </w:tc>
        <w:tc>
          <w:tcPr>
            <w:tcW w:w="2268" w:type="dxa"/>
          </w:tcPr>
          <w:p w:rsidR="00CA3B52" w:rsidRPr="00DC0BDE" w:rsidRDefault="00CA3B52" w:rsidP="00F65451">
            <w:pPr>
              <w:pStyle w:val="Tabletext"/>
              <w:jc w:val="center"/>
              <w:rPr>
                <w:lang w:val="en-US"/>
              </w:rPr>
            </w:pPr>
            <w:r w:rsidRPr="00DC0BDE">
              <w:rPr>
                <w:lang w:val="en-US"/>
              </w:rPr>
              <w:t>0.50</w:t>
            </w:r>
          </w:p>
        </w:tc>
      </w:tr>
      <w:tr w:rsidR="00CA3B52" w:rsidRPr="00DC0BDE" w:rsidTr="002D1D5C">
        <w:trPr>
          <w:trHeight w:val="296"/>
          <w:jc w:val="center"/>
        </w:trPr>
        <w:tc>
          <w:tcPr>
            <w:tcW w:w="3402" w:type="dxa"/>
          </w:tcPr>
          <w:p w:rsidR="00CA3B52" w:rsidRPr="00DC0BDE" w:rsidRDefault="00CA3B52" w:rsidP="00F65451">
            <w:pPr>
              <w:pStyle w:val="Tabletext"/>
              <w:rPr>
                <w:lang w:val="en-US"/>
              </w:rPr>
            </w:pPr>
            <w:r w:rsidRPr="00DC0BDE">
              <w:rPr>
                <w:lang w:val="en-US"/>
              </w:rPr>
              <w:t>From 300</w:t>
            </w:r>
            <w:r w:rsidRPr="00DC0BDE">
              <w:rPr>
                <w:rFonts w:ascii="Tms Rmn" w:hAnsi="Tms Rmn"/>
                <w:lang w:val="en-US"/>
              </w:rPr>
              <w:t> </w:t>
            </w:r>
            <w:r w:rsidRPr="00DC0BDE">
              <w:rPr>
                <w:lang w:val="en-US"/>
              </w:rPr>
              <w:t>001 to 350</w:t>
            </w:r>
            <w:r w:rsidRPr="00DC0BDE">
              <w:rPr>
                <w:rFonts w:ascii="Tms Rmn" w:hAnsi="Tms Rmn"/>
                <w:lang w:val="en-US"/>
              </w:rPr>
              <w:t> </w:t>
            </w:r>
            <w:r w:rsidRPr="00DC0BDE">
              <w:rPr>
                <w:lang w:val="en-US"/>
              </w:rPr>
              <w:t>000</w:t>
            </w:r>
          </w:p>
        </w:tc>
        <w:tc>
          <w:tcPr>
            <w:tcW w:w="2268" w:type="dxa"/>
          </w:tcPr>
          <w:p w:rsidR="00CA3B52" w:rsidRPr="00DC0BDE" w:rsidRDefault="00CA3B52" w:rsidP="00F65451">
            <w:pPr>
              <w:pStyle w:val="Tabletext"/>
              <w:jc w:val="center"/>
              <w:rPr>
                <w:lang w:val="en-US"/>
              </w:rPr>
            </w:pPr>
            <w:r w:rsidRPr="00DC0BDE">
              <w:rPr>
                <w:lang w:val="en-US"/>
              </w:rPr>
              <w:t>0.60</w:t>
            </w:r>
          </w:p>
        </w:tc>
      </w:tr>
      <w:tr w:rsidR="00CA3B52" w:rsidRPr="00DC0BDE" w:rsidTr="002D1D5C">
        <w:trPr>
          <w:trHeight w:val="296"/>
          <w:jc w:val="center"/>
        </w:trPr>
        <w:tc>
          <w:tcPr>
            <w:tcW w:w="3402" w:type="dxa"/>
          </w:tcPr>
          <w:p w:rsidR="00CA3B52" w:rsidRPr="00DC0BDE" w:rsidRDefault="00CA3B52" w:rsidP="00F65451">
            <w:pPr>
              <w:pStyle w:val="Tabletext"/>
              <w:rPr>
                <w:lang w:val="en-US"/>
              </w:rPr>
            </w:pPr>
            <w:r w:rsidRPr="00DC0BDE">
              <w:rPr>
                <w:lang w:val="en-US"/>
              </w:rPr>
              <w:t>From 350</w:t>
            </w:r>
            <w:r w:rsidRPr="00DC0BDE">
              <w:rPr>
                <w:rFonts w:ascii="Tms Rmn" w:hAnsi="Tms Rmn"/>
                <w:lang w:val="en-US"/>
              </w:rPr>
              <w:t> </w:t>
            </w:r>
            <w:r w:rsidRPr="00DC0BDE">
              <w:rPr>
                <w:lang w:val="en-US"/>
              </w:rPr>
              <w:t>001 to 400</w:t>
            </w:r>
            <w:r w:rsidRPr="00DC0BDE">
              <w:rPr>
                <w:rFonts w:ascii="Tms Rmn" w:hAnsi="Tms Rmn"/>
                <w:lang w:val="en-US"/>
              </w:rPr>
              <w:t> </w:t>
            </w:r>
            <w:r w:rsidRPr="00DC0BDE">
              <w:rPr>
                <w:lang w:val="en-US"/>
              </w:rPr>
              <w:t>000</w:t>
            </w:r>
          </w:p>
        </w:tc>
        <w:tc>
          <w:tcPr>
            <w:tcW w:w="2268" w:type="dxa"/>
          </w:tcPr>
          <w:p w:rsidR="00CA3B52" w:rsidRPr="00DC0BDE" w:rsidRDefault="00CA3B52" w:rsidP="00F65451">
            <w:pPr>
              <w:pStyle w:val="Tabletext"/>
              <w:jc w:val="center"/>
              <w:rPr>
                <w:lang w:val="en-US"/>
              </w:rPr>
            </w:pPr>
            <w:r w:rsidRPr="00DC0BDE">
              <w:rPr>
                <w:lang w:val="en-US"/>
              </w:rPr>
              <w:t>0.75</w:t>
            </w:r>
          </w:p>
        </w:tc>
      </w:tr>
      <w:tr w:rsidR="00CA3B52" w:rsidRPr="00DC0BDE" w:rsidTr="002D1D5C">
        <w:trPr>
          <w:trHeight w:val="296"/>
          <w:jc w:val="center"/>
        </w:trPr>
        <w:tc>
          <w:tcPr>
            <w:tcW w:w="3402" w:type="dxa"/>
          </w:tcPr>
          <w:p w:rsidR="00CA3B52" w:rsidRPr="00DC0BDE" w:rsidRDefault="00CA3B52" w:rsidP="00F65451">
            <w:pPr>
              <w:pStyle w:val="Tabletext"/>
              <w:rPr>
                <w:lang w:val="en-US"/>
              </w:rPr>
            </w:pPr>
            <w:r w:rsidRPr="00DC0BDE">
              <w:rPr>
                <w:lang w:val="en-US"/>
              </w:rPr>
              <w:t>From 400</w:t>
            </w:r>
            <w:r w:rsidRPr="00DC0BDE">
              <w:rPr>
                <w:rFonts w:ascii="Tms Rmn" w:hAnsi="Tms Rmn"/>
                <w:lang w:val="en-US"/>
              </w:rPr>
              <w:t> </w:t>
            </w:r>
            <w:r w:rsidRPr="00DC0BDE">
              <w:rPr>
                <w:lang w:val="en-US"/>
              </w:rPr>
              <w:t>001 to 450</w:t>
            </w:r>
            <w:r w:rsidRPr="00DC0BDE">
              <w:rPr>
                <w:rFonts w:ascii="Tms Rmn" w:hAnsi="Tms Rmn"/>
                <w:lang w:val="en-US"/>
              </w:rPr>
              <w:t> </w:t>
            </w:r>
            <w:r w:rsidRPr="00DC0BDE">
              <w:rPr>
                <w:lang w:val="en-US"/>
              </w:rPr>
              <w:t>000</w:t>
            </w:r>
          </w:p>
        </w:tc>
        <w:tc>
          <w:tcPr>
            <w:tcW w:w="2268" w:type="dxa"/>
          </w:tcPr>
          <w:p w:rsidR="00CA3B52" w:rsidRPr="00DC0BDE" w:rsidRDefault="00CA3B52" w:rsidP="00F65451">
            <w:pPr>
              <w:pStyle w:val="Tabletext"/>
              <w:jc w:val="center"/>
              <w:rPr>
                <w:lang w:val="en-US"/>
              </w:rPr>
            </w:pPr>
            <w:r w:rsidRPr="00DC0BDE">
              <w:rPr>
                <w:lang w:val="en-US"/>
              </w:rPr>
              <w:t>0.90</w:t>
            </w:r>
          </w:p>
        </w:tc>
      </w:tr>
      <w:tr w:rsidR="00CA3B52" w:rsidRPr="00DC0BDE" w:rsidTr="002D1D5C">
        <w:trPr>
          <w:trHeight w:val="296"/>
          <w:jc w:val="center"/>
        </w:trPr>
        <w:tc>
          <w:tcPr>
            <w:tcW w:w="3402" w:type="dxa"/>
          </w:tcPr>
          <w:p w:rsidR="00CA3B52" w:rsidRPr="00DC0BDE" w:rsidRDefault="00CA3B52" w:rsidP="00F65451">
            <w:pPr>
              <w:pStyle w:val="Tabletext"/>
              <w:rPr>
                <w:lang w:val="en-US"/>
              </w:rPr>
            </w:pPr>
            <w:r w:rsidRPr="00DC0BDE">
              <w:rPr>
                <w:lang w:val="en-US"/>
              </w:rPr>
              <w:t>Above 450</w:t>
            </w:r>
            <w:r w:rsidRPr="00DC0BDE">
              <w:rPr>
                <w:rFonts w:ascii="Tms Rmn" w:hAnsi="Tms Rmn"/>
                <w:lang w:val="en-US"/>
              </w:rPr>
              <w:t> </w:t>
            </w:r>
            <w:r w:rsidRPr="00DC0BDE">
              <w:rPr>
                <w:lang w:val="en-US"/>
              </w:rPr>
              <w:t>000</w:t>
            </w:r>
          </w:p>
        </w:tc>
        <w:tc>
          <w:tcPr>
            <w:tcW w:w="2268" w:type="dxa"/>
          </w:tcPr>
          <w:p w:rsidR="00CA3B52" w:rsidRPr="00DC0BDE" w:rsidRDefault="00CA3B52" w:rsidP="00F65451">
            <w:pPr>
              <w:pStyle w:val="Tabletext"/>
              <w:jc w:val="center"/>
              <w:rPr>
                <w:lang w:val="en-US"/>
              </w:rPr>
            </w:pPr>
            <w:r w:rsidRPr="00DC0BDE">
              <w:rPr>
                <w:lang w:val="en-US"/>
              </w:rPr>
              <w:t>1.00</w:t>
            </w:r>
          </w:p>
        </w:tc>
      </w:tr>
    </w:tbl>
    <w:p w:rsidR="00CA3B52" w:rsidRPr="00CB6CBA" w:rsidRDefault="00CA3B52" w:rsidP="00F65451">
      <w:pPr>
        <w:pStyle w:val="Tablefin"/>
        <w:rPr>
          <w:lang w:val="en-US"/>
        </w:rPr>
      </w:pPr>
    </w:p>
    <w:p w:rsidR="00CA3B52" w:rsidRPr="00CB6CBA" w:rsidRDefault="00CA3B52" w:rsidP="00CA3B52">
      <w:pPr>
        <w:rPr>
          <w:lang w:val="en-US"/>
        </w:rPr>
      </w:pPr>
      <w:r w:rsidRPr="00CB6CBA">
        <w:rPr>
          <w:lang w:val="en-US"/>
        </w:rPr>
        <w:t xml:space="preserve">The value to be paid for the use of radio frequencies, </w:t>
      </w:r>
      <w:r w:rsidRPr="00CB6CBA">
        <w:rPr>
          <w:i/>
          <w:lang w:val="en-US"/>
        </w:rPr>
        <w:t>V</w:t>
      </w:r>
      <w:r w:rsidRPr="00CB6CBA">
        <w:rPr>
          <w:lang w:val="en-US"/>
        </w:rPr>
        <w:t>, shall not be less than (</w:t>
      </w:r>
      <w:r w:rsidRPr="00CB6CBA">
        <w:rPr>
          <w:i/>
          <w:lang w:val="en-US"/>
        </w:rPr>
        <w:t>T</w:t>
      </w:r>
      <w:r w:rsidRPr="00CB6CBA">
        <w:rPr>
          <w:position w:val="-4"/>
          <w:sz w:val="16"/>
          <w:lang w:val="en-US"/>
        </w:rPr>
        <w:t>2</w:t>
      </w:r>
      <w:r w:rsidRPr="00CB6CBA">
        <w:rPr>
          <w:lang w:val="en-US"/>
        </w:rPr>
        <w:t> </w:t>
      </w:r>
      <w:r w:rsidRPr="00CB6CBA">
        <w:rPr>
          <w:rFonts w:ascii="Symbol" w:hAnsi="Symbol"/>
          <w:lang w:val="en-US"/>
        </w:rPr>
        <w:t></w:t>
      </w:r>
      <w:r w:rsidRPr="00CB6CBA">
        <w:rPr>
          <w:lang w:val="en-US"/>
        </w:rPr>
        <w:t> R$ 20.00).</w:t>
      </w:r>
    </w:p>
    <w:p w:rsidR="00CA3B52" w:rsidRPr="00CB6CBA" w:rsidRDefault="00CA3B52" w:rsidP="00CA3B52">
      <w:pPr>
        <w:rPr>
          <w:lang w:val="en-US"/>
        </w:rPr>
      </w:pPr>
      <w:r w:rsidRPr="00CB6CBA">
        <w:rPr>
          <w:lang w:val="en-US"/>
        </w:rPr>
        <w:lastRenderedPageBreak/>
        <w:t xml:space="preserve">For the following cases a fixed value of </w:t>
      </w:r>
      <w:r w:rsidRPr="00CB6CBA">
        <w:rPr>
          <w:i/>
          <w:lang w:val="en-US"/>
        </w:rPr>
        <w:t>V</w:t>
      </w:r>
      <w:r w:rsidRPr="00CB6CBA">
        <w:rPr>
          <w:lang w:val="en-US"/>
        </w:rPr>
        <w:t xml:space="preserve"> is applicable: amateur radio and citizen band services; coastal stations, stations aboard ships, and port stations; stations aboard aircraft, and aeronautical stations; and stations of the community broadcasting services.</w:t>
      </w:r>
    </w:p>
    <w:p w:rsidR="00CA3B52" w:rsidRPr="00CB6CBA" w:rsidRDefault="00CA3B52" w:rsidP="00CA3B52">
      <w:pPr>
        <w:rPr>
          <w:lang w:val="en-US"/>
        </w:rPr>
      </w:pPr>
      <w:r w:rsidRPr="00CB6CBA">
        <w:rPr>
          <w:lang w:val="en-US"/>
        </w:rPr>
        <w:t>For purposes of the regulation, the following systems shall be subject to the payment of the appropriate utilization charges:</w:t>
      </w:r>
    </w:p>
    <w:p w:rsidR="00CA3B52" w:rsidRPr="00CB6CBA" w:rsidRDefault="00CA3B52" w:rsidP="00CA3B52">
      <w:pPr>
        <w:pStyle w:val="enumlev1"/>
        <w:rPr>
          <w:lang w:val="en-US"/>
        </w:rPr>
      </w:pPr>
      <w:r w:rsidRPr="00CB6CBA">
        <w:rPr>
          <w:szCs w:val="24"/>
          <w:lang w:val="en-US"/>
        </w:rPr>
        <w:sym w:font="Symbol" w:char="F02D"/>
      </w:r>
      <w:r w:rsidRPr="00CB6CBA">
        <w:rPr>
          <w:lang w:val="en-US"/>
        </w:rPr>
        <w:tab/>
        <w:t>point-to-point – upon assignment of each transmit frequency;</w:t>
      </w:r>
    </w:p>
    <w:p w:rsidR="00CA3B52" w:rsidRPr="00CB6CBA" w:rsidRDefault="00CA3B52" w:rsidP="00CA3B52">
      <w:pPr>
        <w:pStyle w:val="enumlev1"/>
        <w:rPr>
          <w:lang w:val="en-US"/>
        </w:rPr>
      </w:pPr>
      <w:r w:rsidRPr="00CB6CBA">
        <w:rPr>
          <w:szCs w:val="24"/>
          <w:lang w:val="en-US"/>
        </w:rPr>
        <w:sym w:font="Symbol" w:char="F02D"/>
      </w:r>
      <w:r w:rsidRPr="00CB6CBA">
        <w:rPr>
          <w:lang w:val="en-US"/>
        </w:rPr>
        <w:tab/>
        <w:t xml:space="preserve">point-area – upon assignment of each radio frequency, whether receive or transmit, to nodal stations, base stations, or space stations. For direct communication between terminal stations, the payment is due upon assignment of each radiofrequency to be used collectively by the terminal stations set. For unidirectional point-area systems, the payment is due upon assignment of each radio frequency to the transmitter station. </w:t>
      </w:r>
    </w:p>
    <w:p w:rsidR="00CA3B52" w:rsidRPr="00CB6CBA" w:rsidRDefault="00CA3B52" w:rsidP="00CA3B52">
      <w:pPr>
        <w:rPr>
          <w:lang w:val="en-US"/>
        </w:rPr>
      </w:pPr>
      <w:r w:rsidRPr="00CB6CBA">
        <w:rPr>
          <w:lang w:val="en-US"/>
        </w:rPr>
        <w:t>Whenever applicable, upon issuance or renewal of an authorization for the utilization of a radio frequency, such authorization will be charged.</w:t>
      </w:r>
    </w:p>
    <w:p w:rsidR="00CA3B52" w:rsidRPr="00CB6CBA" w:rsidRDefault="00CA3B52" w:rsidP="00CA3B52">
      <w:pPr>
        <w:rPr>
          <w:lang w:val="en-US"/>
        </w:rPr>
      </w:pPr>
      <w:r w:rsidRPr="00CB6CBA">
        <w:rPr>
          <w:lang w:val="en-US"/>
        </w:rPr>
        <w:t xml:space="preserve">The following are exempt from spectrum fees: frequency usage by certified short range devices; frequency usage by Armed Forces in frequencies allocated to exclusively military usage; temporary spectrum use by Diplomatic Missions, Representations of International Organizations and Consular Offices, including military vessels and aircraft in foreign official visits in Brazil. </w:t>
      </w:r>
    </w:p>
    <w:p w:rsidR="00CA3B52" w:rsidRPr="00CB6CBA" w:rsidRDefault="00CA3B52" w:rsidP="00CA3B52">
      <w:pPr>
        <w:pStyle w:val="Heading3"/>
        <w:rPr>
          <w:lang w:val="en-US"/>
        </w:rPr>
      </w:pPr>
      <w:bookmarkStart w:id="1786" w:name="_Toc289868872"/>
      <w:bookmarkStart w:id="1787" w:name="_Toc289869032"/>
      <w:bookmarkStart w:id="1788" w:name="_Toc289932339"/>
      <w:bookmarkStart w:id="1789" w:name="_Toc289933385"/>
      <w:bookmarkStart w:id="1790" w:name="_Toc291852948"/>
      <w:bookmarkStart w:id="1791" w:name="_Toc392515932"/>
      <w:r w:rsidRPr="00CB6CBA">
        <w:rPr>
          <w:lang w:val="en-US"/>
        </w:rPr>
        <w:t>5.2.11</w:t>
      </w:r>
      <w:r w:rsidRPr="00CB6CBA">
        <w:rPr>
          <w:lang w:val="en-US"/>
        </w:rPr>
        <w:tab/>
        <w:t xml:space="preserve">Experience with </w:t>
      </w:r>
      <w:r>
        <w:rPr>
          <w:lang w:val="en-US"/>
        </w:rPr>
        <w:t>s</w:t>
      </w:r>
      <w:r w:rsidRPr="00CB6CBA">
        <w:rPr>
          <w:lang w:val="en-US"/>
        </w:rPr>
        <w:t xml:space="preserve">pectrum </w:t>
      </w:r>
      <w:r w:rsidRPr="00B127FF">
        <w:rPr>
          <w:rFonts w:hint="eastAsia"/>
          <w:lang w:val="en-US" w:eastAsia="ko-KR"/>
        </w:rPr>
        <w:t xml:space="preserve">utilization </w:t>
      </w:r>
      <w:r>
        <w:rPr>
          <w:lang w:val="en-US"/>
        </w:rPr>
        <w:t>f</w:t>
      </w:r>
      <w:r w:rsidRPr="00CB6CBA">
        <w:rPr>
          <w:lang w:val="en-US"/>
        </w:rPr>
        <w:t>ees – Republic of Korea</w:t>
      </w:r>
      <w:bookmarkEnd w:id="1786"/>
      <w:bookmarkEnd w:id="1787"/>
      <w:bookmarkEnd w:id="1788"/>
      <w:bookmarkEnd w:id="1789"/>
      <w:bookmarkEnd w:id="1790"/>
      <w:bookmarkEnd w:id="1791"/>
    </w:p>
    <w:p w:rsidR="00CA3B52" w:rsidRPr="00CB6CBA" w:rsidRDefault="00CA3B52" w:rsidP="00CA3B52">
      <w:pPr>
        <w:rPr>
          <w:lang w:val="en-US" w:eastAsia="ko-KR"/>
        </w:rPr>
      </w:pPr>
      <w:r w:rsidRPr="00CB6CBA">
        <w:rPr>
          <w:lang w:val="en-US" w:eastAsia="ko-KR"/>
        </w:rPr>
        <w:t xml:space="preserve">Radio spectrum is public assets rather than private properties and spectrum users gain economic benefits by using radio spectrum. It means that users </w:t>
      </w:r>
      <w:r>
        <w:rPr>
          <w:rFonts w:hint="eastAsia"/>
          <w:lang w:val="en-US" w:eastAsia="ko-KR"/>
        </w:rPr>
        <w:t xml:space="preserve">take </w:t>
      </w:r>
      <w:r w:rsidRPr="00CB6CBA">
        <w:rPr>
          <w:lang w:val="en-US" w:eastAsia="ko-KR"/>
        </w:rPr>
        <w:t xml:space="preserve">advantage of public assets through radio station operation. Therefore, spectrum users have to pay adequate amount of spectrum </w:t>
      </w:r>
      <w:r>
        <w:rPr>
          <w:rFonts w:hint="eastAsia"/>
          <w:lang w:val="en-US" w:eastAsia="ko-KR"/>
        </w:rPr>
        <w:t xml:space="preserve">utilization </w:t>
      </w:r>
      <w:r w:rsidRPr="00CB6CBA">
        <w:rPr>
          <w:lang w:val="en-US" w:eastAsia="ko-KR"/>
        </w:rPr>
        <w:t>fee equivalent to ec</w:t>
      </w:r>
      <w:r>
        <w:rPr>
          <w:lang w:val="en-US" w:eastAsia="ko-KR"/>
        </w:rPr>
        <w:t>onomic value of radio spectrum.</w:t>
      </w:r>
    </w:p>
    <w:p w:rsidR="00CA3B52" w:rsidRPr="00CB6CBA" w:rsidRDefault="00CA3B52" w:rsidP="009A74CF">
      <w:pPr>
        <w:rPr>
          <w:lang w:val="en-US" w:eastAsia="ko-KR"/>
        </w:rPr>
      </w:pPr>
      <w:r w:rsidRPr="00CB6CBA">
        <w:rPr>
          <w:lang w:val="en-US" w:eastAsia="ko-KR"/>
        </w:rPr>
        <w:t xml:space="preserve">Spectrum </w:t>
      </w:r>
      <w:r>
        <w:rPr>
          <w:rFonts w:hint="eastAsia"/>
          <w:lang w:val="en-US" w:eastAsia="ko-KR"/>
        </w:rPr>
        <w:t xml:space="preserve">utilization </w:t>
      </w:r>
      <w:r w:rsidRPr="00CB6CBA">
        <w:rPr>
          <w:lang w:val="en-US" w:eastAsia="ko-KR"/>
        </w:rPr>
        <w:t>fee provide</w:t>
      </w:r>
      <w:r>
        <w:rPr>
          <w:rFonts w:hint="eastAsia"/>
          <w:lang w:val="en-US" w:eastAsia="ko-KR"/>
        </w:rPr>
        <w:t>s</w:t>
      </w:r>
      <w:r w:rsidRPr="00CB6CBA">
        <w:rPr>
          <w:lang w:val="en-US" w:eastAsia="ko-KR"/>
        </w:rPr>
        <w:t xml:space="preserve"> the Government with practical information such as spectrum preference in the market, radio service’s qualities and </w:t>
      </w:r>
      <w:r>
        <w:rPr>
          <w:rFonts w:hint="eastAsia"/>
          <w:lang w:val="en-US" w:eastAsia="ko-KR"/>
        </w:rPr>
        <w:t xml:space="preserve">the measurement of </w:t>
      </w:r>
      <w:r w:rsidRPr="00CB6CBA">
        <w:rPr>
          <w:lang w:val="en-US" w:eastAsia="ko-KR"/>
        </w:rPr>
        <w:t xml:space="preserve">proper volume of spectrum demand. The demand for </w:t>
      </w:r>
      <w:r>
        <w:rPr>
          <w:lang w:val="en-US" w:eastAsia="ko-KR"/>
        </w:rPr>
        <w:t>s</w:t>
      </w:r>
      <w:r w:rsidRPr="00CB6CBA">
        <w:rPr>
          <w:lang w:val="en-US" w:eastAsia="ko-KR"/>
        </w:rPr>
        <w:t xml:space="preserve">pectrum has been rapidly increasing with growth in telecommunications services. More importantly, spectrum </w:t>
      </w:r>
      <w:r>
        <w:rPr>
          <w:rFonts w:hint="eastAsia"/>
          <w:lang w:val="en-US" w:eastAsia="ko-KR"/>
        </w:rPr>
        <w:t xml:space="preserve">utilization </w:t>
      </w:r>
      <w:r w:rsidRPr="00CB6CBA">
        <w:rPr>
          <w:lang w:val="en-US" w:eastAsia="ko-KR"/>
        </w:rPr>
        <w:t>fee cannot only suppress over-utilization of radio spectrum but also induce radio spectrum users to withdraw unused radio spectrum to the Government.</w:t>
      </w:r>
    </w:p>
    <w:p w:rsidR="00CA3B52" w:rsidRPr="00CB6CBA" w:rsidRDefault="00CA3B52" w:rsidP="00CA3B52">
      <w:pPr>
        <w:rPr>
          <w:lang w:val="en-US" w:eastAsia="ko-KR"/>
        </w:rPr>
      </w:pPr>
      <w:r w:rsidRPr="00CB6CBA">
        <w:rPr>
          <w:lang w:val="en-US"/>
        </w:rPr>
        <w:t xml:space="preserve">The Administration of the Republic of Korea implemented spectrum </w:t>
      </w:r>
      <w:r>
        <w:rPr>
          <w:rFonts w:hint="eastAsia"/>
          <w:lang w:val="en-US" w:eastAsia="ko-KR"/>
        </w:rPr>
        <w:t xml:space="preserve">utilization </w:t>
      </w:r>
      <w:r w:rsidRPr="00CB6CBA">
        <w:rPr>
          <w:lang w:val="en-US"/>
        </w:rPr>
        <w:t xml:space="preserve">fee in 1993 in accordance with </w:t>
      </w:r>
      <w:r w:rsidRPr="00CB6CBA">
        <w:rPr>
          <w:lang w:val="en-US" w:eastAsia="ko-KR"/>
        </w:rPr>
        <w:t xml:space="preserve">Radio Wave Act </w:t>
      </w:r>
      <w:r w:rsidRPr="00CB6CBA">
        <w:rPr>
          <w:lang w:val="en-US"/>
        </w:rPr>
        <w:t xml:space="preserve">in order to create revenue for effective spectrum management and radio technology development programs. The assessment and collection of spectrum </w:t>
      </w:r>
      <w:r>
        <w:rPr>
          <w:rFonts w:hint="eastAsia"/>
          <w:lang w:val="en-US" w:eastAsia="ko-KR"/>
        </w:rPr>
        <w:t xml:space="preserve">utilization </w:t>
      </w:r>
      <w:r w:rsidRPr="00CB6CBA">
        <w:rPr>
          <w:lang w:val="en-US"/>
        </w:rPr>
        <w:t xml:space="preserve">feeis prescribed in </w:t>
      </w:r>
      <w:r w:rsidRPr="00CB6CBA">
        <w:rPr>
          <w:lang w:val="en-US" w:eastAsia="ko-KR"/>
        </w:rPr>
        <w:t>the Presidential Decree of the Radio Wave Act</w:t>
      </w:r>
      <w:r w:rsidRPr="00CB6CBA">
        <w:rPr>
          <w:lang w:val="en-US"/>
        </w:rPr>
        <w:t>.</w:t>
      </w:r>
      <w:r w:rsidRPr="00CB6CBA">
        <w:rPr>
          <w:lang w:val="en-US" w:eastAsia="ko-KR"/>
        </w:rPr>
        <w:t xml:space="preserve"> </w:t>
      </w:r>
    </w:p>
    <w:p w:rsidR="00CA3B52" w:rsidRPr="00CB6CBA" w:rsidRDefault="00CA3B52" w:rsidP="00CA3B52">
      <w:pPr>
        <w:rPr>
          <w:lang w:val="en-US" w:eastAsia="ko-KR"/>
        </w:rPr>
      </w:pPr>
      <w:r w:rsidRPr="00CB6CBA">
        <w:rPr>
          <w:lang w:val="en-US" w:eastAsia="ko-KR"/>
        </w:rPr>
        <w:t xml:space="preserve">No fees are imposed on radio stations </w:t>
      </w:r>
      <w:r>
        <w:rPr>
          <w:rFonts w:hint="eastAsia"/>
          <w:lang w:val="en-US" w:eastAsia="ko-KR"/>
        </w:rPr>
        <w:t>as follows</w:t>
      </w:r>
      <w:r w:rsidRPr="00CB6CBA">
        <w:rPr>
          <w:lang w:val="en-US" w:eastAsia="ko-KR"/>
        </w:rPr>
        <w:t>:</w:t>
      </w:r>
    </w:p>
    <w:p w:rsidR="00CA3B52" w:rsidRPr="00CB6CBA" w:rsidRDefault="00CA3B52" w:rsidP="00CA3B52">
      <w:pPr>
        <w:pStyle w:val="enumlev1"/>
        <w:rPr>
          <w:lang w:val="en-US" w:eastAsia="ko-KR"/>
        </w:rPr>
      </w:pPr>
      <w:r>
        <w:rPr>
          <w:lang w:val="en-US" w:eastAsia="ko-KR"/>
        </w:rPr>
        <w:t>–</w:t>
      </w:r>
      <w:r w:rsidRPr="00CB6CBA">
        <w:rPr>
          <w:lang w:val="en-US" w:eastAsia="ko-KR"/>
        </w:rPr>
        <w:tab/>
        <w:t>used for government affair</w:t>
      </w:r>
      <w:r>
        <w:rPr>
          <w:lang w:val="en-US" w:eastAsia="ko-KR"/>
        </w:rPr>
        <w:t>;</w:t>
      </w:r>
    </w:p>
    <w:p w:rsidR="00CA3B52" w:rsidRPr="00CB6CBA" w:rsidRDefault="00CA3B52" w:rsidP="00CA3B52">
      <w:pPr>
        <w:pStyle w:val="enumlev1"/>
        <w:rPr>
          <w:lang w:val="en-US" w:eastAsia="ko-KR"/>
        </w:rPr>
      </w:pPr>
      <w:r>
        <w:rPr>
          <w:lang w:val="en-US" w:eastAsia="ko-KR"/>
        </w:rPr>
        <w:t>–</w:t>
      </w:r>
      <w:r w:rsidRPr="00CB6CBA">
        <w:rPr>
          <w:lang w:val="en-US" w:eastAsia="ko-KR"/>
        </w:rPr>
        <w:tab/>
      </w:r>
      <w:r>
        <w:rPr>
          <w:rFonts w:hint="eastAsia"/>
          <w:lang w:val="en-US" w:eastAsia="ko-KR"/>
        </w:rPr>
        <w:t xml:space="preserve">used </w:t>
      </w:r>
      <w:r w:rsidRPr="00CB6CBA">
        <w:rPr>
          <w:lang w:val="en-US" w:eastAsia="ko-KR"/>
        </w:rPr>
        <w:t>for non-profit broadcasting or paying broadcasting promotion fund</w:t>
      </w:r>
      <w:r>
        <w:rPr>
          <w:lang w:val="en-US" w:eastAsia="ko-KR"/>
        </w:rPr>
        <w:t>;</w:t>
      </w:r>
    </w:p>
    <w:p w:rsidR="00CA3B52" w:rsidRPr="00CB6CBA" w:rsidRDefault="00CA3B52" w:rsidP="00CA3B52">
      <w:pPr>
        <w:pStyle w:val="enumlev1"/>
        <w:rPr>
          <w:lang w:val="en-US" w:eastAsia="ko-KR"/>
        </w:rPr>
      </w:pPr>
      <w:r>
        <w:rPr>
          <w:lang w:val="en-US" w:eastAsia="ko-KR"/>
        </w:rPr>
        <w:t>–</w:t>
      </w:r>
      <w:r w:rsidRPr="00CB6CBA">
        <w:rPr>
          <w:lang w:val="en-US" w:eastAsia="ko-KR"/>
        </w:rPr>
        <w:tab/>
        <w:t>used by subscribers of common carrier service</w:t>
      </w:r>
      <w:r>
        <w:rPr>
          <w:lang w:val="en-US" w:eastAsia="ko-KR"/>
        </w:rPr>
        <w:t>;</w:t>
      </w:r>
    </w:p>
    <w:p w:rsidR="00CA3B52" w:rsidRPr="00CB6CBA" w:rsidRDefault="00CA3B52" w:rsidP="00CA3B52">
      <w:pPr>
        <w:pStyle w:val="enumlev1"/>
        <w:rPr>
          <w:lang w:val="en-US" w:eastAsia="ko-KR"/>
        </w:rPr>
      </w:pPr>
      <w:r>
        <w:rPr>
          <w:lang w:val="en-US" w:eastAsia="ko-KR"/>
        </w:rPr>
        <w:t>–</w:t>
      </w:r>
      <w:r w:rsidRPr="00CB6CBA">
        <w:rPr>
          <w:lang w:val="en-US" w:eastAsia="ko-KR"/>
        </w:rPr>
        <w:tab/>
        <w:t>used for emergency, experimental, amateur communications;</w:t>
      </w:r>
    </w:p>
    <w:p w:rsidR="00CA3B52" w:rsidRPr="00CB6CBA" w:rsidRDefault="00CA3B52" w:rsidP="00CA3B52">
      <w:pPr>
        <w:pStyle w:val="enumlev1"/>
        <w:rPr>
          <w:lang w:val="en-US" w:eastAsia="ko-KR"/>
        </w:rPr>
      </w:pPr>
      <w:r>
        <w:rPr>
          <w:lang w:val="en-US" w:eastAsia="ko-KR"/>
        </w:rPr>
        <w:t>–</w:t>
      </w:r>
      <w:r w:rsidRPr="00CB6CBA">
        <w:rPr>
          <w:lang w:val="en-US" w:eastAsia="ko-KR"/>
        </w:rPr>
        <w:tab/>
        <w:t>used for standard radio frequency/time signaling;</w:t>
      </w:r>
    </w:p>
    <w:p w:rsidR="00CA3B52" w:rsidRPr="00CB6CBA" w:rsidRDefault="00CA3B52" w:rsidP="00CA3B52">
      <w:pPr>
        <w:pStyle w:val="enumlev1"/>
        <w:rPr>
          <w:lang w:val="en-US" w:eastAsia="ko-KR"/>
        </w:rPr>
      </w:pPr>
      <w:r>
        <w:rPr>
          <w:lang w:val="en-US" w:eastAsia="ko-KR"/>
        </w:rPr>
        <w:t>–</w:t>
      </w:r>
      <w:r w:rsidRPr="00CB6CBA">
        <w:rPr>
          <w:lang w:val="en-US" w:eastAsia="ko-KR"/>
        </w:rPr>
        <w:tab/>
        <w:t>used by the Korean Red Cross Association;</w:t>
      </w:r>
    </w:p>
    <w:p w:rsidR="00CA3B52" w:rsidRPr="00CB6CBA" w:rsidRDefault="00CA3B52" w:rsidP="00CA3B52">
      <w:pPr>
        <w:pStyle w:val="enumlev1"/>
        <w:rPr>
          <w:lang w:val="en-US" w:eastAsia="ko-KR"/>
        </w:rPr>
      </w:pPr>
      <w:r>
        <w:rPr>
          <w:lang w:val="en-US" w:eastAsia="ko-KR"/>
        </w:rPr>
        <w:t>–</w:t>
      </w:r>
      <w:r w:rsidRPr="00CB6CBA">
        <w:rPr>
          <w:lang w:val="en-US" w:eastAsia="ko-KR"/>
        </w:rPr>
        <w:tab/>
        <w:t>installed in tunnels and other underground areas for relaying subscriber</w:t>
      </w:r>
      <w:r w:rsidRPr="00CB6CBA">
        <w:rPr>
          <w:lang w:val="en-US" w:eastAsia="ko-KR"/>
        </w:rPr>
        <w:noBreakHyphen/>
        <w:t>based communications and broadcasting services;</w:t>
      </w:r>
    </w:p>
    <w:p w:rsidR="00CA3B52" w:rsidRPr="00CB6CBA" w:rsidRDefault="00CA3B52" w:rsidP="00CA3B52">
      <w:pPr>
        <w:pStyle w:val="enumlev1"/>
        <w:rPr>
          <w:lang w:val="en-US" w:eastAsia="ko-KR"/>
        </w:rPr>
      </w:pPr>
      <w:r>
        <w:rPr>
          <w:lang w:val="en-US" w:eastAsia="ko-KR"/>
        </w:rPr>
        <w:t>–</w:t>
      </w:r>
      <w:r w:rsidRPr="00CB6CBA">
        <w:rPr>
          <w:lang w:val="en-US" w:eastAsia="ko-KR"/>
        </w:rPr>
        <w:tab/>
        <w:t xml:space="preserve">used for the purpose of disaster alarming and relief (such as flood warnings); </w:t>
      </w:r>
    </w:p>
    <w:p w:rsidR="00CA3B52" w:rsidRPr="007E1878" w:rsidRDefault="00CA3B52" w:rsidP="00CA3B52">
      <w:pPr>
        <w:pStyle w:val="enumlev1"/>
        <w:rPr>
          <w:lang w:val="en-US" w:eastAsia="ko-KR"/>
        </w:rPr>
      </w:pPr>
      <w:r>
        <w:rPr>
          <w:lang w:val="en-US" w:eastAsia="ko-KR"/>
        </w:rPr>
        <w:t>–</w:t>
      </w:r>
      <w:r w:rsidRPr="00CB6CBA">
        <w:rPr>
          <w:lang w:val="en-US" w:eastAsia="ko-KR"/>
        </w:rPr>
        <w:tab/>
        <w:t>installed by common carr</w:t>
      </w:r>
      <w:r>
        <w:rPr>
          <w:lang w:val="en-US" w:eastAsia="ko-KR"/>
        </w:rPr>
        <w:t>iers but used for official use</w:t>
      </w:r>
      <w:r w:rsidRPr="007E1878">
        <w:rPr>
          <w:lang w:val="en-US" w:eastAsia="ko-KR"/>
        </w:rPr>
        <w:t>.</w:t>
      </w:r>
    </w:p>
    <w:p w:rsidR="00CA3B52" w:rsidRPr="00CB6CBA" w:rsidRDefault="00CA3B52" w:rsidP="009A74CF">
      <w:pPr>
        <w:rPr>
          <w:lang w:val="en-US" w:eastAsia="ko-KR"/>
        </w:rPr>
      </w:pPr>
      <w:r w:rsidRPr="00CB6CBA">
        <w:rPr>
          <w:lang w:val="en-US" w:eastAsia="ko-KR"/>
        </w:rPr>
        <w:lastRenderedPageBreak/>
        <w:t xml:space="preserve">The spectrum </w:t>
      </w:r>
      <w:r>
        <w:rPr>
          <w:lang w:val="en-US" w:eastAsia="ko-KR"/>
        </w:rPr>
        <w:t>utilization</w:t>
      </w:r>
      <w:r>
        <w:rPr>
          <w:rFonts w:hint="eastAsia"/>
          <w:lang w:val="en-US" w:eastAsia="ko-KR"/>
        </w:rPr>
        <w:t xml:space="preserve"> </w:t>
      </w:r>
      <w:r w:rsidRPr="00CB6CBA">
        <w:rPr>
          <w:lang w:val="en-US" w:eastAsia="ko-KR"/>
        </w:rPr>
        <w:t xml:space="preserve">fee </w:t>
      </w:r>
      <w:r>
        <w:rPr>
          <w:rFonts w:hint="eastAsia"/>
          <w:lang w:val="en-US" w:eastAsia="ko-KR"/>
        </w:rPr>
        <w:t>is</w:t>
      </w:r>
      <w:r w:rsidRPr="00CB6CBA">
        <w:rPr>
          <w:lang w:val="en-US" w:eastAsia="ko-KR"/>
        </w:rPr>
        <w:t xml:space="preserve"> calculated using the parameters such as frequency band, bandwidth, power and number of subscribers. The </w:t>
      </w:r>
      <w:r w:rsidR="009A74CF">
        <w:rPr>
          <w:lang w:val="en-US" w:eastAsia="ko-KR"/>
        </w:rPr>
        <w:t>s</w:t>
      </w:r>
      <w:r w:rsidRPr="00CB6CBA">
        <w:rPr>
          <w:lang w:val="en-US" w:eastAsia="ko-KR"/>
        </w:rPr>
        <w:t xml:space="preserve">pectrum </w:t>
      </w:r>
      <w:r>
        <w:rPr>
          <w:rFonts w:hint="eastAsia"/>
          <w:lang w:val="en-US" w:eastAsia="ko-KR"/>
        </w:rPr>
        <w:t xml:space="preserve">utilization </w:t>
      </w:r>
      <w:r w:rsidRPr="00CB6CBA">
        <w:rPr>
          <w:lang w:val="en-US" w:eastAsia="ko-KR"/>
        </w:rPr>
        <w:t>fee categories can be classified in four categories.</w:t>
      </w:r>
    </w:p>
    <w:p w:rsidR="00CA3B52" w:rsidRPr="00CB6CBA" w:rsidRDefault="00CA3B52" w:rsidP="00CA3B52">
      <w:pPr>
        <w:rPr>
          <w:i/>
          <w:iCs/>
          <w:lang w:val="en-US" w:eastAsia="ko-KR"/>
        </w:rPr>
      </w:pPr>
      <w:r w:rsidRPr="00CB6CBA">
        <w:rPr>
          <w:b/>
          <w:i/>
          <w:lang w:val="en-US" w:eastAsia="ko-KR"/>
        </w:rPr>
        <w:t>Category 1</w:t>
      </w:r>
      <w:r w:rsidRPr="00CB6CBA">
        <w:rPr>
          <w:lang w:val="en-US" w:eastAsia="ko-KR"/>
        </w:rPr>
        <w:t>:</w:t>
      </w:r>
      <w:r>
        <w:rPr>
          <w:rFonts w:hint="eastAsia"/>
          <w:lang w:val="en-US" w:eastAsia="ko-KR"/>
        </w:rPr>
        <w:t xml:space="preserve"> Based on the common carrier</w:t>
      </w:r>
      <w:r>
        <w:rPr>
          <w:lang w:val="en-US"/>
        </w:rPr>
        <w:t>.</w:t>
      </w:r>
    </w:p>
    <w:p w:rsidR="00CA3B52" w:rsidRPr="00CB6CBA" w:rsidRDefault="00CA3B52" w:rsidP="00CA3B52">
      <w:pPr>
        <w:rPr>
          <w:lang w:val="en-US" w:eastAsia="ko-KR"/>
        </w:rPr>
      </w:pPr>
      <w:r w:rsidRPr="00CB6CBA">
        <w:rPr>
          <w:b/>
          <w:i/>
          <w:iCs/>
          <w:lang w:val="en-US"/>
        </w:rPr>
        <w:t xml:space="preserve">Category </w:t>
      </w:r>
      <w:r w:rsidRPr="00CB6CBA">
        <w:rPr>
          <w:b/>
          <w:i/>
          <w:iCs/>
          <w:lang w:val="en-US" w:eastAsia="ko-KR"/>
        </w:rPr>
        <w:t>2</w:t>
      </w:r>
      <w:r w:rsidRPr="00CB6CBA">
        <w:rPr>
          <w:lang w:val="en-US"/>
        </w:rPr>
        <w:t xml:space="preserve">: </w:t>
      </w:r>
      <w:r>
        <w:rPr>
          <w:rFonts w:hint="eastAsia"/>
          <w:lang w:val="en-US" w:eastAsia="ko-KR"/>
        </w:rPr>
        <w:t>Based on the radio station</w:t>
      </w:r>
      <w:r>
        <w:rPr>
          <w:lang w:val="en-US"/>
        </w:rPr>
        <w:t>.</w:t>
      </w:r>
    </w:p>
    <w:p w:rsidR="00CA3B52" w:rsidRPr="00CB6CBA" w:rsidRDefault="00CA3B52" w:rsidP="00CA3B52">
      <w:pPr>
        <w:rPr>
          <w:lang w:val="en-US"/>
        </w:rPr>
      </w:pPr>
      <w:r w:rsidRPr="00CB6CBA">
        <w:rPr>
          <w:b/>
          <w:i/>
          <w:iCs/>
          <w:lang w:val="en-US"/>
        </w:rPr>
        <w:t xml:space="preserve">Category </w:t>
      </w:r>
      <w:r w:rsidRPr="00CB6CBA">
        <w:rPr>
          <w:b/>
          <w:i/>
          <w:iCs/>
          <w:lang w:val="en-US" w:eastAsia="ko-KR"/>
        </w:rPr>
        <w:t>3</w:t>
      </w:r>
      <w:r w:rsidRPr="00CB6CBA">
        <w:rPr>
          <w:lang w:val="en-US" w:eastAsia="ko-KR"/>
        </w:rPr>
        <w:t>:</w:t>
      </w:r>
      <w:r>
        <w:rPr>
          <w:rFonts w:hint="eastAsia"/>
          <w:lang w:val="en-US" w:eastAsia="ko-KR"/>
        </w:rPr>
        <w:t xml:space="preserve"> Base</w:t>
      </w:r>
      <w:r w:rsidR="009A74CF">
        <w:rPr>
          <w:rFonts w:hint="eastAsia"/>
          <w:lang w:val="en-US" w:eastAsia="ko-KR"/>
        </w:rPr>
        <w:t xml:space="preserve">d on the assigned frequency of </w:t>
      </w:r>
      <w:r>
        <w:rPr>
          <w:rFonts w:hint="eastAsia"/>
          <w:lang w:val="en-US" w:eastAsia="ko-KR"/>
        </w:rPr>
        <w:t>the transmitter of radio station</w:t>
      </w:r>
      <w:r w:rsidR="00A3079E">
        <w:rPr>
          <w:lang w:val="en-US" w:eastAsia="ko-KR"/>
        </w:rPr>
        <w:t>s</w:t>
      </w:r>
      <w:r>
        <w:rPr>
          <w:lang w:val="en-US" w:eastAsia="ko-KR"/>
        </w:rPr>
        <w:t>.</w:t>
      </w:r>
    </w:p>
    <w:p w:rsidR="00CA3B52" w:rsidRPr="00CB6CBA" w:rsidRDefault="00CA3B52" w:rsidP="009A74CF">
      <w:pPr>
        <w:rPr>
          <w:lang w:val="en-US" w:eastAsia="ko-KR"/>
        </w:rPr>
      </w:pPr>
      <w:r w:rsidRPr="00CB6CBA">
        <w:rPr>
          <w:b/>
          <w:i/>
          <w:iCs/>
          <w:lang w:val="en-US"/>
        </w:rPr>
        <w:t xml:space="preserve">Category </w:t>
      </w:r>
      <w:r w:rsidRPr="00CB6CBA">
        <w:rPr>
          <w:b/>
          <w:i/>
          <w:iCs/>
          <w:lang w:val="en-US" w:eastAsia="ko-KR"/>
        </w:rPr>
        <w:t>4</w:t>
      </w:r>
      <w:r w:rsidRPr="00CB6CBA">
        <w:rPr>
          <w:lang w:val="en-US" w:eastAsia="ko-KR"/>
        </w:rPr>
        <w:t xml:space="preserve">: </w:t>
      </w:r>
      <w:r>
        <w:rPr>
          <w:rFonts w:hint="eastAsia"/>
          <w:lang w:val="en-US" w:eastAsia="ko-KR"/>
        </w:rPr>
        <w:t xml:space="preserve">Quarterly spectrum </w:t>
      </w:r>
      <w:r>
        <w:rPr>
          <w:lang w:val="en-US" w:eastAsia="ko-KR"/>
        </w:rPr>
        <w:t>utilization</w:t>
      </w:r>
      <w:r>
        <w:rPr>
          <w:rFonts w:hint="eastAsia"/>
          <w:lang w:val="en-US" w:eastAsia="ko-KR"/>
        </w:rPr>
        <w:t xml:space="preserve"> fee for e</w:t>
      </w:r>
      <w:r w:rsidRPr="00CB6CBA">
        <w:rPr>
          <w:szCs w:val="22"/>
          <w:lang w:val="en-US" w:eastAsia="ko-KR"/>
        </w:rPr>
        <w:t>arth s</w:t>
      </w:r>
      <w:r w:rsidRPr="00CB6CBA">
        <w:rPr>
          <w:szCs w:val="22"/>
          <w:lang w:val="en-US"/>
        </w:rPr>
        <w:t>tations installed on vehicles</w:t>
      </w:r>
      <w:r>
        <w:rPr>
          <w:rFonts w:hint="eastAsia"/>
          <w:szCs w:val="22"/>
          <w:lang w:val="en-US" w:eastAsia="ko-KR"/>
        </w:rPr>
        <w:t xml:space="preserve"> </w:t>
      </w:r>
      <w:r w:rsidR="009A74CF">
        <w:rPr>
          <w:szCs w:val="22"/>
          <w:lang w:val="en-US" w:eastAsia="ko-KR"/>
        </w:rPr>
        <w:t>and</w:t>
      </w:r>
      <w:r>
        <w:rPr>
          <w:rFonts w:hint="eastAsia"/>
          <w:szCs w:val="22"/>
          <w:lang w:val="en-US" w:eastAsia="ko-KR"/>
        </w:rPr>
        <w:t xml:space="preserve"> common carrier</w:t>
      </w:r>
      <w:r w:rsidRPr="00CB6CBA">
        <w:rPr>
          <w:szCs w:val="22"/>
          <w:lang w:val="en-US"/>
        </w:rPr>
        <w:t>’s earth stations for lease</w:t>
      </w:r>
      <w:r w:rsidRPr="00CB6CBA">
        <w:rPr>
          <w:lang w:val="en-US" w:eastAsia="ko-KR"/>
        </w:rPr>
        <w:t>.</w:t>
      </w:r>
    </w:p>
    <w:p w:rsidR="00CA3B52" w:rsidRPr="00CB6CBA" w:rsidRDefault="00CA3B52" w:rsidP="00CA3B52">
      <w:pPr>
        <w:pStyle w:val="Note"/>
        <w:rPr>
          <w:lang w:val="en-US" w:eastAsia="ko-KR"/>
        </w:rPr>
      </w:pPr>
      <w:r w:rsidRPr="00CB6CBA">
        <w:rPr>
          <w:lang w:val="en-US" w:eastAsia="ko-KR"/>
        </w:rPr>
        <w:t>NOTE 1 – All fees are imposed quarterly.</w:t>
      </w:r>
    </w:p>
    <w:p w:rsidR="00CA3B52" w:rsidRPr="00CB6CBA" w:rsidRDefault="00CA3B52" w:rsidP="00CA3B52">
      <w:pPr>
        <w:pStyle w:val="Headingb"/>
        <w:rPr>
          <w:lang w:val="en-US"/>
        </w:rPr>
      </w:pPr>
      <w:bookmarkStart w:id="1792" w:name="_Toc289868875"/>
      <w:bookmarkStart w:id="1793" w:name="_Toc289869035"/>
      <w:bookmarkStart w:id="1794" w:name="_Toc289932341"/>
      <w:bookmarkStart w:id="1795" w:name="_Toc289933386"/>
      <w:bookmarkStart w:id="1796" w:name="_Toc291852949"/>
      <w:r w:rsidRPr="00CB6CBA">
        <w:rPr>
          <w:lang w:val="en-US"/>
        </w:rPr>
        <w:t xml:space="preserve">Assessment criteria of spectrum </w:t>
      </w:r>
      <w:r>
        <w:rPr>
          <w:rFonts w:hint="eastAsia"/>
          <w:lang w:val="en-US" w:eastAsia="ko-KR"/>
        </w:rPr>
        <w:t xml:space="preserve">utilization </w:t>
      </w:r>
      <w:r w:rsidRPr="00CB6CBA">
        <w:rPr>
          <w:lang w:val="en-US"/>
        </w:rPr>
        <w:t>fees</w:t>
      </w:r>
    </w:p>
    <w:p w:rsidR="00CA3B52" w:rsidRPr="00CB6CBA" w:rsidRDefault="00CA3B52" w:rsidP="00CA3B52">
      <w:pPr>
        <w:keepNext/>
        <w:keepLines/>
        <w:rPr>
          <w:lang w:val="en-US"/>
        </w:rPr>
      </w:pPr>
      <w:r w:rsidRPr="00CB6CBA">
        <w:rPr>
          <w:b/>
          <w:i/>
          <w:iCs/>
          <w:lang w:val="en-US" w:eastAsia="ko-KR"/>
        </w:rPr>
        <w:t>Category 1</w:t>
      </w:r>
      <w:r w:rsidRPr="00D6684A">
        <w:rPr>
          <w:bCs/>
          <w:lang w:val="en-US"/>
        </w:rPr>
        <w:t>:</w:t>
      </w:r>
      <w:r w:rsidRPr="00D6684A">
        <w:rPr>
          <w:rFonts w:hint="eastAsia"/>
          <w:lang w:val="en-US" w:eastAsia="ko-KR"/>
        </w:rPr>
        <w:t xml:space="preserve"> </w:t>
      </w:r>
      <w:r>
        <w:rPr>
          <w:rFonts w:hint="eastAsia"/>
          <w:lang w:val="en-US" w:eastAsia="ko-KR"/>
        </w:rPr>
        <w:t>Based on the common carrier</w:t>
      </w:r>
      <w:r w:rsidRPr="00CB6CBA">
        <w:rPr>
          <w:lang w:val="en-US" w:eastAsia="ko-KR"/>
        </w:rPr>
        <w:t>:</w:t>
      </w:r>
    </w:p>
    <w:p w:rsidR="00CA3B52" w:rsidRPr="00CB6CBA" w:rsidRDefault="00CA3B52" w:rsidP="00CA3B52">
      <w:pPr>
        <w:keepNext/>
        <w:keepLines/>
        <w:rPr>
          <w:lang w:val="en-US"/>
        </w:rPr>
      </w:pPr>
      <w:r w:rsidRPr="00CB6CBA">
        <w:rPr>
          <w:lang w:val="en-US"/>
        </w:rPr>
        <w:t xml:space="preserve">Spectrum </w:t>
      </w:r>
      <w:r>
        <w:rPr>
          <w:rFonts w:hint="eastAsia"/>
          <w:lang w:val="en-US" w:eastAsia="ko-KR"/>
        </w:rPr>
        <w:t xml:space="preserve">utilization </w:t>
      </w:r>
      <w:r w:rsidRPr="00CB6CBA">
        <w:rPr>
          <w:lang w:val="en-US"/>
        </w:rPr>
        <w:t xml:space="preserve">fee </w:t>
      </w:r>
      <w:r w:rsidRPr="00CB6CBA">
        <w:rPr>
          <w:lang w:val="en-US" w:eastAsia="ko-KR"/>
        </w:rPr>
        <w:t>(SF)</w:t>
      </w:r>
      <w:r w:rsidRPr="00CB6CBA">
        <w:rPr>
          <w:lang w:val="en-US"/>
        </w:rPr>
        <w:t xml:space="preserve"> </w:t>
      </w:r>
      <w:r>
        <w:rPr>
          <w:rFonts w:hint="eastAsia"/>
          <w:lang w:val="en-US" w:eastAsia="ko-KR"/>
        </w:rPr>
        <w:t xml:space="preserve">is </w:t>
      </w:r>
      <w:r w:rsidRPr="00CB6CBA">
        <w:rPr>
          <w:lang w:val="en-US"/>
        </w:rPr>
        <w:t xml:space="preserve">imposed on the </w:t>
      </w:r>
      <w:r>
        <w:rPr>
          <w:rFonts w:hint="eastAsia"/>
          <w:lang w:val="en-US" w:eastAsia="ko-KR"/>
        </w:rPr>
        <w:t xml:space="preserve">common carrier </w:t>
      </w:r>
      <w:r w:rsidRPr="00CB6CBA">
        <w:rPr>
          <w:lang w:val="en-US" w:eastAsia="ko-KR"/>
        </w:rPr>
        <w:t>based on the following</w:t>
      </w:r>
      <w:r w:rsidRPr="00CB6CBA">
        <w:rPr>
          <w:lang w:val="en-US"/>
        </w:rPr>
        <w:t xml:space="preserve"> equation:</w:t>
      </w:r>
    </w:p>
    <w:p w:rsidR="00CA3B52" w:rsidRDefault="00CA3B52" w:rsidP="00CA3B52">
      <w:pPr>
        <w:pStyle w:val="Equation"/>
        <w:rPr>
          <w:lang w:val="en-US" w:eastAsia="ko-KR"/>
        </w:rPr>
      </w:pPr>
      <w:r w:rsidRPr="00CB6CBA">
        <w:rPr>
          <w:lang w:val="en-US"/>
        </w:rPr>
        <w:tab/>
      </w:r>
      <w:r w:rsidRPr="00CB6CBA">
        <w:rPr>
          <w:lang w:val="en-US"/>
        </w:rPr>
        <w:tab/>
      </w:r>
      <w:r w:rsidRPr="00CD6337">
        <w:rPr>
          <w:position w:val="-14"/>
          <w:lang w:val="en-US"/>
        </w:rPr>
        <w:object w:dxaOrig="4720" w:dyaOrig="420">
          <v:shape id="_x0000_i1142" type="#_x0000_t75" style="width:234.25pt;height:20.1pt" o:ole="" fillcolor="window">
            <v:imagedata r:id="rId258" o:title=""/>
          </v:shape>
          <o:OLEObject Type="Embed" ProgID="Equation.3" ShapeID="_x0000_i1142" DrawAspect="Content" ObjectID="_1511604931" r:id="rId259"/>
        </w:object>
      </w:r>
      <w:r>
        <w:rPr>
          <w:lang w:val="en-US"/>
        </w:rPr>
        <w:tab/>
        <w:t>(71)</w:t>
      </w:r>
    </w:p>
    <w:p w:rsidR="00CA3B52" w:rsidRDefault="00CA3B52" w:rsidP="00CA3B52">
      <w:pPr>
        <w:rPr>
          <w:lang w:val="en-US"/>
        </w:rPr>
      </w:pPr>
      <w:r w:rsidRPr="00CB6CBA">
        <w:rPr>
          <w:lang w:val="en-US"/>
        </w:rPr>
        <w:t>where:</w:t>
      </w:r>
    </w:p>
    <w:p w:rsidR="00CA3B52" w:rsidRPr="00EB2773" w:rsidRDefault="00CA3B52" w:rsidP="00CA3B52">
      <w:pPr>
        <w:pStyle w:val="Equationlegend"/>
        <w:rPr>
          <w:rFonts w:asciiTheme="majorBidi" w:hAnsiTheme="majorBidi" w:cstheme="majorBidi"/>
        </w:rPr>
      </w:pPr>
      <w:r w:rsidRPr="00EB2773">
        <w:rPr>
          <w:rFonts w:asciiTheme="majorBidi" w:hAnsiTheme="majorBidi" w:cstheme="majorBidi"/>
        </w:rPr>
        <w:tab/>
      </w:r>
      <w:r w:rsidRPr="00EB2773">
        <w:rPr>
          <w:rFonts w:asciiTheme="majorBidi" w:hAnsiTheme="majorBidi" w:cstheme="majorBidi"/>
          <w:i/>
          <w:iCs/>
        </w:rPr>
        <w:t>N</w:t>
      </w:r>
      <w:r w:rsidRPr="00EB2773">
        <w:rPr>
          <w:rFonts w:asciiTheme="majorBidi" w:hAnsiTheme="majorBidi" w:cstheme="majorBidi"/>
          <w:i/>
          <w:iCs/>
          <w:vertAlign w:val="subscript"/>
        </w:rPr>
        <w:t>s</w:t>
      </w:r>
      <w:r w:rsidRPr="00EB2773">
        <w:rPr>
          <w:rFonts w:asciiTheme="majorBidi" w:hAnsiTheme="majorBidi" w:cstheme="majorBidi"/>
          <w:i/>
          <w:iCs/>
          <w:sz w:val="12"/>
        </w:rPr>
        <w:t> </w:t>
      </w:r>
      <w:r w:rsidRPr="00CE304C">
        <w:rPr>
          <w:rFonts w:asciiTheme="majorBidi" w:hAnsiTheme="majorBidi" w:cstheme="majorBidi"/>
          <w:szCs w:val="24"/>
        </w:rPr>
        <w:t>:</w:t>
      </w:r>
      <w:r w:rsidRPr="00EB2773">
        <w:rPr>
          <w:rFonts w:asciiTheme="majorBidi" w:hAnsiTheme="majorBidi" w:cstheme="majorBidi"/>
          <w:sz w:val="20"/>
        </w:rPr>
        <w:tab/>
      </w:r>
      <w:r w:rsidRPr="00EB2773">
        <w:rPr>
          <w:rFonts w:asciiTheme="majorBidi" w:hAnsiTheme="majorBidi" w:cstheme="majorBidi"/>
        </w:rPr>
        <w:t>number of subscribers</w:t>
      </w:r>
    </w:p>
    <w:p w:rsidR="00CA3B52" w:rsidRPr="00EB2773" w:rsidRDefault="00CA3B52" w:rsidP="00CA3B52">
      <w:pPr>
        <w:pStyle w:val="Equationlegend"/>
        <w:rPr>
          <w:rFonts w:asciiTheme="majorBidi" w:hAnsiTheme="majorBidi" w:cstheme="majorBidi"/>
          <w:lang w:eastAsia="ko-KR"/>
        </w:rPr>
      </w:pPr>
      <w:r w:rsidRPr="00EB2773">
        <w:rPr>
          <w:rFonts w:asciiTheme="majorBidi" w:hAnsiTheme="majorBidi" w:cstheme="majorBidi"/>
        </w:rPr>
        <w:tab/>
      </w:r>
      <w:r w:rsidRPr="00EB2773">
        <w:rPr>
          <w:rFonts w:asciiTheme="majorBidi" w:hAnsiTheme="majorBidi" w:cstheme="majorBidi"/>
          <w:i/>
          <w:iCs/>
        </w:rPr>
        <w:t>U</w:t>
      </w:r>
      <w:r w:rsidRPr="00EB2773">
        <w:rPr>
          <w:rFonts w:asciiTheme="majorBidi" w:hAnsiTheme="majorBidi" w:cstheme="majorBidi"/>
          <w:i/>
          <w:iCs/>
          <w:vertAlign w:val="subscript"/>
          <w:lang w:eastAsia="ko-KR"/>
        </w:rPr>
        <w:t>p</w:t>
      </w:r>
      <w:r w:rsidRPr="00EB2773">
        <w:rPr>
          <w:rFonts w:asciiTheme="majorBidi" w:hAnsiTheme="majorBidi" w:cstheme="majorBidi"/>
          <w:i/>
          <w:iCs/>
          <w:sz w:val="12"/>
        </w:rPr>
        <w:t> </w:t>
      </w:r>
      <w:r w:rsidRPr="00CE304C">
        <w:rPr>
          <w:rFonts w:asciiTheme="majorBidi" w:hAnsiTheme="majorBidi" w:cstheme="majorBidi"/>
          <w:szCs w:val="24"/>
        </w:rPr>
        <w:t>:</w:t>
      </w:r>
      <w:r w:rsidRPr="00EB2773">
        <w:rPr>
          <w:rFonts w:asciiTheme="majorBidi" w:hAnsiTheme="majorBidi" w:cstheme="majorBidi"/>
          <w:i/>
          <w:iCs/>
        </w:rPr>
        <w:tab/>
      </w:r>
      <w:r w:rsidRPr="00EB2773">
        <w:rPr>
          <w:rFonts w:asciiTheme="majorBidi" w:hAnsiTheme="majorBidi" w:cstheme="majorBidi"/>
        </w:rPr>
        <w:t xml:space="preserve">unit </w:t>
      </w:r>
      <w:r w:rsidRPr="00EB2773">
        <w:rPr>
          <w:rFonts w:asciiTheme="majorBidi" w:hAnsiTheme="majorBidi" w:cstheme="majorBidi"/>
          <w:lang w:eastAsia="ko-KR"/>
        </w:rPr>
        <w:t>price</w:t>
      </w:r>
    </w:p>
    <w:p w:rsidR="00CA3B52" w:rsidRDefault="00CA3B52" w:rsidP="00CA3B52">
      <w:pPr>
        <w:pStyle w:val="Equationlegend"/>
        <w:rPr>
          <w:rFonts w:asciiTheme="majorBidi" w:hAnsiTheme="majorBidi" w:cstheme="majorBidi"/>
        </w:rPr>
      </w:pPr>
      <w:r w:rsidRPr="00EB2773">
        <w:rPr>
          <w:rFonts w:asciiTheme="majorBidi" w:hAnsiTheme="majorBidi" w:cstheme="majorBidi"/>
        </w:rPr>
        <w:tab/>
      </w:r>
      <w:r w:rsidRPr="00EB2773">
        <w:rPr>
          <w:rFonts w:asciiTheme="majorBidi" w:hAnsiTheme="majorBidi" w:cstheme="majorBidi"/>
          <w:i/>
          <w:lang w:eastAsia="ko-KR"/>
        </w:rPr>
        <w:t>F</w:t>
      </w:r>
      <w:r w:rsidRPr="00EB2773">
        <w:rPr>
          <w:rFonts w:asciiTheme="majorBidi" w:hAnsiTheme="majorBidi" w:cstheme="majorBidi"/>
          <w:i/>
          <w:iCs/>
          <w:vertAlign w:val="subscript"/>
          <w:lang w:eastAsia="ko-KR"/>
        </w:rPr>
        <w:t>s</w:t>
      </w:r>
      <w:r w:rsidRPr="00EB2773">
        <w:rPr>
          <w:rFonts w:asciiTheme="majorBidi" w:hAnsiTheme="majorBidi" w:cstheme="majorBidi"/>
          <w:i/>
          <w:iCs/>
          <w:sz w:val="12"/>
        </w:rPr>
        <w:t> </w:t>
      </w:r>
      <w:r w:rsidRPr="00CE304C">
        <w:rPr>
          <w:rFonts w:asciiTheme="majorBidi" w:hAnsiTheme="majorBidi" w:cstheme="majorBidi"/>
          <w:szCs w:val="24"/>
        </w:rPr>
        <w:t>:</w:t>
      </w:r>
      <w:r w:rsidRPr="00EB2773">
        <w:rPr>
          <w:rFonts w:asciiTheme="majorBidi" w:hAnsiTheme="majorBidi" w:cstheme="majorBidi"/>
          <w:i/>
          <w:iCs/>
        </w:rPr>
        <w:t xml:space="preserve"> </w:t>
      </w:r>
      <w:r w:rsidRPr="00EB2773">
        <w:rPr>
          <w:rFonts w:asciiTheme="majorBidi" w:hAnsiTheme="majorBidi" w:cstheme="majorBidi"/>
          <w:i/>
          <w:iCs/>
        </w:rPr>
        <w:tab/>
      </w:r>
      <w:r w:rsidRPr="00EB2773">
        <w:rPr>
          <w:rFonts w:asciiTheme="majorBidi" w:hAnsiTheme="majorBidi" w:cstheme="majorBidi"/>
        </w:rPr>
        <w:t xml:space="preserve">facilities </w:t>
      </w:r>
      <w:r w:rsidRPr="00EB2773">
        <w:rPr>
          <w:rFonts w:asciiTheme="majorBidi" w:hAnsiTheme="majorBidi" w:cstheme="majorBidi"/>
          <w:lang w:eastAsia="ko-KR"/>
        </w:rPr>
        <w:t xml:space="preserve">sharing </w:t>
      </w:r>
      <w:r w:rsidRPr="00EB2773">
        <w:rPr>
          <w:rFonts w:asciiTheme="majorBidi" w:hAnsiTheme="majorBidi" w:cstheme="majorBidi"/>
        </w:rPr>
        <w:t>factor</w:t>
      </w:r>
    </w:p>
    <w:p w:rsidR="00CA3B52" w:rsidRDefault="00CA3B52" w:rsidP="00CA3B52">
      <w:pPr>
        <w:pStyle w:val="Equationlegend"/>
        <w:rPr>
          <w:rFonts w:asciiTheme="majorBidi" w:hAnsiTheme="majorBidi" w:cstheme="majorBidi"/>
          <w:i/>
          <w:iCs/>
          <w:lang w:eastAsia="ko-KR"/>
        </w:rPr>
      </w:pPr>
      <w:r w:rsidRPr="00EB2773">
        <w:rPr>
          <w:rFonts w:asciiTheme="majorBidi" w:hAnsiTheme="majorBidi" w:cstheme="majorBidi"/>
        </w:rPr>
        <w:tab/>
      </w:r>
      <w:r w:rsidRPr="00EB2773">
        <w:rPr>
          <w:rFonts w:asciiTheme="majorBidi" w:hAnsiTheme="majorBidi" w:cstheme="majorBidi"/>
          <w:i/>
          <w:iCs/>
        </w:rPr>
        <w:t>E</w:t>
      </w:r>
      <w:r w:rsidRPr="00EB2773">
        <w:rPr>
          <w:rFonts w:asciiTheme="majorBidi" w:hAnsiTheme="majorBidi" w:cstheme="majorBidi"/>
          <w:i/>
          <w:iCs/>
          <w:vertAlign w:val="subscript"/>
        </w:rPr>
        <w:t>f</w:t>
      </w:r>
      <w:r w:rsidRPr="00EB2773">
        <w:rPr>
          <w:rFonts w:asciiTheme="majorBidi" w:hAnsiTheme="majorBidi" w:cstheme="majorBidi"/>
          <w:i/>
          <w:iCs/>
          <w:sz w:val="12"/>
        </w:rPr>
        <w:t> </w:t>
      </w:r>
      <w:r w:rsidRPr="00813194">
        <w:rPr>
          <w:rFonts w:asciiTheme="majorBidi" w:hAnsiTheme="majorBidi" w:cstheme="majorBidi" w:hint="eastAsia"/>
          <w:i/>
          <w:iCs/>
          <w:vertAlign w:val="subscript"/>
        </w:rPr>
        <w:t>f</w:t>
      </w:r>
      <w:r w:rsidRPr="00EB2773">
        <w:rPr>
          <w:rFonts w:asciiTheme="majorBidi" w:hAnsiTheme="majorBidi" w:cstheme="majorBidi"/>
          <w:i/>
          <w:iCs/>
          <w:sz w:val="12"/>
        </w:rPr>
        <w:t> </w:t>
      </w:r>
      <w:r w:rsidRPr="00CE304C">
        <w:rPr>
          <w:rFonts w:asciiTheme="majorBidi" w:hAnsiTheme="majorBidi" w:cstheme="majorBidi"/>
          <w:szCs w:val="24"/>
        </w:rPr>
        <w:t>:</w:t>
      </w:r>
      <w:r w:rsidRPr="00EB2773">
        <w:rPr>
          <w:rFonts w:asciiTheme="majorBidi" w:hAnsiTheme="majorBidi" w:cstheme="majorBidi"/>
          <w:i/>
          <w:iCs/>
        </w:rPr>
        <w:t xml:space="preserve"> </w:t>
      </w:r>
      <w:r w:rsidRPr="00EB2773">
        <w:rPr>
          <w:rFonts w:asciiTheme="majorBidi" w:hAnsiTheme="majorBidi" w:cstheme="majorBidi"/>
          <w:i/>
          <w:iCs/>
        </w:rPr>
        <w:tab/>
      </w:r>
      <w:r w:rsidRPr="00DA3DC6">
        <w:rPr>
          <w:rFonts w:asciiTheme="majorBidi" w:hAnsiTheme="majorBidi" w:cstheme="majorBidi" w:hint="eastAsia"/>
          <w:lang w:eastAsia="ko-KR"/>
        </w:rPr>
        <w:t>e</w:t>
      </w:r>
      <w:r>
        <w:rPr>
          <w:rFonts w:asciiTheme="majorBidi" w:hAnsiTheme="majorBidi" w:cstheme="majorBidi" w:hint="eastAsia"/>
          <w:lang w:eastAsia="ko-KR"/>
        </w:rPr>
        <w:t>co-friendly</w:t>
      </w:r>
      <w:r w:rsidRPr="00EB2773">
        <w:rPr>
          <w:rFonts w:asciiTheme="majorBidi" w:hAnsiTheme="majorBidi" w:cstheme="majorBidi"/>
          <w:lang w:eastAsia="ko-KR"/>
        </w:rPr>
        <w:t xml:space="preserve"> </w:t>
      </w:r>
      <w:r>
        <w:rPr>
          <w:rFonts w:asciiTheme="majorBidi" w:hAnsiTheme="majorBidi" w:cstheme="majorBidi" w:hint="eastAsia"/>
          <w:lang w:eastAsia="ko-KR"/>
        </w:rPr>
        <w:t xml:space="preserve">fee-waiver </w:t>
      </w:r>
      <w:r w:rsidRPr="00EB2773">
        <w:rPr>
          <w:rFonts w:asciiTheme="majorBidi" w:hAnsiTheme="majorBidi" w:cstheme="majorBidi"/>
        </w:rPr>
        <w:t>factor</w:t>
      </w:r>
    </w:p>
    <w:p w:rsidR="00CA3B52" w:rsidRPr="00EB2773" w:rsidRDefault="00CA3B52" w:rsidP="00CA3B52">
      <w:pPr>
        <w:pStyle w:val="Equationlegend"/>
        <w:rPr>
          <w:rFonts w:asciiTheme="majorBidi" w:hAnsiTheme="majorBidi" w:cstheme="majorBidi"/>
          <w:lang w:eastAsia="ko-KR"/>
        </w:rPr>
      </w:pPr>
      <w:r w:rsidRPr="00EB2773">
        <w:rPr>
          <w:rFonts w:asciiTheme="majorBidi" w:hAnsiTheme="majorBidi" w:cstheme="majorBidi"/>
          <w:i/>
          <w:iCs/>
        </w:rPr>
        <w:tab/>
        <w:t>R</w:t>
      </w:r>
      <w:r w:rsidRPr="00EB2773">
        <w:rPr>
          <w:rFonts w:asciiTheme="majorBidi" w:hAnsiTheme="majorBidi" w:cstheme="majorBidi"/>
          <w:i/>
          <w:iCs/>
          <w:vertAlign w:val="subscript"/>
        </w:rPr>
        <w:t>f</w:t>
      </w:r>
      <w:r w:rsidRPr="00EB2773">
        <w:rPr>
          <w:rFonts w:asciiTheme="majorBidi" w:hAnsiTheme="majorBidi" w:cstheme="majorBidi"/>
          <w:i/>
          <w:iCs/>
          <w:sz w:val="12"/>
        </w:rPr>
        <w:t> </w:t>
      </w:r>
      <w:r w:rsidRPr="00CE304C">
        <w:rPr>
          <w:rFonts w:asciiTheme="majorBidi" w:hAnsiTheme="majorBidi" w:cstheme="majorBidi"/>
          <w:szCs w:val="24"/>
        </w:rPr>
        <w:t>:</w:t>
      </w:r>
      <w:r w:rsidRPr="00EB2773">
        <w:rPr>
          <w:rFonts w:asciiTheme="majorBidi" w:hAnsiTheme="majorBidi" w:cstheme="majorBidi"/>
        </w:rPr>
        <w:t xml:space="preserve"> </w:t>
      </w:r>
      <w:r w:rsidRPr="00EB2773">
        <w:rPr>
          <w:rFonts w:asciiTheme="majorBidi" w:hAnsiTheme="majorBidi" w:cstheme="majorBidi"/>
        </w:rPr>
        <w:tab/>
        <w:t xml:space="preserve">roaming </w:t>
      </w:r>
      <w:r>
        <w:rPr>
          <w:rFonts w:asciiTheme="majorBidi" w:hAnsiTheme="majorBidi" w:cstheme="majorBidi" w:hint="eastAsia"/>
          <w:lang w:eastAsia="ko-KR"/>
        </w:rPr>
        <w:t xml:space="preserve">fee-waiver </w:t>
      </w:r>
      <w:r w:rsidRPr="00EB2773">
        <w:rPr>
          <w:rFonts w:asciiTheme="majorBidi" w:hAnsiTheme="majorBidi" w:cstheme="majorBidi"/>
        </w:rPr>
        <w:t>factor</w:t>
      </w:r>
    </w:p>
    <w:p w:rsidR="00CA3B52" w:rsidRPr="00EB2773" w:rsidRDefault="00CA3B52" w:rsidP="00CA3B52">
      <w:pPr>
        <w:pStyle w:val="Equationlegend"/>
        <w:rPr>
          <w:rFonts w:asciiTheme="majorBidi" w:hAnsiTheme="majorBidi" w:cstheme="majorBidi"/>
          <w:lang w:eastAsia="ko-KR"/>
        </w:rPr>
      </w:pPr>
      <w:r w:rsidRPr="00EB2773">
        <w:rPr>
          <w:rFonts w:asciiTheme="majorBidi" w:hAnsiTheme="majorBidi" w:cstheme="majorBidi"/>
        </w:rPr>
        <w:tab/>
      </w:r>
      <w:r w:rsidRPr="00EB2773">
        <w:rPr>
          <w:rFonts w:asciiTheme="majorBidi" w:hAnsiTheme="majorBidi" w:cstheme="majorBidi"/>
          <w:i/>
          <w:iCs/>
        </w:rPr>
        <w:t>E</w:t>
      </w:r>
      <w:r w:rsidRPr="00EB2773">
        <w:rPr>
          <w:rFonts w:asciiTheme="majorBidi" w:hAnsiTheme="majorBidi" w:cstheme="majorBidi"/>
          <w:i/>
          <w:iCs/>
          <w:vertAlign w:val="subscript"/>
        </w:rPr>
        <w:t>f</w:t>
      </w:r>
      <w:r w:rsidRPr="00EB2773">
        <w:rPr>
          <w:rFonts w:asciiTheme="majorBidi" w:hAnsiTheme="majorBidi" w:cstheme="majorBidi"/>
          <w:i/>
          <w:iCs/>
          <w:sz w:val="12"/>
        </w:rPr>
        <w:t> </w:t>
      </w:r>
      <w:r w:rsidRPr="00CE304C">
        <w:rPr>
          <w:rFonts w:asciiTheme="majorBidi" w:hAnsiTheme="majorBidi" w:cstheme="majorBidi"/>
          <w:szCs w:val="24"/>
        </w:rPr>
        <w:t>:</w:t>
      </w:r>
      <w:r w:rsidRPr="00EB2773">
        <w:rPr>
          <w:rFonts w:asciiTheme="majorBidi" w:hAnsiTheme="majorBidi" w:cstheme="majorBidi"/>
          <w:i/>
          <w:iCs/>
        </w:rPr>
        <w:t xml:space="preserve"> </w:t>
      </w:r>
      <w:r w:rsidRPr="00EB2773">
        <w:rPr>
          <w:rFonts w:asciiTheme="majorBidi" w:hAnsiTheme="majorBidi" w:cstheme="majorBidi"/>
          <w:i/>
          <w:iCs/>
        </w:rPr>
        <w:tab/>
      </w:r>
      <w:r>
        <w:rPr>
          <w:rFonts w:asciiTheme="majorBidi" w:hAnsiTheme="majorBidi" w:cstheme="majorBidi" w:hint="eastAsia"/>
          <w:iCs/>
          <w:lang w:eastAsia="ko-KR"/>
        </w:rPr>
        <w:t xml:space="preserve">frequency </w:t>
      </w:r>
      <w:r w:rsidRPr="00EB2773">
        <w:rPr>
          <w:rFonts w:asciiTheme="majorBidi" w:hAnsiTheme="majorBidi" w:cstheme="majorBidi"/>
        </w:rPr>
        <w:t xml:space="preserve">use efficiency </w:t>
      </w:r>
      <w:r>
        <w:rPr>
          <w:rFonts w:asciiTheme="majorBidi" w:hAnsiTheme="majorBidi" w:cstheme="majorBidi" w:hint="eastAsia"/>
          <w:lang w:eastAsia="ko-KR"/>
        </w:rPr>
        <w:t xml:space="preserve">fee-waiver </w:t>
      </w:r>
      <w:r w:rsidRPr="00EB2773">
        <w:rPr>
          <w:rFonts w:asciiTheme="majorBidi" w:hAnsiTheme="majorBidi" w:cstheme="majorBidi"/>
        </w:rPr>
        <w:t>factor</w:t>
      </w:r>
    </w:p>
    <w:p w:rsidR="00CA3B52" w:rsidRPr="00EB2773" w:rsidRDefault="00CA3B52" w:rsidP="00CA3B52">
      <w:pPr>
        <w:pStyle w:val="Equationlegend"/>
        <w:rPr>
          <w:rFonts w:asciiTheme="majorBidi" w:hAnsiTheme="majorBidi" w:cstheme="majorBidi"/>
          <w:lang w:eastAsia="ko-KR"/>
        </w:rPr>
      </w:pPr>
      <w:r w:rsidRPr="00EB2773">
        <w:rPr>
          <w:rFonts w:asciiTheme="majorBidi" w:hAnsiTheme="majorBidi" w:cstheme="majorBidi"/>
        </w:rPr>
        <w:tab/>
      </w:r>
      <w:r w:rsidRPr="00EB2773">
        <w:rPr>
          <w:rFonts w:asciiTheme="majorBidi" w:hAnsiTheme="majorBidi" w:cstheme="majorBidi"/>
          <w:i/>
          <w:iCs/>
          <w:lang w:eastAsia="ko-KR"/>
        </w:rPr>
        <w:t>C</w:t>
      </w:r>
      <w:r w:rsidRPr="00EB2773">
        <w:rPr>
          <w:rFonts w:asciiTheme="majorBidi" w:hAnsiTheme="majorBidi" w:cstheme="majorBidi"/>
          <w:i/>
          <w:iCs/>
          <w:sz w:val="12"/>
        </w:rPr>
        <w:t> </w:t>
      </w:r>
      <w:r w:rsidRPr="00CE304C">
        <w:rPr>
          <w:rFonts w:asciiTheme="majorBidi" w:hAnsiTheme="majorBidi" w:cstheme="majorBidi"/>
          <w:szCs w:val="24"/>
        </w:rPr>
        <w:t>:</w:t>
      </w:r>
      <w:r w:rsidRPr="00EB2773">
        <w:rPr>
          <w:rFonts w:asciiTheme="majorBidi" w:hAnsiTheme="majorBidi" w:cstheme="majorBidi"/>
          <w:i/>
          <w:iCs/>
        </w:rPr>
        <w:t xml:space="preserve"> </w:t>
      </w:r>
      <w:r w:rsidRPr="00EB2773">
        <w:rPr>
          <w:rFonts w:asciiTheme="majorBidi" w:hAnsiTheme="majorBidi" w:cstheme="majorBidi"/>
          <w:i/>
          <w:iCs/>
        </w:rPr>
        <w:tab/>
      </w:r>
      <w:r>
        <w:rPr>
          <w:rFonts w:hint="eastAsia"/>
          <w:szCs w:val="24"/>
          <w:lang w:eastAsia="ko-KR"/>
        </w:rPr>
        <w:t>r</w:t>
      </w:r>
      <w:r w:rsidRPr="00CB6CBA">
        <w:rPr>
          <w:szCs w:val="24"/>
          <w:lang w:eastAsia="ko-KR"/>
        </w:rPr>
        <w:t>adio characteristic factor</w:t>
      </w:r>
      <w:r w:rsidRPr="00EB2773">
        <w:rPr>
          <w:rFonts w:asciiTheme="majorBidi" w:hAnsiTheme="majorBidi" w:cstheme="majorBidi"/>
        </w:rPr>
        <w:t>.</w:t>
      </w:r>
    </w:p>
    <w:p w:rsidR="00CA3B52" w:rsidRPr="00CB6CBA" w:rsidRDefault="00CA3B52" w:rsidP="00CA3B52">
      <w:pPr>
        <w:rPr>
          <w:lang w:val="en-US" w:eastAsia="ko-KR"/>
        </w:rPr>
      </w:pPr>
      <w:r w:rsidRPr="00CB6CBA">
        <w:rPr>
          <w:lang w:val="en-US" w:eastAsia="ko-KR"/>
        </w:rPr>
        <w:t>Described as follows:</w:t>
      </w:r>
    </w:p>
    <w:p w:rsidR="00CA3B52" w:rsidRPr="00CB6CBA" w:rsidRDefault="00CA3B52" w:rsidP="00CA3B52">
      <w:pPr>
        <w:pStyle w:val="Headingb"/>
        <w:rPr>
          <w:lang w:val="en-US"/>
        </w:rPr>
      </w:pPr>
      <w:r w:rsidRPr="00CB6CBA">
        <w:rPr>
          <w:lang w:val="en-US" w:eastAsia="ko-KR"/>
        </w:rPr>
        <w:t>a)</w:t>
      </w:r>
      <w:r w:rsidRPr="00CB6CBA">
        <w:rPr>
          <w:lang w:val="en-US" w:eastAsia="ko-KR"/>
        </w:rPr>
        <w:tab/>
        <w:t>N</w:t>
      </w:r>
      <w:r w:rsidRPr="00CB6CBA">
        <w:rPr>
          <w:lang w:val="en-US"/>
        </w:rPr>
        <w:t>umber of subscribers</w:t>
      </w:r>
    </w:p>
    <w:p w:rsidR="00CA3B52" w:rsidRPr="00CB6CBA" w:rsidRDefault="00CA3B52" w:rsidP="00CA3B52">
      <w:pPr>
        <w:rPr>
          <w:lang w:val="en-US" w:eastAsia="ko-KR"/>
        </w:rPr>
      </w:pPr>
      <w:r w:rsidRPr="00CB6CBA">
        <w:rPr>
          <w:lang w:val="en-US"/>
        </w:rPr>
        <w:t xml:space="preserve">The average </w:t>
      </w:r>
      <w:r w:rsidRPr="00CB6CBA">
        <w:rPr>
          <w:lang w:val="en-US" w:eastAsia="ko-KR"/>
        </w:rPr>
        <w:t>number of subscribers is calculated using the following equation:</w:t>
      </w:r>
    </w:p>
    <w:p w:rsidR="00CA3B52" w:rsidRPr="00CB6CBA" w:rsidRDefault="00CA3B52" w:rsidP="00CA3B52">
      <w:pPr>
        <w:pStyle w:val="Equation"/>
        <w:rPr>
          <w:lang w:val="en-US"/>
        </w:rPr>
      </w:pPr>
      <w:r w:rsidRPr="00CB6CBA">
        <w:rPr>
          <w:lang w:val="en-US" w:eastAsia="ko-KR"/>
        </w:rPr>
        <w:tab/>
      </w:r>
      <w:r w:rsidRPr="00CB6CBA">
        <w:rPr>
          <w:lang w:val="en-US" w:eastAsia="ko-KR"/>
        </w:rPr>
        <w:tab/>
        <w:t>{(</w:t>
      </w:r>
      <w:r w:rsidRPr="00CB6CBA">
        <w:rPr>
          <w:lang w:val="en-US"/>
        </w:rPr>
        <w:t xml:space="preserve">the number of subscribers </w:t>
      </w:r>
      <w:r w:rsidRPr="00CB6CBA">
        <w:rPr>
          <w:lang w:val="en-US" w:eastAsia="ko-KR"/>
        </w:rPr>
        <w:t>on</w:t>
      </w:r>
      <w:r w:rsidRPr="00CB6CBA">
        <w:rPr>
          <w:lang w:val="en-US"/>
        </w:rPr>
        <w:t xml:space="preserve"> the first day </w:t>
      </w:r>
      <w:r w:rsidRPr="00CB6CBA">
        <w:rPr>
          <w:lang w:val="en-US" w:eastAsia="ko-KR"/>
        </w:rPr>
        <w:t xml:space="preserve">of a quarter) + </w:t>
      </w:r>
      <w:r w:rsidRPr="00CB6CBA">
        <w:rPr>
          <w:lang w:val="en-US" w:eastAsia="ko-KR"/>
        </w:rPr>
        <w:br/>
      </w:r>
      <w:r w:rsidRPr="00CB6CBA">
        <w:rPr>
          <w:lang w:val="en-US" w:eastAsia="ko-KR"/>
        </w:rPr>
        <w:tab/>
      </w:r>
      <w:r w:rsidRPr="00CB6CBA">
        <w:rPr>
          <w:lang w:val="en-US" w:eastAsia="ko-KR"/>
        </w:rPr>
        <w:tab/>
        <w:t xml:space="preserve">(the number of the subscribers on the last </w:t>
      </w:r>
      <w:r w:rsidRPr="00CB6CBA">
        <w:rPr>
          <w:lang w:val="en-US"/>
        </w:rPr>
        <w:t xml:space="preserve">day of </w:t>
      </w:r>
      <w:r w:rsidRPr="00CB6CBA">
        <w:rPr>
          <w:lang w:val="en-US" w:eastAsia="ko-KR"/>
        </w:rPr>
        <w:t xml:space="preserve">the </w:t>
      </w:r>
      <w:r w:rsidRPr="00CB6CBA">
        <w:rPr>
          <w:lang w:val="en-US"/>
        </w:rPr>
        <w:t>quarter</w:t>
      </w:r>
      <w:r w:rsidRPr="00CB6CBA">
        <w:rPr>
          <w:lang w:val="en-US" w:eastAsia="ko-KR"/>
        </w:rPr>
        <w:t>)}/2</w:t>
      </w:r>
    </w:p>
    <w:p w:rsidR="00CA3B52" w:rsidRPr="00CB6CBA" w:rsidRDefault="00CA3B52" w:rsidP="00CA3B52">
      <w:pPr>
        <w:pStyle w:val="Headingb"/>
        <w:rPr>
          <w:lang w:val="en-US"/>
        </w:rPr>
      </w:pPr>
      <w:r w:rsidRPr="00CB6CBA">
        <w:rPr>
          <w:lang w:val="en-US"/>
        </w:rPr>
        <w:t>b)</w:t>
      </w:r>
      <w:r w:rsidRPr="00CB6CBA">
        <w:rPr>
          <w:lang w:val="en-US"/>
        </w:rPr>
        <w:tab/>
        <w:t>Unit price</w:t>
      </w:r>
    </w:p>
    <w:p w:rsidR="00CA3B52" w:rsidRPr="00485BDD" w:rsidRDefault="00CA3B52" w:rsidP="00CA3B52">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16"/>
        <w:gridCol w:w="3651"/>
      </w:tblGrid>
      <w:tr w:rsidR="00CA3B52" w:rsidRPr="00F65451" w:rsidTr="002D1D5C">
        <w:trPr>
          <w:jc w:val="center"/>
        </w:trPr>
        <w:tc>
          <w:tcPr>
            <w:tcW w:w="4516" w:type="dxa"/>
            <w:vAlign w:val="center"/>
          </w:tcPr>
          <w:p w:rsidR="00CA3B52" w:rsidRPr="00CB6CBA" w:rsidRDefault="00CA3B52" w:rsidP="002D1D5C">
            <w:pPr>
              <w:pStyle w:val="Tablehead"/>
              <w:rPr>
                <w:szCs w:val="22"/>
                <w:lang w:val="en-US"/>
              </w:rPr>
            </w:pPr>
            <w:r w:rsidRPr="00CB6CBA">
              <w:rPr>
                <w:szCs w:val="22"/>
                <w:lang w:val="en-US"/>
              </w:rPr>
              <w:t>Services</w:t>
            </w:r>
          </w:p>
        </w:tc>
        <w:tc>
          <w:tcPr>
            <w:tcW w:w="3651" w:type="dxa"/>
          </w:tcPr>
          <w:p w:rsidR="00CA3B52" w:rsidRDefault="00CA3B52" w:rsidP="002D1D5C">
            <w:pPr>
              <w:pStyle w:val="Tablehead"/>
              <w:rPr>
                <w:szCs w:val="22"/>
                <w:lang w:val="en-US" w:eastAsia="ko-KR"/>
              </w:rPr>
            </w:pPr>
            <w:r w:rsidRPr="00CB6CBA">
              <w:rPr>
                <w:szCs w:val="22"/>
                <w:lang w:val="en-US"/>
              </w:rPr>
              <w:t xml:space="preserve">Unit </w:t>
            </w:r>
            <w:r w:rsidRPr="00CB6CBA">
              <w:rPr>
                <w:szCs w:val="22"/>
                <w:lang w:val="en-US" w:eastAsia="ko-KR"/>
              </w:rPr>
              <w:t>price</w:t>
            </w:r>
            <w:r w:rsidRPr="00CB6CBA">
              <w:rPr>
                <w:szCs w:val="22"/>
                <w:lang w:val="en-US" w:eastAsia="ko-KR"/>
              </w:rPr>
              <w:br/>
            </w:r>
            <w:r w:rsidRPr="00CB6CBA">
              <w:rPr>
                <w:szCs w:val="22"/>
                <w:lang w:val="en-US"/>
              </w:rPr>
              <w:t>(</w:t>
            </w:r>
            <w:r w:rsidRPr="00CB6CBA">
              <w:rPr>
                <w:szCs w:val="22"/>
                <w:lang w:val="en-US" w:eastAsia="ko-KR"/>
              </w:rPr>
              <w:t>KRW</w:t>
            </w:r>
            <w:r w:rsidRPr="00CB6CBA">
              <w:rPr>
                <w:szCs w:val="22"/>
                <w:lang w:val="en-US"/>
              </w:rPr>
              <w:t>/subscriber/quarter)</w:t>
            </w:r>
          </w:p>
        </w:tc>
      </w:tr>
      <w:tr w:rsidR="00CA3B52" w:rsidRPr="00F5367F" w:rsidTr="002D1D5C">
        <w:trPr>
          <w:jc w:val="center"/>
        </w:trPr>
        <w:tc>
          <w:tcPr>
            <w:tcW w:w="4516" w:type="dxa"/>
          </w:tcPr>
          <w:p w:rsidR="00CA3B52" w:rsidRPr="00953132" w:rsidRDefault="00CA3B52" w:rsidP="002D1D5C">
            <w:pPr>
              <w:pStyle w:val="Tabletext"/>
              <w:rPr>
                <w:szCs w:val="22"/>
                <w:lang w:val="fr-CH" w:eastAsia="ko-KR"/>
              </w:rPr>
            </w:pPr>
            <w:r w:rsidRPr="00953132">
              <w:rPr>
                <w:szCs w:val="22"/>
                <w:lang w:val="fr-CH"/>
              </w:rPr>
              <w:t>Mobile phone</w:t>
            </w:r>
            <w:r w:rsidRPr="00953132">
              <w:rPr>
                <w:szCs w:val="22"/>
                <w:lang w:val="fr-CH" w:eastAsia="ko-KR"/>
              </w:rPr>
              <w:t xml:space="preserve"> service (Cellular, PCS, IMT)</w:t>
            </w:r>
          </w:p>
          <w:p w:rsidR="00CA3B52" w:rsidRPr="00CB6CBA" w:rsidRDefault="00CA3B52" w:rsidP="002D1D5C">
            <w:pPr>
              <w:pStyle w:val="Tabletext"/>
              <w:rPr>
                <w:szCs w:val="22"/>
                <w:lang w:val="en-US" w:eastAsia="ko-KR"/>
              </w:rPr>
            </w:pPr>
            <w:r w:rsidRPr="00CB6CBA">
              <w:rPr>
                <w:szCs w:val="22"/>
                <w:lang w:val="en-US" w:eastAsia="ko-KR"/>
              </w:rPr>
              <w:t>WiBro (Broadband wireless internet)</w:t>
            </w:r>
          </w:p>
          <w:p w:rsidR="00CA3B52" w:rsidRPr="00CB6CBA" w:rsidRDefault="00CA3B52" w:rsidP="002D1D5C">
            <w:pPr>
              <w:pStyle w:val="Tabletext"/>
              <w:rPr>
                <w:szCs w:val="22"/>
                <w:lang w:val="en-US" w:eastAsia="ko-KR"/>
              </w:rPr>
            </w:pPr>
            <w:r w:rsidRPr="00CB6CBA">
              <w:rPr>
                <w:szCs w:val="22"/>
                <w:lang w:val="en-US" w:eastAsia="ko-KR"/>
              </w:rPr>
              <w:t xml:space="preserve">Radio </w:t>
            </w:r>
            <w:r w:rsidRPr="00CB6CBA">
              <w:rPr>
                <w:szCs w:val="22"/>
                <w:lang w:val="en-US"/>
              </w:rPr>
              <w:t>pager</w:t>
            </w:r>
            <w:r w:rsidRPr="00CB6CBA">
              <w:rPr>
                <w:szCs w:val="22"/>
                <w:lang w:val="en-US" w:eastAsia="ko-KR"/>
              </w:rPr>
              <w:t>/Trunked radio service</w:t>
            </w:r>
          </w:p>
          <w:p w:rsidR="00CA3B52" w:rsidRPr="00CB6CBA" w:rsidRDefault="008D77BF" w:rsidP="002D1D5C">
            <w:pPr>
              <w:pStyle w:val="Tabletext"/>
              <w:rPr>
                <w:szCs w:val="22"/>
                <w:lang w:val="en-US" w:eastAsia="ko-KR"/>
              </w:rPr>
            </w:pPr>
            <w:r>
              <w:rPr>
                <w:szCs w:val="22"/>
                <w:lang w:val="en-US" w:eastAsia="ko-KR"/>
              </w:rPr>
              <w:t>Location-</w:t>
            </w:r>
            <w:r w:rsidR="00CA3B52" w:rsidRPr="00CB6CBA">
              <w:rPr>
                <w:szCs w:val="22"/>
                <w:lang w:val="en-US" w:eastAsia="ko-KR"/>
              </w:rPr>
              <w:t>based service</w:t>
            </w:r>
          </w:p>
          <w:p w:rsidR="00CA3B52" w:rsidRDefault="00CA3B52" w:rsidP="002D1D5C">
            <w:pPr>
              <w:pStyle w:val="Tabletext"/>
              <w:rPr>
                <w:szCs w:val="22"/>
                <w:lang w:val="en-US" w:eastAsia="ko-KR"/>
              </w:rPr>
            </w:pPr>
            <w:r w:rsidRPr="00CB6CBA">
              <w:rPr>
                <w:szCs w:val="22"/>
                <w:lang w:val="en-US" w:eastAsia="ko-KR"/>
              </w:rPr>
              <w:t>Wireless</w:t>
            </w:r>
            <w:r w:rsidRPr="00CB6CBA">
              <w:rPr>
                <w:szCs w:val="22"/>
                <w:lang w:val="en-US"/>
              </w:rPr>
              <w:t xml:space="preserve"> data</w:t>
            </w:r>
            <w:r w:rsidRPr="00CB6CBA">
              <w:rPr>
                <w:szCs w:val="22"/>
                <w:lang w:val="en-US" w:eastAsia="ko-KR"/>
              </w:rPr>
              <w:t xml:space="preserve"> service </w:t>
            </w:r>
          </w:p>
          <w:p w:rsidR="00CA3B52" w:rsidRDefault="00CA3B52" w:rsidP="002D1D5C">
            <w:pPr>
              <w:pStyle w:val="Tabletext"/>
              <w:rPr>
                <w:szCs w:val="22"/>
                <w:lang w:val="en-US" w:eastAsia="ko-KR"/>
              </w:rPr>
            </w:pPr>
            <w:r>
              <w:rPr>
                <w:rFonts w:hint="eastAsia"/>
                <w:szCs w:val="22"/>
                <w:lang w:val="en-US" w:eastAsia="ko-KR"/>
              </w:rPr>
              <w:t>Satellite communication</w:t>
            </w:r>
            <w:r w:rsidR="008D77BF">
              <w:rPr>
                <w:szCs w:val="22"/>
                <w:lang w:val="en-US" w:eastAsia="ko-KR"/>
              </w:rPr>
              <w:t xml:space="preserve"> </w:t>
            </w:r>
            <w:r>
              <w:rPr>
                <w:rFonts w:hint="eastAsia"/>
                <w:szCs w:val="22"/>
                <w:lang w:val="en-US" w:eastAsia="ko-KR"/>
              </w:rPr>
              <w:t>(portable)</w:t>
            </w:r>
          </w:p>
          <w:p w:rsidR="00CA3B52" w:rsidRDefault="00CA3B52" w:rsidP="002D1D5C">
            <w:pPr>
              <w:pStyle w:val="Tabletext"/>
              <w:rPr>
                <w:szCs w:val="22"/>
                <w:lang w:val="en-US" w:eastAsia="ko-KR"/>
              </w:rPr>
            </w:pPr>
            <w:r>
              <w:rPr>
                <w:szCs w:val="22"/>
                <w:lang w:val="en-US" w:eastAsia="ko-KR"/>
              </w:rPr>
              <w:t>–</w:t>
            </w:r>
            <w:r>
              <w:rPr>
                <w:szCs w:val="22"/>
                <w:lang w:val="en-US" w:eastAsia="ko-KR"/>
              </w:rPr>
              <w:tab/>
            </w:r>
            <w:r>
              <w:rPr>
                <w:rFonts w:hint="eastAsia"/>
                <w:szCs w:val="22"/>
                <w:lang w:val="en-US" w:eastAsia="ko-KR"/>
              </w:rPr>
              <w:t>Voice and data</w:t>
            </w:r>
          </w:p>
          <w:p w:rsidR="00CA3B52" w:rsidRDefault="00CA3B52" w:rsidP="002D1D5C">
            <w:pPr>
              <w:pStyle w:val="Tabletext"/>
              <w:rPr>
                <w:szCs w:val="22"/>
                <w:lang w:val="en-US" w:eastAsia="ko-KR"/>
              </w:rPr>
            </w:pPr>
            <w:r>
              <w:rPr>
                <w:szCs w:val="22"/>
                <w:lang w:val="en-US" w:eastAsia="ko-KR"/>
              </w:rPr>
              <w:t>–</w:t>
            </w:r>
            <w:r>
              <w:rPr>
                <w:szCs w:val="22"/>
                <w:lang w:val="en-US" w:eastAsia="ko-KR"/>
              </w:rPr>
              <w:tab/>
            </w:r>
            <w:r>
              <w:rPr>
                <w:rFonts w:hint="eastAsia"/>
                <w:szCs w:val="22"/>
                <w:lang w:val="en-US" w:eastAsia="ko-KR"/>
              </w:rPr>
              <w:t>Data only</w:t>
            </w:r>
          </w:p>
        </w:tc>
        <w:tc>
          <w:tcPr>
            <w:tcW w:w="3651" w:type="dxa"/>
          </w:tcPr>
          <w:p w:rsidR="00CA3B52" w:rsidRDefault="00CA3B52" w:rsidP="002D1D5C">
            <w:pPr>
              <w:pStyle w:val="Tabletext"/>
              <w:jc w:val="center"/>
              <w:rPr>
                <w:szCs w:val="22"/>
                <w:lang w:val="en-US"/>
              </w:rPr>
            </w:pPr>
            <w:r w:rsidRPr="00CB6CBA">
              <w:rPr>
                <w:szCs w:val="22"/>
                <w:lang w:val="en-US"/>
              </w:rPr>
              <w:t>2</w:t>
            </w:r>
            <w:r w:rsidRPr="00CB6CBA">
              <w:rPr>
                <w:rFonts w:ascii="Tms Rmn" w:hAnsi="Tms Rmn"/>
                <w:szCs w:val="22"/>
                <w:lang w:val="en-US"/>
              </w:rPr>
              <w:t> </w:t>
            </w:r>
            <w:r w:rsidRPr="00CB6CBA">
              <w:rPr>
                <w:szCs w:val="22"/>
                <w:lang w:val="en-US"/>
              </w:rPr>
              <w:t>000</w:t>
            </w:r>
          </w:p>
          <w:p w:rsidR="00CA3B52" w:rsidRDefault="00CA3B52" w:rsidP="002D1D5C">
            <w:pPr>
              <w:pStyle w:val="Tabletext"/>
              <w:jc w:val="center"/>
              <w:rPr>
                <w:szCs w:val="22"/>
                <w:lang w:val="en-US" w:eastAsia="ko-KR"/>
              </w:rPr>
            </w:pPr>
            <w:r w:rsidRPr="00CB6CBA">
              <w:rPr>
                <w:szCs w:val="22"/>
                <w:lang w:val="en-US" w:eastAsia="ko-KR"/>
              </w:rPr>
              <w:t>1 200</w:t>
            </w:r>
          </w:p>
          <w:p w:rsidR="00CA3B52" w:rsidRDefault="00CA3B52" w:rsidP="002D1D5C">
            <w:pPr>
              <w:pStyle w:val="Tabletext"/>
              <w:jc w:val="center"/>
              <w:rPr>
                <w:szCs w:val="22"/>
                <w:lang w:val="en-US" w:eastAsia="ko-KR"/>
              </w:rPr>
            </w:pPr>
            <w:r w:rsidRPr="00CB6CBA">
              <w:rPr>
                <w:szCs w:val="22"/>
                <w:lang w:val="en-US"/>
              </w:rPr>
              <w:t>150</w:t>
            </w:r>
          </w:p>
          <w:p w:rsidR="00CA3B52" w:rsidRDefault="00CA3B52" w:rsidP="002D1D5C">
            <w:pPr>
              <w:pStyle w:val="Tabletext"/>
              <w:jc w:val="center"/>
              <w:rPr>
                <w:szCs w:val="22"/>
                <w:lang w:val="en-US" w:eastAsia="ko-KR"/>
              </w:rPr>
            </w:pPr>
            <w:r w:rsidRPr="00CB6CBA">
              <w:rPr>
                <w:szCs w:val="22"/>
                <w:lang w:val="en-US" w:eastAsia="ko-KR"/>
              </w:rPr>
              <w:t>50</w:t>
            </w:r>
          </w:p>
          <w:p w:rsidR="00CA3B52" w:rsidRDefault="00CA3B52" w:rsidP="002D1D5C">
            <w:pPr>
              <w:pStyle w:val="Tabletext"/>
              <w:jc w:val="center"/>
              <w:rPr>
                <w:szCs w:val="22"/>
                <w:lang w:val="en-US" w:eastAsia="ko-KR"/>
              </w:rPr>
            </w:pPr>
            <w:r w:rsidRPr="00CB6CBA">
              <w:rPr>
                <w:szCs w:val="22"/>
                <w:lang w:val="en-US"/>
              </w:rPr>
              <w:t>30</w:t>
            </w:r>
          </w:p>
          <w:p w:rsidR="00CA3B52" w:rsidRDefault="00CA3B52" w:rsidP="002D1D5C">
            <w:pPr>
              <w:pStyle w:val="Tabletext"/>
              <w:jc w:val="center"/>
              <w:rPr>
                <w:b/>
                <w:szCs w:val="22"/>
                <w:lang w:val="en-US" w:eastAsia="ko-KR"/>
              </w:rPr>
            </w:pPr>
          </w:p>
          <w:p w:rsidR="00CA3B52" w:rsidRDefault="00CA3B52" w:rsidP="002D1D5C">
            <w:pPr>
              <w:pStyle w:val="Tabletext"/>
              <w:jc w:val="center"/>
              <w:rPr>
                <w:szCs w:val="22"/>
                <w:lang w:val="en-US" w:eastAsia="ko-KR"/>
              </w:rPr>
            </w:pPr>
            <w:r>
              <w:rPr>
                <w:rFonts w:hint="eastAsia"/>
                <w:szCs w:val="22"/>
                <w:lang w:val="en-US" w:eastAsia="ko-KR"/>
              </w:rPr>
              <w:t>500</w:t>
            </w:r>
          </w:p>
          <w:p w:rsidR="00CA3B52" w:rsidRDefault="00CA3B52" w:rsidP="002D1D5C">
            <w:pPr>
              <w:pStyle w:val="Tabletext"/>
              <w:jc w:val="center"/>
              <w:rPr>
                <w:szCs w:val="22"/>
                <w:lang w:val="en-US" w:eastAsia="ko-KR"/>
              </w:rPr>
            </w:pPr>
            <w:r>
              <w:rPr>
                <w:rFonts w:hint="eastAsia"/>
                <w:szCs w:val="22"/>
                <w:lang w:val="en-US" w:eastAsia="ko-KR"/>
              </w:rPr>
              <w:t>80</w:t>
            </w:r>
          </w:p>
        </w:tc>
      </w:tr>
    </w:tbl>
    <w:p w:rsidR="00CA3B52" w:rsidRDefault="00CA3B52" w:rsidP="00CA3B52">
      <w:pPr>
        <w:pStyle w:val="Tablefin"/>
        <w:rPr>
          <w:lang w:eastAsia="ko-KR"/>
        </w:rPr>
      </w:pPr>
    </w:p>
    <w:p w:rsidR="00CA3B52" w:rsidRDefault="00CA3B52" w:rsidP="00CA3B52">
      <w:pPr>
        <w:pStyle w:val="Headingb"/>
        <w:rPr>
          <w:lang w:val="en-US"/>
        </w:rPr>
      </w:pPr>
      <w:r w:rsidRPr="00CB6CBA">
        <w:rPr>
          <w:lang w:val="en-US" w:eastAsia="ko-KR"/>
        </w:rPr>
        <w:lastRenderedPageBreak/>
        <w:t>c</w:t>
      </w:r>
      <w:r w:rsidRPr="00CB6CBA">
        <w:rPr>
          <w:lang w:val="en-US"/>
        </w:rPr>
        <w:t>)</w:t>
      </w:r>
      <w:r w:rsidRPr="00CB6CBA">
        <w:rPr>
          <w:lang w:val="en-US"/>
        </w:rPr>
        <w:tab/>
      </w:r>
      <w:r>
        <w:rPr>
          <w:rFonts w:hint="eastAsia"/>
          <w:lang w:val="en-US"/>
        </w:rPr>
        <w:t>The fee-waiver factors of</w:t>
      </w:r>
      <w:r>
        <w:rPr>
          <w:lang w:val="en-US"/>
        </w:rPr>
        <w:t xml:space="preserve"> </w:t>
      </w:r>
      <w:r w:rsidRPr="00CB6CBA">
        <w:rPr>
          <w:lang w:val="en-US"/>
        </w:rPr>
        <w:t>facilit</w:t>
      </w:r>
      <w:r>
        <w:rPr>
          <w:rFonts w:hint="eastAsia"/>
          <w:lang w:val="en-US"/>
        </w:rPr>
        <w:t>y sharing,</w:t>
      </w:r>
      <w:r w:rsidRPr="00F5367F">
        <w:rPr>
          <w:rFonts w:hint="eastAsia"/>
          <w:lang w:val="en-US"/>
        </w:rPr>
        <w:t xml:space="preserve"> </w:t>
      </w:r>
      <w:r>
        <w:rPr>
          <w:rFonts w:hint="eastAsia"/>
          <w:lang w:val="en-US"/>
        </w:rPr>
        <w:t>eco-friendly</w:t>
      </w:r>
      <w:r w:rsidRPr="00CB6CBA">
        <w:rPr>
          <w:lang w:val="en-US"/>
        </w:rPr>
        <w:t xml:space="preserve"> and roaming </w:t>
      </w:r>
    </w:p>
    <w:p w:rsidR="00CA3B52" w:rsidRPr="00F50757" w:rsidRDefault="00CA3B52" w:rsidP="00CA3B52">
      <w:pPr>
        <w:pStyle w:val="Blanc"/>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566"/>
        <w:gridCol w:w="725"/>
        <w:gridCol w:w="725"/>
        <w:gridCol w:w="725"/>
        <w:gridCol w:w="725"/>
        <w:gridCol w:w="725"/>
        <w:gridCol w:w="725"/>
        <w:gridCol w:w="725"/>
        <w:gridCol w:w="725"/>
        <w:gridCol w:w="566"/>
      </w:tblGrid>
      <w:tr w:rsidR="00CA3B52" w:rsidTr="007A44FB">
        <w:tc>
          <w:tcPr>
            <w:tcW w:w="0" w:type="auto"/>
          </w:tcPr>
          <w:p w:rsidR="00CA3B52" w:rsidRPr="00664CE4" w:rsidRDefault="00CA3B52" w:rsidP="002D1D5C">
            <w:pPr>
              <w:spacing w:before="40" w:after="40"/>
              <w:jc w:val="left"/>
              <w:rPr>
                <w:sz w:val="20"/>
                <w:lang w:val="en-US" w:eastAsia="ko-KR"/>
              </w:rPr>
            </w:pPr>
            <w:r>
              <w:rPr>
                <w:rFonts w:hint="eastAsia"/>
                <w:sz w:val="20"/>
                <w:lang w:val="en-US" w:eastAsia="ko-KR"/>
              </w:rPr>
              <w:t>Facility sharing ratio, eco-friendly ratio and roaming ratio</w:t>
            </w:r>
          </w:p>
        </w:tc>
        <w:tc>
          <w:tcPr>
            <w:tcW w:w="0" w:type="auto"/>
            <w:vAlign w:val="center"/>
          </w:tcPr>
          <w:p w:rsidR="00CA3B52" w:rsidRPr="00664CE4" w:rsidRDefault="00CA3B52" w:rsidP="002D1D5C">
            <w:pPr>
              <w:spacing w:before="40" w:after="40"/>
              <w:jc w:val="center"/>
              <w:rPr>
                <w:sz w:val="20"/>
                <w:lang w:val="en-US" w:eastAsia="ko-KR"/>
              </w:rPr>
            </w:pPr>
            <w:r>
              <w:rPr>
                <w:rFonts w:hint="eastAsia"/>
                <w:sz w:val="20"/>
                <w:lang w:val="en-US" w:eastAsia="ko-KR"/>
              </w:rPr>
              <w:t>&lt;10</w:t>
            </w:r>
          </w:p>
        </w:tc>
        <w:tc>
          <w:tcPr>
            <w:tcW w:w="0" w:type="auto"/>
            <w:vAlign w:val="center"/>
          </w:tcPr>
          <w:p w:rsidR="00CA3B52" w:rsidRPr="00664CE4" w:rsidRDefault="00CA3B52" w:rsidP="002D1D5C">
            <w:pPr>
              <w:tabs>
                <w:tab w:val="clear" w:pos="794"/>
                <w:tab w:val="clear" w:pos="1191"/>
                <w:tab w:val="clear" w:pos="1588"/>
                <w:tab w:val="clear" w:pos="1985"/>
              </w:tabs>
              <w:spacing w:before="40" w:after="40"/>
              <w:jc w:val="center"/>
              <w:rPr>
                <w:sz w:val="20"/>
                <w:lang w:val="en-US" w:eastAsia="ko-KR"/>
              </w:rPr>
            </w:pPr>
            <w:r>
              <w:rPr>
                <w:rFonts w:hint="eastAsia"/>
                <w:sz w:val="20"/>
                <w:lang w:val="en-US" w:eastAsia="ko-KR"/>
              </w:rPr>
              <w:t>10~20</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20~30</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30~40</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40~45</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45~50</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50~55</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55~60</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60~70</w:t>
            </w:r>
          </w:p>
        </w:tc>
        <w:tc>
          <w:tcPr>
            <w:tcW w:w="0" w:type="auto"/>
            <w:vAlign w:val="center"/>
          </w:tcPr>
          <w:p w:rsidR="00CA3B52" w:rsidRPr="00664CE4" w:rsidRDefault="00CA3B52" w:rsidP="002D1D5C">
            <w:pPr>
              <w:spacing w:before="40" w:after="40"/>
              <w:jc w:val="center"/>
              <w:rPr>
                <w:sz w:val="20"/>
                <w:lang w:val="en-US" w:eastAsia="ko-KR"/>
              </w:rPr>
            </w:pPr>
            <w:r>
              <w:rPr>
                <w:rFonts w:hint="eastAsia"/>
                <w:sz w:val="20"/>
                <w:lang w:val="en-US" w:eastAsia="ko-KR"/>
              </w:rPr>
              <w:t>&gt;70</w:t>
            </w:r>
          </w:p>
        </w:tc>
      </w:tr>
      <w:tr w:rsidR="00CA3B52" w:rsidTr="007A44FB">
        <w:tc>
          <w:tcPr>
            <w:tcW w:w="0" w:type="auto"/>
          </w:tcPr>
          <w:p w:rsidR="00CA3B52" w:rsidRPr="00664CE4" w:rsidRDefault="00CA3B52" w:rsidP="002D1D5C">
            <w:pPr>
              <w:tabs>
                <w:tab w:val="clear" w:pos="794"/>
                <w:tab w:val="clear" w:pos="1191"/>
                <w:tab w:val="clear" w:pos="1588"/>
                <w:tab w:val="clear" w:pos="1985"/>
              </w:tabs>
              <w:spacing w:before="40" w:after="40"/>
              <w:jc w:val="left"/>
              <w:rPr>
                <w:sz w:val="20"/>
                <w:lang w:val="en-US" w:eastAsia="ko-KR"/>
              </w:rPr>
            </w:pPr>
            <w:r>
              <w:rPr>
                <w:rFonts w:hint="eastAsia"/>
                <w:sz w:val="20"/>
                <w:lang w:val="en-US" w:eastAsia="ko-KR"/>
              </w:rPr>
              <w:t>Facility sharing fee-waiver factor</w:t>
            </w:r>
          </w:p>
        </w:tc>
        <w:tc>
          <w:tcPr>
            <w:tcW w:w="0" w:type="auto"/>
            <w:vAlign w:val="center"/>
          </w:tcPr>
          <w:p w:rsidR="00CA3B52" w:rsidRPr="00664CE4" w:rsidRDefault="00CA3B52" w:rsidP="002D1D5C">
            <w:pPr>
              <w:spacing w:before="40" w:after="40"/>
              <w:jc w:val="center"/>
              <w:rPr>
                <w:sz w:val="20"/>
                <w:lang w:val="en-US" w:eastAsia="ko-KR"/>
              </w:rPr>
            </w:pPr>
            <w:r>
              <w:rPr>
                <w:rFonts w:hint="eastAsia"/>
                <w:sz w:val="20"/>
                <w:lang w:val="en-US" w:eastAsia="ko-KR"/>
              </w:rPr>
              <w:t>0.01</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0.02</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0.03</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0.04</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0.05</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0.06</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0.07</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0.08</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0.09</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0.10</w:t>
            </w:r>
          </w:p>
        </w:tc>
      </w:tr>
      <w:tr w:rsidR="00CA3B52" w:rsidTr="007A44FB">
        <w:tc>
          <w:tcPr>
            <w:tcW w:w="0" w:type="auto"/>
          </w:tcPr>
          <w:p w:rsidR="00CA3B52" w:rsidRPr="00664CE4" w:rsidRDefault="00CA3B52" w:rsidP="002D1D5C">
            <w:pPr>
              <w:keepLines/>
              <w:tabs>
                <w:tab w:val="clear" w:pos="794"/>
                <w:tab w:val="clear" w:pos="1191"/>
                <w:tab w:val="clear" w:pos="1588"/>
                <w:tab w:val="clear" w:pos="1985"/>
                <w:tab w:val="left" w:pos="567"/>
                <w:tab w:val="left" w:leader="dot" w:pos="7938"/>
                <w:tab w:val="center" w:pos="9526"/>
              </w:tabs>
              <w:spacing w:before="40" w:after="40"/>
              <w:ind w:left="567" w:hanging="567"/>
              <w:jc w:val="left"/>
              <w:rPr>
                <w:sz w:val="20"/>
                <w:lang w:val="en-US" w:eastAsia="ko-KR"/>
              </w:rPr>
            </w:pPr>
            <w:r>
              <w:rPr>
                <w:rFonts w:hint="eastAsia"/>
                <w:sz w:val="20"/>
                <w:lang w:val="en-US" w:eastAsia="ko-KR"/>
              </w:rPr>
              <w:t>Eco-friendly fee-waiver factor</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0.01</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0.02</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0.03</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0.04</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0.05</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0.06</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0.07</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0.08</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0.09</w:t>
            </w:r>
          </w:p>
        </w:tc>
        <w:tc>
          <w:tcPr>
            <w:tcW w:w="0" w:type="auto"/>
            <w:vAlign w:val="center"/>
          </w:tcPr>
          <w:p w:rsidR="00CA3B52" w:rsidRDefault="00CA3B52" w:rsidP="002D1D5C">
            <w:pPr>
              <w:spacing w:before="40" w:after="40"/>
              <w:jc w:val="center"/>
              <w:rPr>
                <w:lang w:val="en-US" w:eastAsia="ko-KR"/>
              </w:rPr>
            </w:pPr>
            <w:r>
              <w:rPr>
                <w:rFonts w:hint="eastAsia"/>
                <w:sz w:val="20"/>
                <w:lang w:val="en-US" w:eastAsia="ko-KR"/>
              </w:rPr>
              <w:t>0.10</w:t>
            </w:r>
          </w:p>
        </w:tc>
      </w:tr>
      <w:tr w:rsidR="00CA3B52" w:rsidTr="007A44FB">
        <w:tc>
          <w:tcPr>
            <w:tcW w:w="0" w:type="auto"/>
          </w:tcPr>
          <w:p w:rsidR="00CA3B52" w:rsidRPr="00664CE4" w:rsidRDefault="00CA3B52" w:rsidP="002D1D5C">
            <w:pPr>
              <w:keepLines/>
              <w:tabs>
                <w:tab w:val="clear" w:pos="794"/>
                <w:tab w:val="clear" w:pos="1191"/>
                <w:tab w:val="clear" w:pos="1588"/>
                <w:tab w:val="clear" w:pos="1985"/>
                <w:tab w:val="left" w:pos="567"/>
                <w:tab w:val="left" w:leader="dot" w:pos="7938"/>
                <w:tab w:val="center" w:pos="9526"/>
              </w:tabs>
              <w:spacing w:before="40" w:after="40"/>
              <w:ind w:left="567" w:hanging="567"/>
              <w:jc w:val="left"/>
              <w:rPr>
                <w:sz w:val="20"/>
                <w:lang w:val="en-US" w:eastAsia="ko-KR"/>
              </w:rPr>
            </w:pPr>
            <w:r>
              <w:rPr>
                <w:rFonts w:hint="eastAsia"/>
                <w:sz w:val="20"/>
                <w:lang w:val="en-US" w:eastAsia="ko-KR"/>
              </w:rPr>
              <w:t>Roaming fee-waiver factor</w:t>
            </w:r>
          </w:p>
        </w:tc>
        <w:tc>
          <w:tcPr>
            <w:tcW w:w="0" w:type="auto"/>
            <w:vAlign w:val="center"/>
          </w:tcPr>
          <w:p w:rsidR="00CA3B52" w:rsidRPr="00664CE4" w:rsidRDefault="00CA3B52" w:rsidP="002D1D5C">
            <w:pPr>
              <w:spacing w:before="40" w:after="40"/>
              <w:jc w:val="center"/>
              <w:rPr>
                <w:sz w:val="20"/>
                <w:lang w:val="en-US" w:eastAsia="ko-KR"/>
              </w:rPr>
            </w:pPr>
            <w:r>
              <w:rPr>
                <w:rFonts w:hint="eastAsia"/>
                <w:sz w:val="20"/>
                <w:lang w:val="en-US" w:eastAsia="ko-KR"/>
              </w:rPr>
              <w:t>0.05</w:t>
            </w:r>
          </w:p>
        </w:tc>
        <w:tc>
          <w:tcPr>
            <w:tcW w:w="0" w:type="auto"/>
            <w:vAlign w:val="center"/>
          </w:tcPr>
          <w:p w:rsidR="00CA3B52" w:rsidRPr="00664CE4" w:rsidRDefault="00CA3B52" w:rsidP="002D1D5C">
            <w:pPr>
              <w:spacing w:before="40" w:after="40"/>
              <w:jc w:val="center"/>
              <w:rPr>
                <w:sz w:val="20"/>
                <w:lang w:val="en-US" w:eastAsia="ko-KR"/>
              </w:rPr>
            </w:pPr>
            <w:r>
              <w:rPr>
                <w:rFonts w:hint="eastAsia"/>
                <w:sz w:val="20"/>
                <w:lang w:val="en-US" w:eastAsia="ko-KR"/>
              </w:rPr>
              <w:t>0.10</w:t>
            </w:r>
          </w:p>
        </w:tc>
        <w:tc>
          <w:tcPr>
            <w:tcW w:w="0" w:type="auto"/>
            <w:vAlign w:val="center"/>
          </w:tcPr>
          <w:p w:rsidR="00CA3B52" w:rsidRPr="00664CE4" w:rsidRDefault="00CA3B52" w:rsidP="002D1D5C">
            <w:pPr>
              <w:spacing w:before="40" w:after="40"/>
              <w:jc w:val="center"/>
              <w:rPr>
                <w:sz w:val="20"/>
                <w:lang w:val="en-US" w:eastAsia="ko-KR"/>
              </w:rPr>
            </w:pPr>
            <w:r>
              <w:rPr>
                <w:rFonts w:hint="eastAsia"/>
                <w:sz w:val="20"/>
                <w:lang w:val="en-US" w:eastAsia="ko-KR"/>
              </w:rPr>
              <w:t>0.15</w:t>
            </w:r>
          </w:p>
        </w:tc>
        <w:tc>
          <w:tcPr>
            <w:tcW w:w="0" w:type="auto"/>
            <w:vAlign w:val="center"/>
          </w:tcPr>
          <w:p w:rsidR="00CA3B52" w:rsidRPr="00664CE4" w:rsidRDefault="00CA3B52" w:rsidP="002D1D5C">
            <w:pPr>
              <w:spacing w:before="40" w:after="40"/>
              <w:jc w:val="center"/>
              <w:rPr>
                <w:sz w:val="20"/>
                <w:lang w:val="en-US" w:eastAsia="ko-KR"/>
              </w:rPr>
            </w:pPr>
            <w:r>
              <w:rPr>
                <w:rFonts w:hint="eastAsia"/>
                <w:sz w:val="20"/>
                <w:lang w:val="en-US" w:eastAsia="ko-KR"/>
              </w:rPr>
              <w:t>0.20</w:t>
            </w:r>
          </w:p>
        </w:tc>
        <w:tc>
          <w:tcPr>
            <w:tcW w:w="0" w:type="auto"/>
            <w:gridSpan w:val="2"/>
            <w:vAlign w:val="center"/>
          </w:tcPr>
          <w:p w:rsidR="00CA3B52" w:rsidRDefault="00CA3B52" w:rsidP="002D1D5C">
            <w:pPr>
              <w:spacing w:before="40" w:after="40"/>
              <w:jc w:val="center"/>
              <w:rPr>
                <w:lang w:val="en-US" w:eastAsia="ko-KR"/>
              </w:rPr>
            </w:pPr>
            <w:r>
              <w:rPr>
                <w:rFonts w:hint="eastAsia"/>
                <w:sz w:val="20"/>
                <w:lang w:val="en-US" w:eastAsia="ko-KR"/>
              </w:rPr>
              <w:t>0.25</w:t>
            </w:r>
          </w:p>
        </w:tc>
        <w:tc>
          <w:tcPr>
            <w:tcW w:w="0" w:type="auto"/>
            <w:gridSpan w:val="4"/>
            <w:vAlign w:val="center"/>
          </w:tcPr>
          <w:p w:rsidR="00CA3B52" w:rsidRDefault="00CA3B52" w:rsidP="002D1D5C">
            <w:pPr>
              <w:spacing w:before="40" w:after="40"/>
              <w:jc w:val="center"/>
              <w:rPr>
                <w:lang w:val="en-US" w:eastAsia="ko-KR"/>
              </w:rPr>
            </w:pPr>
            <w:r>
              <w:rPr>
                <w:rFonts w:hint="eastAsia"/>
                <w:sz w:val="20"/>
                <w:lang w:val="en-US" w:eastAsia="ko-KR"/>
              </w:rPr>
              <w:t>0.30</w:t>
            </w:r>
          </w:p>
        </w:tc>
      </w:tr>
    </w:tbl>
    <w:p w:rsidR="007A44FB" w:rsidRDefault="007A44FB" w:rsidP="007A44FB">
      <w:pPr>
        <w:pStyle w:val="Tablefin"/>
      </w:pPr>
    </w:p>
    <w:p w:rsidR="00CA3B52" w:rsidRPr="00953132" w:rsidRDefault="008D77BF" w:rsidP="008D77BF">
      <w:pPr>
        <w:pStyle w:val="Note"/>
        <w:rPr>
          <w:lang w:val="en-US" w:eastAsia="ko-KR"/>
        </w:rPr>
      </w:pPr>
      <w:r>
        <w:rPr>
          <w:lang w:val="en-US" w:eastAsia="ko-KR"/>
        </w:rPr>
        <w:t xml:space="preserve">NOTE </w:t>
      </w:r>
      <w:r w:rsidR="00A55FD9" w:rsidRPr="008D77BF">
        <w:rPr>
          <w:rFonts w:hint="eastAsia"/>
          <w:lang w:val="en-US" w:eastAsia="ko-KR"/>
        </w:rPr>
        <w:t>1</w:t>
      </w:r>
      <w:r>
        <w:rPr>
          <w:i/>
          <w:iCs/>
          <w:lang w:val="en-US" w:eastAsia="ko-KR"/>
        </w:rPr>
        <w:t xml:space="preserve"> – </w:t>
      </w:r>
      <w:r w:rsidR="00CA3B52" w:rsidRPr="00953132">
        <w:rPr>
          <w:i/>
          <w:iCs/>
          <w:lang w:val="en-US" w:eastAsia="ko-KR"/>
        </w:rPr>
        <w:t>Facility sharing</w:t>
      </w:r>
      <w:r w:rsidR="00CA3B52" w:rsidRPr="00953132">
        <w:rPr>
          <w:i/>
          <w:iCs/>
          <w:lang w:val="en-US"/>
        </w:rPr>
        <w:t xml:space="preserve"> ratio</w:t>
      </w:r>
      <w:r w:rsidR="00CA3B52" w:rsidRPr="00F5367F">
        <w:rPr>
          <w:bCs/>
          <w:iCs/>
          <w:lang w:val="en-US"/>
        </w:rPr>
        <w:t>:</w:t>
      </w:r>
      <w:r w:rsidR="00CA3B52" w:rsidRPr="00953132">
        <w:rPr>
          <w:lang w:val="en-US"/>
        </w:rPr>
        <w:t xml:space="preserve"> Ratio of </w:t>
      </w:r>
      <w:r w:rsidR="00CA3B52" w:rsidRPr="00953132">
        <w:rPr>
          <w:lang w:val="en-US" w:eastAsia="ko-KR"/>
        </w:rPr>
        <w:t xml:space="preserve">the number of </w:t>
      </w:r>
      <w:r w:rsidR="00CA3B52" w:rsidRPr="00953132">
        <w:rPr>
          <w:rFonts w:hint="eastAsia"/>
          <w:lang w:val="en-US" w:eastAsia="ko-KR"/>
        </w:rPr>
        <w:t xml:space="preserve">radio </w:t>
      </w:r>
      <w:r w:rsidR="00CA3B52" w:rsidRPr="00953132">
        <w:rPr>
          <w:lang w:val="en-US" w:eastAsia="ko-KR"/>
        </w:rPr>
        <w:t>statio</w:t>
      </w:r>
      <w:r w:rsidR="00CA3B52" w:rsidRPr="00953132">
        <w:rPr>
          <w:lang w:val="en-US"/>
        </w:rPr>
        <w:t>ns</w:t>
      </w:r>
      <w:r w:rsidR="00CA3B52" w:rsidRPr="00953132">
        <w:rPr>
          <w:lang w:val="en-US" w:eastAsia="ko-KR"/>
        </w:rPr>
        <w:t xml:space="preserve"> served by a </w:t>
      </w:r>
      <w:r w:rsidR="00CA3B52" w:rsidRPr="00953132">
        <w:rPr>
          <w:rFonts w:hint="eastAsia"/>
          <w:lang w:val="en-US" w:eastAsia="ko-KR"/>
        </w:rPr>
        <w:t xml:space="preserve">common carrier </w:t>
      </w:r>
      <w:r w:rsidR="00CA3B52" w:rsidRPr="00953132">
        <w:rPr>
          <w:lang w:val="en-US" w:eastAsia="ko-KR"/>
        </w:rPr>
        <w:t>that share</w:t>
      </w:r>
      <w:r w:rsidR="00CA3B52" w:rsidRPr="00953132">
        <w:rPr>
          <w:rFonts w:hint="eastAsia"/>
          <w:lang w:val="en-US" w:eastAsia="ko-KR"/>
        </w:rPr>
        <w:t>s</w:t>
      </w:r>
      <w:r w:rsidR="00CA3B52" w:rsidRPr="00953132">
        <w:rPr>
          <w:lang w:val="en-US"/>
        </w:rPr>
        <w:t xml:space="preserve"> radio facilities to t</w:t>
      </w:r>
      <w:r w:rsidR="00CA3B52" w:rsidRPr="00953132">
        <w:rPr>
          <w:lang w:val="en-US" w:eastAsia="ko-KR"/>
        </w:rPr>
        <w:t xml:space="preserve">he total number of </w:t>
      </w:r>
      <w:r w:rsidR="00CA3B52" w:rsidRPr="00953132">
        <w:rPr>
          <w:rFonts w:hint="eastAsia"/>
          <w:lang w:val="en-US" w:eastAsia="ko-KR"/>
        </w:rPr>
        <w:t xml:space="preserve">radio </w:t>
      </w:r>
      <w:r w:rsidR="00CA3B52" w:rsidRPr="00953132">
        <w:rPr>
          <w:lang w:val="en-US"/>
        </w:rPr>
        <w:t>station</w:t>
      </w:r>
      <w:r w:rsidR="00CA3B52" w:rsidRPr="00953132">
        <w:rPr>
          <w:lang w:val="en-US" w:eastAsia="ko-KR"/>
        </w:rPr>
        <w:t>s</w:t>
      </w:r>
      <w:r w:rsidR="00CA3B52" w:rsidRPr="00953132">
        <w:rPr>
          <w:lang w:val="en-US"/>
        </w:rPr>
        <w:t xml:space="preserve"> served by </w:t>
      </w:r>
      <w:r w:rsidR="00CA3B52">
        <w:rPr>
          <w:rFonts w:hint="eastAsia"/>
          <w:lang w:val="en-US" w:eastAsia="ko-KR"/>
        </w:rPr>
        <w:t xml:space="preserve">the </w:t>
      </w:r>
      <w:r w:rsidR="00CA3B52" w:rsidRPr="00953132">
        <w:rPr>
          <w:rFonts w:hint="eastAsia"/>
          <w:lang w:val="en-US" w:eastAsia="ko-KR"/>
        </w:rPr>
        <w:t>common carriers</w:t>
      </w:r>
      <w:r w:rsidR="00CA3B52" w:rsidRPr="00953132">
        <w:rPr>
          <w:lang w:val="en-US" w:eastAsia="ko-KR"/>
        </w:rPr>
        <w:t>.</w:t>
      </w:r>
    </w:p>
    <w:p w:rsidR="00CA3B52" w:rsidRPr="00CB6CBA" w:rsidRDefault="008D77BF" w:rsidP="008D77BF">
      <w:pPr>
        <w:pStyle w:val="Note"/>
        <w:rPr>
          <w:lang w:val="en-US" w:eastAsia="ko-KR"/>
        </w:rPr>
      </w:pPr>
      <w:r>
        <w:rPr>
          <w:lang w:val="en-US" w:eastAsia="ko-KR"/>
        </w:rPr>
        <w:t>NOTE 2</w:t>
      </w:r>
      <w:r>
        <w:rPr>
          <w:i/>
          <w:iCs/>
          <w:lang w:val="en-US" w:eastAsia="ko-KR"/>
        </w:rPr>
        <w:t xml:space="preserve"> – </w:t>
      </w:r>
      <w:r w:rsidR="00CA3B52" w:rsidRPr="00953132">
        <w:rPr>
          <w:i/>
          <w:lang w:val="en-US" w:eastAsia="ko-KR"/>
        </w:rPr>
        <w:t xml:space="preserve">Eco-friendly </w:t>
      </w:r>
      <w:r w:rsidR="00CA3B52">
        <w:rPr>
          <w:rFonts w:hint="eastAsia"/>
          <w:i/>
          <w:lang w:val="en-US" w:eastAsia="ko-KR"/>
        </w:rPr>
        <w:t>ratio</w:t>
      </w:r>
      <w:r w:rsidR="00CA3B52">
        <w:rPr>
          <w:rFonts w:hint="eastAsia"/>
          <w:lang w:val="en-US" w:eastAsia="ko-KR"/>
        </w:rPr>
        <w:t xml:space="preserve">: </w:t>
      </w:r>
      <w:r w:rsidR="00CA3B52" w:rsidRPr="00CB6CBA">
        <w:rPr>
          <w:lang w:val="en-US"/>
        </w:rPr>
        <w:t xml:space="preserve">Ratio of </w:t>
      </w:r>
      <w:r w:rsidR="00CA3B52" w:rsidRPr="00CB6CBA">
        <w:rPr>
          <w:lang w:val="en-US" w:eastAsia="ko-KR"/>
        </w:rPr>
        <w:t xml:space="preserve">the number of </w:t>
      </w:r>
      <w:r w:rsidR="00CA3B52">
        <w:rPr>
          <w:rFonts w:hint="eastAsia"/>
          <w:lang w:val="en-US" w:eastAsia="ko-KR"/>
        </w:rPr>
        <w:t xml:space="preserve">radio </w:t>
      </w:r>
      <w:r w:rsidR="00CA3B52" w:rsidRPr="00CB6CBA">
        <w:rPr>
          <w:lang w:val="en-US" w:eastAsia="ko-KR"/>
        </w:rPr>
        <w:t>statio</w:t>
      </w:r>
      <w:r w:rsidR="00CA3B52" w:rsidRPr="00CB6CBA">
        <w:rPr>
          <w:lang w:val="en-US"/>
        </w:rPr>
        <w:t>ns</w:t>
      </w:r>
      <w:r w:rsidR="00CA3B52" w:rsidRPr="00CB6CBA">
        <w:rPr>
          <w:lang w:val="en-US" w:eastAsia="ko-KR"/>
        </w:rPr>
        <w:t xml:space="preserve"> served by </w:t>
      </w:r>
      <w:r w:rsidR="00CA3B52">
        <w:rPr>
          <w:rFonts w:hint="eastAsia"/>
          <w:lang w:val="en-US" w:eastAsia="ko-KR"/>
        </w:rPr>
        <w:t>eco-friendly</w:t>
      </w:r>
      <w:r w:rsidR="00CA3B52" w:rsidRPr="00CB6CBA">
        <w:rPr>
          <w:lang w:val="en-US"/>
        </w:rPr>
        <w:t xml:space="preserve"> facilities to t</w:t>
      </w:r>
      <w:r w:rsidR="00CA3B52" w:rsidRPr="00CB6CBA">
        <w:rPr>
          <w:lang w:val="en-US" w:eastAsia="ko-KR"/>
        </w:rPr>
        <w:t xml:space="preserve">he total number of </w:t>
      </w:r>
      <w:r w:rsidR="00CA3B52">
        <w:rPr>
          <w:rFonts w:hint="eastAsia"/>
          <w:lang w:val="en-US" w:eastAsia="ko-KR"/>
        </w:rPr>
        <w:t xml:space="preserve">radio </w:t>
      </w:r>
      <w:r w:rsidR="00CA3B52" w:rsidRPr="00CB6CBA">
        <w:rPr>
          <w:lang w:val="en-US"/>
        </w:rPr>
        <w:t>station</w:t>
      </w:r>
      <w:r w:rsidR="00CA3B52" w:rsidRPr="00CB6CBA">
        <w:rPr>
          <w:lang w:val="en-US" w:eastAsia="ko-KR"/>
        </w:rPr>
        <w:t>s</w:t>
      </w:r>
      <w:r w:rsidR="00CA3B52" w:rsidRPr="00CB6CBA">
        <w:rPr>
          <w:lang w:val="en-US"/>
        </w:rPr>
        <w:t xml:space="preserve"> served by </w:t>
      </w:r>
      <w:r w:rsidR="00CA3B52">
        <w:rPr>
          <w:rFonts w:hint="eastAsia"/>
          <w:lang w:val="en-US" w:eastAsia="ko-KR"/>
        </w:rPr>
        <w:t>the common carrier.</w:t>
      </w:r>
    </w:p>
    <w:p w:rsidR="00CA3B52" w:rsidRPr="00CB6CBA" w:rsidRDefault="008D77BF" w:rsidP="008D77BF">
      <w:pPr>
        <w:pStyle w:val="Note"/>
        <w:rPr>
          <w:lang w:val="en-US" w:eastAsia="ko-KR"/>
        </w:rPr>
      </w:pPr>
      <w:r>
        <w:rPr>
          <w:lang w:val="en-US" w:eastAsia="ko-KR"/>
        </w:rPr>
        <w:t>NOTE 3</w:t>
      </w:r>
      <w:r>
        <w:rPr>
          <w:i/>
          <w:iCs/>
          <w:lang w:val="en-US" w:eastAsia="ko-KR"/>
        </w:rPr>
        <w:t xml:space="preserve"> – </w:t>
      </w:r>
      <w:r w:rsidR="00CA3B52" w:rsidRPr="00CB6CBA">
        <w:rPr>
          <w:i/>
          <w:iCs/>
          <w:lang w:val="en-US"/>
        </w:rPr>
        <w:t>Roaming ratio</w:t>
      </w:r>
      <w:r w:rsidR="00CA3B52" w:rsidRPr="00F5367F">
        <w:rPr>
          <w:bCs/>
          <w:iCs/>
          <w:lang w:val="en-US"/>
        </w:rPr>
        <w:t>:</w:t>
      </w:r>
      <w:r w:rsidR="00CA3B52" w:rsidRPr="00CB6CBA">
        <w:rPr>
          <w:lang w:val="en-US"/>
        </w:rPr>
        <w:t xml:space="preserve"> Ratio of </w:t>
      </w:r>
      <w:r w:rsidR="00CA3B52" w:rsidRPr="00CB6CBA">
        <w:rPr>
          <w:lang w:val="en-US" w:eastAsia="ko-KR"/>
        </w:rPr>
        <w:t xml:space="preserve">the number of </w:t>
      </w:r>
      <w:r w:rsidR="00CA3B52">
        <w:rPr>
          <w:rFonts w:hint="eastAsia"/>
          <w:lang w:val="en-US" w:eastAsia="ko-KR"/>
        </w:rPr>
        <w:t xml:space="preserve">radio </w:t>
      </w:r>
      <w:r w:rsidR="00CA3B52" w:rsidRPr="00CB6CBA">
        <w:rPr>
          <w:lang w:val="en-US"/>
        </w:rPr>
        <w:t>stations</w:t>
      </w:r>
      <w:r w:rsidR="00CA3B52" w:rsidRPr="00CB6CBA">
        <w:rPr>
          <w:lang w:val="en-US" w:eastAsia="ko-KR"/>
        </w:rPr>
        <w:t xml:space="preserve"> served by a </w:t>
      </w:r>
      <w:r w:rsidR="00CA3B52">
        <w:rPr>
          <w:rFonts w:hint="eastAsia"/>
          <w:lang w:val="en-US" w:eastAsia="ko-KR"/>
        </w:rPr>
        <w:t>common carrier</w:t>
      </w:r>
      <w:r w:rsidR="00CA3B52" w:rsidRPr="00CB6CBA">
        <w:rPr>
          <w:lang w:val="en-US" w:eastAsia="ko-KR"/>
        </w:rPr>
        <w:t xml:space="preserve"> that use</w:t>
      </w:r>
      <w:r w:rsidR="00CA3B52">
        <w:rPr>
          <w:rFonts w:hint="eastAsia"/>
          <w:lang w:val="en-US" w:eastAsia="ko-KR"/>
        </w:rPr>
        <w:t>s</w:t>
      </w:r>
      <w:r w:rsidR="00CA3B52" w:rsidRPr="00CB6CBA">
        <w:rPr>
          <w:lang w:val="en-US" w:eastAsia="ko-KR"/>
        </w:rPr>
        <w:t xml:space="preserve"> r</w:t>
      </w:r>
      <w:r w:rsidR="00CA3B52" w:rsidRPr="00CB6CBA">
        <w:rPr>
          <w:lang w:val="en-US"/>
        </w:rPr>
        <w:t>oaming technology to th</w:t>
      </w:r>
      <w:r w:rsidR="00CA3B52" w:rsidRPr="00CB6CBA">
        <w:rPr>
          <w:lang w:val="en-US" w:eastAsia="ko-KR"/>
        </w:rPr>
        <w:t xml:space="preserve">e total number of </w:t>
      </w:r>
      <w:r w:rsidR="00CA3B52">
        <w:rPr>
          <w:rFonts w:hint="eastAsia"/>
          <w:lang w:val="en-US" w:eastAsia="ko-KR"/>
        </w:rPr>
        <w:t xml:space="preserve">radio </w:t>
      </w:r>
      <w:r w:rsidR="00CA3B52" w:rsidRPr="00CB6CBA">
        <w:rPr>
          <w:lang w:val="en-US" w:eastAsia="ko-KR"/>
        </w:rPr>
        <w:t xml:space="preserve">stations served by </w:t>
      </w:r>
      <w:r w:rsidR="00CA3B52">
        <w:rPr>
          <w:rFonts w:hint="eastAsia"/>
          <w:lang w:val="en-US" w:eastAsia="ko-KR"/>
        </w:rPr>
        <w:t>the common carrier</w:t>
      </w:r>
      <w:r w:rsidR="00CA3B52" w:rsidRPr="00CB6CBA">
        <w:rPr>
          <w:lang w:val="en-US" w:eastAsia="ko-KR"/>
        </w:rPr>
        <w:t>.</w:t>
      </w:r>
    </w:p>
    <w:p w:rsidR="00CA3B52" w:rsidRDefault="00CA3B52" w:rsidP="00CA3B52">
      <w:pPr>
        <w:pStyle w:val="Headingb"/>
        <w:rPr>
          <w:lang w:val="en-US" w:eastAsia="ko-KR"/>
        </w:rPr>
      </w:pPr>
      <w:r w:rsidRPr="00CB6CBA">
        <w:rPr>
          <w:lang w:val="en-US" w:eastAsia="ko-KR"/>
        </w:rPr>
        <w:t>d)</w:t>
      </w:r>
      <w:r w:rsidRPr="00CB6CBA">
        <w:rPr>
          <w:lang w:val="en-US" w:eastAsia="ko-KR"/>
        </w:rPr>
        <w:tab/>
      </w:r>
      <w:r>
        <w:rPr>
          <w:rFonts w:hint="eastAsia"/>
          <w:lang w:val="en-US" w:eastAsia="ko-KR"/>
        </w:rPr>
        <w:t>Frequency u</w:t>
      </w:r>
      <w:r w:rsidRPr="00CB6CBA">
        <w:rPr>
          <w:lang w:val="en-US" w:eastAsia="ko-KR"/>
        </w:rPr>
        <w:t xml:space="preserve">se efficiency </w:t>
      </w:r>
      <w:r>
        <w:rPr>
          <w:rFonts w:hint="eastAsia"/>
          <w:lang w:val="en-US" w:eastAsia="ko-KR"/>
        </w:rPr>
        <w:t xml:space="preserve">fee-waiver </w:t>
      </w:r>
      <w:r w:rsidRPr="00CB6CBA">
        <w:rPr>
          <w:lang w:val="en-US" w:eastAsia="ko-KR"/>
        </w:rPr>
        <w:t>factor</w:t>
      </w:r>
    </w:p>
    <w:p w:rsidR="00CA3B52" w:rsidRPr="00F50757" w:rsidRDefault="00CA3B52" w:rsidP="00CA3B52">
      <w:pPr>
        <w:pStyle w:val="Blanc"/>
        <w:rPr>
          <w:lang w:eastAsia="ko-KR"/>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9"/>
        <w:gridCol w:w="1134"/>
        <w:gridCol w:w="1134"/>
        <w:gridCol w:w="1134"/>
        <w:gridCol w:w="1134"/>
        <w:gridCol w:w="1134"/>
      </w:tblGrid>
      <w:tr w:rsidR="00CA3B52" w:rsidRPr="00CB6CBA" w:rsidTr="002D1D5C">
        <w:trPr>
          <w:jc w:val="center"/>
        </w:trPr>
        <w:tc>
          <w:tcPr>
            <w:tcW w:w="3159" w:type="dxa"/>
          </w:tcPr>
          <w:p w:rsidR="00CA3B52" w:rsidRPr="00CB6CBA" w:rsidRDefault="00CA3B52" w:rsidP="002D1D5C">
            <w:pPr>
              <w:pStyle w:val="Tabletext"/>
              <w:rPr>
                <w:szCs w:val="22"/>
                <w:lang w:val="en-US"/>
              </w:rPr>
            </w:pPr>
            <w:r w:rsidRPr="00CB6CBA">
              <w:rPr>
                <w:szCs w:val="22"/>
                <w:lang w:val="en-US"/>
              </w:rPr>
              <w:t>Frequency use</w:t>
            </w:r>
            <w:r w:rsidRPr="00CB6CBA">
              <w:rPr>
                <w:szCs w:val="22"/>
                <w:lang w:val="en-US" w:eastAsia="ko-KR"/>
              </w:rPr>
              <w:t xml:space="preserve"> </w:t>
            </w:r>
            <w:r w:rsidRPr="00CB6CBA">
              <w:rPr>
                <w:szCs w:val="22"/>
                <w:lang w:val="en-US"/>
              </w:rPr>
              <w:t>efficiency (%)</w:t>
            </w:r>
          </w:p>
        </w:tc>
        <w:tc>
          <w:tcPr>
            <w:tcW w:w="1134" w:type="dxa"/>
          </w:tcPr>
          <w:p w:rsidR="00CA3B52" w:rsidRPr="00CB6CBA" w:rsidRDefault="00CA3B52" w:rsidP="002D1D5C">
            <w:pPr>
              <w:pStyle w:val="Tabletext"/>
              <w:jc w:val="center"/>
              <w:rPr>
                <w:rFonts w:eastAsia="???"/>
                <w:szCs w:val="22"/>
                <w:lang w:val="en-US"/>
              </w:rPr>
            </w:pPr>
            <w:r>
              <w:rPr>
                <w:caps/>
                <w:lang w:val="en-US"/>
              </w:rPr>
              <w:sym w:font="Symbol" w:char="F03C"/>
            </w:r>
            <w:r>
              <w:rPr>
                <w:caps/>
                <w:lang w:val="en-US"/>
              </w:rPr>
              <w:t xml:space="preserve"> </w:t>
            </w:r>
            <w:r w:rsidRPr="00CB6CBA">
              <w:rPr>
                <w:rFonts w:eastAsia="???"/>
                <w:szCs w:val="22"/>
                <w:lang w:val="en-US"/>
              </w:rPr>
              <w:t>100</w:t>
            </w:r>
          </w:p>
        </w:tc>
        <w:tc>
          <w:tcPr>
            <w:tcW w:w="1134" w:type="dxa"/>
          </w:tcPr>
          <w:p w:rsidR="00CA3B52" w:rsidRPr="00CB6CBA" w:rsidRDefault="00CA3B52" w:rsidP="00BD5038">
            <w:pPr>
              <w:pStyle w:val="Tabletext"/>
              <w:jc w:val="center"/>
              <w:rPr>
                <w:szCs w:val="22"/>
                <w:lang w:val="en-US"/>
              </w:rPr>
            </w:pPr>
            <w:r w:rsidRPr="00CB6CBA">
              <w:rPr>
                <w:szCs w:val="22"/>
                <w:lang w:val="en-US"/>
              </w:rPr>
              <w:t>100~150</w:t>
            </w:r>
          </w:p>
        </w:tc>
        <w:tc>
          <w:tcPr>
            <w:tcW w:w="1134" w:type="dxa"/>
          </w:tcPr>
          <w:p w:rsidR="00CA3B52" w:rsidRPr="00CB6CBA" w:rsidRDefault="00CA3B52" w:rsidP="00BD5038">
            <w:pPr>
              <w:pStyle w:val="Tabletext"/>
              <w:jc w:val="center"/>
              <w:rPr>
                <w:szCs w:val="22"/>
                <w:lang w:val="en-US"/>
              </w:rPr>
            </w:pPr>
            <w:r w:rsidRPr="00CB6CBA">
              <w:rPr>
                <w:szCs w:val="22"/>
                <w:lang w:val="en-US"/>
              </w:rPr>
              <w:t>150~200</w:t>
            </w:r>
          </w:p>
        </w:tc>
        <w:tc>
          <w:tcPr>
            <w:tcW w:w="1134" w:type="dxa"/>
          </w:tcPr>
          <w:p w:rsidR="00CA3B52" w:rsidRPr="00CB6CBA" w:rsidRDefault="00CA3B52" w:rsidP="00BD5038">
            <w:pPr>
              <w:pStyle w:val="Tabletext"/>
              <w:jc w:val="center"/>
              <w:rPr>
                <w:szCs w:val="22"/>
                <w:lang w:val="en-US"/>
              </w:rPr>
            </w:pPr>
            <w:r w:rsidRPr="00CB6CBA">
              <w:rPr>
                <w:szCs w:val="22"/>
                <w:lang w:val="en-US"/>
              </w:rPr>
              <w:t>200~250</w:t>
            </w:r>
          </w:p>
        </w:tc>
        <w:tc>
          <w:tcPr>
            <w:tcW w:w="1134" w:type="dxa"/>
          </w:tcPr>
          <w:p w:rsidR="00CA3B52" w:rsidRPr="00CB6CBA" w:rsidRDefault="00CA3B52" w:rsidP="002D1D5C">
            <w:pPr>
              <w:pStyle w:val="Tabletext"/>
              <w:jc w:val="center"/>
              <w:rPr>
                <w:szCs w:val="22"/>
                <w:lang w:val="en-US"/>
              </w:rPr>
            </w:pPr>
            <w:r>
              <w:rPr>
                <w:szCs w:val="22"/>
                <w:lang w:val="en-US"/>
              </w:rPr>
              <w:sym w:font="Symbol" w:char="F03E"/>
            </w:r>
            <w:r>
              <w:rPr>
                <w:szCs w:val="22"/>
                <w:lang w:val="en-US"/>
              </w:rPr>
              <w:t xml:space="preserve"> </w:t>
            </w:r>
            <w:r w:rsidRPr="00CB6CBA">
              <w:rPr>
                <w:szCs w:val="22"/>
                <w:lang w:val="en-US"/>
              </w:rPr>
              <w:t>250</w:t>
            </w:r>
          </w:p>
        </w:tc>
      </w:tr>
      <w:tr w:rsidR="00CA3B52" w:rsidRPr="00F5367F" w:rsidTr="002D1D5C">
        <w:trPr>
          <w:jc w:val="center"/>
        </w:trPr>
        <w:tc>
          <w:tcPr>
            <w:tcW w:w="3159" w:type="dxa"/>
          </w:tcPr>
          <w:p w:rsidR="00CA3B52" w:rsidRPr="00CB6CBA" w:rsidRDefault="00CA3B52" w:rsidP="002D1D5C">
            <w:pPr>
              <w:pStyle w:val="Tabletext"/>
              <w:jc w:val="left"/>
              <w:rPr>
                <w:szCs w:val="22"/>
                <w:lang w:val="en-US"/>
              </w:rPr>
            </w:pPr>
            <w:r w:rsidRPr="00CB6CBA">
              <w:rPr>
                <w:szCs w:val="22"/>
                <w:lang w:val="en-US" w:eastAsia="ko-KR"/>
              </w:rPr>
              <w:t>Frequency u</w:t>
            </w:r>
            <w:r w:rsidRPr="00CB6CBA">
              <w:rPr>
                <w:szCs w:val="22"/>
                <w:lang w:val="en-US"/>
              </w:rPr>
              <w:t>se efficiency</w:t>
            </w:r>
            <w:r w:rsidRPr="00CB6CBA">
              <w:rPr>
                <w:szCs w:val="22"/>
                <w:lang w:val="en-US" w:eastAsia="ko-KR"/>
              </w:rPr>
              <w:t xml:space="preserve"> </w:t>
            </w:r>
            <w:r>
              <w:rPr>
                <w:szCs w:val="22"/>
                <w:lang w:val="en-US" w:eastAsia="ko-KR"/>
              </w:rPr>
              <w:br/>
            </w:r>
            <w:r>
              <w:rPr>
                <w:rFonts w:hint="eastAsia"/>
                <w:szCs w:val="22"/>
                <w:lang w:val="en-US" w:eastAsia="ko-KR"/>
              </w:rPr>
              <w:t xml:space="preserve">fee-waiver </w:t>
            </w:r>
            <w:r w:rsidRPr="00CB6CBA">
              <w:rPr>
                <w:szCs w:val="22"/>
                <w:lang w:val="en-US"/>
              </w:rPr>
              <w:t>factor</w:t>
            </w:r>
          </w:p>
        </w:tc>
        <w:tc>
          <w:tcPr>
            <w:tcW w:w="1134" w:type="dxa"/>
          </w:tcPr>
          <w:p w:rsidR="00CA3B52" w:rsidRDefault="00CA3B52" w:rsidP="002D1D5C">
            <w:pPr>
              <w:pStyle w:val="Tabletext"/>
              <w:jc w:val="center"/>
              <w:rPr>
                <w:rFonts w:eastAsia="???"/>
                <w:szCs w:val="22"/>
                <w:lang w:val="en-US"/>
              </w:rPr>
            </w:pPr>
            <w:r w:rsidRPr="00CB6CBA">
              <w:rPr>
                <w:rFonts w:eastAsia="???"/>
                <w:szCs w:val="22"/>
                <w:lang w:val="en-US"/>
              </w:rPr>
              <w:t>0.01</w:t>
            </w:r>
          </w:p>
        </w:tc>
        <w:tc>
          <w:tcPr>
            <w:tcW w:w="1134" w:type="dxa"/>
          </w:tcPr>
          <w:p w:rsidR="00CA3B52" w:rsidRDefault="00CA3B52" w:rsidP="002D1D5C">
            <w:pPr>
              <w:pStyle w:val="Tabletext"/>
              <w:jc w:val="center"/>
              <w:rPr>
                <w:szCs w:val="22"/>
                <w:lang w:val="en-US"/>
              </w:rPr>
            </w:pPr>
            <w:r w:rsidRPr="00CB6CBA">
              <w:rPr>
                <w:szCs w:val="22"/>
                <w:lang w:val="en-US"/>
              </w:rPr>
              <w:t>0.02</w:t>
            </w:r>
          </w:p>
        </w:tc>
        <w:tc>
          <w:tcPr>
            <w:tcW w:w="1134" w:type="dxa"/>
          </w:tcPr>
          <w:p w:rsidR="00CA3B52" w:rsidRDefault="00CA3B52" w:rsidP="002D1D5C">
            <w:pPr>
              <w:pStyle w:val="Tabletext"/>
              <w:jc w:val="center"/>
              <w:rPr>
                <w:szCs w:val="22"/>
                <w:lang w:val="en-US"/>
              </w:rPr>
            </w:pPr>
            <w:r w:rsidRPr="00CB6CBA">
              <w:rPr>
                <w:szCs w:val="22"/>
                <w:lang w:val="en-US"/>
              </w:rPr>
              <w:t>0.03</w:t>
            </w:r>
          </w:p>
        </w:tc>
        <w:tc>
          <w:tcPr>
            <w:tcW w:w="1134" w:type="dxa"/>
          </w:tcPr>
          <w:p w:rsidR="00CA3B52" w:rsidRDefault="00CA3B52" w:rsidP="002D1D5C">
            <w:pPr>
              <w:pStyle w:val="Tabletext"/>
              <w:jc w:val="center"/>
              <w:rPr>
                <w:szCs w:val="22"/>
                <w:lang w:val="en-US"/>
              </w:rPr>
            </w:pPr>
            <w:r w:rsidRPr="00CB6CBA">
              <w:rPr>
                <w:szCs w:val="22"/>
                <w:lang w:val="en-US"/>
              </w:rPr>
              <w:t>0.04</w:t>
            </w:r>
          </w:p>
        </w:tc>
        <w:tc>
          <w:tcPr>
            <w:tcW w:w="1134" w:type="dxa"/>
          </w:tcPr>
          <w:p w:rsidR="00CA3B52" w:rsidRDefault="00CA3B52" w:rsidP="002D1D5C">
            <w:pPr>
              <w:pStyle w:val="Tabletext"/>
              <w:jc w:val="center"/>
              <w:rPr>
                <w:szCs w:val="22"/>
                <w:lang w:val="en-US"/>
              </w:rPr>
            </w:pPr>
            <w:r w:rsidRPr="00CB6CBA">
              <w:rPr>
                <w:szCs w:val="22"/>
                <w:lang w:val="en-US"/>
              </w:rPr>
              <w:t>0.05</w:t>
            </w:r>
          </w:p>
        </w:tc>
      </w:tr>
    </w:tbl>
    <w:p w:rsidR="00CA3B52" w:rsidRDefault="00CA3B52" w:rsidP="00CA3B52">
      <w:pPr>
        <w:pStyle w:val="Tablefin"/>
      </w:pPr>
    </w:p>
    <w:p w:rsidR="00CA3B52" w:rsidRPr="00CB6CBA" w:rsidRDefault="00BD5038" w:rsidP="00BD5038">
      <w:pPr>
        <w:pStyle w:val="Note"/>
        <w:rPr>
          <w:lang w:val="en-US" w:eastAsia="ko-KR"/>
        </w:rPr>
      </w:pPr>
      <w:r>
        <w:rPr>
          <w:lang w:val="en-US" w:eastAsia="ko-KR"/>
        </w:rPr>
        <w:t xml:space="preserve">NOTE </w:t>
      </w:r>
      <w:r w:rsidRPr="008D77BF">
        <w:rPr>
          <w:rFonts w:hint="eastAsia"/>
          <w:lang w:val="en-US" w:eastAsia="ko-KR"/>
        </w:rPr>
        <w:t>1</w:t>
      </w:r>
      <w:r>
        <w:rPr>
          <w:i/>
          <w:iCs/>
          <w:lang w:val="en-US" w:eastAsia="ko-KR"/>
        </w:rPr>
        <w:t xml:space="preserve"> – </w:t>
      </w:r>
      <w:r w:rsidR="00CA3B52" w:rsidRPr="00CB6CBA">
        <w:rPr>
          <w:i/>
          <w:iCs/>
          <w:lang w:val="en-US"/>
        </w:rPr>
        <w:t>Frequency use efficiency</w:t>
      </w:r>
      <w:r w:rsidR="00CA3B52" w:rsidRPr="00F5367F">
        <w:rPr>
          <w:lang w:val="en-US"/>
        </w:rPr>
        <w:t xml:space="preserve">: </w:t>
      </w:r>
      <w:r w:rsidR="00CA3B52" w:rsidRPr="00CB6CBA">
        <w:rPr>
          <w:lang w:val="en-US"/>
        </w:rPr>
        <w:t xml:space="preserve">Ratio of the </w:t>
      </w:r>
      <w:r w:rsidR="00CA3B52" w:rsidRPr="00CB6CBA">
        <w:rPr>
          <w:lang w:val="en-US" w:eastAsia="ko-KR"/>
        </w:rPr>
        <w:t>avera</w:t>
      </w:r>
      <w:r w:rsidR="00CA3B52" w:rsidRPr="00CB6CBA">
        <w:rPr>
          <w:lang w:val="en-US"/>
        </w:rPr>
        <w:t xml:space="preserve">ge number of subscribers per frequency assignment to the basic </w:t>
      </w:r>
      <w:r w:rsidR="00CA3B52" w:rsidRPr="00CB6CBA">
        <w:rPr>
          <w:lang w:val="en-US" w:eastAsia="ko-KR"/>
        </w:rPr>
        <w:t xml:space="preserve">capacity of the number of </w:t>
      </w:r>
      <w:r w:rsidR="00CA3B52" w:rsidRPr="00CB6CBA">
        <w:rPr>
          <w:lang w:val="en-US"/>
        </w:rPr>
        <w:t>subscribers.</w:t>
      </w:r>
    </w:p>
    <w:p w:rsidR="00CA3B52" w:rsidRPr="00CB6CBA" w:rsidRDefault="00BD5038" w:rsidP="00BD5038">
      <w:pPr>
        <w:pStyle w:val="Note"/>
        <w:rPr>
          <w:lang w:val="en-US" w:eastAsia="ko-KR"/>
        </w:rPr>
      </w:pPr>
      <w:r>
        <w:rPr>
          <w:lang w:val="en-US" w:eastAsia="ko-KR"/>
        </w:rPr>
        <w:t>NOTE 2</w:t>
      </w:r>
      <w:r>
        <w:rPr>
          <w:i/>
          <w:iCs/>
          <w:lang w:val="en-US" w:eastAsia="ko-KR"/>
        </w:rPr>
        <w:t xml:space="preserve"> – </w:t>
      </w:r>
      <w:r w:rsidR="00CA3B52" w:rsidRPr="00CB6CBA">
        <w:rPr>
          <w:lang w:val="en-US" w:eastAsia="ko-KR"/>
        </w:rPr>
        <w:t>The frequency use efficiency</w:t>
      </w:r>
      <w:r w:rsidR="00CA3B52">
        <w:rPr>
          <w:rFonts w:hint="eastAsia"/>
          <w:lang w:val="en-US" w:eastAsia="ko-KR"/>
        </w:rPr>
        <w:t xml:space="preserve"> fee-waiver</w:t>
      </w:r>
      <w:r w:rsidR="00CA3B52" w:rsidRPr="00CB6CBA">
        <w:rPr>
          <w:lang w:val="en-US" w:eastAsia="ko-KR"/>
        </w:rPr>
        <w:t xml:space="preserve"> factor does not apply to the radio pager, trunked radio sys</w:t>
      </w:r>
      <w:r>
        <w:rPr>
          <w:lang w:val="en-US" w:eastAsia="ko-KR"/>
        </w:rPr>
        <w:t>tem (TRS), location-</w:t>
      </w:r>
      <w:r w:rsidR="00CA3B52" w:rsidRPr="00CB6CBA">
        <w:rPr>
          <w:lang w:val="en-US" w:eastAsia="ko-KR"/>
        </w:rPr>
        <w:t>based system (LBS) and wireless data services.</w:t>
      </w:r>
    </w:p>
    <w:p w:rsidR="00CA3B52" w:rsidRDefault="00CA3B52" w:rsidP="00CA3B52">
      <w:pPr>
        <w:pStyle w:val="Headingb"/>
        <w:rPr>
          <w:szCs w:val="24"/>
          <w:lang w:val="en-US" w:eastAsia="ko-KR"/>
        </w:rPr>
      </w:pPr>
      <w:r>
        <w:rPr>
          <w:szCs w:val="24"/>
          <w:lang w:val="en-US" w:eastAsia="ko-KR"/>
        </w:rPr>
        <w:t>e)</w:t>
      </w:r>
      <w:r>
        <w:rPr>
          <w:szCs w:val="24"/>
          <w:lang w:val="en-US" w:eastAsia="ko-KR"/>
        </w:rPr>
        <w:tab/>
      </w:r>
      <w:r w:rsidRPr="00CB6CBA">
        <w:rPr>
          <w:szCs w:val="24"/>
          <w:lang w:val="en-US" w:eastAsia="ko-KR"/>
        </w:rPr>
        <w:t xml:space="preserve">Radio characteristic factor </w:t>
      </w:r>
    </w:p>
    <w:p w:rsidR="00CA3B52" w:rsidRPr="00F50757" w:rsidRDefault="00CA3B52" w:rsidP="00CA3B52">
      <w:pPr>
        <w:pStyle w:val="Blanc"/>
        <w:rPr>
          <w:lang w:eastAsia="ko-KR"/>
        </w:rPr>
      </w:pP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14"/>
        <w:gridCol w:w="4536"/>
      </w:tblGrid>
      <w:tr w:rsidR="00CA3B52" w:rsidRPr="00CB6CBA" w:rsidTr="002D1D5C">
        <w:tc>
          <w:tcPr>
            <w:tcW w:w="4314" w:type="dxa"/>
          </w:tcPr>
          <w:p w:rsidR="00CA3B52" w:rsidRPr="00CB6CBA" w:rsidRDefault="00CA3B52" w:rsidP="002D1D5C">
            <w:pPr>
              <w:pStyle w:val="Tablehead"/>
              <w:rPr>
                <w:lang w:val="en-US"/>
              </w:rPr>
            </w:pPr>
            <w:r w:rsidRPr="00CB6CBA">
              <w:rPr>
                <w:lang w:val="en-US"/>
              </w:rPr>
              <w:t xml:space="preserve">Frequency </w:t>
            </w:r>
            <w:r w:rsidRPr="00CB6CBA">
              <w:rPr>
                <w:lang w:val="en-US" w:eastAsia="ko-KR"/>
              </w:rPr>
              <w:t>band</w:t>
            </w:r>
          </w:p>
        </w:tc>
        <w:tc>
          <w:tcPr>
            <w:tcW w:w="4536" w:type="dxa"/>
          </w:tcPr>
          <w:p w:rsidR="00CA3B52" w:rsidRPr="00CB6CBA" w:rsidRDefault="00CA3B52" w:rsidP="002D1D5C">
            <w:pPr>
              <w:pStyle w:val="Tablehead"/>
              <w:rPr>
                <w:rFonts w:eastAsia="???"/>
                <w:lang w:val="en-US" w:eastAsia="ko-KR"/>
              </w:rPr>
            </w:pPr>
            <w:r w:rsidRPr="00CB6CBA">
              <w:rPr>
                <w:rFonts w:eastAsia="???"/>
                <w:lang w:val="en-US" w:eastAsia="ko-KR"/>
              </w:rPr>
              <w:t>Radio characteristic factor</w:t>
            </w:r>
          </w:p>
        </w:tc>
      </w:tr>
      <w:tr w:rsidR="00CA3B52" w:rsidRPr="00CB6CBA" w:rsidTr="002D1D5C">
        <w:tc>
          <w:tcPr>
            <w:tcW w:w="4314" w:type="dxa"/>
          </w:tcPr>
          <w:p w:rsidR="00CA3B52" w:rsidRDefault="00CA3B52" w:rsidP="002D1D5C">
            <w:pPr>
              <w:pStyle w:val="Tabletext"/>
              <w:jc w:val="center"/>
              <w:rPr>
                <w:lang w:val="en-US"/>
              </w:rPr>
            </w:pPr>
            <w:r w:rsidRPr="00CB6CBA">
              <w:rPr>
                <w:lang w:val="en-US" w:eastAsia="ko-KR"/>
              </w:rPr>
              <w:t>&lt; 1</w:t>
            </w:r>
            <w:r>
              <w:rPr>
                <w:lang w:val="en-US" w:eastAsia="ko-KR"/>
              </w:rPr>
              <w:t xml:space="preserve"> </w:t>
            </w:r>
            <w:r w:rsidRPr="00CB6CBA">
              <w:rPr>
                <w:lang w:val="en-US" w:eastAsia="ko-KR"/>
              </w:rPr>
              <w:t>GHz</w:t>
            </w:r>
          </w:p>
        </w:tc>
        <w:tc>
          <w:tcPr>
            <w:tcW w:w="4536" w:type="dxa"/>
          </w:tcPr>
          <w:p w:rsidR="00CA3B52" w:rsidRDefault="00CA3B52" w:rsidP="002D1D5C">
            <w:pPr>
              <w:pStyle w:val="Tabletext"/>
              <w:jc w:val="center"/>
              <w:rPr>
                <w:rFonts w:eastAsia="???"/>
                <w:lang w:val="en-US"/>
              </w:rPr>
            </w:pPr>
            <w:r w:rsidRPr="00CB6CBA">
              <w:rPr>
                <w:rFonts w:eastAsia="???"/>
                <w:lang w:val="en-US" w:eastAsia="ko-KR"/>
              </w:rPr>
              <w:t>1.16</w:t>
            </w:r>
          </w:p>
        </w:tc>
      </w:tr>
      <w:tr w:rsidR="00CA3B52" w:rsidRPr="00CB6CBA" w:rsidTr="002D1D5C">
        <w:tc>
          <w:tcPr>
            <w:tcW w:w="4314" w:type="dxa"/>
          </w:tcPr>
          <w:p w:rsidR="00CA3B52" w:rsidRDefault="00CA3B52" w:rsidP="002D1D5C">
            <w:pPr>
              <w:pStyle w:val="Tabletext"/>
              <w:jc w:val="center"/>
              <w:rPr>
                <w:szCs w:val="18"/>
                <w:lang w:val="en-US" w:eastAsia="ko-KR"/>
              </w:rPr>
            </w:pPr>
            <w:r w:rsidRPr="00CB6CBA">
              <w:rPr>
                <w:szCs w:val="18"/>
                <w:lang w:val="en-US" w:eastAsia="ko-KR"/>
              </w:rPr>
              <w:t>1</w:t>
            </w:r>
            <w:r>
              <w:rPr>
                <w:szCs w:val="18"/>
                <w:lang w:val="en-US" w:eastAsia="ko-KR"/>
              </w:rPr>
              <w:t xml:space="preserve"> </w:t>
            </w:r>
            <w:r w:rsidRPr="00CB6CBA">
              <w:rPr>
                <w:szCs w:val="18"/>
                <w:lang w:val="en-US" w:eastAsia="ko-KR"/>
              </w:rPr>
              <w:t>GHz</w:t>
            </w:r>
            <w:r>
              <w:rPr>
                <w:szCs w:val="18"/>
                <w:lang w:val="en-US" w:eastAsia="ko-KR"/>
              </w:rPr>
              <w:t xml:space="preserve"> </w:t>
            </w:r>
            <w:r w:rsidRPr="00CB6CBA">
              <w:rPr>
                <w:szCs w:val="18"/>
                <w:lang w:val="en-US" w:eastAsia="ko-KR"/>
              </w:rPr>
              <w:t>~</w:t>
            </w:r>
            <w:r>
              <w:rPr>
                <w:szCs w:val="18"/>
                <w:lang w:val="en-US" w:eastAsia="ko-KR"/>
              </w:rPr>
              <w:t xml:space="preserve"> </w:t>
            </w:r>
            <w:r w:rsidRPr="00CB6CBA">
              <w:rPr>
                <w:szCs w:val="18"/>
                <w:lang w:val="en-US" w:eastAsia="ko-KR"/>
              </w:rPr>
              <w:t>3 GHz</w:t>
            </w:r>
          </w:p>
        </w:tc>
        <w:tc>
          <w:tcPr>
            <w:tcW w:w="4536" w:type="dxa"/>
          </w:tcPr>
          <w:p w:rsidR="00CA3B52" w:rsidRDefault="00CA3B52" w:rsidP="002D1D5C">
            <w:pPr>
              <w:pStyle w:val="Tabletext"/>
              <w:jc w:val="center"/>
              <w:rPr>
                <w:rFonts w:eastAsia="???"/>
                <w:szCs w:val="18"/>
                <w:lang w:val="en-US" w:eastAsia="ko-KR"/>
              </w:rPr>
            </w:pPr>
            <w:r w:rsidRPr="00CB6CBA">
              <w:rPr>
                <w:rFonts w:eastAsia="???"/>
                <w:szCs w:val="18"/>
                <w:lang w:val="en-US" w:eastAsia="ko-KR"/>
              </w:rPr>
              <w:t>0.81</w:t>
            </w:r>
          </w:p>
        </w:tc>
      </w:tr>
    </w:tbl>
    <w:p w:rsidR="00CA3B52" w:rsidRDefault="00CA3B52" w:rsidP="00CA3B52">
      <w:pPr>
        <w:pStyle w:val="Tablefin"/>
      </w:pPr>
    </w:p>
    <w:p w:rsidR="00CA3B52" w:rsidRPr="00EB2773" w:rsidRDefault="00CA3B52" w:rsidP="00A3079E">
      <w:pPr>
        <w:pStyle w:val="Note"/>
        <w:rPr>
          <w:lang w:val="en-US" w:eastAsia="ko-KR"/>
        </w:rPr>
      </w:pPr>
      <w:r w:rsidRPr="00EB2773">
        <w:rPr>
          <w:lang w:val="en-US"/>
        </w:rPr>
        <w:t>NOTE</w:t>
      </w:r>
      <w:r w:rsidR="00BD5038">
        <w:rPr>
          <w:lang w:val="en-US"/>
        </w:rPr>
        <w:t xml:space="preserve"> 1 – </w:t>
      </w:r>
      <w:r>
        <w:rPr>
          <w:rFonts w:hint="eastAsia"/>
          <w:lang w:val="en-US" w:eastAsia="ko-KR"/>
        </w:rPr>
        <w:t>The radio characteristic</w:t>
      </w:r>
      <w:r w:rsidRPr="00EB2773">
        <w:rPr>
          <w:lang w:val="en-US" w:eastAsia="ko-KR"/>
        </w:rPr>
        <w:t xml:space="preserve"> factor does not apply</w:t>
      </w:r>
      <w:r>
        <w:rPr>
          <w:rFonts w:hint="eastAsia"/>
          <w:lang w:val="en-US" w:eastAsia="ko-KR"/>
        </w:rPr>
        <w:t xml:space="preserve"> to </w:t>
      </w:r>
      <w:r>
        <w:rPr>
          <w:lang w:val="en-US" w:eastAsia="ko-KR"/>
        </w:rPr>
        <w:t>radio pager, TRS, LBS</w:t>
      </w:r>
      <w:r>
        <w:rPr>
          <w:rFonts w:hint="eastAsia"/>
          <w:lang w:val="en-US" w:eastAsia="ko-KR"/>
        </w:rPr>
        <w:t xml:space="preserve">, </w:t>
      </w:r>
      <w:r w:rsidRPr="00EB2773">
        <w:rPr>
          <w:lang w:val="en-US" w:eastAsia="ko-KR"/>
        </w:rPr>
        <w:t>wireless data services</w:t>
      </w:r>
      <w:r>
        <w:rPr>
          <w:rFonts w:hint="eastAsia"/>
          <w:lang w:val="en-US" w:eastAsia="ko-KR"/>
        </w:rPr>
        <w:t xml:space="preserve"> and licensed station.</w:t>
      </w:r>
      <w:r w:rsidRPr="00EB2773">
        <w:rPr>
          <w:lang w:val="en-US" w:eastAsia="ko-KR"/>
        </w:rPr>
        <w:t xml:space="preserve"> </w:t>
      </w:r>
    </w:p>
    <w:p w:rsidR="00CA3B52" w:rsidRPr="00CB6CBA" w:rsidRDefault="00CA3B52" w:rsidP="00CA3B52">
      <w:pPr>
        <w:rPr>
          <w:lang w:val="en-US"/>
        </w:rPr>
      </w:pPr>
      <w:r w:rsidRPr="00CB6CBA">
        <w:rPr>
          <w:b/>
          <w:i/>
          <w:iCs/>
          <w:lang w:val="en-US" w:eastAsia="ko-KR"/>
        </w:rPr>
        <w:t>Category 2</w:t>
      </w:r>
      <w:r w:rsidRPr="00D6684A">
        <w:rPr>
          <w:lang w:val="en-US"/>
        </w:rPr>
        <w:t xml:space="preserve">: </w:t>
      </w:r>
      <w:r>
        <w:rPr>
          <w:rFonts w:hint="eastAsia"/>
          <w:lang w:val="en-US" w:eastAsia="ko-KR"/>
        </w:rPr>
        <w:t xml:space="preserve">Based on the radio station. </w:t>
      </w:r>
    </w:p>
    <w:p w:rsidR="00CA3B52" w:rsidRPr="00CB6CBA" w:rsidRDefault="00CA3B52" w:rsidP="00CA3B52">
      <w:pPr>
        <w:rPr>
          <w:lang w:val="en-US"/>
        </w:rPr>
      </w:pPr>
      <w:r w:rsidRPr="00CB6CBA">
        <w:rPr>
          <w:lang w:val="en-US"/>
        </w:rPr>
        <w:t xml:space="preserve">The </w:t>
      </w:r>
      <w:r w:rsidRPr="00CB6CBA">
        <w:rPr>
          <w:lang w:val="en-US" w:eastAsia="ko-KR"/>
        </w:rPr>
        <w:t xml:space="preserve">spectrum </w:t>
      </w:r>
      <w:r>
        <w:rPr>
          <w:lang w:val="en-US" w:eastAsia="ko-KR"/>
        </w:rPr>
        <w:t>utilization</w:t>
      </w:r>
      <w:r>
        <w:rPr>
          <w:rFonts w:hint="eastAsia"/>
          <w:lang w:val="en-US" w:eastAsia="ko-KR"/>
        </w:rPr>
        <w:t xml:space="preserve"> </w:t>
      </w:r>
      <w:r w:rsidRPr="00CB6CBA">
        <w:rPr>
          <w:lang w:val="en-US" w:eastAsia="ko-KR"/>
        </w:rPr>
        <w:t>fee (SF)</w:t>
      </w:r>
      <w:r w:rsidRPr="00CB6CBA">
        <w:rPr>
          <w:lang w:val="en-US"/>
        </w:rPr>
        <w:t xml:space="preserve"> is imposed on the </w:t>
      </w:r>
      <w:r>
        <w:rPr>
          <w:rFonts w:hint="eastAsia"/>
          <w:lang w:val="en-US" w:eastAsia="ko-KR"/>
        </w:rPr>
        <w:t>radio station</w:t>
      </w:r>
      <w:r w:rsidRPr="00CB6CBA">
        <w:rPr>
          <w:lang w:val="en-US" w:eastAsia="ko-KR"/>
        </w:rPr>
        <w:t xml:space="preserve"> </w:t>
      </w:r>
      <w:r w:rsidRPr="00CB6CBA">
        <w:rPr>
          <w:lang w:val="en-US"/>
        </w:rPr>
        <w:t>according to th</w:t>
      </w:r>
      <w:r w:rsidRPr="00CB6CBA">
        <w:rPr>
          <w:lang w:val="en-US" w:eastAsia="ko-KR"/>
        </w:rPr>
        <w:t>e</w:t>
      </w:r>
      <w:r w:rsidRPr="00CB6CBA">
        <w:rPr>
          <w:lang w:val="en-US"/>
        </w:rPr>
        <w:t xml:space="preserve"> equation:</w:t>
      </w:r>
    </w:p>
    <w:p w:rsidR="00CA3B52" w:rsidRDefault="00CA3B52" w:rsidP="00CA3B52">
      <w:pPr>
        <w:pStyle w:val="Equation"/>
        <w:rPr>
          <w:lang w:val="en-US" w:eastAsia="ko-KR"/>
        </w:rPr>
      </w:pPr>
      <w:r w:rsidRPr="00CB6CBA">
        <w:rPr>
          <w:lang w:val="en-US"/>
        </w:rPr>
        <w:tab/>
      </w:r>
      <w:r w:rsidRPr="00CB6CBA">
        <w:rPr>
          <w:lang w:val="en-US"/>
        </w:rPr>
        <w:tab/>
      </w:r>
      <w:r w:rsidRPr="00D6684A">
        <w:rPr>
          <w:position w:val="-14"/>
          <w:lang w:val="en-US"/>
        </w:rPr>
        <w:object w:dxaOrig="4000" w:dyaOrig="380">
          <v:shape id="_x0000_i1143" type="#_x0000_t75" style="width:196.85pt;height:18.7pt" o:ole="" fillcolor="window">
            <v:imagedata r:id="rId260" o:title=""/>
          </v:shape>
          <o:OLEObject Type="Embed" ProgID="Equation.3" ShapeID="_x0000_i1143" DrawAspect="Content" ObjectID="_1511604932" r:id="rId261"/>
        </w:object>
      </w:r>
      <w:r w:rsidRPr="00CB6CBA">
        <w:rPr>
          <w:lang w:val="en-US"/>
        </w:rPr>
        <w:tab/>
      </w:r>
      <w:r>
        <w:rPr>
          <w:lang w:val="en-US"/>
        </w:rPr>
        <w:t>(72)</w:t>
      </w:r>
    </w:p>
    <w:p w:rsidR="00CA3B52" w:rsidRPr="00CB6CBA" w:rsidRDefault="00CA3B52" w:rsidP="00CA3B52">
      <w:pPr>
        <w:rPr>
          <w:lang w:val="en-US"/>
        </w:rPr>
      </w:pPr>
      <w:r w:rsidRPr="00CB6CBA">
        <w:rPr>
          <w:lang w:val="en-US"/>
        </w:rPr>
        <w:t>where:</w:t>
      </w:r>
    </w:p>
    <w:p w:rsidR="00CA3B52" w:rsidRPr="00CB6CBA" w:rsidRDefault="00CA3B52" w:rsidP="00CA3B52">
      <w:pPr>
        <w:pStyle w:val="Equationlegend"/>
        <w:rPr>
          <w:lang w:eastAsia="ko-KR"/>
        </w:rPr>
      </w:pPr>
      <w:r w:rsidRPr="00CB6CBA">
        <w:rPr>
          <w:lang w:eastAsia="ko-KR"/>
        </w:rPr>
        <w:tab/>
      </w:r>
      <w:r w:rsidRPr="00953132">
        <w:rPr>
          <w:i/>
          <w:lang w:eastAsia="ko-KR"/>
        </w:rPr>
        <w:t>B</w:t>
      </w:r>
      <w:r w:rsidRPr="0051399B">
        <w:rPr>
          <w:rFonts w:hint="eastAsia"/>
          <w:i/>
          <w:iCs/>
          <w:vertAlign w:val="subscript"/>
          <w:lang w:eastAsia="ko-KR"/>
        </w:rPr>
        <w:t>p</w:t>
      </w:r>
      <w:r w:rsidRPr="00CE304C">
        <w:rPr>
          <w:rFonts w:asciiTheme="majorBidi" w:hAnsiTheme="majorBidi" w:cstheme="majorBidi"/>
          <w:sz w:val="16"/>
          <w:szCs w:val="16"/>
        </w:rPr>
        <w:t> </w:t>
      </w:r>
      <w:r w:rsidRPr="00CB6CBA">
        <w:t>:</w:t>
      </w:r>
      <w:r w:rsidRPr="00CB6CBA">
        <w:tab/>
        <w:t xml:space="preserve">basic </w:t>
      </w:r>
      <w:r w:rsidRPr="00CB6CBA">
        <w:rPr>
          <w:lang w:eastAsia="ko-KR"/>
        </w:rPr>
        <w:t>price</w:t>
      </w:r>
    </w:p>
    <w:p w:rsidR="00CA3B52" w:rsidRPr="00CB6CBA" w:rsidRDefault="00CA3B52" w:rsidP="00CA3B52">
      <w:pPr>
        <w:pStyle w:val="Equationlegend"/>
      </w:pPr>
      <w:r w:rsidRPr="00CB6CBA">
        <w:tab/>
      </w:r>
      <w:r w:rsidRPr="00CB6CBA">
        <w:rPr>
          <w:i/>
          <w:iCs/>
        </w:rPr>
        <w:t>U</w:t>
      </w:r>
      <w:r w:rsidRPr="00CB6CBA">
        <w:rPr>
          <w:i/>
          <w:iCs/>
          <w:vertAlign w:val="subscript"/>
        </w:rPr>
        <w:t>f</w:t>
      </w:r>
      <w:r w:rsidRPr="00CE304C">
        <w:rPr>
          <w:rFonts w:asciiTheme="majorBidi" w:hAnsiTheme="majorBidi" w:cstheme="majorBidi"/>
          <w:sz w:val="16"/>
          <w:szCs w:val="16"/>
        </w:rPr>
        <w:t> </w:t>
      </w:r>
      <w:r w:rsidRPr="00CB6CBA">
        <w:t>:</w:t>
      </w:r>
      <w:r w:rsidRPr="00CB6CBA">
        <w:rPr>
          <w:i/>
          <w:iCs/>
        </w:rPr>
        <w:t xml:space="preserve"> </w:t>
      </w:r>
      <w:r w:rsidRPr="00CB6CBA">
        <w:rPr>
          <w:i/>
          <w:iCs/>
        </w:rPr>
        <w:tab/>
      </w:r>
      <w:r>
        <w:rPr>
          <w:rFonts w:hint="eastAsia"/>
          <w:lang w:eastAsia="ko-KR"/>
        </w:rPr>
        <w:t>spectrum utilization amount factor</w:t>
      </w:r>
    </w:p>
    <w:p w:rsidR="00CA3B52" w:rsidRPr="00CB6CBA" w:rsidRDefault="00CA3B52" w:rsidP="00CA3B52">
      <w:pPr>
        <w:pStyle w:val="Equationlegend"/>
        <w:rPr>
          <w:lang w:eastAsia="ko-KR"/>
        </w:rPr>
      </w:pPr>
      <w:r w:rsidRPr="00CB6CBA">
        <w:rPr>
          <w:i/>
          <w:iCs/>
        </w:rPr>
        <w:tab/>
        <w:t>S</w:t>
      </w:r>
      <w:r w:rsidRPr="00CB6CBA">
        <w:rPr>
          <w:i/>
          <w:iCs/>
          <w:vertAlign w:val="subscript"/>
        </w:rPr>
        <w:t>f</w:t>
      </w:r>
      <w:r w:rsidRPr="00CE304C">
        <w:rPr>
          <w:rFonts w:asciiTheme="majorBidi" w:hAnsiTheme="majorBidi" w:cstheme="majorBidi"/>
          <w:sz w:val="16"/>
          <w:szCs w:val="16"/>
        </w:rPr>
        <w:t> </w:t>
      </w:r>
      <w:r w:rsidRPr="00CB6CBA">
        <w:t>:</w:t>
      </w:r>
      <w:r w:rsidRPr="00CB6CBA">
        <w:rPr>
          <w:i/>
          <w:iCs/>
        </w:rPr>
        <w:tab/>
      </w:r>
      <w:r w:rsidRPr="00CB6CBA">
        <w:t>service factor</w:t>
      </w:r>
    </w:p>
    <w:p w:rsidR="00CA3B52" w:rsidRDefault="00CA3B52" w:rsidP="00CA3B52">
      <w:pPr>
        <w:pStyle w:val="Equationlegend"/>
        <w:rPr>
          <w:lang w:eastAsia="ko-KR"/>
        </w:rPr>
      </w:pPr>
      <w:r w:rsidRPr="00CB6CBA">
        <w:tab/>
      </w:r>
      <w:r w:rsidRPr="00CB6CBA">
        <w:rPr>
          <w:i/>
          <w:iCs/>
          <w:position w:val="-12"/>
          <w:lang w:eastAsia="ko-KR"/>
        </w:rPr>
        <w:object w:dxaOrig="300" w:dyaOrig="360">
          <v:shape id="_x0000_i1144" type="#_x0000_t75" style="width:14.95pt;height:19.15pt" o:ole="">
            <v:imagedata r:id="rId262" o:title=""/>
          </v:shape>
          <o:OLEObject Type="Embed" ProgID="Equation.DSMT4" ShapeID="_x0000_i1144" DrawAspect="Content" ObjectID="_1511604933" r:id="rId263"/>
        </w:object>
      </w:r>
      <w:r w:rsidRPr="00CB6CBA">
        <w:t>:</w:t>
      </w:r>
      <w:r w:rsidRPr="00CB6CBA">
        <w:tab/>
      </w:r>
      <w:r w:rsidRPr="00CB6CBA">
        <w:rPr>
          <w:lang w:eastAsia="ko-KR"/>
        </w:rPr>
        <w:t xml:space="preserve">facility sharing </w:t>
      </w:r>
      <w:r>
        <w:rPr>
          <w:rFonts w:hint="eastAsia"/>
          <w:lang w:eastAsia="ko-KR"/>
        </w:rPr>
        <w:t xml:space="preserve">fee-waiver </w:t>
      </w:r>
      <w:r w:rsidRPr="00CB6CBA">
        <w:rPr>
          <w:lang w:eastAsia="ko-KR"/>
        </w:rPr>
        <w:t>factor</w:t>
      </w:r>
    </w:p>
    <w:p w:rsidR="00CA3B52" w:rsidRDefault="00CA3B52" w:rsidP="00CA3B52">
      <w:pPr>
        <w:pStyle w:val="Equationlegend"/>
        <w:rPr>
          <w:lang w:eastAsia="ko-KR"/>
        </w:rPr>
      </w:pPr>
      <w:r w:rsidRPr="00CB6CBA">
        <w:tab/>
      </w:r>
      <w:r w:rsidRPr="00EB2773">
        <w:rPr>
          <w:rFonts w:asciiTheme="majorBidi" w:hAnsiTheme="majorBidi" w:cstheme="majorBidi"/>
          <w:i/>
          <w:iCs/>
        </w:rPr>
        <w:t>E</w:t>
      </w:r>
      <w:r w:rsidRPr="00EB2773">
        <w:rPr>
          <w:rFonts w:asciiTheme="majorBidi" w:hAnsiTheme="majorBidi" w:cstheme="majorBidi"/>
          <w:i/>
          <w:iCs/>
          <w:vertAlign w:val="subscript"/>
        </w:rPr>
        <w:t>f</w:t>
      </w:r>
      <w:r>
        <w:rPr>
          <w:rFonts w:asciiTheme="majorBidi" w:hAnsiTheme="majorBidi" w:cstheme="majorBidi" w:hint="eastAsia"/>
          <w:i/>
          <w:iCs/>
          <w:sz w:val="12"/>
          <w:lang w:eastAsia="ko-KR"/>
        </w:rPr>
        <w:t xml:space="preserve"> </w:t>
      </w:r>
      <w:r w:rsidRPr="00813194">
        <w:rPr>
          <w:rFonts w:asciiTheme="majorBidi" w:hAnsiTheme="majorBidi" w:cstheme="majorBidi" w:hint="eastAsia"/>
          <w:i/>
          <w:iCs/>
          <w:vertAlign w:val="subscript"/>
        </w:rPr>
        <w:t xml:space="preserve">f </w:t>
      </w:r>
      <w:r w:rsidRPr="00CB6CBA">
        <w:t>:</w:t>
      </w:r>
      <w:r w:rsidRPr="00CB6CBA">
        <w:tab/>
      </w:r>
      <w:r>
        <w:rPr>
          <w:rFonts w:hint="eastAsia"/>
          <w:lang w:eastAsia="ko-KR"/>
        </w:rPr>
        <w:t>eco-friendly fee-waiver factor</w:t>
      </w:r>
      <w:r>
        <w:rPr>
          <w:lang w:eastAsia="ko-KR"/>
        </w:rPr>
        <w:t>.</w:t>
      </w:r>
    </w:p>
    <w:p w:rsidR="00CA3B52" w:rsidRPr="00CB6CBA" w:rsidRDefault="00CA3B52" w:rsidP="00A55FD9">
      <w:pPr>
        <w:keepNext/>
        <w:rPr>
          <w:lang w:val="en-US" w:eastAsia="ko-KR"/>
        </w:rPr>
      </w:pPr>
      <w:r w:rsidRPr="00CB6CBA">
        <w:rPr>
          <w:lang w:val="en-US"/>
        </w:rPr>
        <w:t>Described as follows:</w:t>
      </w:r>
    </w:p>
    <w:p w:rsidR="00CA3B52" w:rsidRPr="00CB6CBA" w:rsidRDefault="00CA3B52" w:rsidP="00CA3B52">
      <w:pPr>
        <w:pStyle w:val="Equation"/>
        <w:rPr>
          <w:lang w:val="en-US"/>
        </w:rPr>
      </w:pPr>
      <w:r w:rsidRPr="00CB6CBA">
        <w:rPr>
          <w:bCs/>
          <w:i/>
          <w:lang w:val="en-US"/>
        </w:rPr>
        <w:t xml:space="preserve">Basic </w:t>
      </w:r>
      <w:r w:rsidRPr="00CB6CBA">
        <w:rPr>
          <w:bCs/>
          <w:i/>
          <w:lang w:val="en-US" w:eastAsia="ko-KR"/>
        </w:rPr>
        <w:t>price</w:t>
      </w:r>
      <w:r w:rsidRPr="00813194">
        <w:rPr>
          <w:bCs/>
          <w:iCs/>
          <w:lang w:val="en-US" w:eastAsia="ko-KR"/>
        </w:rPr>
        <w:t>,</w:t>
      </w:r>
      <w:r w:rsidRPr="00CB6CBA">
        <w:rPr>
          <w:bCs/>
          <w:i/>
          <w:lang w:val="en-US" w:eastAsia="ko-KR"/>
        </w:rPr>
        <w:t xml:space="preserve"> </w:t>
      </w:r>
      <w:r w:rsidRPr="00953132">
        <w:rPr>
          <w:rFonts w:hint="eastAsia"/>
          <w:i/>
          <w:lang w:val="en-US" w:eastAsia="ko-KR"/>
        </w:rPr>
        <w:t>B</w:t>
      </w:r>
      <w:r w:rsidRPr="00953132">
        <w:rPr>
          <w:rFonts w:hint="eastAsia"/>
          <w:i/>
          <w:iCs/>
          <w:vertAlign w:val="subscript"/>
          <w:lang w:val="en-US" w:eastAsia="ko-KR"/>
        </w:rPr>
        <w:t>p</w:t>
      </w:r>
      <w:r w:rsidRPr="00CB6CBA">
        <w:rPr>
          <w:lang w:val="en-US"/>
        </w:rPr>
        <w:t xml:space="preserve">: 250 000 </w:t>
      </w:r>
      <w:r w:rsidRPr="00CB6CBA">
        <w:rPr>
          <w:lang w:val="en-US" w:eastAsia="ko-KR"/>
        </w:rPr>
        <w:t>KRW/station</w:t>
      </w:r>
    </w:p>
    <w:p w:rsidR="00CA3B52" w:rsidRDefault="00CA3B52" w:rsidP="00CA3B52">
      <w:pPr>
        <w:rPr>
          <w:lang w:val="en-US" w:eastAsia="ko-KR"/>
        </w:rPr>
      </w:pPr>
      <w:r w:rsidRPr="00953132">
        <w:rPr>
          <w:rFonts w:hint="eastAsia"/>
          <w:lang w:val="en-US" w:eastAsia="ko-KR"/>
        </w:rPr>
        <w:lastRenderedPageBreak/>
        <w:t>Spectrum utilization amount factor</w:t>
      </w:r>
      <w:r w:rsidRPr="00813194">
        <w:rPr>
          <w:bCs/>
          <w:iCs/>
          <w:lang w:val="en-US" w:eastAsia="ko-KR"/>
        </w:rPr>
        <w:t>,</w:t>
      </w:r>
      <w:r w:rsidRPr="00CB6CBA">
        <w:rPr>
          <w:bCs/>
          <w:i/>
          <w:lang w:val="en-US" w:eastAsia="ko-KR"/>
        </w:rPr>
        <w:t xml:space="preserve"> </w:t>
      </w:r>
      <w:r w:rsidRPr="00CB6CBA">
        <w:rPr>
          <w:i/>
          <w:iCs/>
          <w:lang w:val="en-US" w:eastAsia="ko-KR"/>
        </w:rPr>
        <w:t>U</w:t>
      </w:r>
      <w:r w:rsidRPr="00CB6CBA">
        <w:rPr>
          <w:i/>
          <w:iCs/>
          <w:vertAlign w:val="subscript"/>
          <w:lang w:val="en-US"/>
        </w:rPr>
        <w:t>f</w:t>
      </w:r>
      <w:r>
        <w:rPr>
          <w:rFonts w:hint="eastAsia"/>
          <w:lang w:val="en-US" w:eastAsia="ko-KR"/>
        </w:rPr>
        <w:t xml:space="preserve">: </w:t>
      </w:r>
      <w:r w:rsidRPr="00CB6CBA">
        <w:rPr>
          <w:lang w:val="en-US" w:eastAsia="ko-KR"/>
        </w:rPr>
        <w:t>the value in the cell at the intersection of the column</w:t>
      </w:r>
      <w:r>
        <w:rPr>
          <w:rFonts w:hint="eastAsia"/>
          <w:lang w:val="en-US" w:eastAsia="ko-KR"/>
        </w:rPr>
        <w:t>,</w:t>
      </w:r>
      <w:r w:rsidRPr="00CB6CBA">
        <w:rPr>
          <w:lang w:val="en-US" w:eastAsia="ko-KR"/>
        </w:rPr>
        <w:t xml:space="preserve"> </w:t>
      </w:r>
      <w:r w:rsidRPr="00953132">
        <w:rPr>
          <w:rFonts w:hint="eastAsia"/>
          <w:lang w:val="en-US" w:eastAsia="ko-KR"/>
        </w:rPr>
        <w:t xml:space="preserve">Spectrum utilization </w:t>
      </w:r>
      <w:r w:rsidRPr="00A3079E">
        <w:rPr>
          <w:bCs/>
          <w:lang w:val="en-US" w:eastAsia="ko-KR"/>
        </w:rPr>
        <w:t>amount</w:t>
      </w:r>
      <w:r w:rsidRPr="00CB6CBA">
        <w:rPr>
          <w:lang w:val="en-US" w:eastAsia="ko-KR"/>
        </w:rPr>
        <w:t xml:space="preserve">, and the row, </w:t>
      </w:r>
      <w:r>
        <w:rPr>
          <w:rFonts w:hint="eastAsia"/>
          <w:lang w:val="en-US" w:eastAsia="ko-KR"/>
        </w:rPr>
        <w:t>F</w:t>
      </w:r>
      <w:r w:rsidRPr="00CB6CBA">
        <w:rPr>
          <w:lang w:val="en-US" w:eastAsia="ko-KR"/>
        </w:rPr>
        <w:t xml:space="preserve">requency bands, in </w:t>
      </w:r>
      <w:r>
        <w:rPr>
          <w:lang w:val="en-US" w:eastAsia="ko-KR"/>
        </w:rPr>
        <w:t>Table 32</w:t>
      </w:r>
      <w:r>
        <w:rPr>
          <w:rFonts w:hint="eastAsia"/>
          <w:lang w:val="en-US" w:eastAsia="ko-KR"/>
        </w:rPr>
        <w:t>.</w:t>
      </w:r>
    </w:p>
    <w:p w:rsidR="00CA3B52" w:rsidRPr="00CB6CBA" w:rsidRDefault="00CA3B52" w:rsidP="00CA3B52">
      <w:pPr>
        <w:pStyle w:val="TableNo"/>
        <w:rPr>
          <w:lang w:val="en-US" w:eastAsia="ko-KR"/>
        </w:rPr>
      </w:pPr>
      <w:r>
        <w:rPr>
          <w:lang w:val="en-US" w:eastAsia="ko-KR"/>
        </w:rPr>
        <w:t>TABLE 32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535"/>
        <w:gridCol w:w="484"/>
        <w:gridCol w:w="510"/>
        <w:gridCol w:w="509"/>
        <w:gridCol w:w="510"/>
        <w:gridCol w:w="510"/>
        <w:gridCol w:w="509"/>
        <w:gridCol w:w="510"/>
        <w:gridCol w:w="510"/>
        <w:gridCol w:w="509"/>
        <w:gridCol w:w="510"/>
        <w:gridCol w:w="510"/>
        <w:gridCol w:w="509"/>
        <w:gridCol w:w="550"/>
        <w:gridCol w:w="470"/>
      </w:tblGrid>
      <w:tr w:rsidR="00CA3B52" w:rsidRPr="00E94493" w:rsidTr="002D1D5C">
        <w:trPr>
          <w:jc w:val="center"/>
        </w:trPr>
        <w:tc>
          <w:tcPr>
            <w:tcW w:w="1994" w:type="dxa"/>
            <w:tcBorders>
              <w:tl2br w:val="single" w:sz="4" w:space="0" w:color="auto"/>
            </w:tcBorders>
            <w:vAlign w:val="center"/>
          </w:tcPr>
          <w:p w:rsidR="00CA3B52" w:rsidRPr="00E94493" w:rsidRDefault="00CA3B52" w:rsidP="002D1D5C">
            <w:pPr>
              <w:pStyle w:val="Tablehead"/>
              <w:keepLines/>
              <w:spacing w:before="0" w:after="0"/>
              <w:ind w:left="-57" w:right="-57"/>
              <w:jc w:val="right"/>
              <w:rPr>
                <w:sz w:val="16"/>
                <w:szCs w:val="16"/>
                <w:lang w:val="en-US"/>
              </w:rPr>
            </w:pPr>
            <w:r w:rsidRPr="00E94493">
              <w:rPr>
                <w:rFonts w:hint="eastAsia"/>
                <w:sz w:val="16"/>
                <w:szCs w:val="16"/>
                <w:lang w:val="en-US" w:eastAsia="ko-KR"/>
              </w:rPr>
              <w:t>Spectrum utilization amount</w:t>
            </w:r>
            <w:r w:rsidRPr="00E94493">
              <w:rPr>
                <w:sz w:val="16"/>
                <w:szCs w:val="16"/>
                <w:lang w:val="en-US" w:eastAsia="ko-KR"/>
              </w:rPr>
              <w:t xml:space="preserve"> </w:t>
            </w:r>
            <w:r w:rsidRPr="00E94493">
              <w:rPr>
                <w:sz w:val="16"/>
                <w:szCs w:val="16"/>
                <w:lang w:val="en-US"/>
              </w:rPr>
              <w:t>(MHz)</w:t>
            </w:r>
            <w:r w:rsidRPr="00E94493">
              <w:rPr>
                <w:sz w:val="16"/>
                <w:szCs w:val="16"/>
                <w:lang w:val="en-US"/>
              </w:rPr>
              <w:br/>
            </w:r>
          </w:p>
          <w:p w:rsidR="00CA3B52" w:rsidRPr="00E94493" w:rsidRDefault="00CA3B52" w:rsidP="002D1D5C">
            <w:pPr>
              <w:pStyle w:val="Tablehead"/>
              <w:keepLines/>
              <w:spacing w:before="0" w:after="0"/>
              <w:ind w:left="-57" w:right="-57"/>
              <w:jc w:val="left"/>
              <w:rPr>
                <w:sz w:val="16"/>
                <w:szCs w:val="16"/>
                <w:lang w:val="en-US"/>
              </w:rPr>
            </w:pPr>
            <w:r w:rsidRPr="00E94493">
              <w:rPr>
                <w:sz w:val="16"/>
                <w:szCs w:val="16"/>
                <w:lang w:val="en-US" w:eastAsia="ko-KR"/>
              </w:rPr>
              <w:t>Frequency</w:t>
            </w:r>
            <w:r w:rsidRPr="00E94493">
              <w:rPr>
                <w:sz w:val="16"/>
                <w:szCs w:val="16"/>
                <w:lang w:val="en-US" w:eastAsia="ko-KR"/>
              </w:rPr>
              <w:br/>
            </w:r>
            <w:r w:rsidRPr="00E94493">
              <w:rPr>
                <w:sz w:val="16"/>
                <w:szCs w:val="16"/>
                <w:lang w:val="en-US"/>
              </w:rPr>
              <w:t>bands</w:t>
            </w:r>
          </w:p>
        </w:tc>
        <w:tc>
          <w:tcPr>
            <w:tcW w:w="535" w:type="dxa"/>
            <w:vAlign w:val="center"/>
          </w:tcPr>
          <w:p w:rsidR="00CA3B52" w:rsidRPr="00E94493" w:rsidRDefault="00CA3B52" w:rsidP="002D1D5C">
            <w:pPr>
              <w:pStyle w:val="Tablehead"/>
              <w:keepLines/>
              <w:ind w:left="-57" w:right="-57"/>
              <w:rPr>
                <w:sz w:val="16"/>
                <w:szCs w:val="16"/>
                <w:lang w:val="en-US" w:eastAsia="ko-KR"/>
              </w:rPr>
            </w:pPr>
            <w:r w:rsidRPr="00E94493">
              <w:rPr>
                <w:sz w:val="16"/>
                <w:szCs w:val="16"/>
                <w:lang w:val="en-US" w:eastAsia="ko-KR"/>
              </w:rPr>
              <w:t xml:space="preserve">&lt; </w:t>
            </w:r>
            <w:r w:rsidRPr="00E94493">
              <w:rPr>
                <w:sz w:val="16"/>
                <w:szCs w:val="16"/>
                <w:lang w:val="en-US"/>
              </w:rPr>
              <w:t>0.1</w:t>
            </w:r>
          </w:p>
        </w:tc>
        <w:tc>
          <w:tcPr>
            <w:tcW w:w="484" w:type="dxa"/>
            <w:vAlign w:val="center"/>
          </w:tcPr>
          <w:p w:rsidR="00CA3B52" w:rsidRPr="00E94493" w:rsidRDefault="00CA3B52" w:rsidP="002D1D5C">
            <w:pPr>
              <w:pStyle w:val="Tablehead"/>
              <w:keepLines/>
              <w:ind w:left="-57" w:right="-57"/>
              <w:rPr>
                <w:sz w:val="16"/>
                <w:szCs w:val="16"/>
                <w:lang w:val="en-US"/>
              </w:rPr>
            </w:pPr>
            <w:r w:rsidRPr="00E94493">
              <w:rPr>
                <w:sz w:val="16"/>
                <w:szCs w:val="16"/>
                <w:lang w:val="en-US"/>
              </w:rPr>
              <w:t>0.1</w:t>
            </w:r>
            <w:r w:rsidRPr="00E94493">
              <w:rPr>
                <w:sz w:val="16"/>
                <w:szCs w:val="16"/>
                <w:lang w:val="en-US"/>
              </w:rPr>
              <w:br/>
              <w:t>~</w:t>
            </w:r>
            <w:r w:rsidRPr="00E94493">
              <w:rPr>
                <w:sz w:val="16"/>
                <w:szCs w:val="16"/>
                <w:lang w:val="en-US"/>
              </w:rPr>
              <w:br/>
              <w:t>0.3</w:t>
            </w:r>
          </w:p>
        </w:tc>
        <w:tc>
          <w:tcPr>
            <w:tcW w:w="510" w:type="dxa"/>
            <w:vAlign w:val="center"/>
          </w:tcPr>
          <w:p w:rsidR="00CA3B52" w:rsidRPr="00E94493" w:rsidRDefault="00CA3B52" w:rsidP="002D1D5C">
            <w:pPr>
              <w:pStyle w:val="Tablehead"/>
              <w:keepLines/>
              <w:ind w:left="-57" w:right="-57"/>
              <w:rPr>
                <w:sz w:val="16"/>
                <w:szCs w:val="16"/>
                <w:lang w:val="en-US"/>
              </w:rPr>
            </w:pPr>
            <w:r w:rsidRPr="00E94493">
              <w:rPr>
                <w:sz w:val="16"/>
                <w:szCs w:val="16"/>
                <w:lang w:val="en-US"/>
              </w:rPr>
              <w:t>0.3</w:t>
            </w:r>
            <w:r w:rsidRPr="00E94493">
              <w:rPr>
                <w:sz w:val="16"/>
                <w:szCs w:val="16"/>
                <w:lang w:val="en-US"/>
              </w:rPr>
              <w:br/>
              <w:t>~</w:t>
            </w:r>
            <w:r w:rsidRPr="00E94493">
              <w:rPr>
                <w:sz w:val="16"/>
                <w:szCs w:val="16"/>
                <w:lang w:val="en-US"/>
              </w:rPr>
              <w:br/>
              <w:t>1.5</w:t>
            </w:r>
          </w:p>
        </w:tc>
        <w:tc>
          <w:tcPr>
            <w:tcW w:w="509" w:type="dxa"/>
            <w:vAlign w:val="center"/>
          </w:tcPr>
          <w:p w:rsidR="00CA3B52" w:rsidRPr="00E94493" w:rsidRDefault="00CA3B52" w:rsidP="002D1D5C">
            <w:pPr>
              <w:pStyle w:val="Tablehead"/>
              <w:keepLines/>
              <w:ind w:left="-57" w:right="-57"/>
              <w:rPr>
                <w:sz w:val="16"/>
                <w:szCs w:val="16"/>
                <w:lang w:val="en-US"/>
              </w:rPr>
            </w:pPr>
            <w:r w:rsidRPr="00E94493">
              <w:rPr>
                <w:sz w:val="16"/>
                <w:szCs w:val="16"/>
                <w:lang w:val="en-US"/>
              </w:rPr>
              <w:t>1.5</w:t>
            </w:r>
            <w:r w:rsidRPr="00E94493">
              <w:rPr>
                <w:sz w:val="16"/>
                <w:szCs w:val="16"/>
                <w:lang w:val="en-US"/>
              </w:rPr>
              <w:br/>
              <w:t>~</w:t>
            </w:r>
            <w:r w:rsidRPr="00E94493">
              <w:rPr>
                <w:sz w:val="16"/>
                <w:szCs w:val="16"/>
                <w:lang w:val="en-US"/>
              </w:rPr>
              <w:br/>
              <w:t>4</w:t>
            </w:r>
          </w:p>
        </w:tc>
        <w:tc>
          <w:tcPr>
            <w:tcW w:w="510" w:type="dxa"/>
            <w:vAlign w:val="center"/>
          </w:tcPr>
          <w:p w:rsidR="00CA3B52" w:rsidRPr="00E94493" w:rsidRDefault="00CA3B52" w:rsidP="002D1D5C">
            <w:pPr>
              <w:pStyle w:val="Tablehead"/>
              <w:keepLines/>
              <w:ind w:left="-57" w:right="-57"/>
              <w:rPr>
                <w:sz w:val="16"/>
                <w:szCs w:val="16"/>
                <w:lang w:val="en-US"/>
              </w:rPr>
            </w:pPr>
            <w:r w:rsidRPr="00E94493">
              <w:rPr>
                <w:sz w:val="16"/>
                <w:szCs w:val="16"/>
                <w:lang w:val="en-US"/>
              </w:rPr>
              <w:t>4</w:t>
            </w:r>
            <w:r w:rsidRPr="00E94493">
              <w:rPr>
                <w:sz w:val="16"/>
                <w:szCs w:val="16"/>
                <w:lang w:val="en-US"/>
              </w:rPr>
              <w:br/>
              <w:t>~</w:t>
            </w:r>
            <w:r w:rsidRPr="00E94493">
              <w:rPr>
                <w:sz w:val="16"/>
                <w:szCs w:val="16"/>
                <w:lang w:val="en-US"/>
              </w:rPr>
              <w:br/>
              <w:t>7</w:t>
            </w:r>
          </w:p>
        </w:tc>
        <w:tc>
          <w:tcPr>
            <w:tcW w:w="510" w:type="dxa"/>
            <w:vAlign w:val="center"/>
          </w:tcPr>
          <w:p w:rsidR="00CA3B52" w:rsidRPr="00E94493" w:rsidRDefault="00CA3B52" w:rsidP="002D1D5C">
            <w:pPr>
              <w:pStyle w:val="Tablehead"/>
              <w:keepLines/>
              <w:ind w:left="-57" w:right="-57"/>
              <w:rPr>
                <w:sz w:val="16"/>
                <w:szCs w:val="16"/>
                <w:lang w:val="en-US"/>
              </w:rPr>
            </w:pPr>
            <w:r w:rsidRPr="00E94493">
              <w:rPr>
                <w:sz w:val="16"/>
                <w:szCs w:val="16"/>
                <w:lang w:val="en-US"/>
              </w:rPr>
              <w:t>7</w:t>
            </w:r>
            <w:r w:rsidRPr="00E94493">
              <w:rPr>
                <w:sz w:val="16"/>
                <w:szCs w:val="16"/>
                <w:lang w:val="en-US"/>
              </w:rPr>
              <w:br/>
              <w:t>~</w:t>
            </w:r>
            <w:r w:rsidRPr="00E94493">
              <w:rPr>
                <w:sz w:val="16"/>
                <w:szCs w:val="16"/>
                <w:lang w:val="en-US"/>
              </w:rPr>
              <w:br/>
              <w:t>10</w:t>
            </w:r>
          </w:p>
        </w:tc>
        <w:tc>
          <w:tcPr>
            <w:tcW w:w="509" w:type="dxa"/>
            <w:vAlign w:val="center"/>
          </w:tcPr>
          <w:p w:rsidR="00CA3B52" w:rsidRPr="00E94493" w:rsidRDefault="00CA3B52" w:rsidP="002D1D5C">
            <w:pPr>
              <w:pStyle w:val="Tablehead"/>
              <w:keepLines/>
              <w:ind w:left="-57" w:right="-57"/>
              <w:rPr>
                <w:sz w:val="16"/>
                <w:szCs w:val="16"/>
                <w:lang w:val="en-US"/>
              </w:rPr>
            </w:pPr>
            <w:r w:rsidRPr="00E94493">
              <w:rPr>
                <w:sz w:val="16"/>
                <w:szCs w:val="16"/>
                <w:lang w:val="en-US"/>
              </w:rPr>
              <w:t>10</w:t>
            </w:r>
            <w:r w:rsidRPr="00E94493">
              <w:rPr>
                <w:sz w:val="16"/>
                <w:szCs w:val="16"/>
                <w:lang w:val="en-US"/>
              </w:rPr>
              <w:br/>
              <w:t>~</w:t>
            </w:r>
            <w:r w:rsidRPr="00E94493">
              <w:rPr>
                <w:sz w:val="16"/>
                <w:szCs w:val="16"/>
                <w:lang w:val="en-US"/>
              </w:rPr>
              <w:br/>
              <w:t>15</w:t>
            </w:r>
          </w:p>
        </w:tc>
        <w:tc>
          <w:tcPr>
            <w:tcW w:w="510" w:type="dxa"/>
            <w:vAlign w:val="center"/>
          </w:tcPr>
          <w:p w:rsidR="00CA3B52" w:rsidRPr="00E94493" w:rsidRDefault="00CA3B52" w:rsidP="002D1D5C">
            <w:pPr>
              <w:pStyle w:val="Tablehead"/>
              <w:keepLines/>
              <w:ind w:left="-57" w:right="-57"/>
              <w:rPr>
                <w:sz w:val="16"/>
                <w:szCs w:val="16"/>
                <w:lang w:val="en-US"/>
              </w:rPr>
            </w:pPr>
            <w:r w:rsidRPr="00E94493">
              <w:rPr>
                <w:sz w:val="16"/>
                <w:szCs w:val="16"/>
                <w:lang w:val="en-US"/>
              </w:rPr>
              <w:t>15</w:t>
            </w:r>
            <w:r w:rsidRPr="00E94493">
              <w:rPr>
                <w:sz w:val="16"/>
                <w:szCs w:val="16"/>
                <w:lang w:val="en-US"/>
              </w:rPr>
              <w:br/>
              <w:t>~</w:t>
            </w:r>
            <w:r w:rsidRPr="00E94493">
              <w:rPr>
                <w:sz w:val="16"/>
                <w:szCs w:val="16"/>
                <w:lang w:val="en-US"/>
              </w:rPr>
              <w:br/>
              <w:t>20</w:t>
            </w:r>
          </w:p>
        </w:tc>
        <w:tc>
          <w:tcPr>
            <w:tcW w:w="510" w:type="dxa"/>
            <w:vAlign w:val="center"/>
          </w:tcPr>
          <w:p w:rsidR="00CA3B52" w:rsidRPr="00E94493" w:rsidRDefault="00CA3B52" w:rsidP="002D1D5C">
            <w:pPr>
              <w:pStyle w:val="Tablehead"/>
              <w:keepLines/>
              <w:ind w:left="-57" w:right="-57"/>
              <w:rPr>
                <w:sz w:val="16"/>
                <w:szCs w:val="16"/>
                <w:lang w:val="en-US"/>
              </w:rPr>
            </w:pPr>
            <w:r w:rsidRPr="00E94493">
              <w:rPr>
                <w:sz w:val="16"/>
                <w:szCs w:val="16"/>
                <w:lang w:val="en-US"/>
              </w:rPr>
              <w:t>20</w:t>
            </w:r>
            <w:r w:rsidRPr="00E94493">
              <w:rPr>
                <w:sz w:val="16"/>
                <w:szCs w:val="16"/>
                <w:lang w:val="en-US"/>
              </w:rPr>
              <w:br/>
              <w:t>~</w:t>
            </w:r>
            <w:r w:rsidRPr="00E94493">
              <w:rPr>
                <w:sz w:val="16"/>
                <w:szCs w:val="16"/>
                <w:lang w:val="en-US"/>
              </w:rPr>
              <w:br/>
              <w:t>30</w:t>
            </w:r>
          </w:p>
        </w:tc>
        <w:tc>
          <w:tcPr>
            <w:tcW w:w="509" w:type="dxa"/>
            <w:vAlign w:val="center"/>
          </w:tcPr>
          <w:p w:rsidR="00CA3B52" w:rsidRPr="00E94493" w:rsidRDefault="00CA3B52" w:rsidP="002D1D5C">
            <w:pPr>
              <w:pStyle w:val="Tablehead"/>
              <w:keepLines/>
              <w:ind w:left="-57" w:right="-57"/>
              <w:rPr>
                <w:sz w:val="16"/>
                <w:szCs w:val="16"/>
                <w:lang w:val="en-US"/>
              </w:rPr>
            </w:pPr>
            <w:r w:rsidRPr="00E94493">
              <w:rPr>
                <w:sz w:val="16"/>
                <w:szCs w:val="16"/>
                <w:lang w:val="en-US"/>
              </w:rPr>
              <w:t>30</w:t>
            </w:r>
            <w:r w:rsidRPr="00E94493">
              <w:rPr>
                <w:sz w:val="16"/>
                <w:szCs w:val="16"/>
                <w:lang w:val="en-US"/>
              </w:rPr>
              <w:br/>
              <w:t>~</w:t>
            </w:r>
            <w:r w:rsidRPr="00E94493">
              <w:rPr>
                <w:sz w:val="16"/>
                <w:szCs w:val="16"/>
                <w:lang w:val="en-US"/>
              </w:rPr>
              <w:br/>
              <w:t>40</w:t>
            </w:r>
          </w:p>
        </w:tc>
        <w:tc>
          <w:tcPr>
            <w:tcW w:w="510" w:type="dxa"/>
            <w:vAlign w:val="center"/>
          </w:tcPr>
          <w:p w:rsidR="00CA3B52" w:rsidRPr="00E94493" w:rsidRDefault="00CA3B52" w:rsidP="002D1D5C">
            <w:pPr>
              <w:pStyle w:val="Tablehead"/>
              <w:keepLines/>
              <w:ind w:left="-57" w:right="-57"/>
              <w:rPr>
                <w:sz w:val="16"/>
                <w:szCs w:val="16"/>
                <w:lang w:val="en-US"/>
              </w:rPr>
            </w:pPr>
            <w:r w:rsidRPr="00E94493">
              <w:rPr>
                <w:sz w:val="16"/>
                <w:szCs w:val="16"/>
                <w:lang w:val="en-US"/>
              </w:rPr>
              <w:t>40</w:t>
            </w:r>
            <w:r w:rsidRPr="00E94493">
              <w:rPr>
                <w:sz w:val="16"/>
                <w:szCs w:val="16"/>
                <w:lang w:val="en-US"/>
              </w:rPr>
              <w:br/>
              <w:t>~</w:t>
            </w:r>
            <w:r w:rsidRPr="00E94493">
              <w:rPr>
                <w:sz w:val="16"/>
                <w:szCs w:val="16"/>
                <w:lang w:val="en-US"/>
              </w:rPr>
              <w:br/>
              <w:t>60</w:t>
            </w:r>
          </w:p>
        </w:tc>
        <w:tc>
          <w:tcPr>
            <w:tcW w:w="510" w:type="dxa"/>
            <w:vAlign w:val="center"/>
          </w:tcPr>
          <w:p w:rsidR="00CA3B52" w:rsidRPr="00E94493" w:rsidRDefault="00CA3B52" w:rsidP="002D1D5C">
            <w:pPr>
              <w:pStyle w:val="Tablehead"/>
              <w:keepLines/>
              <w:ind w:left="-57" w:right="-57"/>
              <w:rPr>
                <w:sz w:val="16"/>
                <w:szCs w:val="16"/>
                <w:lang w:val="en-US"/>
              </w:rPr>
            </w:pPr>
            <w:r w:rsidRPr="00E94493">
              <w:rPr>
                <w:sz w:val="16"/>
                <w:szCs w:val="16"/>
                <w:lang w:val="en-US"/>
              </w:rPr>
              <w:t>60</w:t>
            </w:r>
            <w:r w:rsidRPr="00E94493">
              <w:rPr>
                <w:sz w:val="16"/>
                <w:szCs w:val="16"/>
                <w:lang w:val="en-US"/>
              </w:rPr>
              <w:br/>
              <w:t>~</w:t>
            </w:r>
            <w:r w:rsidRPr="00E94493">
              <w:rPr>
                <w:sz w:val="16"/>
                <w:szCs w:val="16"/>
                <w:lang w:val="en-US"/>
              </w:rPr>
              <w:br/>
              <w:t>80</w:t>
            </w:r>
          </w:p>
        </w:tc>
        <w:tc>
          <w:tcPr>
            <w:tcW w:w="509" w:type="dxa"/>
            <w:vAlign w:val="center"/>
          </w:tcPr>
          <w:p w:rsidR="00CA3B52" w:rsidRPr="00E94493" w:rsidRDefault="00CA3B52" w:rsidP="002D1D5C">
            <w:pPr>
              <w:pStyle w:val="Tablehead"/>
              <w:keepLines/>
              <w:ind w:left="-57" w:right="-57"/>
              <w:rPr>
                <w:sz w:val="16"/>
                <w:szCs w:val="16"/>
                <w:lang w:val="en-US"/>
              </w:rPr>
            </w:pPr>
            <w:r w:rsidRPr="00E94493">
              <w:rPr>
                <w:sz w:val="16"/>
                <w:szCs w:val="16"/>
                <w:lang w:val="en-US"/>
              </w:rPr>
              <w:t>80</w:t>
            </w:r>
            <w:r w:rsidRPr="00E94493">
              <w:rPr>
                <w:sz w:val="16"/>
                <w:szCs w:val="16"/>
                <w:lang w:val="en-US"/>
              </w:rPr>
              <w:br/>
              <w:t>~</w:t>
            </w:r>
            <w:r w:rsidRPr="00E94493">
              <w:rPr>
                <w:sz w:val="16"/>
                <w:szCs w:val="16"/>
                <w:lang w:val="en-US"/>
              </w:rPr>
              <w:br/>
              <w:t>110</w:t>
            </w:r>
          </w:p>
        </w:tc>
        <w:tc>
          <w:tcPr>
            <w:tcW w:w="550" w:type="dxa"/>
            <w:vAlign w:val="center"/>
          </w:tcPr>
          <w:p w:rsidR="00CA3B52" w:rsidRPr="00E94493" w:rsidRDefault="00CA3B52" w:rsidP="002D1D5C">
            <w:pPr>
              <w:pStyle w:val="Tablehead"/>
              <w:keepLines/>
              <w:ind w:left="-57" w:right="-57"/>
              <w:rPr>
                <w:sz w:val="16"/>
                <w:szCs w:val="16"/>
                <w:lang w:val="en-US"/>
              </w:rPr>
            </w:pPr>
            <w:r w:rsidRPr="00E94493">
              <w:rPr>
                <w:sz w:val="16"/>
                <w:szCs w:val="16"/>
                <w:lang w:val="en-US"/>
              </w:rPr>
              <w:t>110</w:t>
            </w:r>
            <w:r w:rsidRPr="00E94493">
              <w:rPr>
                <w:sz w:val="16"/>
                <w:szCs w:val="16"/>
                <w:lang w:val="en-US"/>
              </w:rPr>
              <w:br/>
              <w:t>~</w:t>
            </w:r>
            <w:r w:rsidRPr="00E94493">
              <w:rPr>
                <w:sz w:val="16"/>
                <w:szCs w:val="16"/>
                <w:lang w:val="en-US"/>
              </w:rPr>
              <w:br/>
              <w:t>150</w:t>
            </w:r>
          </w:p>
        </w:tc>
        <w:tc>
          <w:tcPr>
            <w:tcW w:w="470" w:type="dxa"/>
            <w:vAlign w:val="center"/>
          </w:tcPr>
          <w:p w:rsidR="00CA3B52" w:rsidRPr="00E94493" w:rsidRDefault="00CA3B52" w:rsidP="002D1D5C">
            <w:pPr>
              <w:pStyle w:val="Tablehead"/>
              <w:keepLines/>
              <w:ind w:left="-57" w:right="-113"/>
              <w:jc w:val="left"/>
              <w:rPr>
                <w:sz w:val="16"/>
                <w:szCs w:val="16"/>
                <w:lang w:val="en-US" w:eastAsia="ko-KR"/>
              </w:rPr>
            </w:pPr>
            <w:r w:rsidRPr="00E94493">
              <w:rPr>
                <w:sz w:val="16"/>
                <w:szCs w:val="16"/>
                <w:lang w:val="en-US" w:eastAsia="ko-KR"/>
              </w:rPr>
              <w:t xml:space="preserve">&gt; </w:t>
            </w:r>
            <w:r w:rsidRPr="00E94493">
              <w:rPr>
                <w:sz w:val="16"/>
                <w:szCs w:val="16"/>
                <w:lang w:val="en-US"/>
              </w:rPr>
              <w:t>150</w:t>
            </w:r>
          </w:p>
        </w:tc>
      </w:tr>
      <w:tr w:rsidR="00CA3B52" w:rsidRPr="00E94493" w:rsidTr="002D1D5C">
        <w:trPr>
          <w:trHeight w:val="88"/>
          <w:jc w:val="center"/>
        </w:trPr>
        <w:tc>
          <w:tcPr>
            <w:tcW w:w="1994" w:type="dxa"/>
            <w:vAlign w:val="center"/>
          </w:tcPr>
          <w:p w:rsidR="00CA3B52" w:rsidRPr="00E94493" w:rsidRDefault="00CA3B52" w:rsidP="002D1D5C">
            <w:pPr>
              <w:pStyle w:val="Tabletext"/>
              <w:keepNext/>
              <w:keepLines/>
              <w:ind w:left="-57" w:right="-57"/>
              <w:rPr>
                <w:sz w:val="16"/>
                <w:szCs w:val="16"/>
                <w:lang w:val="en-US"/>
              </w:rPr>
            </w:pPr>
            <w:r w:rsidRPr="00E94493">
              <w:rPr>
                <w:caps/>
                <w:sz w:val="16"/>
                <w:szCs w:val="16"/>
                <w:lang w:val="en-US"/>
              </w:rPr>
              <w:sym w:font="Symbol" w:char="F03C"/>
            </w:r>
            <w:r w:rsidRPr="00E94493">
              <w:rPr>
                <w:caps/>
                <w:sz w:val="16"/>
                <w:szCs w:val="16"/>
                <w:lang w:val="en-US"/>
              </w:rPr>
              <w:t xml:space="preserve"> 1 GH</w:t>
            </w:r>
            <w:r w:rsidRPr="00E94493">
              <w:rPr>
                <w:sz w:val="16"/>
                <w:szCs w:val="16"/>
                <w:lang w:val="en-US"/>
              </w:rPr>
              <w:t>z</w:t>
            </w:r>
          </w:p>
        </w:tc>
        <w:tc>
          <w:tcPr>
            <w:tcW w:w="535"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1</w:t>
            </w:r>
          </w:p>
        </w:tc>
        <w:tc>
          <w:tcPr>
            <w:tcW w:w="484"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2</w:t>
            </w:r>
          </w:p>
        </w:tc>
        <w:tc>
          <w:tcPr>
            <w:tcW w:w="510"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3</w:t>
            </w:r>
          </w:p>
        </w:tc>
        <w:tc>
          <w:tcPr>
            <w:tcW w:w="509"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5</w:t>
            </w:r>
          </w:p>
        </w:tc>
        <w:tc>
          <w:tcPr>
            <w:tcW w:w="510"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7</w:t>
            </w:r>
          </w:p>
        </w:tc>
        <w:tc>
          <w:tcPr>
            <w:tcW w:w="510"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9</w:t>
            </w:r>
          </w:p>
        </w:tc>
        <w:tc>
          <w:tcPr>
            <w:tcW w:w="509"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12</w:t>
            </w:r>
          </w:p>
        </w:tc>
        <w:tc>
          <w:tcPr>
            <w:tcW w:w="510"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15</w:t>
            </w:r>
          </w:p>
        </w:tc>
        <w:tc>
          <w:tcPr>
            <w:tcW w:w="510"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19</w:t>
            </w:r>
          </w:p>
        </w:tc>
        <w:tc>
          <w:tcPr>
            <w:tcW w:w="509"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23</w:t>
            </w:r>
          </w:p>
        </w:tc>
        <w:tc>
          <w:tcPr>
            <w:tcW w:w="510"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28</w:t>
            </w:r>
          </w:p>
        </w:tc>
        <w:tc>
          <w:tcPr>
            <w:tcW w:w="510"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33</w:t>
            </w:r>
          </w:p>
        </w:tc>
        <w:tc>
          <w:tcPr>
            <w:tcW w:w="509"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28</w:t>
            </w:r>
          </w:p>
        </w:tc>
        <w:tc>
          <w:tcPr>
            <w:tcW w:w="550"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44</w:t>
            </w:r>
          </w:p>
        </w:tc>
        <w:tc>
          <w:tcPr>
            <w:tcW w:w="470"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50</w:t>
            </w:r>
          </w:p>
        </w:tc>
      </w:tr>
      <w:tr w:rsidR="00CA3B52" w:rsidRPr="00E94493" w:rsidTr="002D1D5C">
        <w:trPr>
          <w:jc w:val="center"/>
        </w:trPr>
        <w:tc>
          <w:tcPr>
            <w:tcW w:w="1994" w:type="dxa"/>
            <w:vAlign w:val="center"/>
          </w:tcPr>
          <w:p w:rsidR="00CA3B52" w:rsidRPr="00E94493" w:rsidRDefault="00CA3B52" w:rsidP="00A3079E">
            <w:pPr>
              <w:pStyle w:val="Tabletext"/>
              <w:keepNext/>
              <w:keepLines/>
              <w:ind w:left="-57" w:right="-57"/>
              <w:rPr>
                <w:sz w:val="16"/>
                <w:szCs w:val="16"/>
                <w:lang w:val="en-US"/>
              </w:rPr>
            </w:pPr>
            <w:r w:rsidRPr="00E94493">
              <w:rPr>
                <w:sz w:val="16"/>
                <w:szCs w:val="16"/>
                <w:lang w:val="en-US"/>
              </w:rPr>
              <w:t>1~3 GHz</w:t>
            </w:r>
          </w:p>
        </w:tc>
        <w:tc>
          <w:tcPr>
            <w:tcW w:w="535" w:type="dxa"/>
          </w:tcPr>
          <w:p w:rsidR="00CA3B52" w:rsidRPr="00E94493" w:rsidRDefault="00CA3B52" w:rsidP="002D1D5C">
            <w:pPr>
              <w:pStyle w:val="Tabletext"/>
              <w:keepNext/>
              <w:keepLines/>
              <w:ind w:left="-57" w:right="-57"/>
              <w:jc w:val="center"/>
              <w:rPr>
                <w:sz w:val="16"/>
                <w:szCs w:val="16"/>
                <w:lang w:val="en-US"/>
              </w:rPr>
            </w:pPr>
            <w:r w:rsidRPr="00E94493">
              <w:rPr>
                <w:rFonts w:hint="eastAsia"/>
                <w:sz w:val="16"/>
                <w:szCs w:val="16"/>
                <w:lang w:val="en-US" w:eastAsia="ko-KR"/>
              </w:rPr>
              <w:t>0.</w:t>
            </w:r>
            <w:r w:rsidRPr="00E94493">
              <w:rPr>
                <w:sz w:val="16"/>
                <w:szCs w:val="16"/>
                <w:lang w:val="en-US"/>
              </w:rPr>
              <w:t>7</w:t>
            </w:r>
          </w:p>
        </w:tc>
        <w:tc>
          <w:tcPr>
            <w:tcW w:w="484"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1.4</w:t>
            </w:r>
          </w:p>
        </w:tc>
        <w:tc>
          <w:tcPr>
            <w:tcW w:w="510"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2.1</w:t>
            </w:r>
          </w:p>
        </w:tc>
        <w:tc>
          <w:tcPr>
            <w:tcW w:w="509"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3.5</w:t>
            </w:r>
          </w:p>
        </w:tc>
        <w:tc>
          <w:tcPr>
            <w:tcW w:w="510"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4.9</w:t>
            </w:r>
          </w:p>
        </w:tc>
        <w:tc>
          <w:tcPr>
            <w:tcW w:w="510"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6.3</w:t>
            </w:r>
          </w:p>
        </w:tc>
        <w:tc>
          <w:tcPr>
            <w:tcW w:w="509"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8.4</w:t>
            </w:r>
          </w:p>
        </w:tc>
        <w:tc>
          <w:tcPr>
            <w:tcW w:w="510"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10.5</w:t>
            </w:r>
          </w:p>
        </w:tc>
        <w:tc>
          <w:tcPr>
            <w:tcW w:w="510"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13.3</w:t>
            </w:r>
          </w:p>
        </w:tc>
        <w:tc>
          <w:tcPr>
            <w:tcW w:w="509"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16.1</w:t>
            </w:r>
          </w:p>
        </w:tc>
        <w:tc>
          <w:tcPr>
            <w:tcW w:w="510"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19.6</w:t>
            </w:r>
          </w:p>
        </w:tc>
        <w:tc>
          <w:tcPr>
            <w:tcW w:w="510" w:type="dxa"/>
          </w:tcPr>
          <w:p w:rsidR="00CA3B52" w:rsidRPr="00E94493" w:rsidRDefault="00CA3B52" w:rsidP="002D1D5C">
            <w:pPr>
              <w:pStyle w:val="Tabletext"/>
              <w:keepNext/>
              <w:keepLines/>
              <w:ind w:left="-57" w:right="-57"/>
              <w:jc w:val="center"/>
              <w:rPr>
                <w:rFonts w:eastAsia="???"/>
                <w:sz w:val="16"/>
                <w:szCs w:val="16"/>
                <w:lang w:val="en-US"/>
              </w:rPr>
            </w:pPr>
            <w:r w:rsidRPr="00E94493">
              <w:rPr>
                <w:rFonts w:eastAsia="???"/>
                <w:sz w:val="16"/>
                <w:szCs w:val="16"/>
                <w:lang w:val="en-US"/>
              </w:rPr>
              <w:t>23.1</w:t>
            </w:r>
          </w:p>
        </w:tc>
        <w:tc>
          <w:tcPr>
            <w:tcW w:w="509" w:type="dxa"/>
          </w:tcPr>
          <w:p w:rsidR="00CA3B52" w:rsidRPr="00E94493" w:rsidRDefault="00CA3B52" w:rsidP="002D1D5C">
            <w:pPr>
              <w:pStyle w:val="Tabletext"/>
              <w:keepNext/>
              <w:keepLines/>
              <w:ind w:left="-57" w:right="-57"/>
              <w:jc w:val="center"/>
              <w:rPr>
                <w:sz w:val="16"/>
                <w:szCs w:val="16"/>
                <w:lang w:val="en-US"/>
              </w:rPr>
            </w:pPr>
            <w:r w:rsidRPr="00E94493">
              <w:rPr>
                <w:caps/>
                <w:sz w:val="16"/>
                <w:szCs w:val="16"/>
                <w:lang w:val="en-US"/>
              </w:rPr>
              <w:t>26.6</w:t>
            </w:r>
          </w:p>
        </w:tc>
        <w:tc>
          <w:tcPr>
            <w:tcW w:w="550"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30.8</w:t>
            </w:r>
          </w:p>
        </w:tc>
        <w:tc>
          <w:tcPr>
            <w:tcW w:w="470"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35</w:t>
            </w:r>
          </w:p>
        </w:tc>
      </w:tr>
      <w:tr w:rsidR="00CA3B52" w:rsidRPr="00E94493" w:rsidTr="002D1D5C">
        <w:trPr>
          <w:jc w:val="center"/>
        </w:trPr>
        <w:tc>
          <w:tcPr>
            <w:tcW w:w="1994" w:type="dxa"/>
            <w:vAlign w:val="center"/>
          </w:tcPr>
          <w:p w:rsidR="00CA3B52" w:rsidRPr="00E94493" w:rsidRDefault="00CA3B52" w:rsidP="00A3079E">
            <w:pPr>
              <w:pStyle w:val="Tabletext"/>
              <w:keepNext/>
              <w:keepLines/>
              <w:ind w:left="-57" w:right="-57"/>
              <w:rPr>
                <w:rFonts w:eastAsia="???"/>
                <w:sz w:val="16"/>
                <w:szCs w:val="16"/>
                <w:lang w:val="en-US"/>
              </w:rPr>
            </w:pPr>
            <w:r w:rsidRPr="00E94493">
              <w:rPr>
                <w:sz w:val="16"/>
                <w:szCs w:val="16"/>
                <w:lang w:val="en-US"/>
              </w:rPr>
              <w:t>3~</w:t>
            </w:r>
            <w:r w:rsidRPr="00E94493">
              <w:rPr>
                <w:rFonts w:eastAsia="???" w:hint="eastAsia"/>
                <w:sz w:val="16"/>
                <w:szCs w:val="16"/>
                <w:lang w:val="en-US" w:eastAsia="ko-KR"/>
              </w:rPr>
              <w:t>10</w:t>
            </w:r>
            <w:r w:rsidR="00A3079E">
              <w:rPr>
                <w:rFonts w:eastAsia="???"/>
                <w:sz w:val="16"/>
                <w:szCs w:val="16"/>
                <w:lang w:val="en-US" w:eastAsia="ko-KR"/>
              </w:rPr>
              <w:t xml:space="preserve"> </w:t>
            </w:r>
            <w:r w:rsidRPr="00E94493">
              <w:rPr>
                <w:rFonts w:eastAsia="???"/>
                <w:sz w:val="16"/>
                <w:szCs w:val="16"/>
                <w:lang w:val="en-US"/>
              </w:rPr>
              <w:t>GHz</w:t>
            </w:r>
          </w:p>
        </w:tc>
        <w:tc>
          <w:tcPr>
            <w:tcW w:w="535" w:type="dxa"/>
          </w:tcPr>
          <w:p w:rsidR="00CA3B52" w:rsidRPr="00E94493" w:rsidRDefault="00CA3B52" w:rsidP="002D1D5C">
            <w:pPr>
              <w:pStyle w:val="Tabletext"/>
              <w:keepNext/>
              <w:keepLines/>
              <w:ind w:left="-57" w:right="-57"/>
              <w:jc w:val="center"/>
              <w:rPr>
                <w:sz w:val="16"/>
                <w:szCs w:val="16"/>
                <w:lang w:val="en-US"/>
              </w:rPr>
            </w:pPr>
            <w:r w:rsidRPr="00E94493">
              <w:rPr>
                <w:sz w:val="16"/>
                <w:szCs w:val="16"/>
                <w:lang w:val="en-US"/>
              </w:rPr>
              <w:t>0.</w:t>
            </w:r>
            <w:r w:rsidRPr="00E94493">
              <w:rPr>
                <w:rFonts w:hint="eastAsia"/>
                <w:sz w:val="16"/>
                <w:szCs w:val="16"/>
                <w:lang w:val="en-US" w:eastAsia="ko-KR"/>
              </w:rPr>
              <w:t>2</w:t>
            </w:r>
            <w:r w:rsidRPr="00E94493">
              <w:rPr>
                <w:sz w:val="16"/>
                <w:szCs w:val="16"/>
                <w:lang w:val="en-US"/>
              </w:rPr>
              <w:t>3</w:t>
            </w:r>
          </w:p>
        </w:tc>
        <w:tc>
          <w:tcPr>
            <w:tcW w:w="484" w:type="dxa"/>
          </w:tcPr>
          <w:p w:rsidR="00CA3B52" w:rsidRPr="00E94493" w:rsidRDefault="00CA3B52" w:rsidP="002D1D5C">
            <w:pPr>
              <w:pStyle w:val="Tabletext"/>
              <w:keepNext/>
              <w:keepLines/>
              <w:ind w:left="-57" w:right="-57"/>
              <w:jc w:val="center"/>
              <w:rPr>
                <w:sz w:val="16"/>
                <w:szCs w:val="16"/>
                <w:lang w:val="en-US" w:eastAsia="ko-KR"/>
              </w:rPr>
            </w:pPr>
            <w:r w:rsidRPr="00E94493">
              <w:rPr>
                <w:sz w:val="16"/>
                <w:szCs w:val="16"/>
                <w:lang w:val="en-US"/>
              </w:rPr>
              <w:t>0.</w:t>
            </w:r>
            <w:r w:rsidRPr="00E94493">
              <w:rPr>
                <w:rFonts w:hint="eastAsia"/>
                <w:sz w:val="16"/>
                <w:szCs w:val="16"/>
                <w:lang w:val="en-US" w:eastAsia="ko-KR"/>
              </w:rPr>
              <w:t>47</w:t>
            </w:r>
          </w:p>
        </w:tc>
        <w:tc>
          <w:tcPr>
            <w:tcW w:w="510" w:type="dxa"/>
          </w:tcPr>
          <w:p w:rsidR="00CA3B52" w:rsidRPr="00E94493" w:rsidRDefault="00CA3B52" w:rsidP="002D1D5C">
            <w:pPr>
              <w:pStyle w:val="Tabletext"/>
              <w:keepNext/>
              <w:keepLines/>
              <w:ind w:left="-57" w:right="-57"/>
              <w:jc w:val="center"/>
              <w:rPr>
                <w:sz w:val="16"/>
                <w:szCs w:val="16"/>
                <w:lang w:val="en-US" w:eastAsia="ko-KR"/>
              </w:rPr>
            </w:pPr>
            <w:r w:rsidRPr="00E94493">
              <w:rPr>
                <w:sz w:val="16"/>
                <w:szCs w:val="16"/>
                <w:lang w:val="en-US"/>
              </w:rPr>
              <w:t>0.</w:t>
            </w:r>
            <w:r w:rsidRPr="00E94493">
              <w:rPr>
                <w:rFonts w:hint="eastAsia"/>
                <w:sz w:val="16"/>
                <w:szCs w:val="16"/>
                <w:lang w:val="en-US" w:eastAsia="ko-KR"/>
              </w:rPr>
              <w:t>70</w:t>
            </w:r>
          </w:p>
        </w:tc>
        <w:tc>
          <w:tcPr>
            <w:tcW w:w="509" w:type="dxa"/>
          </w:tcPr>
          <w:p w:rsidR="00CA3B52" w:rsidRPr="00E94493" w:rsidRDefault="00CA3B52" w:rsidP="002D1D5C">
            <w:pPr>
              <w:pStyle w:val="Tabletext"/>
              <w:keepNext/>
              <w:keepLines/>
              <w:ind w:left="-57" w:right="-57"/>
              <w:jc w:val="center"/>
              <w:rPr>
                <w:sz w:val="16"/>
                <w:szCs w:val="16"/>
                <w:lang w:val="en-US" w:eastAsia="ko-KR"/>
              </w:rPr>
            </w:pPr>
            <w:r w:rsidRPr="00E94493">
              <w:rPr>
                <w:sz w:val="16"/>
                <w:szCs w:val="16"/>
                <w:lang w:val="en-US"/>
              </w:rPr>
              <w:t>1.</w:t>
            </w:r>
            <w:r w:rsidRPr="00E94493">
              <w:rPr>
                <w:rFonts w:hint="eastAsia"/>
                <w:sz w:val="16"/>
                <w:szCs w:val="16"/>
                <w:lang w:val="en-US" w:eastAsia="ko-KR"/>
              </w:rPr>
              <w:t>17</w:t>
            </w:r>
          </w:p>
        </w:tc>
        <w:tc>
          <w:tcPr>
            <w:tcW w:w="510" w:type="dxa"/>
          </w:tcPr>
          <w:p w:rsidR="00CA3B52" w:rsidRPr="00E94493" w:rsidRDefault="00CA3B52" w:rsidP="002D1D5C">
            <w:pPr>
              <w:pStyle w:val="Tabletext"/>
              <w:keepNext/>
              <w:keepLines/>
              <w:ind w:left="-57" w:right="-57"/>
              <w:jc w:val="center"/>
              <w:rPr>
                <w:sz w:val="16"/>
                <w:szCs w:val="16"/>
                <w:lang w:val="en-US" w:eastAsia="ko-KR"/>
              </w:rPr>
            </w:pPr>
            <w:r w:rsidRPr="00E94493">
              <w:rPr>
                <w:rFonts w:hint="eastAsia"/>
                <w:sz w:val="16"/>
                <w:szCs w:val="16"/>
                <w:lang w:val="en-US" w:eastAsia="ko-KR"/>
              </w:rPr>
              <w:t>1.64</w:t>
            </w:r>
          </w:p>
        </w:tc>
        <w:tc>
          <w:tcPr>
            <w:tcW w:w="510" w:type="dxa"/>
          </w:tcPr>
          <w:p w:rsidR="00CA3B52" w:rsidRPr="00E94493" w:rsidRDefault="00CA3B52" w:rsidP="002D1D5C">
            <w:pPr>
              <w:pStyle w:val="Tabletext"/>
              <w:keepNext/>
              <w:keepLines/>
              <w:ind w:left="-57" w:right="-57"/>
              <w:jc w:val="center"/>
              <w:rPr>
                <w:sz w:val="16"/>
                <w:szCs w:val="16"/>
                <w:lang w:val="en-US" w:eastAsia="ko-KR"/>
              </w:rPr>
            </w:pPr>
            <w:r w:rsidRPr="00E94493">
              <w:rPr>
                <w:sz w:val="16"/>
                <w:szCs w:val="16"/>
                <w:lang w:val="en-US"/>
              </w:rPr>
              <w:t>2.</w:t>
            </w:r>
            <w:r w:rsidRPr="00E94493">
              <w:rPr>
                <w:rFonts w:hint="eastAsia"/>
                <w:sz w:val="16"/>
                <w:szCs w:val="16"/>
                <w:lang w:val="en-US" w:eastAsia="ko-KR"/>
              </w:rPr>
              <w:t>11</w:t>
            </w:r>
          </w:p>
        </w:tc>
        <w:tc>
          <w:tcPr>
            <w:tcW w:w="509" w:type="dxa"/>
          </w:tcPr>
          <w:p w:rsidR="00CA3B52" w:rsidRPr="00E94493" w:rsidRDefault="00CA3B52" w:rsidP="002D1D5C">
            <w:pPr>
              <w:pStyle w:val="Tabletext"/>
              <w:keepNext/>
              <w:keepLines/>
              <w:ind w:left="-57" w:right="-57"/>
              <w:jc w:val="center"/>
              <w:rPr>
                <w:sz w:val="16"/>
                <w:szCs w:val="16"/>
                <w:lang w:val="en-US"/>
              </w:rPr>
            </w:pPr>
            <w:r w:rsidRPr="00E94493">
              <w:rPr>
                <w:rFonts w:hint="eastAsia"/>
                <w:sz w:val="16"/>
                <w:szCs w:val="16"/>
                <w:lang w:val="en-US" w:eastAsia="ko-KR"/>
              </w:rPr>
              <w:t>2.81</w:t>
            </w:r>
          </w:p>
        </w:tc>
        <w:tc>
          <w:tcPr>
            <w:tcW w:w="510" w:type="dxa"/>
          </w:tcPr>
          <w:p w:rsidR="00CA3B52" w:rsidRPr="00E94493" w:rsidRDefault="00CA3B52" w:rsidP="002D1D5C">
            <w:pPr>
              <w:pStyle w:val="Tabletext"/>
              <w:keepNext/>
              <w:keepLines/>
              <w:ind w:left="-57" w:right="-57"/>
              <w:jc w:val="center"/>
              <w:rPr>
                <w:sz w:val="16"/>
                <w:szCs w:val="16"/>
                <w:lang w:val="en-US" w:eastAsia="ko-KR"/>
              </w:rPr>
            </w:pPr>
            <w:r w:rsidRPr="00E94493">
              <w:rPr>
                <w:rFonts w:hint="eastAsia"/>
                <w:sz w:val="16"/>
                <w:szCs w:val="16"/>
                <w:lang w:val="en-US" w:eastAsia="ko-KR"/>
              </w:rPr>
              <w:t>3.51</w:t>
            </w:r>
          </w:p>
        </w:tc>
        <w:tc>
          <w:tcPr>
            <w:tcW w:w="510" w:type="dxa"/>
          </w:tcPr>
          <w:p w:rsidR="00CA3B52" w:rsidRPr="00E94493" w:rsidRDefault="00CA3B52" w:rsidP="002D1D5C">
            <w:pPr>
              <w:pStyle w:val="Tabletext"/>
              <w:keepNext/>
              <w:keepLines/>
              <w:ind w:left="-57" w:right="-57"/>
              <w:jc w:val="center"/>
              <w:rPr>
                <w:sz w:val="16"/>
                <w:szCs w:val="16"/>
                <w:lang w:val="en-US" w:eastAsia="ko-KR"/>
              </w:rPr>
            </w:pPr>
            <w:r w:rsidRPr="00E94493">
              <w:rPr>
                <w:rFonts w:hint="eastAsia"/>
                <w:sz w:val="16"/>
                <w:szCs w:val="16"/>
                <w:lang w:val="en-US" w:eastAsia="ko-KR"/>
              </w:rPr>
              <w:t>4.45</w:t>
            </w:r>
          </w:p>
        </w:tc>
        <w:tc>
          <w:tcPr>
            <w:tcW w:w="509" w:type="dxa"/>
          </w:tcPr>
          <w:p w:rsidR="00CA3B52" w:rsidRPr="00E94493" w:rsidRDefault="00CA3B52" w:rsidP="002D1D5C">
            <w:pPr>
              <w:pStyle w:val="Tabletext"/>
              <w:keepNext/>
              <w:keepLines/>
              <w:ind w:left="-57" w:right="-57"/>
              <w:jc w:val="center"/>
              <w:rPr>
                <w:sz w:val="16"/>
                <w:szCs w:val="16"/>
                <w:lang w:val="en-US" w:eastAsia="ko-KR"/>
              </w:rPr>
            </w:pPr>
            <w:r w:rsidRPr="00E94493">
              <w:rPr>
                <w:rFonts w:hint="eastAsia"/>
                <w:sz w:val="16"/>
                <w:szCs w:val="16"/>
                <w:lang w:val="en-US" w:eastAsia="ko-KR"/>
              </w:rPr>
              <w:t>5.38</w:t>
            </w:r>
          </w:p>
        </w:tc>
        <w:tc>
          <w:tcPr>
            <w:tcW w:w="510" w:type="dxa"/>
          </w:tcPr>
          <w:p w:rsidR="00CA3B52" w:rsidRPr="00E94493" w:rsidRDefault="00CA3B52" w:rsidP="002D1D5C">
            <w:pPr>
              <w:pStyle w:val="Tabletext"/>
              <w:keepNext/>
              <w:keepLines/>
              <w:ind w:left="-57" w:right="-57"/>
              <w:jc w:val="center"/>
              <w:rPr>
                <w:sz w:val="16"/>
                <w:szCs w:val="16"/>
                <w:lang w:val="en-US" w:eastAsia="ko-KR"/>
              </w:rPr>
            </w:pPr>
            <w:r w:rsidRPr="00E94493">
              <w:rPr>
                <w:rFonts w:hint="eastAsia"/>
                <w:sz w:val="16"/>
                <w:szCs w:val="16"/>
                <w:lang w:val="en-US" w:eastAsia="ko-KR"/>
              </w:rPr>
              <w:t>6.55</w:t>
            </w:r>
          </w:p>
        </w:tc>
        <w:tc>
          <w:tcPr>
            <w:tcW w:w="510" w:type="dxa"/>
          </w:tcPr>
          <w:p w:rsidR="00CA3B52" w:rsidRPr="00E94493" w:rsidRDefault="00CA3B52" w:rsidP="002D1D5C">
            <w:pPr>
              <w:pStyle w:val="Tabletext"/>
              <w:keepNext/>
              <w:keepLines/>
              <w:ind w:left="-57" w:right="-57"/>
              <w:jc w:val="center"/>
              <w:rPr>
                <w:sz w:val="16"/>
                <w:szCs w:val="16"/>
                <w:lang w:val="en-US" w:eastAsia="ko-KR"/>
              </w:rPr>
            </w:pPr>
            <w:r w:rsidRPr="00E94493">
              <w:rPr>
                <w:rFonts w:hint="eastAsia"/>
                <w:sz w:val="16"/>
                <w:szCs w:val="16"/>
                <w:lang w:val="en-US" w:eastAsia="ko-KR"/>
              </w:rPr>
              <w:t>7.72</w:t>
            </w:r>
          </w:p>
        </w:tc>
        <w:tc>
          <w:tcPr>
            <w:tcW w:w="509" w:type="dxa"/>
          </w:tcPr>
          <w:p w:rsidR="00CA3B52" w:rsidRPr="00E94493" w:rsidRDefault="00CA3B52" w:rsidP="002D1D5C">
            <w:pPr>
              <w:pStyle w:val="Tabletext"/>
              <w:keepNext/>
              <w:keepLines/>
              <w:ind w:left="-57" w:right="-57"/>
              <w:jc w:val="center"/>
              <w:rPr>
                <w:rFonts w:eastAsia="???"/>
                <w:sz w:val="16"/>
                <w:szCs w:val="16"/>
                <w:lang w:val="en-US" w:eastAsia="ko-KR"/>
              </w:rPr>
            </w:pPr>
            <w:r w:rsidRPr="00E94493">
              <w:rPr>
                <w:rFonts w:eastAsia="???" w:hint="eastAsia"/>
                <w:sz w:val="16"/>
                <w:szCs w:val="16"/>
                <w:lang w:val="en-US" w:eastAsia="ko-KR"/>
              </w:rPr>
              <w:t>8.89</w:t>
            </w:r>
          </w:p>
        </w:tc>
        <w:tc>
          <w:tcPr>
            <w:tcW w:w="550" w:type="dxa"/>
          </w:tcPr>
          <w:p w:rsidR="00CA3B52" w:rsidRPr="00E94493" w:rsidRDefault="00CA3B52" w:rsidP="002D1D5C">
            <w:pPr>
              <w:pStyle w:val="Tabletext"/>
              <w:keepNext/>
              <w:keepLines/>
              <w:ind w:left="-57" w:right="-57"/>
              <w:jc w:val="center"/>
              <w:rPr>
                <w:sz w:val="16"/>
                <w:szCs w:val="16"/>
                <w:lang w:val="en-US" w:eastAsia="ko-KR"/>
              </w:rPr>
            </w:pPr>
            <w:r w:rsidRPr="00E94493">
              <w:rPr>
                <w:rFonts w:hint="eastAsia"/>
                <w:sz w:val="16"/>
                <w:szCs w:val="16"/>
                <w:lang w:val="en-US" w:eastAsia="ko-KR"/>
              </w:rPr>
              <w:t>10.3</w:t>
            </w:r>
          </w:p>
        </w:tc>
        <w:tc>
          <w:tcPr>
            <w:tcW w:w="470" w:type="dxa"/>
          </w:tcPr>
          <w:p w:rsidR="00CA3B52" w:rsidRPr="00E94493" w:rsidRDefault="00CA3B52" w:rsidP="002D1D5C">
            <w:pPr>
              <w:pStyle w:val="Tabletext"/>
              <w:keepNext/>
              <w:keepLines/>
              <w:ind w:left="-57" w:right="-57"/>
              <w:jc w:val="center"/>
              <w:rPr>
                <w:sz w:val="16"/>
                <w:szCs w:val="16"/>
                <w:lang w:val="en-US" w:eastAsia="ko-KR"/>
              </w:rPr>
            </w:pPr>
            <w:r w:rsidRPr="00E94493">
              <w:rPr>
                <w:rFonts w:hint="eastAsia"/>
                <w:sz w:val="16"/>
                <w:szCs w:val="16"/>
                <w:lang w:val="en-US" w:eastAsia="ko-KR"/>
              </w:rPr>
              <w:t>11.7</w:t>
            </w:r>
          </w:p>
        </w:tc>
      </w:tr>
      <w:tr w:rsidR="00CA3B52" w:rsidRPr="00E94493" w:rsidTr="002D1D5C">
        <w:trPr>
          <w:jc w:val="center"/>
        </w:trPr>
        <w:tc>
          <w:tcPr>
            <w:tcW w:w="1994" w:type="dxa"/>
            <w:vAlign w:val="center"/>
          </w:tcPr>
          <w:p w:rsidR="00CA3B52" w:rsidRPr="00E94493" w:rsidRDefault="00CA3B52" w:rsidP="002D1D5C">
            <w:pPr>
              <w:pStyle w:val="Tabletext"/>
              <w:ind w:left="-57" w:right="-57"/>
              <w:rPr>
                <w:sz w:val="16"/>
                <w:szCs w:val="16"/>
                <w:lang w:val="en-US"/>
              </w:rPr>
            </w:pPr>
            <w:r w:rsidRPr="00E94493">
              <w:rPr>
                <w:rFonts w:hint="eastAsia"/>
                <w:sz w:val="16"/>
                <w:szCs w:val="16"/>
                <w:lang w:val="en-US" w:eastAsia="ko-KR"/>
              </w:rPr>
              <w:t>10~30</w:t>
            </w:r>
            <w:r w:rsidRPr="00E94493">
              <w:rPr>
                <w:sz w:val="16"/>
                <w:szCs w:val="16"/>
                <w:lang w:val="en-US"/>
              </w:rPr>
              <w:t xml:space="preserve"> GHz</w:t>
            </w:r>
          </w:p>
        </w:tc>
        <w:tc>
          <w:tcPr>
            <w:tcW w:w="535" w:type="dxa"/>
          </w:tcPr>
          <w:p w:rsidR="00CA3B52" w:rsidRPr="00E94493" w:rsidRDefault="00CA3B52" w:rsidP="002D1D5C">
            <w:pPr>
              <w:pStyle w:val="Tabletext"/>
              <w:ind w:left="-57" w:right="-57"/>
              <w:jc w:val="center"/>
              <w:rPr>
                <w:sz w:val="16"/>
                <w:szCs w:val="16"/>
                <w:lang w:val="en-US" w:eastAsia="ko-KR"/>
              </w:rPr>
            </w:pPr>
            <w:r w:rsidRPr="00E94493">
              <w:rPr>
                <w:sz w:val="16"/>
                <w:szCs w:val="16"/>
                <w:lang w:val="en-US"/>
              </w:rPr>
              <w:t>0.</w:t>
            </w:r>
            <w:r w:rsidRPr="00E94493">
              <w:rPr>
                <w:rFonts w:hint="eastAsia"/>
                <w:sz w:val="16"/>
                <w:szCs w:val="16"/>
                <w:lang w:val="en-US" w:eastAsia="ko-KR"/>
              </w:rPr>
              <w:t>03</w:t>
            </w:r>
          </w:p>
        </w:tc>
        <w:tc>
          <w:tcPr>
            <w:tcW w:w="484" w:type="dxa"/>
          </w:tcPr>
          <w:p w:rsidR="00CA3B52" w:rsidRPr="00E94493" w:rsidRDefault="00CA3B52" w:rsidP="002D1D5C">
            <w:pPr>
              <w:pStyle w:val="Tabletext"/>
              <w:ind w:left="-57" w:right="-57"/>
              <w:jc w:val="center"/>
              <w:rPr>
                <w:sz w:val="16"/>
                <w:szCs w:val="16"/>
                <w:lang w:val="en-US" w:eastAsia="ko-KR"/>
              </w:rPr>
            </w:pPr>
            <w:r w:rsidRPr="00E94493">
              <w:rPr>
                <w:sz w:val="16"/>
                <w:szCs w:val="16"/>
                <w:lang w:val="en-US"/>
              </w:rPr>
              <w:t>0.</w:t>
            </w:r>
            <w:r w:rsidRPr="00E94493">
              <w:rPr>
                <w:rFonts w:hint="eastAsia"/>
                <w:sz w:val="16"/>
                <w:szCs w:val="16"/>
                <w:lang w:val="en-US" w:eastAsia="ko-KR"/>
              </w:rPr>
              <w:t>07</w:t>
            </w:r>
          </w:p>
        </w:tc>
        <w:tc>
          <w:tcPr>
            <w:tcW w:w="510" w:type="dxa"/>
          </w:tcPr>
          <w:p w:rsidR="00CA3B52" w:rsidRPr="00E94493" w:rsidRDefault="00CA3B52" w:rsidP="002D1D5C">
            <w:pPr>
              <w:pStyle w:val="Tabletext"/>
              <w:ind w:left="-57" w:right="-57"/>
              <w:jc w:val="center"/>
              <w:rPr>
                <w:sz w:val="16"/>
                <w:szCs w:val="16"/>
                <w:lang w:val="en-US" w:eastAsia="ko-KR"/>
              </w:rPr>
            </w:pPr>
            <w:r w:rsidRPr="00E94493">
              <w:rPr>
                <w:sz w:val="16"/>
                <w:szCs w:val="16"/>
                <w:lang w:val="en-US"/>
              </w:rPr>
              <w:t>0.</w:t>
            </w:r>
            <w:r w:rsidRPr="00E94493">
              <w:rPr>
                <w:rFonts w:hint="eastAsia"/>
                <w:sz w:val="16"/>
                <w:szCs w:val="16"/>
                <w:lang w:val="en-US" w:eastAsia="ko-KR"/>
              </w:rPr>
              <w:t>10</w:t>
            </w:r>
          </w:p>
        </w:tc>
        <w:tc>
          <w:tcPr>
            <w:tcW w:w="509"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0.17</w:t>
            </w:r>
          </w:p>
        </w:tc>
        <w:tc>
          <w:tcPr>
            <w:tcW w:w="510"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0.24</w:t>
            </w:r>
          </w:p>
        </w:tc>
        <w:tc>
          <w:tcPr>
            <w:tcW w:w="510" w:type="dxa"/>
          </w:tcPr>
          <w:p w:rsidR="00CA3B52" w:rsidRPr="00E94493" w:rsidRDefault="00CA3B52" w:rsidP="002D1D5C">
            <w:pPr>
              <w:pStyle w:val="Tabletext"/>
              <w:ind w:left="-57" w:right="-57"/>
              <w:jc w:val="center"/>
              <w:rPr>
                <w:sz w:val="16"/>
                <w:szCs w:val="16"/>
                <w:lang w:val="en-US"/>
              </w:rPr>
            </w:pPr>
            <w:r w:rsidRPr="00E94493">
              <w:rPr>
                <w:rFonts w:hint="eastAsia"/>
                <w:sz w:val="16"/>
                <w:szCs w:val="16"/>
                <w:lang w:val="en-US" w:eastAsia="ko-KR"/>
              </w:rPr>
              <w:t>0.31</w:t>
            </w:r>
          </w:p>
        </w:tc>
        <w:tc>
          <w:tcPr>
            <w:tcW w:w="509" w:type="dxa"/>
          </w:tcPr>
          <w:p w:rsidR="00CA3B52" w:rsidRPr="00E94493" w:rsidRDefault="00CA3B52" w:rsidP="002D1D5C">
            <w:pPr>
              <w:pStyle w:val="Tabletext"/>
              <w:ind w:left="-57" w:right="-57"/>
              <w:jc w:val="center"/>
              <w:rPr>
                <w:sz w:val="16"/>
                <w:szCs w:val="16"/>
                <w:lang w:val="en-US"/>
              </w:rPr>
            </w:pPr>
            <w:r w:rsidRPr="00E94493">
              <w:rPr>
                <w:rFonts w:hint="eastAsia"/>
                <w:sz w:val="16"/>
                <w:szCs w:val="16"/>
                <w:lang w:val="en-US" w:eastAsia="ko-KR"/>
              </w:rPr>
              <w:t>0.41</w:t>
            </w:r>
          </w:p>
        </w:tc>
        <w:tc>
          <w:tcPr>
            <w:tcW w:w="510"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0.51</w:t>
            </w:r>
          </w:p>
        </w:tc>
        <w:tc>
          <w:tcPr>
            <w:tcW w:w="510" w:type="dxa"/>
          </w:tcPr>
          <w:p w:rsidR="00CA3B52" w:rsidRPr="00E94493" w:rsidRDefault="00CA3B52" w:rsidP="002D1D5C">
            <w:pPr>
              <w:pStyle w:val="Tabletext"/>
              <w:ind w:left="-57" w:right="-57"/>
              <w:jc w:val="center"/>
              <w:rPr>
                <w:sz w:val="16"/>
                <w:szCs w:val="16"/>
                <w:lang w:val="en-US" w:eastAsia="ko-KR"/>
              </w:rPr>
            </w:pPr>
            <w:r w:rsidRPr="00E94493">
              <w:rPr>
                <w:rFonts w:hint="eastAsia"/>
                <w:caps/>
                <w:sz w:val="16"/>
                <w:szCs w:val="16"/>
                <w:lang w:val="en-US" w:eastAsia="ko-KR"/>
              </w:rPr>
              <w:t>0.65</w:t>
            </w:r>
          </w:p>
        </w:tc>
        <w:tc>
          <w:tcPr>
            <w:tcW w:w="509"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0.78</w:t>
            </w:r>
          </w:p>
        </w:tc>
        <w:tc>
          <w:tcPr>
            <w:tcW w:w="510"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0.95</w:t>
            </w:r>
          </w:p>
        </w:tc>
        <w:tc>
          <w:tcPr>
            <w:tcW w:w="510"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1.12</w:t>
            </w:r>
          </w:p>
        </w:tc>
        <w:tc>
          <w:tcPr>
            <w:tcW w:w="509"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1.29</w:t>
            </w:r>
          </w:p>
        </w:tc>
        <w:tc>
          <w:tcPr>
            <w:tcW w:w="550"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1.50</w:t>
            </w:r>
          </w:p>
        </w:tc>
        <w:tc>
          <w:tcPr>
            <w:tcW w:w="470"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1.7</w:t>
            </w:r>
          </w:p>
        </w:tc>
      </w:tr>
      <w:tr w:rsidR="00CA3B52" w:rsidRPr="00E94493" w:rsidTr="002D1D5C">
        <w:trPr>
          <w:jc w:val="center"/>
        </w:trPr>
        <w:tc>
          <w:tcPr>
            <w:tcW w:w="1994" w:type="dxa"/>
            <w:vAlign w:val="center"/>
          </w:tcPr>
          <w:p w:rsidR="00CA3B52" w:rsidRPr="00E94493" w:rsidRDefault="00CA3B52" w:rsidP="002D1D5C">
            <w:pPr>
              <w:pStyle w:val="Tabletext"/>
              <w:ind w:left="-57" w:right="-57"/>
              <w:rPr>
                <w:sz w:val="16"/>
                <w:szCs w:val="16"/>
                <w:lang w:val="en-US" w:eastAsia="ko-KR"/>
              </w:rPr>
            </w:pPr>
            <w:r w:rsidRPr="00E94493">
              <w:rPr>
                <w:rFonts w:hint="eastAsia"/>
                <w:sz w:val="16"/>
                <w:szCs w:val="16"/>
                <w:lang w:val="en-US" w:eastAsia="ko-KR"/>
              </w:rPr>
              <w:t>&gt;</w:t>
            </w:r>
            <w:r w:rsidR="00A3079E">
              <w:rPr>
                <w:sz w:val="16"/>
                <w:szCs w:val="16"/>
                <w:lang w:val="en-US" w:eastAsia="ko-KR"/>
              </w:rPr>
              <w:t xml:space="preserve"> </w:t>
            </w:r>
            <w:r w:rsidRPr="00E94493">
              <w:rPr>
                <w:rFonts w:hint="eastAsia"/>
                <w:sz w:val="16"/>
                <w:szCs w:val="16"/>
                <w:lang w:val="en-US" w:eastAsia="ko-KR"/>
              </w:rPr>
              <w:t>30</w:t>
            </w:r>
            <w:r w:rsidRPr="00E94493">
              <w:rPr>
                <w:sz w:val="16"/>
                <w:szCs w:val="16"/>
                <w:lang w:val="en-US" w:eastAsia="ko-KR"/>
              </w:rPr>
              <w:t xml:space="preserve"> </w:t>
            </w:r>
            <w:r w:rsidRPr="00E94493">
              <w:rPr>
                <w:rFonts w:hint="eastAsia"/>
                <w:sz w:val="16"/>
                <w:szCs w:val="16"/>
                <w:lang w:val="en-US" w:eastAsia="ko-KR"/>
              </w:rPr>
              <w:t>GHz</w:t>
            </w:r>
          </w:p>
        </w:tc>
        <w:tc>
          <w:tcPr>
            <w:tcW w:w="535"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0.004</w:t>
            </w:r>
          </w:p>
        </w:tc>
        <w:tc>
          <w:tcPr>
            <w:tcW w:w="484"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0.008</w:t>
            </w:r>
          </w:p>
        </w:tc>
        <w:tc>
          <w:tcPr>
            <w:tcW w:w="510"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0.012</w:t>
            </w:r>
          </w:p>
        </w:tc>
        <w:tc>
          <w:tcPr>
            <w:tcW w:w="509"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0.02</w:t>
            </w:r>
          </w:p>
        </w:tc>
        <w:tc>
          <w:tcPr>
            <w:tcW w:w="510"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0.028</w:t>
            </w:r>
          </w:p>
        </w:tc>
        <w:tc>
          <w:tcPr>
            <w:tcW w:w="510"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0.036</w:t>
            </w:r>
          </w:p>
        </w:tc>
        <w:tc>
          <w:tcPr>
            <w:tcW w:w="509"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0.048</w:t>
            </w:r>
          </w:p>
        </w:tc>
        <w:tc>
          <w:tcPr>
            <w:tcW w:w="510"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0.06</w:t>
            </w:r>
          </w:p>
        </w:tc>
        <w:tc>
          <w:tcPr>
            <w:tcW w:w="510" w:type="dxa"/>
          </w:tcPr>
          <w:p w:rsidR="00CA3B52" w:rsidRPr="00E94493" w:rsidRDefault="00CA3B52" w:rsidP="002D1D5C">
            <w:pPr>
              <w:pStyle w:val="Tabletext"/>
              <w:ind w:left="-57" w:right="-57"/>
              <w:jc w:val="center"/>
              <w:rPr>
                <w:caps/>
                <w:sz w:val="16"/>
                <w:szCs w:val="16"/>
                <w:lang w:val="en-US" w:eastAsia="ko-KR"/>
              </w:rPr>
            </w:pPr>
            <w:r w:rsidRPr="00E94493">
              <w:rPr>
                <w:rFonts w:hint="eastAsia"/>
                <w:caps/>
                <w:sz w:val="16"/>
                <w:szCs w:val="16"/>
                <w:lang w:val="en-US" w:eastAsia="ko-KR"/>
              </w:rPr>
              <w:t>0.076</w:t>
            </w:r>
          </w:p>
        </w:tc>
        <w:tc>
          <w:tcPr>
            <w:tcW w:w="509"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0.092</w:t>
            </w:r>
          </w:p>
        </w:tc>
        <w:tc>
          <w:tcPr>
            <w:tcW w:w="510"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0.112</w:t>
            </w:r>
          </w:p>
        </w:tc>
        <w:tc>
          <w:tcPr>
            <w:tcW w:w="510"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0.132</w:t>
            </w:r>
          </w:p>
        </w:tc>
        <w:tc>
          <w:tcPr>
            <w:tcW w:w="509"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0.152</w:t>
            </w:r>
          </w:p>
        </w:tc>
        <w:tc>
          <w:tcPr>
            <w:tcW w:w="550"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0.176</w:t>
            </w:r>
          </w:p>
        </w:tc>
        <w:tc>
          <w:tcPr>
            <w:tcW w:w="470" w:type="dxa"/>
          </w:tcPr>
          <w:p w:rsidR="00CA3B52" w:rsidRPr="00E94493" w:rsidRDefault="00CA3B52" w:rsidP="002D1D5C">
            <w:pPr>
              <w:pStyle w:val="Tabletext"/>
              <w:ind w:left="-57" w:right="-57"/>
              <w:jc w:val="center"/>
              <w:rPr>
                <w:sz w:val="16"/>
                <w:szCs w:val="16"/>
                <w:lang w:val="en-US" w:eastAsia="ko-KR"/>
              </w:rPr>
            </w:pPr>
            <w:r w:rsidRPr="00E94493">
              <w:rPr>
                <w:rFonts w:hint="eastAsia"/>
                <w:sz w:val="16"/>
                <w:szCs w:val="16"/>
                <w:lang w:val="en-US" w:eastAsia="ko-KR"/>
              </w:rPr>
              <w:t>0.2</w:t>
            </w:r>
          </w:p>
        </w:tc>
      </w:tr>
    </w:tbl>
    <w:p w:rsidR="00CA3B52" w:rsidRPr="00CB6CBA" w:rsidRDefault="00CA3B52" w:rsidP="00CA3B52">
      <w:pPr>
        <w:pStyle w:val="Tablefin"/>
        <w:rPr>
          <w:lang w:val="en-US"/>
        </w:rPr>
      </w:pPr>
    </w:p>
    <w:p w:rsidR="00CA3B52" w:rsidRPr="00CB6CBA" w:rsidRDefault="00CA3B52" w:rsidP="00CA3B52">
      <w:pPr>
        <w:pStyle w:val="Note"/>
        <w:rPr>
          <w:lang w:val="en-US"/>
        </w:rPr>
      </w:pPr>
      <w:r w:rsidRPr="00CB6CBA">
        <w:rPr>
          <w:lang w:val="en-US"/>
        </w:rPr>
        <w:t>NOTE 1 – If</w:t>
      </w:r>
      <w:r w:rsidRPr="00CB6CBA">
        <w:rPr>
          <w:lang w:val="en-US" w:eastAsia="ko-KR"/>
        </w:rPr>
        <w:t xml:space="preserve"> analogue technology is used</w:t>
      </w:r>
      <w:r w:rsidRPr="00CB6CBA">
        <w:rPr>
          <w:lang w:val="en-US"/>
        </w:rPr>
        <w:t>, the fee is tripled</w:t>
      </w:r>
      <w:r w:rsidRPr="00CB6CBA">
        <w:rPr>
          <w:lang w:val="en-US" w:eastAsia="ko-KR"/>
        </w:rPr>
        <w:t xml:space="preserve"> </w:t>
      </w:r>
      <w:r>
        <w:rPr>
          <w:rFonts w:hint="eastAsia"/>
          <w:lang w:val="en-US" w:eastAsia="ko-KR"/>
        </w:rPr>
        <w:t xml:space="preserve">by spectrum utilization amount factor for </w:t>
      </w:r>
      <w:r w:rsidRPr="00CB6CBA">
        <w:rPr>
          <w:lang w:val="en-US" w:eastAsia="ko-KR"/>
        </w:rPr>
        <w:t>the land mobile service</w:t>
      </w:r>
      <w:r w:rsidRPr="00CB6CBA">
        <w:rPr>
          <w:lang w:val="en-US"/>
        </w:rPr>
        <w:t>.</w:t>
      </w:r>
    </w:p>
    <w:p w:rsidR="00CA3B52" w:rsidRPr="00485BDD" w:rsidRDefault="00CA3B52" w:rsidP="00CA3B52">
      <w:pPr>
        <w:rPr>
          <w:i/>
          <w:iCs/>
          <w:vertAlign w:val="subscript"/>
          <w:lang w:val="en-US" w:eastAsia="ko-KR"/>
        </w:rPr>
      </w:pPr>
      <w:r w:rsidRPr="00485BDD">
        <w:rPr>
          <w:i/>
          <w:iCs/>
          <w:lang w:val="en-US"/>
        </w:rPr>
        <w:t>Service factor</w:t>
      </w:r>
      <w:r w:rsidRPr="00485BDD">
        <w:rPr>
          <w:i/>
          <w:iCs/>
          <w:lang w:val="en-US" w:eastAsia="ko-KR"/>
        </w:rPr>
        <w:t>, S</w:t>
      </w:r>
      <w:r w:rsidRPr="00485BDD">
        <w:rPr>
          <w:i/>
          <w:iCs/>
          <w:vertAlign w:val="subscript"/>
          <w:lang w:val="en-US" w:eastAsia="ko-KR"/>
        </w:rPr>
        <w:t>f</w:t>
      </w:r>
    </w:p>
    <w:p w:rsidR="00CA3B52" w:rsidRDefault="00CA3B52" w:rsidP="00CA3B52">
      <w:pPr>
        <w:pStyle w:val="Blanc"/>
        <w:rPr>
          <w:vertAlign w:val="subscript"/>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26"/>
        <w:gridCol w:w="2320"/>
      </w:tblGrid>
      <w:tr w:rsidR="00CA3B52" w:rsidRPr="00CB6CBA" w:rsidTr="002D1D5C">
        <w:trPr>
          <w:jc w:val="center"/>
        </w:trPr>
        <w:tc>
          <w:tcPr>
            <w:tcW w:w="6426" w:type="dxa"/>
          </w:tcPr>
          <w:p w:rsidR="00CA3B52" w:rsidRPr="00CB6CBA" w:rsidRDefault="00CA3B52" w:rsidP="002D1D5C">
            <w:pPr>
              <w:pStyle w:val="Tablehead"/>
              <w:rPr>
                <w:szCs w:val="22"/>
                <w:lang w:val="en-US"/>
              </w:rPr>
            </w:pPr>
            <w:r w:rsidRPr="00CB6CBA">
              <w:rPr>
                <w:szCs w:val="22"/>
                <w:lang w:val="en-US"/>
              </w:rPr>
              <w:t>Radio stations</w:t>
            </w:r>
          </w:p>
        </w:tc>
        <w:tc>
          <w:tcPr>
            <w:tcW w:w="2320" w:type="dxa"/>
          </w:tcPr>
          <w:p w:rsidR="00CA3B52" w:rsidRPr="00CB6CBA" w:rsidRDefault="00CA3B52" w:rsidP="002D1D5C">
            <w:pPr>
              <w:pStyle w:val="Tablehead"/>
              <w:rPr>
                <w:szCs w:val="22"/>
                <w:lang w:val="en-US"/>
              </w:rPr>
            </w:pPr>
            <w:r w:rsidRPr="00CB6CBA">
              <w:rPr>
                <w:szCs w:val="22"/>
                <w:lang w:val="en-US"/>
              </w:rPr>
              <w:t>Factors</w:t>
            </w:r>
          </w:p>
        </w:tc>
      </w:tr>
      <w:tr w:rsidR="00CA3B52" w:rsidRPr="00CB6CBA" w:rsidTr="002D1D5C">
        <w:trPr>
          <w:cantSplit/>
          <w:jc w:val="center"/>
        </w:trPr>
        <w:tc>
          <w:tcPr>
            <w:tcW w:w="6426" w:type="dxa"/>
          </w:tcPr>
          <w:p w:rsidR="00CA3B52" w:rsidRPr="00CB6CBA" w:rsidRDefault="00CA3B52" w:rsidP="002D1D5C">
            <w:pPr>
              <w:pStyle w:val="Tabletext"/>
              <w:rPr>
                <w:szCs w:val="22"/>
                <w:lang w:val="en-US"/>
              </w:rPr>
            </w:pPr>
            <w:r w:rsidRPr="00CB6CBA">
              <w:rPr>
                <w:szCs w:val="22"/>
                <w:lang w:val="en-US"/>
              </w:rPr>
              <w:t>Fixed stations:</w:t>
            </w:r>
          </w:p>
          <w:p w:rsidR="00CA3B52" w:rsidRPr="00CB6CBA" w:rsidRDefault="00CA3B52" w:rsidP="002D1D5C">
            <w:pPr>
              <w:pStyle w:val="Tabletext"/>
              <w:rPr>
                <w:szCs w:val="22"/>
                <w:lang w:val="en-US" w:eastAsia="ko-KR"/>
              </w:rPr>
            </w:pPr>
            <w:r w:rsidRPr="00CB6CBA">
              <w:rPr>
                <w:szCs w:val="22"/>
                <w:lang w:val="en-US"/>
              </w:rPr>
              <w:t>–</w:t>
            </w:r>
            <w:r w:rsidRPr="00CB6CBA">
              <w:rPr>
                <w:szCs w:val="22"/>
                <w:lang w:val="en-US"/>
              </w:rPr>
              <w:tab/>
              <w:t>for microwave</w:t>
            </w:r>
            <w:r w:rsidRPr="00CB6CBA">
              <w:rPr>
                <w:szCs w:val="22"/>
                <w:lang w:val="en-US" w:eastAsia="ko-KR"/>
              </w:rPr>
              <w:t xml:space="preserve"> link</w:t>
            </w:r>
          </w:p>
          <w:p w:rsidR="00CA3B52" w:rsidRPr="00CB6CBA" w:rsidRDefault="00CA3B52" w:rsidP="002D1D5C">
            <w:pPr>
              <w:pStyle w:val="Tabletext"/>
              <w:rPr>
                <w:szCs w:val="22"/>
                <w:lang w:val="en-US"/>
              </w:rPr>
            </w:pPr>
            <w:r w:rsidRPr="00CB6CBA">
              <w:rPr>
                <w:szCs w:val="22"/>
                <w:lang w:val="en-US"/>
              </w:rPr>
              <w:t>–</w:t>
            </w:r>
            <w:r w:rsidRPr="00CB6CBA">
              <w:rPr>
                <w:szCs w:val="22"/>
                <w:lang w:val="en-US"/>
              </w:rPr>
              <w:tab/>
              <w:t xml:space="preserve">for </w:t>
            </w:r>
            <w:r w:rsidRPr="00CB6CBA">
              <w:rPr>
                <w:szCs w:val="22"/>
                <w:lang w:val="en-US" w:eastAsia="ko-KR"/>
              </w:rPr>
              <w:t>local loop</w:t>
            </w:r>
          </w:p>
          <w:p w:rsidR="00CA3B52" w:rsidRPr="00CB6CBA" w:rsidRDefault="00CA3B52" w:rsidP="002D1D5C">
            <w:pPr>
              <w:pStyle w:val="Tabletext"/>
              <w:rPr>
                <w:szCs w:val="22"/>
                <w:lang w:val="en-US"/>
              </w:rPr>
            </w:pPr>
            <w:r w:rsidRPr="00CB6CBA">
              <w:rPr>
                <w:szCs w:val="22"/>
                <w:lang w:val="en-US"/>
              </w:rPr>
              <w:t>–</w:t>
            </w:r>
            <w:r w:rsidRPr="00CB6CBA">
              <w:rPr>
                <w:szCs w:val="22"/>
                <w:lang w:val="en-US"/>
              </w:rPr>
              <w:tab/>
              <w:t>for communications with islands</w:t>
            </w:r>
          </w:p>
          <w:p w:rsidR="00CA3B52" w:rsidRPr="00CB6CBA" w:rsidRDefault="00CA3B52" w:rsidP="002D1D5C">
            <w:pPr>
              <w:pStyle w:val="Tabletext"/>
              <w:rPr>
                <w:szCs w:val="22"/>
                <w:lang w:val="en-US"/>
              </w:rPr>
            </w:pPr>
            <w:r w:rsidRPr="00CB6CBA">
              <w:rPr>
                <w:szCs w:val="22"/>
                <w:lang w:val="en-US"/>
              </w:rPr>
              <w:t>–</w:t>
            </w:r>
            <w:r w:rsidRPr="00CB6CBA">
              <w:rPr>
                <w:szCs w:val="22"/>
                <w:lang w:val="en-US"/>
              </w:rPr>
              <w:tab/>
            </w:r>
            <w:r w:rsidRPr="00CB6CBA">
              <w:rPr>
                <w:szCs w:val="22"/>
                <w:lang w:val="en-US" w:eastAsia="ko-KR"/>
              </w:rPr>
              <w:t>for other applications</w:t>
            </w:r>
          </w:p>
        </w:tc>
        <w:tc>
          <w:tcPr>
            <w:tcW w:w="2320" w:type="dxa"/>
          </w:tcPr>
          <w:p w:rsidR="007A44FB" w:rsidRDefault="007A44FB" w:rsidP="002D1D5C">
            <w:pPr>
              <w:pStyle w:val="Tabletext"/>
              <w:jc w:val="center"/>
              <w:rPr>
                <w:szCs w:val="22"/>
                <w:lang w:val="en-US"/>
              </w:rPr>
            </w:pPr>
          </w:p>
          <w:p w:rsidR="00CA3B52" w:rsidRDefault="00CA3B52" w:rsidP="002D1D5C">
            <w:pPr>
              <w:pStyle w:val="Tabletext"/>
              <w:jc w:val="center"/>
              <w:rPr>
                <w:szCs w:val="22"/>
                <w:lang w:val="en-US"/>
              </w:rPr>
            </w:pPr>
            <w:r w:rsidRPr="00CB6CBA">
              <w:rPr>
                <w:szCs w:val="22"/>
                <w:lang w:val="en-US"/>
              </w:rPr>
              <w:t>0.5</w:t>
            </w:r>
          </w:p>
          <w:p w:rsidR="00CA3B52" w:rsidRPr="00CB6CBA" w:rsidRDefault="00CA3B52" w:rsidP="002D1D5C">
            <w:pPr>
              <w:pStyle w:val="Tabletext"/>
              <w:jc w:val="center"/>
              <w:rPr>
                <w:szCs w:val="22"/>
                <w:lang w:val="en-US"/>
              </w:rPr>
            </w:pPr>
            <w:r w:rsidRPr="00CB6CBA">
              <w:rPr>
                <w:szCs w:val="22"/>
                <w:lang w:val="en-US"/>
              </w:rPr>
              <w:t>0.25</w:t>
            </w:r>
          </w:p>
          <w:p w:rsidR="00CA3B52" w:rsidRPr="00CB6CBA" w:rsidRDefault="00CA3B52" w:rsidP="002D1D5C">
            <w:pPr>
              <w:pStyle w:val="Tabletext"/>
              <w:jc w:val="center"/>
              <w:rPr>
                <w:szCs w:val="22"/>
                <w:lang w:val="en-US"/>
              </w:rPr>
            </w:pPr>
            <w:r w:rsidRPr="00CB6CBA">
              <w:rPr>
                <w:szCs w:val="22"/>
                <w:lang w:val="en-US"/>
              </w:rPr>
              <w:t>0.05</w:t>
            </w:r>
          </w:p>
          <w:p w:rsidR="00CA3B52" w:rsidRPr="00CB6CBA" w:rsidRDefault="00CA3B52" w:rsidP="002D1D5C">
            <w:pPr>
              <w:pStyle w:val="Tabletext"/>
              <w:jc w:val="center"/>
              <w:rPr>
                <w:szCs w:val="22"/>
                <w:lang w:val="en-US"/>
              </w:rPr>
            </w:pPr>
            <w:r w:rsidRPr="00CB6CBA">
              <w:rPr>
                <w:szCs w:val="22"/>
                <w:lang w:val="en-US"/>
              </w:rPr>
              <w:t>1</w:t>
            </w:r>
          </w:p>
        </w:tc>
      </w:tr>
      <w:tr w:rsidR="00CA3B52" w:rsidRPr="00CB6CBA" w:rsidTr="002D1D5C">
        <w:trPr>
          <w:cantSplit/>
          <w:jc w:val="center"/>
        </w:trPr>
        <w:tc>
          <w:tcPr>
            <w:tcW w:w="6426" w:type="dxa"/>
          </w:tcPr>
          <w:p w:rsidR="00CA3B52" w:rsidRPr="00CB6CBA" w:rsidRDefault="00CA3B52" w:rsidP="002D1D5C">
            <w:pPr>
              <w:pStyle w:val="Tabletext"/>
              <w:rPr>
                <w:szCs w:val="22"/>
                <w:lang w:val="en-US" w:eastAsia="ko-KR"/>
              </w:rPr>
            </w:pPr>
            <w:r>
              <w:rPr>
                <w:rFonts w:hint="eastAsia"/>
                <w:szCs w:val="22"/>
                <w:lang w:val="en-US" w:eastAsia="ko-KR"/>
              </w:rPr>
              <w:t>Satellite broadcast auxiliary station</w:t>
            </w:r>
          </w:p>
        </w:tc>
        <w:tc>
          <w:tcPr>
            <w:tcW w:w="2320" w:type="dxa"/>
          </w:tcPr>
          <w:p w:rsidR="00CA3B52" w:rsidRPr="00CB6CBA" w:rsidRDefault="00CA3B52" w:rsidP="002D1D5C">
            <w:pPr>
              <w:pStyle w:val="Tabletext"/>
              <w:jc w:val="center"/>
              <w:rPr>
                <w:szCs w:val="22"/>
                <w:lang w:val="en-US" w:eastAsia="ko-KR"/>
              </w:rPr>
            </w:pPr>
            <w:r>
              <w:rPr>
                <w:rFonts w:hint="eastAsia"/>
                <w:szCs w:val="22"/>
                <w:lang w:val="en-US" w:eastAsia="ko-KR"/>
              </w:rPr>
              <w:t>0.03</w:t>
            </w:r>
          </w:p>
        </w:tc>
      </w:tr>
      <w:tr w:rsidR="00CA3B52" w:rsidRPr="00CB6CBA" w:rsidTr="002D1D5C">
        <w:trPr>
          <w:cantSplit/>
          <w:jc w:val="center"/>
        </w:trPr>
        <w:tc>
          <w:tcPr>
            <w:tcW w:w="6426" w:type="dxa"/>
          </w:tcPr>
          <w:p w:rsidR="00CA3B52" w:rsidRPr="00CB6CBA" w:rsidRDefault="00CA3B52" w:rsidP="002D1D5C">
            <w:pPr>
              <w:pStyle w:val="Tabletext"/>
              <w:rPr>
                <w:szCs w:val="22"/>
                <w:lang w:val="en-US"/>
              </w:rPr>
            </w:pPr>
            <w:r w:rsidRPr="00CB6CBA">
              <w:rPr>
                <w:szCs w:val="22"/>
                <w:lang w:val="en-US"/>
              </w:rPr>
              <w:t xml:space="preserve">Other </w:t>
            </w:r>
            <w:r w:rsidRPr="00CB6CBA">
              <w:rPr>
                <w:szCs w:val="22"/>
                <w:lang w:val="en-US" w:eastAsia="ko-KR"/>
              </w:rPr>
              <w:t>stations</w:t>
            </w:r>
          </w:p>
        </w:tc>
        <w:tc>
          <w:tcPr>
            <w:tcW w:w="2320" w:type="dxa"/>
          </w:tcPr>
          <w:p w:rsidR="00CA3B52" w:rsidRDefault="00CA3B52" w:rsidP="002D1D5C">
            <w:pPr>
              <w:pStyle w:val="Tabletext"/>
              <w:jc w:val="center"/>
              <w:rPr>
                <w:szCs w:val="22"/>
                <w:lang w:val="en-US"/>
              </w:rPr>
            </w:pPr>
            <w:r w:rsidRPr="00CB6CBA">
              <w:rPr>
                <w:szCs w:val="22"/>
                <w:lang w:val="en-US"/>
              </w:rPr>
              <w:t>1</w:t>
            </w:r>
          </w:p>
        </w:tc>
      </w:tr>
    </w:tbl>
    <w:p w:rsidR="00CA3B52" w:rsidRPr="00CB6CBA" w:rsidRDefault="00CA3B52" w:rsidP="00CA3B52">
      <w:pPr>
        <w:pStyle w:val="Tablefin"/>
        <w:rPr>
          <w:lang w:val="en-US" w:eastAsia="ko-KR"/>
        </w:rPr>
      </w:pPr>
    </w:p>
    <w:p w:rsidR="00CA3B52" w:rsidRDefault="00CA3B52" w:rsidP="00CA3B52">
      <w:pPr>
        <w:keepNext/>
        <w:keepLines/>
        <w:rPr>
          <w:lang w:val="en-US" w:eastAsia="ko-KR"/>
        </w:rPr>
      </w:pPr>
      <w:r>
        <w:rPr>
          <w:rFonts w:hint="eastAsia"/>
          <w:lang w:val="en-US" w:eastAsia="ko-KR"/>
        </w:rPr>
        <w:t xml:space="preserve">The fee-waiver factors of </w:t>
      </w:r>
      <w:r w:rsidRPr="00CB6CBA">
        <w:rPr>
          <w:lang w:val="en-US" w:eastAsia="ko-KR"/>
        </w:rPr>
        <w:t>facilit</w:t>
      </w:r>
      <w:r>
        <w:rPr>
          <w:rFonts w:hint="eastAsia"/>
          <w:lang w:val="en-US" w:eastAsia="ko-KR"/>
        </w:rPr>
        <w:t>y sharing and</w:t>
      </w:r>
      <w:r>
        <w:rPr>
          <w:rFonts w:ascii="Batang" w:hAnsi="Batang" w:hint="eastAsia"/>
          <w:lang w:val="en-US" w:eastAsia="ko-KR"/>
        </w:rPr>
        <w:t xml:space="preserve"> </w:t>
      </w:r>
      <w:r>
        <w:rPr>
          <w:rFonts w:hint="eastAsia"/>
          <w:lang w:val="en-US" w:eastAsia="ko-KR"/>
        </w:rPr>
        <w:t>eco-friendly</w:t>
      </w:r>
    </w:p>
    <w:p w:rsidR="00CA3B52" w:rsidRDefault="00CA3B52" w:rsidP="00CA3B52">
      <w:pPr>
        <w:pStyle w:val="Blanc"/>
        <w:rPr>
          <w:lang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7"/>
        <w:gridCol w:w="567"/>
        <w:gridCol w:w="730"/>
        <w:gridCol w:w="730"/>
        <w:gridCol w:w="730"/>
        <w:gridCol w:w="729"/>
        <w:gridCol w:w="729"/>
        <w:gridCol w:w="729"/>
        <w:gridCol w:w="729"/>
        <w:gridCol w:w="729"/>
        <w:gridCol w:w="566"/>
      </w:tblGrid>
      <w:tr w:rsidR="00CA3B52" w:rsidRPr="006B4F03" w:rsidTr="006B4F03">
        <w:trPr>
          <w:jc w:val="center"/>
        </w:trPr>
        <w:tc>
          <w:tcPr>
            <w:tcW w:w="1463" w:type="pct"/>
            <w:vAlign w:val="center"/>
          </w:tcPr>
          <w:p w:rsidR="00CA3B52" w:rsidRPr="006B4F03" w:rsidRDefault="00CA3B52" w:rsidP="002D1D5C">
            <w:pPr>
              <w:keepLines/>
              <w:tabs>
                <w:tab w:val="clear" w:pos="794"/>
                <w:tab w:val="clear" w:pos="1191"/>
                <w:tab w:val="clear" w:pos="1588"/>
                <w:tab w:val="clear" w:pos="1985"/>
                <w:tab w:val="left" w:pos="567"/>
                <w:tab w:val="left" w:leader="dot" w:pos="7938"/>
                <w:tab w:val="center" w:pos="9526"/>
              </w:tabs>
              <w:spacing w:before="40" w:after="40"/>
              <w:jc w:val="left"/>
              <w:rPr>
                <w:bCs/>
                <w:sz w:val="20"/>
                <w:lang w:val="en-US" w:eastAsia="ko-KR"/>
              </w:rPr>
            </w:pPr>
            <w:r w:rsidRPr="006B4F03">
              <w:rPr>
                <w:rFonts w:hint="eastAsia"/>
                <w:bCs/>
                <w:sz w:val="20"/>
                <w:lang w:val="en-US" w:eastAsia="ko-KR"/>
              </w:rPr>
              <w:t>Facility sharing ratio</w:t>
            </w:r>
            <w:r w:rsidRPr="006B4F03">
              <w:rPr>
                <w:bCs/>
                <w:sz w:val="20"/>
                <w:lang w:val="en-US" w:eastAsia="ko-KR"/>
              </w:rPr>
              <w:t xml:space="preserve"> </w:t>
            </w:r>
            <w:r w:rsidRPr="006B4F03">
              <w:rPr>
                <w:rFonts w:hint="eastAsia"/>
                <w:bCs/>
                <w:sz w:val="20"/>
                <w:lang w:val="en-US" w:eastAsia="ko-KR"/>
              </w:rPr>
              <w:t>and roaming ratio</w:t>
            </w:r>
            <w:r w:rsidRPr="006B4F03">
              <w:rPr>
                <w:bCs/>
                <w:sz w:val="20"/>
                <w:lang w:val="en-US" w:eastAsia="ko-KR"/>
              </w:rPr>
              <w:t xml:space="preserve"> </w:t>
            </w:r>
            <w:r w:rsidRPr="006B4F03">
              <w:rPr>
                <w:rFonts w:hint="eastAsia"/>
                <w:bCs/>
                <w:sz w:val="20"/>
                <w:lang w:val="en-US" w:eastAsia="ko-KR"/>
              </w:rPr>
              <w:t>(%)</w:t>
            </w:r>
          </w:p>
        </w:tc>
        <w:tc>
          <w:tcPr>
            <w:tcW w:w="287" w:type="pct"/>
            <w:vAlign w:val="center"/>
          </w:tcPr>
          <w:p w:rsidR="00CA3B52" w:rsidRPr="006B4F03" w:rsidRDefault="00CA3B52" w:rsidP="002D1D5C">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&lt;10</w:t>
            </w:r>
          </w:p>
        </w:tc>
        <w:tc>
          <w:tcPr>
            <w:tcW w:w="370" w:type="pct"/>
            <w:vAlign w:val="center"/>
          </w:tcPr>
          <w:p w:rsidR="00CA3B52" w:rsidRPr="006B4F03" w:rsidRDefault="00CA3B52" w:rsidP="002D1D5C">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10~20</w:t>
            </w:r>
          </w:p>
        </w:tc>
        <w:tc>
          <w:tcPr>
            <w:tcW w:w="370" w:type="pct"/>
            <w:vAlign w:val="center"/>
          </w:tcPr>
          <w:p w:rsidR="00CA3B52" w:rsidRPr="006B4F03" w:rsidRDefault="00CA3B52" w:rsidP="002D1D5C">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20~30</w:t>
            </w:r>
          </w:p>
        </w:tc>
        <w:tc>
          <w:tcPr>
            <w:tcW w:w="370" w:type="pct"/>
            <w:vAlign w:val="center"/>
          </w:tcPr>
          <w:p w:rsidR="00CA3B52" w:rsidRPr="006B4F03" w:rsidRDefault="00CA3B52" w:rsidP="002D1D5C">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30~40</w:t>
            </w:r>
          </w:p>
        </w:tc>
        <w:tc>
          <w:tcPr>
            <w:tcW w:w="370" w:type="pct"/>
            <w:vAlign w:val="center"/>
          </w:tcPr>
          <w:p w:rsidR="00CA3B52" w:rsidRPr="006B4F03" w:rsidRDefault="00CA3B52" w:rsidP="002D1D5C">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40~45</w:t>
            </w:r>
          </w:p>
        </w:tc>
        <w:tc>
          <w:tcPr>
            <w:tcW w:w="370" w:type="pct"/>
            <w:vAlign w:val="center"/>
          </w:tcPr>
          <w:p w:rsidR="00CA3B52" w:rsidRPr="006B4F03" w:rsidRDefault="00CA3B52" w:rsidP="002D1D5C">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45~50</w:t>
            </w:r>
          </w:p>
        </w:tc>
        <w:tc>
          <w:tcPr>
            <w:tcW w:w="370" w:type="pct"/>
            <w:vAlign w:val="center"/>
          </w:tcPr>
          <w:p w:rsidR="00CA3B52" w:rsidRPr="006B4F03" w:rsidRDefault="00CA3B52" w:rsidP="002D1D5C">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50~55</w:t>
            </w:r>
          </w:p>
        </w:tc>
        <w:tc>
          <w:tcPr>
            <w:tcW w:w="370" w:type="pct"/>
            <w:vAlign w:val="center"/>
          </w:tcPr>
          <w:p w:rsidR="00CA3B52" w:rsidRPr="006B4F03" w:rsidRDefault="00CA3B52" w:rsidP="002D1D5C">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55~60</w:t>
            </w:r>
          </w:p>
        </w:tc>
        <w:tc>
          <w:tcPr>
            <w:tcW w:w="370" w:type="pct"/>
            <w:vAlign w:val="center"/>
          </w:tcPr>
          <w:p w:rsidR="00CA3B52" w:rsidRPr="006B4F03" w:rsidRDefault="00CA3B52" w:rsidP="002D1D5C">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60~70</w:t>
            </w:r>
          </w:p>
        </w:tc>
        <w:tc>
          <w:tcPr>
            <w:tcW w:w="287" w:type="pct"/>
            <w:vAlign w:val="center"/>
          </w:tcPr>
          <w:p w:rsidR="00CA3B52" w:rsidRPr="006B4F03" w:rsidRDefault="00CA3B52" w:rsidP="002D1D5C">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&gt;70</w:t>
            </w:r>
          </w:p>
        </w:tc>
      </w:tr>
      <w:tr w:rsidR="00CA3B52" w:rsidRPr="006B4F03" w:rsidTr="006B4F03">
        <w:trPr>
          <w:jc w:val="center"/>
        </w:trPr>
        <w:tc>
          <w:tcPr>
            <w:tcW w:w="1463" w:type="pct"/>
            <w:vAlign w:val="center"/>
          </w:tcPr>
          <w:p w:rsidR="00CA3B52" w:rsidRPr="006B4F03" w:rsidRDefault="00CA3B52" w:rsidP="002D1D5C">
            <w:pPr>
              <w:keepNext/>
              <w:keepLines/>
              <w:tabs>
                <w:tab w:val="clear" w:pos="794"/>
                <w:tab w:val="clear" w:pos="1191"/>
                <w:tab w:val="clear" w:pos="1588"/>
                <w:tab w:val="clear" w:pos="1985"/>
              </w:tabs>
              <w:spacing w:before="40" w:after="40"/>
              <w:jc w:val="left"/>
              <w:rPr>
                <w:bCs/>
                <w:sz w:val="20"/>
                <w:lang w:val="en-US" w:eastAsia="ko-KR"/>
              </w:rPr>
            </w:pPr>
            <w:r w:rsidRPr="006B4F03">
              <w:rPr>
                <w:rFonts w:hint="eastAsia"/>
                <w:bCs/>
                <w:sz w:val="20"/>
                <w:lang w:val="en-US" w:eastAsia="ko-KR"/>
              </w:rPr>
              <w:t>Facility sharing fee-waiver factor</w:t>
            </w:r>
          </w:p>
        </w:tc>
        <w:tc>
          <w:tcPr>
            <w:tcW w:w="287"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0.01</w:t>
            </w:r>
          </w:p>
        </w:tc>
        <w:tc>
          <w:tcPr>
            <w:tcW w:w="370"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0.02</w:t>
            </w:r>
          </w:p>
        </w:tc>
        <w:tc>
          <w:tcPr>
            <w:tcW w:w="370"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0.03</w:t>
            </w:r>
          </w:p>
        </w:tc>
        <w:tc>
          <w:tcPr>
            <w:tcW w:w="370"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0.04</w:t>
            </w:r>
          </w:p>
        </w:tc>
        <w:tc>
          <w:tcPr>
            <w:tcW w:w="370"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0.05</w:t>
            </w:r>
          </w:p>
        </w:tc>
        <w:tc>
          <w:tcPr>
            <w:tcW w:w="370"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0.06</w:t>
            </w:r>
          </w:p>
        </w:tc>
        <w:tc>
          <w:tcPr>
            <w:tcW w:w="370"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0.07</w:t>
            </w:r>
          </w:p>
        </w:tc>
        <w:tc>
          <w:tcPr>
            <w:tcW w:w="370"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0.08</w:t>
            </w:r>
          </w:p>
        </w:tc>
        <w:tc>
          <w:tcPr>
            <w:tcW w:w="370"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0.09</w:t>
            </w:r>
          </w:p>
        </w:tc>
        <w:tc>
          <w:tcPr>
            <w:tcW w:w="287"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0.10</w:t>
            </w:r>
          </w:p>
        </w:tc>
      </w:tr>
      <w:tr w:rsidR="00CA3B52" w:rsidRPr="006B4F03" w:rsidTr="006B4F03">
        <w:trPr>
          <w:jc w:val="center"/>
        </w:trPr>
        <w:tc>
          <w:tcPr>
            <w:tcW w:w="1463"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left"/>
              <w:rPr>
                <w:bCs/>
                <w:sz w:val="20"/>
                <w:lang w:val="en-US" w:eastAsia="ko-KR"/>
              </w:rPr>
            </w:pPr>
            <w:r w:rsidRPr="006B4F03">
              <w:rPr>
                <w:rFonts w:hint="eastAsia"/>
                <w:bCs/>
                <w:sz w:val="20"/>
                <w:lang w:val="en-US" w:eastAsia="ko-KR"/>
              </w:rPr>
              <w:t>Eco-friendly fee-waiver factor</w:t>
            </w:r>
          </w:p>
        </w:tc>
        <w:tc>
          <w:tcPr>
            <w:tcW w:w="287"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0.01</w:t>
            </w:r>
          </w:p>
        </w:tc>
        <w:tc>
          <w:tcPr>
            <w:tcW w:w="370"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0.02</w:t>
            </w:r>
          </w:p>
        </w:tc>
        <w:tc>
          <w:tcPr>
            <w:tcW w:w="370"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0.03</w:t>
            </w:r>
          </w:p>
        </w:tc>
        <w:tc>
          <w:tcPr>
            <w:tcW w:w="370"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0.04</w:t>
            </w:r>
          </w:p>
        </w:tc>
        <w:tc>
          <w:tcPr>
            <w:tcW w:w="370"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0.05</w:t>
            </w:r>
          </w:p>
        </w:tc>
        <w:tc>
          <w:tcPr>
            <w:tcW w:w="370"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0.06</w:t>
            </w:r>
          </w:p>
        </w:tc>
        <w:tc>
          <w:tcPr>
            <w:tcW w:w="370"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0.07</w:t>
            </w:r>
          </w:p>
        </w:tc>
        <w:tc>
          <w:tcPr>
            <w:tcW w:w="370"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0.08</w:t>
            </w:r>
          </w:p>
        </w:tc>
        <w:tc>
          <w:tcPr>
            <w:tcW w:w="370"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0.09</w:t>
            </w:r>
          </w:p>
        </w:tc>
        <w:tc>
          <w:tcPr>
            <w:tcW w:w="287" w:type="pct"/>
            <w:vAlign w:val="center"/>
          </w:tcPr>
          <w:p w:rsidR="00CA3B52" w:rsidRPr="006B4F03" w:rsidRDefault="00CA3B52" w:rsidP="002D1D5C">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0.10</w:t>
            </w:r>
          </w:p>
        </w:tc>
      </w:tr>
    </w:tbl>
    <w:p w:rsidR="00CA3B52" w:rsidRDefault="00CA3B52" w:rsidP="00CA3B52">
      <w:pPr>
        <w:pStyle w:val="Tablefin"/>
        <w:rPr>
          <w:lang w:eastAsia="ko-KR"/>
        </w:rPr>
      </w:pPr>
    </w:p>
    <w:p w:rsidR="00CA3B52" w:rsidRPr="00953132" w:rsidRDefault="001B06EF" w:rsidP="00A55FD9">
      <w:pPr>
        <w:pStyle w:val="Note"/>
        <w:rPr>
          <w:lang w:val="en-US" w:eastAsia="ko-KR"/>
        </w:rPr>
      </w:pPr>
      <w:r>
        <w:rPr>
          <w:lang w:val="en-US" w:eastAsia="ko-KR"/>
        </w:rPr>
        <w:t xml:space="preserve">NOTE 1 – </w:t>
      </w:r>
      <w:r w:rsidR="00CA3B52" w:rsidRPr="00953132">
        <w:rPr>
          <w:i/>
          <w:iCs/>
          <w:lang w:val="en-US" w:eastAsia="ko-KR"/>
        </w:rPr>
        <w:t>Facility sharing</w:t>
      </w:r>
      <w:r w:rsidR="00CA3B52" w:rsidRPr="00953132">
        <w:rPr>
          <w:i/>
          <w:iCs/>
          <w:lang w:val="en-US"/>
        </w:rPr>
        <w:t xml:space="preserve"> ratio</w:t>
      </w:r>
      <w:r w:rsidR="00CA3B52" w:rsidRPr="00DA3DC6">
        <w:rPr>
          <w:bCs/>
          <w:iCs/>
          <w:lang w:val="en-US"/>
        </w:rPr>
        <w:t xml:space="preserve">: </w:t>
      </w:r>
      <w:r w:rsidR="00CA3B52" w:rsidRPr="00953132">
        <w:rPr>
          <w:lang w:val="en-US"/>
        </w:rPr>
        <w:t xml:space="preserve">Ratio of </w:t>
      </w:r>
      <w:r w:rsidR="00CA3B52" w:rsidRPr="00953132">
        <w:rPr>
          <w:lang w:val="en-US" w:eastAsia="ko-KR"/>
        </w:rPr>
        <w:t xml:space="preserve">the number of </w:t>
      </w:r>
      <w:r w:rsidR="00CA3B52" w:rsidRPr="00953132">
        <w:rPr>
          <w:rFonts w:hint="eastAsia"/>
          <w:lang w:val="en-US" w:eastAsia="ko-KR"/>
        </w:rPr>
        <w:t xml:space="preserve">radio </w:t>
      </w:r>
      <w:r w:rsidR="00CA3B52" w:rsidRPr="00953132">
        <w:rPr>
          <w:lang w:val="en-US" w:eastAsia="ko-KR"/>
        </w:rPr>
        <w:t>statio</w:t>
      </w:r>
      <w:r w:rsidR="00CA3B52" w:rsidRPr="00953132">
        <w:rPr>
          <w:lang w:val="en-US"/>
        </w:rPr>
        <w:t>ns</w:t>
      </w:r>
      <w:r w:rsidR="00CA3B52" w:rsidRPr="00953132">
        <w:rPr>
          <w:lang w:val="en-US" w:eastAsia="ko-KR"/>
        </w:rPr>
        <w:t xml:space="preserve"> served by a</w:t>
      </w:r>
      <w:r w:rsidR="00CA3B52" w:rsidRPr="00953132">
        <w:rPr>
          <w:rFonts w:hint="eastAsia"/>
          <w:lang w:val="en-US" w:eastAsia="ko-KR"/>
        </w:rPr>
        <w:t xml:space="preserve"> common carrier </w:t>
      </w:r>
      <w:r w:rsidR="00CA3B52" w:rsidRPr="00953132">
        <w:rPr>
          <w:lang w:val="en-US" w:eastAsia="ko-KR"/>
        </w:rPr>
        <w:t>that share</w:t>
      </w:r>
      <w:r w:rsidR="00CA3B52" w:rsidRPr="00953132">
        <w:rPr>
          <w:rFonts w:hint="eastAsia"/>
          <w:lang w:val="en-US" w:eastAsia="ko-KR"/>
        </w:rPr>
        <w:t>s</w:t>
      </w:r>
      <w:r w:rsidR="00CA3B52" w:rsidRPr="00953132">
        <w:rPr>
          <w:lang w:val="en-US"/>
        </w:rPr>
        <w:t xml:space="preserve"> radio facilities to t</w:t>
      </w:r>
      <w:r w:rsidR="00CA3B52" w:rsidRPr="00953132">
        <w:rPr>
          <w:lang w:val="en-US" w:eastAsia="ko-KR"/>
        </w:rPr>
        <w:t xml:space="preserve">he total number of </w:t>
      </w:r>
      <w:r w:rsidR="00CA3B52" w:rsidRPr="00953132">
        <w:rPr>
          <w:rFonts w:hint="eastAsia"/>
          <w:lang w:val="en-US" w:eastAsia="ko-KR"/>
        </w:rPr>
        <w:t xml:space="preserve">radio </w:t>
      </w:r>
      <w:r w:rsidR="00CA3B52" w:rsidRPr="00953132">
        <w:rPr>
          <w:lang w:val="en-US"/>
        </w:rPr>
        <w:t>station</w:t>
      </w:r>
      <w:r w:rsidR="00CA3B52" w:rsidRPr="00953132">
        <w:rPr>
          <w:lang w:val="en-US" w:eastAsia="ko-KR"/>
        </w:rPr>
        <w:t>s</w:t>
      </w:r>
      <w:r w:rsidR="00CA3B52" w:rsidRPr="00953132">
        <w:rPr>
          <w:lang w:val="en-US"/>
        </w:rPr>
        <w:t xml:space="preserve"> served by </w:t>
      </w:r>
      <w:r w:rsidR="00CA3B52" w:rsidRPr="00953132">
        <w:rPr>
          <w:rFonts w:hint="eastAsia"/>
          <w:lang w:val="en-US" w:eastAsia="ko-KR"/>
        </w:rPr>
        <w:t>the common carriers</w:t>
      </w:r>
      <w:r w:rsidR="00CA3B52" w:rsidRPr="00953132">
        <w:rPr>
          <w:lang w:val="en-US" w:eastAsia="ko-KR"/>
        </w:rPr>
        <w:t>.</w:t>
      </w:r>
    </w:p>
    <w:p w:rsidR="00CA3B52" w:rsidRPr="00CB6CBA" w:rsidRDefault="001B06EF" w:rsidP="001B06EF">
      <w:pPr>
        <w:pStyle w:val="Note"/>
        <w:rPr>
          <w:lang w:val="en-US" w:eastAsia="ko-KR"/>
        </w:rPr>
      </w:pPr>
      <w:r>
        <w:rPr>
          <w:lang w:val="en-US" w:eastAsia="ko-KR"/>
        </w:rPr>
        <w:t xml:space="preserve">NOTE 2 – </w:t>
      </w:r>
      <w:r w:rsidR="00CA3B52" w:rsidRPr="006C0EC4">
        <w:rPr>
          <w:i/>
          <w:lang w:val="en-US" w:eastAsia="ko-KR"/>
        </w:rPr>
        <w:t xml:space="preserve">Eco-friendly </w:t>
      </w:r>
      <w:r w:rsidR="00CA3B52">
        <w:rPr>
          <w:rFonts w:hint="eastAsia"/>
          <w:i/>
          <w:lang w:val="en-US" w:eastAsia="ko-KR"/>
        </w:rPr>
        <w:t>ratio</w:t>
      </w:r>
      <w:r w:rsidR="00CA3B52">
        <w:rPr>
          <w:rFonts w:hint="eastAsia"/>
          <w:lang w:val="en-US" w:eastAsia="ko-KR"/>
        </w:rPr>
        <w:t xml:space="preserve">: </w:t>
      </w:r>
      <w:r w:rsidR="00CA3B52" w:rsidRPr="00CB6CBA">
        <w:rPr>
          <w:lang w:val="en-US"/>
        </w:rPr>
        <w:t xml:space="preserve">Ratio of </w:t>
      </w:r>
      <w:r w:rsidR="00CA3B52" w:rsidRPr="00CB6CBA">
        <w:rPr>
          <w:lang w:val="en-US" w:eastAsia="ko-KR"/>
        </w:rPr>
        <w:t xml:space="preserve">the number of </w:t>
      </w:r>
      <w:r w:rsidR="00CA3B52">
        <w:rPr>
          <w:rFonts w:hint="eastAsia"/>
          <w:lang w:val="en-US" w:eastAsia="ko-KR"/>
        </w:rPr>
        <w:t xml:space="preserve">radio </w:t>
      </w:r>
      <w:r w:rsidR="00CA3B52" w:rsidRPr="00CB6CBA">
        <w:rPr>
          <w:lang w:val="en-US" w:eastAsia="ko-KR"/>
        </w:rPr>
        <w:t>statio</w:t>
      </w:r>
      <w:r w:rsidR="00CA3B52" w:rsidRPr="00CB6CBA">
        <w:rPr>
          <w:lang w:val="en-US"/>
        </w:rPr>
        <w:t>ns</w:t>
      </w:r>
      <w:r w:rsidR="00CA3B52" w:rsidRPr="00CB6CBA">
        <w:rPr>
          <w:lang w:val="en-US" w:eastAsia="ko-KR"/>
        </w:rPr>
        <w:t xml:space="preserve"> served by </w:t>
      </w:r>
      <w:r w:rsidR="00CA3B52">
        <w:rPr>
          <w:rFonts w:hint="eastAsia"/>
          <w:lang w:val="en-US" w:eastAsia="ko-KR"/>
        </w:rPr>
        <w:t>eco-friendly</w:t>
      </w:r>
      <w:r w:rsidR="00CA3B52" w:rsidRPr="00CB6CBA">
        <w:rPr>
          <w:lang w:val="en-US"/>
        </w:rPr>
        <w:t xml:space="preserve"> facilities to t</w:t>
      </w:r>
      <w:r w:rsidR="00CA3B52" w:rsidRPr="00CB6CBA">
        <w:rPr>
          <w:lang w:val="en-US" w:eastAsia="ko-KR"/>
        </w:rPr>
        <w:t xml:space="preserve">he total number of </w:t>
      </w:r>
      <w:r w:rsidR="00CA3B52">
        <w:rPr>
          <w:rFonts w:hint="eastAsia"/>
          <w:lang w:val="en-US" w:eastAsia="ko-KR"/>
        </w:rPr>
        <w:t xml:space="preserve">radio </w:t>
      </w:r>
      <w:r w:rsidR="00CA3B52" w:rsidRPr="00CB6CBA">
        <w:rPr>
          <w:lang w:val="en-US"/>
        </w:rPr>
        <w:t>station</w:t>
      </w:r>
      <w:r w:rsidR="00CA3B52" w:rsidRPr="00CB6CBA">
        <w:rPr>
          <w:lang w:val="en-US" w:eastAsia="ko-KR"/>
        </w:rPr>
        <w:t>s</w:t>
      </w:r>
      <w:r w:rsidR="00CA3B52" w:rsidRPr="00CB6CBA">
        <w:rPr>
          <w:lang w:val="en-US"/>
        </w:rPr>
        <w:t xml:space="preserve"> served by </w:t>
      </w:r>
      <w:r w:rsidR="00CA3B52">
        <w:rPr>
          <w:rFonts w:hint="eastAsia"/>
          <w:lang w:val="en-US" w:eastAsia="ko-KR"/>
        </w:rPr>
        <w:t>the</w:t>
      </w:r>
      <w:r w:rsidR="00CA3B52" w:rsidRPr="00CB6CBA">
        <w:rPr>
          <w:lang w:val="en-US"/>
        </w:rPr>
        <w:t xml:space="preserve"> </w:t>
      </w:r>
      <w:r w:rsidR="00CA3B52">
        <w:rPr>
          <w:rFonts w:hint="eastAsia"/>
          <w:lang w:val="en-US" w:eastAsia="ko-KR"/>
        </w:rPr>
        <w:t>common carrier.</w:t>
      </w:r>
    </w:p>
    <w:p w:rsidR="00CA3B52" w:rsidRPr="00CB6CBA" w:rsidRDefault="00CA3B52" w:rsidP="00CA3B52">
      <w:pPr>
        <w:rPr>
          <w:lang w:val="en-US"/>
        </w:rPr>
      </w:pPr>
      <w:r w:rsidRPr="00CF7652">
        <w:rPr>
          <w:b/>
          <w:i/>
          <w:iCs/>
          <w:lang w:val="en-US" w:eastAsia="ko-KR"/>
        </w:rPr>
        <w:t>Category</w:t>
      </w:r>
      <w:r w:rsidRPr="00CF7652">
        <w:rPr>
          <w:b/>
          <w:i/>
          <w:iCs/>
          <w:lang w:val="en-US"/>
        </w:rPr>
        <w:t xml:space="preserve"> 3</w:t>
      </w:r>
      <w:r w:rsidRPr="00DA3DC6">
        <w:rPr>
          <w:lang w:val="en-US"/>
        </w:rPr>
        <w:t>:</w:t>
      </w:r>
      <w:r w:rsidRPr="00CB6CBA">
        <w:rPr>
          <w:i/>
          <w:iCs/>
          <w:lang w:val="en-US"/>
        </w:rPr>
        <w:t xml:space="preserve"> </w:t>
      </w:r>
      <w:r>
        <w:rPr>
          <w:rFonts w:hint="eastAsia"/>
          <w:lang w:val="en-US" w:eastAsia="ko-KR"/>
        </w:rPr>
        <w:t>Based on the assigned frequency of the transmitter of radio stations</w:t>
      </w:r>
      <w:r w:rsidRPr="00CB6CBA">
        <w:rPr>
          <w:lang w:val="en-US"/>
        </w:rPr>
        <w:t>:</w:t>
      </w:r>
    </w:p>
    <w:p w:rsidR="00CA3B52" w:rsidRDefault="00CA3B52" w:rsidP="00CA3B52">
      <w:pPr>
        <w:rPr>
          <w:lang w:val="en-US"/>
        </w:rPr>
      </w:pPr>
      <w:r w:rsidRPr="00CB6CBA">
        <w:rPr>
          <w:lang w:val="en-US"/>
        </w:rPr>
        <w:t xml:space="preserve">The </w:t>
      </w:r>
      <w:r w:rsidRPr="00CB6CBA">
        <w:rPr>
          <w:lang w:val="en-US" w:eastAsia="ko-KR"/>
        </w:rPr>
        <w:t xml:space="preserve">spectrum </w:t>
      </w:r>
      <w:r>
        <w:rPr>
          <w:rFonts w:hint="eastAsia"/>
          <w:lang w:val="en-US" w:eastAsia="ko-KR"/>
        </w:rPr>
        <w:t xml:space="preserve">utilization </w:t>
      </w:r>
      <w:r w:rsidRPr="00CB6CBA">
        <w:rPr>
          <w:lang w:val="en-US" w:eastAsia="ko-KR"/>
        </w:rPr>
        <w:t>fee (SF)</w:t>
      </w:r>
      <w:r w:rsidRPr="00CB6CBA">
        <w:rPr>
          <w:lang w:val="en-US"/>
        </w:rPr>
        <w:t xml:space="preserve"> is i</w:t>
      </w:r>
      <w:r w:rsidRPr="00CB6CBA">
        <w:rPr>
          <w:lang w:val="en-US" w:eastAsia="ko-KR"/>
        </w:rPr>
        <w:t xml:space="preserve">mposed </w:t>
      </w:r>
      <w:r w:rsidRPr="00CB6CBA">
        <w:rPr>
          <w:lang w:val="en-US"/>
        </w:rPr>
        <w:t>on each transmitt</w:t>
      </w:r>
      <w:r w:rsidRPr="00CB6CBA">
        <w:rPr>
          <w:lang w:val="en-US" w:eastAsia="ko-KR"/>
        </w:rPr>
        <w:t>er</w:t>
      </w:r>
      <w:r w:rsidRPr="00CB6CBA">
        <w:rPr>
          <w:lang w:val="en-US"/>
        </w:rPr>
        <w:t xml:space="preserve"> according to th</w:t>
      </w:r>
      <w:r w:rsidRPr="00CB6CBA">
        <w:rPr>
          <w:lang w:val="en-US" w:eastAsia="ko-KR"/>
        </w:rPr>
        <w:t>e</w:t>
      </w:r>
      <w:r w:rsidRPr="00CB6CBA">
        <w:rPr>
          <w:lang w:val="en-US"/>
        </w:rPr>
        <w:t xml:space="preserve"> equation:</w:t>
      </w:r>
    </w:p>
    <w:p w:rsidR="00CA3B52" w:rsidRDefault="00CA3B52" w:rsidP="00CA3B52">
      <w:pPr>
        <w:pStyle w:val="Equation"/>
        <w:rPr>
          <w:lang w:val="en-US" w:eastAsia="ko-KR"/>
        </w:rPr>
      </w:pPr>
      <w:r>
        <w:rPr>
          <w:lang w:val="en-US"/>
        </w:rPr>
        <w:tab/>
      </w:r>
      <w:r>
        <w:rPr>
          <w:lang w:val="en-US"/>
        </w:rPr>
        <w:tab/>
      </w:r>
      <w:r w:rsidRPr="00DA3DC6">
        <w:rPr>
          <w:position w:val="-14"/>
          <w:lang w:val="en-US"/>
        </w:rPr>
        <w:object w:dxaOrig="5460" w:dyaOrig="440">
          <v:shape id="_x0000_i1145" type="#_x0000_t75" style="width:272.1pt;height:21.5pt" o:ole="" fillcolor="window">
            <v:imagedata r:id="rId264" o:title=""/>
          </v:shape>
          <o:OLEObject Type="Embed" ProgID="Equation.3" ShapeID="_x0000_i1145" DrawAspect="Content" ObjectID="_1511604934" r:id="rId265"/>
        </w:object>
      </w:r>
      <w:r w:rsidRPr="00CB6CBA">
        <w:rPr>
          <w:lang w:val="en-US"/>
        </w:rPr>
        <w:tab/>
      </w:r>
      <w:r>
        <w:rPr>
          <w:lang w:val="en-US"/>
        </w:rPr>
        <w:t>(73)</w:t>
      </w:r>
    </w:p>
    <w:p w:rsidR="00CA3B52" w:rsidRPr="00CB6CBA" w:rsidRDefault="00CA3B52" w:rsidP="00A55FD9">
      <w:pPr>
        <w:keepNext/>
        <w:rPr>
          <w:lang w:val="en-US"/>
        </w:rPr>
      </w:pPr>
      <w:r w:rsidRPr="00CB6CBA">
        <w:rPr>
          <w:lang w:val="en-US"/>
        </w:rPr>
        <w:t>where:</w:t>
      </w:r>
    </w:p>
    <w:p w:rsidR="00CA3B52" w:rsidRPr="00E77DB8" w:rsidRDefault="00CA3B52" w:rsidP="00CA3B52">
      <w:pPr>
        <w:pStyle w:val="Equationlegend"/>
        <w:rPr>
          <w:rFonts w:asciiTheme="majorBidi" w:hAnsiTheme="majorBidi" w:cstheme="majorBidi"/>
        </w:rPr>
      </w:pPr>
      <w:r w:rsidRPr="00E77DB8">
        <w:rPr>
          <w:rFonts w:asciiTheme="majorBidi" w:hAnsiTheme="majorBidi" w:cstheme="majorBidi"/>
          <w:i/>
          <w:iCs/>
        </w:rPr>
        <w:tab/>
      </w:r>
      <w:r>
        <w:rPr>
          <w:rFonts w:asciiTheme="majorBidi" w:hAnsiTheme="majorBidi" w:cstheme="majorBidi" w:hint="eastAsia"/>
          <w:i/>
          <w:iCs/>
          <w:lang w:eastAsia="ko-KR"/>
        </w:rPr>
        <w:t>B</w:t>
      </w:r>
      <w:r>
        <w:rPr>
          <w:rFonts w:asciiTheme="majorBidi" w:hAnsiTheme="majorBidi" w:cstheme="majorBidi" w:hint="eastAsia"/>
          <w:i/>
          <w:iCs/>
          <w:vertAlign w:val="subscript"/>
          <w:lang w:eastAsia="ko-KR"/>
        </w:rPr>
        <w:t>P</w:t>
      </w:r>
      <w:r w:rsidRPr="00E77DB8">
        <w:rPr>
          <w:rFonts w:asciiTheme="majorBidi" w:hAnsiTheme="majorBidi" w:cstheme="majorBidi"/>
          <w:sz w:val="12"/>
        </w:rPr>
        <w:t> </w:t>
      </w:r>
      <w:r w:rsidRPr="00E77DB8">
        <w:rPr>
          <w:rFonts w:asciiTheme="majorBidi" w:hAnsiTheme="majorBidi" w:cstheme="majorBidi"/>
          <w:sz w:val="20"/>
        </w:rPr>
        <w:t>:</w:t>
      </w:r>
      <w:r w:rsidRPr="00E77DB8">
        <w:rPr>
          <w:rFonts w:asciiTheme="majorBidi" w:hAnsiTheme="majorBidi" w:cstheme="majorBidi"/>
          <w:sz w:val="20"/>
        </w:rPr>
        <w:tab/>
      </w:r>
      <w:r w:rsidRPr="00E77DB8">
        <w:rPr>
          <w:rFonts w:asciiTheme="majorBidi" w:hAnsiTheme="majorBidi" w:cstheme="majorBidi"/>
        </w:rPr>
        <w:t xml:space="preserve">basic </w:t>
      </w:r>
      <w:r w:rsidRPr="00E77DB8">
        <w:rPr>
          <w:rFonts w:asciiTheme="majorBidi" w:hAnsiTheme="majorBidi" w:cstheme="majorBidi"/>
          <w:lang w:eastAsia="ko-KR"/>
        </w:rPr>
        <w:t>price</w:t>
      </w:r>
    </w:p>
    <w:p w:rsidR="00CA3B52" w:rsidRPr="00E77DB8" w:rsidRDefault="00CA3B52" w:rsidP="00CA3B52">
      <w:pPr>
        <w:pStyle w:val="Equationlegend"/>
        <w:rPr>
          <w:rFonts w:asciiTheme="majorBidi" w:hAnsiTheme="majorBidi" w:cstheme="majorBidi"/>
        </w:rPr>
      </w:pPr>
      <w:r w:rsidRPr="00E77DB8">
        <w:rPr>
          <w:rFonts w:asciiTheme="majorBidi" w:hAnsiTheme="majorBidi" w:cstheme="majorBidi"/>
          <w:i/>
          <w:iCs/>
        </w:rPr>
        <w:tab/>
      </w:r>
      <w:r w:rsidRPr="00E77DB8">
        <w:rPr>
          <w:rFonts w:asciiTheme="majorBidi" w:hAnsiTheme="majorBidi" w:cstheme="majorBidi"/>
          <w:i/>
          <w:iCs/>
          <w:lang w:eastAsia="ko-KR"/>
        </w:rPr>
        <w:t>P</w:t>
      </w:r>
      <w:r w:rsidRPr="00E77DB8">
        <w:rPr>
          <w:rFonts w:asciiTheme="majorBidi" w:hAnsiTheme="majorBidi" w:cstheme="majorBidi"/>
          <w:sz w:val="12"/>
        </w:rPr>
        <w:t> </w:t>
      </w:r>
      <w:r w:rsidRPr="00E77DB8">
        <w:rPr>
          <w:rFonts w:asciiTheme="majorBidi" w:hAnsiTheme="majorBidi" w:cstheme="majorBidi"/>
          <w:sz w:val="20"/>
        </w:rPr>
        <w:t>:</w:t>
      </w:r>
      <w:r w:rsidRPr="00E77DB8">
        <w:rPr>
          <w:rFonts w:asciiTheme="majorBidi" w:hAnsiTheme="majorBidi" w:cstheme="majorBidi"/>
          <w:sz w:val="20"/>
        </w:rPr>
        <w:tab/>
      </w:r>
      <w:r w:rsidRPr="00E77DB8">
        <w:rPr>
          <w:rFonts w:asciiTheme="majorBidi" w:hAnsiTheme="majorBidi" w:cstheme="majorBidi"/>
        </w:rPr>
        <w:t>antenna power</w:t>
      </w:r>
    </w:p>
    <w:p w:rsidR="00CA3B52" w:rsidRPr="00E77DB8" w:rsidRDefault="00CA3B52" w:rsidP="00CA3B52">
      <w:pPr>
        <w:pStyle w:val="Equationlegend"/>
        <w:rPr>
          <w:rFonts w:asciiTheme="majorBidi" w:hAnsiTheme="majorBidi" w:cstheme="majorBidi"/>
        </w:rPr>
      </w:pPr>
      <w:r w:rsidRPr="00E77DB8">
        <w:rPr>
          <w:rFonts w:asciiTheme="majorBidi" w:hAnsiTheme="majorBidi" w:cstheme="majorBidi"/>
          <w:i/>
          <w:iCs/>
        </w:rPr>
        <w:tab/>
        <w:t>B</w:t>
      </w:r>
      <w:r w:rsidRPr="00E77DB8">
        <w:rPr>
          <w:rFonts w:asciiTheme="majorBidi" w:hAnsiTheme="majorBidi" w:cstheme="majorBidi"/>
          <w:i/>
          <w:iCs/>
          <w:vertAlign w:val="subscript"/>
        </w:rPr>
        <w:t>W</w:t>
      </w:r>
      <w:r w:rsidRPr="00E77DB8">
        <w:rPr>
          <w:rFonts w:asciiTheme="majorBidi" w:hAnsiTheme="majorBidi" w:cstheme="majorBidi"/>
          <w:sz w:val="12"/>
        </w:rPr>
        <w:t> </w:t>
      </w:r>
      <w:r w:rsidRPr="00E77DB8">
        <w:rPr>
          <w:rFonts w:asciiTheme="majorBidi" w:hAnsiTheme="majorBidi" w:cstheme="majorBidi"/>
          <w:sz w:val="20"/>
        </w:rPr>
        <w:t>:</w:t>
      </w:r>
      <w:r w:rsidRPr="00E77DB8">
        <w:rPr>
          <w:rFonts w:asciiTheme="majorBidi" w:hAnsiTheme="majorBidi" w:cstheme="majorBidi"/>
          <w:sz w:val="20"/>
        </w:rPr>
        <w:tab/>
      </w:r>
      <w:r w:rsidRPr="00E77DB8">
        <w:rPr>
          <w:rFonts w:asciiTheme="majorBidi" w:hAnsiTheme="majorBidi" w:cstheme="majorBidi"/>
        </w:rPr>
        <w:t>bandwidth</w:t>
      </w:r>
    </w:p>
    <w:p w:rsidR="00CA3B52" w:rsidRPr="00E77DB8" w:rsidRDefault="00CA3B52" w:rsidP="00CA3B52">
      <w:pPr>
        <w:pStyle w:val="Equationlegend"/>
        <w:rPr>
          <w:rFonts w:asciiTheme="majorBidi" w:hAnsiTheme="majorBidi" w:cstheme="majorBidi"/>
        </w:rPr>
      </w:pPr>
      <w:r w:rsidRPr="00E77DB8">
        <w:rPr>
          <w:rFonts w:asciiTheme="majorBidi" w:hAnsiTheme="majorBidi" w:cstheme="majorBidi"/>
          <w:i/>
          <w:iCs/>
        </w:rPr>
        <w:tab/>
        <w:t>P</w:t>
      </w:r>
      <w:r w:rsidRPr="00E77DB8">
        <w:rPr>
          <w:rFonts w:asciiTheme="majorBidi" w:hAnsiTheme="majorBidi" w:cstheme="majorBidi"/>
          <w:i/>
          <w:iCs/>
          <w:vertAlign w:val="subscript"/>
        </w:rPr>
        <w:t>f</w:t>
      </w:r>
      <w:r w:rsidRPr="00E77DB8">
        <w:rPr>
          <w:rFonts w:asciiTheme="majorBidi" w:hAnsiTheme="majorBidi" w:cstheme="majorBidi"/>
          <w:sz w:val="12"/>
        </w:rPr>
        <w:t> </w:t>
      </w:r>
      <w:r w:rsidRPr="00E77DB8">
        <w:rPr>
          <w:rFonts w:asciiTheme="majorBidi" w:hAnsiTheme="majorBidi" w:cstheme="majorBidi"/>
          <w:sz w:val="20"/>
        </w:rPr>
        <w:t>:</w:t>
      </w:r>
      <w:r w:rsidRPr="00E77DB8">
        <w:rPr>
          <w:rFonts w:asciiTheme="majorBidi" w:hAnsiTheme="majorBidi" w:cstheme="majorBidi"/>
          <w:sz w:val="20"/>
        </w:rPr>
        <w:tab/>
      </w:r>
      <w:r w:rsidRPr="00E77DB8">
        <w:rPr>
          <w:rFonts w:asciiTheme="majorBidi" w:hAnsiTheme="majorBidi" w:cstheme="majorBidi"/>
        </w:rPr>
        <w:t>preference factor</w:t>
      </w:r>
    </w:p>
    <w:p w:rsidR="00CA3B52" w:rsidRPr="00E77DB8" w:rsidRDefault="00CA3B52" w:rsidP="00CA3B52">
      <w:pPr>
        <w:pStyle w:val="Equationlegend"/>
        <w:rPr>
          <w:rFonts w:asciiTheme="majorBidi" w:hAnsiTheme="majorBidi" w:cstheme="majorBidi"/>
        </w:rPr>
      </w:pPr>
      <w:r w:rsidRPr="00E77DB8">
        <w:rPr>
          <w:rFonts w:asciiTheme="majorBidi" w:hAnsiTheme="majorBidi" w:cstheme="majorBidi"/>
          <w:i/>
          <w:iCs/>
        </w:rPr>
        <w:lastRenderedPageBreak/>
        <w:tab/>
      </w:r>
      <w:r>
        <w:rPr>
          <w:rFonts w:asciiTheme="majorBidi" w:hAnsiTheme="majorBidi" w:cstheme="majorBidi" w:hint="eastAsia"/>
          <w:i/>
          <w:iCs/>
          <w:lang w:eastAsia="ko-KR"/>
        </w:rPr>
        <w:t>U</w:t>
      </w:r>
      <w:r w:rsidRPr="00E77DB8">
        <w:rPr>
          <w:rFonts w:asciiTheme="majorBidi" w:hAnsiTheme="majorBidi" w:cstheme="majorBidi"/>
          <w:i/>
          <w:iCs/>
          <w:vertAlign w:val="subscript"/>
        </w:rPr>
        <w:t>f</w:t>
      </w:r>
      <w:r w:rsidRPr="00E77DB8">
        <w:rPr>
          <w:rFonts w:asciiTheme="majorBidi" w:hAnsiTheme="majorBidi" w:cstheme="majorBidi"/>
          <w:sz w:val="12"/>
        </w:rPr>
        <w:t> </w:t>
      </w:r>
      <w:r w:rsidRPr="00E77DB8">
        <w:rPr>
          <w:rFonts w:asciiTheme="majorBidi" w:hAnsiTheme="majorBidi" w:cstheme="majorBidi"/>
          <w:sz w:val="20"/>
        </w:rPr>
        <w:t>:</w:t>
      </w:r>
      <w:r w:rsidRPr="00E77DB8">
        <w:rPr>
          <w:rFonts w:asciiTheme="majorBidi" w:hAnsiTheme="majorBidi" w:cstheme="majorBidi"/>
          <w:sz w:val="20"/>
        </w:rPr>
        <w:tab/>
      </w:r>
      <w:r>
        <w:rPr>
          <w:rFonts w:asciiTheme="majorBidi" w:hAnsiTheme="majorBidi" w:cstheme="majorBidi" w:hint="eastAsia"/>
          <w:lang w:eastAsia="ko-KR"/>
        </w:rPr>
        <w:t>frequency use pattern</w:t>
      </w:r>
      <w:r w:rsidRPr="00E77DB8">
        <w:rPr>
          <w:rFonts w:asciiTheme="majorBidi" w:hAnsiTheme="majorBidi" w:cstheme="majorBidi"/>
        </w:rPr>
        <w:t xml:space="preserve"> factor</w:t>
      </w:r>
    </w:p>
    <w:p w:rsidR="00CA3B52" w:rsidRPr="00E77DB8" w:rsidRDefault="00CA3B52" w:rsidP="00CA3B52">
      <w:pPr>
        <w:pStyle w:val="Equationlegend"/>
        <w:rPr>
          <w:rFonts w:asciiTheme="majorBidi" w:hAnsiTheme="majorBidi" w:cstheme="majorBidi"/>
          <w:lang w:eastAsia="ko-KR"/>
        </w:rPr>
      </w:pPr>
      <w:r w:rsidRPr="00E77DB8">
        <w:rPr>
          <w:rFonts w:asciiTheme="majorBidi" w:hAnsiTheme="majorBidi" w:cstheme="majorBidi"/>
          <w:i/>
          <w:iCs/>
        </w:rPr>
        <w:tab/>
        <w:t>O</w:t>
      </w:r>
      <w:r w:rsidRPr="00E77DB8">
        <w:rPr>
          <w:rFonts w:asciiTheme="majorBidi" w:hAnsiTheme="majorBidi" w:cstheme="majorBidi"/>
          <w:i/>
          <w:iCs/>
          <w:vertAlign w:val="subscript"/>
        </w:rPr>
        <w:t>f</w:t>
      </w:r>
      <w:r w:rsidRPr="00E77DB8">
        <w:rPr>
          <w:rFonts w:asciiTheme="majorBidi" w:hAnsiTheme="majorBidi" w:cstheme="majorBidi"/>
          <w:sz w:val="12"/>
        </w:rPr>
        <w:t> </w:t>
      </w:r>
      <w:r w:rsidRPr="00E77DB8">
        <w:rPr>
          <w:rFonts w:asciiTheme="majorBidi" w:hAnsiTheme="majorBidi" w:cstheme="majorBidi"/>
          <w:sz w:val="20"/>
        </w:rPr>
        <w:t>:</w:t>
      </w:r>
      <w:r w:rsidRPr="00E77DB8">
        <w:rPr>
          <w:rFonts w:asciiTheme="majorBidi" w:hAnsiTheme="majorBidi" w:cstheme="majorBidi"/>
          <w:sz w:val="20"/>
        </w:rPr>
        <w:tab/>
      </w:r>
      <w:r w:rsidRPr="00E77DB8">
        <w:rPr>
          <w:rFonts w:asciiTheme="majorBidi" w:hAnsiTheme="majorBidi" w:cstheme="majorBidi"/>
          <w:lang w:eastAsia="ko-KR"/>
        </w:rPr>
        <w:t xml:space="preserve">operating </w:t>
      </w:r>
      <w:r w:rsidRPr="00E77DB8">
        <w:rPr>
          <w:rFonts w:asciiTheme="majorBidi" w:hAnsiTheme="majorBidi" w:cstheme="majorBidi"/>
        </w:rPr>
        <w:t>purpose factor</w:t>
      </w:r>
    </w:p>
    <w:p w:rsidR="00CA3B52" w:rsidRDefault="00CA3B52" w:rsidP="00CA3B52">
      <w:pPr>
        <w:pStyle w:val="Equationlegend"/>
        <w:rPr>
          <w:rFonts w:asciiTheme="majorBidi" w:hAnsiTheme="majorBidi" w:cstheme="majorBidi"/>
          <w:lang w:eastAsia="ko-KR"/>
        </w:rPr>
      </w:pPr>
      <w:r w:rsidRPr="00E77DB8">
        <w:rPr>
          <w:rFonts w:asciiTheme="majorBidi" w:hAnsiTheme="majorBidi" w:cstheme="majorBidi"/>
        </w:rPr>
        <w:tab/>
      </w:r>
      <w:r w:rsidRPr="00E77DB8">
        <w:rPr>
          <w:rFonts w:asciiTheme="majorBidi" w:hAnsiTheme="majorBidi" w:cstheme="majorBidi"/>
          <w:i/>
          <w:iCs/>
          <w:position w:val="-12"/>
          <w:lang w:eastAsia="ko-KR"/>
        </w:rPr>
        <w:object w:dxaOrig="300" w:dyaOrig="360">
          <v:shape id="_x0000_i1146" type="#_x0000_t75" style="width:14.95pt;height:19.15pt" o:ole="">
            <v:imagedata r:id="rId262" o:title=""/>
          </v:shape>
          <o:OLEObject Type="Embed" ProgID="Equation.DSMT4" ShapeID="_x0000_i1146" DrawAspect="Content" ObjectID="_1511604935" r:id="rId266"/>
        </w:object>
      </w:r>
      <w:r w:rsidRPr="00E77DB8">
        <w:rPr>
          <w:rFonts w:asciiTheme="majorBidi" w:hAnsiTheme="majorBidi" w:cstheme="majorBidi"/>
          <w:sz w:val="12"/>
        </w:rPr>
        <w:t> </w:t>
      </w:r>
      <w:r w:rsidRPr="00E77DB8">
        <w:rPr>
          <w:rFonts w:asciiTheme="majorBidi" w:hAnsiTheme="majorBidi" w:cstheme="majorBidi"/>
        </w:rPr>
        <w:t>:</w:t>
      </w:r>
      <w:r w:rsidRPr="00E77DB8">
        <w:rPr>
          <w:rFonts w:asciiTheme="majorBidi" w:hAnsiTheme="majorBidi" w:cstheme="majorBidi"/>
        </w:rPr>
        <w:tab/>
      </w:r>
      <w:r w:rsidRPr="00E77DB8">
        <w:rPr>
          <w:rFonts w:asciiTheme="majorBidi" w:hAnsiTheme="majorBidi" w:cstheme="majorBidi"/>
          <w:lang w:eastAsia="ko-KR"/>
        </w:rPr>
        <w:t xml:space="preserve">facility sharing </w:t>
      </w:r>
      <w:r>
        <w:rPr>
          <w:rFonts w:asciiTheme="majorBidi" w:hAnsiTheme="majorBidi" w:cstheme="majorBidi" w:hint="eastAsia"/>
          <w:lang w:eastAsia="ko-KR"/>
        </w:rPr>
        <w:t xml:space="preserve">fee-waiver </w:t>
      </w:r>
      <w:r w:rsidRPr="00E77DB8">
        <w:rPr>
          <w:rFonts w:asciiTheme="majorBidi" w:hAnsiTheme="majorBidi" w:cstheme="majorBidi"/>
          <w:lang w:eastAsia="ko-KR"/>
        </w:rPr>
        <w:t>factor</w:t>
      </w:r>
    </w:p>
    <w:p w:rsidR="00CA3B52" w:rsidRDefault="00CA3B52" w:rsidP="00CA3B52">
      <w:pPr>
        <w:pStyle w:val="Equationlegend"/>
        <w:rPr>
          <w:lang w:eastAsia="ko-KR"/>
        </w:rPr>
      </w:pPr>
      <w:r w:rsidRPr="00CB6CBA">
        <w:tab/>
      </w:r>
      <w:r w:rsidRPr="00EB2773">
        <w:rPr>
          <w:rFonts w:asciiTheme="majorBidi" w:hAnsiTheme="majorBidi" w:cstheme="majorBidi"/>
          <w:i/>
          <w:iCs/>
        </w:rPr>
        <w:t>E</w:t>
      </w:r>
      <w:r w:rsidRPr="00EB2773">
        <w:rPr>
          <w:rFonts w:asciiTheme="majorBidi" w:hAnsiTheme="majorBidi" w:cstheme="majorBidi"/>
          <w:i/>
          <w:iCs/>
          <w:vertAlign w:val="subscript"/>
        </w:rPr>
        <w:t>f</w:t>
      </w:r>
      <w:r>
        <w:rPr>
          <w:rFonts w:asciiTheme="majorBidi" w:hAnsiTheme="majorBidi" w:cstheme="majorBidi" w:hint="eastAsia"/>
          <w:i/>
          <w:iCs/>
          <w:sz w:val="12"/>
          <w:lang w:eastAsia="ko-KR"/>
        </w:rPr>
        <w:t xml:space="preserve"> </w:t>
      </w:r>
      <w:r w:rsidRPr="00101D35">
        <w:rPr>
          <w:rFonts w:asciiTheme="majorBidi" w:hAnsiTheme="majorBidi" w:cstheme="majorBidi" w:hint="eastAsia"/>
          <w:i/>
          <w:iCs/>
          <w:vertAlign w:val="subscript"/>
        </w:rPr>
        <w:t>f</w:t>
      </w:r>
      <w:r>
        <w:rPr>
          <w:rFonts w:asciiTheme="majorBidi" w:hAnsiTheme="majorBidi" w:cstheme="majorBidi" w:hint="eastAsia"/>
          <w:i/>
          <w:iCs/>
          <w:sz w:val="12"/>
          <w:lang w:eastAsia="ko-KR"/>
        </w:rPr>
        <w:t xml:space="preserve"> </w:t>
      </w:r>
      <w:r w:rsidRPr="00CB6CBA">
        <w:t>:</w:t>
      </w:r>
      <w:r w:rsidRPr="00CB6CBA">
        <w:tab/>
      </w:r>
      <w:r>
        <w:rPr>
          <w:rFonts w:hint="eastAsia"/>
          <w:lang w:eastAsia="ko-KR"/>
        </w:rPr>
        <w:t>eco-friendly fee-waiver factor</w:t>
      </w:r>
      <w:r>
        <w:rPr>
          <w:lang w:eastAsia="ko-KR"/>
        </w:rPr>
        <w:t>.</w:t>
      </w:r>
    </w:p>
    <w:p w:rsidR="00CA3B52" w:rsidRPr="00CB6CBA" w:rsidRDefault="00CA3B52" w:rsidP="00CA3B52">
      <w:pPr>
        <w:rPr>
          <w:lang w:val="en-US"/>
        </w:rPr>
      </w:pPr>
      <w:r w:rsidRPr="00CB6CBA">
        <w:rPr>
          <w:lang w:val="en-US" w:eastAsia="ko-KR"/>
        </w:rPr>
        <w:t>D</w:t>
      </w:r>
      <w:r w:rsidRPr="00CB6CBA">
        <w:rPr>
          <w:lang w:val="en-US"/>
        </w:rPr>
        <w:t>escribed as follows:</w:t>
      </w:r>
    </w:p>
    <w:p w:rsidR="00CA3B52" w:rsidRPr="00CB6CBA" w:rsidRDefault="00CA3B52" w:rsidP="00CA3B52">
      <w:pPr>
        <w:rPr>
          <w:lang w:val="en-US"/>
        </w:rPr>
      </w:pPr>
      <w:r w:rsidRPr="00CB6CBA">
        <w:rPr>
          <w:bCs/>
          <w:i/>
          <w:lang w:val="en-US"/>
        </w:rPr>
        <w:t xml:space="preserve">Basic </w:t>
      </w:r>
      <w:r w:rsidRPr="00CB6CBA">
        <w:rPr>
          <w:bCs/>
          <w:i/>
          <w:lang w:val="en-US" w:eastAsia="ko-KR"/>
        </w:rPr>
        <w:t>price</w:t>
      </w:r>
      <w:r w:rsidRPr="00CB6CBA">
        <w:rPr>
          <w:bCs/>
          <w:lang w:val="en-US" w:eastAsia="ko-KR"/>
        </w:rPr>
        <w:t xml:space="preserve">, </w:t>
      </w:r>
      <w:r>
        <w:rPr>
          <w:rFonts w:hint="eastAsia"/>
          <w:i/>
          <w:iCs/>
          <w:lang w:val="en-US" w:eastAsia="ko-KR"/>
        </w:rPr>
        <w:t>B</w:t>
      </w:r>
      <w:r>
        <w:rPr>
          <w:rFonts w:hint="eastAsia"/>
          <w:i/>
          <w:iCs/>
          <w:vertAlign w:val="subscript"/>
          <w:lang w:val="en-US" w:eastAsia="ko-KR"/>
        </w:rPr>
        <w:t>P</w:t>
      </w:r>
      <w:r w:rsidRPr="00CB6CBA">
        <w:rPr>
          <w:lang w:val="en-US" w:eastAsia="ko-KR"/>
        </w:rPr>
        <w:t xml:space="preserve">: </w:t>
      </w:r>
      <w:r w:rsidRPr="00CB6CBA">
        <w:rPr>
          <w:lang w:val="en-US"/>
        </w:rPr>
        <w:t>2</w:t>
      </w:r>
      <w:r w:rsidRPr="00CB6CBA">
        <w:rPr>
          <w:rFonts w:ascii="Tms Rmn" w:hAnsi="Tms Rmn"/>
          <w:sz w:val="12"/>
          <w:lang w:val="en-US"/>
        </w:rPr>
        <w:t> </w:t>
      </w:r>
      <w:r w:rsidRPr="00CB6CBA">
        <w:rPr>
          <w:lang w:val="en-US"/>
        </w:rPr>
        <w:t xml:space="preserve">000 </w:t>
      </w:r>
      <w:r w:rsidRPr="00CB6CBA">
        <w:rPr>
          <w:lang w:val="en-US" w:eastAsia="ko-KR"/>
        </w:rPr>
        <w:t>KRW/designated frequency</w:t>
      </w:r>
    </w:p>
    <w:p w:rsidR="00CA3B52" w:rsidRPr="00CB6CBA" w:rsidRDefault="00CA3B52" w:rsidP="00CA3B52">
      <w:pPr>
        <w:rPr>
          <w:lang w:val="en-US"/>
        </w:rPr>
      </w:pPr>
      <w:r w:rsidRPr="00CB6CBA">
        <w:rPr>
          <w:bCs/>
          <w:i/>
          <w:lang w:val="en-US"/>
        </w:rPr>
        <w:t>Antenna power</w:t>
      </w:r>
      <w:r w:rsidRPr="00CB6CBA">
        <w:rPr>
          <w:bCs/>
          <w:lang w:val="en-US"/>
        </w:rPr>
        <w:t xml:space="preserve">, </w:t>
      </w:r>
      <w:r w:rsidRPr="00CB6CBA">
        <w:rPr>
          <w:bCs/>
          <w:i/>
          <w:lang w:val="en-US" w:eastAsia="ko-KR"/>
        </w:rPr>
        <w:t>P</w:t>
      </w:r>
      <w:r w:rsidRPr="00CB6CBA">
        <w:rPr>
          <w:bCs/>
          <w:i/>
          <w:szCs w:val="24"/>
          <w:vertAlign w:val="subscript"/>
          <w:lang w:val="en-US"/>
        </w:rPr>
        <w:t xml:space="preserve"> </w:t>
      </w:r>
      <w:r w:rsidRPr="00CB6CBA">
        <w:rPr>
          <w:lang w:val="en-US" w:eastAsia="ko-KR"/>
        </w:rPr>
        <w:t>(W)</w:t>
      </w:r>
    </w:p>
    <w:p w:rsidR="00CA3B52" w:rsidRPr="00CB6CBA" w:rsidRDefault="00CA3B52" w:rsidP="00CA3B52">
      <w:pPr>
        <w:rPr>
          <w:b/>
          <w:bCs/>
          <w:lang w:val="en-US"/>
        </w:rPr>
      </w:pPr>
      <w:r w:rsidRPr="00CB6CBA">
        <w:rPr>
          <w:bCs/>
          <w:i/>
          <w:lang w:val="en-US"/>
        </w:rPr>
        <w:t>Bandwidth</w:t>
      </w:r>
      <w:r w:rsidRPr="00CB6CBA">
        <w:rPr>
          <w:bCs/>
          <w:lang w:val="en-US"/>
        </w:rPr>
        <w:t>,</w:t>
      </w:r>
      <w:r w:rsidRPr="00CB6CBA">
        <w:rPr>
          <w:lang w:val="en-US"/>
        </w:rPr>
        <w:t xml:space="preserve"> </w:t>
      </w:r>
      <w:r w:rsidRPr="00CB6CBA">
        <w:rPr>
          <w:i/>
          <w:iCs/>
          <w:lang w:val="en-US"/>
        </w:rPr>
        <w:t>B</w:t>
      </w:r>
      <w:r w:rsidRPr="00CB6CBA">
        <w:rPr>
          <w:i/>
          <w:iCs/>
          <w:vertAlign w:val="subscript"/>
          <w:lang w:val="en-US"/>
        </w:rPr>
        <w:t xml:space="preserve">W </w:t>
      </w:r>
      <w:r w:rsidRPr="00CB6CBA">
        <w:rPr>
          <w:lang w:val="en-US"/>
        </w:rPr>
        <w:t>(kHz)</w:t>
      </w:r>
      <w:r w:rsidRPr="00CB6CBA">
        <w:rPr>
          <w:lang w:val="en-US" w:eastAsia="ko-KR"/>
        </w:rPr>
        <w:t xml:space="preserve">. The value of 1 kHz is used for a bandwidth of less than 1 kHz at a frequency of less than 960 MHz, and the value of 1 MHz is used for a bandwidth of less than 1 MHz at a frequency </w:t>
      </w:r>
      <w:r w:rsidRPr="00CB6CBA">
        <w:rPr>
          <w:lang w:val="en-US"/>
        </w:rPr>
        <w:t xml:space="preserve">above </w:t>
      </w:r>
      <w:r w:rsidRPr="00CB6CBA">
        <w:rPr>
          <w:lang w:val="en-US" w:eastAsia="ko-KR"/>
        </w:rPr>
        <w:t>960 MHz</w:t>
      </w:r>
      <w:r w:rsidRPr="00CB6CBA">
        <w:rPr>
          <w:lang w:val="en-US"/>
        </w:rPr>
        <w:t>.</w:t>
      </w:r>
    </w:p>
    <w:p w:rsidR="00CA3B52" w:rsidRDefault="00CA3B52" w:rsidP="00CA3B52">
      <w:pPr>
        <w:pStyle w:val="Headingb"/>
        <w:rPr>
          <w:rFonts w:ascii="Tms Rmn" w:hAnsi="Tms Rmn"/>
          <w:b w:val="0"/>
          <w:bCs/>
          <w:sz w:val="22"/>
          <w:szCs w:val="22"/>
          <w:lang w:val="en-US" w:eastAsia="ko-KR"/>
        </w:rPr>
      </w:pPr>
      <w:r w:rsidRPr="00CB6CBA">
        <w:rPr>
          <w:b w:val="0"/>
          <w:i/>
          <w:lang w:val="en-US"/>
        </w:rPr>
        <w:t>Preference factor</w:t>
      </w:r>
      <w:r w:rsidR="007A44FB">
        <w:rPr>
          <w:b w:val="0"/>
          <w:i/>
          <w:lang w:val="en-US"/>
        </w:rPr>
        <w:t>,</w:t>
      </w:r>
      <w:r w:rsidRPr="00CB6CBA">
        <w:rPr>
          <w:b w:val="0"/>
          <w:i/>
          <w:lang w:val="en-US" w:eastAsia="ko-KR"/>
        </w:rPr>
        <w:t xml:space="preserve"> </w:t>
      </w:r>
      <w:r w:rsidRPr="00CF7652">
        <w:rPr>
          <w:b w:val="0"/>
          <w:bCs/>
          <w:i/>
          <w:iCs/>
          <w:sz w:val="22"/>
          <w:szCs w:val="22"/>
          <w:lang w:val="en-US"/>
        </w:rPr>
        <w:t>P</w:t>
      </w:r>
      <w:r w:rsidRPr="00CF7652">
        <w:rPr>
          <w:b w:val="0"/>
          <w:bCs/>
          <w:i/>
          <w:iCs/>
          <w:sz w:val="22"/>
          <w:szCs w:val="22"/>
          <w:vertAlign w:val="subscript"/>
          <w:lang w:val="en-US"/>
        </w:rPr>
        <w:t>f</w:t>
      </w:r>
      <w:r w:rsidRPr="00CF7652">
        <w:rPr>
          <w:rFonts w:ascii="Tms Rmn" w:hAnsi="Tms Rmn"/>
          <w:b w:val="0"/>
          <w:bCs/>
          <w:sz w:val="22"/>
          <w:szCs w:val="22"/>
          <w:lang w:val="en-US"/>
        </w:rPr>
        <w:t> </w:t>
      </w:r>
    </w:p>
    <w:p w:rsidR="00CA3B52" w:rsidRDefault="00CA3B52" w:rsidP="00CA3B52">
      <w:pPr>
        <w:pStyle w:val="Blanc"/>
        <w:rPr>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700"/>
        <w:gridCol w:w="2160"/>
      </w:tblGrid>
      <w:tr w:rsidR="00CA3B52" w:rsidRPr="007A44FB" w:rsidTr="002D1D5C">
        <w:trPr>
          <w:jc w:val="center"/>
        </w:trPr>
        <w:tc>
          <w:tcPr>
            <w:tcW w:w="4959" w:type="dxa"/>
            <w:gridSpan w:val="2"/>
          </w:tcPr>
          <w:p w:rsidR="00CA3B52" w:rsidRPr="00CB6CBA" w:rsidRDefault="00CA3B52" w:rsidP="002D1D5C">
            <w:pPr>
              <w:pStyle w:val="Tablehead"/>
              <w:rPr>
                <w:szCs w:val="22"/>
                <w:lang w:val="en-US"/>
              </w:rPr>
            </w:pPr>
            <w:r w:rsidRPr="00CB6CBA">
              <w:rPr>
                <w:szCs w:val="22"/>
                <w:lang w:val="en-US"/>
              </w:rPr>
              <w:t>Frequency bands</w:t>
            </w:r>
          </w:p>
        </w:tc>
        <w:tc>
          <w:tcPr>
            <w:tcW w:w="2160" w:type="dxa"/>
          </w:tcPr>
          <w:p w:rsidR="00CA3B52" w:rsidRPr="00CB6CBA" w:rsidRDefault="00CA3B52" w:rsidP="002D1D5C">
            <w:pPr>
              <w:pStyle w:val="Tablehead"/>
              <w:rPr>
                <w:szCs w:val="22"/>
                <w:lang w:val="en-US"/>
              </w:rPr>
            </w:pPr>
            <w:r w:rsidRPr="00CB6CBA">
              <w:rPr>
                <w:szCs w:val="22"/>
                <w:lang w:val="en-US"/>
              </w:rPr>
              <w:t>Factor</w:t>
            </w:r>
          </w:p>
        </w:tc>
      </w:tr>
      <w:tr w:rsidR="00CA3B52" w:rsidRPr="007A44FB" w:rsidTr="002D1D5C">
        <w:trPr>
          <w:jc w:val="center"/>
        </w:trPr>
        <w:tc>
          <w:tcPr>
            <w:tcW w:w="2259" w:type="dxa"/>
          </w:tcPr>
          <w:p w:rsidR="00CA3B52" w:rsidRDefault="00CA3B52" w:rsidP="002D1D5C">
            <w:pPr>
              <w:pStyle w:val="Tabletext"/>
              <w:rPr>
                <w:szCs w:val="22"/>
                <w:lang w:val="en-US"/>
              </w:rPr>
            </w:pPr>
            <w:r w:rsidRPr="00CB6CBA">
              <w:rPr>
                <w:szCs w:val="22"/>
                <w:lang w:val="en-US"/>
              </w:rPr>
              <w:t>MF/HF</w:t>
            </w:r>
          </w:p>
        </w:tc>
        <w:tc>
          <w:tcPr>
            <w:tcW w:w="2700" w:type="dxa"/>
          </w:tcPr>
          <w:p w:rsidR="00CA3B52" w:rsidRDefault="00CA3B52" w:rsidP="002D1D5C">
            <w:pPr>
              <w:pStyle w:val="Tabletext"/>
              <w:jc w:val="center"/>
              <w:rPr>
                <w:szCs w:val="22"/>
                <w:lang w:val="en-US"/>
              </w:rPr>
            </w:pPr>
            <w:r>
              <w:rPr>
                <w:szCs w:val="22"/>
                <w:lang w:val="en-US"/>
              </w:rPr>
              <w:sym w:font="Symbol" w:char="F03C"/>
            </w:r>
            <w:r>
              <w:rPr>
                <w:szCs w:val="22"/>
                <w:lang w:val="en-US"/>
              </w:rPr>
              <w:t xml:space="preserve"> </w:t>
            </w:r>
            <w:r w:rsidRPr="00CB6CBA">
              <w:rPr>
                <w:szCs w:val="22"/>
                <w:lang w:val="en-US"/>
              </w:rPr>
              <w:t>28 MHz</w:t>
            </w:r>
          </w:p>
        </w:tc>
        <w:tc>
          <w:tcPr>
            <w:tcW w:w="2160" w:type="dxa"/>
          </w:tcPr>
          <w:p w:rsidR="00CA3B52" w:rsidRDefault="00CA3B52" w:rsidP="002D1D5C">
            <w:pPr>
              <w:pStyle w:val="Tabletext"/>
              <w:jc w:val="center"/>
              <w:rPr>
                <w:szCs w:val="22"/>
                <w:lang w:val="en-US"/>
              </w:rPr>
            </w:pPr>
            <w:r w:rsidRPr="00CB6CBA">
              <w:rPr>
                <w:szCs w:val="22"/>
                <w:lang w:val="en-US"/>
              </w:rPr>
              <w:t>1</w:t>
            </w:r>
          </w:p>
        </w:tc>
      </w:tr>
      <w:tr w:rsidR="00CA3B52" w:rsidRPr="007A44FB" w:rsidTr="002D1D5C">
        <w:trPr>
          <w:jc w:val="center"/>
        </w:trPr>
        <w:tc>
          <w:tcPr>
            <w:tcW w:w="2259" w:type="dxa"/>
          </w:tcPr>
          <w:p w:rsidR="00CA3B52" w:rsidRDefault="00CA3B52" w:rsidP="002D1D5C">
            <w:pPr>
              <w:pStyle w:val="Tabletext"/>
              <w:rPr>
                <w:szCs w:val="22"/>
                <w:lang w:val="en-US"/>
              </w:rPr>
            </w:pPr>
            <w:r w:rsidRPr="00CB6CBA">
              <w:rPr>
                <w:szCs w:val="22"/>
                <w:lang w:val="en-US"/>
              </w:rPr>
              <w:t>VHF</w:t>
            </w:r>
          </w:p>
        </w:tc>
        <w:tc>
          <w:tcPr>
            <w:tcW w:w="2700" w:type="dxa"/>
          </w:tcPr>
          <w:p w:rsidR="00CA3B52" w:rsidRDefault="00CA3B52" w:rsidP="00ED76F9">
            <w:pPr>
              <w:pStyle w:val="Tabletext"/>
              <w:jc w:val="center"/>
              <w:rPr>
                <w:szCs w:val="22"/>
                <w:lang w:val="en-US"/>
              </w:rPr>
            </w:pPr>
            <w:r w:rsidRPr="00CB6CBA">
              <w:rPr>
                <w:szCs w:val="22"/>
                <w:lang w:val="en-US"/>
              </w:rPr>
              <w:t>28~300 MHz</w:t>
            </w:r>
          </w:p>
        </w:tc>
        <w:tc>
          <w:tcPr>
            <w:tcW w:w="2160" w:type="dxa"/>
          </w:tcPr>
          <w:p w:rsidR="00CA3B52" w:rsidRDefault="00CA3B52" w:rsidP="002D1D5C">
            <w:pPr>
              <w:pStyle w:val="Tabletext"/>
              <w:jc w:val="center"/>
              <w:rPr>
                <w:szCs w:val="22"/>
                <w:lang w:val="en-US"/>
              </w:rPr>
            </w:pPr>
            <w:r w:rsidRPr="00CB6CBA">
              <w:rPr>
                <w:szCs w:val="22"/>
                <w:lang w:val="en-US"/>
              </w:rPr>
              <w:t>1.3</w:t>
            </w:r>
          </w:p>
        </w:tc>
      </w:tr>
      <w:tr w:rsidR="00CA3B52" w:rsidRPr="007A44FB" w:rsidTr="002D1D5C">
        <w:trPr>
          <w:jc w:val="center"/>
        </w:trPr>
        <w:tc>
          <w:tcPr>
            <w:tcW w:w="2259" w:type="dxa"/>
          </w:tcPr>
          <w:p w:rsidR="00CA3B52" w:rsidRDefault="00CA3B52" w:rsidP="002D1D5C">
            <w:pPr>
              <w:pStyle w:val="Tabletext"/>
              <w:rPr>
                <w:szCs w:val="22"/>
                <w:lang w:val="en-US"/>
              </w:rPr>
            </w:pPr>
            <w:r w:rsidRPr="00CB6CBA">
              <w:rPr>
                <w:szCs w:val="22"/>
                <w:lang w:val="en-US"/>
              </w:rPr>
              <w:t>UHF</w:t>
            </w:r>
          </w:p>
        </w:tc>
        <w:tc>
          <w:tcPr>
            <w:tcW w:w="2700" w:type="dxa"/>
          </w:tcPr>
          <w:p w:rsidR="00CA3B52" w:rsidRDefault="00CA3B52" w:rsidP="00ED76F9">
            <w:pPr>
              <w:pStyle w:val="Tabletext"/>
              <w:jc w:val="center"/>
              <w:rPr>
                <w:szCs w:val="22"/>
                <w:lang w:val="en-US"/>
              </w:rPr>
            </w:pPr>
            <w:r w:rsidRPr="00CB6CBA">
              <w:rPr>
                <w:szCs w:val="22"/>
                <w:lang w:val="en-US"/>
              </w:rPr>
              <w:t>300~960 MHz</w:t>
            </w:r>
          </w:p>
        </w:tc>
        <w:tc>
          <w:tcPr>
            <w:tcW w:w="2160" w:type="dxa"/>
          </w:tcPr>
          <w:p w:rsidR="00CA3B52" w:rsidRDefault="00CA3B52" w:rsidP="002D1D5C">
            <w:pPr>
              <w:pStyle w:val="Tabletext"/>
              <w:jc w:val="center"/>
              <w:rPr>
                <w:szCs w:val="22"/>
                <w:lang w:val="en-US"/>
              </w:rPr>
            </w:pPr>
            <w:r w:rsidRPr="00CB6CBA">
              <w:rPr>
                <w:szCs w:val="22"/>
                <w:lang w:val="en-US"/>
              </w:rPr>
              <w:t>1.5</w:t>
            </w:r>
          </w:p>
        </w:tc>
      </w:tr>
      <w:tr w:rsidR="00CA3B52" w:rsidRPr="007A44FB" w:rsidTr="002D1D5C">
        <w:trPr>
          <w:jc w:val="center"/>
        </w:trPr>
        <w:tc>
          <w:tcPr>
            <w:tcW w:w="2259" w:type="dxa"/>
          </w:tcPr>
          <w:p w:rsidR="00CA3B52" w:rsidRDefault="00ED76F9" w:rsidP="002D1D5C">
            <w:pPr>
              <w:pStyle w:val="Tabletext"/>
              <w:rPr>
                <w:szCs w:val="22"/>
                <w:lang w:val="en-US"/>
              </w:rPr>
            </w:pPr>
            <w:r>
              <w:rPr>
                <w:szCs w:val="22"/>
                <w:lang w:val="en-US"/>
              </w:rPr>
              <w:t>Sub-</w:t>
            </w:r>
            <w:r w:rsidR="00CA3B52" w:rsidRPr="00CB6CBA">
              <w:rPr>
                <w:szCs w:val="22"/>
                <w:lang w:val="en-US"/>
              </w:rPr>
              <w:t>microwave</w:t>
            </w:r>
          </w:p>
        </w:tc>
        <w:tc>
          <w:tcPr>
            <w:tcW w:w="2700" w:type="dxa"/>
          </w:tcPr>
          <w:p w:rsidR="00CA3B52" w:rsidRDefault="00CA3B52" w:rsidP="00ED76F9">
            <w:pPr>
              <w:pStyle w:val="Tabletext"/>
              <w:jc w:val="center"/>
              <w:rPr>
                <w:szCs w:val="22"/>
                <w:lang w:val="en-US"/>
              </w:rPr>
            </w:pPr>
            <w:r w:rsidRPr="00CB6CBA">
              <w:rPr>
                <w:szCs w:val="22"/>
                <w:lang w:val="en-US"/>
              </w:rPr>
              <w:t>960~3 GHz</w:t>
            </w:r>
          </w:p>
        </w:tc>
        <w:tc>
          <w:tcPr>
            <w:tcW w:w="2160" w:type="dxa"/>
          </w:tcPr>
          <w:p w:rsidR="00CA3B52" w:rsidRDefault="00CA3B52" w:rsidP="002D1D5C">
            <w:pPr>
              <w:pStyle w:val="Tabletext"/>
              <w:jc w:val="center"/>
              <w:rPr>
                <w:szCs w:val="22"/>
                <w:lang w:val="en-US"/>
              </w:rPr>
            </w:pPr>
            <w:r w:rsidRPr="00CB6CBA">
              <w:rPr>
                <w:szCs w:val="22"/>
                <w:lang w:val="en-US"/>
              </w:rPr>
              <w:t>0.1</w:t>
            </w:r>
          </w:p>
        </w:tc>
      </w:tr>
      <w:tr w:rsidR="00CA3B52" w:rsidRPr="00CB6CBA" w:rsidTr="002D1D5C">
        <w:trPr>
          <w:jc w:val="center"/>
        </w:trPr>
        <w:tc>
          <w:tcPr>
            <w:tcW w:w="2259" w:type="dxa"/>
            <w:vMerge w:val="restart"/>
            <w:vAlign w:val="center"/>
          </w:tcPr>
          <w:p w:rsidR="00CA3B52" w:rsidRDefault="00CA3B52" w:rsidP="002D1D5C">
            <w:pPr>
              <w:pStyle w:val="Tabletext"/>
              <w:rPr>
                <w:szCs w:val="22"/>
                <w:lang w:val="en-US"/>
              </w:rPr>
            </w:pPr>
            <w:r w:rsidRPr="00CB6CBA">
              <w:rPr>
                <w:szCs w:val="22"/>
                <w:lang w:val="en-US"/>
              </w:rPr>
              <w:t>Microwave</w:t>
            </w:r>
          </w:p>
        </w:tc>
        <w:tc>
          <w:tcPr>
            <w:tcW w:w="2700" w:type="dxa"/>
          </w:tcPr>
          <w:p w:rsidR="00CA3B52" w:rsidRDefault="00CA3B52" w:rsidP="00ED76F9">
            <w:pPr>
              <w:pStyle w:val="Tabletext"/>
              <w:jc w:val="center"/>
              <w:rPr>
                <w:b/>
                <w:szCs w:val="22"/>
                <w:lang w:val="en-US"/>
              </w:rPr>
            </w:pPr>
            <w:r w:rsidRPr="00CB6CBA">
              <w:rPr>
                <w:szCs w:val="22"/>
                <w:lang w:val="en-US"/>
              </w:rPr>
              <w:t>3~1</w:t>
            </w:r>
            <w:r>
              <w:rPr>
                <w:rFonts w:hint="eastAsia"/>
                <w:szCs w:val="22"/>
                <w:lang w:val="en-US" w:eastAsia="ko-KR"/>
              </w:rPr>
              <w:t>0</w:t>
            </w:r>
            <w:r w:rsidRPr="00CB6CBA">
              <w:rPr>
                <w:szCs w:val="22"/>
                <w:lang w:val="en-US"/>
              </w:rPr>
              <w:t xml:space="preserve"> GHz</w:t>
            </w:r>
          </w:p>
        </w:tc>
        <w:tc>
          <w:tcPr>
            <w:tcW w:w="2160" w:type="dxa"/>
          </w:tcPr>
          <w:p w:rsidR="00CA3B52" w:rsidRDefault="00CA3B52" w:rsidP="002D1D5C">
            <w:pPr>
              <w:pStyle w:val="Tabletext"/>
              <w:jc w:val="center"/>
              <w:rPr>
                <w:szCs w:val="22"/>
                <w:lang w:val="en-US" w:eastAsia="ko-KR"/>
              </w:rPr>
            </w:pPr>
            <w:r>
              <w:rPr>
                <w:rFonts w:hint="eastAsia"/>
                <w:szCs w:val="22"/>
                <w:lang w:val="en-US" w:eastAsia="ko-KR"/>
              </w:rPr>
              <w:t>0.0234</w:t>
            </w:r>
          </w:p>
        </w:tc>
      </w:tr>
      <w:tr w:rsidR="00CA3B52" w:rsidRPr="00CB6CBA" w:rsidTr="002D1D5C">
        <w:trPr>
          <w:jc w:val="center"/>
        </w:trPr>
        <w:tc>
          <w:tcPr>
            <w:tcW w:w="2259" w:type="dxa"/>
            <w:vMerge/>
          </w:tcPr>
          <w:p w:rsidR="00CA3B52" w:rsidRDefault="00CA3B52" w:rsidP="002D1D5C">
            <w:pPr>
              <w:pStyle w:val="Tabletext"/>
              <w:rPr>
                <w:szCs w:val="22"/>
                <w:lang w:val="en-US"/>
              </w:rPr>
            </w:pPr>
          </w:p>
        </w:tc>
        <w:tc>
          <w:tcPr>
            <w:tcW w:w="2700" w:type="dxa"/>
          </w:tcPr>
          <w:p w:rsidR="00CA3B52" w:rsidRDefault="00CA3B52" w:rsidP="00ED76F9">
            <w:pPr>
              <w:pStyle w:val="Tabletext"/>
              <w:jc w:val="center"/>
              <w:rPr>
                <w:szCs w:val="22"/>
                <w:lang w:val="en-US"/>
              </w:rPr>
            </w:pPr>
            <w:r w:rsidRPr="00CB6CBA">
              <w:rPr>
                <w:szCs w:val="22"/>
                <w:lang w:val="en-US"/>
              </w:rPr>
              <w:t>1</w:t>
            </w:r>
            <w:r>
              <w:rPr>
                <w:rFonts w:hint="eastAsia"/>
                <w:szCs w:val="22"/>
                <w:lang w:val="en-US" w:eastAsia="ko-KR"/>
              </w:rPr>
              <w:t>0</w:t>
            </w:r>
            <w:r w:rsidRPr="00CB6CBA">
              <w:rPr>
                <w:szCs w:val="22"/>
                <w:lang w:val="en-US"/>
              </w:rPr>
              <w:t>~ 0 GHz</w:t>
            </w:r>
          </w:p>
        </w:tc>
        <w:tc>
          <w:tcPr>
            <w:tcW w:w="2160" w:type="dxa"/>
          </w:tcPr>
          <w:p w:rsidR="00CA3B52" w:rsidRDefault="00CA3B52" w:rsidP="002D1D5C">
            <w:pPr>
              <w:pStyle w:val="Tabletext"/>
              <w:jc w:val="center"/>
              <w:rPr>
                <w:szCs w:val="22"/>
                <w:lang w:val="en-US" w:eastAsia="ko-KR"/>
              </w:rPr>
            </w:pPr>
            <w:r>
              <w:rPr>
                <w:rFonts w:hint="eastAsia"/>
                <w:szCs w:val="22"/>
                <w:lang w:val="en-US" w:eastAsia="ko-KR"/>
              </w:rPr>
              <w:t>0.0034</w:t>
            </w:r>
          </w:p>
        </w:tc>
      </w:tr>
      <w:tr w:rsidR="00CA3B52" w:rsidRPr="00CB6CBA" w:rsidTr="002D1D5C">
        <w:trPr>
          <w:jc w:val="center"/>
        </w:trPr>
        <w:tc>
          <w:tcPr>
            <w:tcW w:w="2259" w:type="dxa"/>
          </w:tcPr>
          <w:p w:rsidR="00CA3B52" w:rsidRPr="00CB6CBA" w:rsidRDefault="00CA3B52" w:rsidP="002D1D5C">
            <w:pPr>
              <w:pStyle w:val="Tabletext"/>
              <w:rPr>
                <w:szCs w:val="22"/>
                <w:lang w:val="en-US"/>
              </w:rPr>
            </w:pPr>
            <w:r w:rsidRPr="00CB6CBA">
              <w:rPr>
                <w:szCs w:val="22"/>
                <w:lang w:val="en-US"/>
              </w:rPr>
              <w:t>Millimeter wave</w:t>
            </w:r>
          </w:p>
        </w:tc>
        <w:tc>
          <w:tcPr>
            <w:tcW w:w="2700" w:type="dxa"/>
          </w:tcPr>
          <w:p w:rsidR="00CA3B52" w:rsidRDefault="00CA3B52" w:rsidP="002D1D5C">
            <w:pPr>
              <w:pStyle w:val="Tabletext"/>
              <w:jc w:val="center"/>
              <w:rPr>
                <w:szCs w:val="22"/>
                <w:lang w:val="en-US"/>
              </w:rPr>
            </w:pPr>
            <w:r>
              <w:rPr>
                <w:szCs w:val="22"/>
                <w:lang w:val="en-US"/>
              </w:rPr>
              <w:sym w:font="Symbol" w:char="F03E"/>
            </w:r>
            <w:r>
              <w:rPr>
                <w:szCs w:val="22"/>
                <w:lang w:val="en-US"/>
              </w:rPr>
              <w:t xml:space="preserve"> </w:t>
            </w:r>
            <w:r w:rsidRPr="00CB6CBA">
              <w:rPr>
                <w:szCs w:val="22"/>
                <w:lang w:val="en-US"/>
              </w:rPr>
              <w:t>30 GHz</w:t>
            </w:r>
          </w:p>
        </w:tc>
        <w:tc>
          <w:tcPr>
            <w:tcW w:w="2160" w:type="dxa"/>
          </w:tcPr>
          <w:p w:rsidR="00CA3B52" w:rsidRDefault="00CA3B52" w:rsidP="002D1D5C">
            <w:pPr>
              <w:pStyle w:val="Tabletext"/>
              <w:jc w:val="center"/>
              <w:rPr>
                <w:szCs w:val="22"/>
                <w:lang w:val="en-US" w:eastAsia="ko-KR"/>
              </w:rPr>
            </w:pPr>
            <w:r>
              <w:rPr>
                <w:rFonts w:hint="eastAsia"/>
                <w:szCs w:val="22"/>
                <w:lang w:val="en-US" w:eastAsia="ko-KR"/>
              </w:rPr>
              <w:t>0.0004</w:t>
            </w:r>
          </w:p>
        </w:tc>
      </w:tr>
    </w:tbl>
    <w:p w:rsidR="00CA3B52" w:rsidRDefault="00CA3B52" w:rsidP="00CA3B52">
      <w:pPr>
        <w:pStyle w:val="Tablefin"/>
        <w:rPr>
          <w:lang w:eastAsia="ko-KR"/>
        </w:rPr>
      </w:pPr>
      <w:bookmarkStart w:id="1797" w:name="_Toc289868873"/>
      <w:bookmarkStart w:id="1798" w:name="_Toc289869033"/>
    </w:p>
    <w:p w:rsidR="00CA3B52" w:rsidRDefault="00CA3B52" w:rsidP="00CA3B52">
      <w:pPr>
        <w:pStyle w:val="Headingb"/>
        <w:rPr>
          <w:b w:val="0"/>
          <w:bCs/>
          <w:lang w:val="en-US" w:eastAsia="ko-KR"/>
        </w:rPr>
      </w:pPr>
      <w:r>
        <w:rPr>
          <w:rFonts w:hint="eastAsia"/>
          <w:b w:val="0"/>
          <w:bCs/>
          <w:i/>
          <w:iCs/>
          <w:lang w:val="en-US" w:eastAsia="ko-KR"/>
        </w:rPr>
        <w:t xml:space="preserve">Frequency use pattern </w:t>
      </w:r>
      <w:r w:rsidRPr="00CF7652">
        <w:rPr>
          <w:b w:val="0"/>
          <w:bCs/>
          <w:i/>
          <w:iCs/>
          <w:lang w:val="en-US"/>
        </w:rPr>
        <w:t>factor</w:t>
      </w:r>
      <w:r w:rsidR="007A44FB">
        <w:rPr>
          <w:b w:val="0"/>
          <w:bCs/>
          <w:i/>
          <w:iCs/>
          <w:lang w:val="en-US"/>
        </w:rPr>
        <w:t>,</w:t>
      </w:r>
      <w:r>
        <w:rPr>
          <w:rFonts w:hint="eastAsia"/>
          <w:b w:val="0"/>
          <w:bCs/>
          <w:i/>
          <w:iCs/>
          <w:lang w:val="en-US" w:eastAsia="ko-KR"/>
        </w:rPr>
        <w:t xml:space="preserve"> </w:t>
      </w:r>
      <w:r w:rsidRPr="007A44FB">
        <w:rPr>
          <w:rFonts w:asciiTheme="majorBidi" w:hAnsiTheme="majorBidi" w:cstheme="majorBidi" w:hint="eastAsia"/>
          <w:b w:val="0"/>
          <w:bCs/>
          <w:i/>
          <w:iCs/>
          <w:lang w:val="en-US" w:eastAsia="ko-KR"/>
        </w:rPr>
        <w:t>U</w:t>
      </w:r>
      <w:r w:rsidRPr="007A44FB">
        <w:rPr>
          <w:rFonts w:asciiTheme="majorBidi" w:hAnsiTheme="majorBidi" w:cstheme="majorBidi"/>
          <w:b w:val="0"/>
          <w:bCs/>
          <w:i/>
          <w:iCs/>
          <w:vertAlign w:val="subscript"/>
          <w:lang w:val="en-US"/>
        </w:rPr>
        <w:t>f</w:t>
      </w:r>
      <w:bookmarkEnd w:id="1797"/>
      <w:bookmarkEnd w:id="1798"/>
    </w:p>
    <w:p w:rsidR="00CA3B52" w:rsidRDefault="00CA3B52" w:rsidP="00CA3B52">
      <w:pPr>
        <w:pStyle w:val="Blanc"/>
        <w:rPr>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85"/>
        <w:gridCol w:w="2334"/>
      </w:tblGrid>
      <w:tr w:rsidR="00CA3B52" w:rsidRPr="00CB6CBA" w:rsidTr="002D1D5C">
        <w:trPr>
          <w:jc w:val="center"/>
        </w:trPr>
        <w:tc>
          <w:tcPr>
            <w:tcW w:w="2985" w:type="dxa"/>
            <w:vAlign w:val="center"/>
          </w:tcPr>
          <w:p w:rsidR="00CA3B52" w:rsidRPr="00CB6CBA" w:rsidRDefault="00CA3B52" w:rsidP="002D1D5C">
            <w:pPr>
              <w:pStyle w:val="Tablehead"/>
              <w:rPr>
                <w:szCs w:val="22"/>
                <w:lang w:val="en-US"/>
              </w:rPr>
            </w:pPr>
            <w:r>
              <w:rPr>
                <w:rFonts w:hint="eastAsia"/>
                <w:szCs w:val="22"/>
                <w:lang w:val="en-US" w:eastAsia="ko-KR"/>
              </w:rPr>
              <w:t>Frequency use pattern</w:t>
            </w:r>
          </w:p>
        </w:tc>
        <w:tc>
          <w:tcPr>
            <w:tcW w:w="2334" w:type="dxa"/>
            <w:vAlign w:val="center"/>
          </w:tcPr>
          <w:p w:rsidR="00CA3B52" w:rsidRPr="00CB6CBA" w:rsidRDefault="00CA3B52" w:rsidP="002D1D5C">
            <w:pPr>
              <w:pStyle w:val="Tablehead"/>
              <w:rPr>
                <w:szCs w:val="22"/>
                <w:lang w:val="en-US"/>
              </w:rPr>
            </w:pPr>
            <w:r w:rsidRPr="00CB6CBA">
              <w:rPr>
                <w:szCs w:val="22"/>
                <w:lang w:val="en-US"/>
              </w:rPr>
              <w:t>Factor</w:t>
            </w:r>
          </w:p>
        </w:tc>
      </w:tr>
      <w:tr w:rsidR="00CA3B52" w:rsidRPr="00CB6CBA" w:rsidTr="002D1D5C">
        <w:trPr>
          <w:jc w:val="center"/>
        </w:trPr>
        <w:tc>
          <w:tcPr>
            <w:tcW w:w="2985" w:type="dxa"/>
            <w:vAlign w:val="center"/>
          </w:tcPr>
          <w:p w:rsidR="00CA3B52" w:rsidRPr="00CB6CBA" w:rsidRDefault="00CA3B52" w:rsidP="002D1D5C">
            <w:pPr>
              <w:pStyle w:val="Tabletext"/>
              <w:rPr>
                <w:szCs w:val="22"/>
                <w:lang w:val="en-US"/>
              </w:rPr>
            </w:pPr>
            <w:r w:rsidRPr="00CB6CBA">
              <w:rPr>
                <w:szCs w:val="22"/>
                <w:lang w:val="en-US" w:eastAsia="ko-KR"/>
              </w:rPr>
              <w:t>Exclusive</w:t>
            </w:r>
            <w:r w:rsidRPr="00CB6CBA">
              <w:rPr>
                <w:szCs w:val="22"/>
                <w:lang w:val="en-US"/>
              </w:rPr>
              <w:t xml:space="preserve"> use</w:t>
            </w:r>
          </w:p>
        </w:tc>
        <w:tc>
          <w:tcPr>
            <w:tcW w:w="2334" w:type="dxa"/>
          </w:tcPr>
          <w:p w:rsidR="00CA3B52" w:rsidRDefault="00CA3B52" w:rsidP="002D1D5C">
            <w:pPr>
              <w:pStyle w:val="Tabletext"/>
              <w:jc w:val="center"/>
              <w:rPr>
                <w:szCs w:val="22"/>
                <w:lang w:val="en-US"/>
              </w:rPr>
            </w:pPr>
            <w:r w:rsidRPr="00CB6CBA">
              <w:rPr>
                <w:szCs w:val="22"/>
                <w:lang w:val="en-US"/>
              </w:rPr>
              <w:t>1</w:t>
            </w:r>
          </w:p>
        </w:tc>
      </w:tr>
      <w:tr w:rsidR="00CA3B52" w:rsidRPr="00CB6CBA" w:rsidTr="002D1D5C">
        <w:trPr>
          <w:jc w:val="center"/>
        </w:trPr>
        <w:tc>
          <w:tcPr>
            <w:tcW w:w="2985" w:type="dxa"/>
            <w:vAlign w:val="center"/>
          </w:tcPr>
          <w:p w:rsidR="00CA3B52" w:rsidRPr="00CB6CBA" w:rsidRDefault="00CA3B52" w:rsidP="002D1D5C">
            <w:pPr>
              <w:pStyle w:val="Tabletext"/>
              <w:rPr>
                <w:szCs w:val="22"/>
                <w:lang w:val="en-US"/>
              </w:rPr>
            </w:pPr>
            <w:r w:rsidRPr="00CB6CBA">
              <w:rPr>
                <w:szCs w:val="22"/>
                <w:lang w:val="en-US"/>
              </w:rPr>
              <w:t>Common use</w:t>
            </w:r>
          </w:p>
        </w:tc>
        <w:tc>
          <w:tcPr>
            <w:tcW w:w="2334" w:type="dxa"/>
          </w:tcPr>
          <w:p w:rsidR="00CA3B52" w:rsidRDefault="00CA3B52" w:rsidP="002D1D5C">
            <w:pPr>
              <w:pStyle w:val="Tabletext"/>
              <w:jc w:val="center"/>
              <w:rPr>
                <w:szCs w:val="22"/>
                <w:lang w:val="en-US"/>
              </w:rPr>
            </w:pPr>
            <w:r w:rsidRPr="00CB6CBA">
              <w:rPr>
                <w:szCs w:val="22"/>
                <w:lang w:val="en-US"/>
              </w:rPr>
              <w:t>0.1</w:t>
            </w:r>
          </w:p>
        </w:tc>
      </w:tr>
    </w:tbl>
    <w:p w:rsidR="00CA3B52" w:rsidRDefault="00CA3B52" w:rsidP="00CA3B52">
      <w:pPr>
        <w:pStyle w:val="Tablefin"/>
      </w:pPr>
    </w:p>
    <w:p w:rsidR="00CA3B52" w:rsidRPr="00CB6CBA" w:rsidRDefault="00CA3B52" w:rsidP="00CA3B52">
      <w:pPr>
        <w:pStyle w:val="Note"/>
        <w:rPr>
          <w:lang w:val="en-US" w:eastAsia="ko-KR"/>
        </w:rPr>
      </w:pPr>
      <w:r w:rsidRPr="00CB6CBA">
        <w:rPr>
          <w:lang w:val="en-US"/>
        </w:rPr>
        <w:t>NOTE</w:t>
      </w:r>
      <w:r w:rsidR="000338C4">
        <w:rPr>
          <w:lang w:val="en-US" w:eastAsia="ko-KR"/>
        </w:rPr>
        <w:t xml:space="preserve"> </w:t>
      </w:r>
      <w:r w:rsidR="00ED76F9">
        <w:rPr>
          <w:lang w:val="en-US" w:eastAsia="ko-KR"/>
        </w:rPr>
        <w:t xml:space="preserve">1 </w:t>
      </w:r>
      <w:r w:rsidR="000338C4">
        <w:rPr>
          <w:lang w:val="en-US" w:eastAsia="ko-KR"/>
        </w:rPr>
        <w:t xml:space="preserve">– </w:t>
      </w:r>
      <w:r w:rsidRPr="00CB6CBA">
        <w:rPr>
          <w:i/>
          <w:iCs/>
          <w:lang w:val="en-US" w:eastAsia="ko-KR"/>
        </w:rPr>
        <w:t>Exclusive</w:t>
      </w:r>
      <w:r w:rsidRPr="00CB6CBA">
        <w:rPr>
          <w:i/>
          <w:iCs/>
          <w:lang w:val="en-US"/>
        </w:rPr>
        <w:t xml:space="preserve"> </w:t>
      </w:r>
      <w:r w:rsidRPr="00CB6CBA">
        <w:rPr>
          <w:i/>
          <w:iCs/>
          <w:lang w:val="en-US" w:eastAsia="ko-KR"/>
        </w:rPr>
        <w:t>use</w:t>
      </w:r>
      <w:r w:rsidRPr="00CB6CBA">
        <w:rPr>
          <w:lang w:val="en-US" w:eastAsia="ko-KR"/>
        </w:rPr>
        <w:t xml:space="preserve"> occurs when an operator uses a</w:t>
      </w:r>
      <w:r w:rsidRPr="00CB6CBA">
        <w:rPr>
          <w:lang w:val="en-US"/>
        </w:rPr>
        <w:t xml:space="preserve"> frequency exclusively over a country or region</w:t>
      </w:r>
      <w:r w:rsidRPr="00CB6CBA">
        <w:rPr>
          <w:lang w:val="en-US" w:eastAsia="ko-KR"/>
        </w:rPr>
        <w:t xml:space="preserve"> and </w:t>
      </w:r>
      <w:r w:rsidRPr="00CB6CBA">
        <w:rPr>
          <w:i/>
          <w:iCs/>
          <w:lang w:val="en-US"/>
        </w:rPr>
        <w:t>common use</w:t>
      </w:r>
      <w:r w:rsidRPr="00CB6CBA">
        <w:rPr>
          <w:b/>
          <w:bCs/>
          <w:lang w:val="en-US"/>
        </w:rPr>
        <w:t xml:space="preserve"> </w:t>
      </w:r>
      <w:r w:rsidRPr="00CB6CBA">
        <w:rPr>
          <w:lang w:val="en-US"/>
        </w:rPr>
        <w:t xml:space="preserve">occurs when an operator </w:t>
      </w:r>
      <w:r w:rsidRPr="00CB6CBA">
        <w:rPr>
          <w:lang w:val="en-US" w:eastAsia="ko-KR"/>
        </w:rPr>
        <w:t>uses a</w:t>
      </w:r>
      <w:r w:rsidRPr="00CB6CBA">
        <w:rPr>
          <w:lang w:val="en-US"/>
        </w:rPr>
        <w:t xml:space="preserve"> frequency non</w:t>
      </w:r>
      <w:r w:rsidRPr="00CB6CBA">
        <w:rPr>
          <w:lang w:val="en-US"/>
        </w:rPr>
        <w:noBreakHyphen/>
        <w:t>exclusively over a country or region.</w:t>
      </w:r>
    </w:p>
    <w:p w:rsidR="00CA3B52" w:rsidRPr="007A44FB" w:rsidRDefault="00CA3B52" w:rsidP="00A55FD9">
      <w:pPr>
        <w:pStyle w:val="Headingb"/>
        <w:rPr>
          <w:rFonts w:asciiTheme="majorBidi" w:hAnsiTheme="majorBidi" w:cstheme="majorBidi"/>
          <w:b w:val="0"/>
          <w:bCs/>
          <w:sz w:val="22"/>
          <w:szCs w:val="22"/>
          <w:lang w:val="en-US" w:eastAsia="ko-KR"/>
        </w:rPr>
      </w:pPr>
      <w:r w:rsidRPr="00CB6CBA">
        <w:rPr>
          <w:b w:val="0"/>
          <w:i/>
          <w:lang w:val="en-US" w:eastAsia="ko-KR"/>
        </w:rPr>
        <w:t>Operating p</w:t>
      </w:r>
      <w:r w:rsidRPr="00CB6CBA">
        <w:rPr>
          <w:b w:val="0"/>
          <w:i/>
          <w:lang w:val="en-US"/>
        </w:rPr>
        <w:t>urpose factor</w:t>
      </w:r>
      <w:r w:rsidR="007A44FB">
        <w:rPr>
          <w:b w:val="0"/>
          <w:i/>
          <w:lang w:val="en-US"/>
        </w:rPr>
        <w:t>,</w:t>
      </w:r>
      <w:r w:rsidRPr="00CB6CBA">
        <w:rPr>
          <w:b w:val="0"/>
          <w:i/>
          <w:lang w:val="en-US" w:eastAsia="ko-KR"/>
        </w:rPr>
        <w:t xml:space="preserve"> </w:t>
      </w:r>
      <w:r w:rsidRPr="007A44FB">
        <w:rPr>
          <w:b w:val="0"/>
          <w:bCs/>
          <w:i/>
          <w:iCs/>
          <w:sz w:val="22"/>
          <w:szCs w:val="22"/>
          <w:lang w:val="en-US"/>
        </w:rPr>
        <w:t>O</w:t>
      </w:r>
      <w:r w:rsidRPr="007A44FB">
        <w:rPr>
          <w:b w:val="0"/>
          <w:bCs/>
          <w:i/>
          <w:iCs/>
          <w:sz w:val="22"/>
          <w:szCs w:val="22"/>
          <w:vertAlign w:val="subscript"/>
          <w:lang w:val="en-US"/>
        </w:rPr>
        <w:t>f</w:t>
      </w:r>
      <w:r w:rsidRPr="007A44FB">
        <w:rPr>
          <w:rFonts w:asciiTheme="majorBidi" w:hAnsiTheme="majorBidi" w:cstheme="majorBidi"/>
          <w:b w:val="0"/>
          <w:bCs/>
          <w:sz w:val="12"/>
          <w:lang w:val="en-US"/>
        </w:rPr>
        <w:t> </w:t>
      </w:r>
    </w:p>
    <w:p w:rsidR="00CA3B52" w:rsidRPr="00101D35" w:rsidRDefault="00CA3B52" w:rsidP="00CA3B52">
      <w:pPr>
        <w:pStyle w:val="Blanc"/>
        <w:rPr>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40"/>
        <w:gridCol w:w="1763"/>
      </w:tblGrid>
      <w:tr w:rsidR="00CA3B52" w:rsidRPr="00CB6CBA" w:rsidTr="002D1D5C">
        <w:trPr>
          <w:jc w:val="center"/>
        </w:trPr>
        <w:tc>
          <w:tcPr>
            <w:tcW w:w="6940" w:type="dxa"/>
            <w:vAlign w:val="center"/>
          </w:tcPr>
          <w:p w:rsidR="00CA3B52" w:rsidRPr="00CB6CBA" w:rsidRDefault="00CA3B52" w:rsidP="002D1D5C">
            <w:pPr>
              <w:pStyle w:val="Tablehead"/>
              <w:rPr>
                <w:szCs w:val="22"/>
                <w:lang w:val="en-US" w:eastAsia="ko-KR"/>
              </w:rPr>
            </w:pPr>
            <w:r w:rsidRPr="00CB6CBA">
              <w:rPr>
                <w:szCs w:val="22"/>
                <w:lang w:val="en-US"/>
              </w:rPr>
              <w:t>Operating purpose</w:t>
            </w:r>
          </w:p>
        </w:tc>
        <w:tc>
          <w:tcPr>
            <w:tcW w:w="1763" w:type="dxa"/>
            <w:vAlign w:val="center"/>
          </w:tcPr>
          <w:p w:rsidR="00CA3B52" w:rsidRPr="00CB6CBA" w:rsidRDefault="00CA3B52" w:rsidP="002D1D5C">
            <w:pPr>
              <w:pStyle w:val="Tablehead"/>
              <w:rPr>
                <w:szCs w:val="22"/>
                <w:lang w:val="en-US"/>
              </w:rPr>
            </w:pPr>
            <w:r w:rsidRPr="00CB6CBA">
              <w:rPr>
                <w:szCs w:val="22"/>
                <w:lang w:val="en-US"/>
              </w:rPr>
              <w:t>Factor</w:t>
            </w:r>
          </w:p>
        </w:tc>
      </w:tr>
      <w:tr w:rsidR="00CA3B52" w:rsidRPr="00CB6CBA" w:rsidTr="002D1D5C">
        <w:trPr>
          <w:jc w:val="center"/>
        </w:trPr>
        <w:tc>
          <w:tcPr>
            <w:tcW w:w="6940" w:type="dxa"/>
            <w:vAlign w:val="center"/>
          </w:tcPr>
          <w:p w:rsidR="00CA3B52" w:rsidRDefault="00CA3B52" w:rsidP="002D1D5C">
            <w:pPr>
              <w:pStyle w:val="Tabletext"/>
              <w:jc w:val="left"/>
              <w:rPr>
                <w:szCs w:val="22"/>
                <w:lang w:val="en-US"/>
              </w:rPr>
            </w:pPr>
            <w:r w:rsidRPr="00CB6CBA">
              <w:rPr>
                <w:szCs w:val="22"/>
                <w:lang w:val="en-US"/>
              </w:rPr>
              <w:t>Radio</w:t>
            </w:r>
            <w:r>
              <w:rPr>
                <w:rFonts w:hint="eastAsia"/>
                <w:szCs w:val="22"/>
                <w:lang w:val="en-US" w:eastAsia="ko-KR"/>
              </w:rPr>
              <w:t xml:space="preserve"> </w:t>
            </w:r>
            <w:r w:rsidRPr="00CB6CBA">
              <w:rPr>
                <w:szCs w:val="22"/>
                <w:lang w:val="en-US"/>
              </w:rPr>
              <w:t>navigation services (radar, transponder, distance estimator, radio altimeter)</w:t>
            </w:r>
          </w:p>
        </w:tc>
        <w:tc>
          <w:tcPr>
            <w:tcW w:w="1763" w:type="dxa"/>
          </w:tcPr>
          <w:p w:rsidR="00CA3B52" w:rsidRDefault="00CA3B52" w:rsidP="002D1D5C">
            <w:pPr>
              <w:pStyle w:val="Tabletext"/>
              <w:jc w:val="center"/>
              <w:rPr>
                <w:szCs w:val="22"/>
                <w:lang w:val="en-US"/>
              </w:rPr>
            </w:pPr>
            <w:r w:rsidRPr="00CB6CBA">
              <w:rPr>
                <w:szCs w:val="22"/>
                <w:lang w:val="en-US"/>
              </w:rPr>
              <w:t>0.5</w:t>
            </w:r>
          </w:p>
        </w:tc>
      </w:tr>
      <w:tr w:rsidR="00CA3B52" w:rsidRPr="00CB6CBA" w:rsidTr="002D1D5C">
        <w:trPr>
          <w:jc w:val="center"/>
        </w:trPr>
        <w:tc>
          <w:tcPr>
            <w:tcW w:w="6940" w:type="dxa"/>
            <w:vAlign w:val="center"/>
          </w:tcPr>
          <w:p w:rsidR="00CA3B52" w:rsidRPr="00CB6CBA" w:rsidRDefault="00CA3B52" w:rsidP="002D1D5C">
            <w:pPr>
              <w:pStyle w:val="Tabletext"/>
              <w:rPr>
                <w:szCs w:val="22"/>
                <w:lang w:val="en-US"/>
              </w:rPr>
            </w:pPr>
            <w:r w:rsidRPr="00CB6CBA">
              <w:rPr>
                <w:szCs w:val="22"/>
                <w:lang w:val="en-US"/>
              </w:rPr>
              <w:t>Radio</w:t>
            </w:r>
            <w:r>
              <w:rPr>
                <w:rFonts w:hint="eastAsia"/>
                <w:szCs w:val="22"/>
                <w:lang w:val="en-US" w:eastAsia="ko-KR"/>
              </w:rPr>
              <w:t xml:space="preserve"> </w:t>
            </w:r>
            <w:r w:rsidRPr="00CB6CBA">
              <w:rPr>
                <w:szCs w:val="22"/>
                <w:lang w:val="en-US"/>
              </w:rPr>
              <w:t>telemetry (including detection and beacon) services</w:t>
            </w:r>
          </w:p>
        </w:tc>
        <w:tc>
          <w:tcPr>
            <w:tcW w:w="1763" w:type="dxa"/>
          </w:tcPr>
          <w:p w:rsidR="00CA3B52" w:rsidRDefault="00CA3B52" w:rsidP="002D1D5C">
            <w:pPr>
              <w:pStyle w:val="Tabletext"/>
              <w:jc w:val="center"/>
              <w:rPr>
                <w:rFonts w:eastAsia="???"/>
                <w:szCs w:val="22"/>
                <w:lang w:val="en-US"/>
              </w:rPr>
            </w:pPr>
            <w:r w:rsidRPr="00CB6CBA">
              <w:rPr>
                <w:rFonts w:eastAsia="???"/>
                <w:szCs w:val="22"/>
                <w:lang w:val="en-US"/>
              </w:rPr>
              <w:t>0.1</w:t>
            </w:r>
          </w:p>
        </w:tc>
      </w:tr>
      <w:tr w:rsidR="00CA3B52" w:rsidRPr="00CB6CBA" w:rsidTr="002D1D5C">
        <w:trPr>
          <w:jc w:val="center"/>
        </w:trPr>
        <w:tc>
          <w:tcPr>
            <w:tcW w:w="6940" w:type="dxa"/>
            <w:vAlign w:val="center"/>
          </w:tcPr>
          <w:p w:rsidR="00CA3B52" w:rsidRPr="00CB6CBA" w:rsidRDefault="00CA3B52" w:rsidP="002D1D5C">
            <w:pPr>
              <w:pStyle w:val="Tabletext"/>
              <w:rPr>
                <w:szCs w:val="22"/>
                <w:lang w:val="en-US"/>
              </w:rPr>
            </w:pPr>
            <w:r w:rsidRPr="00CB6CBA">
              <w:rPr>
                <w:szCs w:val="22"/>
                <w:lang w:val="en-US"/>
              </w:rPr>
              <w:t>Other services</w:t>
            </w:r>
          </w:p>
        </w:tc>
        <w:tc>
          <w:tcPr>
            <w:tcW w:w="1763" w:type="dxa"/>
          </w:tcPr>
          <w:p w:rsidR="00CA3B52" w:rsidRDefault="00CA3B52" w:rsidP="002D1D5C">
            <w:pPr>
              <w:pStyle w:val="Tabletext"/>
              <w:jc w:val="center"/>
              <w:rPr>
                <w:szCs w:val="22"/>
                <w:lang w:val="en-US"/>
              </w:rPr>
            </w:pPr>
            <w:r w:rsidRPr="00CB6CBA">
              <w:rPr>
                <w:szCs w:val="22"/>
                <w:lang w:val="en-US"/>
              </w:rPr>
              <w:t>1</w:t>
            </w:r>
          </w:p>
        </w:tc>
      </w:tr>
    </w:tbl>
    <w:p w:rsidR="00CA3B52" w:rsidRPr="00CB6CBA" w:rsidRDefault="00CA3B52" w:rsidP="00CA3B52">
      <w:pPr>
        <w:keepNext/>
        <w:keepLines/>
        <w:spacing w:before="360"/>
        <w:rPr>
          <w:lang w:val="en-US" w:eastAsia="ko-KR"/>
        </w:rPr>
      </w:pPr>
      <w:r>
        <w:rPr>
          <w:rFonts w:hint="eastAsia"/>
          <w:lang w:val="en-US" w:eastAsia="ko-KR"/>
        </w:rPr>
        <w:t xml:space="preserve">The fee-waiver factors of </w:t>
      </w:r>
      <w:r w:rsidRPr="00CB6CBA">
        <w:rPr>
          <w:lang w:val="en-US" w:eastAsia="ko-KR"/>
        </w:rPr>
        <w:t>facilit</w:t>
      </w:r>
      <w:r>
        <w:rPr>
          <w:rFonts w:hint="eastAsia"/>
          <w:lang w:val="en-US" w:eastAsia="ko-KR"/>
        </w:rPr>
        <w:t>y sharing and</w:t>
      </w:r>
      <w:r>
        <w:rPr>
          <w:rFonts w:ascii="Batang" w:hAnsi="Batang" w:hint="eastAsia"/>
          <w:lang w:val="en-US" w:eastAsia="ko-KR"/>
        </w:rPr>
        <w:t xml:space="preserve"> </w:t>
      </w:r>
      <w:r>
        <w:rPr>
          <w:rFonts w:hint="eastAsia"/>
          <w:lang w:val="en-US" w:eastAsia="ko-KR"/>
        </w:rPr>
        <w:t>eco-friendly</w:t>
      </w:r>
    </w:p>
    <w:p w:rsidR="00CA3B52" w:rsidRDefault="00CA3B52" w:rsidP="00CA3B52">
      <w:pPr>
        <w:pStyle w:val="Blanc"/>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566"/>
        <w:gridCol w:w="725"/>
        <w:gridCol w:w="725"/>
        <w:gridCol w:w="725"/>
        <w:gridCol w:w="725"/>
        <w:gridCol w:w="725"/>
        <w:gridCol w:w="725"/>
        <w:gridCol w:w="725"/>
        <w:gridCol w:w="725"/>
        <w:gridCol w:w="566"/>
      </w:tblGrid>
      <w:tr w:rsidR="00CA3B52" w:rsidRPr="00ED76F9" w:rsidTr="007A44FB">
        <w:tc>
          <w:tcPr>
            <w:tcW w:w="0" w:type="auto"/>
          </w:tcPr>
          <w:p w:rsidR="00CA3B52" w:rsidRPr="00ED76F9" w:rsidRDefault="00CA3B52" w:rsidP="002D1D5C">
            <w:pPr>
              <w:keepNext/>
              <w:spacing w:before="40" w:after="40"/>
              <w:jc w:val="left"/>
              <w:rPr>
                <w:bCs/>
                <w:sz w:val="20"/>
                <w:lang w:val="en-US" w:eastAsia="ko-KR"/>
              </w:rPr>
            </w:pPr>
            <w:r w:rsidRPr="00ED76F9">
              <w:rPr>
                <w:rFonts w:hint="eastAsia"/>
                <w:bCs/>
                <w:sz w:val="20"/>
                <w:lang w:val="en-US" w:eastAsia="ko-KR"/>
              </w:rPr>
              <w:t>Facility sharing ratio and roaming ratio</w:t>
            </w:r>
            <w:r w:rsidRPr="00ED76F9">
              <w:rPr>
                <w:bCs/>
                <w:sz w:val="20"/>
                <w:lang w:val="en-US" w:eastAsia="ko-KR"/>
              </w:rPr>
              <w:t xml:space="preserve"> </w:t>
            </w:r>
            <w:r w:rsidRPr="00ED76F9">
              <w:rPr>
                <w:rFonts w:hint="eastAsia"/>
                <w:bCs/>
                <w:sz w:val="20"/>
                <w:lang w:val="en-US" w:eastAsia="ko-KR"/>
              </w:rPr>
              <w:t>(%)</w:t>
            </w:r>
          </w:p>
        </w:tc>
        <w:tc>
          <w:tcPr>
            <w:tcW w:w="0" w:type="auto"/>
            <w:vAlign w:val="center"/>
          </w:tcPr>
          <w:p w:rsidR="00CA3B52" w:rsidRPr="00ED76F9" w:rsidRDefault="00CA3B52" w:rsidP="002D1D5C">
            <w:pPr>
              <w:keepNext/>
              <w:spacing w:before="40" w:after="40"/>
              <w:jc w:val="center"/>
              <w:rPr>
                <w:bCs/>
                <w:sz w:val="20"/>
                <w:lang w:val="en-US" w:eastAsia="ko-KR"/>
              </w:rPr>
            </w:pPr>
            <w:r w:rsidRPr="00ED76F9">
              <w:rPr>
                <w:rFonts w:hint="eastAsia"/>
                <w:bCs/>
                <w:sz w:val="20"/>
                <w:lang w:val="en-US" w:eastAsia="ko-KR"/>
              </w:rPr>
              <w:t>&lt;10</w:t>
            </w:r>
          </w:p>
        </w:tc>
        <w:tc>
          <w:tcPr>
            <w:tcW w:w="0" w:type="auto"/>
            <w:vAlign w:val="center"/>
          </w:tcPr>
          <w:p w:rsidR="00CA3B52" w:rsidRPr="00ED76F9" w:rsidRDefault="00CA3B52" w:rsidP="002D1D5C">
            <w:pPr>
              <w:keepNext/>
              <w:spacing w:before="40" w:after="40"/>
              <w:jc w:val="center"/>
              <w:rPr>
                <w:bCs/>
                <w:sz w:val="20"/>
                <w:lang w:val="en-US" w:eastAsia="ko-KR"/>
              </w:rPr>
            </w:pPr>
            <w:r w:rsidRPr="00ED76F9">
              <w:rPr>
                <w:rFonts w:hint="eastAsia"/>
                <w:bCs/>
                <w:sz w:val="20"/>
                <w:lang w:val="en-US" w:eastAsia="ko-KR"/>
              </w:rPr>
              <w:t>10~20</w:t>
            </w:r>
          </w:p>
        </w:tc>
        <w:tc>
          <w:tcPr>
            <w:tcW w:w="0" w:type="auto"/>
            <w:vAlign w:val="center"/>
          </w:tcPr>
          <w:p w:rsidR="00CA3B52" w:rsidRPr="00ED76F9" w:rsidRDefault="00CA3B52" w:rsidP="002D1D5C">
            <w:pPr>
              <w:keepNext/>
              <w:spacing w:before="40" w:after="40"/>
              <w:jc w:val="center"/>
              <w:rPr>
                <w:bCs/>
                <w:sz w:val="20"/>
                <w:lang w:val="en-US" w:eastAsia="ko-KR"/>
              </w:rPr>
            </w:pPr>
            <w:r w:rsidRPr="00ED76F9">
              <w:rPr>
                <w:rFonts w:hint="eastAsia"/>
                <w:bCs/>
                <w:sz w:val="20"/>
                <w:lang w:val="en-US" w:eastAsia="ko-KR"/>
              </w:rPr>
              <w:t>20~30</w:t>
            </w:r>
          </w:p>
        </w:tc>
        <w:tc>
          <w:tcPr>
            <w:tcW w:w="0" w:type="auto"/>
            <w:vAlign w:val="center"/>
          </w:tcPr>
          <w:p w:rsidR="00CA3B52" w:rsidRPr="00ED76F9" w:rsidRDefault="00CA3B52" w:rsidP="002D1D5C">
            <w:pPr>
              <w:keepNext/>
              <w:spacing w:before="40" w:after="40"/>
              <w:jc w:val="center"/>
              <w:rPr>
                <w:bCs/>
                <w:sz w:val="20"/>
                <w:lang w:val="en-US" w:eastAsia="ko-KR"/>
              </w:rPr>
            </w:pPr>
            <w:r w:rsidRPr="00ED76F9">
              <w:rPr>
                <w:rFonts w:hint="eastAsia"/>
                <w:bCs/>
                <w:sz w:val="20"/>
                <w:lang w:val="en-US" w:eastAsia="ko-KR"/>
              </w:rPr>
              <w:t>30~40</w:t>
            </w:r>
          </w:p>
        </w:tc>
        <w:tc>
          <w:tcPr>
            <w:tcW w:w="0" w:type="auto"/>
            <w:vAlign w:val="center"/>
          </w:tcPr>
          <w:p w:rsidR="00CA3B52" w:rsidRPr="00ED76F9" w:rsidRDefault="00CA3B52" w:rsidP="002D1D5C">
            <w:pPr>
              <w:keepNext/>
              <w:spacing w:before="40" w:after="40"/>
              <w:jc w:val="center"/>
              <w:rPr>
                <w:bCs/>
                <w:sz w:val="20"/>
                <w:lang w:val="en-US" w:eastAsia="ko-KR"/>
              </w:rPr>
            </w:pPr>
            <w:r w:rsidRPr="00ED76F9">
              <w:rPr>
                <w:rFonts w:hint="eastAsia"/>
                <w:bCs/>
                <w:sz w:val="20"/>
                <w:lang w:val="en-US" w:eastAsia="ko-KR"/>
              </w:rPr>
              <w:t>40~45</w:t>
            </w:r>
          </w:p>
        </w:tc>
        <w:tc>
          <w:tcPr>
            <w:tcW w:w="0" w:type="auto"/>
            <w:vAlign w:val="center"/>
          </w:tcPr>
          <w:p w:rsidR="00CA3B52" w:rsidRPr="00ED76F9" w:rsidRDefault="00CA3B52" w:rsidP="002D1D5C">
            <w:pPr>
              <w:keepNext/>
              <w:spacing w:before="40" w:after="40"/>
              <w:jc w:val="center"/>
              <w:rPr>
                <w:bCs/>
                <w:sz w:val="20"/>
                <w:lang w:val="en-US" w:eastAsia="ko-KR"/>
              </w:rPr>
            </w:pPr>
            <w:r w:rsidRPr="00ED76F9">
              <w:rPr>
                <w:rFonts w:hint="eastAsia"/>
                <w:bCs/>
                <w:sz w:val="20"/>
                <w:lang w:val="en-US" w:eastAsia="ko-KR"/>
              </w:rPr>
              <w:t>45~50</w:t>
            </w:r>
          </w:p>
        </w:tc>
        <w:tc>
          <w:tcPr>
            <w:tcW w:w="0" w:type="auto"/>
            <w:vAlign w:val="center"/>
          </w:tcPr>
          <w:p w:rsidR="00CA3B52" w:rsidRPr="00ED76F9" w:rsidRDefault="00CA3B52" w:rsidP="002D1D5C">
            <w:pPr>
              <w:keepNext/>
              <w:spacing w:before="40" w:after="40"/>
              <w:jc w:val="center"/>
              <w:rPr>
                <w:bCs/>
                <w:sz w:val="20"/>
                <w:lang w:val="en-US" w:eastAsia="ko-KR"/>
              </w:rPr>
            </w:pPr>
            <w:r w:rsidRPr="00ED76F9">
              <w:rPr>
                <w:rFonts w:hint="eastAsia"/>
                <w:bCs/>
                <w:sz w:val="20"/>
                <w:lang w:val="en-US" w:eastAsia="ko-KR"/>
              </w:rPr>
              <w:t>50~55</w:t>
            </w:r>
          </w:p>
        </w:tc>
        <w:tc>
          <w:tcPr>
            <w:tcW w:w="0" w:type="auto"/>
            <w:vAlign w:val="center"/>
          </w:tcPr>
          <w:p w:rsidR="00CA3B52" w:rsidRPr="00ED76F9" w:rsidRDefault="00CA3B52" w:rsidP="002D1D5C">
            <w:pPr>
              <w:keepNext/>
              <w:spacing w:before="40" w:after="40"/>
              <w:jc w:val="center"/>
              <w:rPr>
                <w:bCs/>
                <w:sz w:val="20"/>
                <w:lang w:val="en-US" w:eastAsia="ko-KR"/>
              </w:rPr>
            </w:pPr>
            <w:r w:rsidRPr="00ED76F9">
              <w:rPr>
                <w:rFonts w:hint="eastAsia"/>
                <w:bCs/>
                <w:sz w:val="20"/>
                <w:lang w:val="en-US" w:eastAsia="ko-KR"/>
              </w:rPr>
              <w:t>55~60</w:t>
            </w:r>
          </w:p>
        </w:tc>
        <w:tc>
          <w:tcPr>
            <w:tcW w:w="0" w:type="auto"/>
            <w:vAlign w:val="center"/>
          </w:tcPr>
          <w:p w:rsidR="00CA3B52" w:rsidRPr="00ED76F9" w:rsidRDefault="00CA3B52" w:rsidP="002D1D5C">
            <w:pPr>
              <w:keepNext/>
              <w:spacing w:before="40" w:after="40"/>
              <w:jc w:val="center"/>
              <w:rPr>
                <w:bCs/>
                <w:sz w:val="20"/>
                <w:lang w:val="en-US" w:eastAsia="ko-KR"/>
              </w:rPr>
            </w:pPr>
            <w:r w:rsidRPr="00ED76F9">
              <w:rPr>
                <w:rFonts w:hint="eastAsia"/>
                <w:bCs/>
                <w:sz w:val="20"/>
                <w:lang w:val="en-US" w:eastAsia="ko-KR"/>
              </w:rPr>
              <w:t>60~70</w:t>
            </w:r>
          </w:p>
        </w:tc>
        <w:tc>
          <w:tcPr>
            <w:tcW w:w="0" w:type="auto"/>
            <w:vAlign w:val="center"/>
          </w:tcPr>
          <w:p w:rsidR="00CA3B52" w:rsidRPr="00ED76F9" w:rsidRDefault="00CA3B52" w:rsidP="002D1D5C">
            <w:pPr>
              <w:keepNext/>
              <w:spacing w:before="40" w:after="40"/>
              <w:jc w:val="center"/>
              <w:rPr>
                <w:bCs/>
                <w:sz w:val="20"/>
                <w:lang w:val="en-US" w:eastAsia="ko-KR"/>
              </w:rPr>
            </w:pPr>
            <w:r w:rsidRPr="00ED76F9">
              <w:rPr>
                <w:rFonts w:hint="eastAsia"/>
                <w:bCs/>
                <w:sz w:val="20"/>
                <w:lang w:val="en-US" w:eastAsia="ko-KR"/>
              </w:rPr>
              <w:t>&gt;70</w:t>
            </w:r>
          </w:p>
        </w:tc>
      </w:tr>
      <w:tr w:rsidR="00CA3B52" w:rsidRPr="00ED76F9" w:rsidTr="007A44FB">
        <w:tc>
          <w:tcPr>
            <w:tcW w:w="0" w:type="auto"/>
          </w:tcPr>
          <w:p w:rsidR="00CA3B52" w:rsidRPr="00ED76F9" w:rsidRDefault="00CA3B52" w:rsidP="002D1D5C">
            <w:pPr>
              <w:spacing w:before="40" w:after="40"/>
              <w:jc w:val="left"/>
              <w:rPr>
                <w:bCs/>
                <w:sz w:val="20"/>
                <w:lang w:val="en-US" w:eastAsia="ko-KR"/>
              </w:rPr>
            </w:pPr>
            <w:r w:rsidRPr="00ED76F9">
              <w:rPr>
                <w:rFonts w:hint="eastAsia"/>
                <w:bCs/>
                <w:sz w:val="20"/>
                <w:lang w:val="en-US" w:eastAsia="ko-KR"/>
              </w:rPr>
              <w:t>Facility sharing fee-waiver factor</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0.01</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0.02</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0.03</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0.04</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0.05</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0.06</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0.07</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0.08</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0.09</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0.10</w:t>
            </w:r>
          </w:p>
        </w:tc>
      </w:tr>
      <w:tr w:rsidR="00CA3B52" w:rsidRPr="00ED76F9" w:rsidTr="007A44FB">
        <w:tc>
          <w:tcPr>
            <w:tcW w:w="0" w:type="auto"/>
          </w:tcPr>
          <w:p w:rsidR="00CA3B52" w:rsidRPr="00ED76F9" w:rsidRDefault="00CA3B52" w:rsidP="002D1D5C">
            <w:pPr>
              <w:spacing w:before="40" w:after="40"/>
              <w:jc w:val="left"/>
              <w:rPr>
                <w:bCs/>
                <w:sz w:val="20"/>
                <w:lang w:val="en-US" w:eastAsia="ko-KR"/>
              </w:rPr>
            </w:pPr>
            <w:r w:rsidRPr="00ED76F9">
              <w:rPr>
                <w:rFonts w:hint="eastAsia"/>
                <w:bCs/>
                <w:sz w:val="20"/>
                <w:lang w:val="en-US" w:eastAsia="ko-KR"/>
              </w:rPr>
              <w:t>Eco-friendly fee-waiver factor</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0.01</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0.02</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0.03</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0.04</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0.05</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0.06</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0.07</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0.08</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0.09</w:t>
            </w:r>
          </w:p>
        </w:tc>
        <w:tc>
          <w:tcPr>
            <w:tcW w:w="0" w:type="auto"/>
            <w:vAlign w:val="center"/>
          </w:tcPr>
          <w:p w:rsidR="00CA3B52" w:rsidRPr="00ED76F9" w:rsidRDefault="00CA3B52" w:rsidP="002D1D5C">
            <w:pPr>
              <w:spacing w:before="40" w:after="40"/>
              <w:jc w:val="center"/>
              <w:rPr>
                <w:bCs/>
                <w:sz w:val="20"/>
                <w:lang w:val="en-US" w:eastAsia="ko-KR"/>
              </w:rPr>
            </w:pPr>
            <w:r w:rsidRPr="00ED76F9">
              <w:rPr>
                <w:rFonts w:hint="eastAsia"/>
                <w:bCs/>
                <w:sz w:val="20"/>
                <w:lang w:val="en-US" w:eastAsia="ko-KR"/>
              </w:rPr>
              <w:t>0.10</w:t>
            </w:r>
          </w:p>
        </w:tc>
      </w:tr>
    </w:tbl>
    <w:p w:rsidR="00CA3B52" w:rsidRDefault="00CA3B52" w:rsidP="00CA3B52">
      <w:pPr>
        <w:pStyle w:val="Tablefin"/>
        <w:rPr>
          <w:lang w:eastAsia="ko-KR"/>
        </w:rPr>
      </w:pPr>
    </w:p>
    <w:p w:rsidR="00CA3B52" w:rsidRPr="00953132" w:rsidRDefault="00ED76F9" w:rsidP="00ED76F9">
      <w:pPr>
        <w:pStyle w:val="Note"/>
        <w:rPr>
          <w:lang w:val="en-US" w:eastAsia="ko-KR"/>
        </w:rPr>
      </w:pPr>
      <w:r>
        <w:rPr>
          <w:lang w:val="en-US" w:eastAsia="ko-KR"/>
        </w:rPr>
        <w:t xml:space="preserve">NOTE 1 – </w:t>
      </w:r>
      <w:r w:rsidR="00CA3B52" w:rsidRPr="00953132">
        <w:rPr>
          <w:i/>
          <w:iCs/>
          <w:lang w:val="en-US" w:eastAsia="ko-KR"/>
        </w:rPr>
        <w:t>Facility sharing</w:t>
      </w:r>
      <w:r w:rsidR="00CA3B52" w:rsidRPr="00953132">
        <w:rPr>
          <w:i/>
          <w:iCs/>
          <w:lang w:val="en-US"/>
        </w:rPr>
        <w:t xml:space="preserve"> ratio</w:t>
      </w:r>
      <w:r w:rsidR="00CA3B52" w:rsidRPr="00101D35">
        <w:rPr>
          <w:bCs/>
          <w:iCs/>
          <w:lang w:val="en-US"/>
        </w:rPr>
        <w:t>:</w:t>
      </w:r>
      <w:r w:rsidR="00CA3B52" w:rsidRPr="00101D35">
        <w:rPr>
          <w:iCs/>
          <w:lang w:val="en-US"/>
        </w:rPr>
        <w:t xml:space="preserve"> </w:t>
      </w:r>
      <w:r w:rsidR="00CA3B52" w:rsidRPr="00953132">
        <w:rPr>
          <w:lang w:val="en-US"/>
        </w:rPr>
        <w:t xml:space="preserve">Ratio of </w:t>
      </w:r>
      <w:r w:rsidR="00CA3B52" w:rsidRPr="00953132">
        <w:rPr>
          <w:lang w:val="en-US" w:eastAsia="ko-KR"/>
        </w:rPr>
        <w:t xml:space="preserve">the number of </w:t>
      </w:r>
      <w:r w:rsidR="00CA3B52" w:rsidRPr="00953132">
        <w:rPr>
          <w:rFonts w:hint="eastAsia"/>
          <w:lang w:val="en-US" w:eastAsia="ko-KR"/>
        </w:rPr>
        <w:t xml:space="preserve">radio </w:t>
      </w:r>
      <w:r w:rsidR="00CA3B52" w:rsidRPr="00953132">
        <w:rPr>
          <w:lang w:val="en-US" w:eastAsia="ko-KR"/>
        </w:rPr>
        <w:t>statio</w:t>
      </w:r>
      <w:r w:rsidR="00CA3B52" w:rsidRPr="00953132">
        <w:rPr>
          <w:lang w:val="en-US"/>
        </w:rPr>
        <w:t>ns</w:t>
      </w:r>
      <w:r w:rsidR="00CA3B52" w:rsidRPr="00953132">
        <w:rPr>
          <w:lang w:val="en-US" w:eastAsia="ko-KR"/>
        </w:rPr>
        <w:t xml:space="preserve"> served by a</w:t>
      </w:r>
      <w:r w:rsidR="00CA3B52" w:rsidRPr="00953132">
        <w:rPr>
          <w:rFonts w:hint="eastAsia"/>
          <w:lang w:val="en-US" w:eastAsia="ko-KR"/>
        </w:rPr>
        <w:t xml:space="preserve"> common carrier </w:t>
      </w:r>
      <w:r w:rsidR="00CA3B52" w:rsidRPr="00953132">
        <w:rPr>
          <w:lang w:val="en-US" w:eastAsia="ko-KR"/>
        </w:rPr>
        <w:t>that share</w:t>
      </w:r>
      <w:r w:rsidR="00CA3B52" w:rsidRPr="00953132">
        <w:rPr>
          <w:rFonts w:hint="eastAsia"/>
          <w:lang w:val="en-US" w:eastAsia="ko-KR"/>
        </w:rPr>
        <w:t>s</w:t>
      </w:r>
      <w:r w:rsidR="00CA3B52" w:rsidRPr="00953132">
        <w:rPr>
          <w:lang w:val="en-US"/>
        </w:rPr>
        <w:t xml:space="preserve"> radio facilities to t</w:t>
      </w:r>
      <w:r w:rsidR="00CA3B52" w:rsidRPr="00953132">
        <w:rPr>
          <w:lang w:val="en-US" w:eastAsia="ko-KR"/>
        </w:rPr>
        <w:t xml:space="preserve">he total number of </w:t>
      </w:r>
      <w:r w:rsidR="00CA3B52" w:rsidRPr="00953132">
        <w:rPr>
          <w:rFonts w:hint="eastAsia"/>
          <w:lang w:val="en-US" w:eastAsia="ko-KR"/>
        </w:rPr>
        <w:t xml:space="preserve">radio </w:t>
      </w:r>
      <w:r w:rsidR="00CA3B52" w:rsidRPr="00953132">
        <w:rPr>
          <w:lang w:val="en-US"/>
        </w:rPr>
        <w:t>station</w:t>
      </w:r>
      <w:r w:rsidR="00CA3B52" w:rsidRPr="00953132">
        <w:rPr>
          <w:lang w:val="en-US" w:eastAsia="ko-KR"/>
        </w:rPr>
        <w:t>s</w:t>
      </w:r>
      <w:r w:rsidR="00CA3B52" w:rsidRPr="00953132">
        <w:rPr>
          <w:lang w:val="en-US"/>
        </w:rPr>
        <w:t xml:space="preserve"> served by </w:t>
      </w:r>
      <w:r w:rsidR="00CA3B52" w:rsidRPr="00953132">
        <w:rPr>
          <w:rFonts w:hint="eastAsia"/>
          <w:lang w:val="en-US" w:eastAsia="ko-KR"/>
        </w:rPr>
        <w:t>the common carriers</w:t>
      </w:r>
      <w:r w:rsidR="00CA3B52" w:rsidRPr="00953132">
        <w:rPr>
          <w:lang w:val="en-US" w:eastAsia="ko-KR"/>
        </w:rPr>
        <w:t>.</w:t>
      </w:r>
    </w:p>
    <w:p w:rsidR="00CA3B52" w:rsidRPr="00CB6CBA" w:rsidRDefault="00ED76F9" w:rsidP="00ED76F9">
      <w:pPr>
        <w:pStyle w:val="Note"/>
        <w:rPr>
          <w:lang w:val="en-US" w:eastAsia="ko-KR"/>
        </w:rPr>
      </w:pPr>
      <w:r>
        <w:rPr>
          <w:lang w:val="en-US" w:eastAsia="ko-KR"/>
        </w:rPr>
        <w:t xml:space="preserve">NOTE 2 – </w:t>
      </w:r>
      <w:r w:rsidR="00CA3B52" w:rsidRPr="006C0EC4">
        <w:rPr>
          <w:i/>
          <w:lang w:val="en-US" w:eastAsia="ko-KR"/>
        </w:rPr>
        <w:t xml:space="preserve">Eco-friendly </w:t>
      </w:r>
      <w:r w:rsidR="00CA3B52">
        <w:rPr>
          <w:rFonts w:hint="eastAsia"/>
          <w:i/>
          <w:lang w:val="en-US" w:eastAsia="ko-KR"/>
        </w:rPr>
        <w:t>ratio</w:t>
      </w:r>
      <w:r w:rsidR="00CA3B52">
        <w:rPr>
          <w:rFonts w:hint="eastAsia"/>
          <w:lang w:val="en-US" w:eastAsia="ko-KR"/>
        </w:rPr>
        <w:t xml:space="preserve">: </w:t>
      </w:r>
      <w:r w:rsidR="00CA3B52" w:rsidRPr="00CB6CBA">
        <w:rPr>
          <w:lang w:val="en-US"/>
        </w:rPr>
        <w:t xml:space="preserve">Ratio of </w:t>
      </w:r>
      <w:r w:rsidR="00CA3B52" w:rsidRPr="00CB6CBA">
        <w:rPr>
          <w:lang w:val="en-US" w:eastAsia="ko-KR"/>
        </w:rPr>
        <w:t xml:space="preserve">the number of </w:t>
      </w:r>
      <w:r w:rsidR="00CA3B52">
        <w:rPr>
          <w:rFonts w:hint="eastAsia"/>
          <w:lang w:val="en-US" w:eastAsia="ko-KR"/>
        </w:rPr>
        <w:t xml:space="preserve">radio </w:t>
      </w:r>
      <w:r w:rsidR="00CA3B52" w:rsidRPr="00CB6CBA">
        <w:rPr>
          <w:lang w:val="en-US" w:eastAsia="ko-KR"/>
        </w:rPr>
        <w:t>statio</w:t>
      </w:r>
      <w:r w:rsidR="00CA3B52" w:rsidRPr="00CB6CBA">
        <w:rPr>
          <w:lang w:val="en-US"/>
        </w:rPr>
        <w:t>ns</w:t>
      </w:r>
      <w:r w:rsidR="00CA3B52" w:rsidRPr="00CB6CBA">
        <w:rPr>
          <w:lang w:val="en-US" w:eastAsia="ko-KR"/>
        </w:rPr>
        <w:t xml:space="preserve"> served by </w:t>
      </w:r>
      <w:r w:rsidR="00CA3B52">
        <w:rPr>
          <w:rFonts w:hint="eastAsia"/>
          <w:lang w:val="en-US" w:eastAsia="ko-KR"/>
        </w:rPr>
        <w:t>eco-friendly</w:t>
      </w:r>
      <w:r w:rsidR="00CA3B52" w:rsidRPr="00CB6CBA">
        <w:rPr>
          <w:lang w:val="en-US"/>
        </w:rPr>
        <w:t xml:space="preserve"> facilities to t</w:t>
      </w:r>
      <w:r w:rsidR="00CA3B52" w:rsidRPr="00CB6CBA">
        <w:rPr>
          <w:lang w:val="en-US" w:eastAsia="ko-KR"/>
        </w:rPr>
        <w:t xml:space="preserve">he total number of </w:t>
      </w:r>
      <w:r w:rsidR="00CA3B52">
        <w:rPr>
          <w:rFonts w:hint="eastAsia"/>
          <w:lang w:val="en-US" w:eastAsia="ko-KR"/>
        </w:rPr>
        <w:t xml:space="preserve">radio </w:t>
      </w:r>
      <w:r w:rsidR="00CA3B52" w:rsidRPr="00CB6CBA">
        <w:rPr>
          <w:lang w:val="en-US"/>
        </w:rPr>
        <w:t>station</w:t>
      </w:r>
      <w:r w:rsidR="00CA3B52" w:rsidRPr="00CB6CBA">
        <w:rPr>
          <w:lang w:val="en-US" w:eastAsia="ko-KR"/>
        </w:rPr>
        <w:t>s</w:t>
      </w:r>
      <w:r w:rsidR="00CA3B52" w:rsidRPr="00CB6CBA">
        <w:rPr>
          <w:lang w:val="en-US"/>
        </w:rPr>
        <w:t xml:space="preserve"> served by </w:t>
      </w:r>
      <w:r w:rsidR="00CA3B52">
        <w:rPr>
          <w:rFonts w:hint="eastAsia"/>
          <w:lang w:val="en-US" w:eastAsia="ko-KR"/>
        </w:rPr>
        <w:t>the</w:t>
      </w:r>
      <w:r w:rsidR="00CA3B52" w:rsidRPr="00CB6CBA">
        <w:rPr>
          <w:lang w:val="en-US"/>
        </w:rPr>
        <w:t xml:space="preserve"> </w:t>
      </w:r>
      <w:r w:rsidR="00CA3B52">
        <w:rPr>
          <w:rFonts w:hint="eastAsia"/>
          <w:lang w:val="en-US" w:eastAsia="ko-KR"/>
        </w:rPr>
        <w:t>common carrier.</w:t>
      </w:r>
    </w:p>
    <w:p w:rsidR="00CA3B52" w:rsidRPr="00CB6CBA" w:rsidRDefault="00CA3B52" w:rsidP="00B36540">
      <w:pPr>
        <w:keepNext/>
        <w:keepLines/>
        <w:rPr>
          <w:lang w:val="en-US"/>
        </w:rPr>
      </w:pPr>
      <w:bookmarkStart w:id="1799" w:name="_Toc289868874"/>
      <w:bookmarkStart w:id="1800" w:name="_Toc289869034"/>
      <w:bookmarkStart w:id="1801" w:name="_Toc289932340"/>
      <w:r w:rsidRPr="00E961ED">
        <w:rPr>
          <w:b/>
          <w:bCs/>
          <w:i/>
          <w:iCs/>
          <w:lang w:val="en-US"/>
        </w:rPr>
        <w:t>Category 4</w:t>
      </w:r>
      <w:r w:rsidRPr="00CB6CBA">
        <w:rPr>
          <w:lang w:val="en-US"/>
        </w:rPr>
        <w:t xml:space="preserve">: </w:t>
      </w:r>
      <w:r>
        <w:rPr>
          <w:rFonts w:hint="eastAsia"/>
          <w:lang w:val="en-US" w:eastAsia="ko-KR"/>
        </w:rPr>
        <w:t xml:space="preserve">Quarterly spectrum </w:t>
      </w:r>
      <w:r>
        <w:rPr>
          <w:lang w:val="en-US" w:eastAsia="ko-KR"/>
        </w:rPr>
        <w:t>utilization</w:t>
      </w:r>
      <w:r>
        <w:rPr>
          <w:rFonts w:hint="eastAsia"/>
          <w:lang w:val="en-US" w:eastAsia="ko-KR"/>
        </w:rPr>
        <w:t xml:space="preserve"> fee for e</w:t>
      </w:r>
      <w:r w:rsidRPr="00CB6CBA">
        <w:rPr>
          <w:szCs w:val="22"/>
          <w:lang w:val="en-US" w:eastAsia="ko-KR"/>
        </w:rPr>
        <w:t>arth s</w:t>
      </w:r>
      <w:r w:rsidRPr="00CB6CBA">
        <w:rPr>
          <w:szCs w:val="22"/>
          <w:lang w:val="en-US"/>
        </w:rPr>
        <w:t>tations installed on vehicles</w:t>
      </w:r>
      <w:r>
        <w:rPr>
          <w:rFonts w:hint="eastAsia"/>
          <w:szCs w:val="22"/>
          <w:lang w:val="en-US" w:eastAsia="ko-KR"/>
        </w:rPr>
        <w:t xml:space="preserve"> </w:t>
      </w:r>
      <w:r w:rsidR="00B36540">
        <w:rPr>
          <w:szCs w:val="22"/>
          <w:lang w:val="en-US" w:eastAsia="ko-KR"/>
        </w:rPr>
        <w:t>and</w:t>
      </w:r>
      <w:r>
        <w:rPr>
          <w:rFonts w:hint="eastAsia"/>
          <w:szCs w:val="22"/>
          <w:lang w:val="en-US" w:eastAsia="ko-KR"/>
        </w:rPr>
        <w:t xml:space="preserve"> common carrier</w:t>
      </w:r>
      <w:r w:rsidRPr="00CB6CBA">
        <w:rPr>
          <w:szCs w:val="22"/>
          <w:lang w:val="en-US"/>
        </w:rPr>
        <w:t>’s earth stations for lease</w:t>
      </w:r>
      <w:r w:rsidRPr="00CB6CBA">
        <w:rPr>
          <w:lang w:val="en-US"/>
        </w:rPr>
        <w:t>:</w:t>
      </w:r>
      <w:bookmarkEnd w:id="1799"/>
      <w:bookmarkEnd w:id="1800"/>
      <w:bookmarkEnd w:id="1801"/>
    </w:p>
    <w:p w:rsidR="00CA3B52" w:rsidRDefault="00CA3B52" w:rsidP="00CA3B52">
      <w:pPr>
        <w:rPr>
          <w:lang w:val="en-US" w:eastAsia="ko-KR"/>
        </w:rPr>
      </w:pPr>
      <w:r w:rsidRPr="00CB6CBA">
        <w:rPr>
          <w:lang w:val="en-US"/>
        </w:rPr>
        <w:t xml:space="preserve">The </w:t>
      </w:r>
      <w:r w:rsidRPr="00CB6CBA">
        <w:rPr>
          <w:lang w:val="en-US" w:eastAsia="ko-KR"/>
        </w:rPr>
        <w:t>spectrum fee (SF)</w:t>
      </w:r>
      <w:r w:rsidRPr="00CB6CBA">
        <w:rPr>
          <w:lang w:val="en-US"/>
        </w:rPr>
        <w:t xml:space="preserve"> shall be imposed on each </w:t>
      </w:r>
      <w:r>
        <w:rPr>
          <w:rFonts w:hint="eastAsia"/>
          <w:lang w:val="en-US" w:eastAsia="ko-KR"/>
        </w:rPr>
        <w:t>category</w:t>
      </w:r>
      <w:r w:rsidRPr="00CB6CBA">
        <w:rPr>
          <w:lang w:val="en-US" w:eastAsia="ko-KR"/>
        </w:rPr>
        <w:t xml:space="preserve"> </w:t>
      </w:r>
      <w:r w:rsidRPr="00CB6CBA">
        <w:rPr>
          <w:lang w:val="en-US"/>
        </w:rPr>
        <w:t xml:space="preserve">as </w:t>
      </w:r>
      <w:r w:rsidRPr="00CB6CBA">
        <w:rPr>
          <w:lang w:val="en-US" w:eastAsia="ko-KR"/>
        </w:rPr>
        <w:t>f</w:t>
      </w:r>
      <w:r w:rsidRPr="00CB6CBA">
        <w:rPr>
          <w:lang w:val="en-US"/>
        </w:rPr>
        <w:t>ollows:</w:t>
      </w:r>
    </w:p>
    <w:p w:rsidR="00CA3B52" w:rsidRDefault="00CA3B52" w:rsidP="00CA3B52">
      <w:pPr>
        <w:pStyle w:val="Blanc"/>
        <w:rPr>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39"/>
        <w:gridCol w:w="1763"/>
      </w:tblGrid>
      <w:tr w:rsidR="00CA3B52" w:rsidRPr="00CB6CBA" w:rsidTr="002D1D5C">
        <w:trPr>
          <w:jc w:val="center"/>
        </w:trPr>
        <w:tc>
          <w:tcPr>
            <w:tcW w:w="6939" w:type="dxa"/>
            <w:vAlign w:val="center"/>
          </w:tcPr>
          <w:p w:rsidR="00CA3B52" w:rsidRPr="00CB6CBA" w:rsidRDefault="00CA3B52" w:rsidP="002D1D5C">
            <w:pPr>
              <w:pStyle w:val="Tablehead"/>
              <w:rPr>
                <w:szCs w:val="22"/>
                <w:lang w:val="en-US"/>
              </w:rPr>
            </w:pPr>
            <w:r w:rsidRPr="00CB6CBA">
              <w:rPr>
                <w:szCs w:val="22"/>
                <w:lang w:val="en-US"/>
              </w:rPr>
              <w:t>Type of mobile stations</w:t>
            </w:r>
          </w:p>
        </w:tc>
        <w:tc>
          <w:tcPr>
            <w:tcW w:w="1763" w:type="dxa"/>
            <w:vAlign w:val="center"/>
          </w:tcPr>
          <w:p w:rsidR="00CA3B52" w:rsidRPr="00CB6CBA" w:rsidRDefault="00CA3B52" w:rsidP="002D1D5C">
            <w:pPr>
              <w:pStyle w:val="Tablehead"/>
              <w:rPr>
                <w:rFonts w:eastAsia="???"/>
                <w:szCs w:val="22"/>
                <w:lang w:val="en-US"/>
              </w:rPr>
            </w:pPr>
            <w:r w:rsidRPr="00CB6CBA">
              <w:rPr>
                <w:rFonts w:eastAsia="???"/>
                <w:szCs w:val="22"/>
                <w:lang w:val="en-US"/>
              </w:rPr>
              <w:t>SUF</w:t>
            </w:r>
            <w:r w:rsidRPr="00CB6CBA">
              <w:rPr>
                <w:rFonts w:eastAsia="???"/>
                <w:szCs w:val="22"/>
                <w:lang w:val="en-US"/>
              </w:rPr>
              <w:br/>
              <w:t>(KRW)</w:t>
            </w:r>
          </w:p>
        </w:tc>
      </w:tr>
      <w:tr w:rsidR="00CA3B52" w:rsidRPr="00CB6CBA" w:rsidTr="002D1D5C">
        <w:trPr>
          <w:jc w:val="center"/>
        </w:trPr>
        <w:tc>
          <w:tcPr>
            <w:tcW w:w="6939" w:type="dxa"/>
          </w:tcPr>
          <w:p w:rsidR="00CA3B52" w:rsidRPr="00CB6CBA" w:rsidRDefault="00CA3B52" w:rsidP="002D1D5C">
            <w:pPr>
              <w:pStyle w:val="Tabletext"/>
              <w:rPr>
                <w:szCs w:val="22"/>
                <w:lang w:val="en-US" w:eastAsia="ko-KR"/>
              </w:rPr>
            </w:pPr>
            <w:r w:rsidRPr="00CB6CBA">
              <w:rPr>
                <w:szCs w:val="22"/>
                <w:lang w:val="en-US" w:eastAsia="ko-KR"/>
              </w:rPr>
              <w:t>Earth s</w:t>
            </w:r>
            <w:r w:rsidRPr="00CB6CBA">
              <w:rPr>
                <w:szCs w:val="22"/>
                <w:lang w:val="en-US"/>
              </w:rPr>
              <w:t xml:space="preserve">tations installed on vehicles (such as ships </w:t>
            </w:r>
            <w:r w:rsidRPr="00CB6CBA">
              <w:rPr>
                <w:szCs w:val="22"/>
                <w:lang w:val="en-US" w:eastAsia="ko-KR"/>
              </w:rPr>
              <w:t>or</w:t>
            </w:r>
            <w:r w:rsidRPr="00CB6CBA">
              <w:rPr>
                <w:szCs w:val="22"/>
                <w:lang w:val="en-US"/>
              </w:rPr>
              <w:t xml:space="preserve"> </w:t>
            </w:r>
            <w:r w:rsidRPr="00CB6CBA">
              <w:rPr>
                <w:szCs w:val="22"/>
                <w:lang w:val="en-US" w:eastAsia="ko-KR"/>
              </w:rPr>
              <w:t>automobiles</w:t>
            </w:r>
            <w:r w:rsidRPr="00CB6CBA">
              <w:rPr>
                <w:szCs w:val="22"/>
                <w:lang w:val="en-US"/>
              </w:rPr>
              <w:t>)</w:t>
            </w:r>
          </w:p>
        </w:tc>
        <w:tc>
          <w:tcPr>
            <w:tcW w:w="1763" w:type="dxa"/>
          </w:tcPr>
          <w:p w:rsidR="00CA3B52" w:rsidRDefault="00CA3B52" w:rsidP="002D1D5C">
            <w:pPr>
              <w:pStyle w:val="Tabletext"/>
              <w:jc w:val="center"/>
              <w:rPr>
                <w:szCs w:val="22"/>
                <w:lang w:val="en-US"/>
              </w:rPr>
            </w:pPr>
            <w:r w:rsidRPr="00CB6CBA">
              <w:rPr>
                <w:szCs w:val="22"/>
                <w:lang w:val="en-US"/>
              </w:rPr>
              <w:t>20</w:t>
            </w:r>
            <w:r w:rsidRPr="00CB6CBA">
              <w:rPr>
                <w:rFonts w:ascii="Tms Rmn" w:hAnsi="Tms Rmn"/>
                <w:szCs w:val="22"/>
                <w:lang w:val="en-US"/>
              </w:rPr>
              <w:t> </w:t>
            </w:r>
            <w:r w:rsidRPr="00CB6CBA">
              <w:rPr>
                <w:szCs w:val="22"/>
                <w:lang w:val="en-US"/>
              </w:rPr>
              <w:t>000</w:t>
            </w:r>
          </w:p>
        </w:tc>
      </w:tr>
      <w:tr w:rsidR="00CA3B52" w:rsidRPr="00CB6CBA" w:rsidTr="002D1D5C">
        <w:trPr>
          <w:jc w:val="center"/>
        </w:trPr>
        <w:tc>
          <w:tcPr>
            <w:tcW w:w="6939" w:type="dxa"/>
          </w:tcPr>
          <w:p w:rsidR="00CA3B52" w:rsidRPr="00CB6CBA" w:rsidRDefault="00CA3B52" w:rsidP="002D1D5C">
            <w:pPr>
              <w:pStyle w:val="Tabletext"/>
              <w:rPr>
                <w:szCs w:val="22"/>
                <w:lang w:val="en-US"/>
              </w:rPr>
            </w:pPr>
            <w:r>
              <w:rPr>
                <w:rFonts w:hint="eastAsia"/>
                <w:szCs w:val="22"/>
                <w:lang w:val="en-US" w:eastAsia="ko-KR"/>
              </w:rPr>
              <w:t>Common carrier</w:t>
            </w:r>
            <w:r w:rsidRPr="00CB6CBA">
              <w:rPr>
                <w:szCs w:val="22"/>
                <w:lang w:val="en-US"/>
              </w:rPr>
              <w:t>’s earth stations for lease</w:t>
            </w:r>
          </w:p>
        </w:tc>
        <w:tc>
          <w:tcPr>
            <w:tcW w:w="1763" w:type="dxa"/>
          </w:tcPr>
          <w:p w:rsidR="00CA3B52" w:rsidRDefault="00CA3B52" w:rsidP="002D1D5C">
            <w:pPr>
              <w:pStyle w:val="Tabletext"/>
              <w:jc w:val="center"/>
              <w:rPr>
                <w:szCs w:val="22"/>
                <w:lang w:val="en-US" w:eastAsia="ko-KR"/>
              </w:rPr>
            </w:pPr>
            <w:r w:rsidRPr="00CB6CBA">
              <w:rPr>
                <w:szCs w:val="22"/>
                <w:lang w:val="en-US" w:eastAsia="ko-KR"/>
              </w:rPr>
              <w:t>20 000</w:t>
            </w:r>
          </w:p>
        </w:tc>
      </w:tr>
      <w:tr w:rsidR="00CA3B52" w:rsidRPr="00CB6CBA" w:rsidTr="002D1D5C">
        <w:trPr>
          <w:jc w:val="center"/>
        </w:trPr>
        <w:tc>
          <w:tcPr>
            <w:tcW w:w="6939" w:type="dxa"/>
          </w:tcPr>
          <w:p w:rsidR="00CA3B52" w:rsidRPr="00CB6CBA" w:rsidRDefault="00CA3B52" w:rsidP="002D1D5C">
            <w:pPr>
              <w:pStyle w:val="Tabletext"/>
              <w:rPr>
                <w:szCs w:val="22"/>
                <w:lang w:val="en-US"/>
              </w:rPr>
            </w:pPr>
            <w:r w:rsidRPr="00CB6CBA">
              <w:rPr>
                <w:szCs w:val="22"/>
                <w:lang w:val="en-US"/>
              </w:rPr>
              <w:t xml:space="preserve">Other stations </w:t>
            </w:r>
          </w:p>
        </w:tc>
        <w:tc>
          <w:tcPr>
            <w:tcW w:w="1763" w:type="dxa"/>
          </w:tcPr>
          <w:p w:rsidR="00CA3B52" w:rsidRDefault="00CA3B52" w:rsidP="002D1D5C">
            <w:pPr>
              <w:pStyle w:val="Tabletext"/>
              <w:jc w:val="center"/>
              <w:rPr>
                <w:szCs w:val="22"/>
                <w:lang w:val="en-US"/>
              </w:rPr>
            </w:pPr>
            <w:r w:rsidRPr="00CB6CBA">
              <w:rPr>
                <w:szCs w:val="22"/>
                <w:lang w:val="en-US"/>
              </w:rPr>
              <w:t>3</w:t>
            </w:r>
            <w:r w:rsidRPr="00CB6CBA">
              <w:rPr>
                <w:rFonts w:ascii="Tms Rmn" w:hAnsi="Tms Rmn"/>
                <w:szCs w:val="22"/>
                <w:lang w:val="en-US"/>
              </w:rPr>
              <w:t> </w:t>
            </w:r>
            <w:r w:rsidRPr="00CB6CBA">
              <w:rPr>
                <w:szCs w:val="22"/>
                <w:lang w:val="en-US"/>
              </w:rPr>
              <w:t>000</w:t>
            </w:r>
          </w:p>
        </w:tc>
      </w:tr>
    </w:tbl>
    <w:p w:rsidR="00CA3B52" w:rsidRPr="00101D35" w:rsidRDefault="00CA3B52" w:rsidP="00CA3B52">
      <w:pPr>
        <w:pStyle w:val="Tablefin"/>
      </w:pPr>
    </w:p>
    <w:p w:rsidR="00CA3B52" w:rsidRPr="00CB6CBA" w:rsidRDefault="00CA3B52" w:rsidP="00CA3B52">
      <w:pPr>
        <w:pStyle w:val="Heading2"/>
        <w:rPr>
          <w:lang w:val="en-US"/>
        </w:rPr>
      </w:pPr>
      <w:bookmarkStart w:id="1802" w:name="_Toc392515933"/>
      <w:r w:rsidRPr="00CB6CBA">
        <w:rPr>
          <w:lang w:val="en-US"/>
        </w:rPr>
        <w:t>5.3</w:t>
      </w:r>
      <w:r w:rsidRPr="00CB6CBA">
        <w:rPr>
          <w:lang w:val="en-US"/>
        </w:rPr>
        <w:tab/>
        <w:t>Experience</w:t>
      </w:r>
      <w:bookmarkEnd w:id="1755"/>
      <w:bookmarkEnd w:id="1756"/>
      <w:bookmarkEnd w:id="1757"/>
      <w:bookmarkEnd w:id="1758"/>
      <w:r w:rsidRPr="00CB6CBA">
        <w:rPr>
          <w:lang w:val="en-US"/>
        </w:rPr>
        <w:t xml:space="preserve"> using alternative resources</w:t>
      </w:r>
      <w:bookmarkEnd w:id="1759"/>
      <w:bookmarkEnd w:id="1760"/>
      <w:bookmarkEnd w:id="1761"/>
      <w:bookmarkEnd w:id="1762"/>
      <w:bookmarkEnd w:id="1778"/>
      <w:bookmarkEnd w:id="1779"/>
      <w:bookmarkEnd w:id="1792"/>
      <w:bookmarkEnd w:id="1793"/>
      <w:bookmarkEnd w:id="1794"/>
      <w:bookmarkEnd w:id="1795"/>
      <w:bookmarkEnd w:id="1796"/>
      <w:bookmarkEnd w:id="1802"/>
    </w:p>
    <w:p w:rsidR="00CA3B52" w:rsidRPr="00CB6CBA" w:rsidRDefault="00CA3B52" w:rsidP="00CA3B52">
      <w:pPr>
        <w:rPr>
          <w:lang w:val="en-US"/>
        </w:rPr>
      </w:pPr>
      <w:r w:rsidRPr="00CB6CBA">
        <w:rPr>
          <w:lang w:val="en-US"/>
        </w:rPr>
        <w:t>Many administrations have used alternative resources to support national spectrum management for a number of years. The following information reviews some of this experience.</w:t>
      </w:r>
    </w:p>
    <w:p w:rsidR="00CA3B52" w:rsidRPr="00CB6CBA" w:rsidRDefault="00CA3B52" w:rsidP="00CA3B52">
      <w:pPr>
        <w:pStyle w:val="Heading3"/>
        <w:rPr>
          <w:b w:val="0"/>
          <w:lang w:val="en-US"/>
        </w:rPr>
      </w:pPr>
      <w:bookmarkStart w:id="1803" w:name="_Toc459746773"/>
      <w:bookmarkStart w:id="1804" w:name="_Toc459792679"/>
      <w:bookmarkStart w:id="1805" w:name="_Toc459793843"/>
      <w:bookmarkStart w:id="1806" w:name="_Toc459793985"/>
      <w:bookmarkStart w:id="1807" w:name="_Toc459970442"/>
      <w:bookmarkStart w:id="1808" w:name="_Toc497033238"/>
      <w:bookmarkStart w:id="1809" w:name="_Toc497034036"/>
      <w:bookmarkStart w:id="1810" w:name="_Toc289868876"/>
      <w:bookmarkStart w:id="1811" w:name="_Toc289869036"/>
      <w:bookmarkStart w:id="1812" w:name="_Toc289932342"/>
      <w:bookmarkStart w:id="1813" w:name="_Toc289933387"/>
      <w:bookmarkStart w:id="1814" w:name="_Toc291852950"/>
      <w:bookmarkStart w:id="1815" w:name="_Toc392515934"/>
      <w:r w:rsidRPr="00CB6CBA">
        <w:rPr>
          <w:lang w:val="en-US"/>
        </w:rPr>
        <w:t>5.3.1</w:t>
      </w:r>
      <w:r w:rsidRPr="00CB6CBA">
        <w:rPr>
          <w:lang w:val="en-US"/>
        </w:rPr>
        <w:tab/>
        <w:t>Canada</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rsidR="00CA3B52" w:rsidRPr="00CB6CBA" w:rsidRDefault="00CA3B52" w:rsidP="00CA3B52">
      <w:pPr>
        <w:pStyle w:val="Heading4"/>
        <w:rPr>
          <w:lang w:val="en-US"/>
        </w:rPr>
      </w:pPr>
      <w:bookmarkStart w:id="1816" w:name="_Toc497033239"/>
      <w:bookmarkStart w:id="1817" w:name="_Toc497034037"/>
      <w:r w:rsidRPr="00CB6CBA">
        <w:rPr>
          <w:lang w:val="en-US"/>
        </w:rPr>
        <w:t>5.3.1.1</w:t>
      </w:r>
      <w:r w:rsidRPr="00CB6CBA">
        <w:rPr>
          <w:lang w:val="en-US"/>
        </w:rPr>
        <w:tab/>
        <w:t>Consultation process</w:t>
      </w:r>
      <w:bookmarkEnd w:id="1816"/>
      <w:bookmarkEnd w:id="1817"/>
    </w:p>
    <w:p w:rsidR="00CA3B52" w:rsidRDefault="00CA3B52" w:rsidP="00CA3B52">
      <w:pPr>
        <w:rPr>
          <w:lang w:val="en-US"/>
        </w:rPr>
      </w:pPr>
      <w:r w:rsidRPr="00CB6CBA">
        <w:rPr>
          <w:lang w:val="en-US"/>
        </w:rPr>
        <w:t xml:space="preserve">In accordance with the Statutory Instruments Act and the Statutory Instruments Regulations, federal departments and agencies are required to demonstrate that Canadians have been consulted and that they have had an opportunity to participate in developing or modifying regulations and regulatory programmes. In Canada the </w:t>
      </w:r>
      <w:r w:rsidRPr="00CB6CBA">
        <w:rPr>
          <w:i/>
          <w:lang w:val="en-US"/>
        </w:rPr>
        <w:t>Canada Gazette</w:t>
      </w:r>
      <w:r w:rsidRPr="00CB6CBA">
        <w:rPr>
          <w:lang w:val="en-US"/>
        </w:rPr>
        <w:t xml:space="preserve"> contains formal public notices, official appointments, proposed regulations, regulations and public Acts of Parliament from government departments and agencies. All consultations and notices are posted on the Industry Canada’s Web site, providing an opportunity for the public to provide comments and reply comments.  </w:t>
      </w:r>
    </w:p>
    <w:p w:rsidR="00CA3B52" w:rsidRPr="00CB6CBA" w:rsidRDefault="00CA3B52" w:rsidP="00B36540">
      <w:pPr>
        <w:rPr>
          <w:b/>
          <w:lang w:val="en-US"/>
        </w:rPr>
      </w:pPr>
      <w:r w:rsidRPr="00CB6CBA">
        <w:rPr>
          <w:lang w:val="en-US"/>
        </w:rPr>
        <w:t>The Government of Canada also consults with industry members via the Radio Advisory Board of Canada (RABC). The RABC is the main body in the private sector that provides advice of a technical nature regarding the management and use of the radio frequency spectrum to the Government of Canada. The RABC represents most sectors of the radiocommunication business in Canada, including manufacturers, wireless carriers and service providers, network operators, broadcasters, public safety and national security ra</w:t>
      </w:r>
      <w:r>
        <w:rPr>
          <w:lang w:val="en-US"/>
        </w:rPr>
        <w:t>dio network operators and users</w:t>
      </w:r>
      <w:r w:rsidRPr="00CB6CBA">
        <w:rPr>
          <w:lang w:val="en-US"/>
        </w:rPr>
        <w:t xml:space="preserve">. The RABC is organized in a number of committees, such as the mobile and personal communications, fixed wireless communications, broadcasting and electromagnetic compatibility. The Canadian Administration participates in these meetings as observer. The RABC advises the Administration on matters related to policy, standards, technical and procedures development. Engineering analyses on channelling plans, interference calculations, sharing scenarios are often conducted in the RABC and have provided significant inputs to the Canadian spectrum management process. </w:t>
      </w:r>
    </w:p>
    <w:p w:rsidR="00CA3B52" w:rsidRPr="00CB6CBA" w:rsidRDefault="00CA3B52" w:rsidP="00CA3B52">
      <w:pPr>
        <w:pStyle w:val="Heading4"/>
        <w:rPr>
          <w:lang w:val="en-US"/>
        </w:rPr>
      </w:pPr>
      <w:bookmarkStart w:id="1818" w:name="_Toc497033240"/>
      <w:bookmarkStart w:id="1819" w:name="_Toc497034038"/>
      <w:r w:rsidRPr="00CB6CBA">
        <w:rPr>
          <w:lang w:val="en-US"/>
        </w:rPr>
        <w:t>5.3.1.2</w:t>
      </w:r>
      <w:r w:rsidRPr="00CB6CBA">
        <w:rPr>
          <w:lang w:val="en-US"/>
        </w:rPr>
        <w:tab/>
        <w:t>Frequency coordination process</w:t>
      </w:r>
      <w:bookmarkEnd w:id="1818"/>
      <w:bookmarkEnd w:id="1819"/>
    </w:p>
    <w:p w:rsidR="00CA3B52" w:rsidRPr="00CB6CBA" w:rsidRDefault="00CA3B52" w:rsidP="00CA3B52">
      <w:pPr>
        <w:rPr>
          <w:lang w:val="en-US"/>
        </w:rPr>
      </w:pPr>
      <w:r w:rsidRPr="00CB6CBA">
        <w:rPr>
          <w:lang w:val="en-US"/>
        </w:rPr>
        <w:t>The Canadian national spectrum management organization makes use of frequency coordinators in a number of cases.</w:t>
      </w:r>
    </w:p>
    <w:p w:rsidR="00CA3B52" w:rsidRPr="00CB6CBA" w:rsidRDefault="00CA3B52" w:rsidP="00CA3B52">
      <w:pPr>
        <w:rPr>
          <w:b/>
          <w:lang w:val="en-US"/>
        </w:rPr>
      </w:pPr>
      <w:r w:rsidRPr="00CB6CBA">
        <w:rPr>
          <w:lang w:val="en-US"/>
        </w:rPr>
        <w:t>In the case of fixed service and the fixed</w:t>
      </w:r>
      <w:r w:rsidRPr="00CB6CBA">
        <w:rPr>
          <w:lang w:val="en-US"/>
        </w:rPr>
        <w:noBreakHyphen/>
        <w:t xml:space="preserve">satellite service frequency applications, while the Department of Industry is responsible for processing licence applications, including the examination </w:t>
      </w:r>
      <w:r w:rsidRPr="00CB6CBA">
        <w:rPr>
          <w:lang w:val="en-US"/>
        </w:rPr>
        <w:lastRenderedPageBreak/>
        <w:t>of interference potential, international coordination, etc., domestic coordination is the responsibility of the applicant. The fixed service users maintain their own databases from which they coordinate with each other. The majority of the coordination is done within the Frequency Coordination System Association which is a non</w:t>
      </w:r>
      <w:r w:rsidRPr="00CB6CBA">
        <w:rPr>
          <w:lang w:val="en-US"/>
        </w:rPr>
        <w:noBreakHyphen/>
        <w:t>profit Canadian corporation, with major telephone companies as its members. It operates and administers a computerized Microwave Information and Coordination System.</w:t>
      </w:r>
    </w:p>
    <w:p w:rsidR="00CA3B52" w:rsidRPr="00CB6CBA" w:rsidRDefault="00CA3B52" w:rsidP="00CA3B52">
      <w:pPr>
        <w:pStyle w:val="Heading4"/>
        <w:rPr>
          <w:lang w:val="en-US"/>
        </w:rPr>
      </w:pPr>
      <w:bookmarkStart w:id="1820" w:name="_Toc497033242"/>
      <w:bookmarkStart w:id="1821" w:name="_Toc497034040"/>
      <w:r w:rsidRPr="00CB6CBA">
        <w:rPr>
          <w:lang w:val="en-US"/>
        </w:rPr>
        <w:t>5.3.1.3</w:t>
      </w:r>
      <w:r w:rsidRPr="00CB6CBA">
        <w:rPr>
          <w:lang w:val="en-US"/>
        </w:rPr>
        <w:tab/>
        <w:t>Information dissemination</w:t>
      </w:r>
      <w:bookmarkEnd w:id="1820"/>
      <w:bookmarkEnd w:id="1821"/>
    </w:p>
    <w:p w:rsidR="00CA3B52" w:rsidRPr="00CB6CBA" w:rsidRDefault="00CA3B52" w:rsidP="00CA3B52">
      <w:pPr>
        <w:rPr>
          <w:lang w:val="en-US"/>
        </w:rPr>
      </w:pPr>
      <w:r w:rsidRPr="00CB6CBA">
        <w:rPr>
          <w:lang w:val="en-US"/>
        </w:rPr>
        <w:t>In order to facilitate the dissemination of information the assigned frequency records are made available to the general public through Internet access or on a CD-ROM format.</w:t>
      </w:r>
    </w:p>
    <w:p w:rsidR="00CA3B52" w:rsidRPr="00CB6CBA" w:rsidRDefault="00CA3B52" w:rsidP="00CA3B52">
      <w:pPr>
        <w:pStyle w:val="Heading3"/>
        <w:rPr>
          <w:lang w:val="en-US"/>
        </w:rPr>
      </w:pPr>
      <w:bookmarkStart w:id="1822" w:name="_Toc459746774"/>
      <w:bookmarkStart w:id="1823" w:name="_Toc459792680"/>
      <w:bookmarkStart w:id="1824" w:name="_Toc459793844"/>
      <w:bookmarkStart w:id="1825" w:name="_Toc459793986"/>
      <w:bookmarkStart w:id="1826" w:name="_Toc459970443"/>
      <w:bookmarkStart w:id="1827" w:name="_Toc497033243"/>
      <w:bookmarkStart w:id="1828" w:name="_Toc497034041"/>
      <w:bookmarkStart w:id="1829" w:name="_Toc289868877"/>
      <w:bookmarkStart w:id="1830" w:name="_Toc289869037"/>
      <w:bookmarkStart w:id="1831" w:name="_Toc289932343"/>
      <w:bookmarkStart w:id="1832" w:name="_Toc289933388"/>
      <w:bookmarkStart w:id="1833" w:name="_Toc291852951"/>
      <w:bookmarkStart w:id="1834" w:name="_Toc392515935"/>
      <w:r w:rsidRPr="00CB6CBA">
        <w:rPr>
          <w:lang w:val="en-US"/>
        </w:rPr>
        <w:t>5.3.2</w:t>
      </w:r>
      <w:r w:rsidRPr="00CB6CBA">
        <w:rPr>
          <w:lang w:val="en-US"/>
        </w:rPr>
        <w:tab/>
        <w:t>Germany</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p>
    <w:p w:rsidR="00CA3B52" w:rsidRPr="00CB6CBA" w:rsidRDefault="00CA3B52" w:rsidP="00CA3B52">
      <w:pPr>
        <w:rPr>
          <w:lang w:val="en-US"/>
        </w:rPr>
      </w:pPr>
      <w:r w:rsidRPr="00CB6CBA">
        <w:rPr>
          <w:lang w:val="en-US"/>
        </w:rPr>
        <w:t xml:space="preserve">In Germany, user associations perform some limited spectrum management functions for private mobile radio (PMR) systems. These associations have been successfully involved in the frequency assignment procedure for more than 25 years </w:t>
      </w:r>
      <w:r w:rsidRPr="00CB6CBA">
        <w:rPr>
          <w:rFonts w:ascii="TimesNewRoman" w:hAnsi="TimesNewRoman" w:cs="TimesNewRoman"/>
          <w:lang w:val="en-US"/>
        </w:rPr>
        <w:t>and are today invited to support their member within the assignment procedure</w:t>
      </w:r>
      <w:r w:rsidRPr="00CB6CBA">
        <w:rPr>
          <w:lang w:val="en-US"/>
        </w:rPr>
        <w:t>.</w:t>
      </w:r>
    </w:p>
    <w:p w:rsidR="00CA3B52" w:rsidRPr="00CB6CBA" w:rsidRDefault="00CA3B52" w:rsidP="00CA3B52">
      <w:pPr>
        <w:rPr>
          <w:lang w:val="en-US"/>
        </w:rPr>
      </w:pPr>
      <w:r w:rsidRPr="00CB6CBA">
        <w:rPr>
          <w:lang w:val="en-US"/>
        </w:rPr>
        <w:t xml:space="preserve">The experts of these associations advise their members in all aspects of PMR use. They explain national regulations and support user planning of PMR networks. The association could recommend to the regulatory authority characteristics of a PMR network such as frequency, coverage area, antenna height, call sign, etc. Normally, all relevant technical standards, rules for frequency planning and other licensing conditions are taken into account in the recommendation of the user association. The regulatory authority is able to follow these recommendations in almost all cases and assigns </w:t>
      </w:r>
      <w:r w:rsidRPr="00CB6CBA">
        <w:rPr>
          <w:rFonts w:ascii="TimesNewRoman" w:hAnsi="TimesNewRoman" w:cs="TimesNewRoman"/>
          <w:lang w:val="en-US"/>
        </w:rPr>
        <w:t xml:space="preserve">the frequency </w:t>
      </w:r>
      <w:r w:rsidRPr="00CB6CBA">
        <w:rPr>
          <w:lang w:val="en-US"/>
        </w:rPr>
        <w:t>accordingly. International coordination is, however, always carried out by the regulatory authority.</w:t>
      </w:r>
    </w:p>
    <w:p w:rsidR="00CA3B52" w:rsidRPr="00CB6CBA" w:rsidRDefault="00CA3B52" w:rsidP="00CA3B52">
      <w:pPr>
        <w:rPr>
          <w:lang w:val="en-US"/>
        </w:rPr>
      </w:pPr>
      <w:r w:rsidRPr="00CB6CBA">
        <w:rPr>
          <w:lang w:val="en-US"/>
        </w:rPr>
        <w:t>The users associations are financed by contributions from their members and work for the benefit of the PMR users. They contribute to the medium and long-range planning process for the frequency spectrum representing the spectrum requirements of their members to the regulatory authority. They provide a valuable link between the regulatory authority and the users.</w:t>
      </w:r>
    </w:p>
    <w:p w:rsidR="00CA3B52" w:rsidRPr="00CB6CBA" w:rsidRDefault="00CA3B52" w:rsidP="00CA3B52">
      <w:pPr>
        <w:pStyle w:val="Heading3"/>
        <w:rPr>
          <w:lang w:val="en-US"/>
        </w:rPr>
      </w:pPr>
      <w:bookmarkStart w:id="1835" w:name="_Toc459746775"/>
      <w:bookmarkStart w:id="1836" w:name="_Toc459792681"/>
      <w:bookmarkStart w:id="1837" w:name="_Toc459793845"/>
      <w:bookmarkStart w:id="1838" w:name="_Toc459793987"/>
      <w:bookmarkStart w:id="1839" w:name="_Toc459970444"/>
      <w:bookmarkStart w:id="1840" w:name="_Toc497033244"/>
      <w:bookmarkStart w:id="1841" w:name="_Toc497034042"/>
      <w:bookmarkStart w:id="1842" w:name="_Toc289868878"/>
      <w:bookmarkStart w:id="1843" w:name="_Toc289869038"/>
      <w:bookmarkStart w:id="1844" w:name="_Toc289932344"/>
      <w:bookmarkStart w:id="1845" w:name="_Toc289933389"/>
      <w:bookmarkStart w:id="1846" w:name="_Toc291852952"/>
      <w:bookmarkStart w:id="1847" w:name="_Toc392515936"/>
      <w:r w:rsidRPr="00CB6CBA">
        <w:rPr>
          <w:lang w:val="en-US"/>
        </w:rPr>
        <w:t>5.3.3</w:t>
      </w:r>
      <w:r w:rsidRPr="00CB6CBA">
        <w:rPr>
          <w:lang w:val="en-US"/>
        </w:rPr>
        <w:tab/>
        <w:t>Israel</w:t>
      </w:r>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rsidR="00CA3B52" w:rsidRPr="00CB6CBA" w:rsidRDefault="00CA3B52" w:rsidP="00CA3B52">
      <w:pPr>
        <w:rPr>
          <w:lang w:val="en-US"/>
        </w:rPr>
      </w:pPr>
      <w:r w:rsidRPr="00CB6CBA">
        <w:rPr>
          <w:lang w:val="en-US"/>
        </w:rPr>
        <w:t>Israel takes advantage of private sector resources to perform some spectrum management functions.</w:t>
      </w:r>
    </w:p>
    <w:p w:rsidR="00CA3B52" w:rsidRPr="00CB6CBA" w:rsidRDefault="00CA3B52" w:rsidP="00CA3B52">
      <w:pPr>
        <w:rPr>
          <w:lang w:val="en-US"/>
        </w:rPr>
      </w:pPr>
      <w:r w:rsidRPr="00CB6CBA">
        <w:rPr>
          <w:lang w:val="en-US"/>
        </w:rPr>
        <w:t>In the past there were some operators who assisted the administration by assigning their own frequencies in a specified band. Today this is done only with trunking operators, cellular operators and in some cases for point-to-point microwave links.</w:t>
      </w:r>
    </w:p>
    <w:p w:rsidR="00CA3B52" w:rsidRPr="00CB6CBA" w:rsidRDefault="00CA3B52" w:rsidP="00CA3B52">
      <w:pPr>
        <w:rPr>
          <w:lang w:val="en-US"/>
        </w:rPr>
      </w:pPr>
      <w:r w:rsidRPr="00CB6CBA">
        <w:rPr>
          <w:lang w:val="en-US"/>
        </w:rPr>
        <w:t>The Administration still receives support from operators and the industry in participating in ITU work, like World Radiocommunication Conferences and the Radiocommunication study groups (examples: TADIRAN in Radiocommunication Study Group 1, Motorola Israel in Radiocommunication Study Group 8).</w:t>
      </w:r>
    </w:p>
    <w:p w:rsidR="00CA3B52" w:rsidRPr="00CB6CBA" w:rsidRDefault="00CA3B52" w:rsidP="00CA3B52">
      <w:pPr>
        <w:pStyle w:val="Heading3"/>
        <w:rPr>
          <w:lang w:val="en-US"/>
        </w:rPr>
      </w:pPr>
      <w:bookmarkStart w:id="1848" w:name="_Toc459746776"/>
      <w:bookmarkStart w:id="1849" w:name="_Toc459792682"/>
      <w:bookmarkStart w:id="1850" w:name="_Toc459793846"/>
      <w:bookmarkStart w:id="1851" w:name="_Toc459793988"/>
      <w:bookmarkStart w:id="1852" w:name="_Toc459970445"/>
      <w:bookmarkStart w:id="1853" w:name="_Toc497033245"/>
      <w:bookmarkStart w:id="1854" w:name="_Toc497034043"/>
      <w:bookmarkStart w:id="1855" w:name="_Toc289868879"/>
      <w:bookmarkStart w:id="1856" w:name="_Toc289869039"/>
      <w:bookmarkStart w:id="1857" w:name="_Toc289932345"/>
      <w:bookmarkStart w:id="1858" w:name="_Toc289933390"/>
      <w:bookmarkStart w:id="1859" w:name="_Toc291852953"/>
      <w:bookmarkStart w:id="1860" w:name="_Toc392515937"/>
      <w:r w:rsidRPr="00CB6CBA">
        <w:rPr>
          <w:lang w:val="en-US"/>
        </w:rPr>
        <w:t>5.3.4</w:t>
      </w:r>
      <w:r w:rsidRPr="00CB6CBA">
        <w:rPr>
          <w:lang w:val="en-US"/>
        </w:rPr>
        <w:tab/>
        <w:t>Russia</w:t>
      </w:r>
      <w:bookmarkEnd w:id="1848"/>
      <w:bookmarkEnd w:id="1849"/>
      <w:bookmarkEnd w:id="1850"/>
      <w:bookmarkEnd w:id="1851"/>
      <w:bookmarkEnd w:id="1852"/>
      <w:bookmarkEnd w:id="1853"/>
      <w:bookmarkEnd w:id="1854"/>
      <w:r w:rsidRPr="00CB6CBA">
        <w:rPr>
          <w:lang w:val="en-US"/>
        </w:rPr>
        <w:t>n Federation</w:t>
      </w:r>
      <w:bookmarkEnd w:id="1855"/>
      <w:bookmarkEnd w:id="1856"/>
      <w:bookmarkEnd w:id="1857"/>
      <w:bookmarkEnd w:id="1858"/>
      <w:bookmarkEnd w:id="1859"/>
      <w:bookmarkEnd w:id="1860"/>
    </w:p>
    <w:p w:rsidR="00CA3B52" w:rsidRPr="00CB6CBA" w:rsidRDefault="00CA3B52" w:rsidP="00CA3B52">
      <w:pPr>
        <w:rPr>
          <w:spacing w:val="-2"/>
          <w:lang w:val="en-US"/>
        </w:rPr>
      </w:pPr>
      <w:r w:rsidRPr="00CB6CBA">
        <w:rPr>
          <w:lang w:val="en-US"/>
        </w:rPr>
        <w:t xml:space="preserve">In the Russian Federation great support to governmental spectrum management activities is provided through various scientific, development and design organizations, which play the role of frequency coordinators and spectrum management consultants. While administratively these organizations may belong to different ministries and other governmental bodies, they are actually providing independent expertise in many fields of radiocommunications, and particularly of spectrum management, to the Russian Federation telecommunication Administration, as well as to private radio operators and various commercial organizations supporting their activities. Due to close collaboration with the Russian Federation telecommunication Administration on the one hand and with radio operators on the other hand, and through active participation in relevant regional and </w:t>
      </w:r>
      <w:r w:rsidRPr="00CB6CBA">
        <w:rPr>
          <w:lang w:val="en-US"/>
        </w:rPr>
        <w:lastRenderedPageBreak/>
        <w:t>international activities, they are</w:t>
      </w:r>
      <w:r w:rsidRPr="00CB6CBA">
        <w:rPr>
          <w:spacing w:val="-2"/>
          <w:lang w:val="en-US"/>
        </w:rPr>
        <w:t xml:space="preserve"> very familiar with what is needed for the development and improvement in different radio services and in spectrum management issues at the national, regional and international levels.</w:t>
      </w:r>
    </w:p>
    <w:p w:rsidR="00CA3B52" w:rsidRPr="00CB6CBA" w:rsidRDefault="00CA3B52" w:rsidP="00CA3B52">
      <w:pPr>
        <w:rPr>
          <w:lang w:val="en-US"/>
        </w:rPr>
      </w:pPr>
      <w:r w:rsidRPr="00CB6CBA">
        <w:rPr>
          <w:lang w:val="en-US"/>
        </w:rPr>
        <w:t>Such spectrum management organizations include research institutes, particularly the Radio Research and Development Institute (NIIR) together with its branches, type-approval testing laboratories, private operator associations and consulting firms operating on a commercial basis.</w:t>
      </w:r>
    </w:p>
    <w:p w:rsidR="00CA3B52" w:rsidRPr="00CB6CBA" w:rsidRDefault="00CA3B52" w:rsidP="00CA3B52">
      <w:pPr>
        <w:rPr>
          <w:lang w:val="en-US"/>
        </w:rPr>
      </w:pPr>
      <w:r w:rsidRPr="00CB6CBA">
        <w:rPr>
          <w:lang w:val="en-US"/>
        </w:rPr>
        <w:t>The main assistance to the telecommunication Administration provided by these organizations are:</w:t>
      </w:r>
    </w:p>
    <w:p w:rsidR="00CA3B52" w:rsidRPr="00CB6CBA" w:rsidRDefault="00CA3B52" w:rsidP="00CA3B52">
      <w:pPr>
        <w:pStyle w:val="enumlev1"/>
        <w:rPr>
          <w:lang w:val="en-US"/>
        </w:rPr>
      </w:pPr>
      <w:r w:rsidRPr="00CB6CBA">
        <w:rPr>
          <w:lang w:val="en-US"/>
        </w:rPr>
        <w:t>–</w:t>
      </w:r>
      <w:r w:rsidRPr="00CB6CBA">
        <w:rPr>
          <w:lang w:val="en-US"/>
        </w:rPr>
        <w:tab/>
        <w:t>conducting, at the request of the Administration, systematic interference analysis for fixed (microwave) and fixed</w:t>
      </w:r>
      <w:r w:rsidRPr="00CB6CBA">
        <w:rPr>
          <w:lang w:val="en-US"/>
        </w:rPr>
        <w:noBreakHyphen/>
        <w:t>satellite service frequency applications including issues of domestic and international coordination;</w:t>
      </w:r>
    </w:p>
    <w:p w:rsidR="00CA3B52" w:rsidRPr="00CB6CBA" w:rsidRDefault="00CA3B52" w:rsidP="00CA3B52">
      <w:pPr>
        <w:pStyle w:val="enumlev1"/>
        <w:rPr>
          <w:lang w:val="en-US"/>
        </w:rPr>
      </w:pPr>
      <w:r w:rsidRPr="00CB6CBA">
        <w:rPr>
          <w:lang w:val="en-US"/>
        </w:rPr>
        <w:t>–</w:t>
      </w:r>
      <w:r w:rsidRPr="00CB6CBA">
        <w:rPr>
          <w:lang w:val="en-US"/>
        </w:rPr>
        <w:tab/>
        <w:t>conducting frequency-site planning of radio transmitters for sound and TV broadcasting services;</w:t>
      </w:r>
    </w:p>
    <w:p w:rsidR="00CA3B52" w:rsidRPr="00CB6CBA" w:rsidRDefault="00CA3B52" w:rsidP="00CA3B52">
      <w:pPr>
        <w:pStyle w:val="enumlev1"/>
        <w:rPr>
          <w:lang w:val="en-US"/>
        </w:rPr>
      </w:pPr>
      <w:r w:rsidRPr="00CB6CBA">
        <w:rPr>
          <w:lang w:val="en-US"/>
        </w:rPr>
        <w:t>–</w:t>
      </w:r>
      <w:r w:rsidRPr="00CB6CBA">
        <w:rPr>
          <w:lang w:val="en-US"/>
        </w:rPr>
        <w:tab/>
        <w:t>conducting experimental investigations of the potential for allocating additional TV and sound broadcasting channels for areas with specific terrain problems. Based on conclusions provided, the administration issues relevant frequency permissions and licences for operational activities;</w:t>
      </w:r>
    </w:p>
    <w:p w:rsidR="00CA3B52" w:rsidRPr="00CB6CBA" w:rsidRDefault="00CA3B52" w:rsidP="00CA3B52">
      <w:pPr>
        <w:pStyle w:val="enumlev1"/>
        <w:rPr>
          <w:lang w:val="en-US"/>
        </w:rPr>
      </w:pPr>
      <w:r w:rsidRPr="00CB6CBA">
        <w:rPr>
          <w:lang w:val="en-US"/>
        </w:rPr>
        <w:t>–</w:t>
      </w:r>
      <w:r w:rsidRPr="00CB6CBA">
        <w:rPr>
          <w:lang w:val="en-US"/>
        </w:rPr>
        <w:tab/>
        <w:t>developing various draft standards, specifications, recommendations, etc. concerning radiocommunications networks and equipment development, EMC analysis and frequency planning, frequency sharing criteria and conditions to be approved by the Administration; recently these activities more and more concern relevant regulatory and legislative matters as well.</w:t>
      </w:r>
    </w:p>
    <w:p w:rsidR="00CA3B52" w:rsidRPr="00CB6CBA" w:rsidRDefault="00CA3B52" w:rsidP="00CA3B52">
      <w:pPr>
        <w:rPr>
          <w:lang w:val="en-US"/>
        </w:rPr>
      </w:pPr>
      <w:r w:rsidRPr="00CB6CBA">
        <w:rPr>
          <w:lang w:val="en-US"/>
        </w:rPr>
        <w:t>As far as it concerns assistance to radio operators, the main issues are the following:</w:t>
      </w:r>
    </w:p>
    <w:p w:rsidR="00CA3B52" w:rsidRPr="00CB6CBA" w:rsidRDefault="00CA3B52" w:rsidP="00CA3B52">
      <w:pPr>
        <w:pStyle w:val="enumlev1"/>
        <w:rPr>
          <w:lang w:val="en-US"/>
        </w:rPr>
      </w:pPr>
      <w:r w:rsidRPr="00CB6CBA">
        <w:rPr>
          <w:lang w:val="en-US"/>
        </w:rPr>
        <w:t>–</w:t>
      </w:r>
      <w:r w:rsidRPr="00CB6CBA">
        <w:rPr>
          <w:lang w:val="en-US"/>
        </w:rPr>
        <w:tab/>
        <w:t>explanation of national, regional and international regulations in their implementation with respect to various radio services;</w:t>
      </w:r>
    </w:p>
    <w:p w:rsidR="00CA3B52" w:rsidRPr="00CB6CBA" w:rsidRDefault="00CA3B52" w:rsidP="00CA3B52">
      <w:pPr>
        <w:pStyle w:val="enumlev1"/>
        <w:rPr>
          <w:lang w:val="en-US"/>
        </w:rPr>
      </w:pPr>
      <w:r w:rsidRPr="00CB6CBA">
        <w:rPr>
          <w:lang w:val="en-US"/>
        </w:rPr>
        <w:t>–</w:t>
      </w:r>
      <w:r w:rsidRPr="00CB6CBA">
        <w:rPr>
          <w:lang w:val="en-US"/>
        </w:rPr>
        <w:tab/>
        <w:t>assistance in user planning of relevant radio networks particularly cellular, trunking etc., using all relevant technical standards, rules for frequency planning and other licensing conditions;</w:t>
      </w:r>
    </w:p>
    <w:p w:rsidR="00CA3B52" w:rsidRPr="00CB6CBA" w:rsidRDefault="00CA3B52" w:rsidP="00CA3B52">
      <w:pPr>
        <w:pStyle w:val="enumlev1"/>
        <w:rPr>
          <w:lang w:val="en-US"/>
        </w:rPr>
      </w:pPr>
      <w:r w:rsidRPr="00CB6CBA">
        <w:rPr>
          <w:lang w:val="en-US"/>
        </w:rPr>
        <w:t>–</w:t>
      </w:r>
      <w:r w:rsidRPr="00CB6CBA">
        <w:rPr>
          <w:lang w:val="en-US"/>
        </w:rPr>
        <w:tab/>
        <w:t>preliminary analysis of interference-free broadcasting channels for commercial sound and TV broadcasters, calculation of service areas, etc.;</w:t>
      </w:r>
    </w:p>
    <w:p w:rsidR="00CA3B52" w:rsidRPr="00CB6CBA" w:rsidRDefault="00CA3B52" w:rsidP="00CA3B52">
      <w:pPr>
        <w:pStyle w:val="enumlev1"/>
        <w:rPr>
          <w:lang w:val="en-US"/>
        </w:rPr>
      </w:pPr>
      <w:r w:rsidRPr="00CB6CBA">
        <w:rPr>
          <w:lang w:val="en-US"/>
        </w:rPr>
        <w:t>–</w:t>
      </w:r>
      <w:r w:rsidRPr="00CB6CBA">
        <w:rPr>
          <w:lang w:val="en-US"/>
        </w:rPr>
        <w:tab/>
        <w:t>assistance in preparation of relevant licence application and bid documentation;</w:t>
      </w:r>
    </w:p>
    <w:p w:rsidR="00CA3B52" w:rsidRPr="00CB6CBA" w:rsidRDefault="00CA3B52" w:rsidP="00CA3B52">
      <w:pPr>
        <w:pStyle w:val="enumlev1"/>
        <w:rPr>
          <w:lang w:val="en-US"/>
        </w:rPr>
      </w:pPr>
      <w:r w:rsidRPr="00CB6CBA">
        <w:rPr>
          <w:lang w:val="en-US"/>
        </w:rPr>
        <w:t>–</w:t>
      </w:r>
      <w:r w:rsidRPr="00CB6CBA">
        <w:rPr>
          <w:lang w:val="en-US"/>
        </w:rPr>
        <w:tab/>
        <w:t>assistance to various state and commercial enterprises in the field of industrial interference limitation.</w:t>
      </w:r>
    </w:p>
    <w:p w:rsidR="00CA3B52" w:rsidRPr="00CB6CBA" w:rsidRDefault="00CA3B52" w:rsidP="00CA3B52">
      <w:pPr>
        <w:pStyle w:val="Heading3"/>
        <w:rPr>
          <w:lang w:val="en-US"/>
        </w:rPr>
      </w:pPr>
      <w:bookmarkStart w:id="1861" w:name="_Toc459746777"/>
      <w:bookmarkStart w:id="1862" w:name="_Toc459792683"/>
      <w:bookmarkStart w:id="1863" w:name="_Toc459793847"/>
      <w:bookmarkStart w:id="1864" w:name="_Toc459793989"/>
      <w:bookmarkStart w:id="1865" w:name="_Toc459970446"/>
      <w:bookmarkStart w:id="1866" w:name="_Toc497033246"/>
      <w:bookmarkStart w:id="1867" w:name="_Toc497034044"/>
      <w:bookmarkStart w:id="1868" w:name="_Toc289868880"/>
      <w:bookmarkStart w:id="1869" w:name="_Toc289869040"/>
      <w:bookmarkStart w:id="1870" w:name="_Toc289932346"/>
      <w:bookmarkStart w:id="1871" w:name="_Toc289933391"/>
      <w:bookmarkStart w:id="1872" w:name="_Toc291852954"/>
      <w:bookmarkStart w:id="1873" w:name="_Toc392515938"/>
      <w:r w:rsidRPr="00CB6CBA">
        <w:rPr>
          <w:lang w:val="en-US"/>
        </w:rPr>
        <w:t>5.3.5</w:t>
      </w:r>
      <w:r w:rsidRPr="00CB6CBA">
        <w:rPr>
          <w:lang w:val="en-US"/>
        </w:rPr>
        <w:tab/>
        <w:t>United States</w:t>
      </w:r>
      <w:bookmarkEnd w:id="1861"/>
      <w:bookmarkEnd w:id="1862"/>
      <w:bookmarkEnd w:id="1863"/>
      <w:bookmarkEnd w:id="1864"/>
      <w:bookmarkEnd w:id="1865"/>
      <w:bookmarkEnd w:id="1866"/>
      <w:bookmarkEnd w:id="1867"/>
      <w:r w:rsidRPr="00CB6CBA">
        <w:rPr>
          <w:lang w:val="en-US"/>
        </w:rPr>
        <w:t xml:space="preserve"> of America</w:t>
      </w:r>
      <w:bookmarkEnd w:id="1868"/>
      <w:bookmarkEnd w:id="1869"/>
      <w:bookmarkEnd w:id="1870"/>
      <w:bookmarkEnd w:id="1871"/>
      <w:bookmarkEnd w:id="1872"/>
      <w:bookmarkEnd w:id="1873"/>
    </w:p>
    <w:p w:rsidR="00CA3B52" w:rsidRPr="00CB6CBA" w:rsidRDefault="00CA3B52" w:rsidP="00CA3B52">
      <w:pPr>
        <w:rPr>
          <w:b/>
          <w:lang w:val="en-US"/>
        </w:rPr>
      </w:pPr>
      <w:r w:rsidRPr="00CB6CBA">
        <w:rPr>
          <w:lang w:val="en-US"/>
        </w:rPr>
        <w:t>The United States of America makes wide use of frequency coordinators, interested communications groups, and private sector s</w:t>
      </w:r>
      <w:bookmarkStart w:id="1874" w:name="_Toc394384948"/>
      <w:bookmarkStart w:id="1875" w:name="_Toc394385552"/>
      <w:r w:rsidRPr="00CB6CBA">
        <w:rPr>
          <w:lang w:val="en-US"/>
        </w:rPr>
        <w:t>pectrum management consultants.</w:t>
      </w:r>
    </w:p>
    <w:p w:rsidR="00CA3B52" w:rsidRPr="00CB6CBA" w:rsidRDefault="00CA3B52" w:rsidP="00CA3B52">
      <w:pPr>
        <w:pStyle w:val="Heading4"/>
        <w:rPr>
          <w:lang w:val="en-US"/>
        </w:rPr>
      </w:pPr>
      <w:bookmarkStart w:id="1876" w:name="_Toc497033247"/>
      <w:bookmarkStart w:id="1877" w:name="_Toc497034045"/>
      <w:r w:rsidRPr="00CB6CBA">
        <w:rPr>
          <w:lang w:val="en-US"/>
        </w:rPr>
        <w:t>5.3.5.1</w:t>
      </w:r>
      <w:r w:rsidRPr="00CB6CBA">
        <w:rPr>
          <w:lang w:val="en-US"/>
        </w:rPr>
        <w:tab/>
        <w:t>Use of interested communications groups</w:t>
      </w:r>
      <w:bookmarkEnd w:id="1874"/>
      <w:bookmarkEnd w:id="1875"/>
      <w:bookmarkEnd w:id="1876"/>
      <w:bookmarkEnd w:id="1877"/>
    </w:p>
    <w:p w:rsidR="00CA3B52" w:rsidRPr="00CB6CBA" w:rsidRDefault="00CA3B52" w:rsidP="00CA3B52">
      <w:pPr>
        <w:rPr>
          <w:lang w:val="en-US"/>
        </w:rPr>
      </w:pPr>
      <w:r w:rsidRPr="00CB6CBA">
        <w:rPr>
          <w:lang w:val="en-US"/>
        </w:rPr>
        <w:t xml:space="preserve">The United States of America spectrum management organizations also make significant use of advisory committees. The FCC for instance develops its radio conference proposals through an open advisory committee process. Furthermore, the National Telecommunications and Information Administration (NTIA), as the manager of United States of America government agency use of radio systems, relies heavily on the Inter-department Radio Advisory Committee (IRAC), its subcommittees (planning, technical, and radio conference), and ad hoc committees for advice on regulation and policy development. This committee is the longest standing advisory committee in the United States of America government. Though this is not a private sector body, it represents an excellent example of using advisory bodies or collections of experts. NTIA also seeks the advice, </w:t>
      </w:r>
      <w:r w:rsidRPr="00CB6CBA">
        <w:rPr>
          <w:lang w:val="en-US"/>
        </w:rPr>
        <w:lastRenderedPageBreak/>
        <w:t>with regard to spectrum management policy, from a joint government/private sector group, the Frequency Management Advisory Committee (FMAC).</w:t>
      </w:r>
    </w:p>
    <w:p w:rsidR="00CA3B52" w:rsidRDefault="00CA3B52" w:rsidP="00CA3B52">
      <w:pPr>
        <w:rPr>
          <w:lang w:val="en-US"/>
        </w:rPr>
      </w:pPr>
      <w:r w:rsidRPr="00CB6CBA">
        <w:rPr>
          <w:lang w:val="en-US"/>
        </w:rPr>
        <w:t>The FCC has also successfully employed a technique known as negotiated rulemakings whereby it has placed system developers and spectrum advocates in a position of jointly developing the very regulations and standards which will be used to regulate their activities.</w:t>
      </w:r>
      <w:bookmarkStart w:id="1878" w:name="_Toc394384949"/>
      <w:bookmarkStart w:id="1879" w:name="_Toc394385553"/>
      <w:r w:rsidRPr="00B57BBE">
        <w:rPr>
          <w:lang w:val="en-US"/>
        </w:rPr>
        <w:t xml:space="preserve"> </w:t>
      </w:r>
    </w:p>
    <w:p w:rsidR="00CA3B52" w:rsidRPr="00B57BBE" w:rsidRDefault="00CA3B52" w:rsidP="00CA3B52">
      <w:pPr>
        <w:rPr>
          <w:b/>
          <w:lang w:val="en-US"/>
        </w:rPr>
      </w:pPr>
      <w:r w:rsidRPr="00B57BBE">
        <w:rPr>
          <w:lang w:val="en-US"/>
        </w:rPr>
        <w:t xml:space="preserve">The FCC list of advisory committees may be found at </w:t>
      </w:r>
      <w:hyperlink r:id="rId267" w:history="1">
        <w:r w:rsidRPr="00B57BBE">
          <w:rPr>
            <w:rStyle w:val="Hyperlink"/>
            <w:lang w:val="en-US"/>
          </w:rPr>
          <w:t>http://www.fcc.gov/encyclopedia/advisory-committees-fcc</w:t>
        </w:r>
      </w:hyperlink>
      <w:r w:rsidRPr="00B57BBE">
        <w:rPr>
          <w:lang w:val="en-US"/>
        </w:rPr>
        <w:t>.</w:t>
      </w:r>
    </w:p>
    <w:p w:rsidR="00CA3B52" w:rsidRPr="00CB6CBA" w:rsidRDefault="00CA3B52" w:rsidP="00CA3B52">
      <w:pPr>
        <w:pStyle w:val="Heading4"/>
        <w:rPr>
          <w:lang w:val="en-US"/>
        </w:rPr>
      </w:pPr>
      <w:bookmarkStart w:id="1880" w:name="_Toc497033248"/>
      <w:bookmarkStart w:id="1881" w:name="_Toc497034046"/>
      <w:r w:rsidRPr="00CB6CBA">
        <w:rPr>
          <w:lang w:val="en-US"/>
        </w:rPr>
        <w:t>5.3.5.2</w:t>
      </w:r>
      <w:r w:rsidRPr="00CB6CBA">
        <w:rPr>
          <w:lang w:val="en-US"/>
        </w:rPr>
        <w:tab/>
        <w:t>United States of America use of frequency coordinators</w:t>
      </w:r>
      <w:bookmarkEnd w:id="1878"/>
      <w:bookmarkEnd w:id="1879"/>
      <w:bookmarkEnd w:id="1880"/>
      <w:bookmarkEnd w:id="1881"/>
    </w:p>
    <w:p w:rsidR="00CA3B52" w:rsidRPr="00CB6CBA" w:rsidRDefault="00CA3B52" w:rsidP="00CA3B52">
      <w:pPr>
        <w:rPr>
          <w:lang w:val="en-US"/>
        </w:rPr>
      </w:pPr>
      <w:r w:rsidRPr="00CB6CBA">
        <w:rPr>
          <w:lang w:val="en-US"/>
        </w:rPr>
        <w:t>Under FCC rules, prior to applying for a station licence for certain services, an applicant must provide technical coordination information or evidence of prior coordination of the station with existing stations. Private groups often perform this prior coordination function.</w:t>
      </w:r>
    </w:p>
    <w:p w:rsidR="00CA3B52" w:rsidRPr="00CB6CBA" w:rsidRDefault="00CA3B52" w:rsidP="00CA3B52">
      <w:pPr>
        <w:rPr>
          <w:lang w:val="en-US"/>
        </w:rPr>
      </w:pPr>
      <w:r w:rsidRPr="00CB6CBA">
        <w:rPr>
          <w:lang w:val="en-US"/>
        </w:rPr>
        <w:t>In the private land mobile radio services (PLMRS), the FCC has certified groups for specific sub-allocations (e.g., public safety, industrial, and land transportation services) to coordinate frequency assignments prior to their application for the actual licence. Under this system, applicants proposing new stations or modifying existing licences send their completed applications to the appropriate certified coordinator. The coordinator checks the application for completeness, accuracy, and compliance with the FCC’s rules, recommends the most suitable frequency for the applicant, and forwards the completed application to the FCC, which issues the licence directly to the applicant upon approval. The FCC oversees the performance of these coordinating committees. Performance consistently below FCC standards could lead to an inquiry and eventual decertification of the coordinator. In cases of disagreement between the applicant and the coordinator, the FCC has final authority to resolve the problem.</w:t>
      </w:r>
    </w:p>
    <w:p w:rsidR="00CA3B52" w:rsidRPr="00CB6CBA" w:rsidRDefault="00CA3B52" w:rsidP="00CA3B52">
      <w:pPr>
        <w:rPr>
          <w:lang w:val="en-US"/>
        </w:rPr>
      </w:pPr>
      <w:r w:rsidRPr="00CB6CBA">
        <w:rPr>
          <w:lang w:val="en-US"/>
        </w:rPr>
        <w:t>Prior coordination takes place in other services, such as the FCC’s point-to-point microwave radio service and the private operational fixed microwave service. Prior to obtaining a licence, applicants for these services are required to engineer their proposed systems to avoid interference and to coordinate with existing applicants and licensees who could potentially experience interference from these proposed systems. Coordination in these bands is typically done by the applicant or their private frequency coordination consultant and depends largely upon industry cooperation. There are no certified coordinators for these bands. The applicant must certify that the coordination process has been completed before the application is accepted for filing. Private frequency coordinators charge a fee for their services.</w:t>
      </w:r>
    </w:p>
    <w:p w:rsidR="00CA3B52" w:rsidRDefault="00CA3B52" w:rsidP="00CA3B52">
      <w:pPr>
        <w:rPr>
          <w:lang w:val="en-US"/>
        </w:rPr>
      </w:pPr>
      <w:r w:rsidRPr="00CB6CBA">
        <w:rPr>
          <w:lang w:val="en-US"/>
        </w:rPr>
        <w:t>Through this requirement for prior coordination, the FCC attempts to ensure that interference conflicts are resolved through private negotiations before applications are filed. Successful coordination through this method lessens the need for federal government administrative processes to resolve conflicting private claims to the spectrum. Since the FCC established requirements for frequency coordination within the microwave bands in 1975 and implemented the certified frequency coordinator program for the PLMRS bands in 1986, the speed of service has improved and the FCC’s licensing burden has been reduced. Further, the first recourse of action for licensees involved in interference problems is to seek the assistance of the coordinator. In most cases, the coordinator can find a solution to the problem without the FCC ever being involved.</w:t>
      </w:r>
    </w:p>
    <w:p w:rsidR="00CA3B52" w:rsidRPr="00B57BBE" w:rsidRDefault="00CA3B52" w:rsidP="00CA3B52">
      <w:pPr>
        <w:rPr>
          <w:lang w:val="en-US"/>
        </w:rPr>
      </w:pPr>
      <w:r w:rsidRPr="00B57BBE">
        <w:rPr>
          <w:lang w:val="en-US"/>
        </w:rPr>
        <w:t>The frequency coordinators for public safety may be found at:</w:t>
      </w:r>
    </w:p>
    <w:p w:rsidR="00CA3B52" w:rsidRPr="00B57BBE" w:rsidRDefault="00796FC7" w:rsidP="00CA3B52">
      <w:pPr>
        <w:rPr>
          <w:lang w:val="en-US"/>
        </w:rPr>
      </w:pPr>
      <w:hyperlink r:id="rId268" w:history="1">
        <w:r w:rsidR="00CA3B52" w:rsidRPr="00B57BBE">
          <w:rPr>
            <w:rStyle w:val="Hyperlink"/>
            <w:lang w:val="en-US"/>
          </w:rPr>
          <w:t>http://www.fcc.gov/encyclopedia/public-safety-frequency-coordinators</w:t>
        </w:r>
      </w:hyperlink>
      <w:r w:rsidR="00CA3B52" w:rsidRPr="00B57BBE">
        <w:rPr>
          <w:lang w:val="en-US"/>
        </w:rPr>
        <w:t xml:space="preserve">, while the frequency coordinators for PLMRS may be found at </w:t>
      </w:r>
      <w:hyperlink r:id="rId269" w:history="1">
        <w:r w:rsidR="00CA3B52" w:rsidRPr="00DC2D30">
          <w:rPr>
            <w:rStyle w:val="Hyperlink"/>
            <w:lang w:val="en-US"/>
          </w:rPr>
          <w:t>http://wireless.fcc.gov/services/index.htm?job=licensing_</w:t>
        </w:r>
        <w:r w:rsidR="00CA3B52" w:rsidRPr="00DC2D30">
          <w:rPr>
            <w:rStyle w:val="Hyperlink"/>
            <w:lang w:val="en-US"/>
          </w:rPr>
          <w:br/>
          <w:t>3&amp;id=industrial_business</w:t>
        </w:r>
      </w:hyperlink>
      <w:r w:rsidR="00CA3B52" w:rsidRPr="00B57BBE">
        <w:rPr>
          <w:lang w:val="en-US"/>
        </w:rPr>
        <w:t>.</w:t>
      </w:r>
    </w:p>
    <w:p w:rsidR="00CA3B52" w:rsidRPr="00CB6CBA" w:rsidRDefault="00CA3B52" w:rsidP="00CA3B52">
      <w:pPr>
        <w:pStyle w:val="Heading4"/>
        <w:rPr>
          <w:lang w:val="en-US"/>
        </w:rPr>
      </w:pPr>
      <w:bookmarkStart w:id="1882" w:name="_Toc394384950"/>
      <w:bookmarkStart w:id="1883" w:name="_Toc394385554"/>
      <w:bookmarkStart w:id="1884" w:name="_Toc497033249"/>
      <w:bookmarkStart w:id="1885" w:name="_Toc497034047"/>
      <w:r w:rsidRPr="00CB6CBA">
        <w:rPr>
          <w:lang w:val="en-US"/>
        </w:rPr>
        <w:lastRenderedPageBreak/>
        <w:t>5.3.5.3</w:t>
      </w:r>
      <w:r w:rsidRPr="00CB6CBA">
        <w:rPr>
          <w:lang w:val="en-US"/>
        </w:rPr>
        <w:tab/>
        <w:t>United States of America use of spectrum management consultants</w:t>
      </w:r>
      <w:bookmarkEnd w:id="1882"/>
      <w:bookmarkEnd w:id="1883"/>
      <w:bookmarkEnd w:id="1884"/>
      <w:bookmarkEnd w:id="1885"/>
    </w:p>
    <w:p w:rsidR="00CA3B52" w:rsidRPr="00CB6CBA" w:rsidRDefault="00CA3B52" w:rsidP="00CA3B52">
      <w:pPr>
        <w:rPr>
          <w:lang w:val="en-US"/>
        </w:rPr>
      </w:pPr>
      <w:r w:rsidRPr="00CB6CBA">
        <w:rPr>
          <w:lang w:val="en-US"/>
        </w:rPr>
        <w:t>While NTIA and the FCC currently make limited use of spectrum management consultants, federal agencies with significant communications interests but limited staff resources make extensive use of technical consultants and functional support contractors. These groups play an active role in the wide array of advisory and ad hoc committees performing engineering analysis and preparing committee documents. In many cases, they represent government agency interests in delegations to international bodies.</w:t>
      </w:r>
    </w:p>
    <w:p w:rsidR="00CA3B52" w:rsidRPr="00CB6CBA" w:rsidRDefault="00CA3B52" w:rsidP="00CA3B52">
      <w:pPr>
        <w:pStyle w:val="Heading3"/>
        <w:rPr>
          <w:lang w:val="en-US"/>
        </w:rPr>
      </w:pPr>
      <w:bookmarkStart w:id="1886" w:name="_Toc289868881"/>
      <w:bookmarkStart w:id="1887" w:name="_Toc289869041"/>
      <w:bookmarkStart w:id="1888" w:name="_Toc289932347"/>
      <w:bookmarkStart w:id="1889" w:name="_Toc289933392"/>
      <w:bookmarkStart w:id="1890" w:name="_Toc291852955"/>
      <w:bookmarkStart w:id="1891" w:name="_Toc392515939"/>
      <w:bookmarkStart w:id="1892" w:name="_Toc394386016"/>
      <w:bookmarkStart w:id="1893" w:name="_Toc394386103"/>
      <w:bookmarkStart w:id="1894" w:name="_Toc395503207"/>
      <w:bookmarkStart w:id="1895" w:name="_Toc459746778"/>
      <w:bookmarkStart w:id="1896" w:name="_Toc459792684"/>
      <w:bookmarkStart w:id="1897" w:name="_Toc459793848"/>
      <w:bookmarkStart w:id="1898" w:name="_Toc459793990"/>
      <w:bookmarkStart w:id="1899" w:name="_Toc459970447"/>
      <w:bookmarkStart w:id="1900" w:name="_Toc497033250"/>
      <w:bookmarkStart w:id="1901" w:name="_Toc497034048"/>
      <w:r w:rsidRPr="00CB6CBA">
        <w:rPr>
          <w:lang w:val="en-US"/>
        </w:rPr>
        <w:t>5.3.6</w:t>
      </w:r>
      <w:r w:rsidRPr="00CB6CBA">
        <w:rPr>
          <w:lang w:val="en-US"/>
        </w:rPr>
        <w:tab/>
        <w:t>China’s experience with alternative resources</w:t>
      </w:r>
      <w:bookmarkEnd w:id="1886"/>
      <w:bookmarkEnd w:id="1887"/>
      <w:bookmarkEnd w:id="1888"/>
      <w:bookmarkEnd w:id="1889"/>
      <w:bookmarkEnd w:id="1890"/>
      <w:bookmarkEnd w:id="1891"/>
    </w:p>
    <w:p w:rsidR="00CA3B52" w:rsidRPr="00CB6CBA" w:rsidRDefault="00CA3B52" w:rsidP="00CA3B52">
      <w:pPr>
        <w:rPr>
          <w:lang w:val="en-US"/>
        </w:rPr>
      </w:pPr>
      <w:r w:rsidRPr="00CB6CBA">
        <w:rPr>
          <w:lang w:val="en-US"/>
        </w:rPr>
        <w:t xml:space="preserve">In China, </w:t>
      </w:r>
      <w:r w:rsidRPr="00CB6CBA">
        <w:rPr>
          <w:lang w:val="en-US" w:eastAsia="zh-CN"/>
        </w:rPr>
        <w:t xml:space="preserve">the </w:t>
      </w:r>
      <w:r w:rsidRPr="00CB6CBA">
        <w:rPr>
          <w:lang w:val="en-US"/>
        </w:rPr>
        <w:t xml:space="preserve">Advisory Committee of Experts on Radio frequency Planning provides advices to the China’s Radio Administration on a wide variety of issues related to policies, standards and technical development of spectrum management. The </w:t>
      </w:r>
      <w:r w:rsidRPr="00CB6CBA">
        <w:rPr>
          <w:lang w:val="en-US" w:eastAsia="zh-CN"/>
        </w:rPr>
        <w:t>a</w:t>
      </w:r>
      <w:r w:rsidRPr="00CB6CBA">
        <w:rPr>
          <w:lang w:val="en-US"/>
        </w:rPr>
        <w:t xml:space="preserve">dvisory </w:t>
      </w:r>
      <w:r w:rsidRPr="00CB6CBA">
        <w:rPr>
          <w:lang w:val="en-US" w:eastAsia="zh-CN"/>
        </w:rPr>
        <w:t>c</w:t>
      </w:r>
      <w:r w:rsidRPr="00CB6CBA">
        <w:rPr>
          <w:lang w:val="en-US"/>
        </w:rPr>
        <w:t xml:space="preserve">ommittee, which was established in 2000, basically comprises famous and experienced experts in mobile communication and satellite communication fields. </w:t>
      </w:r>
    </w:p>
    <w:p w:rsidR="00CA3B52" w:rsidRPr="00CB6CBA" w:rsidRDefault="00CA3B52" w:rsidP="00CA3B52">
      <w:pPr>
        <w:keepNext/>
        <w:keepLines/>
        <w:rPr>
          <w:lang w:val="en-US"/>
        </w:rPr>
      </w:pPr>
      <w:r w:rsidRPr="00CB6CBA">
        <w:rPr>
          <w:lang w:val="en-US"/>
        </w:rPr>
        <w:t>The main assistance provided by Advisory Committee of Experts on Radio frequency Planning is:</w:t>
      </w:r>
    </w:p>
    <w:p w:rsidR="00CA3B52" w:rsidRPr="00CB6CBA" w:rsidRDefault="00CA3B52" w:rsidP="00CA3B52">
      <w:pPr>
        <w:pStyle w:val="enumlev1"/>
        <w:rPr>
          <w:lang w:val="en-US"/>
        </w:rPr>
      </w:pPr>
      <w:r w:rsidRPr="00CB6CBA">
        <w:rPr>
          <w:lang w:val="en-US"/>
        </w:rPr>
        <w:t>–</w:t>
      </w:r>
      <w:r w:rsidRPr="00CB6CBA">
        <w:rPr>
          <w:lang w:val="en-US"/>
        </w:rPr>
        <w:tab/>
        <w:t>Follow-up researches on revision of Radio Regulation of ITU, the study results of frequency sharing, the trends and the developments of radio spectrum planning in other countries, putting forward the advices on China’s radio spectrum allocation, allotment and assignment.</w:t>
      </w:r>
    </w:p>
    <w:p w:rsidR="00CA3B52" w:rsidRPr="00CB6CBA" w:rsidRDefault="00CA3B52" w:rsidP="00CA3B52">
      <w:pPr>
        <w:pStyle w:val="enumlev1"/>
        <w:rPr>
          <w:lang w:val="en-US"/>
        </w:rPr>
      </w:pPr>
      <w:r w:rsidRPr="00CB6CBA">
        <w:rPr>
          <w:lang w:val="en-US"/>
        </w:rPr>
        <w:t>–</w:t>
      </w:r>
      <w:r w:rsidRPr="00CB6CBA">
        <w:rPr>
          <w:lang w:val="en-US"/>
        </w:rPr>
        <w:tab/>
        <w:t>Follow-up studies on the international trends and developments of new radio applications and technologies, bringing forward the strategic spectrum planning of new radio applications and technologies in China.</w:t>
      </w:r>
    </w:p>
    <w:p w:rsidR="00CA3B52" w:rsidRPr="00CB6CBA" w:rsidRDefault="00CA3B52" w:rsidP="00CA3B52">
      <w:pPr>
        <w:pStyle w:val="enumlev1"/>
        <w:rPr>
          <w:lang w:val="en-US"/>
        </w:rPr>
      </w:pPr>
      <w:r w:rsidRPr="00CB6CBA">
        <w:rPr>
          <w:lang w:val="en-US"/>
        </w:rPr>
        <w:t>–</w:t>
      </w:r>
      <w:r w:rsidRPr="00CB6CBA">
        <w:rPr>
          <w:lang w:val="en-US"/>
        </w:rPr>
        <w:tab/>
        <w:t>Providing advices to the exploitation and utilization of spectrum and satellite orbits.</w:t>
      </w:r>
    </w:p>
    <w:p w:rsidR="00CA3B52" w:rsidRPr="00CB6CBA" w:rsidRDefault="00CA3B52" w:rsidP="00CA3B52">
      <w:pPr>
        <w:pStyle w:val="enumlev1"/>
        <w:rPr>
          <w:lang w:val="en-US"/>
        </w:rPr>
      </w:pPr>
      <w:r w:rsidRPr="00CB6CBA">
        <w:rPr>
          <w:lang w:val="en-US"/>
        </w:rPr>
        <w:t>–</w:t>
      </w:r>
      <w:r w:rsidRPr="00CB6CBA">
        <w:rPr>
          <w:lang w:val="en-US"/>
        </w:rPr>
        <w:tab/>
        <w:t>Deliberating on the draft of national Regulations on Radio Frequency Allocation.</w:t>
      </w:r>
    </w:p>
    <w:p w:rsidR="00CA3B52" w:rsidRPr="00CB6CBA" w:rsidRDefault="00CA3B52" w:rsidP="00CA3B52">
      <w:pPr>
        <w:pStyle w:val="enumlev1"/>
        <w:rPr>
          <w:lang w:val="en-US"/>
        </w:rPr>
      </w:pPr>
      <w:r w:rsidRPr="00CB6CBA">
        <w:rPr>
          <w:lang w:val="en-US"/>
        </w:rPr>
        <w:t>–</w:t>
      </w:r>
      <w:r w:rsidRPr="00CB6CBA">
        <w:rPr>
          <w:lang w:val="en-US"/>
        </w:rPr>
        <w:tab/>
        <w:t>Deliberating on the scientific research projects related to radio frequency planning</w:t>
      </w:r>
      <w:r>
        <w:rPr>
          <w:lang w:val="en-US"/>
        </w:rPr>
        <w:t xml:space="preserve">, </w:t>
      </w:r>
      <w:r w:rsidRPr="00CB6CBA">
        <w:rPr>
          <w:lang w:val="en-US"/>
        </w:rPr>
        <w:t>the methods and criteria of radio frequency sharing.</w:t>
      </w:r>
    </w:p>
    <w:p w:rsidR="00CA3B52" w:rsidRPr="00CB6CBA" w:rsidRDefault="00CA3B52" w:rsidP="00CA3B52">
      <w:pPr>
        <w:rPr>
          <w:lang w:val="en-US"/>
        </w:rPr>
      </w:pPr>
      <w:r w:rsidRPr="00CB6CBA">
        <w:rPr>
          <w:lang w:val="en-US"/>
        </w:rPr>
        <w:t xml:space="preserve">In China, different experts are invited to join the </w:t>
      </w:r>
      <w:r w:rsidRPr="00CB6CBA">
        <w:rPr>
          <w:lang w:val="en-US" w:eastAsia="zh-CN"/>
        </w:rPr>
        <w:t>a</w:t>
      </w:r>
      <w:r w:rsidRPr="00CB6CBA">
        <w:rPr>
          <w:lang w:val="en-US"/>
        </w:rPr>
        <w:t xml:space="preserve">dvisory </w:t>
      </w:r>
      <w:r w:rsidRPr="00CB6CBA">
        <w:rPr>
          <w:lang w:val="en-US" w:eastAsia="zh-CN"/>
        </w:rPr>
        <w:t>c</w:t>
      </w:r>
      <w:r w:rsidRPr="00CB6CBA">
        <w:rPr>
          <w:lang w:val="en-US"/>
        </w:rPr>
        <w:t>ommittee every five years, upon issuance of the formal letter of appointment. Every five years, there may be some adjustment</w:t>
      </w:r>
      <w:r w:rsidRPr="00CB6CBA">
        <w:rPr>
          <w:lang w:val="en-US" w:eastAsia="zh-CN"/>
        </w:rPr>
        <w:t>s</w:t>
      </w:r>
      <w:r w:rsidRPr="00CB6CBA">
        <w:rPr>
          <w:lang w:val="en-US"/>
        </w:rPr>
        <w:t xml:space="preserve"> to the members list. Usually, the Advisory Committee of Experts on Radio frequency Planning, under which a secretary office is established to be responsible for the daily affairs, consists of experts from Chinese research institutes, universities, enterprises, and science and technology commission belonging to different minist</w:t>
      </w:r>
      <w:r w:rsidRPr="00CB6CBA">
        <w:rPr>
          <w:lang w:val="en-US" w:eastAsia="zh-CN"/>
        </w:rPr>
        <w:t>rie</w:t>
      </w:r>
      <w:r w:rsidRPr="00CB6CBA">
        <w:rPr>
          <w:lang w:val="en-US"/>
        </w:rPr>
        <w:t>s and other government bodies and so on. The members of the committee, working by letter or email during daily time, actually provide broadly based, independent, objective, unbiased and technical expertise in different fields. If necessary, a</w:t>
      </w:r>
      <w:r>
        <w:rPr>
          <w:lang w:val="en-US"/>
        </w:rPr>
        <w:t> </w:t>
      </w:r>
      <w:r w:rsidRPr="00CB6CBA">
        <w:rPr>
          <w:lang w:val="en-US"/>
        </w:rPr>
        <w:t>conference will be convened for some special topics for discussion.</w:t>
      </w:r>
    </w:p>
    <w:p w:rsidR="00CA3B52" w:rsidRPr="00CB6CBA" w:rsidRDefault="00CA3B52" w:rsidP="00CA3B52">
      <w:pPr>
        <w:rPr>
          <w:lang w:val="en-US"/>
        </w:rPr>
      </w:pPr>
      <w:r w:rsidRPr="00CB6CBA">
        <w:rPr>
          <w:lang w:val="en-US"/>
        </w:rPr>
        <w:t xml:space="preserve">From 2000 until now, the Advisory Committee of Experts on Radio frequency Planning has discussed many topics related to national frequency planning, and provided some important and significant advices to the national spectrum management, which plays an important role in deeply studying national frequency and satellite orbit planning and management, promoting the application of new radio technologies, and following up the international trends and developments on radio spectrum management. Especially in the revision of national Regulations on Radio Frequency Allocation, issuance of frequency planning for 3G mobile communication systems, the study of the items of WRC </w:t>
      </w:r>
      <w:r w:rsidRPr="00CB6CBA">
        <w:rPr>
          <w:lang w:val="en-US" w:eastAsia="zh-CN"/>
        </w:rPr>
        <w:t>and so on</w:t>
      </w:r>
      <w:r w:rsidRPr="00CB6CBA">
        <w:rPr>
          <w:lang w:val="en-US"/>
        </w:rPr>
        <w:t>, the advices from Advisory Committee of Experts on Radio frequency Planning are the important factors that the administration would consider when making policies.</w:t>
      </w:r>
    </w:p>
    <w:p w:rsidR="00CA3B52" w:rsidRPr="00CB6CBA" w:rsidRDefault="00CA3B52" w:rsidP="00CA3B52">
      <w:pPr>
        <w:pStyle w:val="Heading2"/>
        <w:rPr>
          <w:lang w:val="en-US"/>
        </w:rPr>
      </w:pPr>
      <w:bookmarkStart w:id="1902" w:name="_Toc289868882"/>
      <w:bookmarkStart w:id="1903" w:name="_Toc289869042"/>
      <w:bookmarkStart w:id="1904" w:name="_Toc289932348"/>
      <w:bookmarkStart w:id="1905" w:name="_Toc289933393"/>
      <w:bookmarkStart w:id="1906" w:name="_Toc291852956"/>
      <w:bookmarkStart w:id="1907" w:name="_Toc392515940"/>
      <w:r w:rsidRPr="00CB6CBA">
        <w:rPr>
          <w:lang w:val="en-US"/>
        </w:rPr>
        <w:lastRenderedPageBreak/>
        <w:t>5.4</w:t>
      </w:r>
      <w:r w:rsidRPr="00CB6CBA">
        <w:rPr>
          <w:lang w:val="en-US"/>
        </w:rPr>
        <w:tab/>
        <w:t>Other experiences</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p w:rsidR="00CA3B52" w:rsidRPr="00CB6CBA" w:rsidRDefault="00CA3B52" w:rsidP="00CA3B52">
      <w:pPr>
        <w:pStyle w:val="Heading3"/>
        <w:rPr>
          <w:lang w:val="en-US"/>
        </w:rPr>
      </w:pPr>
      <w:bookmarkStart w:id="1908" w:name="_Toc459746779"/>
      <w:bookmarkStart w:id="1909" w:name="_Toc459792685"/>
      <w:bookmarkStart w:id="1910" w:name="_Toc459793849"/>
      <w:bookmarkStart w:id="1911" w:name="_Toc459793991"/>
      <w:bookmarkStart w:id="1912" w:name="_Toc459970448"/>
      <w:bookmarkStart w:id="1913" w:name="_Toc497033251"/>
      <w:bookmarkStart w:id="1914" w:name="_Toc497034049"/>
      <w:bookmarkStart w:id="1915" w:name="_Toc289868883"/>
      <w:bookmarkStart w:id="1916" w:name="_Toc289869043"/>
      <w:bookmarkStart w:id="1917" w:name="_Toc289932349"/>
      <w:bookmarkStart w:id="1918" w:name="_Toc289933394"/>
      <w:bookmarkStart w:id="1919" w:name="_Toc291852957"/>
      <w:bookmarkStart w:id="1920" w:name="_Toc392515941"/>
      <w:r w:rsidRPr="00CB6CBA">
        <w:rPr>
          <w:lang w:val="en-US"/>
        </w:rPr>
        <w:t>5.4.1</w:t>
      </w:r>
      <w:r w:rsidRPr="00CB6CBA">
        <w:rPr>
          <w:lang w:val="en-US"/>
        </w:rPr>
        <w:tab/>
        <w:t>Amateur services</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p>
    <w:p w:rsidR="00CA3B52" w:rsidRPr="00CB6CBA" w:rsidRDefault="00CA3B52" w:rsidP="00CA3B52">
      <w:pPr>
        <w:rPr>
          <w:lang w:val="en-US"/>
        </w:rPr>
      </w:pPr>
      <w:r w:rsidRPr="00CB6CBA">
        <w:rPr>
          <w:lang w:val="en-US"/>
        </w:rPr>
        <w:t>Generally, amateur stations are not assigned specific frequencies by government spectrum managers but are free to select operating frequencies according to current band occupancy and propagation conditions. National, regional and local band plans are established by informal agreement to arrange compatible intra</w:t>
      </w:r>
      <w:r w:rsidRPr="00CB6CBA">
        <w:rPr>
          <w:lang w:val="en-US"/>
        </w:rPr>
        <w:noBreakHyphen/>
        <w:t>service uses, principally by class of emission, such as telegraphy, data and voice.</w:t>
      </w:r>
    </w:p>
    <w:p w:rsidR="00CA3B52" w:rsidRPr="00CB6CBA" w:rsidRDefault="00CA3B52" w:rsidP="00CA3B52">
      <w:pPr>
        <w:rPr>
          <w:lang w:val="en-US"/>
        </w:rPr>
      </w:pPr>
      <w:r w:rsidRPr="00CB6CBA">
        <w:rPr>
          <w:lang w:val="en-US"/>
        </w:rPr>
        <w:t>The major exceptions to stations selecting frequencies in real-time are VHF/UHF voice repeaters, packet radio</w:t>
      </w:r>
      <w:r w:rsidRPr="00CB6CBA">
        <w:rPr>
          <w:lang w:val="en-US"/>
        </w:rPr>
        <w:noBreakHyphen/>
        <w:t>relay stations and propagation research beacons, which use specific frequencies on a long</w:t>
      </w:r>
      <w:r w:rsidRPr="00CB6CBA">
        <w:rPr>
          <w:lang w:val="en-US"/>
        </w:rPr>
        <w:noBreakHyphen/>
        <w:t>term basis. Some administrations have regulations that encourage the establishment of private sector frequency coordinators, particularly to maintain user databases and, by recommendation rather than assignment, coordinate the selection of voice repeater frequencies to minimize interference within their geographic areas.</w:t>
      </w:r>
    </w:p>
    <w:p w:rsidR="00CA3B52" w:rsidRPr="00CB6CBA" w:rsidRDefault="00CA3B52" w:rsidP="00CA3B52">
      <w:pPr>
        <w:rPr>
          <w:lang w:val="en-US"/>
        </w:rPr>
      </w:pPr>
      <w:r w:rsidRPr="00CB6CBA">
        <w:rPr>
          <w:lang w:val="en-US"/>
        </w:rPr>
        <w:t>Amateur</w:t>
      </w:r>
      <w:r w:rsidRPr="00CB6CBA">
        <w:rPr>
          <w:lang w:val="en-US"/>
        </w:rPr>
        <w:noBreakHyphen/>
        <w:t>satellite frequencies are international in nature and are coordinated through amateur</w:t>
      </w:r>
      <w:r w:rsidRPr="00CB6CBA">
        <w:rPr>
          <w:lang w:val="en-US"/>
        </w:rPr>
        <w:noBreakHyphen/>
        <w:t>satellite organizations known as Radio Amateur Satellite Corporation (USA) (AMSAT).</w:t>
      </w:r>
    </w:p>
    <w:p w:rsidR="00CA3B52" w:rsidRPr="00CB6CBA" w:rsidRDefault="00CA3B52" w:rsidP="00CA3B52">
      <w:pPr>
        <w:rPr>
          <w:lang w:val="en-US"/>
        </w:rPr>
      </w:pPr>
      <w:r w:rsidRPr="00CB6CBA">
        <w:rPr>
          <w:lang w:val="en-US"/>
        </w:rPr>
        <w:t>The three International Amateur Radio Union (IARU) regional organizations also establish informal band plans. The IARU and AMSAT organizations cooperate in matters concerning frequency usage.</w:t>
      </w:r>
    </w:p>
    <w:p w:rsidR="00CA3B52" w:rsidRPr="00CB6CBA" w:rsidRDefault="00CA3B52" w:rsidP="00CA3B52">
      <w:pPr>
        <w:pStyle w:val="Heading3"/>
        <w:rPr>
          <w:lang w:val="en-US"/>
        </w:rPr>
      </w:pPr>
      <w:bookmarkStart w:id="1921" w:name="_Toc459746780"/>
      <w:bookmarkStart w:id="1922" w:name="_Toc459792686"/>
      <w:bookmarkStart w:id="1923" w:name="_Toc459793850"/>
      <w:bookmarkStart w:id="1924" w:name="_Toc459793992"/>
      <w:bookmarkStart w:id="1925" w:name="_Toc459970449"/>
      <w:bookmarkStart w:id="1926" w:name="_Toc497033252"/>
      <w:bookmarkStart w:id="1927" w:name="_Toc497034050"/>
      <w:bookmarkStart w:id="1928" w:name="_Toc289868884"/>
      <w:bookmarkStart w:id="1929" w:name="_Toc289869044"/>
      <w:bookmarkStart w:id="1930" w:name="_Toc289932350"/>
      <w:bookmarkStart w:id="1931" w:name="_Toc289933395"/>
      <w:bookmarkStart w:id="1932" w:name="_Toc291852958"/>
      <w:bookmarkStart w:id="1933" w:name="_Toc392515942"/>
      <w:r w:rsidRPr="00CB6CBA">
        <w:rPr>
          <w:lang w:val="en-US"/>
        </w:rPr>
        <w:t>5.4.2</w:t>
      </w:r>
      <w:r w:rsidRPr="00CB6CBA">
        <w:rPr>
          <w:lang w:val="en-US"/>
        </w:rPr>
        <w:tab/>
        <w:t>Area and high density systems</w:t>
      </w:r>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rsidR="00CA3B52" w:rsidRPr="00CB6CBA" w:rsidRDefault="00CA3B52" w:rsidP="00CA3B52">
      <w:pPr>
        <w:rPr>
          <w:lang w:val="en-US"/>
        </w:rPr>
      </w:pPr>
      <w:r w:rsidRPr="00CB6CBA">
        <w:rPr>
          <w:lang w:val="en-US"/>
        </w:rPr>
        <w:t>Most administrations have experience with authorizing area systems to a range of frequencies. This has been done primarily for cellular, PCS and other area and high density systems.</w:t>
      </w:r>
    </w:p>
    <w:p w:rsidR="00CA3B52" w:rsidRPr="00CB6CBA" w:rsidRDefault="00CA3B52" w:rsidP="00CA3B52">
      <w:pPr>
        <w:pStyle w:val="Heading3"/>
        <w:rPr>
          <w:noProof/>
          <w:lang w:val="en-US"/>
        </w:rPr>
      </w:pPr>
      <w:bookmarkStart w:id="1934" w:name="_Toc289868885"/>
      <w:bookmarkStart w:id="1935" w:name="_Toc289869045"/>
      <w:bookmarkStart w:id="1936" w:name="_Toc289932351"/>
      <w:bookmarkStart w:id="1937" w:name="_Toc289933396"/>
      <w:bookmarkStart w:id="1938" w:name="_Toc291852959"/>
      <w:bookmarkStart w:id="1939" w:name="_Toc392515943"/>
      <w:r w:rsidRPr="00CB6CBA">
        <w:rPr>
          <w:noProof/>
          <w:lang w:val="en-US"/>
        </w:rPr>
        <w:t>5.4.3</w:t>
      </w:r>
      <w:r w:rsidRPr="00CB6CBA">
        <w:rPr>
          <w:noProof/>
          <w:lang w:val="en-US"/>
        </w:rPr>
        <w:tab/>
        <w:t>Space services, orbital use and spectrum fees</w:t>
      </w:r>
      <w:bookmarkEnd w:id="1934"/>
      <w:bookmarkEnd w:id="1935"/>
      <w:bookmarkEnd w:id="1936"/>
      <w:bookmarkEnd w:id="1937"/>
      <w:bookmarkEnd w:id="1938"/>
      <w:bookmarkEnd w:id="1939"/>
    </w:p>
    <w:p w:rsidR="00CA3B52" w:rsidRPr="00CB6CBA" w:rsidRDefault="00CA3B52" w:rsidP="00CA3B52">
      <w:pPr>
        <w:rPr>
          <w:rFonts w:eastAsia="Batang"/>
          <w:lang w:val="en-US" w:eastAsia="ko-KR"/>
        </w:rPr>
      </w:pPr>
      <w:r w:rsidRPr="00CB6CBA">
        <w:rPr>
          <w:rFonts w:eastAsia="Batang"/>
          <w:lang w:val="en-US" w:eastAsia="ko-KR"/>
        </w:rPr>
        <w:t xml:space="preserve">Continued access to satellite spectrum requires a balance approach in the administrations’ revenue generating policies that does not affect the long-term viability of satellite services and the industry as a whole. The impact of fees, auctions and other revenue generating approaches, taken as a whole from all countries in which satellite resources are provided, can make deployment of this critical infrastructure economically unfeasible. As an example, a lack of harmonized national approaches on the fee structures of planned integrated MSS and complementary ground component systems that may contribute to more efficient use of spectrum could impede development of such integrated systems. Economic options may help in improving the efficient use of the orbit and spectrum resources. It could limit coordination filings to “serious” and more carefully tailored ones, it may increase resources to BR. On the other hand, it might be seen as an extension of ITU regulatory competence and consequential reduction in national sovereignty, not mentioning the difficulty of agreeing to fee levels and the disadvantage to entities in developing countries. Fees may not be a deterrent to major players and could decrease competition. </w:t>
      </w:r>
    </w:p>
    <w:p w:rsidR="00CA3B52" w:rsidRPr="00CB6CBA" w:rsidRDefault="00CA3B52" w:rsidP="00CA3B52">
      <w:pPr>
        <w:rPr>
          <w:rFonts w:eastAsia="Batang"/>
          <w:lang w:val="en-US" w:eastAsia="ko-KR"/>
        </w:rPr>
      </w:pPr>
      <w:r w:rsidRPr="00CB6CBA">
        <w:rPr>
          <w:rFonts w:eastAsia="Batang"/>
          <w:lang w:val="en-US" w:eastAsia="ko-KR"/>
        </w:rPr>
        <w:t xml:space="preserve">This topic is not within the competence of ITU, because fee structures are within the sovereignty of national administrations. Nevertheless, this topic could serve as a means of thought leadership and focusing attention on a substantial issue that is affecting the satellite community and may be one of the potential instruments guaranteeing efficient use of satellite spectrum. </w:t>
      </w:r>
    </w:p>
    <w:p w:rsidR="00CA3B52" w:rsidRPr="0024702C" w:rsidRDefault="00CA3B52" w:rsidP="00CA3B52">
      <w:pPr>
        <w:rPr>
          <w:iCs/>
          <w:lang w:val="en-US"/>
        </w:rPr>
      </w:pPr>
      <w:r w:rsidRPr="0024702C">
        <w:rPr>
          <w:iCs/>
          <w:lang w:val="en-US"/>
        </w:rPr>
        <w:t xml:space="preserve">A coordinated approach with respect to models for satellite fees could lead to a more efficient use of satellite spectrum globally and facilitate cost estimations by satellite operators. In this respect, ITU may provide an excellent platform for discussions on models for satellite spectrum fees, it may study and suggest calculation methods and criteria and undertake benchmarking i.e. compare spectrum models applied by </w:t>
      </w:r>
      <w:r w:rsidRPr="00CB6CBA">
        <w:rPr>
          <w:iCs/>
          <w:lang w:val="en-US"/>
        </w:rPr>
        <w:t>a</w:t>
      </w:r>
      <w:r w:rsidRPr="0024702C">
        <w:rPr>
          <w:iCs/>
          <w:lang w:val="en-US"/>
        </w:rPr>
        <w:t>dministrations for comparable satellite services.</w:t>
      </w:r>
    </w:p>
    <w:p w:rsidR="00CA3B52" w:rsidRDefault="00CA3B52" w:rsidP="00F65451">
      <w:pPr>
        <w:pStyle w:val="Reftitle"/>
        <w:keepNext/>
        <w:keepLines/>
        <w:rPr>
          <w:lang w:val="en-US"/>
        </w:rPr>
      </w:pPr>
      <w:bookmarkStart w:id="1940" w:name="_Toc289933397"/>
      <w:bookmarkStart w:id="1941" w:name="_Toc291852960"/>
      <w:bookmarkStart w:id="1942" w:name="_Toc392515944"/>
      <w:r w:rsidRPr="00CB6CBA">
        <w:rPr>
          <w:lang w:val="en-US"/>
        </w:rPr>
        <w:lastRenderedPageBreak/>
        <w:t>References</w:t>
      </w:r>
      <w:bookmarkEnd w:id="1940"/>
      <w:bookmarkEnd w:id="1941"/>
      <w:bookmarkEnd w:id="1942"/>
    </w:p>
    <w:p w:rsidR="00CA3B52" w:rsidRPr="00B57BBE" w:rsidRDefault="00CA3B52" w:rsidP="00474C7B">
      <w:pPr>
        <w:pStyle w:val="Normalaftertitle"/>
        <w:keepNext/>
        <w:keepLines/>
        <w:rPr>
          <w:lang w:val="en-US"/>
        </w:rPr>
      </w:pPr>
    </w:p>
    <w:p w:rsidR="00CA3B52" w:rsidRPr="00CB6CBA" w:rsidRDefault="00CA3B52" w:rsidP="00474C7B">
      <w:pPr>
        <w:pStyle w:val="Reftext"/>
        <w:keepNext/>
        <w:keepLines/>
        <w:widowControl w:val="0"/>
        <w:rPr>
          <w:lang w:val="en-US"/>
        </w:rPr>
      </w:pPr>
      <w:r w:rsidRPr="00CB6CBA">
        <w:rPr>
          <w:lang w:val="en-US"/>
        </w:rPr>
        <w:t>[1]</w:t>
      </w:r>
      <w:r w:rsidRPr="00CB6CBA">
        <w:rPr>
          <w:lang w:val="en-US"/>
        </w:rPr>
        <w:tab/>
        <w:t>YOUSSEF M., KALMAN E., BENZONI</w:t>
      </w:r>
      <w:r>
        <w:rPr>
          <w:lang w:val="en-US"/>
        </w:rPr>
        <w:t>,</w:t>
      </w:r>
      <w:r w:rsidRPr="00CB6CBA">
        <w:rPr>
          <w:lang w:val="en-US"/>
        </w:rPr>
        <w:t xml:space="preserve"> L. </w:t>
      </w:r>
      <w:r>
        <w:rPr>
          <w:lang w:val="en-US"/>
        </w:rPr>
        <w:t xml:space="preserve">[June, 1995] </w:t>
      </w:r>
      <w:r w:rsidRPr="00CB6CBA">
        <w:rPr>
          <w:lang w:val="en-US"/>
        </w:rPr>
        <w:t>Technico-Economic Methods For Radio Spectrum Assignment</w:t>
      </w:r>
      <w:r>
        <w:rPr>
          <w:lang w:val="en-US"/>
        </w:rPr>
        <w:t xml:space="preserve">. </w:t>
      </w:r>
      <w:r w:rsidRPr="00CB6CBA">
        <w:rPr>
          <w:lang w:val="en-US"/>
        </w:rPr>
        <w:t>IEEE Communications Magazine</w:t>
      </w:r>
      <w:r>
        <w:rPr>
          <w:lang w:val="en-US"/>
        </w:rPr>
        <w:t>.</w:t>
      </w:r>
    </w:p>
    <w:p w:rsidR="00CA3B52" w:rsidRPr="00CB6CBA" w:rsidRDefault="00CA3B52" w:rsidP="00CA3B52">
      <w:pPr>
        <w:pStyle w:val="Reftext"/>
        <w:widowControl w:val="0"/>
        <w:rPr>
          <w:lang w:val="en-US"/>
        </w:rPr>
      </w:pPr>
      <w:r w:rsidRPr="00CB6CBA">
        <w:rPr>
          <w:lang w:val="en-US"/>
        </w:rPr>
        <w:t>[2]</w:t>
      </w:r>
      <w:r w:rsidRPr="00CB6CBA">
        <w:rPr>
          <w:lang w:val="en-US"/>
        </w:rPr>
        <w:tab/>
        <w:t>NERA and Smith System Engineering (1995), “The Economic impact of the Use of Radio in the UK” for the Radiocommunications Agency (RA) and the Office of Telecommunications (Oftel) and now replaced by the report by Europe Economics for OFCOM for the year ending 31 March</w:t>
      </w:r>
      <w:r>
        <w:rPr>
          <w:lang w:val="en-US"/>
        </w:rPr>
        <w:t> </w:t>
      </w:r>
      <w:r w:rsidRPr="00CB6CBA">
        <w:rPr>
          <w:lang w:val="en-US"/>
        </w:rPr>
        <w:t>2006</w:t>
      </w:r>
      <w:r>
        <w:rPr>
          <w:lang w:val="en-US"/>
        </w:rPr>
        <w:t>.</w:t>
      </w:r>
    </w:p>
    <w:p w:rsidR="00CA3B52" w:rsidRPr="00CB6CBA" w:rsidRDefault="00CA3B52" w:rsidP="00CA3B52">
      <w:pPr>
        <w:pStyle w:val="Reftext"/>
        <w:widowControl w:val="0"/>
        <w:rPr>
          <w:lang w:val="en-US"/>
        </w:rPr>
      </w:pPr>
      <w:r w:rsidRPr="00CB6CBA">
        <w:rPr>
          <w:lang w:val="en-US"/>
        </w:rPr>
        <w:t>[3]</w:t>
      </w:r>
      <w:r w:rsidRPr="00CB6CBA">
        <w:rPr>
          <w:lang w:val="en-US"/>
        </w:rPr>
        <w:tab/>
        <w:t>NOZDRIN, V.</w:t>
      </w:r>
      <w:r>
        <w:rPr>
          <w:lang w:val="en-US"/>
        </w:rPr>
        <w:t xml:space="preserve"> [</w:t>
      </w:r>
      <w:r w:rsidRPr="00CB6CBA">
        <w:rPr>
          <w:lang w:val="en-US"/>
        </w:rPr>
        <w:t>2003</w:t>
      </w:r>
      <w:r>
        <w:rPr>
          <w:lang w:val="en-US"/>
        </w:rPr>
        <w:t>]</w:t>
      </w:r>
      <w:r w:rsidRPr="00CB6CBA">
        <w:rPr>
          <w:lang w:val="en-US"/>
        </w:rPr>
        <w:t xml:space="preserve"> Spectrum pricing</w:t>
      </w:r>
      <w:r>
        <w:rPr>
          <w:lang w:val="en-US"/>
        </w:rPr>
        <w:t>.</w:t>
      </w:r>
      <w:r w:rsidRPr="00CB6CBA">
        <w:rPr>
          <w:lang w:val="en-US"/>
        </w:rPr>
        <w:t xml:space="preserve"> Regional Radiocommunication Seminar, Lusaka 2003</w:t>
      </w:r>
      <w:r>
        <w:rPr>
          <w:lang w:val="en-US"/>
        </w:rPr>
        <w:t>.</w:t>
      </w:r>
    </w:p>
    <w:p w:rsidR="00CA3B52" w:rsidRPr="00CB6CBA" w:rsidRDefault="00CA3B52" w:rsidP="00CA3B52">
      <w:pPr>
        <w:pStyle w:val="Reftext"/>
        <w:widowControl w:val="0"/>
        <w:rPr>
          <w:lang w:val="en-US"/>
        </w:rPr>
      </w:pPr>
      <w:r w:rsidRPr="00CB6CBA">
        <w:rPr>
          <w:lang w:val="en-US"/>
        </w:rPr>
        <w:t>[4]</w:t>
      </w:r>
      <w:r w:rsidRPr="00CB6CBA">
        <w:rPr>
          <w:lang w:val="en-US"/>
        </w:rPr>
        <w:tab/>
        <w:t>ERC Report 76 (1999) “The role of spectrum pricing as a means of supporting spectrum management”</w:t>
      </w:r>
      <w:r>
        <w:rPr>
          <w:lang w:val="en-US"/>
        </w:rPr>
        <w:t>.</w:t>
      </w:r>
    </w:p>
    <w:p w:rsidR="00CA3B52" w:rsidRPr="00CB6CBA" w:rsidRDefault="00CA3B52" w:rsidP="00CA3B52">
      <w:pPr>
        <w:pStyle w:val="Reftext"/>
        <w:widowControl w:val="0"/>
        <w:rPr>
          <w:lang w:val="en-US"/>
        </w:rPr>
      </w:pPr>
      <w:r w:rsidRPr="00CB6CBA">
        <w:rPr>
          <w:lang w:val="en-US"/>
        </w:rPr>
        <w:t>[5]</w:t>
      </w:r>
      <w:r w:rsidRPr="00CB6CBA">
        <w:rPr>
          <w:lang w:val="en-US"/>
        </w:rPr>
        <w:tab/>
        <w:t xml:space="preserve">MCMILLAN </w:t>
      </w:r>
      <w:r>
        <w:rPr>
          <w:lang w:val="en-US"/>
        </w:rPr>
        <w:t>[</w:t>
      </w:r>
      <w:r w:rsidRPr="00CB6CBA">
        <w:rPr>
          <w:lang w:val="en-US"/>
        </w:rPr>
        <w:t>1994</w:t>
      </w:r>
      <w:r>
        <w:rPr>
          <w:lang w:val="en-US"/>
        </w:rPr>
        <w:t>]</w:t>
      </w:r>
      <w:r w:rsidRPr="00CB6CBA">
        <w:rPr>
          <w:lang w:val="en-US"/>
        </w:rPr>
        <w:t xml:space="preserve"> </w:t>
      </w:r>
      <w:r w:rsidRPr="00CB6CBA">
        <w:rPr>
          <w:bCs/>
          <w:lang w:val="en-US" w:eastAsia="zh-CN"/>
        </w:rPr>
        <w:t>Why auction the spectrum?</w:t>
      </w:r>
      <w:r>
        <w:rPr>
          <w:bCs/>
          <w:lang w:val="en-US" w:eastAsia="zh-CN"/>
        </w:rPr>
        <w:t xml:space="preserve"> </w:t>
      </w:r>
      <w:r w:rsidRPr="00CB6CBA">
        <w:rPr>
          <w:lang w:val="en-US"/>
        </w:rPr>
        <w:t>University of California</w:t>
      </w:r>
      <w:r>
        <w:rPr>
          <w:lang w:val="en-US"/>
        </w:rPr>
        <w:t>.</w:t>
      </w:r>
    </w:p>
    <w:p w:rsidR="00CA3B52" w:rsidRPr="00CB6CBA" w:rsidRDefault="00CA3B52" w:rsidP="00CA3B52">
      <w:pPr>
        <w:pStyle w:val="Reftext"/>
        <w:widowControl w:val="0"/>
        <w:rPr>
          <w:lang w:val="en-US"/>
        </w:rPr>
      </w:pPr>
      <w:r w:rsidRPr="00CB6CBA">
        <w:rPr>
          <w:lang w:val="en-US"/>
        </w:rPr>
        <w:t>[6]</w:t>
      </w:r>
      <w:r w:rsidRPr="00CB6CBA">
        <w:rPr>
          <w:lang w:val="en-US"/>
        </w:rPr>
        <w:tab/>
        <w:t xml:space="preserve">MCMILLAN, J. [Summer 1994] Selling Spectrum Rights. </w:t>
      </w:r>
      <w:r w:rsidRPr="00CB6CBA">
        <w:rPr>
          <w:i/>
          <w:lang w:val="en-US"/>
        </w:rPr>
        <w:t>J. Economic Perspectives</w:t>
      </w:r>
      <w:r w:rsidRPr="00CB6CBA">
        <w:rPr>
          <w:lang w:val="en-US"/>
        </w:rPr>
        <w:t>, Vol. 8, </w:t>
      </w:r>
      <w:r w:rsidRPr="00CE304C">
        <w:rPr>
          <w:b/>
          <w:bCs/>
          <w:lang w:val="en-US"/>
        </w:rPr>
        <w:t>3</w:t>
      </w:r>
      <w:r>
        <w:rPr>
          <w:lang w:val="en-US"/>
        </w:rPr>
        <w:t>, p. 145-162.</w:t>
      </w:r>
    </w:p>
    <w:p w:rsidR="00CA3B52" w:rsidRPr="00CB6CBA" w:rsidRDefault="00CA3B52" w:rsidP="00CA3B52">
      <w:pPr>
        <w:pStyle w:val="Reftext"/>
        <w:widowControl w:val="0"/>
        <w:rPr>
          <w:lang w:val="en-US"/>
        </w:rPr>
      </w:pPr>
      <w:r w:rsidRPr="00CB6CBA">
        <w:rPr>
          <w:lang w:val="en-US"/>
        </w:rPr>
        <w:t>[7]</w:t>
      </w:r>
      <w:r w:rsidRPr="00CB6CBA">
        <w:rPr>
          <w:lang w:val="en-US"/>
        </w:rPr>
        <w:tab/>
      </w:r>
      <w:r>
        <w:rPr>
          <w:lang w:val="en-US"/>
        </w:rPr>
        <w:t>BYKHOVSKY, M.A., KUSHTUEV, A.I., NOZDRIN, V.V. and PAVLIOUK, A.P. </w:t>
      </w:r>
      <w:r w:rsidRPr="00CB6CBA">
        <w:rPr>
          <w:lang w:val="en-US"/>
        </w:rPr>
        <w:t xml:space="preserve">[1998]  Auctions as an effective contemporary method of spectrum management. </w:t>
      </w:r>
      <w:r w:rsidRPr="00CB6CBA">
        <w:rPr>
          <w:i/>
          <w:iCs/>
          <w:lang w:val="en-US"/>
        </w:rPr>
        <w:t>Elektrosvyaz</w:t>
      </w:r>
      <w:r>
        <w:rPr>
          <w:i/>
          <w:iCs/>
          <w:lang w:val="en-US"/>
        </w:rPr>
        <w:t>.</w:t>
      </w:r>
    </w:p>
    <w:p w:rsidR="00CA3B52" w:rsidRPr="00CB6CBA" w:rsidRDefault="00CA3B52" w:rsidP="00CA3B52">
      <w:pPr>
        <w:pStyle w:val="Reftext"/>
        <w:widowControl w:val="0"/>
        <w:rPr>
          <w:lang w:val="en-US"/>
        </w:rPr>
      </w:pPr>
      <w:r w:rsidRPr="00CB6CBA">
        <w:rPr>
          <w:lang w:val="en-US"/>
        </w:rPr>
        <w:t>[8]</w:t>
      </w:r>
      <w:r w:rsidRPr="00CB6CBA">
        <w:rPr>
          <w:lang w:val="en-US"/>
        </w:rPr>
        <w:tab/>
      </w:r>
      <w:r>
        <w:rPr>
          <w:lang w:val="en-US"/>
        </w:rPr>
        <w:t>BYKHOVSKY, M.</w:t>
      </w:r>
      <w:r w:rsidRPr="00CB6CBA">
        <w:rPr>
          <w:lang w:val="en-US"/>
        </w:rPr>
        <w:t xml:space="preserve">A. [1993] Frequency planning of cellular mobile networks. </w:t>
      </w:r>
      <w:r w:rsidRPr="00CB6CBA">
        <w:rPr>
          <w:i/>
          <w:iCs/>
          <w:lang w:val="en-US"/>
        </w:rPr>
        <w:t>Elektrosvyaz</w:t>
      </w:r>
      <w:r>
        <w:rPr>
          <w:i/>
          <w:iCs/>
          <w:lang w:val="en-US"/>
        </w:rPr>
        <w:t>.</w:t>
      </w:r>
    </w:p>
    <w:p w:rsidR="00CA3B52" w:rsidRPr="00CB6CBA" w:rsidRDefault="00CA3B52" w:rsidP="00CA3B52">
      <w:pPr>
        <w:pStyle w:val="AnnexNoTitle"/>
        <w:spacing w:before="0"/>
        <w:rPr>
          <w:lang w:val="en-US"/>
        </w:rPr>
      </w:pPr>
      <w:r w:rsidRPr="00CB6CBA">
        <w:rPr>
          <w:lang w:val="en-US"/>
        </w:rPr>
        <w:br w:type="page"/>
      </w:r>
      <w:bookmarkStart w:id="1943" w:name="_Toc289933398"/>
      <w:bookmarkStart w:id="1944" w:name="_Toc291852961"/>
      <w:bookmarkStart w:id="1945" w:name="_Toc392515945"/>
      <w:r w:rsidRPr="00CB6CBA">
        <w:rPr>
          <w:lang w:val="en-US"/>
        </w:rPr>
        <w:lastRenderedPageBreak/>
        <w:t>GLOSSARY</w:t>
      </w:r>
      <w:bookmarkEnd w:id="1943"/>
      <w:bookmarkEnd w:id="1944"/>
      <w:bookmarkEnd w:id="1945"/>
    </w:p>
    <w:p w:rsidR="00CA3B52" w:rsidRPr="00CB6CBA" w:rsidRDefault="00CA3B52" w:rsidP="00CA3B52">
      <w:pPr>
        <w:pStyle w:val="Normalaftertitle"/>
        <w:rPr>
          <w:lang w:val="en-US"/>
        </w:rPr>
      </w:pPr>
      <w:r w:rsidRPr="00CB6CBA">
        <w:rPr>
          <w:lang w:val="en-US"/>
        </w:rPr>
        <w:t xml:space="preserve">Terms defined in this glossary are printed in </w:t>
      </w:r>
      <w:r w:rsidRPr="00CB6CBA">
        <w:rPr>
          <w:i/>
          <w:lang w:val="en-US"/>
        </w:rPr>
        <w:t>italics</w:t>
      </w:r>
      <w:r w:rsidRPr="00CB6CBA">
        <w:rPr>
          <w:lang w:val="en-US"/>
        </w:rPr>
        <w:t>.</w:t>
      </w:r>
    </w:p>
    <w:p w:rsidR="00CA3B52" w:rsidRPr="00CB6CBA" w:rsidRDefault="00CA3B52" w:rsidP="00CA3B52">
      <w:pPr>
        <w:rPr>
          <w:lang w:val="en-US"/>
        </w:rPr>
      </w:pPr>
      <w:r w:rsidRPr="00CB6CBA">
        <w:rPr>
          <w:lang w:val="en-US"/>
        </w:rPr>
        <w:t xml:space="preserve">For convenience and in the interests of clarity, the following definitions have been used and are specific to this document. The definitions of the terms </w:t>
      </w:r>
      <w:r>
        <w:rPr>
          <w:lang w:val="en-US"/>
        </w:rPr>
        <w:t>“</w:t>
      </w:r>
      <w:r w:rsidRPr="00CB6CBA">
        <w:rPr>
          <w:lang w:val="en-US"/>
        </w:rPr>
        <w:t>allotment</w:t>
      </w:r>
      <w:r>
        <w:rPr>
          <w:lang w:val="en-US"/>
        </w:rPr>
        <w:t>”</w:t>
      </w:r>
      <w:r w:rsidRPr="00CB6CBA">
        <w:rPr>
          <w:lang w:val="en-US"/>
        </w:rPr>
        <w:t xml:space="preserve"> and </w:t>
      </w:r>
      <w:r>
        <w:rPr>
          <w:lang w:val="en-US"/>
        </w:rPr>
        <w:t>“</w:t>
      </w:r>
      <w:r w:rsidRPr="00CB6CBA">
        <w:rPr>
          <w:lang w:val="en-US"/>
        </w:rPr>
        <w:t>assignment</w:t>
      </w:r>
      <w:r>
        <w:rPr>
          <w:lang w:val="en-US"/>
        </w:rPr>
        <w:t>”</w:t>
      </w:r>
      <w:r w:rsidRPr="00CB6CBA">
        <w:rPr>
          <w:lang w:val="en-US"/>
        </w:rPr>
        <w:t xml:space="preserve"> differ s</w:t>
      </w:r>
      <w:r>
        <w:rPr>
          <w:lang w:val="en-US"/>
        </w:rPr>
        <w:t>lightly from those given in Nos</w:t>
      </w:r>
      <w:r w:rsidRPr="00CB6CBA">
        <w:rPr>
          <w:lang w:val="en-US"/>
        </w:rPr>
        <w:t xml:space="preserve"> 1.17 and 1.18, respectively, of the Radio Regulations.</w:t>
      </w:r>
    </w:p>
    <w:p w:rsidR="00CA3B52" w:rsidRPr="00CB6CBA" w:rsidRDefault="00CA3B52" w:rsidP="00CA3B52">
      <w:pPr>
        <w:pStyle w:val="Reftext"/>
        <w:rPr>
          <w:lang w:val="en-US"/>
        </w:rPr>
      </w:pPr>
      <w:r>
        <w:rPr>
          <w:lang w:val="en-US"/>
        </w:rPr>
        <w:t>1.</w:t>
      </w:r>
      <w:r w:rsidRPr="00CB6CBA">
        <w:rPr>
          <w:lang w:val="en-US"/>
        </w:rPr>
        <w:tab/>
        <w:t>A</w:t>
      </w:r>
      <w:r w:rsidRPr="00CB6CBA">
        <w:rPr>
          <w:i/>
          <w:iCs/>
          <w:lang w:val="en-US"/>
        </w:rPr>
        <w:t>ssignment</w:t>
      </w:r>
      <w:r w:rsidRPr="00CB6CBA">
        <w:rPr>
          <w:lang w:val="en-US"/>
        </w:rPr>
        <w:t>: any authorization to use a frequency at a given site and under identified conditions. Such a frequency is referred to as an</w:t>
      </w:r>
      <w:r w:rsidRPr="00CB6CBA">
        <w:rPr>
          <w:i/>
          <w:iCs/>
          <w:lang w:val="en-US"/>
        </w:rPr>
        <w:t xml:space="preserve"> assigned frequency</w:t>
      </w:r>
      <w:r w:rsidRPr="00CB6CBA">
        <w:rPr>
          <w:lang w:val="en-US"/>
        </w:rPr>
        <w:t>.</w:t>
      </w:r>
    </w:p>
    <w:p w:rsidR="00CA3B52" w:rsidRPr="00CB6CBA" w:rsidRDefault="00CA3B52" w:rsidP="00CA3B52">
      <w:pPr>
        <w:pStyle w:val="Reftext"/>
        <w:rPr>
          <w:lang w:val="en-US"/>
        </w:rPr>
      </w:pPr>
      <w:r w:rsidRPr="00CB6CBA">
        <w:rPr>
          <w:lang w:val="en-US"/>
        </w:rPr>
        <w:t>2</w:t>
      </w:r>
      <w:r>
        <w:rPr>
          <w:lang w:val="en-US"/>
        </w:rPr>
        <w:t>.</w:t>
      </w:r>
      <w:r w:rsidRPr="00CB6CBA">
        <w:rPr>
          <w:lang w:val="en-US"/>
        </w:rPr>
        <w:tab/>
      </w:r>
      <w:r w:rsidRPr="00CB6CBA">
        <w:rPr>
          <w:i/>
          <w:iCs/>
          <w:lang w:val="en-US"/>
        </w:rPr>
        <w:t>Allocation surface</w:t>
      </w:r>
      <w:r w:rsidRPr="00CB6CBA">
        <w:rPr>
          <w:lang w:val="en-US"/>
        </w:rPr>
        <w:t xml:space="preserve"> of an assignment: that part of the territory within which the assigned frequency may be used.</w:t>
      </w:r>
    </w:p>
    <w:p w:rsidR="00CA3B52" w:rsidRPr="00CB6CBA" w:rsidRDefault="00CA3B52" w:rsidP="00CA3B52">
      <w:pPr>
        <w:pStyle w:val="Reftext"/>
        <w:rPr>
          <w:lang w:val="en-US"/>
        </w:rPr>
      </w:pPr>
      <w:r w:rsidRPr="00CB6CBA">
        <w:rPr>
          <w:lang w:val="en-US"/>
        </w:rPr>
        <w:t>3</w:t>
      </w:r>
      <w:r>
        <w:rPr>
          <w:lang w:val="en-US"/>
        </w:rPr>
        <w:t>.</w:t>
      </w:r>
      <w:r w:rsidRPr="00CB6CBA">
        <w:rPr>
          <w:lang w:val="en-US"/>
        </w:rPr>
        <w:tab/>
      </w:r>
      <w:r w:rsidRPr="00CB6CBA">
        <w:rPr>
          <w:i/>
          <w:iCs/>
          <w:lang w:val="en-US"/>
        </w:rPr>
        <w:t>Allotment</w:t>
      </w:r>
      <w:r w:rsidRPr="00CB6CBA">
        <w:rPr>
          <w:lang w:val="en-US"/>
        </w:rPr>
        <w:t xml:space="preserve">: any authorization to use a block of frequencies within a given geographic area. Such frequencies are known as </w:t>
      </w:r>
      <w:r w:rsidRPr="00CB6CBA">
        <w:rPr>
          <w:i/>
          <w:iCs/>
          <w:lang w:val="en-US"/>
        </w:rPr>
        <w:t>allotted frequencies</w:t>
      </w:r>
      <w:r w:rsidRPr="00CB6CBA">
        <w:rPr>
          <w:lang w:val="en-US"/>
        </w:rPr>
        <w:t>.</w:t>
      </w:r>
    </w:p>
    <w:p w:rsidR="00CA3B52" w:rsidRPr="00CB6CBA" w:rsidRDefault="00CA3B52" w:rsidP="00CA3B52">
      <w:pPr>
        <w:rPr>
          <w:lang w:val="en-US"/>
        </w:rPr>
      </w:pPr>
      <w:r w:rsidRPr="00CB6CBA">
        <w:rPr>
          <w:b/>
          <w:lang w:val="en-US"/>
        </w:rPr>
        <w:t>Administrative pricing</w:t>
      </w:r>
      <w:r w:rsidRPr="00CB6CBA">
        <w:rPr>
          <w:bCs/>
          <w:lang w:val="en-US"/>
        </w:rPr>
        <w:t>:  </w:t>
      </w:r>
      <w:r w:rsidRPr="00CB6CBA">
        <w:rPr>
          <w:lang w:val="en-US"/>
        </w:rPr>
        <w:t xml:space="preserve">A form of </w:t>
      </w:r>
      <w:r w:rsidRPr="00CB6CBA">
        <w:rPr>
          <w:i/>
          <w:lang w:val="en-US"/>
        </w:rPr>
        <w:t>spectrum pricing</w:t>
      </w:r>
      <w:r w:rsidRPr="00CB6CBA">
        <w:rPr>
          <w:lang w:val="en-US"/>
        </w:rPr>
        <w:t xml:space="preserve"> in which </w:t>
      </w:r>
      <w:r w:rsidRPr="00CB6CBA">
        <w:rPr>
          <w:i/>
          <w:lang w:val="en-US"/>
        </w:rPr>
        <w:t xml:space="preserve">equipment licence </w:t>
      </w:r>
      <w:r w:rsidRPr="00CB6CBA">
        <w:rPr>
          <w:lang w:val="en-US"/>
        </w:rPr>
        <w:t>fees</w:t>
      </w:r>
      <w:r w:rsidRPr="00CB6CBA">
        <w:rPr>
          <w:i/>
          <w:lang w:val="en-US"/>
        </w:rPr>
        <w:t xml:space="preserve"> </w:t>
      </w:r>
      <w:r w:rsidRPr="00CB6CBA">
        <w:rPr>
          <w:lang w:val="en-US"/>
        </w:rPr>
        <w:t xml:space="preserve">or charges for </w:t>
      </w:r>
      <w:r w:rsidRPr="00CB6CBA">
        <w:rPr>
          <w:i/>
          <w:lang w:val="en-US"/>
        </w:rPr>
        <w:t>spectrum rights</w:t>
      </w:r>
      <w:r w:rsidRPr="00CB6CBA">
        <w:rPr>
          <w:lang w:val="en-US"/>
        </w:rPr>
        <w:t xml:space="preserve"> are set by the spectrum manager. Administrative pricing may include such variants as:</w:t>
      </w:r>
    </w:p>
    <w:p w:rsidR="00CA3B52" w:rsidRPr="00CB6CBA" w:rsidRDefault="00CA3B52" w:rsidP="00CA3B52">
      <w:pPr>
        <w:pStyle w:val="enumlev1"/>
        <w:rPr>
          <w:lang w:val="en-US"/>
        </w:rPr>
      </w:pPr>
      <w:r w:rsidRPr="00CB6CBA">
        <w:rPr>
          <w:lang w:val="en-US"/>
        </w:rPr>
        <w:t>–</w:t>
      </w:r>
      <w:r w:rsidRPr="00CB6CBA">
        <w:rPr>
          <w:lang w:val="en-US"/>
        </w:rPr>
        <w:tab/>
      </w:r>
      <w:r w:rsidRPr="00CB6CBA">
        <w:rPr>
          <w:lang w:val="en-US"/>
        </w:rPr>
        <w:fldChar w:fldCharType="begin"/>
      </w:r>
      <w:r w:rsidRPr="00CB6CBA">
        <w:rPr>
          <w:lang w:val="en-US"/>
        </w:rPr>
        <w:instrText xml:space="preserve">seq level0 \h \r0 </w:instrText>
      </w:r>
      <w:r w:rsidRPr="00CB6CBA">
        <w:rPr>
          <w:lang w:val="en-US"/>
        </w:rPr>
        <w:fldChar w:fldCharType="end"/>
      </w:r>
      <w:r w:rsidRPr="00CB6CBA">
        <w:rPr>
          <w:lang w:val="en-US"/>
        </w:rPr>
        <w:fldChar w:fldCharType="begin"/>
      </w:r>
      <w:r w:rsidRPr="00CB6CBA">
        <w:rPr>
          <w:lang w:val="en-US"/>
        </w:rPr>
        <w:instrText xml:space="preserve">seq level1 \h \r0 </w:instrText>
      </w:r>
      <w:r w:rsidRPr="00CB6CBA">
        <w:rPr>
          <w:lang w:val="en-US"/>
        </w:rPr>
        <w:fldChar w:fldCharType="end"/>
      </w:r>
      <w:r w:rsidRPr="00CB6CBA">
        <w:rPr>
          <w:lang w:val="en-US"/>
        </w:rPr>
        <w:fldChar w:fldCharType="begin"/>
      </w:r>
      <w:r w:rsidRPr="00CB6CBA">
        <w:rPr>
          <w:lang w:val="en-US"/>
        </w:rPr>
        <w:instrText xml:space="preserve">seq level2 \h \r0 </w:instrText>
      </w:r>
      <w:r w:rsidRPr="00CB6CBA">
        <w:rPr>
          <w:lang w:val="en-US"/>
        </w:rPr>
        <w:fldChar w:fldCharType="end"/>
      </w:r>
      <w:r w:rsidRPr="00CB6CBA">
        <w:rPr>
          <w:lang w:val="en-US"/>
        </w:rPr>
        <w:fldChar w:fldCharType="begin"/>
      </w:r>
      <w:r w:rsidRPr="00CB6CBA">
        <w:rPr>
          <w:lang w:val="en-US"/>
        </w:rPr>
        <w:instrText xml:space="preserve">seq level3 \h \r0 </w:instrText>
      </w:r>
      <w:r w:rsidRPr="00CB6CBA">
        <w:rPr>
          <w:lang w:val="en-US"/>
        </w:rPr>
        <w:fldChar w:fldCharType="end"/>
      </w:r>
      <w:r w:rsidRPr="00CB6CBA">
        <w:rPr>
          <w:lang w:val="en-US"/>
        </w:rPr>
        <w:fldChar w:fldCharType="begin"/>
      </w:r>
      <w:r w:rsidRPr="00CB6CBA">
        <w:rPr>
          <w:lang w:val="en-US"/>
        </w:rPr>
        <w:instrText xml:space="preserve">seq level4 \h \r0 </w:instrText>
      </w:r>
      <w:r w:rsidRPr="00CB6CBA">
        <w:rPr>
          <w:lang w:val="en-US"/>
        </w:rPr>
        <w:fldChar w:fldCharType="end"/>
      </w:r>
      <w:r w:rsidRPr="00CB6CBA">
        <w:rPr>
          <w:lang w:val="en-US"/>
        </w:rPr>
        <w:fldChar w:fldCharType="begin"/>
      </w:r>
      <w:r w:rsidRPr="00CB6CBA">
        <w:rPr>
          <w:lang w:val="en-US"/>
        </w:rPr>
        <w:instrText xml:space="preserve">seq level5 \h \r0 </w:instrText>
      </w:r>
      <w:r w:rsidRPr="00CB6CBA">
        <w:rPr>
          <w:lang w:val="en-US"/>
        </w:rPr>
        <w:fldChar w:fldCharType="end"/>
      </w:r>
      <w:r w:rsidRPr="00CB6CBA">
        <w:rPr>
          <w:lang w:val="en-US"/>
        </w:rPr>
        <w:fldChar w:fldCharType="begin"/>
      </w:r>
      <w:r w:rsidRPr="00CB6CBA">
        <w:rPr>
          <w:lang w:val="en-US"/>
        </w:rPr>
        <w:instrText xml:space="preserve">seq level6 \h \r0 </w:instrText>
      </w:r>
      <w:r w:rsidRPr="00CB6CBA">
        <w:rPr>
          <w:lang w:val="en-US"/>
        </w:rPr>
        <w:fldChar w:fldCharType="end"/>
      </w:r>
      <w:r w:rsidRPr="00CB6CBA">
        <w:rPr>
          <w:lang w:val="en-US"/>
        </w:rPr>
        <w:fldChar w:fldCharType="begin"/>
      </w:r>
      <w:r w:rsidRPr="00CB6CBA">
        <w:rPr>
          <w:lang w:val="en-US"/>
        </w:rPr>
        <w:instrText xml:space="preserve">seq level7 \h \r0 </w:instrText>
      </w:r>
      <w:r w:rsidRPr="00CB6CBA">
        <w:rPr>
          <w:lang w:val="en-US"/>
        </w:rPr>
        <w:fldChar w:fldCharType="end"/>
      </w:r>
      <w:r w:rsidRPr="00CB6CBA">
        <w:rPr>
          <w:i/>
          <w:lang w:val="en-US"/>
        </w:rPr>
        <w:t>shadow pricing</w:t>
      </w:r>
      <w:r w:rsidRPr="00CB6CBA">
        <w:rPr>
          <w:lang w:val="en-US"/>
        </w:rPr>
        <w:t xml:space="preserve"> (see below);</w:t>
      </w:r>
    </w:p>
    <w:p w:rsidR="00CA3B52" w:rsidRPr="00CB6CBA" w:rsidRDefault="00CA3B52" w:rsidP="00CA3B52">
      <w:pPr>
        <w:pStyle w:val="enumlev1"/>
        <w:rPr>
          <w:lang w:val="en-US"/>
        </w:rPr>
      </w:pPr>
      <w:r w:rsidRPr="00CB6CBA">
        <w:rPr>
          <w:i/>
          <w:lang w:val="en-US"/>
        </w:rPr>
        <w:t>–</w:t>
      </w:r>
      <w:r w:rsidRPr="00CB6CBA">
        <w:rPr>
          <w:i/>
          <w:lang w:val="en-US"/>
        </w:rPr>
        <w:tab/>
        <w:t>incentive pricing</w:t>
      </w:r>
      <w:r w:rsidRPr="00CB6CBA">
        <w:rPr>
          <w:lang w:val="en-US"/>
        </w:rPr>
        <w:t>, where fees are set with the intention of promoting efficient spectrum use;</w:t>
      </w:r>
    </w:p>
    <w:p w:rsidR="00CA3B52" w:rsidRPr="00CB6CBA" w:rsidRDefault="00CA3B52" w:rsidP="00CA3B52">
      <w:pPr>
        <w:pStyle w:val="enumlev1"/>
        <w:rPr>
          <w:lang w:val="en-US"/>
        </w:rPr>
      </w:pPr>
      <w:r w:rsidRPr="00CB6CBA">
        <w:rPr>
          <w:i/>
          <w:lang w:val="en-US"/>
        </w:rPr>
        <w:t>–</w:t>
      </w:r>
      <w:r w:rsidRPr="00CB6CBA">
        <w:rPr>
          <w:i/>
          <w:lang w:val="en-US"/>
        </w:rPr>
        <w:tab/>
        <w:t>regulatory pricing</w:t>
      </w:r>
      <w:r w:rsidRPr="00CB6CBA">
        <w:rPr>
          <w:lang w:val="en-US"/>
        </w:rPr>
        <w:t>, where fees are set unrelated to market considerations, for example, to recover spectrum management costs.</w:t>
      </w:r>
    </w:p>
    <w:p w:rsidR="00CA3B52" w:rsidRPr="00CB6CBA" w:rsidRDefault="00CA3B52" w:rsidP="00CA3B52">
      <w:pPr>
        <w:rPr>
          <w:lang w:val="en-US"/>
        </w:rPr>
      </w:pPr>
      <w:r w:rsidRPr="00CB6CBA">
        <w:rPr>
          <w:b/>
          <w:lang w:val="en-US"/>
        </w:rPr>
        <w:t>Apparatus licence</w:t>
      </w:r>
      <w:r w:rsidRPr="00CB6CBA">
        <w:rPr>
          <w:bCs/>
          <w:lang w:val="en-US"/>
        </w:rPr>
        <w:t>:  </w:t>
      </w:r>
      <w:r w:rsidRPr="00CB6CBA">
        <w:rPr>
          <w:lang w:val="en-US"/>
        </w:rPr>
        <w:t>A permission to install and use radio equipment. This will specify the frequency or frequency band to be used and may also impose terms and conditions restricting matters such as the type of apparatus to be used, power, coverage area, geographical location or service to be provided. The extent and specificity of the restrictions will depend on circumstances and the characteristics of the service in question.</w:t>
      </w:r>
    </w:p>
    <w:p w:rsidR="00CA3B52" w:rsidRPr="00CB6CBA" w:rsidRDefault="00CA3B52" w:rsidP="00CA3B52">
      <w:pPr>
        <w:rPr>
          <w:lang w:val="en-US"/>
        </w:rPr>
      </w:pPr>
      <w:r w:rsidRPr="00CB6CBA">
        <w:rPr>
          <w:b/>
          <w:lang w:val="en-US"/>
        </w:rPr>
        <w:t>Auction</w:t>
      </w:r>
      <w:r w:rsidRPr="00CB6CBA">
        <w:rPr>
          <w:bCs/>
          <w:lang w:val="en-US"/>
        </w:rPr>
        <w:t>:  </w:t>
      </w:r>
      <w:r w:rsidRPr="00CB6CBA">
        <w:rPr>
          <w:lang w:val="en-US"/>
        </w:rPr>
        <w:t xml:space="preserve">A form of </w:t>
      </w:r>
      <w:r w:rsidRPr="00CB6CBA">
        <w:rPr>
          <w:i/>
          <w:lang w:val="en-US"/>
        </w:rPr>
        <w:t>spectrum pricing</w:t>
      </w:r>
      <w:r w:rsidRPr="00CB6CBA">
        <w:rPr>
          <w:lang w:val="en-US"/>
        </w:rPr>
        <w:t xml:space="preserve"> – as well as a spectrum assignment mechanism – in which </w:t>
      </w:r>
      <w:r w:rsidRPr="00CB6CBA">
        <w:rPr>
          <w:i/>
          <w:lang w:val="en-US"/>
        </w:rPr>
        <w:t xml:space="preserve">apparatus licences </w:t>
      </w:r>
      <w:r w:rsidRPr="00CB6CBA">
        <w:rPr>
          <w:lang w:val="en-US"/>
        </w:rPr>
        <w:t xml:space="preserve">or </w:t>
      </w:r>
      <w:r w:rsidRPr="00CB6CBA">
        <w:rPr>
          <w:i/>
          <w:lang w:val="en-US"/>
        </w:rPr>
        <w:t>spectrum rights</w:t>
      </w:r>
      <w:r w:rsidRPr="00CB6CBA">
        <w:rPr>
          <w:lang w:val="en-US"/>
        </w:rPr>
        <w:t xml:space="preserve"> are assigned to the winner(s) of a competitive process selected on the basis of price. (In some countries, other factors, such as quality of service, speed of roll-out and financial viability, may also be taken into account, either in the assessment of the bids or as pre</w:t>
      </w:r>
      <w:r w:rsidRPr="00CB6CBA">
        <w:rPr>
          <w:lang w:val="en-US"/>
        </w:rPr>
        <w:noBreakHyphen/>
        <w:t>qualification criteria.)</w:t>
      </w:r>
      <w:r w:rsidRPr="00CB6CBA">
        <w:rPr>
          <w:i/>
          <w:lang w:val="en-US"/>
        </w:rPr>
        <w:t xml:space="preserve"> Auctions</w:t>
      </w:r>
      <w:r w:rsidRPr="00CB6CBA">
        <w:rPr>
          <w:lang w:val="en-US"/>
        </w:rPr>
        <w:t xml:space="preserve"> may take various forms, including:</w:t>
      </w:r>
    </w:p>
    <w:p w:rsidR="00CA3B52" w:rsidRPr="00CB6CBA" w:rsidRDefault="00CA3B52" w:rsidP="00CA3B52">
      <w:pPr>
        <w:pStyle w:val="enumlev1"/>
        <w:rPr>
          <w:lang w:val="en-US"/>
        </w:rPr>
      </w:pPr>
      <w:r w:rsidRPr="00CB6CBA">
        <w:rPr>
          <w:lang w:val="en-US"/>
        </w:rPr>
        <w:t>–</w:t>
      </w:r>
      <w:r w:rsidRPr="00CB6CBA">
        <w:rPr>
          <w:lang w:val="en-US"/>
        </w:rPr>
        <w:tab/>
      </w:r>
      <w:r w:rsidRPr="00CB6CBA">
        <w:rPr>
          <w:lang w:val="en-US"/>
        </w:rPr>
        <w:fldChar w:fldCharType="begin"/>
      </w:r>
      <w:r w:rsidRPr="00CB6CBA">
        <w:rPr>
          <w:lang w:val="en-US"/>
        </w:rPr>
        <w:instrText xml:space="preserve">seq level0 \h \r0 </w:instrText>
      </w:r>
      <w:r w:rsidRPr="00CB6CBA">
        <w:rPr>
          <w:lang w:val="en-US"/>
        </w:rPr>
        <w:fldChar w:fldCharType="end"/>
      </w:r>
      <w:r w:rsidRPr="00CB6CBA">
        <w:rPr>
          <w:lang w:val="en-US"/>
        </w:rPr>
        <w:fldChar w:fldCharType="begin"/>
      </w:r>
      <w:r w:rsidRPr="00CB6CBA">
        <w:rPr>
          <w:lang w:val="en-US"/>
        </w:rPr>
        <w:instrText xml:space="preserve">seq level1 \h \r0 </w:instrText>
      </w:r>
      <w:r w:rsidRPr="00CB6CBA">
        <w:rPr>
          <w:lang w:val="en-US"/>
        </w:rPr>
        <w:fldChar w:fldCharType="end"/>
      </w:r>
      <w:r w:rsidRPr="00CB6CBA">
        <w:rPr>
          <w:lang w:val="en-US"/>
        </w:rPr>
        <w:fldChar w:fldCharType="begin"/>
      </w:r>
      <w:r w:rsidRPr="00CB6CBA">
        <w:rPr>
          <w:lang w:val="en-US"/>
        </w:rPr>
        <w:instrText xml:space="preserve">seq level2 \h \r0 </w:instrText>
      </w:r>
      <w:r w:rsidRPr="00CB6CBA">
        <w:rPr>
          <w:lang w:val="en-US"/>
        </w:rPr>
        <w:fldChar w:fldCharType="end"/>
      </w:r>
      <w:r w:rsidRPr="00CB6CBA">
        <w:rPr>
          <w:lang w:val="en-US"/>
        </w:rPr>
        <w:fldChar w:fldCharType="begin"/>
      </w:r>
      <w:r w:rsidRPr="00CB6CBA">
        <w:rPr>
          <w:lang w:val="en-US"/>
        </w:rPr>
        <w:instrText xml:space="preserve">seq level3 \h \r0 </w:instrText>
      </w:r>
      <w:r w:rsidRPr="00CB6CBA">
        <w:rPr>
          <w:lang w:val="en-US"/>
        </w:rPr>
        <w:fldChar w:fldCharType="end"/>
      </w:r>
      <w:r w:rsidRPr="00CB6CBA">
        <w:rPr>
          <w:lang w:val="en-US"/>
        </w:rPr>
        <w:fldChar w:fldCharType="begin"/>
      </w:r>
      <w:r w:rsidRPr="00CB6CBA">
        <w:rPr>
          <w:lang w:val="en-US"/>
        </w:rPr>
        <w:instrText xml:space="preserve">seq level4 \h \r0 </w:instrText>
      </w:r>
      <w:r w:rsidRPr="00CB6CBA">
        <w:rPr>
          <w:lang w:val="en-US"/>
        </w:rPr>
        <w:fldChar w:fldCharType="end"/>
      </w:r>
      <w:r w:rsidRPr="00CB6CBA">
        <w:rPr>
          <w:lang w:val="en-US"/>
        </w:rPr>
        <w:fldChar w:fldCharType="begin"/>
      </w:r>
      <w:r w:rsidRPr="00CB6CBA">
        <w:rPr>
          <w:lang w:val="en-US"/>
        </w:rPr>
        <w:instrText xml:space="preserve">seq level5 \h \r0 </w:instrText>
      </w:r>
      <w:r w:rsidRPr="00CB6CBA">
        <w:rPr>
          <w:lang w:val="en-US"/>
        </w:rPr>
        <w:fldChar w:fldCharType="end"/>
      </w:r>
      <w:r w:rsidRPr="00CB6CBA">
        <w:rPr>
          <w:lang w:val="en-US"/>
        </w:rPr>
        <w:fldChar w:fldCharType="begin"/>
      </w:r>
      <w:r w:rsidRPr="00CB6CBA">
        <w:rPr>
          <w:lang w:val="en-US"/>
        </w:rPr>
        <w:instrText xml:space="preserve">seq level6 \h \r0 </w:instrText>
      </w:r>
      <w:r w:rsidRPr="00CB6CBA">
        <w:rPr>
          <w:lang w:val="en-US"/>
        </w:rPr>
        <w:fldChar w:fldCharType="end"/>
      </w:r>
      <w:r w:rsidRPr="00CB6CBA">
        <w:rPr>
          <w:lang w:val="en-US"/>
        </w:rPr>
        <w:fldChar w:fldCharType="begin"/>
      </w:r>
      <w:r w:rsidRPr="00CB6CBA">
        <w:rPr>
          <w:lang w:val="en-US"/>
        </w:rPr>
        <w:instrText xml:space="preserve">seq level7 \h \r0 </w:instrText>
      </w:r>
      <w:r w:rsidRPr="00CB6CBA">
        <w:rPr>
          <w:lang w:val="en-US"/>
        </w:rPr>
        <w:fldChar w:fldCharType="end"/>
      </w:r>
      <w:r w:rsidRPr="00CB6CBA">
        <w:rPr>
          <w:lang w:val="en-US"/>
        </w:rPr>
        <w:t xml:space="preserve">the </w:t>
      </w:r>
      <w:r w:rsidRPr="00CB6CBA">
        <w:rPr>
          <w:i/>
          <w:lang w:val="en-US"/>
        </w:rPr>
        <w:t>English auction</w:t>
      </w:r>
      <w:r w:rsidRPr="00CB6CBA">
        <w:rPr>
          <w:lang w:val="en-US"/>
        </w:rPr>
        <w:t>, where the auctioneer increases the price until a single bidder is left;</w:t>
      </w:r>
    </w:p>
    <w:p w:rsidR="00CA3B52" w:rsidRPr="00CB6CBA" w:rsidRDefault="00CA3B52" w:rsidP="00CA3B52">
      <w:pPr>
        <w:pStyle w:val="enumlev1"/>
        <w:rPr>
          <w:lang w:val="en-US"/>
        </w:rPr>
      </w:pPr>
      <w:r w:rsidRPr="00CB6CBA">
        <w:rPr>
          <w:lang w:val="en-US"/>
        </w:rPr>
        <w:t>–</w:t>
      </w:r>
      <w:r w:rsidRPr="00CB6CBA">
        <w:rPr>
          <w:lang w:val="en-US"/>
        </w:rPr>
        <w:tab/>
        <w:t xml:space="preserve">the </w:t>
      </w:r>
      <w:r w:rsidRPr="00CB6CBA">
        <w:rPr>
          <w:i/>
          <w:lang w:val="en-US"/>
        </w:rPr>
        <w:t>first-price sealed bid auction</w:t>
      </w:r>
      <w:r w:rsidRPr="00CB6CBA">
        <w:rPr>
          <w:lang w:val="en-US"/>
        </w:rPr>
        <w:t>, where bidders submit sealed bids and the highest wins;</w:t>
      </w:r>
    </w:p>
    <w:p w:rsidR="00CA3B52" w:rsidRPr="00CB6CBA" w:rsidRDefault="00CA3B52" w:rsidP="00CA3B52">
      <w:pPr>
        <w:pStyle w:val="enumlev1"/>
        <w:rPr>
          <w:lang w:val="en-US"/>
        </w:rPr>
      </w:pPr>
      <w:r w:rsidRPr="00CB6CBA">
        <w:rPr>
          <w:lang w:val="en-US"/>
        </w:rPr>
        <w:t>–</w:t>
      </w:r>
      <w:r w:rsidRPr="00CB6CBA">
        <w:rPr>
          <w:lang w:val="en-US"/>
        </w:rPr>
        <w:tab/>
        <w:t xml:space="preserve">the </w:t>
      </w:r>
      <w:r w:rsidRPr="00CB6CBA">
        <w:rPr>
          <w:i/>
          <w:lang w:val="en-US"/>
        </w:rPr>
        <w:t>second-price sealed bid auction</w:t>
      </w:r>
      <w:r w:rsidRPr="00CB6CBA">
        <w:rPr>
          <w:lang w:val="en-US"/>
        </w:rPr>
        <w:t>, where bidders submit sealed bids and the highest bidder wins but pays the second highest amount bid;</w:t>
      </w:r>
    </w:p>
    <w:p w:rsidR="00CA3B52" w:rsidRPr="00CB6CBA" w:rsidRDefault="00CA3B52" w:rsidP="00CA3B52">
      <w:pPr>
        <w:pStyle w:val="enumlev1"/>
        <w:rPr>
          <w:lang w:val="en-US"/>
        </w:rPr>
      </w:pPr>
      <w:r w:rsidRPr="00CB6CBA">
        <w:rPr>
          <w:lang w:val="en-US"/>
        </w:rPr>
        <w:t>–</w:t>
      </w:r>
      <w:r w:rsidRPr="00CB6CBA">
        <w:rPr>
          <w:lang w:val="en-US"/>
        </w:rPr>
        <w:tab/>
        <w:t xml:space="preserve">the </w:t>
      </w:r>
      <w:r w:rsidRPr="00CB6CBA">
        <w:rPr>
          <w:i/>
          <w:lang w:val="en-US"/>
        </w:rPr>
        <w:t>Dutch auction</w:t>
      </w:r>
      <w:r w:rsidRPr="00CB6CBA">
        <w:rPr>
          <w:lang w:val="en-US"/>
        </w:rPr>
        <w:t>, where the auctioneer announces a high price and reduces it until a bidder shouts “mine”;</w:t>
      </w:r>
    </w:p>
    <w:p w:rsidR="00CA3B52" w:rsidRPr="00CB6CBA" w:rsidRDefault="00CA3B52" w:rsidP="00CA3B52">
      <w:pPr>
        <w:pStyle w:val="enumlev1"/>
        <w:rPr>
          <w:lang w:val="en-US"/>
        </w:rPr>
      </w:pPr>
      <w:r w:rsidRPr="00CB6CBA">
        <w:rPr>
          <w:lang w:val="en-US"/>
        </w:rPr>
        <w:t>–</w:t>
      </w:r>
      <w:r w:rsidRPr="00CB6CBA">
        <w:rPr>
          <w:rFonts w:ascii="Symbol" w:hAnsi="Symbol"/>
          <w:lang w:val="en-US"/>
        </w:rPr>
        <w:tab/>
      </w:r>
      <w:r w:rsidRPr="00CB6CBA">
        <w:rPr>
          <w:lang w:val="en-US"/>
        </w:rPr>
        <w:t xml:space="preserve">the </w:t>
      </w:r>
      <w:r w:rsidRPr="00CB6CBA">
        <w:rPr>
          <w:i/>
          <w:lang w:val="en-US"/>
        </w:rPr>
        <w:t>simultaneous multiple round</w:t>
      </w:r>
      <w:r w:rsidRPr="00CB6CBA">
        <w:rPr>
          <w:lang w:val="en-US"/>
        </w:rPr>
        <w:t xml:space="preserve"> </w:t>
      </w:r>
      <w:r w:rsidRPr="00CB6CBA">
        <w:rPr>
          <w:i/>
          <w:lang w:val="en-US"/>
        </w:rPr>
        <w:t xml:space="preserve">auction, </w:t>
      </w:r>
      <w:r w:rsidRPr="00CB6CBA">
        <w:rPr>
          <w:lang w:val="en-US"/>
        </w:rPr>
        <w:t xml:space="preserve">as first practiced by the Federal Communications Commission (FCC) in the United States of America. This involves multiple rounds of bidding for a number of lots that are offered simultaneously. The highest bid on each lot is revealed to all bidders before the next round when bids are again accepted on all lots. The identity of the high bidder may or may not be revealed after each round, but is revealed at the auction’s close. The process continues until a round occurs in which no new bids are submitted on any lots. This variant is more complex than single-round auctions but offers bidders greater flexibility to combine lots in different ways, and, because it is more open than a sealed bid process, limits the impact of the </w:t>
      </w:r>
      <w:r w:rsidRPr="00CB6CBA">
        <w:rPr>
          <w:i/>
          <w:lang w:val="en-US"/>
        </w:rPr>
        <w:t>winner’s curse</w:t>
      </w:r>
      <w:r w:rsidRPr="00CB6CBA">
        <w:rPr>
          <w:lang w:val="en-US"/>
        </w:rPr>
        <w:t>,</w:t>
      </w:r>
      <w:r w:rsidRPr="00CB6CBA">
        <w:rPr>
          <w:i/>
          <w:lang w:val="en-US"/>
        </w:rPr>
        <w:t xml:space="preserve"> </w:t>
      </w:r>
      <w:r w:rsidRPr="00CB6CBA">
        <w:rPr>
          <w:lang w:val="en-US"/>
        </w:rPr>
        <w:t>allowing bidders to bid with more confidence.</w:t>
      </w:r>
    </w:p>
    <w:p w:rsidR="00CA3B52" w:rsidRPr="00CB6CBA" w:rsidRDefault="00CA3B52" w:rsidP="00CA3B52">
      <w:pPr>
        <w:rPr>
          <w:lang w:val="en-US"/>
        </w:rPr>
      </w:pPr>
      <w:r w:rsidRPr="00CB6CBA">
        <w:rPr>
          <w:i/>
          <w:lang w:val="en-US"/>
        </w:rPr>
        <w:lastRenderedPageBreak/>
        <w:t>Auctions</w:t>
      </w:r>
      <w:r w:rsidRPr="00CB6CBA">
        <w:rPr>
          <w:lang w:val="en-US"/>
        </w:rPr>
        <w:t xml:space="preserve"> are commonly considered to have advantages of economic efficiency, transparency and speed compared to alternative assignment methods and also capture the market value of spectrum rights for the administration holding the auction. They can give rise to anti-competitive outcomes if they result in large operators acquiring an undue concentration of the available spectrum but various safeguards against this can be introduced, for example restrictions on the amount of spectrum an individual bidder may win or “use it or lose it” provisions to prevent hoarding.</w:t>
      </w:r>
    </w:p>
    <w:p w:rsidR="00CA3B52" w:rsidRPr="00CB6CBA" w:rsidRDefault="00CA3B52" w:rsidP="00CA3B52">
      <w:pPr>
        <w:rPr>
          <w:lang w:val="en-US"/>
        </w:rPr>
      </w:pPr>
      <w:r w:rsidRPr="00CB6CBA">
        <w:rPr>
          <w:b/>
          <w:lang w:val="en-US"/>
        </w:rPr>
        <w:t>Bidding credit</w:t>
      </w:r>
      <w:r w:rsidRPr="00CB6CBA">
        <w:rPr>
          <w:bCs/>
          <w:lang w:val="en-US"/>
        </w:rPr>
        <w:t>:  </w:t>
      </w:r>
      <w:r w:rsidRPr="00CB6CBA">
        <w:rPr>
          <w:lang w:val="en-US"/>
        </w:rPr>
        <w:t>A discount given to certain bidders to promote socially desirable goods. Bidding credits were given to smaller, entrepreneurial firms in some FCC auctions. For example, a 25% bidding credit would mean that if an entrepreneurial firm submitted a winning bid of USD 1</w:t>
      </w:r>
      <w:r w:rsidRPr="00CB6CBA">
        <w:rPr>
          <w:rFonts w:ascii="Tms Rmn" w:hAnsi="Tms Rmn"/>
          <w:sz w:val="12"/>
          <w:lang w:val="en-US"/>
        </w:rPr>
        <w:t> </w:t>
      </w:r>
      <w:r w:rsidRPr="00CB6CBA">
        <w:rPr>
          <w:lang w:val="en-US"/>
        </w:rPr>
        <w:t>000</w:t>
      </w:r>
      <w:r w:rsidRPr="00CB6CBA">
        <w:rPr>
          <w:rFonts w:ascii="Tms Rmn" w:hAnsi="Tms Rmn"/>
          <w:sz w:val="12"/>
          <w:lang w:val="en-US"/>
        </w:rPr>
        <w:t> </w:t>
      </w:r>
      <w:r w:rsidRPr="00CB6CBA">
        <w:rPr>
          <w:lang w:val="en-US"/>
        </w:rPr>
        <w:t>000, it would pay only USD 750</w:t>
      </w:r>
      <w:r w:rsidRPr="00CB6CBA">
        <w:rPr>
          <w:rFonts w:ascii="Tms Rmn" w:hAnsi="Tms Rmn"/>
          <w:sz w:val="12"/>
          <w:lang w:val="en-US"/>
        </w:rPr>
        <w:t> </w:t>
      </w:r>
      <w:r w:rsidRPr="00CB6CBA">
        <w:rPr>
          <w:lang w:val="en-US"/>
        </w:rPr>
        <w:t xml:space="preserve">000. Originally, bidding credits were also proposed for women and racial minorities; however, the FCC dropped this proposal after the United States of America Supreme Court’s </w:t>
      </w:r>
      <w:r w:rsidRPr="00CB6CBA">
        <w:rPr>
          <w:i/>
          <w:lang w:val="en-US"/>
        </w:rPr>
        <w:t xml:space="preserve">Adarand </w:t>
      </w:r>
      <w:r w:rsidRPr="00CB6CBA">
        <w:rPr>
          <w:lang w:val="en-US"/>
        </w:rPr>
        <w:t>decision, which declared that such preferences were discriminatory, and therefore illegal.</w:t>
      </w:r>
    </w:p>
    <w:p w:rsidR="00CA3B52" w:rsidRPr="00CB6CBA" w:rsidRDefault="00CA3B52" w:rsidP="00CA3B52">
      <w:pPr>
        <w:rPr>
          <w:b/>
          <w:lang w:val="en-US"/>
        </w:rPr>
      </w:pPr>
      <w:r w:rsidRPr="00CB6CBA">
        <w:rPr>
          <w:b/>
          <w:lang w:val="en-US"/>
        </w:rPr>
        <w:t>Differential rent</w:t>
      </w:r>
      <w:r w:rsidRPr="00CB6CBA">
        <w:rPr>
          <w:bCs/>
          <w:lang w:val="en-US"/>
        </w:rPr>
        <w:t>:  </w:t>
      </w:r>
      <w:r w:rsidRPr="00CB6CBA">
        <w:rPr>
          <w:lang w:val="en-US"/>
        </w:rPr>
        <w:t>Rent attributable to varying characteristics of a resource, e.g., more desirable propagation characteristics in one frequency band than another frequency band.</w:t>
      </w:r>
    </w:p>
    <w:p w:rsidR="00CA3B52" w:rsidRPr="00CB6CBA" w:rsidRDefault="00CA3B52" w:rsidP="00CA3B52">
      <w:pPr>
        <w:rPr>
          <w:lang w:val="en-US"/>
        </w:rPr>
      </w:pPr>
      <w:r w:rsidRPr="00CB6CBA">
        <w:rPr>
          <w:b/>
          <w:lang w:val="en-US"/>
        </w:rPr>
        <w:t>First-come, first-served</w:t>
      </w:r>
      <w:r w:rsidRPr="00CB6CBA">
        <w:rPr>
          <w:bCs/>
          <w:lang w:val="en-US"/>
        </w:rPr>
        <w:t>:  </w:t>
      </w:r>
      <w:r w:rsidRPr="00CB6CBA">
        <w:rPr>
          <w:lang w:val="en-US"/>
        </w:rPr>
        <w:t>An assignment procedure in which spectrum is assigned to applicants until it is exhausted, subject only to compliance with minimum technical or financial criteria. This procedure has tended to be used for small scale assignments, such as individual private business radio and fixed links licences. It works best where spectrum is not scarce.</w:t>
      </w:r>
    </w:p>
    <w:p w:rsidR="00CA3B52" w:rsidRPr="00CB6CBA" w:rsidRDefault="00CA3B52" w:rsidP="00CA3B52">
      <w:pPr>
        <w:rPr>
          <w:lang w:val="en-US"/>
        </w:rPr>
      </w:pPr>
      <w:r w:rsidRPr="00CB6CBA">
        <w:rPr>
          <w:b/>
          <w:lang w:val="en-US"/>
        </w:rPr>
        <w:t>Gross domestic product (GDP)</w:t>
      </w:r>
      <w:r w:rsidRPr="00CB6CBA">
        <w:rPr>
          <w:bCs/>
          <w:lang w:val="en-US"/>
        </w:rPr>
        <w:t>:  </w:t>
      </w:r>
      <w:r w:rsidRPr="00CB6CBA">
        <w:rPr>
          <w:lang w:val="en-US"/>
        </w:rPr>
        <w:t>The sum of the value of all final goods and services sold within the geographic borders of a country in a year.</w:t>
      </w:r>
    </w:p>
    <w:p w:rsidR="00CA3B52" w:rsidRPr="00CB6CBA" w:rsidRDefault="00CA3B52" w:rsidP="00CA3B52">
      <w:pPr>
        <w:rPr>
          <w:lang w:val="en-US"/>
        </w:rPr>
      </w:pPr>
      <w:r w:rsidRPr="00CB6CBA">
        <w:rPr>
          <w:b/>
          <w:lang w:val="en-US"/>
        </w:rPr>
        <w:t>Lottery</w:t>
      </w:r>
      <w:r w:rsidRPr="00CB6CBA">
        <w:rPr>
          <w:bCs/>
          <w:lang w:val="en-US"/>
        </w:rPr>
        <w:t>:  </w:t>
      </w:r>
      <w:r w:rsidRPr="00CB6CBA">
        <w:rPr>
          <w:lang w:val="en-US"/>
        </w:rPr>
        <w:t xml:space="preserve">A process for assigning </w:t>
      </w:r>
      <w:r w:rsidRPr="00CB6CBA">
        <w:rPr>
          <w:i/>
          <w:lang w:val="en-US"/>
        </w:rPr>
        <w:t xml:space="preserve">apparatus licences </w:t>
      </w:r>
      <w:r w:rsidRPr="00CB6CBA">
        <w:rPr>
          <w:lang w:val="en-US"/>
        </w:rPr>
        <w:t xml:space="preserve">or </w:t>
      </w:r>
      <w:r w:rsidRPr="00CB6CBA">
        <w:rPr>
          <w:i/>
          <w:lang w:val="en-US"/>
        </w:rPr>
        <w:t xml:space="preserve">spectrum rights </w:t>
      </w:r>
      <w:r w:rsidRPr="00CB6CBA">
        <w:rPr>
          <w:lang w:val="en-US"/>
        </w:rPr>
        <w:t xml:space="preserve">to applicants selected at random. </w:t>
      </w:r>
      <w:r w:rsidRPr="00CB6CBA">
        <w:rPr>
          <w:i/>
          <w:lang w:val="en-US"/>
        </w:rPr>
        <w:t>Lotteries</w:t>
      </w:r>
      <w:r w:rsidRPr="00CB6CBA">
        <w:rPr>
          <w:lang w:val="en-US"/>
        </w:rPr>
        <w:t xml:space="preserve"> have the advantage of speed and simplicity but they are unlikely to lead to an economically optimum outcome and can give rise to speculative applications because of the prospect of windfall gains.</w:t>
      </w:r>
    </w:p>
    <w:p w:rsidR="00CA3B52" w:rsidRPr="00CB6CBA" w:rsidRDefault="00CA3B52" w:rsidP="00CA3B52">
      <w:pPr>
        <w:rPr>
          <w:lang w:val="en-US"/>
        </w:rPr>
      </w:pPr>
      <w:r w:rsidRPr="00CB6CBA">
        <w:rPr>
          <w:b/>
          <w:lang w:val="en-US"/>
        </w:rPr>
        <w:t>Mutual exclusivity</w:t>
      </w:r>
      <w:r w:rsidRPr="00CB6CBA">
        <w:rPr>
          <w:bCs/>
          <w:lang w:val="en-US"/>
        </w:rPr>
        <w:t>:  </w:t>
      </w:r>
      <w:r w:rsidRPr="00CB6CBA">
        <w:rPr>
          <w:lang w:val="en-US"/>
        </w:rPr>
        <w:t>A situation in which two or more applicants are competing for the same spectrum assignment.</w:t>
      </w:r>
    </w:p>
    <w:p w:rsidR="00CA3B52" w:rsidRPr="00CB6CBA" w:rsidRDefault="00CA3B52" w:rsidP="00CA3B52">
      <w:pPr>
        <w:rPr>
          <w:lang w:val="en-US"/>
        </w:rPr>
      </w:pPr>
      <w:r w:rsidRPr="00CB6CBA">
        <w:rPr>
          <w:b/>
          <w:lang w:val="en-US"/>
        </w:rPr>
        <w:t>Oligopoly</w:t>
      </w:r>
      <w:r w:rsidRPr="00CB6CBA">
        <w:rPr>
          <w:bCs/>
          <w:lang w:val="en-US"/>
        </w:rPr>
        <w:t>:  </w:t>
      </w:r>
      <w:r w:rsidRPr="00CB6CBA">
        <w:rPr>
          <w:lang w:val="en-US"/>
        </w:rPr>
        <w:t>A situation in which only a small number of firms are supplying a product or service. This situation may be contrasted with a monopoly situation, in which there is only one firm supplying a product or service.</w:t>
      </w:r>
    </w:p>
    <w:p w:rsidR="00CA3B52" w:rsidRPr="00CB6CBA" w:rsidRDefault="00CA3B52" w:rsidP="00CA3B52">
      <w:pPr>
        <w:rPr>
          <w:lang w:val="en-US"/>
        </w:rPr>
      </w:pPr>
      <w:r w:rsidRPr="00CB6CBA">
        <w:rPr>
          <w:b/>
          <w:lang w:val="en-US"/>
        </w:rPr>
        <w:t>Opportunity cost</w:t>
      </w:r>
      <w:r w:rsidRPr="00CB6CBA">
        <w:rPr>
          <w:bCs/>
          <w:lang w:val="en-US"/>
        </w:rPr>
        <w:t>:  </w:t>
      </w:r>
      <w:r w:rsidRPr="00CB6CBA">
        <w:rPr>
          <w:lang w:val="en-US"/>
        </w:rPr>
        <w:t>The benefits foregone by not putting a resource to its best alternative use. For example, the best alternative use of a frequency band currently used for a broadcast service might be for a mobile service. In an auction, the bidder with the highest willingness to pay will generally win, with a bid that is just above the valuation of the bidder with the second highest willingness to pay. This second highest valuation represents the opportunity cost.</w:t>
      </w:r>
    </w:p>
    <w:p w:rsidR="00CA3B52" w:rsidRPr="00CB6CBA" w:rsidRDefault="00CA3B52" w:rsidP="00CA3B52">
      <w:pPr>
        <w:rPr>
          <w:lang w:val="en-US"/>
        </w:rPr>
      </w:pPr>
      <w:r w:rsidRPr="00CB6CBA">
        <w:rPr>
          <w:b/>
          <w:lang w:val="en-US"/>
        </w:rPr>
        <w:t>Resource rents</w:t>
      </w:r>
      <w:r w:rsidRPr="00CB6CBA">
        <w:rPr>
          <w:bCs/>
          <w:lang w:val="en-US"/>
        </w:rPr>
        <w:t>:  </w:t>
      </w:r>
      <w:r w:rsidRPr="00CB6CBA">
        <w:rPr>
          <w:lang w:val="en-US"/>
        </w:rPr>
        <w:t>The term economists use to categorize the value of a resource. The rent accruing to a resource right, such as a spectrum right, can be quantified by the price that the right would sell for in an open market.</w:t>
      </w:r>
    </w:p>
    <w:p w:rsidR="00CA3B52" w:rsidRPr="00CB6CBA" w:rsidRDefault="00CA3B52" w:rsidP="00CA3B52">
      <w:pPr>
        <w:rPr>
          <w:lang w:val="en-US"/>
        </w:rPr>
      </w:pPr>
      <w:r w:rsidRPr="00CB6CBA">
        <w:rPr>
          <w:b/>
          <w:lang w:val="en-US"/>
        </w:rPr>
        <w:t>Scarcity rent</w:t>
      </w:r>
      <w:r w:rsidRPr="00CB6CBA">
        <w:rPr>
          <w:bCs/>
          <w:lang w:val="en-US"/>
        </w:rPr>
        <w:t>:  </w:t>
      </w:r>
      <w:r w:rsidRPr="00CB6CBA">
        <w:rPr>
          <w:lang w:val="en-US"/>
        </w:rPr>
        <w:t>Rent attributable to a resource demand exceeding supply at zero price.</w:t>
      </w:r>
    </w:p>
    <w:p w:rsidR="00CA3B52" w:rsidRPr="00CB6CBA" w:rsidRDefault="00CA3B52" w:rsidP="00CA3B52">
      <w:pPr>
        <w:rPr>
          <w:b/>
          <w:lang w:val="en-US"/>
        </w:rPr>
      </w:pPr>
      <w:r w:rsidRPr="00CB6CBA">
        <w:rPr>
          <w:b/>
          <w:lang w:val="en-US"/>
        </w:rPr>
        <w:t>Secondary trading</w:t>
      </w:r>
      <w:r w:rsidRPr="00CB6CBA">
        <w:rPr>
          <w:bCs/>
          <w:lang w:val="en-US"/>
        </w:rPr>
        <w:t>:  </w:t>
      </w:r>
      <w:r w:rsidRPr="00CB6CBA">
        <w:rPr>
          <w:lang w:val="en-US"/>
        </w:rPr>
        <w:t xml:space="preserve">Buying and selling of </w:t>
      </w:r>
      <w:r w:rsidRPr="00CB6CBA">
        <w:rPr>
          <w:i/>
          <w:lang w:val="en-US"/>
        </w:rPr>
        <w:t xml:space="preserve">apparatus licences </w:t>
      </w:r>
      <w:r w:rsidRPr="00CB6CBA">
        <w:rPr>
          <w:lang w:val="en-US"/>
        </w:rPr>
        <w:t xml:space="preserve">or </w:t>
      </w:r>
      <w:r w:rsidRPr="00CB6CBA">
        <w:rPr>
          <w:i/>
          <w:lang w:val="en-US"/>
        </w:rPr>
        <w:t>spectrum rights</w:t>
      </w:r>
      <w:r w:rsidRPr="00CB6CBA">
        <w:rPr>
          <w:lang w:val="en-US"/>
        </w:rPr>
        <w:t xml:space="preserve"> after initial assignment by the spectrum manager. Dealing may take place directly between the parties or through an intermediary.</w:t>
      </w:r>
    </w:p>
    <w:p w:rsidR="00CA3B52" w:rsidRPr="00CB6CBA" w:rsidRDefault="00CA3B52" w:rsidP="00CA3B52">
      <w:pPr>
        <w:rPr>
          <w:b/>
          <w:lang w:val="en-US"/>
        </w:rPr>
      </w:pPr>
      <w:r w:rsidRPr="00CB6CBA">
        <w:rPr>
          <w:b/>
          <w:lang w:val="en-US"/>
        </w:rPr>
        <w:t>Shadow pricing</w:t>
      </w:r>
      <w:r w:rsidRPr="00CB6CBA">
        <w:rPr>
          <w:bCs/>
          <w:lang w:val="en-US"/>
        </w:rPr>
        <w:t>:  </w:t>
      </w:r>
      <w:r w:rsidRPr="00CB6CBA">
        <w:rPr>
          <w:lang w:val="en-US"/>
        </w:rPr>
        <w:t>A form of administrative pricing in which the price is set according to a predetermined formula intended to mimic the effect of market forces. Parameters commonly used include bandwidth, frequency location, geographical location and coverage area.</w:t>
      </w:r>
    </w:p>
    <w:p w:rsidR="00CA3B52" w:rsidRPr="00CB6CBA" w:rsidRDefault="00CA3B52" w:rsidP="00CA3B52">
      <w:pPr>
        <w:rPr>
          <w:lang w:val="en-US"/>
        </w:rPr>
      </w:pPr>
      <w:r w:rsidRPr="00CB6CBA">
        <w:rPr>
          <w:b/>
          <w:lang w:val="en-US"/>
        </w:rPr>
        <w:lastRenderedPageBreak/>
        <w:t>Spectrum pricing</w:t>
      </w:r>
      <w:r w:rsidRPr="00CB6CBA">
        <w:rPr>
          <w:bCs/>
          <w:lang w:val="en-US"/>
        </w:rPr>
        <w:t>:  </w:t>
      </w:r>
      <w:r w:rsidRPr="00CB6CBA">
        <w:rPr>
          <w:lang w:val="en-US"/>
        </w:rPr>
        <w:t xml:space="preserve">A generic term currently used to denote the denoting of the use of pricing as a spectrum management tool. It covers both </w:t>
      </w:r>
      <w:r w:rsidRPr="00CB6CBA">
        <w:rPr>
          <w:i/>
          <w:lang w:val="en-US"/>
        </w:rPr>
        <w:t>administrative incentive pricing</w:t>
      </w:r>
      <w:r w:rsidRPr="00CB6CBA">
        <w:rPr>
          <w:lang w:val="en-US"/>
        </w:rPr>
        <w:t xml:space="preserve"> and </w:t>
      </w:r>
      <w:r w:rsidRPr="00CB6CBA">
        <w:rPr>
          <w:i/>
          <w:lang w:val="en-US"/>
        </w:rPr>
        <w:t>auctions</w:t>
      </w:r>
      <w:r w:rsidRPr="00CB6CBA">
        <w:rPr>
          <w:lang w:val="en-US"/>
        </w:rPr>
        <w:t xml:space="preserve"> of either </w:t>
      </w:r>
      <w:r w:rsidRPr="00CB6CBA">
        <w:rPr>
          <w:i/>
          <w:lang w:val="en-US"/>
        </w:rPr>
        <w:t>apparatus licences</w:t>
      </w:r>
      <w:r w:rsidRPr="00CB6CBA">
        <w:rPr>
          <w:lang w:val="en-US"/>
        </w:rPr>
        <w:t xml:space="preserve"> or </w:t>
      </w:r>
      <w:r w:rsidRPr="00CB6CBA">
        <w:rPr>
          <w:i/>
          <w:lang w:val="en-US"/>
        </w:rPr>
        <w:t>spectrum rights</w:t>
      </w:r>
      <w:r w:rsidRPr="00CB6CBA">
        <w:rPr>
          <w:lang w:val="en-US"/>
        </w:rPr>
        <w:t xml:space="preserve">. Under </w:t>
      </w:r>
      <w:r w:rsidRPr="00CB6CBA">
        <w:rPr>
          <w:i/>
          <w:lang w:val="en-US"/>
        </w:rPr>
        <w:t>spectrum pricing</w:t>
      </w:r>
      <w:r w:rsidRPr="00CB6CBA">
        <w:rPr>
          <w:lang w:val="en-US"/>
        </w:rPr>
        <w:t>, charges are not set by reference to the fully allocated costs of spectrum management attributable to particular user categories but are intended to balance supply of and demand for spectrum or to achieve other spectrum management policy objectives, such as facilitating the introduction of new services or promoting competition.</w:t>
      </w:r>
    </w:p>
    <w:p w:rsidR="00CA3B52" w:rsidRPr="00CB6CBA" w:rsidRDefault="00CA3B52" w:rsidP="00CA3B52">
      <w:pPr>
        <w:rPr>
          <w:lang w:val="en-US"/>
        </w:rPr>
      </w:pPr>
      <w:r w:rsidRPr="00CB6CBA">
        <w:rPr>
          <w:b/>
          <w:lang w:val="en-US"/>
        </w:rPr>
        <w:t>Spectrum rights</w:t>
      </w:r>
      <w:r w:rsidRPr="00CB6CBA">
        <w:rPr>
          <w:bCs/>
          <w:lang w:val="en-US"/>
        </w:rPr>
        <w:t>:  </w:t>
      </w:r>
      <w:r w:rsidRPr="00CB6CBA">
        <w:rPr>
          <w:lang w:val="en-US"/>
        </w:rPr>
        <w:t xml:space="preserve">The right, analogous to a property right, to use a specified frequency or range of frequencies in a particular location or throughout a nation or region for a particular time period within the ITU Radio Regulations. Where such rights have been introduced, restrictions on the type of equipment to be used or service to be provided may be minimal apart from technical non-interference conditions in relation to adjacent </w:t>
      </w:r>
      <w:r w:rsidRPr="00CB6CBA">
        <w:rPr>
          <w:i/>
          <w:lang w:val="en-US"/>
        </w:rPr>
        <w:t>spectrum rights</w:t>
      </w:r>
      <w:r w:rsidRPr="00CB6CBA">
        <w:rPr>
          <w:lang w:val="en-US"/>
        </w:rPr>
        <w:t xml:space="preserve">. It may be possible to assemble </w:t>
      </w:r>
      <w:r w:rsidRPr="00CB6CBA">
        <w:rPr>
          <w:i/>
          <w:lang w:val="en-US"/>
        </w:rPr>
        <w:t>spectrum rights</w:t>
      </w:r>
      <w:r w:rsidRPr="00CB6CBA">
        <w:rPr>
          <w:lang w:val="en-US"/>
        </w:rPr>
        <w:t xml:space="preserve"> to provide increased bandwidth or coverage area or both.</w:t>
      </w:r>
    </w:p>
    <w:p w:rsidR="00CA3B52" w:rsidRPr="00CB6CBA" w:rsidRDefault="00CA3B52" w:rsidP="00CA3B52">
      <w:pPr>
        <w:rPr>
          <w:lang w:val="en-US"/>
        </w:rPr>
      </w:pPr>
      <w:r w:rsidRPr="00CB6CBA">
        <w:rPr>
          <w:b/>
          <w:lang w:val="en-US"/>
        </w:rPr>
        <w:t>Threshold qualifications</w:t>
      </w:r>
      <w:r w:rsidRPr="00CB6CBA">
        <w:rPr>
          <w:bCs/>
          <w:lang w:val="en-US"/>
        </w:rPr>
        <w:t>:  </w:t>
      </w:r>
      <w:r w:rsidRPr="00CB6CBA">
        <w:rPr>
          <w:lang w:val="en-US"/>
        </w:rPr>
        <w:t>Qualifications that are a prerequisite to participate in some process, such as a lottery or auction. Threshold qualifications may include financial and technical viability, and a service plan that satisfies certain social goals.</w:t>
      </w:r>
    </w:p>
    <w:p w:rsidR="00CA3B52" w:rsidRPr="00CB6CBA" w:rsidRDefault="00CA3B52" w:rsidP="00CA3B52">
      <w:pPr>
        <w:rPr>
          <w:lang w:val="en-US"/>
        </w:rPr>
      </w:pPr>
      <w:r w:rsidRPr="00CB6CBA">
        <w:rPr>
          <w:b/>
          <w:lang w:val="en-US"/>
        </w:rPr>
        <w:t>Unjust enrichment</w:t>
      </w:r>
      <w:r w:rsidRPr="00CB6CBA">
        <w:rPr>
          <w:bCs/>
          <w:lang w:val="en-US"/>
        </w:rPr>
        <w:t>:  </w:t>
      </w:r>
      <w:r w:rsidRPr="00CB6CBA">
        <w:rPr>
          <w:lang w:val="en-US"/>
        </w:rPr>
        <w:t>An award, such as the award of a valuable frequency assignment, to a person or company that exceeds that person’s or company’s entitlement to the award.</w:t>
      </w:r>
    </w:p>
    <w:p w:rsidR="00CA3B52" w:rsidRPr="00CB6CBA" w:rsidRDefault="00CA3B52" w:rsidP="00CA3B52">
      <w:pPr>
        <w:rPr>
          <w:lang w:val="en-US"/>
        </w:rPr>
      </w:pPr>
      <w:r w:rsidRPr="00CB6CBA">
        <w:rPr>
          <w:b/>
          <w:lang w:val="en-US"/>
        </w:rPr>
        <w:t>Winner’s curse</w:t>
      </w:r>
      <w:r w:rsidRPr="00CB6CBA">
        <w:rPr>
          <w:bCs/>
          <w:lang w:val="en-US"/>
        </w:rPr>
        <w:t>:  </w:t>
      </w:r>
      <w:r w:rsidRPr="00CB6CBA">
        <w:rPr>
          <w:lang w:val="en-US"/>
        </w:rPr>
        <w:t xml:space="preserve">A possible effect of an auction, most commonly a sealed-bid auction. Assuming that some bidders will overestimate the value of the lot, the winner may be the most optimistic rather than the most skilful in assessing the value of the lot. In a sealed-bid auction, auction proceeds may be reduced as bidders attempt to minimize this effect. </w:t>
      </w:r>
      <w:r w:rsidRPr="00CB6CBA">
        <w:rPr>
          <w:i/>
          <w:lang w:val="en-US"/>
        </w:rPr>
        <w:t>Winner’s curse</w:t>
      </w:r>
      <w:r w:rsidRPr="00CB6CBA">
        <w:rPr>
          <w:lang w:val="en-US"/>
        </w:rPr>
        <w:t xml:space="preserve"> can be reduced or eliminated by careful design, particularly by using multiple round auctions (see </w:t>
      </w:r>
      <w:r w:rsidRPr="00CB6CBA">
        <w:rPr>
          <w:i/>
          <w:lang w:val="en-US"/>
        </w:rPr>
        <w:t>simultaneous multi-round auction</w:t>
      </w:r>
      <w:r w:rsidRPr="00CB6CBA">
        <w:rPr>
          <w:lang w:val="en-US"/>
        </w:rPr>
        <w:t>).</w:t>
      </w:r>
    </w:p>
    <w:p w:rsidR="00CA3B52" w:rsidRDefault="00CA3B52" w:rsidP="00CA3B52">
      <w:pPr>
        <w:rPr>
          <w:lang w:val="en-US"/>
        </w:rPr>
      </w:pPr>
    </w:p>
    <w:p w:rsidR="00AD6883" w:rsidRDefault="00AD6883" w:rsidP="00CA3B52">
      <w:pPr>
        <w:rPr>
          <w:lang w:val="en-US"/>
        </w:rPr>
      </w:pPr>
    </w:p>
    <w:p w:rsidR="00AD6883" w:rsidRDefault="00AD6883" w:rsidP="00CA3B52">
      <w:pPr>
        <w:rPr>
          <w:lang w:val="en-US"/>
        </w:rPr>
      </w:pPr>
    </w:p>
    <w:p w:rsidR="00CA3B52" w:rsidRPr="004E78EB" w:rsidRDefault="00CA3B52" w:rsidP="00CA3B52">
      <w:pPr>
        <w:pStyle w:val="AnnexNoTitle"/>
        <w:rPr>
          <w:lang w:val="en-US"/>
        </w:rPr>
      </w:pPr>
      <w:bookmarkStart w:id="1946" w:name="_Toc289868886"/>
      <w:bookmarkStart w:id="1947" w:name="_Toc289933399"/>
      <w:bookmarkStart w:id="1948" w:name="_Toc291852962"/>
      <w:bookmarkStart w:id="1949" w:name="_Toc392515946"/>
      <w:r w:rsidRPr="004E78EB">
        <w:rPr>
          <w:lang w:val="en-US"/>
        </w:rPr>
        <w:t>Annex 1</w:t>
      </w:r>
      <w:bookmarkEnd w:id="1946"/>
      <w:bookmarkEnd w:id="1947"/>
      <w:bookmarkEnd w:id="1948"/>
      <w:bookmarkEnd w:id="1949"/>
    </w:p>
    <w:p w:rsidR="00CA3B52" w:rsidRDefault="00CA3B52" w:rsidP="00CA3B52">
      <w:pPr>
        <w:pStyle w:val="Heading3"/>
        <w:rPr>
          <w:lang w:val="en-US"/>
        </w:rPr>
      </w:pPr>
      <w:bookmarkStart w:id="1950" w:name="_Toc289868887"/>
      <w:bookmarkStart w:id="1951" w:name="_Toc289869046"/>
      <w:bookmarkStart w:id="1952" w:name="_Toc289932352"/>
      <w:bookmarkStart w:id="1953" w:name="_Toc289933400"/>
      <w:bookmarkStart w:id="1954" w:name="_Toc291852963"/>
      <w:bookmarkStart w:id="1955" w:name="_Toc392515947"/>
      <w:r w:rsidRPr="00CB6CBA">
        <w:rPr>
          <w:lang w:val="en-US"/>
        </w:rPr>
        <w:t>A.1.1</w:t>
      </w:r>
      <w:r w:rsidRPr="00CB6CBA">
        <w:rPr>
          <w:lang w:val="en-US"/>
        </w:rPr>
        <w:tab/>
        <w:t>Spectrum Fees Regulations of the United Arab Emirates</w:t>
      </w:r>
      <w:bookmarkEnd w:id="1950"/>
      <w:bookmarkEnd w:id="1951"/>
      <w:bookmarkEnd w:id="1952"/>
      <w:bookmarkEnd w:id="1953"/>
      <w:bookmarkEnd w:id="1954"/>
      <w:bookmarkEnd w:id="1955"/>
    </w:p>
    <w:p w:rsidR="00CA3B52" w:rsidRPr="00CB6CBA" w:rsidRDefault="00CA3B52" w:rsidP="00CA3B52">
      <w:pPr>
        <w:pStyle w:val="ArtNo"/>
        <w:rPr>
          <w:lang w:val="en-US"/>
        </w:rPr>
      </w:pPr>
      <w:r w:rsidRPr="00CB6CBA">
        <w:rPr>
          <w:lang w:val="en-US"/>
        </w:rPr>
        <w:t>ARTICLE (1)</w:t>
      </w:r>
    </w:p>
    <w:p w:rsidR="00CA3B52" w:rsidRPr="00CB6CBA" w:rsidRDefault="00CA3B52" w:rsidP="00CA3B52">
      <w:pPr>
        <w:pStyle w:val="Arttitle"/>
        <w:rPr>
          <w:lang w:val="en-US"/>
        </w:rPr>
      </w:pPr>
      <w:bookmarkStart w:id="1956" w:name="_Toc237657972"/>
      <w:r w:rsidRPr="00CB6CBA">
        <w:rPr>
          <w:lang w:val="en-US"/>
        </w:rPr>
        <w:t>Purpose</w:t>
      </w:r>
      <w:bookmarkEnd w:id="1956"/>
    </w:p>
    <w:p w:rsidR="00CA3B52" w:rsidRPr="00CB6CBA" w:rsidRDefault="00CA3B52" w:rsidP="00CA3B52">
      <w:pPr>
        <w:pStyle w:val="enumlev1"/>
        <w:rPr>
          <w:lang w:val="en-US"/>
        </w:rPr>
      </w:pPr>
      <w:r w:rsidRPr="00CB6CBA">
        <w:rPr>
          <w:lang w:val="en-US"/>
        </w:rPr>
        <w:t>1.1</w:t>
      </w:r>
      <w:r w:rsidRPr="00CB6CBA">
        <w:rPr>
          <w:lang w:val="en-US"/>
        </w:rPr>
        <w:tab/>
        <w:t>In accordance with the Federal Law by Decree No. 3 of 2003 as amended and its Executive Order, these Regulations sets the spectrum Fees schedule for Frequency Spectrum and Wireless Equipment</w:t>
      </w:r>
      <w:r w:rsidRPr="00CB6CBA" w:rsidDel="00475BFE">
        <w:rPr>
          <w:lang w:val="en-US"/>
        </w:rPr>
        <w:t xml:space="preserve"> </w:t>
      </w:r>
      <w:r w:rsidRPr="00CB6CBA">
        <w:rPr>
          <w:lang w:val="en-US"/>
        </w:rPr>
        <w:t>Authorization. The spectrum Fees shall be collected in advance for applying, registering, authorizing, issuing or renewing Authorization, unless exempted in these Regulations.</w:t>
      </w:r>
    </w:p>
    <w:p w:rsidR="00CA3B52" w:rsidRPr="00CB6CBA" w:rsidRDefault="00CA3B52" w:rsidP="00CA3B52">
      <w:pPr>
        <w:pStyle w:val="ArtNo"/>
        <w:rPr>
          <w:lang w:val="en-US"/>
        </w:rPr>
      </w:pPr>
      <w:r w:rsidRPr="00CB6CBA">
        <w:rPr>
          <w:lang w:val="en-US"/>
        </w:rPr>
        <w:lastRenderedPageBreak/>
        <w:t>ARTICLE (2)</w:t>
      </w:r>
    </w:p>
    <w:p w:rsidR="00CA3B52" w:rsidRPr="00CB6CBA" w:rsidRDefault="00CA3B52" w:rsidP="00CA3B52">
      <w:pPr>
        <w:pStyle w:val="Arttitle"/>
        <w:rPr>
          <w:lang w:val="en-US"/>
        </w:rPr>
      </w:pPr>
      <w:bookmarkStart w:id="1957" w:name="_Toc237657973"/>
      <w:r w:rsidRPr="00CB6CBA">
        <w:rPr>
          <w:lang w:val="en-US"/>
        </w:rPr>
        <w:t>Definitions</w:t>
      </w:r>
      <w:bookmarkEnd w:id="1957"/>
    </w:p>
    <w:p w:rsidR="00CA3B52" w:rsidRPr="00CB6CBA" w:rsidRDefault="00CA3B52" w:rsidP="00CA3B52">
      <w:pPr>
        <w:pStyle w:val="enumlev1"/>
        <w:keepNext/>
        <w:keepLines/>
        <w:rPr>
          <w:lang w:val="en-US"/>
        </w:rPr>
      </w:pPr>
      <w:r w:rsidRPr="00CB6CBA">
        <w:rPr>
          <w:lang w:val="en-US"/>
        </w:rPr>
        <w:t>2.1</w:t>
      </w:r>
      <w:r w:rsidRPr="00CB6CBA">
        <w:rPr>
          <w:lang w:val="en-US"/>
        </w:rPr>
        <w:tab/>
        <w:t>In applying these Regulations, the following terms shall have the following meanings unless the context requires otherwise, whereas any term undefined in the following shall be defined in line with the Federal Law by Decree No. 3 of 2003 as amended and its Executive Order:</w:t>
      </w:r>
    </w:p>
    <w:p w:rsidR="00CA3B52" w:rsidRPr="00CB6CBA" w:rsidRDefault="00CA3B52" w:rsidP="00CA3B52">
      <w:pPr>
        <w:pStyle w:val="enumlev1"/>
        <w:rPr>
          <w:lang w:val="en-US"/>
        </w:rPr>
      </w:pPr>
      <w:r w:rsidRPr="00CB6CBA">
        <w:rPr>
          <w:lang w:val="en-US"/>
        </w:rPr>
        <w:t>2.1.1</w:t>
      </w:r>
      <w:r w:rsidRPr="00CB6CBA">
        <w:rPr>
          <w:lang w:val="en-US"/>
        </w:rPr>
        <w:tab/>
      </w:r>
      <w:r>
        <w:rPr>
          <w:b/>
          <w:lang w:val="en-US"/>
        </w:rPr>
        <w:t>“</w:t>
      </w:r>
      <w:r w:rsidRPr="00CB6CBA">
        <w:rPr>
          <w:b/>
          <w:lang w:val="en-US"/>
        </w:rPr>
        <w:t>Applicant</w:t>
      </w:r>
      <w:r>
        <w:rPr>
          <w:b/>
          <w:lang w:val="en-US"/>
        </w:rPr>
        <w:t>”</w:t>
      </w:r>
      <w:r w:rsidRPr="00CB6CBA">
        <w:rPr>
          <w:lang w:val="en-US"/>
        </w:rPr>
        <w:t xml:space="preserve"> means any Person who has applied for a License or an Authorization in accordance with the Telecom Law or other Regulatory Instruments issued by the TRA.</w:t>
      </w:r>
    </w:p>
    <w:p w:rsidR="00CA3B52" w:rsidRPr="00CB6CBA" w:rsidRDefault="00CA3B52" w:rsidP="00CA3B52">
      <w:pPr>
        <w:pStyle w:val="enumlev1"/>
        <w:rPr>
          <w:lang w:val="en-US"/>
        </w:rPr>
      </w:pPr>
      <w:r w:rsidRPr="00CB6CBA">
        <w:rPr>
          <w:lang w:val="en-US"/>
        </w:rPr>
        <w:t>2.1.2</w:t>
      </w:r>
      <w:r w:rsidRPr="00CB6CBA">
        <w:rPr>
          <w:lang w:val="en-US"/>
        </w:rPr>
        <w:tab/>
      </w:r>
      <w:r w:rsidRPr="00CB6CBA">
        <w:rPr>
          <w:b/>
          <w:lang w:val="en-US"/>
        </w:rPr>
        <w:t xml:space="preserve">“Application” </w:t>
      </w:r>
      <w:r w:rsidRPr="00CB6CBA">
        <w:rPr>
          <w:lang w:val="en-US"/>
        </w:rPr>
        <w:t>means the request for issuance of a License or an Authorization, received at the TRA on prescribed forms as per the procedure in vogue.</w:t>
      </w:r>
    </w:p>
    <w:p w:rsidR="00CA3B52" w:rsidRPr="00CB6CBA" w:rsidRDefault="00CA3B52" w:rsidP="00CA3B52">
      <w:pPr>
        <w:pStyle w:val="enumlev1"/>
        <w:rPr>
          <w:b/>
          <w:lang w:val="en-US"/>
        </w:rPr>
      </w:pPr>
      <w:r w:rsidRPr="00CB6CBA">
        <w:rPr>
          <w:lang w:val="en-US"/>
        </w:rPr>
        <w:t>2.1.3</w:t>
      </w:r>
      <w:r w:rsidRPr="00CB6CBA">
        <w:rPr>
          <w:lang w:val="en-US"/>
        </w:rPr>
        <w:tab/>
      </w:r>
      <w:r w:rsidRPr="00CB6CBA">
        <w:rPr>
          <w:b/>
          <w:lang w:val="en-US"/>
        </w:rPr>
        <w:t xml:space="preserve">“Assigned Frequency” </w:t>
      </w:r>
      <w:r w:rsidRPr="00CB6CBA">
        <w:rPr>
          <w:lang w:val="en-US"/>
        </w:rPr>
        <w:t>means the centre of the frequency band assigned to a station by the TRA.</w:t>
      </w:r>
    </w:p>
    <w:p w:rsidR="00CA3B52" w:rsidRPr="00CB6CBA" w:rsidRDefault="00CA3B52" w:rsidP="00CA3B52">
      <w:pPr>
        <w:pStyle w:val="enumlev1"/>
        <w:rPr>
          <w:lang w:val="en-US"/>
        </w:rPr>
      </w:pPr>
      <w:r w:rsidRPr="00CB6CBA">
        <w:rPr>
          <w:lang w:val="en-US"/>
        </w:rPr>
        <w:t>2.1.4</w:t>
      </w:r>
      <w:r w:rsidRPr="00CB6CBA">
        <w:rPr>
          <w:lang w:val="en-US"/>
        </w:rPr>
        <w:tab/>
      </w:r>
      <w:r w:rsidRPr="00CB6CBA">
        <w:rPr>
          <w:b/>
          <w:lang w:val="en-US"/>
        </w:rPr>
        <w:t xml:space="preserve">“TRA” </w:t>
      </w:r>
      <w:r w:rsidRPr="00CB6CBA">
        <w:rPr>
          <w:lang w:val="en-US"/>
        </w:rPr>
        <w:t>means the General Authority for Regulating the Telecommunications Sector known as Telecommunications Regulatory Authority (TRA) established pursuant to the provisions of Article 6 of the UAE Federal Law by Decree No. 3 of 2003.</w:t>
      </w:r>
    </w:p>
    <w:p w:rsidR="00CA3B52" w:rsidRPr="00CB6CBA" w:rsidRDefault="00CA3B52" w:rsidP="00CA3B52">
      <w:pPr>
        <w:pStyle w:val="enumlev1"/>
        <w:rPr>
          <w:lang w:val="en-US"/>
        </w:rPr>
      </w:pPr>
      <w:r w:rsidRPr="00CB6CBA">
        <w:rPr>
          <w:lang w:val="en-US"/>
        </w:rPr>
        <w:t>2.1.5</w:t>
      </w:r>
      <w:r w:rsidRPr="00CB6CBA">
        <w:rPr>
          <w:lang w:val="en-US"/>
        </w:rPr>
        <w:tab/>
      </w:r>
      <w:r w:rsidRPr="00CB6CBA">
        <w:rPr>
          <w:b/>
          <w:lang w:val="en-US"/>
        </w:rPr>
        <w:t xml:space="preserve">“Authorization” </w:t>
      </w:r>
      <w:r w:rsidRPr="00CB6CBA">
        <w:rPr>
          <w:lang w:val="en-US"/>
        </w:rPr>
        <w:t>means a valid Frequency Spectrum Authorization granted by the TRA.</w:t>
      </w:r>
    </w:p>
    <w:p w:rsidR="00CA3B52" w:rsidRPr="00CB6CBA" w:rsidRDefault="00CA3B52" w:rsidP="00CA3B52">
      <w:pPr>
        <w:pStyle w:val="enumlev1"/>
        <w:rPr>
          <w:lang w:val="en-US"/>
        </w:rPr>
      </w:pPr>
      <w:r w:rsidRPr="00CB6CBA">
        <w:rPr>
          <w:lang w:val="en-US"/>
        </w:rPr>
        <w:t>2.1.6</w:t>
      </w:r>
      <w:r w:rsidRPr="00CB6CBA">
        <w:rPr>
          <w:lang w:val="en-US"/>
        </w:rPr>
        <w:tab/>
      </w:r>
      <w:r w:rsidRPr="00CB6CBA">
        <w:rPr>
          <w:b/>
          <w:lang w:val="en-US"/>
        </w:rPr>
        <w:t xml:space="preserve">“Authorized User” </w:t>
      </w:r>
      <w:r w:rsidRPr="00CB6CBA">
        <w:rPr>
          <w:lang w:val="en-US"/>
        </w:rPr>
        <w:t>means a Person that has been granted an Authorization by the TRA.</w:t>
      </w:r>
    </w:p>
    <w:p w:rsidR="00CA3B52" w:rsidRPr="00CB6CBA" w:rsidRDefault="00CA3B52" w:rsidP="00CA3B52">
      <w:pPr>
        <w:pStyle w:val="enumlev1"/>
        <w:rPr>
          <w:lang w:val="en-US"/>
        </w:rPr>
      </w:pPr>
      <w:r w:rsidRPr="00CB6CBA">
        <w:rPr>
          <w:lang w:val="en-US"/>
        </w:rPr>
        <w:t>2.1.7</w:t>
      </w:r>
      <w:r w:rsidRPr="00CB6CBA">
        <w:rPr>
          <w:lang w:val="en-US"/>
        </w:rPr>
        <w:tab/>
      </w:r>
      <w:r w:rsidRPr="00CB6CBA">
        <w:rPr>
          <w:b/>
          <w:lang w:val="en-US"/>
        </w:rPr>
        <w:t>“Class Authorization”</w:t>
      </w:r>
      <w:r w:rsidRPr="00CB6CBA">
        <w:rPr>
          <w:lang w:val="en-US"/>
        </w:rPr>
        <w:t xml:space="preserve"> means the Authorization which permits the operation of Wireless Equipment by any Person within designated frequency bands subject to the terms and conditions stipulated by the TRA.</w:t>
      </w:r>
    </w:p>
    <w:p w:rsidR="00CA3B52" w:rsidRPr="00CB6CBA" w:rsidRDefault="00CA3B52" w:rsidP="00CA3B52">
      <w:pPr>
        <w:pStyle w:val="enumlev1"/>
        <w:rPr>
          <w:lang w:val="en-US"/>
        </w:rPr>
      </w:pPr>
      <w:r w:rsidRPr="00CB6CBA">
        <w:rPr>
          <w:lang w:val="en-US"/>
        </w:rPr>
        <w:t>2.1.8</w:t>
      </w:r>
      <w:r w:rsidRPr="00CB6CBA">
        <w:rPr>
          <w:lang w:val="en-US"/>
        </w:rPr>
        <w:tab/>
      </w:r>
      <w:r w:rsidRPr="00CB6CBA">
        <w:rPr>
          <w:b/>
          <w:lang w:val="en-US"/>
        </w:rPr>
        <w:t>“National Spectrum Plan”</w:t>
      </w:r>
      <w:r w:rsidRPr="00CB6CBA">
        <w:rPr>
          <w:lang w:val="en-US"/>
        </w:rPr>
        <w:t xml:space="preserve"> means Radio Frequency Allocation plan for the UAE and any modifications thereof.</w:t>
      </w:r>
    </w:p>
    <w:p w:rsidR="00CA3B52" w:rsidRPr="00CB6CBA" w:rsidRDefault="00CA3B52" w:rsidP="00CA3B52">
      <w:pPr>
        <w:pStyle w:val="enumlev1"/>
        <w:rPr>
          <w:lang w:val="en-US"/>
        </w:rPr>
      </w:pPr>
      <w:r w:rsidRPr="00CB6CBA">
        <w:rPr>
          <w:lang w:val="en-US"/>
        </w:rPr>
        <w:t>2.1.9</w:t>
      </w:r>
      <w:r w:rsidRPr="00CB6CBA">
        <w:rPr>
          <w:lang w:val="en-US"/>
        </w:rPr>
        <w:tab/>
      </w:r>
      <w:r w:rsidRPr="00CB6CBA">
        <w:rPr>
          <w:b/>
          <w:lang w:val="en-US"/>
        </w:rPr>
        <w:t>“Person”</w:t>
      </w:r>
      <w:r>
        <w:rPr>
          <w:lang w:val="en-US"/>
        </w:rPr>
        <w:t xml:space="preserve"> will include “</w:t>
      </w:r>
      <w:r w:rsidRPr="00CB6CBA">
        <w:rPr>
          <w:lang w:val="en-US"/>
        </w:rPr>
        <w:t>juridical entities</w:t>
      </w:r>
      <w:r>
        <w:rPr>
          <w:lang w:val="en-US"/>
        </w:rPr>
        <w:t>”</w:t>
      </w:r>
      <w:r w:rsidRPr="00CB6CBA">
        <w:rPr>
          <w:lang w:val="en-US"/>
        </w:rPr>
        <w:t xml:space="preserve"> as well as </w:t>
      </w:r>
      <w:r>
        <w:rPr>
          <w:lang w:val="en-US"/>
        </w:rPr>
        <w:t>“</w:t>
      </w:r>
      <w:r w:rsidRPr="00CB6CBA">
        <w:rPr>
          <w:lang w:val="en-US"/>
        </w:rPr>
        <w:t>natural persons</w:t>
      </w:r>
      <w:r>
        <w:rPr>
          <w:lang w:val="en-US"/>
        </w:rPr>
        <w:t>”</w:t>
      </w:r>
      <w:r w:rsidRPr="00CB6CBA">
        <w:rPr>
          <w:lang w:val="en-US"/>
        </w:rPr>
        <w:t>.</w:t>
      </w:r>
    </w:p>
    <w:p w:rsidR="00CA3B52" w:rsidRPr="00CB6CBA" w:rsidRDefault="00CA3B52" w:rsidP="00CA3B52">
      <w:pPr>
        <w:pStyle w:val="enumlev1"/>
        <w:rPr>
          <w:lang w:val="en-US"/>
        </w:rPr>
      </w:pPr>
      <w:r w:rsidRPr="00CB6CBA">
        <w:rPr>
          <w:lang w:val="en-US"/>
        </w:rPr>
        <w:t>2.1.10</w:t>
      </w:r>
      <w:r w:rsidRPr="00CB6CBA">
        <w:rPr>
          <w:lang w:val="en-US"/>
        </w:rPr>
        <w:tab/>
      </w:r>
      <w:r w:rsidRPr="00CB6CBA">
        <w:rPr>
          <w:b/>
          <w:lang w:val="en-US"/>
        </w:rPr>
        <w:t xml:space="preserve">“Radiocommunication Service” </w:t>
      </w:r>
      <w:r w:rsidRPr="00CB6CBA">
        <w:rPr>
          <w:lang w:val="en-US"/>
        </w:rPr>
        <w:t>means the transmitting or receiving of Radio Frequency which may be used for the conveyance of data, or messages or voice or visual images, or for the operation or control of machinery or apparatus.</w:t>
      </w:r>
    </w:p>
    <w:p w:rsidR="00CA3B52" w:rsidRPr="00CB6CBA" w:rsidRDefault="00CA3B52" w:rsidP="00CA3B52">
      <w:pPr>
        <w:pStyle w:val="enumlev1"/>
        <w:rPr>
          <w:lang w:val="en-US"/>
        </w:rPr>
      </w:pPr>
      <w:r w:rsidRPr="00CB6CBA">
        <w:rPr>
          <w:lang w:val="en-US"/>
        </w:rPr>
        <w:t>2.1.11</w:t>
      </w:r>
      <w:r w:rsidRPr="00CB6CBA">
        <w:rPr>
          <w:lang w:val="en-US"/>
        </w:rPr>
        <w:tab/>
      </w:r>
      <w:r w:rsidRPr="00CB6CBA">
        <w:rPr>
          <w:b/>
          <w:lang w:val="en-US"/>
        </w:rPr>
        <w:t xml:space="preserve">“Radio Frequency” </w:t>
      </w:r>
      <w:r w:rsidRPr="00CB6CBA">
        <w:rPr>
          <w:lang w:val="en-US"/>
        </w:rPr>
        <w:t>means radiated electromagnetic energy measured in Hz or c</w:t>
      </w:r>
      <w:r>
        <w:rPr>
          <w:lang w:val="en-US"/>
        </w:rPr>
        <w:t>ycles</w:t>
      </w:r>
      <w:r w:rsidRPr="00CB6CBA">
        <w:rPr>
          <w:lang w:val="en-US"/>
        </w:rPr>
        <w:t>/sec.</w:t>
      </w:r>
    </w:p>
    <w:p w:rsidR="00CA3B52" w:rsidRPr="00CB6CBA" w:rsidRDefault="00CA3B52" w:rsidP="00CA3B52">
      <w:pPr>
        <w:pStyle w:val="enumlev1"/>
        <w:rPr>
          <w:lang w:val="en-US"/>
        </w:rPr>
      </w:pPr>
      <w:r w:rsidRPr="00CB6CBA">
        <w:rPr>
          <w:lang w:val="en-US"/>
        </w:rPr>
        <w:t>2.1.12</w:t>
      </w:r>
      <w:r w:rsidRPr="00CB6CBA">
        <w:rPr>
          <w:lang w:val="en-US"/>
        </w:rPr>
        <w:tab/>
      </w:r>
      <w:r w:rsidRPr="00CB6CBA">
        <w:rPr>
          <w:b/>
          <w:lang w:val="en-US"/>
        </w:rPr>
        <w:t xml:space="preserve">“Frequency Spectrum Authorization” </w:t>
      </w:r>
      <w:r w:rsidRPr="00CB6CBA">
        <w:rPr>
          <w:lang w:val="en-US"/>
        </w:rPr>
        <w:t>means an authorization, which permits the use of Radio Frequency subject to terms and conditions as stipulated by the TRA.</w:t>
      </w:r>
    </w:p>
    <w:p w:rsidR="00CA3B52" w:rsidRPr="00CB6CBA" w:rsidRDefault="00CA3B52" w:rsidP="00CA3B52">
      <w:pPr>
        <w:pStyle w:val="enumlev1"/>
        <w:rPr>
          <w:lang w:val="en-US"/>
        </w:rPr>
      </w:pPr>
      <w:r w:rsidRPr="00CB6CBA">
        <w:rPr>
          <w:lang w:val="en-US"/>
        </w:rPr>
        <w:t>2.1.13</w:t>
      </w:r>
      <w:r w:rsidRPr="00CB6CBA">
        <w:rPr>
          <w:lang w:val="en-US"/>
        </w:rPr>
        <w:tab/>
      </w:r>
      <w:r w:rsidRPr="00CB6CBA">
        <w:rPr>
          <w:b/>
          <w:lang w:val="en-US"/>
        </w:rPr>
        <w:t>“Regulatory Instruments”</w:t>
      </w:r>
      <w:r w:rsidRPr="00CB6CBA">
        <w:rPr>
          <w:lang w:val="en-US"/>
        </w:rPr>
        <w:t xml:space="preserve"> means any instrument issued by the Authority under its powers, and includes without limitation; Regulations, violation decisions, directives, instructions, guidance and recommendations and regulatory policies.</w:t>
      </w:r>
    </w:p>
    <w:p w:rsidR="00CA3B52" w:rsidRPr="00CB6CBA" w:rsidRDefault="00CA3B52" w:rsidP="00CA3B52">
      <w:pPr>
        <w:pStyle w:val="enumlev1"/>
        <w:rPr>
          <w:lang w:val="en-US"/>
        </w:rPr>
      </w:pPr>
      <w:r w:rsidRPr="00CB6CBA">
        <w:rPr>
          <w:lang w:val="en-US"/>
        </w:rPr>
        <w:t>2.1.14</w:t>
      </w:r>
      <w:r w:rsidRPr="00CB6CBA">
        <w:rPr>
          <w:lang w:val="en-US"/>
        </w:rPr>
        <w:tab/>
      </w:r>
      <w:r w:rsidRPr="00CB6CBA">
        <w:rPr>
          <w:b/>
          <w:lang w:val="en-US"/>
        </w:rPr>
        <w:t xml:space="preserve">“Station” </w:t>
      </w:r>
      <w:r w:rsidRPr="00CB6CBA">
        <w:rPr>
          <w:lang w:val="en-US"/>
        </w:rPr>
        <w:t>means an installation operated by an Authorized User, for carrying on a Radiocommunication Service.</w:t>
      </w:r>
    </w:p>
    <w:p w:rsidR="00CA3B52" w:rsidRPr="00CB6CBA" w:rsidRDefault="00CA3B52" w:rsidP="00CA3B52">
      <w:pPr>
        <w:pStyle w:val="enumlev1"/>
        <w:rPr>
          <w:lang w:val="en-US"/>
        </w:rPr>
      </w:pPr>
      <w:r w:rsidRPr="00CB6CBA">
        <w:rPr>
          <w:lang w:val="en-US"/>
        </w:rPr>
        <w:t>2.1.15</w:t>
      </w:r>
      <w:r w:rsidRPr="00CB6CBA">
        <w:rPr>
          <w:lang w:val="en-US"/>
        </w:rPr>
        <w:tab/>
      </w:r>
      <w:r w:rsidRPr="00CB6CBA">
        <w:rPr>
          <w:b/>
          <w:lang w:val="en-US"/>
        </w:rPr>
        <w:t xml:space="preserve">“Temporary Authorization” </w:t>
      </w:r>
      <w:r w:rsidRPr="00CB6CBA">
        <w:rPr>
          <w:lang w:val="en-US"/>
        </w:rPr>
        <w:t>means an Authorization issued by the TRA which permits the use of Assigned Frequency for a period up to 90 days.</w:t>
      </w:r>
    </w:p>
    <w:p w:rsidR="00CA3B52" w:rsidRPr="00CB6CBA" w:rsidRDefault="00CA3B52" w:rsidP="00CA3B52">
      <w:pPr>
        <w:pStyle w:val="enumlev1"/>
        <w:rPr>
          <w:lang w:val="en-US"/>
        </w:rPr>
      </w:pPr>
      <w:r w:rsidRPr="00CB6CBA">
        <w:rPr>
          <w:lang w:val="en-US"/>
        </w:rPr>
        <w:t>2.1.16</w:t>
      </w:r>
      <w:r w:rsidRPr="00CB6CBA">
        <w:rPr>
          <w:lang w:val="en-US"/>
        </w:rPr>
        <w:tab/>
      </w:r>
      <w:r w:rsidRPr="00CB6CBA">
        <w:rPr>
          <w:b/>
          <w:lang w:val="en-US"/>
        </w:rPr>
        <w:t xml:space="preserve">“UAE” </w:t>
      </w:r>
      <w:r w:rsidRPr="00CB6CBA">
        <w:rPr>
          <w:lang w:val="en-US"/>
        </w:rPr>
        <w:t>means the United Arab Emirates including its territorial waters and the airspace above.</w:t>
      </w:r>
    </w:p>
    <w:p w:rsidR="00CA3B52" w:rsidRPr="00CB6CBA" w:rsidRDefault="00CA3B52" w:rsidP="00CA3B52">
      <w:pPr>
        <w:pStyle w:val="enumlev1"/>
        <w:rPr>
          <w:b/>
          <w:lang w:val="en-US"/>
        </w:rPr>
      </w:pPr>
      <w:r w:rsidRPr="00CB6CBA">
        <w:rPr>
          <w:lang w:val="en-US"/>
        </w:rPr>
        <w:t>2.1.17</w:t>
      </w:r>
      <w:r w:rsidRPr="00CB6CBA">
        <w:rPr>
          <w:lang w:val="en-US"/>
        </w:rPr>
        <w:tab/>
      </w:r>
      <w:r w:rsidRPr="00CB6CBA">
        <w:rPr>
          <w:b/>
          <w:lang w:val="en-US"/>
        </w:rPr>
        <w:t xml:space="preserve">“Wireless Equipment” </w:t>
      </w:r>
      <w:r w:rsidRPr="00CB6CBA">
        <w:rPr>
          <w:lang w:val="en-US"/>
        </w:rPr>
        <w:t>means a category of Telecommunication Apparatus used for Radiocommunication Service.</w:t>
      </w:r>
    </w:p>
    <w:p w:rsidR="00CA3B52" w:rsidRPr="00CB6CBA" w:rsidRDefault="00CA3B52" w:rsidP="00CA3B52">
      <w:pPr>
        <w:pStyle w:val="ArtNo"/>
        <w:rPr>
          <w:lang w:val="en-US"/>
        </w:rPr>
      </w:pPr>
      <w:r w:rsidRPr="00CB6CBA">
        <w:rPr>
          <w:lang w:val="en-US"/>
        </w:rPr>
        <w:lastRenderedPageBreak/>
        <w:t>ARTICLE (3)</w:t>
      </w:r>
    </w:p>
    <w:p w:rsidR="00CA3B52" w:rsidRDefault="00CA3B52" w:rsidP="00CA3B52">
      <w:pPr>
        <w:pStyle w:val="Arttitle"/>
        <w:rPr>
          <w:lang w:val="en-US"/>
        </w:rPr>
      </w:pPr>
      <w:bookmarkStart w:id="1958" w:name="_Toc237657974"/>
      <w:r w:rsidRPr="00CB6CBA">
        <w:rPr>
          <w:lang w:val="en-US"/>
        </w:rPr>
        <w:t>Application processing Fees</w:t>
      </w:r>
      <w:bookmarkEnd w:id="1958"/>
    </w:p>
    <w:p w:rsidR="00CA3B52" w:rsidRPr="00CB6CBA" w:rsidRDefault="00CA3B52" w:rsidP="00CA3B52">
      <w:pPr>
        <w:pStyle w:val="enumlev1"/>
        <w:rPr>
          <w:lang w:val="en-US"/>
        </w:rPr>
      </w:pPr>
      <w:r w:rsidRPr="00CB6CBA">
        <w:rPr>
          <w:lang w:val="en-US"/>
        </w:rPr>
        <w:t>3.1</w:t>
      </w:r>
      <w:r w:rsidRPr="00CB6CBA">
        <w:rPr>
          <w:lang w:val="en-US"/>
        </w:rPr>
        <w:tab/>
        <w:t xml:space="preserve">Each Application for the Frequency Spectrum Authorization shall require an advance non-refundable payment of Five Hundred </w:t>
      </w:r>
      <w:r w:rsidRPr="00C74106">
        <w:rPr>
          <w:lang w:val="en-US"/>
        </w:rPr>
        <w:t>(500)</w:t>
      </w:r>
      <w:r w:rsidRPr="00CB6CBA">
        <w:rPr>
          <w:b/>
          <w:bCs/>
          <w:lang w:val="en-US"/>
        </w:rPr>
        <w:t xml:space="preserve"> </w:t>
      </w:r>
      <w:r w:rsidRPr="00CB6CBA">
        <w:rPr>
          <w:lang w:val="en-US"/>
        </w:rPr>
        <w:t>Dirhams for processing the Application, irrespective of the final status of the Application towards grant or rejection of the Application. The TRA may advise certain Governmental Entities, licensed operators or any major user to accumulate the Application processing Fees for payment along with the spectrum Fees. The invoice and receipt for the Application processing Fees shall only be issued upon request from the Applicant. The Application shall only be considered for processing upon the proof of the payment provided by the Applicant. The Application processing Fee for modification of an Authorization will be raised with the annual spectrum Fees invoice.</w:t>
      </w:r>
    </w:p>
    <w:p w:rsidR="00CA3B52" w:rsidRPr="00CB6CBA" w:rsidRDefault="00CA3B52" w:rsidP="00CA3B52">
      <w:pPr>
        <w:pStyle w:val="ArtNo"/>
        <w:rPr>
          <w:lang w:val="en-US"/>
        </w:rPr>
      </w:pPr>
      <w:r w:rsidRPr="00CB6CBA">
        <w:rPr>
          <w:lang w:val="en-US"/>
        </w:rPr>
        <w:t>ARTICLE (4)</w:t>
      </w:r>
    </w:p>
    <w:p w:rsidR="00CA3B52" w:rsidRPr="00CB6CBA" w:rsidRDefault="00CA3B52" w:rsidP="00CA3B52">
      <w:pPr>
        <w:pStyle w:val="Arttitle"/>
        <w:rPr>
          <w:lang w:val="en-US"/>
        </w:rPr>
      </w:pPr>
      <w:bookmarkStart w:id="1959" w:name="_Toc237657975"/>
      <w:r w:rsidRPr="00CB6CBA">
        <w:rPr>
          <w:lang w:val="en-US"/>
        </w:rPr>
        <w:t>Application processing Fees</w:t>
      </w:r>
      <w:bookmarkEnd w:id="1959"/>
      <w:r w:rsidRPr="00CB6CBA">
        <w:rPr>
          <w:lang w:val="en-US"/>
        </w:rPr>
        <w:t xml:space="preserve"> Exemption</w:t>
      </w:r>
    </w:p>
    <w:p w:rsidR="00CA3B52" w:rsidRPr="00CB6CBA" w:rsidRDefault="00CA3B52" w:rsidP="00CA3B52">
      <w:pPr>
        <w:pStyle w:val="enumlev1"/>
        <w:rPr>
          <w:lang w:val="en-US"/>
        </w:rPr>
      </w:pPr>
      <w:r w:rsidRPr="00CB6CBA">
        <w:rPr>
          <w:lang w:val="en-US"/>
        </w:rPr>
        <w:t>4.1</w:t>
      </w:r>
      <w:r w:rsidRPr="00CB6CBA">
        <w:rPr>
          <w:lang w:val="en-US"/>
        </w:rPr>
        <w:tab/>
        <w:t>The following Applications shall be exempted from the Application processing Fees:</w:t>
      </w:r>
    </w:p>
    <w:p w:rsidR="00CA3B52" w:rsidRPr="00CB6CBA" w:rsidRDefault="00CA3B52" w:rsidP="00CA3B52">
      <w:pPr>
        <w:pStyle w:val="enumlev2"/>
        <w:rPr>
          <w:lang w:val="en-US"/>
        </w:rPr>
      </w:pPr>
      <w:r w:rsidRPr="00CB6CBA">
        <w:rPr>
          <w:lang w:val="en-US"/>
        </w:rPr>
        <w:t>a)</w:t>
      </w:r>
      <w:r w:rsidRPr="00CB6CBA">
        <w:rPr>
          <w:lang w:val="en-US"/>
        </w:rPr>
        <w:tab/>
        <w:t xml:space="preserve">Application for Small </w:t>
      </w:r>
      <w:r>
        <w:rPr>
          <w:lang w:val="en-US"/>
        </w:rPr>
        <w:t>Fishing Boats. (Fishing Trawls.)</w:t>
      </w:r>
    </w:p>
    <w:p w:rsidR="00CA3B52" w:rsidRPr="00CB6CBA" w:rsidRDefault="00CA3B52" w:rsidP="00CA3B52">
      <w:pPr>
        <w:pStyle w:val="enumlev2"/>
        <w:rPr>
          <w:lang w:val="en-US"/>
        </w:rPr>
      </w:pPr>
      <w:r w:rsidRPr="00CB6CBA">
        <w:rPr>
          <w:lang w:val="en-US"/>
        </w:rPr>
        <w:t>b)</w:t>
      </w:r>
      <w:r w:rsidRPr="00CB6CBA">
        <w:rPr>
          <w:lang w:val="en-US"/>
        </w:rPr>
        <w:tab/>
        <w:t>Application for Amateur Authorization.</w:t>
      </w:r>
    </w:p>
    <w:p w:rsidR="00CA3B52" w:rsidRPr="00CB6CBA" w:rsidRDefault="00CA3B52" w:rsidP="00CA3B52">
      <w:pPr>
        <w:pStyle w:val="enumlev2"/>
        <w:rPr>
          <w:lang w:val="en-US"/>
        </w:rPr>
      </w:pPr>
      <w:r w:rsidRPr="00CB6CBA">
        <w:rPr>
          <w:lang w:val="en-US"/>
        </w:rPr>
        <w:t>c)</w:t>
      </w:r>
      <w:r w:rsidRPr="00CB6CBA">
        <w:rPr>
          <w:lang w:val="en-US"/>
        </w:rPr>
        <w:tab/>
        <w:t>Application for personal use of Private Mobile Radio for Camel jockeys and Hunting.</w:t>
      </w:r>
    </w:p>
    <w:p w:rsidR="00CA3B52" w:rsidRPr="00CB6CBA" w:rsidRDefault="00CA3B52" w:rsidP="00CA3B52">
      <w:pPr>
        <w:pStyle w:val="enumlev2"/>
        <w:rPr>
          <w:lang w:val="en-US"/>
        </w:rPr>
      </w:pPr>
      <w:r w:rsidRPr="00CB6CBA">
        <w:rPr>
          <w:lang w:val="en-US"/>
        </w:rPr>
        <w:t>d)</w:t>
      </w:r>
      <w:r w:rsidRPr="00CB6CBA">
        <w:rPr>
          <w:lang w:val="en-US"/>
        </w:rPr>
        <w:tab/>
        <w:t>Application by non-commercial clubs for hobbies like Aeromodelling.</w:t>
      </w:r>
    </w:p>
    <w:p w:rsidR="00CA3B52" w:rsidRPr="00CB6CBA" w:rsidRDefault="00CA3B52" w:rsidP="00CA3B52">
      <w:pPr>
        <w:pStyle w:val="enumlev2"/>
        <w:rPr>
          <w:lang w:val="en-US"/>
        </w:rPr>
      </w:pPr>
      <w:r w:rsidRPr="00CB6CBA">
        <w:rPr>
          <w:lang w:val="en-US"/>
        </w:rPr>
        <w:t>e)</w:t>
      </w:r>
      <w:r w:rsidRPr="00CB6CBA">
        <w:rPr>
          <w:lang w:val="en-US"/>
        </w:rPr>
        <w:tab/>
        <w:t>Application by research and educational institutions for private use.</w:t>
      </w:r>
    </w:p>
    <w:p w:rsidR="00CA3B52" w:rsidRPr="00CB6CBA" w:rsidRDefault="00CA3B52" w:rsidP="00CA3B52">
      <w:pPr>
        <w:pStyle w:val="enumlev2"/>
        <w:rPr>
          <w:lang w:val="en-US"/>
        </w:rPr>
      </w:pPr>
      <w:r w:rsidRPr="00CB6CBA">
        <w:rPr>
          <w:lang w:val="en-US"/>
        </w:rPr>
        <w:t>f)</w:t>
      </w:r>
      <w:r w:rsidRPr="00CB6CBA">
        <w:rPr>
          <w:lang w:val="en-US"/>
        </w:rPr>
        <w:tab/>
        <w:t>Application by Foreign Missions, Consulates and Embassies for official correspondence or visits of dignitaries when submitted through the UAE Ministry of Foreign Affairs.</w:t>
      </w:r>
    </w:p>
    <w:p w:rsidR="00CA3B52" w:rsidRPr="00CB6CBA" w:rsidRDefault="00CA3B52" w:rsidP="00CA3B52">
      <w:pPr>
        <w:pStyle w:val="ArtNo"/>
        <w:rPr>
          <w:lang w:val="en-US"/>
        </w:rPr>
      </w:pPr>
      <w:r w:rsidRPr="00CB6CBA">
        <w:rPr>
          <w:lang w:val="en-US"/>
        </w:rPr>
        <w:t>ARTICLE (5)</w:t>
      </w:r>
    </w:p>
    <w:p w:rsidR="00CA3B52" w:rsidRPr="00CB6CBA" w:rsidRDefault="00CA3B52" w:rsidP="00AD6883">
      <w:pPr>
        <w:pStyle w:val="Arttitle"/>
        <w:rPr>
          <w:lang w:val="en-US"/>
        </w:rPr>
      </w:pPr>
      <w:bookmarkStart w:id="1960" w:name="_Toc237657976"/>
      <w:r w:rsidRPr="00CB6CBA">
        <w:rPr>
          <w:lang w:val="en-US"/>
        </w:rPr>
        <w:t>Spectrum Fees for New Application</w:t>
      </w:r>
      <w:bookmarkEnd w:id="1960"/>
    </w:p>
    <w:p w:rsidR="00CA3B52" w:rsidRPr="00CB6CBA" w:rsidRDefault="00CA3B52" w:rsidP="00CA3B52">
      <w:pPr>
        <w:pStyle w:val="enumlev1"/>
        <w:rPr>
          <w:lang w:val="en-US"/>
        </w:rPr>
      </w:pPr>
      <w:r w:rsidRPr="00CB6CBA">
        <w:rPr>
          <w:lang w:val="en-US"/>
        </w:rPr>
        <w:t>5.1</w:t>
      </w:r>
      <w:r w:rsidRPr="00CB6CBA">
        <w:rPr>
          <w:lang w:val="en-US"/>
        </w:rPr>
        <w:tab/>
        <w:t>The Spectrum Fees shall be payable in advance. Upon successful processing of a new Application, the TRA shall inform the Applicant of the spectrum Fees, calculated for the period of validity of the Authorization, starting from the date of invoice. The Applicant shall submit to the TRA, the proof of payment immediately and not later than thirty (30) days from the date of issuing of Invoice. The receipt of the Fees by the TRA based on verification by the TRA shall be considered as completion of the payment for issuance of the Authorization. If payment is not received, the TRA shall cancel the Application and if the Applicant requires pursuing such Application, the Applicant shall be required to re</w:t>
      </w:r>
      <w:r>
        <w:rPr>
          <w:lang w:val="en-US"/>
        </w:rPr>
        <w:noBreakHyphen/>
      </w:r>
      <w:r w:rsidRPr="00CB6CBA">
        <w:rPr>
          <w:lang w:val="en-US"/>
        </w:rPr>
        <w:t>submit the Application with new Application processing Fee.</w:t>
      </w:r>
    </w:p>
    <w:p w:rsidR="00CA3B52" w:rsidRPr="00CB6CBA" w:rsidRDefault="00CA3B52" w:rsidP="00CA3B52">
      <w:pPr>
        <w:pStyle w:val="ArtNo"/>
        <w:rPr>
          <w:lang w:val="en-US"/>
        </w:rPr>
      </w:pPr>
      <w:r w:rsidRPr="00CB6CBA">
        <w:rPr>
          <w:lang w:val="en-US"/>
        </w:rPr>
        <w:lastRenderedPageBreak/>
        <w:t>ARTICLE (6)</w:t>
      </w:r>
    </w:p>
    <w:p w:rsidR="00CA3B52" w:rsidRPr="00CB6CBA" w:rsidRDefault="00CA3B52" w:rsidP="00CA3B52">
      <w:pPr>
        <w:pStyle w:val="Arttitle"/>
        <w:rPr>
          <w:lang w:val="en-US"/>
        </w:rPr>
      </w:pPr>
      <w:bookmarkStart w:id="1961" w:name="_Toc237657977"/>
      <w:r w:rsidRPr="00CB6CBA">
        <w:rPr>
          <w:lang w:val="en-US"/>
        </w:rPr>
        <w:t>Spectrum Fees for renewal of Authorization</w:t>
      </w:r>
      <w:bookmarkEnd w:id="1961"/>
    </w:p>
    <w:p w:rsidR="00CA3B52" w:rsidRPr="00CB6CBA" w:rsidRDefault="00CA3B52" w:rsidP="00CA3B52">
      <w:pPr>
        <w:pStyle w:val="enumlev1"/>
        <w:keepNext/>
        <w:keepLines/>
        <w:rPr>
          <w:lang w:val="en-US"/>
        </w:rPr>
      </w:pPr>
      <w:r w:rsidRPr="00CB6CBA">
        <w:rPr>
          <w:lang w:val="en-US"/>
        </w:rPr>
        <w:t>6.1</w:t>
      </w:r>
      <w:r w:rsidRPr="00CB6CBA">
        <w:rPr>
          <w:lang w:val="en-US"/>
        </w:rPr>
        <w:tab/>
        <w:t>The Authorized User shall be responsible to apply to the TRA for renewal of the Authorization, within the period, thirty (30) days before the</w:t>
      </w:r>
      <w:r w:rsidR="00AD6883">
        <w:rPr>
          <w:lang w:val="en-US"/>
        </w:rPr>
        <w:t xml:space="preserve"> expiry of the Authorization. A </w:t>
      </w:r>
      <w:r w:rsidRPr="00CB6CBA">
        <w:rPr>
          <w:lang w:val="en-US"/>
        </w:rPr>
        <w:t xml:space="preserve">grace period of fifteen (15) days after expiry may be given to the Authorized User by the TRA to pay the Spectrum Fees for renewal without any additional Fees. </w:t>
      </w:r>
    </w:p>
    <w:p w:rsidR="00CA3B52" w:rsidRPr="00CB6CBA" w:rsidRDefault="00CA3B52" w:rsidP="00CA3B52">
      <w:pPr>
        <w:pStyle w:val="ArtNo"/>
        <w:rPr>
          <w:lang w:val="en-US"/>
        </w:rPr>
      </w:pPr>
      <w:r w:rsidRPr="00CB6CBA">
        <w:rPr>
          <w:lang w:val="en-US"/>
        </w:rPr>
        <w:t>ARTICLE (7)</w:t>
      </w:r>
    </w:p>
    <w:p w:rsidR="00CA3B52" w:rsidRPr="00CB6CBA" w:rsidRDefault="00CA3B52" w:rsidP="00CA3B52">
      <w:pPr>
        <w:pStyle w:val="Arttitle"/>
        <w:rPr>
          <w:lang w:val="en-US"/>
        </w:rPr>
      </w:pPr>
      <w:bookmarkStart w:id="1962" w:name="_Toc237657978"/>
      <w:r w:rsidRPr="00CB6CBA">
        <w:rPr>
          <w:lang w:val="en-US"/>
        </w:rPr>
        <w:t>Additional Fees for delayed renewal of Authorization</w:t>
      </w:r>
      <w:bookmarkEnd w:id="1962"/>
    </w:p>
    <w:p w:rsidR="00CA3B52" w:rsidRPr="00CB6CBA" w:rsidRDefault="00CA3B52" w:rsidP="00CA3B52">
      <w:pPr>
        <w:pStyle w:val="enumlev1"/>
        <w:rPr>
          <w:lang w:val="en-US"/>
        </w:rPr>
      </w:pPr>
      <w:r w:rsidRPr="00CB6CBA">
        <w:rPr>
          <w:lang w:val="en-US"/>
        </w:rPr>
        <w:t>7.1</w:t>
      </w:r>
      <w:r w:rsidRPr="00CB6CBA">
        <w:rPr>
          <w:lang w:val="en-US"/>
        </w:rPr>
        <w:tab/>
        <w:t xml:space="preserve">The TRA shall raise a new invoice (superseding the unpaid invoice) with an additional Fee of 10% of the amount due for Spectrum Fees after 15 days of the expiry of the Authorization up to a maximum of 45 days from the expiry of Authorization after which the TRA will cancel such Authorization. </w:t>
      </w:r>
    </w:p>
    <w:p w:rsidR="00CA3B52" w:rsidRPr="00CB6CBA" w:rsidRDefault="00CA3B52" w:rsidP="00CA3B52">
      <w:pPr>
        <w:pStyle w:val="ArtNo"/>
        <w:rPr>
          <w:lang w:val="en-US"/>
        </w:rPr>
      </w:pPr>
      <w:r w:rsidRPr="00CB6CBA">
        <w:rPr>
          <w:lang w:val="en-US"/>
        </w:rPr>
        <w:t>ARTICLE (8)</w:t>
      </w:r>
    </w:p>
    <w:p w:rsidR="00CA3B52" w:rsidRPr="00CB6CBA" w:rsidRDefault="00CA3B52" w:rsidP="00CA3B52">
      <w:pPr>
        <w:pStyle w:val="Arttitle"/>
        <w:rPr>
          <w:lang w:val="en-US"/>
        </w:rPr>
      </w:pPr>
      <w:bookmarkStart w:id="1963" w:name="_Toc237657979"/>
      <w:r w:rsidRPr="00CB6CBA">
        <w:rPr>
          <w:lang w:val="en-US"/>
        </w:rPr>
        <w:t>Authorization reproduction Fees</w:t>
      </w:r>
      <w:bookmarkEnd w:id="1963"/>
    </w:p>
    <w:p w:rsidR="00CA3B52" w:rsidRPr="00CB6CBA" w:rsidRDefault="00CA3B52" w:rsidP="00CA3B52">
      <w:pPr>
        <w:pStyle w:val="enumlev1"/>
        <w:rPr>
          <w:lang w:val="en-US"/>
        </w:rPr>
      </w:pPr>
      <w:r w:rsidRPr="00CB6CBA">
        <w:rPr>
          <w:lang w:val="en-US"/>
        </w:rPr>
        <w:t>8.1</w:t>
      </w:r>
      <w:r w:rsidRPr="00CB6CBA">
        <w:rPr>
          <w:lang w:val="en-US"/>
        </w:rPr>
        <w:tab/>
        <w:t>In case the Authorization is damaged or lost, the Authorized User shall have to apply to the TRA for reproduction of the Authorization. A non-refundable payment of One Hundred (100) Dirhams</w:t>
      </w:r>
      <w:r w:rsidRPr="00CB6CBA">
        <w:rPr>
          <w:b/>
          <w:bCs/>
          <w:lang w:val="en-US"/>
        </w:rPr>
        <w:t xml:space="preserve"> </w:t>
      </w:r>
      <w:r w:rsidRPr="00CB6CBA">
        <w:rPr>
          <w:lang w:val="en-US"/>
        </w:rPr>
        <w:t xml:space="preserve">shall be charged in advance for the reproduction of each Authorization requested. </w:t>
      </w:r>
    </w:p>
    <w:p w:rsidR="00CA3B52" w:rsidRPr="00CB6CBA" w:rsidRDefault="00CA3B52" w:rsidP="00CA3B52">
      <w:pPr>
        <w:pStyle w:val="ArtNo"/>
        <w:rPr>
          <w:lang w:val="en-US"/>
        </w:rPr>
      </w:pPr>
      <w:r w:rsidRPr="00CB6CBA">
        <w:rPr>
          <w:lang w:val="en-US"/>
        </w:rPr>
        <w:t>ARTICLE (9)</w:t>
      </w:r>
    </w:p>
    <w:p w:rsidR="00CA3B52" w:rsidRPr="00CB6CBA" w:rsidRDefault="00CA3B52" w:rsidP="00CA3B52">
      <w:pPr>
        <w:pStyle w:val="Arttitle"/>
        <w:rPr>
          <w:lang w:val="en-US"/>
        </w:rPr>
      </w:pPr>
      <w:bookmarkStart w:id="1964" w:name="_Toc237657980"/>
      <w:r w:rsidRPr="00CB6CBA">
        <w:rPr>
          <w:lang w:val="en-US"/>
        </w:rPr>
        <w:t>Authorization modification Fees</w:t>
      </w:r>
      <w:bookmarkEnd w:id="1964"/>
    </w:p>
    <w:p w:rsidR="00CA3B52" w:rsidRPr="00CB6CBA" w:rsidRDefault="00CA3B52" w:rsidP="00CA3B52">
      <w:pPr>
        <w:pStyle w:val="enumlev1"/>
        <w:rPr>
          <w:color w:val="000000"/>
          <w:lang w:val="en-US"/>
        </w:rPr>
      </w:pPr>
      <w:r w:rsidRPr="00CB6CBA">
        <w:rPr>
          <w:lang w:val="en-US"/>
        </w:rPr>
        <w:t>9.1</w:t>
      </w:r>
      <w:r w:rsidRPr="00CB6CBA">
        <w:rPr>
          <w:lang w:val="en-US"/>
        </w:rPr>
        <w:tab/>
        <w:t>The Authorized User can apply for modification of an Authorization. A non-refundable payment of One Hundred (100) Dirhams</w:t>
      </w:r>
      <w:r w:rsidRPr="00CB6CBA">
        <w:rPr>
          <w:b/>
          <w:bCs/>
          <w:lang w:val="en-US"/>
        </w:rPr>
        <w:t xml:space="preserve"> </w:t>
      </w:r>
      <w:r w:rsidRPr="00CB6CBA">
        <w:rPr>
          <w:lang w:val="en-US"/>
        </w:rPr>
        <w:t xml:space="preserve">shall be charged for the modification of the Authorization requested. Modifications of contact details in the Authorization shall require the reproduction Fees as mentioned in Article 8 above before issuing of an Authorization. The request of modification of any site data or addition of Wireless Equipment or change of technical data shall require payment of Application processing Fees as mentioned at Article 3 above. In case the modification is approved by the TRA, the annual Spectrum Fees shall be calculated on prorate basis. The Authorized User shall pay the difference in advance to the TRA. If the difference is in favour of the Authorized User, no reimbursement shall be made by the TRA and the annual Spectrum Fees for subsequent year shall be calculated based on the revised Fees. </w:t>
      </w:r>
      <w:r w:rsidRPr="00CB6CBA">
        <w:rPr>
          <w:color w:val="000000"/>
          <w:lang w:val="en-US"/>
        </w:rPr>
        <w:t>The Application processing Fee for modification or reproduction of an Authorization will be raised with the annual spectrum Fees invoice.</w:t>
      </w:r>
    </w:p>
    <w:p w:rsidR="00CA3B52" w:rsidRPr="00CB6CBA" w:rsidRDefault="00CA3B52" w:rsidP="00CA3B52">
      <w:pPr>
        <w:pStyle w:val="ArtNo"/>
        <w:rPr>
          <w:lang w:val="en-US"/>
        </w:rPr>
      </w:pPr>
      <w:r w:rsidRPr="00CB6CBA">
        <w:rPr>
          <w:lang w:val="en-US"/>
        </w:rPr>
        <w:t>ARTICLE (10)</w:t>
      </w:r>
    </w:p>
    <w:p w:rsidR="00CA3B52" w:rsidRPr="00CB6CBA" w:rsidRDefault="00CA3B52" w:rsidP="00CA3B52">
      <w:pPr>
        <w:pStyle w:val="Arttitle"/>
        <w:rPr>
          <w:lang w:val="en-US"/>
        </w:rPr>
      </w:pPr>
      <w:bookmarkStart w:id="1965" w:name="_Toc237657981"/>
      <w:r w:rsidRPr="00CB6CBA">
        <w:rPr>
          <w:lang w:val="en-US"/>
        </w:rPr>
        <w:t>Authorization cancellation Fees</w:t>
      </w:r>
      <w:bookmarkEnd w:id="1965"/>
    </w:p>
    <w:p w:rsidR="00CA3B52" w:rsidRPr="00CB6CBA" w:rsidRDefault="00CA3B52" w:rsidP="00CA3B52">
      <w:pPr>
        <w:pStyle w:val="enumlev1"/>
        <w:rPr>
          <w:lang w:val="en-US"/>
        </w:rPr>
      </w:pPr>
      <w:r w:rsidRPr="00CB6CBA">
        <w:rPr>
          <w:lang w:val="en-US"/>
        </w:rPr>
        <w:t>10.1</w:t>
      </w:r>
      <w:r w:rsidRPr="00CB6CBA">
        <w:rPr>
          <w:lang w:val="en-US"/>
        </w:rPr>
        <w:tab/>
        <w:t xml:space="preserve">The Authorized User can apply for cancellation of the Authorization. There will be no Fees for cancellation and no reimbursements shall be made by the TRA for any balance amount. </w:t>
      </w:r>
    </w:p>
    <w:p w:rsidR="00CA3B52" w:rsidRPr="00CB6CBA" w:rsidRDefault="00CA3B52" w:rsidP="00CA3B52">
      <w:pPr>
        <w:pStyle w:val="ArtNo"/>
        <w:rPr>
          <w:lang w:val="en-US"/>
        </w:rPr>
      </w:pPr>
      <w:r w:rsidRPr="00CB6CBA">
        <w:rPr>
          <w:lang w:val="en-US"/>
        </w:rPr>
        <w:lastRenderedPageBreak/>
        <w:t>ARTICLE (11)</w:t>
      </w:r>
    </w:p>
    <w:p w:rsidR="00CA3B52" w:rsidRPr="00CB6CBA" w:rsidRDefault="00CA3B52" w:rsidP="00CA3B52">
      <w:pPr>
        <w:pStyle w:val="Arttitle"/>
        <w:rPr>
          <w:lang w:val="en-US"/>
        </w:rPr>
      </w:pPr>
      <w:bookmarkStart w:id="1966" w:name="_Toc237657982"/>
      <w:r w:rsidRPr="00CB6CBA">
        <w:rPr>
          <w:lang w:val="en-US"/>
        </w:rPr>
        <w:t>Spectrum Fees for Public Land Mobile (Cellular) Service</w:t>
      </w:r>
      <w:bookmarkEnd w:id="1966"/>
    </w:p>
    <w:p w:rsidR="00CA3B52" w:rsidRPr="00CB6CBA" w:rsidRDefault="00CA3B52" w:rsidP="00CA3B52">
      <w:pPr>
        <w:pStyle w:val="enumlev1"/>
        <w:rPr>
          <w:lang w:val="en-US"/>
        </w:rPr>
      </w:pPr>
      <w:r w:rsidRPr="00CB6CBA">
        <w:rPr>
          <w:lang w:val="en-US"/>
        </w:rPr>
        <w:t>11.1</w:t>
      </w:r>
      <w:r w:rsidRPr="00CB6CBA">
        <w:rPr>
          <w:lang w:val="en-US"/>
        </w:rPr>
        <w:tab/>
        <w:t xml:space="preserve">The Annual Spectrum Fees for the Public Land Mobile (cellular) services (including GSM, UMTS and IMT) shall be calculated as follows: </w:t>
      </w:r>
    </w:p>
    <w:p w:rsidR="00CA3B52" w:rsidRPr="00CB6CBA" w:rsidRDefault="00AD6883" w:rsidP="00AD6883">
      <w:pPr>
        <w:pStyle w:val="Equation"/>
        <w:rPr>
          <w:lang w:val="en-US"/>
        </w:rPr>
      </w:pPr>
      <w:r>
        <w:rPr>
          <w:lang w:val="en-US"/>
        </w:rPr>
        <w:tab/>
      </w:r>
      <w:r>
        <w:rPr>
          <w:lang w:val="en-US"/>
        </w:rPr>
        <w:tab/>
      </w:r>
      <w:r w:rsidR="00CA3B52" w:rsidRPr="00CB6CBA">
        <w:rPr>
          <w:lang w:val="en-US"/>
        </w:rPr>
        <w:t xml:space="preserve">Spectrum Price = [FF </w:t>
      </w:r>
      <w:r>
        <w:rPr>
          <w:lang w:val="en-US"/>
        </w:rPr>
        <w:t>×</w:t>
      </w:r>
      <w:r w:rsidR="00CA3B52" w:rsidRPr="00CB6CBA">
        <w:rPr>
          <w:lang w:val="en-US"/>
        </w:rPr>
        <w:t xml:space="preserve"> CF </w:t>
      </w:r>
      <w:r>
        <w:rPr>
          <w:lang w:val="en-US"/>
        </w:rPr>
        <w:t>×</w:t>
      </w:r>
      <w:r w:rsidR="00CA3B52" w:rsidRPr="00CB6CBA">
        <w:rPr>
          <w:lang w:val="en-US"/>
        </w:rPr>
        <w:t xml:space="preserve"> P </w:t>
      </w:r>
      <w:r>
        <w:rPr>
          <w:lang w:val="en-US"/>
        </w:rPr>
        <w:t>×</w:t>
      </w:r>
      <w:r w:rsidR="00CA3B52" w:rsidRPr="00CB6CBA">
        <w:rPr>
          <w:lang w:val="en-US"/>
        </w:rPr>
        <w:t xml:space="preserve"> BW] / 4</w:t>
      </w:r>
      <w:r w:rsidR="00CA3B52">
        <w:rPr>
          <w:lang w:val="en-US"/>
        </w:rPr>
        <w:t xml:space="preserve"> </w:t>
      </w:r>
      <w:r w:rsidR="00CA3B52" w:rsidRPr="00CB6CBA">
        <w:rPr>
          <w:lang w:val="en-US"/>
        </w:rPr>
        <w:t>000</w:t>
      </w:r>
    </w:p>
    <w:p w:rsidR="00CA3B52" w:rsidRPr="00CB6CBA" w:rsidRDefault="00CA3B52" w:rsidP="00CA3B52">
      <w:pPr>
        <w:pStyle w:val="enumlev1"/>
        <w:rPr>
          <w:lang w:val="en-US"/>
        </w:rPr>
      </w:pPr>
      <w:r w:rsidRPr="00CB6CBA">
        <w:rPr>
          <w:lang w:val="en-US"/>
        </w:rPr>
        <w:tab/>
      </w:r>
      <w:r>
        <w:rPr>
          <w:lang w:val="en-US"/>
        </w:rPr>
        <w:t>w</w:t>
      </w:r>
      <w:r w:rsidRPr="00CB6CBA">
        <w:rPr>
          <w:lang w:val="en-US"/>
        </w:rPr>
        <w:t xml:space="preserve">here: </w:t>
      </w:r>
    </w:p>
    <w:p w:rsidR="00CA3B52" w:rsidRPr="00CB6CBA" w:rsidRDefault="00CA3B52" w:rsidP="00CA3B52">
      <w:pPr>
        <w:pStyle w:val="enumlev1"/>
        <w:rPr>
          <w:lang w:val="en-US"/>
        </w:rPr>
      </w:pPr>
      <w:r w:rsidRPr="00CB6CBA">
        <w:rPr>
          <w:b/>
          <w:bCs/>
          <w:lang w:val="en-US"/>
        </w:rPr>
        <w:tab/>
        <w:t>FF</w:t>
      </w:r>
      <w:r>
        <w:rPr>
          <w:b/>
          <w:bCs/>
          <w:lang w:val="en-US"/>
        </w:rPr>
        <w:t xml:space="preserve"> </w:t>
      </w:r>
      <w:r w:rsidRPr="00CB6CBA">
        <w:rPr>
          <w:lang w:val="en-US"/>
        </w:rPr>
        <w:t>= Frequency Factor which will be determined as follows:</w:t>
      </w:r>
    </w:p>
    <w:p w:rsidR="00CA3B52" w:rsidRPr="00CB6CBA" w:rsidRDefault="00CA3B52" w:rsidP="00CA3B52">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23"/>
      </w:tblGrid>
      <w:tr w:rsidR="00CA3B52" w:rsidRPr="00CB6CBA" w:rsidTr="002D1D5C">
        <w:trPr>
          <w:trHeight w:val="390"/>
          <w:jc w:val="center"/>
        </w:trPr>
        <w:tc>
          <w:tcPr>
            <w:tcW w:w="2921" w:type="dxa"/>
          </w:tcPr>
          <w:p w:rsidR="00CA3B52" w:rsidRPr="00CB6CBA" w:rsidRDefault="00CA3B52" w:rsidP="002D1D5C">
            <w:pPr>
              <w:pStyle w:val="Tablehead"/>
              <w:rPr>
                <w:lang w:val="en-US"/>
              </w:rPr>
            </w:pPr>
            <w:r w:rsidRPr="00CB6CBA">
              <w:rPr>
                <w:lang w:val="en-US"/>
              </w:rPr>
              <w:t>Frequency Range</w:t>
            </w:r>
          </w:p>
        </w:tc>
        <w:tc>
          <w:tcPr>
            <w:tcW w:w="2923" w:type="dxa"/>
          </w:tcPr>
          <w:p w:rsidR="00CA3B52" w:rsidRPr="00CB6CBA" w:rsidRDefault="00CA3B52" w:rsidP="002D1D5C">
            <w:pPr>
              <w:pStyle w:val="Tablehead"/>
              <w:rPr>
                <w:lang w:val="en-US"/>
              </w:rPr>
            </w:pPr>
            <w:r w:rsidRPr="00CB6CBA">
              <w:rPr>
                <w:lang w:val="en-US"/>
              </w:rPr>
              <w:t>Frequency Factor (FF)</w:t>
            </w:r>
          </w:p>
        </w:tc>
      </w:tr>
      <w:tr w:rsidR="00CA3B52" w:rsidRPr="00CB6CBA" w:rsidTr="002D1D5C">
        <w:trPr>
          <w:trHeight w:val="390"/>
          <w:jc w:val="center"/>
        </w:trPr>
        <w:tc>
          <w:tcPr>
            <w:tcW w:w="2921" w:type="dxa"/>
          </w:tcPr>
          <w:p w:rsidR="00CA3B52" w:rsidRPr="00CB6CBA" w:rsidRDefault="00CA3B52" w:rsidP="002D1D5C">
            <w:pPr>
              <w:pStyle w:val="Tabletext"/>
              <w:jc w:val="center"/>
              <w:rPr>
                <w:lang w:val="en-US"/>
              </w:rPr>
            </w:pPr>
            <w:r w:rsidRPr="00CB6CBA">
              <w:rPr>
                <w:lang w:val="en-US"/>
              </w:rPr>
              <w:t>900 MHz or less</w:t>
            </w:r>
          </w:p>
        </w:tc>
        <w:tc>
          <w:tcPr>
            <w:tcW w:w="2923" w:type="dxa"/>
          </w:tcPr>
          <w:p w:rsidR="00CA3B52" w:rsidRPr="00CB6CBA" w:rsidRDefault="00CA3B52" w:rsidP="00F65451">
            <w:pPr>
              <w:pStyle w:val="Tabletext"/>
              <w:jc w:val="center"/>
              <w:rPr>
                <w:lang w:val="en-US"/>
              </w:rPr>
            </w:pPr>
            <w:r w:rsidRPr="00CB6CBA">
              <w:rPr>
                <w:lang w:val="en-US"/>
              </w:rPr>
              <w:t>1.00</w:t>
            </w:r>
          </w:p>
        </w:tc>
      </w:tr>
      <w:tr w:rsidR="00CA3B52" w:rsidRPr="00CB6CBA" w:rsidTr="002D1D5C">
        <w:trPr>
          <w:trHeight w:val="390"/>
          <w:jc w:val="center"/>
        </w:trPr>
        <w:tc>
          <w:tcPr>
            <w:tcW w:w="2921" w:type="dxa"/>
          </w:tcPr>
          <w:p w:rsidR="00CA3B52" w:rsidRPr="00CB6CBA" w:rsidRDefault="00CA3B52" w:rsidP="00F65451">
            <w:pPr>
              <w:pStyle w:val="Tabletext"/>
              <w:jc w:val="center"/>
              <w:rPr>
                <w:lang w:val="en-US"/>
              </w:rPr>
            </w:pPr>
            <w:r w:rsidRPr="00CB6CBA">
              <w:rPr>
                <w:lang w:val="en-US"/>
              </w:rPr>
              <w:t>1800 MHz</w:t>
            </w:r>
          </w:p>
        </w:tc>
        <w:tc>
          <w:tcPr>
            <w:tcW w:w="2923" w:type="dxa"/>
          </w:tcPr>
          <w:p w:rsidR="00CA3B52" w:rsidRPr="00CB6CBA" w:rsidRDefault="00CA3B52" w:rsidP="00F65451">
            <w:pPr>
              <w:pStyle w:val="Tabletext"/>
              <w:jc w:val="center"/>
              <w:rPr>
                <w:lang w:val="en-US"/>
              </w:rPr>
            </w:pPr>
            <w:r w:rsidRPr="00CB6CBA">
              <w:rPr>
                <w:lang w:val="en-US"/>
              </w:rPr>
              <w:t>0.75</w:t>
            </w:r>
          </w:p>
        </w:tc>
      </w:tr>
      <w:tr w:rsidR="00CA3B52" w:rsidRPr="00CB6CBA" w:rsidTr="002D1D5C">
        <w:trPr>
          <w:trHeight w:val="390"/>
          <w:jc w:val="center"/>
        </w:trPr>
        <w:tc>
          <w:tcPr>
            <w:tcW w:w="2921" w:type="dxa"/>
          </w:tcPr>
          <w:p w:rsidR="00CA3B52" w:rsidRPr="00CB6CBA" w:rsidRDefault="00CA3B52" w:rsidP="00F65451">
            <w:pPr>
              <w:pStyle w:val="Tabletext"/>
              <w:jc w:val="center"/>
              <w:rPr>
                <w:lang w:val="en-US"/>
              </w:rPr>
            </w:pPr>
            <w:r w:rsidRPr="00CB6CBA">
              <w:rPr>
                <w:lang w:val="en-US"/>
              </w:rPr>
              <w:t>2.1 GHz</w:t>
            </w:r>
          </w:p>
        </w:tc>
        <w:tc>
          <w:tcPr>
            <w:tcW w:w="2923" w:type="dxa"/>
          </w:tcPr>
          <w:p w:rsidR="00CA3B52" w:rsidRPr="00CB6CBA" w:rsidRDefault="00CA3B52" w:rsidP="00F65451">
            <w:pPr>
              <w:pStyle w:val="Tabletext"/>
              <w:jc w:val="center"/>
              <w:rPr>
                <w:lang w:val="en-US"/>
              </w:rPr>
            </w:pPr>
            <w:r w:rsidRPr="00CB6CBA">
              <w:rPr>
                <w:lang w:val="en-US"/>
              </w:rPr>
              <w:t>0.60</w:t>
            </w:r>
          </w:p>
        </w:tc>
      </w:tr>
      <w:tr w:rsidR="00CA3B52" w:rsidRPr="00CB6CBA" w:rsidTr="002D1D5C">
        <w:trPr>
          <w:trHeight w:val="406"/>
          <w:jc w:val="center"/>
        </w:trPr>
        <w:tc>
          <w:tcPr>
            <w:tcW w:w="2921" w:type="dxa"/>
            <w:tcBorders>
              <w:bottom w:val="single" w:sz="4" w:space="0" w:color="auto"/>
            </w:tcBorders>
          </w:tcPr>
          <w:p w:rsidR="00CA3B52" w:rsidRPr="00CB6CBA" w:rsidRDefault="00CA3B52" w:rsidP="00F65451">
            <w:pPr>
              <w:pStyle w:val="Tabletext"/>
              <w:jc w:val="center"/>
              <w:rPr>
                <w:lang w:val="en-US"/>
              </w:rPr>
            </w:pPr>
            <w:r w:rsidRPr="00CB6CBA">
              <w:rPr>
                <w:lang w:val="en-US"/>
              </w:rPr>
              <w:t>2.5 GHz</w:t>
            </w:r>
          </w:p>
        </w:tc>
        <w:tc>
          <w:tcPr>
            <w:tcW w:w="2923" w:type="dxa"/>
            <w:tcBorders>
              <w:bottom w:val="single" w:sz="4" w:space="0" w:color="auto"/>
            </w:tcBorders>
          </w:tcPr>
          <w:p w:rsidR="00CA3B52" w:rsidRPr="00CB6CBA" w:rsidRDefault="00CA3B52" w:rsidP="00F65451">
            <w:pPr>
              <w:pStyle w:val="Tabletext"/>
              <w:jc w:val="center"/>
              <w:rPr>
                <w:lang w:val="en-US"/>
              </w:rPr>
            </w:pPr>
            <w:r w:rsidRPr="00CB6CBA">
              <w:rPr>
                <w:lang w:val="en-US"/>
              </w:rPr>
              <w:t>0.50</w:t>
            </w:r>
          </w:p>
        </w:tc>
      </w:tr>
      <w:tr w:rsidR="00CA3B52" w:rsidRPr="00F65451" w:rsidTr="002D1D5C">
        <w:trPr>
          <w:trHeight w:val="406"/>
          <w:jc w:val="center"/>
        </w:trPr>
        <w:tc>
          <w:tcPr>
            <w:tcW w:w="5844" w:type="dxa"/>
            <w:gridSpan w:val="2"/>
            <w:tcBorders>
              <w:left w:val="nil"/>
              <w:bottom w:val="nil"/>
              <w:right w:val="nil"/>
            </w:tcBorders>
          </w:tcPr>
          <w:p w:rsidR="00CA3B52" w:rsidRPr="00CB6CBA" w:rsidRDefault="00CA3B52" w:rsidP="002D1D5C">
            <w:pPr>
              <w:pStyle w:val="TableLegendNote"/>
            </w:pPr>
            <w:r w:rsidRPr="00803E26">
              <w:t>NOTE 1 –</w:t>
            </w:r>
            <w:r w:rsidRPr="00803E26">
              <w:rPr>
                <w:lang w:eastAsia="ko-KR"/>
              </w:rPr>
              <w:t> </w:t>
            </w:r>
            <w:r w:rsidRPr="00803E26">
              <w:t>The TRA shall have the sole discretion to determine the Frequency Factor (FF) for any other frequency range not mentioned above, requested for Public Land Mobile or similar services.</w:t>
            </w:r>
          </w:p>
        </w:tc>
      </w:tr>
    </w:tbl>
    <w:p w:rsidR="00CA3B52" w:rsidRDefault="00CA3B52" w:rsidP="00CA3B52">
      <w:pPr>
        <w:pStyle w:val="Tablefin"/>
      </w:pPr>
    </w:p>
    <w:p w:rsidR="00CA3B52" w:rsidRPr="00CB6CBA" w:rsidRDefault="00CA3B52" w:rsidP="00CA3B52">
      <w:pPr>
        <w:pStyle w:val="enumlev1"/>
        <w:rPr>
          <w:lang w:val="en-US"/>
        </w:rPr>
      </w:pPr>
      <w:r w:rsidRPr="00CB6CBA">
        <w:rPr>
          <w:b/>
          <w:bCs/>
          <w:lang w:val="en-US"/>
        </w:rPr>
        <w:tab/>
        <w:t>CF</w:t>
      </w:r>
      <w:r>
        <w:rPr>
          <w:b/>
          <w:bCs/>
          <w:lang w:val="en-US"/>
        </w:rPr>
        <w:t xml:space="preserve"> </w:t>
      </w:r>
      <w:r w:rsidRPr="00FB1323">
        <w:rPr>
          <w:lang w:val="en-US"/>
        </w:rPr>
        <w:t>=</w:t>
      </w:r>
      <w:r w:rsidRPr="00CB6CBA">
        <w:rPr>
          <w:b/>
          <w:bCs/>
          <w:lang w:val="en-US"/>
        </w:rPr>
        <w:t xml:space="preserve"> </w:t>
      </w:r>
      <w:r w:rsidRPr="00CB6CBA">
        <w:rPr>
          <w:lang w:val="en-US"/>
        </w:rPr>
        <w:t xml:space="preserve">Coverage Factor depending on the geographical area which will be determined as follows: </w:t>
      </w:r>
    </w:p>
    <w:p w:rsidR="00CA3B52" w:rsidRPr="005C1150" w:rsidRDefault="00CA3B52" w:rsidP="00F65451">
      <w:pPr>
        <w:pStyle w:val="Blanc"/>
      </w:pPr>
    </w:p>
    <w:tbl>
      <w:tblPr>
        <w:tblW w:w="887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75"/>
        <w:gridCol w:w="1438"/>
        <w:gridCol w:w="1617"/>
        <w:gridCol w:w="2872"/>
        <w:gridCol w:w="2077"/>
      </w:tblGrid>
      <w:tr w:rsidR="00CA3B52" w:rsidRPr="00CB6CBA" w:rsidTr="002D1D5C">
        <w:trPr>
          <w:trHeight w:val="335"/>
          <w:jc w:val="right"/>
        </w:trPr>
        <w:tc>
          <w:tcPr>
            <w:tcW w:w="875" w:type="dxa"/>
          </w:tcPr>
          <w:p w:rsidR="00CA3B52" w:rsidRPr="00CB6CBA" w:rsidRDefault="00CA3B52" w:rsidP="002D1D5C">
            <w:pPr>
              <w:pStyle w:val="Tablehead"/>
              <w:rPr>
                <w:lang w:val="en-US"/>
              </w:rPr>
            </w:pPr>
            <w:r w:rsidRPr="00CB6CBA">
              <w:rPr>
                <w:lang w:val="en-US"/>
              </w:rPr>
              <w:t xml:space="preserve">Area </w:t>
            </w:r>
          </w:p>
        </w:tc>
        <w:tc>
          <w:tcPr>
            <w:tcW w:w="1440" w:type="dxa"/>
          </w:tcPr>
          <w:p w:rsidR="00CA3B52" w:rsidRPr="00CB6CBA" w:rsidRDefault="00CA3B52" w:rsidP="002D1D5C">
            <w:pPr>
              <w:pStyle w:val="Tablehead"/>
              <w:rPr>
                <w:lang w:val="en-US"/>
              </w:rPr>
            </w:pPr>
            <w:r w:rsidRPr="00CB6CBA">
              <w:rPr>
                <w:lang w:val="en-US"/>
              </w:rPr>
              <w:t xml:space="preserve">Rural area or within premises </w:t>
            </w:r>
          </w:p>
        </w:tc>
        <w:tc>
          <w:tcPr>
            <w:tcW w:w="1620" w:type="dxa"/>
          </w:tcPr>
          <w:p w:rsidR="00CA3B52" w:rsidRPr="00CB6CBA" w:rsidRDefault="00CA3B52" w:rsidP="002D1D5C">
            <w:pPr>
              <w:pStyle w:val="Tablehead"/>
              <w:rPr>
                <w:lang w:val="en-US"/>
              </w:rPr>
            </w:pPr>
            <w:r w:rsidRPr="00CB6CBA">
              <w:rPr>
                <w:lang w:val="en-US"/>
              </w:rPr>
              <w:t>Urban city area within one Emirate</w:t>
            </w:r>
          </w:p>
        </w:tc>
        <w:tc>
          <w:tcPr>
            <w:tcW w:w="2880" w:type="dxa"/>
          </w:tcPr>
          <w:p w:rsidR="00CA3B52" w:rsidRPr="00CB6CBA" w:rsidRDefault="00CA3B52" w:rsidP="002D1D5C">
            <w:pPr>
              <w:pStyle w:val="Tablehead"/>
              <w:rPr>
                <w:lang w:val="en-US"/>
              </w:rPr>
            </w:pPr>
            <w:r w:rsidRPr="00CB6CBA">
              <w:rPr>
                <w:lang w:val="en-US"/>
              </w:rPr>
              <w:t xml:space="preserve">Emirate wide </w:t>
            </w:r>
          </w:p>
        </w:tc>
        <w:tc>
          <w:tcPr>
            <w:tcW w:w="2081" w:type="dxa"/>
          </w:tcPr>
          <w:p w:rsidR="00CA3B52" w:rsidRPr="00CB6CBA" w:rsidRDefault="00CA3B52" w:rsidP="002D1D5C">
            <w:pPr>
              <w:pStyle w:val="Tablehead"/>
              <w:rPr>
                <w:lang w:val="en-US"/>
              </w:rPr>
            </w:pPr>
            <w:r w:rsidRPr="00CB6CBA">
              <w:rPr>
                <w:lang w:val="en-US"/>
              </w:rPr>
              <w:t xml:space="preserve">More than Three Emirates </w:t>
            </w:r>
          </w:p>
        </w:tc>
      </w:tr>
      <w:tr w:rsidR="00CA3B52" w:rsidRPr="00CB6CBA" w:rsidTr="002D1D5C">
        <w:trPr>
          <w:trHeight w:val="335"/>
          <w:jc w:val="right"/>
        </w:trPr>
        <w:tc>
          <w:tcPr>
            <w:tcW w:w="875" w:type="dxa"/>
          </w:tcPr>
          <w:p w:rsidR="00CA3B52" w:rsidRPr="00CB6CBA" w:rsidRDefault="00CA3B52" w:rsidP="002D1D5C">
            <w:pPr>
              <w:pStyle w:val="Tabletext"/>
              <w:jc w:val="center"/>
              <w:rPr>
                <w:lang w:val="en-US"/>
              </w:rPr>
            </w:pPr>
            <w:r w:rsidRPr="00CB6CBA">
              <w:rPr>
                <w:lang w:val="en-US"/>
              </w:rPr>
              <w:t>CF</w:t>
            </w:r>
          </w:p>
        </w:tc>
        <w:tc>
          <w:tcPr>
            <w:tcW w:w="1440" w:type="dxa"/>
          </w:tcPr>
          <w:p w:rsidR="00CA3B52" w:rsidRPr="00CB6CBA" w:rsidRDefault="00CA3B52" w:rsidP="00F65451">
            <w:pPr>
              <w:pStyle w:val="Tabletext"/>
              <w:jc w:val="center"/>
              <w:rPr>
                <w:lang w:val="en-US"/>
              </w:rPr>
            </w:pPr>
            <w:r w:rsidRPr="00CB6CBA">
              <w:rPr>
                <w:lang w:val="en-US"/>
              </w:rPr>
              <w:t>100</w:t>
            </w:r>
          </w:p>
        </w:tc>
        <w:tc>
          <w:tcPr>
            <w:tcW w:w="1620" w:type="dxa"/>
          </w:tcPr>
          <w:p w:rsidR="00CA3B52" w:rsidRPr="00CB6CBA" w:rsidRDefault="00CA3B52" w:rsidP="00F65451">
            <w:pPr>
              <w:pStyle w:val="Tabletext"/>
              <w:jc w:val="center"/>
              <w:rPr>
                <w:lang w:val="en-US"/>
              </w:rPr>
            </w:pPr>
            <w:r w:rsidRPr="00CB6CBA">
              <w:rPr>
                <w:lang w:val="en-US"/>
              </w:rPr>
              <w:t>500</w:t>
            </w:r>
          </w:p>
        </w:tc>
        <w:tc>
          <w:tcPr>
            <w:tcW w:w="2880" w:type="dxa"/>
          </w:tcPr>
          <w:p w:rsidR="00CA3B52" w:rsidRPr="00CB6CBA" w:rsidRDefault="00CA3B52" w:rsidP="002D1D5C">
            <w:pPr>
              <w:pStyle w:val="Tabletext"/>
              <w:jc w:val="left"/>
              <w:rPr>
                <w:lang w:val="en-US"/>
              </w:rPr>
            </w:pPr>
            <w:r>
              <w:rPr>
                <w:lang w:val="en-US"/>
              </w:rPr>
              <w:t>2.</w:t>
            </w:r>
            <w:r w:rsidRPr="00CB6CBA">
              <w:rPr>
                <w:lang w:val="en-US"/>
              </w:rPr>
              <w:t>000 for Abu Dhabi or Dubai</w:t>
            </w:r>
          </w:p>
          <w:p w:rsidR="00CA3B52" w:rsidRPr="00CB6CBA" w:rsidRDefault="00CA3B52" w:rsidP="002D1D5C">
            <w:pPr>
              <w:pStyle w:val="Tabletext"/>
              <w:jc w:val="left"/>
              <w:rPr>
                <w:lang w:val="en-US"/>
              </w:rPr>
            </w:pPr>
            <w:r>
              <w:rPr>
                <w:lang w:val="en-US"/>
              </w:rPr>
              <w:t>1.</w:t>
            </w:r>
            <w:r w:rsidRPr="00CB6CBA">
              <w:rPr>
                <w:lang w:val="en-US"/>
              </w:rPr>
              <w:t>000 for other Emirates</w:t>
            </w:r>
          </w:p>
        </w:tc>
        <w:tc>
          <w:tcPr>
            <w:tcW w:w="2081" w:type="dxa"/>
          </w:tcPr>
          <w:p w:rsidR="00CA3B52" w:rsidRPr="00CB6CBA" w:rsidRDefault="00CA3B52" w:rsidP="00F65451">
            <w:pPr>
              <w:pStyle w:val="Tabletext"/>
              <w:jc w:val="center"/>
              <w:rPr>
                <w:lang w:val="en-US"/>
              </w:rPr>
            </w:pPr>
            <w:r w:rsidRPr="00CB6CBA">
              <w:rPr>
                <w:lang w:val="en-US"/>
              </w:rPr>
              <w:t>4</w:t>
            </w:r>
            <w:r>
              <w:rPr>
                <w:lang w:val="en-US"/>
              </w:rPr>
              <w:t>.</w:t>
            </w:r>
            <w:r w:rsidRPr="00CB6CBA">
              <w:rPr>
                <w:lang w:val="en-US"/>
              </w:rPr>
              <w:t>000</w:t>
            </w:r>
          </w:p>
        </w:tc>
      </w:tr>
    </w:tbl>
    <w:p w:rsidR="00CA3B52" w:rsidRPr="00AD6883" w:rsidRDefault="00CA3B52" w:rsidP="00AD6883">
      <w:pPr>
        <w:pStyle w:val="Tablefin"/>
      </w:pPr>
    </w:p>
    <w:p w:rsidR="00CA3B52" w:rsidRPr="00CB6CBA" w:rsidRDefault="00CA3B52" w:rsidP="00CA3B52">
      <w:pPr>
        <w:pStyle w:val="enumlev1"/>
        <w:rPr>
          <w:lang w:val="en-US"/>
        </w:rPr>
      </w:pPr>
      <w:r w:rsidRPr="00CB6CBA">
        <w:rPr>
          <w:b/>
          <w:bCs/>
          <w:lang w:val="en-US"/>
        </w:rPr>
        <w:tab/>
        <w:t>P</w:t>
      </w:r>
      <w:r>
        <w:rPr>
          <w:b/>
          <w:bCs/>
          <w:lang w:val="en-US"/>
        </w:rPr>
        <w:t xml:space="preserve"> </w:t>
      </w:r>
      <w:r w:rsidRPr="00CB6CBA">
        <w:rPr>
          <w:lang w:val="en-US"/>
        </w:rPr>
        <w:t>= Price per MHz, presently set at 978,560 AED (Nine Hundred Seventy Eight Thousands Five Hundred and Sixty Only) per year. The TRA may conduct a study at appropriate i</w:t>
      </w:r>
      <w:r>
        <w:rPr>
          <w:lang w:val="en-US"/>
        </w:rPr>
        <w:t>ntervals to review this price.</w:t>
      </w:r>
    </w:p>
    <w:p w:rsidR="00CA3B52" w:rsidRDefault="00CA3B52" w:rsidP="00AD6883">
      <w:pPr>
        <w:pStyle w:val="enumlev1"/>
        <w:rPr>
          <w:lang w:val="en-US"/>
        </w:rPr>
      </w:pPr>
      <w:r w:rsidRPr="00CB6CBA">
        <w:rPr>
          <w:b/>
          <w:bCs/>
          <w:lang w:val="en-US"/>
        </w:rPr>
        <w:tab/>
        <w:t>BW</w:t>
      </w:r>
      <w:r w:rsidRPr="00A6735C">
        <w:rPr>
          <w:lang w:val="en-US"/>
        </w:rPr>
        <w:t xml:space="preserve"> </w:t>
      </w:r>
      <w:r w:rsidRPr="00CB6CBA">
        <w:rPr>
          <w:lang w:val="en-US"/>
        </w:rPr>
        <w:t>= Assigned Bandwidth in MHz where for duplex assignment of 2</w:t>
      </w:r>
      <w:r w:rsidR="00AD6883">
        <w:rPr>
          <w:lang w:val="en-US"/>
        </w:rPr>
        <w:t xml:space="preserve"> × </w:t>
      </w:r>
      <w:r w:rsidRPr="00CB6CBA">
        <w:rPr>
          <w:lang w:val="en-US"/>
        </w:rPr>
        <w:t>20 MHz shall be taken as 40 MHz</w:t>
      </w:r>
      <w:r>
        <w:rPr>
          <w:lang w:val="en-US"/>
        </w:rPr>
        <w:t>.</w:t>
      </w:r>
    </w:p>
    <w:p w:rsidR="00CA3B52" w:rsidRPr="001272DD" w:rsidRDefault="00CA3B52" w:rsidP="001272DD">
      <w:pPr>
        <w:pStyle w:val="Note"/>
        <w:ind w:left="794" w:hanging="794"/>
        <w:rPr>
          <w:lang w:val="en-US"/>
        </w:rPr>
      </w:pPr>
      <w:r w:rsidRPr="00CB6CBA">
        <w:rPr>
          <w:b/>
          <w:bCs/>
          <w:lang w:val="en-US"/>
        </w:rPr>
        <w:tab/>
      </w:r>
      <w:r w:rsidRPr="001272DD">
        <w:rPr>
          <w:lang w:val="en-US"/>
        </w:rPr>
        <w:t>NOTE 1 – The TRA shall have the sole discretion to determine the Coverage Factor for an Application.</w:t>
      </w:r>
    </w:p>
    <w:p w:rsidR="00CA3B52" w:rsidRPr="00CB6CBA" w:rsidRDefault="00CA3B52" w:rsidP="00CA3B52">
      <w:pPr>
        <w:pStyle w:val="ArtNo"/>
        <w:rPr>
          <w:lang w:val="en-US"/>
        </w:rPr>
      </w:pPr>
      <w:r w:rsidRPr="00CB6CBA">
        <w:rPr>
          <w:lang w:val="en-US"/>
        </w:rPr>
        <w:t>ARTICLE (12)</w:t>
      </w:r>
    </w:p>
    <w:p w:rsidR="00CA3B52" w:rsidRPr="00CB6CBA" w:rsidRDefault="00CA3B52" w:rsidP="00CA3B52">
      <w:pPr>
        <w:pStyle w:val="Arttitle"/>
        <w:rPr>
          <w:lang w:val="en-US"/>
        </w:rPr>
      </w:pPr>
      <w:bookmarkStart w:id="1967" w:name="_Toc237657983"/>
      <w:r w:rsidRPr="00CB6CBA">
        <w:rPr>
          <w:lang w:val="en-US"/>
        </w:rPr>
        <w:t>Spectrum Fees for Private Mobile Radio, Paging, Trunking</w:t>
      </w:r>
      <w:bookmarkEnd w:id="1967"/>
      <w:r w:rsidRPr="00CB6CBA">
        <w:rPr>
          <w:lang w:val="en-US"/>
        </w:rPr>
        <w:t xml:space="preserve"> and PAMR</w:t>
      </w:r>
    </w:p>
    <w:p w:rsidR="00CA3B52" w:rsidRPr="00CB6CBA" w:rsidRDefault="00CA3B52" w:rsidP="00CA3B52">
      <w:pPr>
        <w:pStyle w:val="enumlev1"/>
        <w:rPr>
          <w:lang w:val="en-US"/>
        </w:rPr>
      </w:pPr>
      <w:r w:rsidRPr="00CB6CBA">
        <w:rPr>
          <w:lang w:val="en-US"/>
        </w:rPr>
        <w:t>12.1</w:t>
      </w:r>
      <w:r w:rsidRPr="00CB6CBA">
        <w:rPr>
          <w:lang w:val="en-US"/>
        </w:rPr>
        <w:tab/>
        <w:t xml:space="preserve">The Annual Spectrum Fees for Private Mobile Radio (in the frequency range of 30 MHz to 700 MHz) shall be calculated as follows: </w:t>
      </w:r>
    </w:p>
    <w:p w:rsidR="00CA3B52" w:rsidRPr="00CB6CBA" w:rsidRDefault="00AD6883" w:rsidP="00AD6883">
      <w:pPr>
        <w:pStyle w:val="Equation"/>
        <w:rPr>
          <w:lang w:val="en-US"/>
        </w:rPr>
      </w:pPr>
      <w:r>
        <w:rPr>
          <w:lang w:val="en-US"/>
        </w:rPr>
        <w:tab/>
      </w:r>
      <w:r>
        <w:rPr>
          <w:lang w:val="en-US"/>
        </w:rPr>
        <w:tab/>
      </w:r>
      <w:r w:rsidR="00CA3B52" w:rsidRPr="00CB6CBA">
        <w:rPr>
          <w:lang w:val="en-US"/>
        </w:rPr>
        <w:t xml:space="preserve">Spectrum Fees = NC </w:t>
      </w:r>
      <w:r w:rsidR="00CA3B52">
        <w:rPr>
          <w:lang w:val="en-US"/>
        </w:rPr>
        <w:t>×</w:t>
      </w:r>
      <w:r w:rsidR="00CA3B52" w:rsidRPr="00CB6CBA">
        <w:rPr>
          <w:lang w:val="en-US"/>
        </w:rPr>
        <w:t xml:space="preserve"> CF + SUM (WE </w:t>
      </w:r>
      <w:r w:rsidR="00CA3B52">
        <w:rPr>
          <w:lang w:val="en-US"/>
        </w:rPr>
        <w:t>×</w:t>
      </w:r>
      <w:r w:rsidR="00CA3B52" w:rsidRPr="00CB6CBA">
        <w:rPr>
          <w:lang w:val="en-US"/>
        </w:rPr>
        <w:t xml:space="preserve"> 500 </w:t>
      </w:r>
      <w:r w:rsidR="00CA3B52">
        <w:rPr>
          <w:lang w:val="en-US"/>
        </w:rPr>
        <w:t>×</w:t>
      </w:r>
      <w:r w:rsidR="00CA3B52" w:rsidRPr="00CB6CBA">
        <w:rPr>
          <w:lang w:val="en-US"/>
        </w:rPr>
        <w:t xml:space="preserve"> PF)</w:t>
      </w:r>
    </w:p>
    <w:p w:rsidR="00CA3B52" w:rsidRPr="00CB6CBA" w:rsidRDefault="00CA3B52" w:rsidP="00CA3B52">
      <w:pPr>
        <w:pStyle w:val="enumlev1"/>
        <w:keepNext/>
        <w:keepLines/>
        <w:rPr>
          <w:lang w:val="en-US"/>
        </w:rPr>
      </w:pPr>
      <w:r w:rsidRPr="00CB6CBA">
        <w:rPr>
          <w:lang w:val="en-US"/>
        </w:rPr>
        <w:lastRenderedPageBreak/>
        <w:tab/>
        <w:t xml:space="preserve">where: </w:t>
      </w:r>
    </w:p>
    <w:p w:rsidR="00CA3B52" w:rsidRPr="00CB6CBA" w:rsidRDefault="00CA3B52" w:rsidP="00CA3B52">
      <w:pPr>
        <w:pStyle w:val="enumlev1"/>
        <w:keepNext/>
        <w:keepLines/>
        <w:rPr>
          <w:lang w:val="en-US"/>
        </w:rPr>
      </w:pPr>
      <w:r w:rsidRPr="00CB6CBA">
        <w:rPr>
          <w:b/>
          <w:bCs/>
          <w:lang w:val="en-US"/>
        </w:rPr>
        <w:tab/>
        <w:t>NC</w:t>
      </w:r>
      <w:r>
        <w:rPr>
          <w:b/>
          <w:bCs/>
          <w:lang w:val="en-US"/>
        </w:rPr>
        <w:t xml:space="preserve"> </w:t>
      </w:r>
      <w:r w:rsidRPr="00FB1323">
        <w:rPr>
          <w:lang w:val="en-US"/>
        </w:rPr>
        <w:t>=</w:t>
      </w:r>
      <w:r w:rsidRPr="00CB6CBA">
        <w:rPr>
          <w:b/>
          <w:bCs/>
          <w:lang w:val="en-US"/>
        </w:rPr>
        <w:t xml:space="preserve"> </w:t>
      </w:r>
      <w:r w:rsidRPr="00CB6CBA">
        <w:rPr>
          <w:lang w:val="en-US"/>
        </w:rPr>
        <w:t xml:space="preserve">Number of Channels (6.25 kHz bandwidth equivalents each) that will be assigned to the Applicant. </w:t>
      </w:r>
    </w:p>
    <w:p w:rsidR="00CA3B52" w:rsidRPr="00CB6CBA" w:rsidRDefault="00CA3B52" w:rsidP="00CA3B52">
      <w:pPr>
        <w:pStyle w:val="enumlev1"/>
        <w:rPr>
          <w:lang w:val="en-US"/>
        </w:rPr>
      </w:pPr>
      <w:r w:rsidRPr="00CB6CBA">
        <w:rPr>
          <w:b/>
          <w:bCs/>
          <w:lang w:val="en-US"/>
        </w:rPr>
        <w:tab/>
        <w:t xml:space="preserve">WE </w:t>
      </w:r>
      <w:r w:rsidRPr="00FB1323">
        <w:rPr>
          <w:lang w:val="en-US"/>
        </w:rPr>
        <w:t>=</w:t>
      </w:r>
      <w:r w:rsidRPr="00CB6CBA">
        <w:rPr>
          <w:b/>
          <w:bCs/>
          <w:lang w:val="en-US"/>
        </w:rPr>
        <w:t xml:space="preserve"> </w:t>
      </w:r>
      <w:r w:rsidRPr="00CB6CBA">
        <w:rPr>
          <w:lang w:val="en-US"/>
        </w:rPr>
        <w:t xml:space="preserve">Wireless Equipment (including handhelds) will be included in the calculation. </w:t>
      </w:r>
    </w:p>
    <w:p w:rsidR="00CA3B52" w:rsidRPr="00CB6CBA" w:rsidRDefault="00CA3B52" w:rsidP="00CA3B52">
      <w:pPr>
        <w:pStyle w:val="enumlev1"/>
        <w:rPr>
          <w:lang w:val="en-US"/>
        </w:rPr>
      </w:pPr>
      <w:r w:rsidRPr="00CB6CBA">
        <w:rPr>
          <w:b/>
          <w:bCs/>
          <w:lang w:val="en-US"/>
        </w:rPr>
        <w:tab/>
        <w:t xml:space="preserve">SUM (WE </w:t>
      </w:r>
      <w:r>
        <w:rPr>
          <w:b/>
          <w:bCs/>
          <w:lang w:val="en-US"/>
        </w:rPr>
        <w:t>×</w:t>
      </w:r>
      <w:r w:rsidRPr="00CB6CBA">
        <w:rPr>
          <w:b/>
          <w:bCs/>
          <w:lang w:val="en-US"/>
        </w:rPr>
        <w:t xml:space="preserve"> 500 </w:t>
      </w:r>
      <w:r>
        <w:rPr>
          <w:b/>
          <w:bCs/>
          <w:lang w:val="en-US"/>
        </w:rPr>
        <w:t>×</w:t>
      </w:r>
      <w:r w:rsidRPr="00CB6CBA">
        <w:rPr>
          <w:b/>
          <w:bCs/>
          <w:lang w:val="en-US"/>
        </w:rPr>
        <w:t xml:space="preserve"> PF) </w:t>
      </w:r>
      <w:r w:rsidRPr="00FB1323">
        <w:rPr>
          <w:lang w:val="en-US"/>
        </w:rPr>
        <w:t>=</w:t>
      </w:r>
      <w:r w:rsidRPr="00CB6CBA">
        <w:rPr>
          <w:b/>
          <w:bCs/>
          <w:lang w:val="en-US"/>
        </w:rPr>
        <w:t xml:space="preserve"> </w:t>
      </w:r>
      <w:r w:rsidRPr="00CB6CBA">
        <w:rPr>
          <w:lang w:val="en-US"/>
        </w:rPr>
        <w:t xml:space="preserve">Total sum of (each Wireless Equipment multiplied by 500 multiplied by Power Factor). </w:t>
      </w:r>
    </w:p>
    <w:p w:rsidR="00CA3B52" w:rsidRPr="00CB6CBA" w:rsidRDefault="00CA3B52" w:rsidP="00CA3B52">
      <w:pPr>
        <w:pStyle w:val="enumlev1"/>
        <w:rPr>
          <w:lang w:val="en-US"/>
        </w:rPr>
      </w:pPr>
      <w:r w:rsidRPr="00CB6CBA">
        <w:rPr>
          <w:b/>
          <w:bCs/>
          <w:lang w:val="en-US"/>
        </w:rPr>
        <w:tab/>
        <w:t>PF</w:t>
      </w:r>
      <w:r>
        <w:rPr>
          <w:b/>
          <w:bCs/>
          <w:lang w:val="en-US"/>
        </w:rPr>
        <w:t xml:space="preserve"> </w:t>
      </w:r>
      <w:r w:rsidRPr="00FB1323">
        <w:rPr>
          <w:lang w:val="en-US"/>
        </w:rPr>
        <w:t>=</w:t>
      </w:r>
      <w:r w:rsidRPr="00CB6CBA">
        <w:rPr>
          <w:b/>
          <w:bCs/>
          <w:lang w:val="en-US"/>
        </w:rPr>
        <w:t xml:space="preserve"> </w:t>
      </w:r>
      <w:r w:rsidRPr="00CB6CBA">
        <w:rPr>
          <w:lang w:val="en-US"/>
        </w:rPr>
        <w:t>Power Factor depending on the authorized radiated power (</w:t>
      </w:r>
      <w:r>
        <w:rPr>
          <w:lang w:val="en-US"/>
        </w:rPr>
        <w:t>e.i.r.p.</w:t>
      </w:r>
      <w:r w:rsidRPr="00CB6CBA">
        <w:rPr>
          <w:lang w:val="en-US"/>
        </w:rPr>
        <w:t xml:space="preserve">) for the Equipment which will be determined as follows: </w:t>
      </w:r>
    </w:p>
    <w:p w:rsidR="00CA3B52" w:rsidRPr="005C1150" w:rsidRDefault="00CA3B52" w:rsidP="00F65451">
      <w:pPr>
        <w:pStyle w:val="Blanc"/>
      </w:pPr>
    </w:p>
    <w:tbl>
      <w:tblPr>
        <w:tblW w:w="887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513"/>
        <w:gridCol w:w="1931"/>
        <w:gridCol w:w="1156"/>
        <w:gridCol w:w="1517"/>
        <w:gridCol w:w="1654"/>
        <w:gridCol w:w="1108"/>
      </w:tblGrid>
      <w:tr w:rsidR="00CA3B52" w:rsidRPr="00CB6CBA" w:rsidTr="002D1D5C">
        <w:trPr>
          <w:trHeight w:val="330"/>
          <w:jc w:val="right"/>
        </w:trPr>
        <w:tc>
          <w:tcPr>
            <w:tcW w:w="1513" w:type="dxa"/>
          </w:tcPr>
          <w:p w:rsidR="00CA3B52" w:rsidRPr="00CB6CBA" w:rsidRDefault="00CA3B52" w:rsidP="002D1D5C">
            <w:pPr>
              <w:pStyle w:val="Tablehead"/>
              <w:rPr>
                <w:lang w:val="en-US"/>
              </w:rPr>
            </w:pPr>
            <w:r w:rsidRPr="00CB6CBA">
              <w:rPr>
                <w:lang w:val="en-US"/>
              </w:rPr>
              <w:t xml:space="preserve">Power </w:t>
            </w:r>
          </w:p>
        </w:tc>
        <w:tc>
          <w:tcPr>
            <w:tcW w:w="0" w:type="auto"/>
          </w:tcPr>
          <w:p w:rsidR="00CA3B52" w:rsidRPr="00CB6CBA" w:rsidRDefault="00CA3B52" w:rsidP="002D1D5C">
            <w:pPr>
              <w:pStyle w:val="Tablehead"/>
              <w:rPr>
                <w:lang w:val="en-US"/>
              </w:rPr>
            </w:pPr>
            <w:r w:rsidRPr="00CB6CBA">
              <w:rPr>
                <w:lang w:val="en-US"/>
              </w:rPr>
              <w:t>Less than 1 W</w:t>
            </w:r>
          </w:p>
        </w:tc>
        <w:tc>
          <w:tcPr>
            <w:tcW w:w="0" w:type="auto"/>
          </w:tcPr>
          <w:p w:rsidR="00CA3B52" w:rsidRPr="00CB6CBA" w:rsidRDefault="00CA3B52" w:rsidP="002D1D5C">
            <w:pPr>
              <w:pStyle w:val="Tablehead"/>
              <w:rPr>
                <w:lang w:val="en-US"/>
              </w:rPr>
            </w:pPr>
            <w:r w:rsidRPr="00CB6CBA">
              <w:rPr>
                <w:lang w:val="en-US"/>
              </w:rPr>
              <w:t xml:space="preserve">1 – 5 W </w:t>
            </w:r>
          </w:p>
        </w:tc>
        <w:tc>
          <w:tcPr>
            <w:tcW w:w="0" w:type="auto"/>
          </w:tcPr>
          <w:p w:rsidR="00CA3B52" w:rsidRPr="00CB6CBA" w:rsidRDefault="00CA3B52" w:rsidP="002D1D5C">
            <w:pPr>
              <w:pStyle w:val="Tablehead"/>
              <w:rPr>
                <w:lang w:val="en-US"/>
              </w:rPr>
            </w:pPr>
            <w:r w:rsidRPr="00CB6CBA">
              <w:rPr>
                <w:lang w:val="en-US"/>
              </w:rPr>
              <w:t>&gt;</w:t>
            </w:r>
            <w:r>
              <w:rPr>
                <w:lang w:val="en-US"/>
              </w:rPr>
              <w:t xml:space="preserve"> </w:t>
            </w:r>
            <w:r w:rsidRPr="00CB6CBA">
              <w:rPr>
                <w:lang w:val="en-US"/>
              </w:rPr>
              <w:t xml:space="preserve">5 – 10 W </w:t>
            </w:r>
          </w:p>
        </w:tc>
        <w:tc>
          <w:tcPr>
            <w:tcW w:w="0" w:type="auto"/>
          </w:tcPr>
          <w:p w:rsidR="00CA3B52" w:rsidRPr="00CB6CBA" w:rsidRDefault="00CA3B52" w:rsidP="002D1D5C">
            <w:pPr>
              <w:pStyle w:val="Tablehead"/>
              <w:rPr>
                <w:lang w:val="en-US"/>
              </w:rPr>
            </w:pPr>
            <w:r w:rsidRPr="00CB6CBA">
              <w:rPr>
                <w:lang w:val="en-US"/>
              </w:rPr>
              <w:t>&gt;</w:t>
            </w:r>
            <w:r>
              <w:rPr>
                <w:lang w:val="en-US"/>
              </w:rPr>
              <w:t xml:space="preserve"> </w:t>
            </w:r>
            <w:r w:rsidRPr="00CB6CBA">
              <w:rPr>
                <w:lang w:val="en-US"/>
              </w:rPr>
              <w:t>10 – 20</w:t>
            </w:r>
            <w:r>
              <w:rPr>
                <w:lang w:val="en-US"/>
              </w:rPr>
              <w:t xml:space="preserve"> </w:t>
            </w:r>
            <w:r w:rsidRPr="00CB6CBA">
              <w:rPr>
                <w:lang w:val="en-US"/>
              </w:rPr>
              <w:t xml:space="preserve">W </w:t>
            </w:r>
          </w:p>
        </w:tc>
        <w:tc>
          <w:tcPr>
            <w:tcW w:w="0" w:type="auto"/>
          </w:tcPr>
          <w:p w:rsidR="00CA3B52" w:rsidRPr="00CB6CBA" w:rsidRDefault="00CA3B52" w:rsidP="002D1D5C">
            <w:pPr>
              <w:pStyle w:val="Tablehead"/>
              <w:rPr>
                <w:lang w:val="en-US"/>
              </w:rPr>
            </w:pPr>
            <w:r w:rsidRPr="00CB6CBA">
              <w:rPr>
                <w:lang w:val="en-US"/>
              </w:rPr>
              <w:t>&gt;</w:t>
            </w:r>
            <w:r>
              <w:rPr>
                <w:lang w:val="en-US"/>
              </w:rPr>
              <w:t xml:space="preserve"> 20 W</w:t>
            </w:r>
          </w:p>
        </w:tc>
      </w:tr>
      <w:tr w:rsidR="00CA3B52" w:rsidRPr="00CB6CBA" w:rsidTr="002D1D5C">
        <w:trPr>
          <w:trHeight w:val="330"/>
          <w:jc w:val="right"/>
        </w:trPr>
        <w:tc>
          <w:tcPr>
            <w:tcW w:w="1513" w:type="dxa"/>
          </w:tcPr>
          <w:p w:rsidR="00CA3B52" w:rsidRPr="00CB6CBA" w:rsidRDefault="00CA3B52" w:rsidP="002D1D5C">
            <w:pPr>
              <w:pStyle w:val="Tabletext"/>
              <w:jc w:val="center"/>
              <w:rPr>
                <w:lang w:val="en-US"/>
              </w:rPr>
            </w:pPr>
            <w:r w:rsidRPr="00CB6CBA">
              <w:rPr>
                <w:lang w:val="en-US"/>
              </w:rPr>
              <w:t>PF</w:t>
            </w:r>
          </w:p>
        </w:tc>
        <w:tc>
          <w:tcPr>
            <w:tcW w:w="0" w:type="auto"/>
          </w:tcPr>
          <w:p w:rsidR="00CA3B52" w:rsidRPr="00CB6CBA" w:rsidRDefault="00CA3B52" w:rsidP="00F65451">
            <w:pPr>
              <w:pStyle w:val="Tabletext"/>
              <w:jc w:val="center"/>
              <w:rPr>
                <w:lang w:val="en-US"/>
              </w:rPr>
            </w:pPr>
            <w:r w:rsidRPr="00CB6CBA">
              <w:rPr>
                <w:lang w:val="en-US"/>
              </w:rPr>
              <w:t>0.25</w:t>
            </w:r>
          </w:p>
        </w:tc>
        <w:tc>
          <w:tcPr>
            <w:tcW w:w="0" w:type="auto"/>
          </w:tcPr>
          <w:p w:rsidR="00CA3B52" w:rsidRPr="00CB6CBA" w:rsidRDefault="00CA3B52" w:rsidP="00F65451">
            <w:pPr>
              <w:pStyle w:val="Tabletext"/>
              <w:jc w:val="center"/>
              <w:rPr>
                <w:lang w:val="en-US"/>
              </w:rPr>
            </w:pPr>
            <w:r w:rsidRPr="00CB6CBA">
              <w:rPr>
                <w:lang w:val="en-US"/>
              </w:rPr>
              <w:t>1</w:t>
            </w:r>
          </w:p>
        </w:tc>
        <w:tc>
          <w:tcPr>
            <w:tcW w:w="0" w:type="auto"/>
          </w:tcPr>
          <w:p w:rsidR="00CA3B52" w:rsidRPr="00CB6CBA" w:rsidRDefault="00CA3B52" w:rsidP="00F65451">
            <w:pPr>
              <w:pStyle w:val="Tabletext"/>
              <w:jc w:val="center"/>
              <w:rPr>
                <w:lang w:val="en-US"/>
              </w:rPr>
            </w:pPr>
            <w:r w:rsidRPr="00CB6CBA">
              <w:rPr>
                <w:lang w:val="en-US"/>
              </w:rPr>
              <w:t>2</w:t>
            </w:r>
          </w:p>
        </w:tc>
        <w:tc>
          <w:tcPr>
            <w:tcW w:w="0" w:type="auto"/>
          </w:tcPr>
          <w:p w:rsidR="00CA3B52" w:rsidRPr="00CB6CBA" w:rsidRDefault="00CA3B52" w:rsidP="00F65451">
            <w:pPr>
              <w:pStyle w:val="Tabletext"/>
              <w:jc w:val="center"/>
              <w:rPr>
                <w:lang w:val="en-US"/>
              </w:rPr>
            </w:pPr>
            <w:r w:rsidRPr="00CB6CBA">
              <w:rPr>
                <w:lang w:val="en-US"/>
              </w:rPr>
              <w:t>3</w:t>
            </w:r>
          </w:p>
        </w:tc>
        <w:tc>
          <w:tcPr>
            <w:tcW w:w="0" w:type="auto"/>
          </w:tcPr>
          <w:p w:rsidR="00CA3B52" w:rsidRPr="00CB6CBA" w:rsidRDefault="00CA3B52" w:rsidP="00F65451">
            <w:pPr>
              <w:pStyle w:val="Tabletext"/>
              <w:jc w:val="center"/>
              <w:rPr>
                <w:lang w:val="en-US"/>
              </w:rPr>
            </w:pPr>
            <w:r w:rsidRPr="00CB6CBA">
              <w:rPr>
                <w:lang w:val="en-US"/>
              </w:rPr>
              <w:t>4</w:t>
            </w:r>
          </w:p>
        </w:tc>
      </w:tr>
    </w:tbl>
    <w:p w:rsidR="00CA3B52" w:rsidRPr="00CB6CBA" w:rsidRDefault="00CA3B52" w:rsidP="00F65451">
      <w:pPr>
        <w:pStyle w:val="Tablefin"/>
      </w:pPr>
    </w:p>
    <w:p w:rsidR="00CA3B52" w:rsidRPr="00CB6CBA" w:rsidRDefault="00CA3B52" w:rsidP="00CA3B52">
      <w:pPr>
        <w:pStyle w:val="enumlev1"/>
        <w:rPr>
          <w:lang w:val="en-US"/>
        </w:rPr>
      </w:pPr>
      <w:r w:rsidRPr="00CB6CBA">
        <w:rPr>
          <w:b/>
          <w:bCs/>
          <w:lang w:val="en-US"/>
        </w:rPr>
        <w:tab/>
        <w:t>CF</w:t>
      </w:r>
      <w:r>
        <w:rPr>
          <w:b/>
          <w:bCs/>
          <w:lang w:val="en-US"/>
        </w:rPr>
        <w:t xml:space="preserve"> </w:t>
      </w:r>
      <w:r w:rsidRPr="00FB1323">
        <w:rPr>
          <w:lang w:val="en-US"/>
        </w:rPr>
        <w:t>=</w:t>
      </w:r>
      <w:r w:rsidRPr="00CB6CBA">
        <w:rPr>
          <w:b/>
          <w:bCs/>
          <w:lang w:val="en-US"/>
        </w:rPr>
        <w:t xml:space="preserve"> </w:t>
      </w:r>
      <w:r w:rsidRPr="00CB6CBA">
        <w:rPr>
          <w:lang w:val="en-US"/>
        </w:rPr>
        <w:t xml:space="preserve">Coverage Factor depending on the geographical area which will be determined as follows: </w:t>
      </w:r>
    </w:p>
    <w:p w:rsidR="00CA3B52" w:rsidRPr="00CB6CBA" w:rsidRDefault="00CA3B52" w:rsidP="00CA3B52">
      <w:pPr>
        <w:pStyle w:val="Blanc"/>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CA3B52" w:rsidRPr="00CB6CBA" w:rsidTr="002D1D5C">
        <w:trPr>
          <w:trHeight w:val="335"/>
          <w:jc w:val="right"/>
        </w:trPr>
        <w:tc>
          <w:tcPr>
            <w:tcW w:w="861" w:type="dxa"/>
          </w:tcPr>
          <w:p w:rsidR="00CA3B52" w:rsidRPr="00CB6CBA" w:rsidRDefault="00CA3B52" w:rsidP="002D1D5C">
            <w:pPr>
              <w:pStyle w:val="Tablehead"/>
              <w:rPr>
                <w:lang w:val="en-US"/>
              </w:rPr>
            </w:pPr>
            <w:r w:rsidRPr="00CB6CBA">
              <w:rPr>
                <w:lang w:val="en-US"/>
              </w:rPr>
              <w:t xml:space="preserve">Area </w:t>
            </w:r>
          </w:p>
        </w:tc>
        <w:tc>
          <w:tcPr>
            <w:tcW w:w="1440" w:type="dxa"/>
          </w:tcPr>
          <w:p w:rsidR="00CA3B52" w:rsidRPr="00CB6CBA" w:rsidRDefault="00CA3B52" w:rsidP="002D1D5C">
            <w:pPr>
              <w:pStyle w:val="Tablehead"/>
              <w:rPr>
                <w:lang w:val="en-US"/>
              </w:rPr>
            </w:pPr>
            <w:r w:rsidRPr="00CB6CBA">
              <w:rPr>
                <w:lang w:val="en-US"/>
              </w:rPr>
              <w:t xml:space="preserve">Rural area or within premises </w:t>
            </w:r>
          </w:p>
        </w:tc>
        <w:tc>
          <w:tcPr>
            <w:tcW w:w="1620" w:type="dxa"/>
          </w:tcPr>
          <w:p w:rsidR="00CA3B52" w:rsidRPr="00CB6CBA" w:rsidRDefault="00CA3B52" w:rsidP="002D1D5C">
            <w:pPr>
              <w:pStyle w:val="Tablehead"/>
              <w:rPr>
                <w:lang w:val="en-US"/>
              </w:rPr>
            </w:pPr>
            <w:r w:rsidRPr="00CB6CBA">
              <w:rPr>
                <w:lang w:val="en-US"/>
              </w:rPr>
              <w:t>Urban city area within one Emirate</w:t>
            </w:r>
          </w:p>
        </w:tc>
        <w:tc>
          <w:tcPr>
            <w:tcW w:w="2801" w:type="dxa"/>
          </w:tcPr>
          <w:p w:rsidR="00CA3B52" w:rsidRPr="00CB6CBA" w:rsidRDefault="00CA3B52" w:rsidP="002D1D5C">
            <w:pPr>
              <w:pStyle w:val="Tablehead"/>
              <w:rPr>
                <w:lang w:val="en-US"/>
              </w:rPr>
            </w:pPr>
            <w:r w:rsidRPr="00CB6CBA">
              <w:rPr>
                <w:lang w:val="en-US"/>
              </w:rPr>
              <w:t xml:space="preserve">Emirate wide </w:t>
            </w:r>
          </w:p>
        </w:tc>
        <w:tc>
          <w:tcPr>
            <w:tcW w:w="2160" w:type="dxa"/>
          </w:tcPr>
          <w:p w:rsidR="00CA3B52" w:rsidRPr="00CB6CBA" w:rsidRDefault="00CA3B52" w:rsidP="002D1D5C">
            <w:pPr>
              <w:pStyle w:val="Tablehead"/>
              <w:rPr>
                <w:lang w:val="en-US"/>
              </w:rPr>
            </w:pPr>
            <w:r w:rsidRPr="00CB6CBA">
              <w:rPr>
                <w:lang w:val="en-US"/>
              </w:rPr>
              <w:t xml:space="preserve">More than Three Emirates </w:t>
            </w:r>
          </w:p>
        </w:tc>
      </w:tr>
      <w:tr w:rsidR="00CA3B52" w:rsidRPr="00CB6CBA" w:rsidTr="002D1D5C">
        <w:trPr>
          <w:trHeight w:val="335"/>
          <w:jc w:val="right"/>
        </w:trPr>
        <w:tc>
          <w:tcPr>
            <w:tcW w:w="861" w:type="dxa"/>
            <w:tcBorders>
              <w:bottom w:val="single" w:sz="2" w:space="0" w:color="auto"/>
            </w:tcBorders>
          </w:tcPr>
          <w:p w:rsidR="00CA3B52" w:rsidRPr="00CB6CBA" w:rsidRDefault="00CA3B52" w:rsidP="002D1D5C">
            <w:pPr>
              <w:pStyle w:val="Tabletext"/>
              <w:jc w:val="center"/>
              <w:rPr>
                <w:lang w:val="en-US"/>
              </w:rPr>
            </w:pPr>
            <w:r w:rsidRPr="00CB6CBA">
              <w:rPr>
                <w:lang w:val="en-US"/>
              </w:rPr>
              <w:t>CF</w:t>
            </w:r>
          </w:p>
        </w:tc>
        <w:tc>
          <w:tcPr>
            <w:tcW w:w="1440" w:type="dxa"/>
            <w:tcBorders>
              <w:bottom w:val="single" w:sz="2" w:space="0" w:color="auto"/>
            </w:tcBorders>
          </w:tcPr>
          <w:p w:rsidR="00CA3B52" w:rsidRPr="00CB6CBA" w:rsidRDefault="00CA3B52" w:rsidP="00F65451">
            <w:pPr>
              <w:pStyle w:val="Tabletext"/>
              <w:jc w:val="center"/>
              <w:rPr>
                <w:lang w:val="en-US"/>
              </w:rPr>
            </w:pPr>
            <w:r w:rsidRPr="00CB6CBA">
              <w:rPr>
                <w:lang w:val="en-US"/>
              </w:rPr>
              <w:t>100</w:t>
            </w:r>
          </w:p>
        </w:tc>
        <w:tc>
          <w:tcPr>
            <w:tcW w:w="1620" w:type="dxa"/>
            <w:tcBorders>
              <w:bottom w:val="single" w:sz="2" w:space="0" w:color="auto"/>
            </w:tcBorders>
          </w:tcPr>
          <w:p w:rsidR="00CA3B52" w:rsidRPr="00CB6CBA" w:rsidRDefault="00CA3B52" w:rsidP="00F65451">
            <w:pPr>
              <w:pStyle w:val="Tabletext"/>
              <w:jc w:val="center"/>
              <w:rPr>
                <w:lang w:val="en-US"/>
              </w:rPr>
            </w:pPr>
            <w:r w:rsidRPr="00CB6CBA">
              <w:rPr>
                <w:lang w:val="en-US"/>
              </w:rPr>
              <w:t>500</w:t>
            </w:r>
          </w:p>
        </w:tc>
        <w:tc>
          <w:tcPr>
            <w:tcW w:w="2801" w:type="dxa"/>
            <w:tcBorders>
              <w:bottom w:val="single" w:sz="2" w:space="0" w:color="auto"/>
            </w:tcBorders>
          </w:tcPr>
          <w:p w:rsidR="00CA3B52" w:rsidRPr="00CB6CBA" w:rsidRDefault="00CA3B52" w:rsidP="002D1D5C">
            <w:pPr>
              <w:pStyle w:val="Tabletext"/>
              <w:jc w:val="left"/>
              <w:rPr>
                <w:lang w:val="en-US"/>
              </w:rPr>
            </w:pPr>
            <w:r>
              <w:rPr>
                <w:lang w:val="en-US"/>
              </w:rPr>
              <w:t>2.</w:t>
            </w:r>
            <w:r w:rsidRPr="00CB6CBA">
              <w:rPr>
                <w:lang w:val="en-US"/>
              </w:rPr>
              <w:t>000 for Abu Dhabi or Dubai</w:t>
            </w:r>
          </w:p>
          <w:p w:rsidR="00CA3B52" w:rsidRPr="00CB6CBA" w:rsidRDefault="00CA3B52" w:rsidP="002D1D5C">
            <w:pPr>
              <w:pStyle w:val="Tabletext"/>
              <w:jc w:val="left"/>
              <w:rPr>
                <w:lang w:val="en-US"/>
              </w:rPr>
            </w:pPr>
            <w:r>
              <w:rPr>
                <w:lang w:val="en-US"/>
              </w:rPr>
              <w:t>1.</w:t>
            </w:r>
            <w:r w:rsidRPr="00CB6CBA">
              <w:rPr>
                <w:lang w:val="en-US"/>
              </w:rPr>
              <w:t>000 for other Emirates</w:t>
            </w:r>
          </w:p>
        </w:tc>
        <w:tc>
          <w:tcPr>
            <w:tcW w:w="2160" w:type="dxa"/>
            <w:tcBorders>
              <w:bottom w:val="single" w:sz="2" w:space="0" w:color="auto"/>
            </w:tcBorders>
          </w:tcPr>
          <w:p w:rsidR="00CA3B52" w:rsidRPr="00CB6CBA" w:rsidRDefault="00CA3B52" w:rsidP="00F65451">
            <w:pPr>
              <w:pStyle w:val="Tabletext"/>
              <w:jc w:val="center"/>
              <w:rPr>
                <w:lang w:val="en-US"/>
              </w:rPr>
            </w:pPr>
            <w:r w:rsidRPr="00CB6CBA">
              <w:rPr>
                <w:lang w:val="en-US"/>
              </w:rPr>
              <w:t>4</w:t>
            </w:r>
            <w:r>
              <w:rPr>
                <w:lang w:val="en-US"/>
              </w:rPr>
              <w:t>.</w:t>
            </w:r>
            <w:r w:rsidRPr="00CB6CBA">
              <w:rPr>
                <w:lang w:val="en-US"/>
              </w:rPr>
              <w:t>000</w:t>
            </w:r>
          </w:p>
        </w:tc>
      </w:tr>
      <w:tr w:rsidR="00CA3B52" w:rsidRPr="00F65451" w:rsidTr="002D1D5C">
        <w:trPr>
          <w:trHeight w:val="335"/>
          <w:jc w:val="right"/>
        </w:trPr>
        <w:tc>
          <w:tcPr>
            <w:tcW w:w="8882" w:type="dxa"/>
            <w:gridSpan w:val="5"/>
            <w:tcBorders>
              <w:left w:val="nil"/>
              <w:bottom w:val="nil"/>
              <w:right w:val="nil"/>
            </w:tcBorders>
          </w:tcPr>
          <w:p w:rsidR="00CA3B52" w:rsidRPr="00943DEB" w:rsidRDefault="00CA3B52" w:rsidP="002D1D5C">
            <w:pPr>
              <w:pStyle w:val="TableLegendNote"/>
            </w:pPr>
            <w:r w:rsidRPr="00943DEB">
              <w:t>NOTE 1 – The TRA shall have the sole discretion to determine the Coverage Factor for an Application.</w:t>
            </w:r>
          </w:p>
          <w:p w:rsidR="00CA3B52" w:rsidRPr="00CB6CBA" w:rsidRDefault="00CA3B52" w:rsidP="002D1D5C">
            <w:pPr>
              <w:pStyle w:val="TableLegendNote"/>
            </w:pPr>
            <w:r w:rsidRPr="00D53FF3">
              <w:t>NOTE 2</w:t>
            </w:r>
            <w:r>
              <w:t xml:space="preserve"> –</w:t>
            </w:r>
            <w:r w:rsidRPr="00CB6CBA">
              <w:t xml:space="preserve"> Private Mobile Radios Onboard Vessels shall be charged with </w:t>
            </w:r>
            <w:r w:rsidRPr="00CB6CBA">
              <w:rPr>
                <w:b/>
                <w:bCs/>
              </w:rPr>
              <w:t>CF</w:t>
            </w:r>
            <w:r w:rsidRPr="00CB6CBA">
              <w:t xml:space="preserve"> = 100.</w:t>
            </w:r>
          </w:p>
        </w:tc>
      </w:tr>
    </w:tbl>
    <w:p w:rsidR="00CA3B52" w:rsidRPr="00AD6883" w:rsidRDefault="00CA3B52" w:rsidP="00AD6883">
      <w:pPr>
        <w:pStyle w:val="Tablefin"/>
      </w:pPr>
    </w:p>
    <w:p w:rsidR="00CA3B52" w:rsidRPr="00CB6CBA" w:rsidRDefault="00CA3B52" w:rsidP="00CA3B52">
      <w:pPr>
        <w:pStyle w:val="enumlev1"/>
        <w:rPr>
          <w:lang w:val="en-US"/>
        </w:rPr>
      </w:pPr>
      <w:r>
        <w:rPr>
          <w:lang w:val="en-US"/>
        </w:rPr>
        <w:t>12.2</w:t>
      </w:r>
      <w:r>
        <w:rPr>
          <w:lang w:val="en-US"/>
        </w:rPr>
        <w:tab/>
      </w:r>
      <w:r w:rsidRPr="00CB6CBA">
        <w:rPr>
          <w:lang w:val="en-US"/>
        </w:rPr>
        <w:t xml:space="preserve">The Annual Spectrum Fees for Private Mobile Radio (vehicles only) which are not localized (i.e. not connected to a base station) </w:t>
      </w:r>
      <w:r>
        <w:rPr>
          <w:lang w:val="en-US"/>
        </w:rPr>
        <w:t>shall be calculated as follows:</w:t>
      </w:r>
    </w:p>
    <w:p w:rsidR="00CA3B52" w:rsidRPr="00CB6CBA" w:rsidRDefault="00CA3B52" w:rsidP="00F65451">
      <w:pPr>
        <w:pStyle w:val="Equation"/>
        <w:rPr>
          <w:lang w:val="en-US"/>
        </w:rPr>
      </w:pPr>
      <w:r>
        <w:rPr>
          <w:lang w:val="en-US"/>
        </w:rPr>
        <w:tab/>
      </w:r>
      <w:r>
        <w:rPr>
          <w:lang w:val="en-US"/>
        </w:rPr>
        <w:tab/>
      </w:r>
      <w:r w:rsidRPr="00CB6CBA">
        <w:rPr>
          <w:lang w:val="en-US"/>
        </w:rPr>
        <w:t xml:space="preserve">Spectrum Fees = NC </w:t>
      </w:r>
      <w:r>
        <w:rPr>
          <w:lang w:val="en-US"/>
        </w:rPr>
        <w:t>×</w:t>
      </w:r>
      <w:r w:rsidRPr="00CB6CBA">
        <w:rPr>
          <w:lang w:val="en-US"/>
        </w:rPr>
        <w:t xml:space="preserve"> CF</w:t>
      </w:r>
    </w:p>
    <w:p w:rsidR="00CA3B52" w:rsidRPr="00CB6CBA" w:rsidRDefault="00CA3B52" w:rsidP="00CA3B52">
      <w:pPr>
        <w:pStyle w:val="enumlev1"/>
        <w:rPr>
          <w:lang w:val="en-US"/>
        </w:rPr>
      </w:pPr>
      <w:r>
        <w:rPr>
          <w:lang w:val="en-US"/>
        </w:rPr>
        <w:tab/>
        <w:t>where:</w:t>
      </w:r>
    </w:p>
    <w:p w:rsidR="00CA3B52" w:rsidRPr="00CB6CBA" w:rsidRDefault="00CA3B52" w:rsidP="00CA3B52">
      <w:pPr>
        <w:pStyle w:val="enumlev1"/>
        <w:rPr>
          <w:lang w:val="en-US"/>
        </w:rPr>
      </w:pPr>
      <w:r w:rsidRPr="00CB6CBA">
        <w:rPr>
          <w:b/>
          <w:bCs/>
          <w:lang w:val="en-US"/>
        </w:rPr>
        <w:tab/>
        <w:t>NC</w:t>
      </w:r>
      <w:r>
        <w:rPr>
          <w:b/>
          <w:bCs/>
          <w:lang w:val="en-US"/>
        </w:rPr>
        <w:t xml:space="preserve"> </w:t>
      </w:r>
      <w:r w:rsidRPr="0027035F">
        <w:rPr>
          <w:lang w:val="en-US"/>
        </w:rPr>
        <w:t>=</w:t>
      </w:r>
      <w:r w:rsidRPr="00CB6CBA">
        <w:rPr>
          <w:b/>
          <w:bCs/>
          <w:lang w:val="en-US"/>
        </w:rPr>
        <w:t xml:space="preserve"> </w:t>
      </w:r>
      <w:r w:rsidRPr="00CB6CBA">
        <w:rPr>
          <w:lang w:val="en-US"/>
        </w:rPr>
        <w:t xml:space="preserve">Number of Channels (12.5 kHz bandwidth equivalents each) that will be assigned to the Applicant. </w:t>
      </w:r>
    </w:p>
    <w:p w:rsidR="00CA3B52" w:rsidRPr="00CB6CBA" w:rsidRDefault="00CA3B52" w:rsidP="00CA3B52">
      <w:pPr>
        <w:pStyle w:val="enumlev1"/>
        <w:rPr>
          <w:lang w:val="en-US"/>
        </w:rPr>
      </w:pPr>
      <w:r w:rsidRPr="00CB6CBA">
        <w:rPr>
          <w:b/>
          <w:bCs/>
          <w:lang w:val="en-US"/>
        </w:rPr>
        <w:tab/>
        <w:t>CF</w:t>
      </w:r>
      <w:r>
        <w:rPr>
          <w:b/>
          <w:bCs/>
          <w:lang w:val="en-US"/>
        </w:rPr>
        <w:t xml:space="preserve"> </w:t>
      </w:r>
      <w:r w:rsidRPr="0027035F">
        <w:rPr>
          <w:lang w:val="en-US"/>
        </w:rPr>
        <w:t>=</w:t>
      </w:r>
      <w:r w:rsidRPr="00CB6CBA">
        <w:rPr>
          <w:b/>
          <w:bCs/>
          <w:lang w:val="en-US"/>
        </w:rPr>
        <w:t xml:space="preserve"> </w:t>
      </w:r>
      <w:r w:rsidRPr="00CB6CBA">
        <w:rPr>
          <w:lang w:val="en-US"/>
        </w:rPr>
        <w:t xml:space="preserve">Coverage Factor depending on the geographical area which will be determined as follows: </w:t>
      </w:r>
    </w:p>
    <w:p w:rsidR="00CA3B52" w:rsidRPr="005C1150" w:rsidRDefault="00CA3B52" w:rsidP="00F65451">
      <w:pPr>
        <w:pStyle w:val="Blanc"/>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CA3B52" w:rsidRPr="00CB6CBA" w:rsidTr="002D1D5C">
        <w:trPr>
          <w:trHeight w:val="335"/>
          <w:jc w:val="right"/>
        </w:trPr>
        <w:tc>
          <w:tcPr>
            <w:tcW w:w="861" w:type="dxa"/>
          </w:tcPr>
          <w:p w:rsidR="00CA3B52" w:rsidRPr="00CB6CBA" w:rsidRDefault="00CA3B52" w:rsidP="002D1D5C">
            <w:pPr>
              <w:pStyle w:val="Tablehead"/>
              <w:rPr>
                <w:lang w:val="en-US"/>
              </w:rPr>
            </w:pPr>
            <w:r w:rsidRPr="00CB6CBA">
              <w:rPr>
                <w:lang w:val="en-US"/>
              </w:rPr>
              <w:t xml:space="preserve">Area </w:t>
            </w:r>
          </w:p>
        </w:tc>
        <w:tc>
          <w:tcPr>
            <w:tcW w:w="1440" w:type="dxa"/>
          </w:tcPr>
          <w:p w:rsidR="00CA3B52" w:rsidRPr="00CB6CBA" w:rsidRDefault="00CA3B52" w:rsidP="002D1D5C">
            <w:pPr>
              <w:pStyle w:val="Tablehead"/>
              <w:rPr>
                <w:lang w:val="en-US"/>
              </w:rPr>
            </w:pPr>
            <w:r w:rsidRPr="00CB6CBA">
              <w:rPr>
                <w:lang w:val="en-US"/>
              </w:rPr>
              <w:t xml:space="preserve">Rural area or within premises </w:t>
            </w:r>
          </w:p>
        </w:tc>
        <w:tc>
          <w:tcPr>
            <w:tcW w:w="1620" w:type="dxa"/>
          </w:tcPr>
          <w:p w:rsidR="00CA3B52" w:rsidRPr="00CB6CBA" w:rsidRDefault="00CA3B52" w:rsidP="002D1D5C">
            <w:pPr>
              <w:pStyle w:val="Tablehead"/>
              <w:rPr>
                <w:lang w:val="en-US"/>
              </w:rPr>
            </w:pPr>
            <w:r w:rsidRPr="00CB6CBA">
              <w:rPr>
                <w:lang w:val="en-US"/>
              </w:rPr>
              <w:t>Urban city area within one Emirate</w:t>
            </w:r>
          </w:p>
        </w:tc>
        <w:tc>
          <w:tcPr>
            <w:tcW w:w="2801" w:type="dxa"/>
          </w:tcPr>
          <w:p w:rsidR="00CA3B52" w:rsidRPr="00CB6CBA" w:rsidRDefault="00CA3B52" w:rsidP="002D1D5C">
            <w:pPr>
              <w:pStyle w:val="Tablehead"/>
              <w:rPr>
                <w:lang w:val="en-US"/>
              </w:rPr>
            </w:pPr>
            <w:r w:rsidRPr="00CB6CBA">
              <w:rPr>
                <w:lang w:val="en-US"/>
              </w:rPr>
              <w:t xml:space="preserve">Emirate wide </w:t>
            </w:r>
          </w:p>
        </w:tc>
        <w:tc>
          <w:tcPr>
            <w:tcW w:w="2160" w:type="dxa"/>
          </w:tcPr>
          <w:p w:rsidR="00CA3B52" w:rsidRPr="00CB6CBA" w:rsidRDefault="00CA3B52" w:rsidP="002D1D5C">
            <w:pPr>
              <w:pStyle w:val="Tablehead"/>
              <w:rPr>
                <w:lang w:val="en-US"/>
              </w:rPr>
            </w:pPr>
            <w:r w:rsidRPr="00CB6CBA">
              <w:rPr>
                <w:lang w:val="en-US"/>
              </w:rPr>
              <w:t xml:space="preserve">More than Three Emirates </w:t>
            </w:r>
          </w:p>
        </w:tc>
      </w:tr>
      <w:tr w:rsidR="00CA3B52" w:rsidRPr="00CB6CBA" w:rsidTr="002D1D5C">
        <w:trPr>
          <w:trHeight w:val="335"/>
          <w:jc w:val="right"/>
        </w:trPr>
        <w:tc>
          <w:tcPr>
            <w:tcW w:w="861" w:type="dxa"/>
            <w:tcBorders>
              <w:bottom w:val="single" w:sz="2" w:space="0" w:color="auto"/>
            </w:tcBorders>
          </w:tcPr>
          <w:p w:rsidR="00CA3B52" w:rsidRPr="00CB6CBA" w:rsidRDefault="00CA3B52" w:rsidP="002D1D5C">
            <w:pPr>
              <w:pStyle w:val="Tabletext"/>
              <w:jc w:val="center"/>
              <w:rPr>
                <w:lang w:val="en-US"/>
              </w:rPr>
            </w:pPr>
            <w:r w:rsidRPr="00CB6CBA">
              <w:rPr>
                <w:lang w:val="en-US"/>
              </w:rPr>
              <w:t>CF</w:t>
            </w:r>
          </w:p>
        </w:tc>
        <w:tc>
          <w:tcPr>
            <w:tcW w:w="1440" w:type="dxa"/>
            <w:tcBorders>
              <w:bottom w:val="single" w:sz="2" w:space="0" w:color="auto"/>
            </w:tcBorders>
          </w:tcPr>
          <w:p w:rsidR="00CA3B52" w:rsidRPr="00CB6CBA" w:rsidRDefault="00CA3B52" w:rsidP="00F65451">
            <w:pPr>
              <w:pStyle w:val="Tabletext"/>
              <w:jc w:val="center"/>
              <w:rPr>
                <w:lang w:val="en-US"/>
              </w:rPr>
            </w:pPr>
            <w:r w:rsidRPr="00CB6CBA">
              <w:rPr>
                <w:lang w:val="en-US"/>
              </w:rPr>
              <w:t>100</w:t>
            </w:r>
          </w:p>
        </w:tc>
        <w:tc>
          <w:tcPr>
            <w:tcW w:w="1620" w:type="dxa"/>
            <w:tcBorders>
              <w:bottom w:val="single" w:sz="2" w:space="0" w:color="auto"/>
            </w:tcBorders>
          </w:tcPr>
          <w:p w:rsidR="00CA3B52" w:rsidRPr="00CB6CBA" w:rsidRDefault="00CA3B52" w:rsidP="00F65451">
            <w:pPr>
              <w:pStyle w:val="Tabletext"/>
              <w:jc w:val="center"/>
              <w:rPr>
                <w:lang w:val="en-US"/>
              </w:rPr>
            </w:pPr>
            <w:r w:rsidRPr="00CB6CBA">
              <w:rPr>
                <w:lang w:val="en-US"/>
              </w:rPr>
              <w:t>500</w:t>
            </w:r>
          </w:p>
        </w:tc>
        <w:tc>
          <w:tcPr>
            <w:tcW w:w="2801" w:type="dxa"/>
            <w:tcBorders>
              <w:bottom w:val="single" w:sz="2" w:space="0" w:color="auto"/>
            </w:tcBorders>
          </w:tcPr>
          <w:p w:rsidR="00CA3B52" w:rsidRPr="00CB6CBA" w:rsidRDefault="00CA3B52" w:rsidP="00F65451">
            <w:pPr>
              <w:pStyle w:val="Tabletext"/>
              <w:jc w:val="left"/>
              <w:rPr>
                <w:lang w:val="en-US"/>
              </w:rPr>
            </w:pPr>
            <w:r>
              <w:rPr>
                <w:lang w:val="en-US"/>
              </w:rPr>
              <w:t>2.</w:t>
            </w:r>
            <w:r w:rsidRPr="00CB6CBA">
              <w:rPr>
                <w:lang w:val="en-US"/>
              </w:rPr>
              <w:t>000 for Abu Dhabi or Dubai</w:t>
            </w:r>
            <w:r>
              <w:rPr>
                <w:lang w:val="en-US"/>
              </w:rPr>
              <w:t xml:space="preserve"> and 1.</w:t>
            </w:r>
            <w:r w:rsidRPr="00CB6CBA">
              <w:rPr>
                <w:lang w:val="en-US"/>
              </w:rPr>
              <w:t>000 for other Emirates</w:t>
            </w:r>
          </w:p>
        </w:tc>
        <w:tc>
          <w:tcPr>
            <w:tcW w:w="2160" w:type="dxa"/>
            <w:tcBorders>
              <w:bottom w:val="single" w:sz="2" w:space="0" w:color="auto"/>
            </w:tcBorders>
          </w:tcPr>
          <w:p w:rsidR="00CA3B52" w:rsidRPr="00CB6CBA" w:rsidRDefault="00CA3B52" w:rsidP="00F65451">
            <w:pPr>
              <w:pStyle w:val="Tabletext"/>
              <w:jc w:val="center"/>
              <w:rPr>
                <w:lang w:val="en-US"/>
              </w:rPr>
            </w:pPr>
            <w:r w:rsidRPr="00CB6CBA">
              <w:rPr>
                <w:lang w:val="en-US"/>
              </w:rPr>
              <w:t>4</w:t>
            </w:r>
            <w:r>
              <w:rPr>
                <w:lang w:val="en-US"/>
              </w:rPr>
              <w:t>.</w:t>
            </w:r>
            <w:r w:rsidRPr="00CB6CBA">
              <w:rPr>
                <w:lang w:val="en-US"/>
              </w:rPr>
              <w:t>000</w:t>
            </w:r>
          </w:p>
        </w:tc>
      </w:tr>
      <w:tr w:rsidR="00CA3B52" w:rsidRPr="00F65451" w:rsidTr="002D1D5C">
        <w:trPr>
          <w:trHeight w:val="335"/>
          <w:jc w:val="right"/>
        </w:trPr>
        <w:tc>
          <w:tcPr>
            <w:tcW w:w="8882" w:type="dxa"/>
            <w:gridSpan w:val="5"/>
            <w:tcBorders>
              <w:left w:val="nil"/>
              <w:bottom w:val="nil"/>
              <w:right w:val="nil"/>
            </w:tcBorders>
          </w:tcPr>
          <w:p w:rsidR="00CA3B52" w:rsidRPr="00CB6CBA" w:rsidRDefault="00CA3B52" w:rsidP="002D1D5C">
            <w:pPr>
              <w:pStyle w:val="TableLegendNote"/>
            </w:pPr>
            <w:r w:rsidRPr="00D53FF3">
              <w:t>NOTE</w:t>
            </w:r>
            <w:r>
              <w:t xml:space="preserve"> 1 –</w:t>
            </w:r>
            <w:r w:rsidRPr="00CB6CBA">
              <w:rPr>
                <w:b/>
                <w:bCs/>
              </w:rPr>
              <w:t xml:space="preserve"> </w:t>
            </w:r>
            <w:r w:rsidRPr="00CB6CBA">
              <w:t>The TRA shall have the sole discretion to determine the Coverage Factor for an Application.</w:t>
            </w:r>
          </w:p>
        </w:tc>
      </w:tr>
    </w:tbl>
    <w:p w:rsidR="00CA3B52" w:rsidRPr="005C1150" w:rsidRDefault="00CA3B52" w:rsidP="00F65451">
      <w:pPr>
        <w:pStyle w:val="Tablefin"/>
      </w:pPr>
    </w:p>
    <w:p w:rsidR="00CA3B52" w:rsidRPr="00CB6CBA" w:rsidRDefault="00CA3B52" w:rsidP="00F65451">
      <w:pPr>
        <w:pStyle w:val="enumlev1"/>
        <w:rPr>
          <w:lang w:val="en-US"/>
        </w:rPr>
      </w:pPr>
      <w:r>
        <w:rPr>
          <w:lang w:val="en-US"/>
        </w:rPr>
        <w:t>12.3</w:t>
      </w:r>
      <w:r w:rsidRPr="00CB6CBA">
        <w:rPr>
          <w:lang w:val="en-US"/>
        </w:rPr>
        <w:tab/>
        <w:t>The Annual Spectrum Fees for Private Mobile Radio used by the Taxi companies shall be calculated for the base station in accordance with the Article 12.2 and separate Fees of 300 AED for each Taxi fitted with a radio.</w:t>
      </w:r>
    </w:p>
    <w:p w:rsidR="00CA3B52" w:rsidRPr="00CB6CBA" w:rsidRDefault="00CA3B52" w:rsidP="00CA3B52">
      <w:pPr>
        <w:pStyle w:val="enumlev1"/>
        <w:rPr>
          <w:color w:val="000000"/>
          <w:lang w:val="en-US"/>
        </w:rPr>
      </w:pPr>
      <w:r w:rsidRPr="00CB6CBA">
        <w:rPr>
          <w:lang w:val="en-US"/>
        </w:rPr>
        <w:lastRenderedPageBreak/>
        <w:t>12.4</w:t>
      </w:r>
      <w:r w:rsidRPr="00CB6CBA">
        <w:rPr>
          <w:lang w:val="en-US"/>
        </w:rPr>
        <w:tab/>
        <w:t xml:space="preserve">The Annual Spectrum Fees for Private Mobile Radio used in the Camel Race Tracks </w:t>
      </w:r>
      <w:r w:rsidRPr="00CB6CBA">
        <w:rPr>
          <w:color w:val="000000"/>
          <w:lang w:val="en-US"/>
        </w:rPr>
        <w:t xml:space="preserve">shall be calculated as follows: </w:t>
      </w:r>
    </w:p>
    <w:p w:rsidR="00CA3B52" w:rsidRPr="00CB6CBA" w:rsidRDefault="00AD6883" w:rsidP="00AD6883">
      <w:pPr>
        <w:pStyle w:val="Equation"/>
        <w:rPr>
          <w:lang w:val="en-US"/>
        </w:rPr>
      </w:pPr>
      <w:r>
        <w:rPr>
          <w:lang w:val="en-US"/>
        </w:rPr>
        <w:tab/>
      </w:r>
      <w:r>
        <w:rPr>
          <w:lang w:val="en-US"/>
        </w:rPr>
        <w:tab/>
      </w:r>
      <w:r w:rsidR="00CA3B52" w:rsidRPr="00CB6CBA">
        <w:rPr>
          <w:lang w:val="en-US"/>
        </w:rPr>
        <w:t xml:space="preserve">Spectrum Fees = NC </w:t>
      </w:r>
      <w:r w:rsidR="00CA3B52">
        <w:rPr>
          <w:lang w:val="en-US"/>
        </w:rPr>
        <w:t>×</w:t>
      </w:r>
      <w:r w:rsidR="00CA3B52" w:rsidRPr="00CB6CBA">
        <w:rPr>
          <w:lang w:val="en-US"/>
        </w:rPr>
        <w:t xml:space="preserve"> 50 + WE </w:t>
      </w:r>
      <w:r w:rsidR="00CA3B52">
        <w:rPr>
          <w:lang w:val="en-US"/>
        </w:rPr>
        <w:t>×</w:t>
      </w:r>
      <w:r w:rsidR="00CA3B52" w:rsidRPr="00CB6CBA">
        <w:rPr>
          <w:lang w:val="en-US"/>
        </w:rPr>
        <w:t xml:space="preserve"> 100</w:t>
      </w:r>
    </w:p>
    <w:p w:rsidR="00CA3B52" w:rsidRPr="00CB6CBA" w:rsidRDefault="00CA3B52" w:rsidP="00CA3B52">
      <w:pPr>
        <w:pStyle w:val="enumlev1"/>
        <w:rPr>
          <w:lang w:val="en-US"/>
        </w:rPr>
      </w:pPr>
      <w:r w:rsidRPr="00CB6CBA">
        <w:rPr>
          <w:lang w:val="en-US"/>
        </w:rPr>
        <w:tab/>
        <w:t xml:space="preserve">where: </w:t>
      </w:r>
    </w:p>
    <w:p w:rsidR="00CA3B52" w:rsidRPr="00CB6CBA" w:rsidRDefault="00CA3B52" w:rsidP="00CA3B52">
      <w:pPr>
        <w:pStyle w:val="enumlev1"/>
        <w:rPr>
          <w:lang w:val="en-US"/>
        </w:rPr>
      </w:pPr>
      <w:r w:rsidRPr="00CB6CBA">
        <w:rPr>
          <w:b/>
          <w:bCs/>
          <w:lang w:val="en-US"/>
        </w:rPr>
        <w:tab/>
        <w:t>NC</w:t>
      </w:r>
      <w:r>
        <w:rPr>
          <w:b/>
          <w:bCs/>
          <w:lang w:val="en-US"/>
        </w:rPr>
        <w:t xml:space="preserve"> </w:t>
      </w:r>
      <w:r w:rsidRPr="000B7562">
        <w:rPr>
          <w:lang w:val="en-US"/>
        </w:rPr>
        <w:t>=</w:t>
      </w:r>
      <w:r w:rsidRPr="00CB6CBA">
        <w:rPr>
          <w:b/>
          <w:bCs/>
          <w:lang w:val="en-US"/>
        </w:rPr>
        <w:t xml:space="preserve"> </w:t>
      </w:r>
      <w:r w:rsidRPr="00CB6CBA">
        <w:rPr>
          <w:lang w:val="en-US"/>
        </w:rPr>
        <w:t xml:space="preserve">Number of Channels (6.25 kHz bandwidth equivalents each) that will be assigned to the Applicant. </w:t>
      </w:r>
    </w:p>
    <w:p w:rsidR="00CA3B52" w:rsidRPr="00CB6CBA" w:rsidRDefault="00CA3B52" w:rsidP="00CA3B52">
      <w:pPr>
        <w:pStyle w:val="enumlev1"/>
        <w:rPr>
          <w:lang w:val="en-US"/>
        </w:rPr>
      </w:pPr>
      <w:r w:rsidRPr="00CB6CBA">
        <w:rPr>
          <w:b/>
          <w:bCs/>
          <w:lang w:val="en-US"/>
        </w:rPr>
        <w:tab/>
        <w:t xml:space="preserve">WE </w:t>
      </w:r>
      <w:r w:rsidRPr="000B7562">
        <w:rPr>
          <w:lang w:val="en-US"/>
        </w:rPr>
        <w:t>=</w:t>
      </w:r>
      <w:r w:rsidRPr="00CB6CBA">
        <w:rPr>
          <w:b/>
          <w:bCs/>
          <w:lang w:val="en-US"/>
        </w:rPr>
        <w:t xml:space="preserve"> </w:t>
      </w:r>
      <w:r w:rsidRPr="00CB6CBA">
        <w:rPr>
          <w:lang w:val="en-US"/>
        </w:rPr>
        <w:t xml:space="preserve">Wireless Equipment (including handhelds) will be included in the calculation. </w:t>
      </w:r>
    </w:p>
    <w:p w:rsidR="00CA3B52" w:rsidRPr="00CB6CBA" w:rsidRDefault="00CA3B52" w:rsidP="00F65451">
      <w:pPr>
        <w:pStyle w:val="enumlev1"/>
        <w:rPr>
          <w:lang w:val="en-US"/>
        </w:rPr>
      </w:pPr>
      <w:r w:rsidRPr="00CB6CBA">
        <w:rPr>
          <w:lang w:val="en-US"/>
        </w:rPr>
        <w:t xml:space="preserve">12.5 </w:t>
      </w:r>
      <w:r w:rsidRPr="00CB6CBA">
        <w:rPr>
          <w:lang w:val="en-US"/>
        </w:rPr>
        <w:tab/>
        <w:t xml:space="preserve">The Annual Spectrum Fees for Public Paging shall be calculated for the base station in accordance with the Article 12.1 with no additional Fees for handheld pagers. </w:t>
      </w:r>
    </w:p>
    <w:p w:rsidR="00CA3B52" w:rsidRPr="00CB6CBA" w:rsidRDefault="00CA3B52" w:rsidP="00F65451">
      <w:pPr>
        <w:pStyle w:val="enumlev1"/>
        <w:rPr>
          <w:lang w:val="en-US"/>
        </w:rPr>
      </w:pPr>
      <w:r w:rsidRPr="00CB6CBA">
        <w:rPr>
          <w:lang w:val="en-US"/>
        </w:rPr>
        <w:t xml:space="preserve">12.6 </w:t>
      </w:r>
      <w:r w:rsidRPr="00CB6CBA">
        <w:rPr>
          <w:lang w:val="en-US"/>
        </w:rPr>
        <w:tab/>
        <w:t xml:space="preserve">The Annual Spectrum Fees for Analog Trunking (like MPT 1327) shall be calculated in accordance with the Article 12.1 above. </w:t>
      </w:r>
    </w:p>
    <w:p w:rsidR="00CA3B52" w:rsidRPr="00CB6CBA" w:rsidRDefault="00CA3B52" w:rsidP="00F65451">
      <w:pPr>
        <w:pStyle w:val="enumlev1"/>
        <w:rPr>
          <w:color w:val="000000"/>
          <w:lang w:val="en-US"/>
        </w:rPr>
      </w:pPr>
      <w:r w:rsidRPr="00CB6CBA">
        <w:rPr>
          <w:lang w:val="en-US"/>
        </w:rPr>
        <w:t>12.7</w:t>
      </w:r>
      <w:r w:rsidRPr="00CB6CBA">
        <w:rPr>
          <w:lang w:val="en-US"/>
        </w:rPr>
        <w:tab/>
        <w:t>The Annual Spectrum Fees for Digital Trunking (like TETRA, TETRAPOL, EDACS, APCO, etc</w:t>
      </w:r>
      <w:r>
        <w:rPr>
          <w:lang w:val="en-US"/>
        </w:rPr>
        <w:t>.</w:t>
      </w:r>
      <w:r w:rsidRPr="00CB6CBA">
        <w:rPr>
          <w:lang w:val="en-US"/>
        </w:rPr>
        <w:t>) shall be calculated as follows:</w:t>
      </w:r>
    </w:p>
    <w:p w:rsidR="00CA3B52" w:rsidRPr="00CB6CBA" w:rsidRDefault="00CA3B52" w:rsidP="00F65451">
      <w:pPr>
        <w:pStyle w:val="Equation"/>
        <w:rPr>
          <w:lang w:val="en-US"/>
        </w:rPr>
      </w:pPr>
      <w:r>
        <w:rPr>
          <w:lang w:val="en-US"/>
        </w:rPr>
        <w:tab/>
      </w:r>
      <w:r>
        <w:rPr>
          <w:lang w:val="en-US"/>
        </w:rPr>
        <w:tab/>
      </w:r>
      <w:r w:rsidRPr="00CB6CBA">
        <w:rPr>
          <w:lang w:val="en-US"/>
        </w:rPr>
        <w:t xml:space="preserve">Spectrum Fees = NC </w:t>
      </w:r>
      <w:r>
        <w:rPr>
          <w:lang w:val="en-US"/>
        </w:rPr>
        <w:t>×</w:t>
      </w:r>
      <w:r w:rsidRPr="00CB6CBA">
        <w:rPr>
          <w:lang w:val="en-US"/>
        </w:rPr>
        <w:t xml:space="preserve"> CF</w:t>
      </w:r>
    </w:p>
    <w:p w:rsidR="00CA3B52" w:rsidRPr="00CB6CBA" w:rsidRDefault="00CA3B52" w:rsidP="00CA3B52">
      <w:pPr>
        <w:pStyle w:val="enumlev1"/>
        <w:rPr>
          <w:lang w:val="en-US"/>
        </w:rPr>
      </w:pPr>
      <w:r w:rsidRPr="00CB6CBA">
        <w:rPr>
          <w:lang w:val="en-US"/>
        </w:rPr>
        <w:tab/>
      </w:r>
      <w:r>
        <w:rPr>
          <w:lang w:val="en-US"/>
        </w:rPr>
        <w:t>w</w:t>
      </w:r>
      <w:r w:rsidRPr="00CB6CBA">
        <w:rPr>
          <w:lang w:val="en-US"/>
        </w:rPr>
        <w:t xml:space="preserve">here: </w:t>
      </w:r>
    </w:p>
    <w:p w:rsidR="00CA3B52" w:rsidRPr="00CB6CBA" w:rsidRDefault="00CA3B52" w:rsidP="00CA3B52">
      <w:pPr>
        <w:pStyle w:val="enumlev1"/>
        <w:rPr>
          <w:lang w:val="en-US"/>
        </w:rPr>
      </w:pPr>
      <w:r w:rsidRPr="00CB6CBA">
        <w:rPr>
          <w:b/>
          <w:bCs/>
          <w:lang w:val="en-US"/>
        </w:rPr>
        <w:tab/>
        <w:t>NC</w:t>
      </w:r>
      <w:r>
        <w:rPr>
          <w:b/>
          <w:bCs/>
          <w:lang w:val="en-US"/>
        </w:rPr>
        <w:t xml:space="preserve"> </w:t>
      </w:r>
      <w:r w:rsidRPr="000B7562">
        <w:rPr>
          <w:lang w:val="en-US"/>
        </w:rPr>
        <w:t>=</w:t>
      </w:r>
      <w:r w:rsidRPr="00CB6CBA">
        <w:rPr>
          <w:b/>
          <w:bCs/>
          <w:lang w:val="en-US"/>
        </w:rPr>
        <w:t xml:space="preserve"> </w:t>
      </w:r>
      <w:r w:rsidRPr="00CB6CBA">
        <w:rPr>
          <w:lang w:val="en-US"/>
        </w:rPr>
        <w:t xml:space="preserve">Number of Channels (25 kHz unpaired bandwidth equivalents each) that will be assigned to the Applicant. </w:t>
      </w:r>
    </w:p>
    <w:p w:rsidR="00CA3B52" w:rsidRPr="00CB6CBA" w:rsidRDefault="00CA3B52" w:rsidP="00CA3B52">
      <w:pPr>
        <w:pStyle w:val="enumlev1"/>
        <w:rPr>
          <w:lang w:val="en-US"/>
        </w:rPr>
      </w:pPr>
      <w:r w:rsidRPr="00CB6CBA">
        <w:rPr>
          <w:b/>
          <w:bCs/>
          <w:lang w:val="en-US"/>
        </w:rPr>
        <w:tab/>
        <w:t>CF</w:t>
      </w:r>
      <w:r>
        <w:rPr>
          <w:b/>
          <w:bCs/>
          <w:lang w:val="en-US"/>
        </w:rPr>
        <w:t xml:space="preserve"> </w:t>
      </w:r>
      <w:r w:rsidRPr="000B7562">
        <w:rPr>
          <w:lang w:val="en-US"/>
        </w:rPr>
        <w:t>=</w:t>
      </w:r>
      <w:r w:rsidRPr="00CB6CBA">
        <w:rPr>
          <w:b/>
          <w:bCs/>
          <w:lang w:val="en-US"/>
        </w:rPr>
        <w:t xml:space="preserve"> </w:t>
      </w:r>
      <w:r w:rsidRPr="00CB6CBA">
        <w:rPr>
          <w:lang w:val="en-US"/>
        </w:rPr>
        <w:t xml:space="preserve">Coverage Factor depending on the geographical area which will be determined as follows: </w:t>
      </w:r>
    </w:p>
    <w:p w:rsidR="00CA3B52" w:rsidRPr="005C1150" w:rsidRDefault="00CA3B52" w:rsidP="00F65451">
      <w:pPr>
        <w:pStyle w:val="Blanc"/>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CA3B52" w:rsidRPr="00CB6CBA" w:rsidTr="002D1D5C">
        <w:trPr>
          <w:trHeight w:val="335"/>
          <w:jc w:val="right"/>
        </w:trPr>
        <w:tc>
          <w:tcPr>
            <w:tcW w:w="861" w:type="dxa"/>
          </w:tcPr>
          <w:p w:rsidR="00CA3B52" w:rsidRPr="00CB6CBA" w:rsidRDefault="00CA3B52" w:rsidP="002D1D5C">
            <w:pPr>
              <w:pStyle w:val="Tablehead"/>
              <w:rPr>
                <w:lang w:val="en-US"/>
              </w:rPr>
            </w:pPr>
            <w:r w:rsidRPr="00CB6CBA">
              <w:rPr>
                <w:lang w:val="en-US"/>
              </w:rPr>
              <w:t xml:space="preserve">Area </w:t>
            </w:r>
          </w:p>
        </w:tc>
        <w:tc>
          <w:tcPr>
            <w:tcW w:w="1440" w:type="dxa"/>
          </w:tcPr>
          <w:p w:rsidR="00CA3B52" w:rsidRPr="00CB6CBA" w:rsidRDefault="00CA3B52" w:rsidP="002D1D5C">
            <w:pPr>
              <w:pStyle w:val="Tablehead"/>
              <w:rPr>
                <w:lang w:val="en-US"/>
              </w:rPr>
            </w:pPr>
            <w:r w:rsidRPr="00CB6CBA">
              <w:rPr>
                <w:lang w:val="en-US"/>
              </w:rPr>
              <w:t xml:space="preserve">Rural area or within premises </w:t>
            </w:r>
          </w:p>
        </w:tc>
        <w:tc>
          <w:tcPr>
            <w:tcW w:w="1620" w:type="dxa"/>
          </w:tcPr>
          <w:p w:rsidR="00CA3B52" w:rsidRPr="00CB6CBA" w:rsidRDefault="00CA3B52" w:rsidP="002D1D5C">
            <w:pPr>
              <w:pStyle w:val="Tablehead"/>
              <w:rPr>
                <w:lang w:val="en-US"/>
              </w:rPr>
            </w:pPr>
            <w:r w:rsidRPr="00CB6CBA">
              <w:rPr>
                <w:lang w:val="en-US"/>
              </w:rPr>
              <w:t>Urban city area within one Emirate</w:t>
            </w:r>
          </w:p>
        </w:tc>
        <w:tc>
          <w:tcPr>
            <w:tcW w:w="2801" w:type="dxa"/>
          </w:tcPr>
          <w:p w:rsidR="00CA3B52" w:rsidRPr="00CB6CBA" w:rsidRDefault="00CA3B52" w:rsidP="002D1D5C">
            <w:pPr>
              <w:pStyle w:val="Tablehead"/>
              <w:rPr>
                <w:lang w:val="en-US"/>
              </w:rPr>
            </w:pPr>
            <w:r w:rsidRPr="00CB6CBA">
              <w:rPr>
                <w:lang w:val="en-US"/>
              </w:rPr>
              <w:t xml:space="preserve">Emirate wide </w:t>
            </w:r>
          </w:p>
        </w:tc>
        <w:tc>
          <w:tcPr>
            <w:tcW w:w="2160" w:type="dxa"/>
          </w:tcPr>
          <w:p w:rsidR="00CA3B52" w:rsidRPr="00CB6CBA" w:rsidRDefault="00CA3B52" w:rsidP="002D1D5C">
            <w:pPr>
              <w:pStyle w:val="Tablehead"/>
              <w:rPr>
                <w:lang w:val="en-US"/>
              </w:rPr>
            </w:pPr>
            <w:r w:rsidRPr="00CB6CBA">
              <w:rPr>
                <w:lang w:val="en-US"/>
              </w:rPr>
              <w:t xml:space="preserve">More than Three Emirates </w:t>
            </w:r>
          </w:p>
        </w:tc>
      </w:tr>
      <w:tr w:rsidR="00CA3B52" w:rsidRPr="00CB6CBA" w:rsidTr="002D1D5C">
        <w:trPr>
          <w:trHeight w:val="335"/>
          <w:jc w:val="right"/>
        </w:trPr>
        <w:tc>
          <w:tcPr>
            <w:tcW w:w="861" w:type="dxa"/>
            <w:tcBorders>
              <w:bottom w:val="single" w:sz="2" w:space="0" w:color="auto"/>
            </w:tcBorders>
          </w:tcPr>
          <w:p w:rsidR="00CA3B52" w:rsidRPr="00CB6CBA" w:rsidRDefault="00CA3B52" w:rsidP="002D1D5C">
            <w:pPr>
              <w:pStyle w:val="Tabletext"/>
              <w:jc w:val="center"/>
              <w:rPr>
                <w:lang w:val="en-US"/>
              </w:rPr>
            </w:pPr>
            <w:r w:rsidRPr="00CB6CBA">
              <w:rPr>
                <w:lang w:val="en-US"/>
              </w:rPr>
              <w:t>CF</w:t>
            </w:r>
          </w:p>
        </w:tc>
        <w:tc>
          <w:tcPr>
            <w:tcW w:w="1440" w:type="dxa"/>
            <w:tcBorders>
              <w:bottom w:val="single" w:sz="2" w:space="0" w:color="auto"/>
            </w:tcBorders>
          </w:tcPr>
          <w:p w:rsidR="00CA3B52" w:rsidRPr="00CB6CBA" w:rsidRDefault="00CA3B52" w:rsidP="00F65451">
            <w:pPr>
              <w:pStyle w:val="Tabletext"/>
              <w:jc w:val="center"/>
              <w:rPr>
                <w:lang w:val="en-US"/>
              </w:rPr>
            </w:pPr>
            <w:r w:rsidRPr="00CB6CBA">
              <w:rPr>
                <w:lang w:val="en-US"/>
              </w:rPr>
              <w:t>100</w:t>
            </w:r>
          </w:p>
        </w:tc>
        <w:tc>
          <w:tcPr>
            <w:tcW w:w="1620" w:type="dxa"/>
            <w:tcBorders>
              <w:bottom w:val="single" w:sz="2" w:space="0" w:color="auto"/>
            </w:tcBorders>
          </w:tcPr>
          <w:p w:rsidR="00CA3B52" w:rsidRPr="00CB6CBA" w:rsidRDefault="00CA3B52" w:rsidP="00F65451">
            <w:pPr>
              <w:pStyle w:val="Tabletext"/>
              <w:jc w:val="center"/>
              <w:rPr>
                <w:lang w:val="en-US"/>
              </w:rPr>
            </w:pPr>
            <w:r w:rsidRPr="00CB6CBA">
              <w:rPr>
                <w:lang w:val="en-US"/>
              </w:rPr>
              <w:t>500</w:t>
            </w:r>
          </w:p>
        </w:tc>
        <w:tc>
          <w:tcPr>
            <w:tcW w:w="2801" w:type="dxa"/>
            <w:tcBorders>
              <w:bottom w:val="single" w:sz="2" w:space="0" w:color="auto"/>
            </w:tcBorders>
          </w:tcPr>
          <w:p w:rsidR="00CA3B52" w:rsidRPr="00CB6CBA" w:rsidRDefault="00CA3B52" w:rsidP="00F65451">
            <w:pPr>
              <w:pStyle w:val="Tabletext"/>
              <w:jc w:val="left"/>
              <w:rPr>
                <w:lang w:val="en-US"/>
              </w:rPr>
            </w:pPr>
            <w:r>
              <w:rPr>
                <w:lang w:val="en-US"/>
              </w:rPr>
              <w:t>2.</w:t>
            </w:r>
            <w:r w:rsidRPr="00CB6CBA">
              <w:rPr>
                <w:lang w:val="en-US"/>
              </w:rPr>
              <w:t>000 for Abu Dhabi or Dubai</w:t>
            </w:r>
          </w:p>
          <w:p w:rsidR="00CA3B52" w:rsidRPr="00CB6CBA" w:rsidRDefault="00CA3B52" w:rsidP="00F65451">
            <w:pPr>
              <w:pStyle w:val="Tabletext"/>
              <w:jc w:val="left"/>
              <w:rPr>
                <w:lang w:val="en-US"/>
              </w:rPr>
            </w:pPr>
            <w:r>
              <w:rPr>
                <w:lang w:val="en-US"/>
              </w:rPr>
              <w:t>1.</w:t>
            </w:r>
            <w:r w:rsidRPr="00CB6CBA">
              <w:rPr>
                <w:lang w:val="en-US"/>
              </w:rPr>
              <w:t>000 for other Emirates</w:t>
            </w:r>
          </w:p>
        </w:tc>
        <w:tc>
          <w:tcPr>
            <w:tcW w:w="2160" w:type="dxa"/>
            <w:tcBorders>
              <w:bottom w:val="single" w:sz="2" w:space="0" w:color="auto"/>
            </w:tcBorders>
          </w:tcPr>
          <w:p w:rsidR="00CA3B52" w:rsidRPr="00CB6CBA" w:rsidRDefault="00CA3B52" w:rsidP="00F65451">
            <w:pPr>
              <w:pStyle w:val="Tabletext"/>
              <w:jc w:val="center"/>
              <w:rPr>
                <w:lang w:val="en-US"/>
              </w:rPr>
            </w:pPr>
            <w:r w:rsidRPr="00CB6CBA">
              <w:rPr>
                <w:lang w:val="en-US"/>
              </w:rPr>
              <w:t>4</w:t>
            </w:r>
            <w:r>
              <w:rPr>
                <w:lang w:val="en-US"/>
              </w:rPr>
              <w:t>.</w:t>
            </w:r>
            <w:r w:rsidRPr="00CB6CBA">
              <w:rPr>
                <w:lang w:val="en-US"/>
              </w:rPr>
              <w:t>000</w:t>
            </w:r>
          </w:p>
        </w:tc>
      </w:tr>
      <w:tr w:rsidR="00CA3B52" w:rsidRPr="00F65451" w:rsidTr="002D1D5C">
        <w:trPr>
          <w:trHeight w:val="335"/>
          <w:jc w:val="right"/>
        </w:trPr>
        <w:tc>
          <w:tcPr>
            <w:tcW w:w="8882" w:type="dxa"/>
            <w:gridSpan w:val="5"/>
            <w:tcBorders>
              <w:left w:val="nil"/>
              <w:bottom w:val="nil"/>
              <w:right w:val="nil"/>
            </w:tcBorders>
          </w:tcPr>
          <w:p w:rsidR="00CA3B52" w:rsidRPr="00CB6CBA" w:rsidRDefault="00CA3B52" w:rsidP="002D1D5C">
            <w:pPr>
              <w:pStyle w:val="TableLegendNote"/>
            </w:pPr>
            <w:r w:rsidRPr="00D53FF3">
              <w:t>NOTE</w:t>
            </w:r>
            <w:r>
              <w:t xml:space="preserve"> 1 –</w:t>
            </w:r>
            <w:r w:rsidRPr="00D53FF3">
              <w:t xml:space="preserve"> The</w:t>
            </w:r>
            <w:r w:rsidRPr="00CB6CBA">
              <w:t xml:space="preserve"> TRA shall have the sole discretion to determine the Coverage Factor for an Application.</w:t>
            </w:r>
          </w:p>
        </w:tc>
      </w:tr>
    </w:tbl>
    <w:p w:rsidR="00CA3B52" w:rsidRPr="005C1150" w:rsidRDefault="00CA3B52" w:rsidP="00F65451">
      <w:pPr>
        <w:pStyle w:val="Tablefin"/>
      </w:pPr>
    </w:p>
    <w:p w:rsidR="00CA3B52" w:rsidRPr="00CB6CBA" w:rsidRDefault="00CA3B52" w:rsidP="00CA3B52">
      <w:pPr>
        <w:pStyle w:val="ArtNo"/>
        <w:rPr>
          <w:lang w:val="en-US"/>
        </w:rPr>
      </w:pPr>
      <w:r w:rsidRPr="00CB6CBA">
        <w:rPr>
          <w:lang w:val="en-US"/>
        </w:rPr>
        <w:t>ARTICLE (13)</w:t>
      </w:r>
    </w:p>
    <w:p w:rsidR="00CA3B52" w:rsidRPr="00CB6CBA" w:rsidRDefault="00CA3B52" w:rsidP="00CA3B52">
      <w:pPr>
        <w:pStyle w:val="Arttitle"/>
        <w:rPr>
          <w:lang w:val="en-US"/>
        </w:rPr>
      </w:pPr>
      <w:bookmarkStart w:id="1968" w:name="_Toc237657984"/>
      <w:r w:rsidRPr="00CB6CBA">
        <w:rPr>
          <w:lang w:val="en-US"/>
        </w:rPr>
        <w:t>Spectrum Fees for Fixed (point to point) links</w:t>
      </w:r>
      <w:bookmarkEnd w:id="1968"/>
      <w:r w:rsidRPr="00CB6CBA">
        <w:rPr>
          <w:lang w:val="en-US"/>
        </w:rPr>
        <w:t xml:space="preserve"> </w:t>
      </w:r>
    </w:p>
    <w:p w:rsidR="00CA3B52" w:rsidRPr="00CB6CBA" w:rsidRDefault="00CA3B52" w:rsidP="00CA3B52">
      <w:pPr>
        <w:pStyle w:val="enumlev1"/>
        <w:rPr>
          <w:lang w:val="en-US"/>
        </w:rPr>
      </w:pPr>
      <w:r w:rsidRPr="00CB6CBA">
        <w:rPr>
          <w:lang w:val="en-US"/>
        </w:rPr>
        <w:t>13.1</w:t>
      </w:r>
      <w:r w:rsidRPr="00CB6CBA">
        <w:rPr>
          <w:lang w:val="en-US"/>
        </w:rPr>
        <w:tab/>
        <w:t xml:space="preserve">The Annual Spectrum Fees for each fixed point to point link above 2 GHz shall be calculated as follows: </w:t>
      </w:r>
    </w:p>
    <w:p w:rsidR="00CA3B52" w:rsidRPr="005C1150" w:rsidRDefault="00CA3B52" w:rsidP="00F65451">
      <w:pPr>
        <w:pStyle w:val="Blanc"/>
      </w:pPr>
    </w:p>
    <w:p w:rsidR="00CA3B52" w:rsidRPr="00CB6CBA" w:rsidRDefault="001272DD" w:rsidP="001272DD">
      <w:pPr>
        <w:pStyle w:val="Equation"/>
        <w:rPr>
          <w:lang w:val="en-US"/>
        </w:rPr>
      </w:pPr>
      <w:r>
        <w:rPr>
          <w:lang w:val="en-US"/>
        </w:rPr>
        <w:tab/>
      </w:r>
      <w:r>
        <w:rPr>
          <w:lang w:val="en-US"/>
        </w:rPr>
        <w:tab/>
      </w:r>
      <w:r w:rsidR="00CA3B52" w:rsidRPr="00CB6CBA">
        <w:rPr>
          <w:lang w:val="en-US"/>
        </w:rPr>
        <w:t xml:space="preserve">Spectrum Fees = F </w:t>
      </w:r>
      <w:r w:rsidR="00CA3B52">
        <w:rPr>
          <w:lang w:val="en-US"/>
        </w:rPr>
        <w:t>×</w:t>
      </w:r>
      <w:r w:rsidR="00CA3B52" w:rsidRPr="00CB6CBA">
        <w:rPr>
          <w:lang w:val="en-US"/>
        </w:rPr>
        <w:t xml:space="preserve"> 2</w:t>
      </w:r>
      <w:r w:rsidR="00CA3B52">
        <w:rPr>
          <w:lang w:val="en-US"/>
        </w:rPr>
        <w:t xml:space="preserve"> </w:t>
      </w:r>
      <w:r w:rsidR="00CA3B52" w:rsidRPr="00CB6CBA">
        <w:rPr>
          <w:lang w:val="en-US"/>
        </w:rPr>
        <w:t xml:space="preserve">000 + BW </w:t>
      </w:r>
      <w:r w:rsidR="00CA3B52">
        <w:rPr>
          <w:lang w:val="en-US"/>
        </w:rPr>
        <w:t>×</w:t>
      </w:r>
      <w:r w:rsidR="00CA3B52" w:rsidRPr="00CB6CBA">
        <w:rPr>
          <w:lang w:val="en-US"/>
        </w:rPr>
        <w:t xml:space="preserve"> 1000</w:t>
      </w:r>
    </w:p>
    <w:p w:rsidR="00CA3B52" w:rsidRPr="00CB6CBA" w:rsidRDefault="00CA3B52" w:rsidP="00CA3B52">
      <w:pPr>
        <w:pStyle w:val="enumlev1"/>
        <w:keepNext/>
        <w:keepLines/>
        <w:rPr>
          <w:lang w:val="en-US"/>
        </w:rPr>
      </w:pPr>
      <w:r w:rsidRPr="00CB6CBA">
        <w:rPr>
          <w:lang w:val="en-US"/>
        </w:rPr>
        <w:tab/>
        <w:t xml:space="preserve">where: </w:t>
      </w:r>
    </w:p>
    <w:p w:rsidR="00CA3B52" w:rsidRPr="00CB6CBA" w:rsidRDefault="00CA3B52" w:rsidP="00CA3B52">
      <w:pPr>
        <w:pStyle w:val="enumlev1"/>
        <w:keepNext/>
        <w:keepLines/>
        <w:rPr>
          <w:lang w:val="en-US"/>
        </w:rPr>
      </w:pPr>
      <w:r w:rsidRPr="00CB6CBA">
        <w:rPr>
          <w:b/>
          <w:bCs/>
          <w:lang w:val="en-US"/>
        </w:rPr>
        <w:tab/>
        <w:t>F</w:t>
      </w:r>
      <w:r>
        <w:rPr>
          <w:b/>
          <w:bCs/>
          <w:lang w:val="en-US"/>
        </w:rPr>
        <w:t xml:space="preserve"> </w:t>
      </w:r>
      <w:r w:rsidRPr="000B7562">
        <w:rPr>
          <w:lang w:val="en-US"/>
        </w:rPr>
        <w:t>=</w:t>
      </w:r>
      <w:r w:rsidRPr="00CB6CBA">
        <w:rPr>
          <w:b/>
          <w:bCs/>
          <w:lang w:val="en-US"/>
        </w:rPr>
        <w:t xml:space="preserve"> </w:t>
      </w:r>
      <w:r w:rsidRPr="00CB6CBA">
        <w:rPr>
          <w:lang w:val="en-US"/>
        </w:rPr>
        <w:t xml:space="preserve">Frequency range factor as follows: </w:t>
      </w:r>
      <w:r w:rsidRPr="00CB6CBA">
        <w:rPr>
          <w:lang w:val="en-US"/>
        </w:rPr>
        <w:tab/>
        <w:t xml:space="preserve"> </w:t>
      </w:r>
      <w:r w:rsidRPr="00CB6CBA">
        <w:rPr>
          <w:b/>
          <w:bCs/>
          <w:lang w:val="en-US"/>
        </w:rPr>
        <w:t>BW</w:t>
      </w:r>
      <w:r>
        <w:rPr>
          <w:b/>
          <w:bCs/>
          <w:lang w:val="en-US"/>
        </w:rPr>
        <w:t xml:space="preserve"> </w:t>
      </w:r>
      <w:r w:rsidRPr="000B7562">
        <w:rPr>
          <w:lang w:val="en-US"/>
        </w:rPr>
        <w:t>=</w:t>
      </w:r>
      <w:r w:rsidRPr="00CB6CBA">
        <w:rPr>
          <w:b/>
          <w:bCs/>
          <w:lang w:val="en-US"/>
        </w:rPr>
        <w:t xml:space="preserve"> </w:t>
      </w:r>
      <w:r w:rsidRPr="00CB6CBA">
        <w:rPr>
          <w:lang w:val="en-US"/>
        </w:rPr>
        <w:t xml:space="preserve">Bandwidth factor as follows: </w:t>
      </w:r>
    </w:p>
    <w:p w:rsidR="00AD6883" w:rsidRDefault="00AD6883">
      <w:pPr>
        <w:tabs>
          <w:tab w:val="clear" w:pos="794"/>
          <w:tab w:val="clear" w:pos="1191"/>
          <w:tab w:val="clear" w:pos="1588"/>
          <w:tab w:val="clear" w:pos="1985"/>
        </w:tabs>
        <w:overflowPunct/>
        <w:autoSpaceDE/>
        <w:autoSpaceDN/>
        <w:adjustRightInd/>
        <w:spacing w:before="0"/>
        <w:jc w:val="left"/>
        <w:textAlignment w:val="auto"/>
        <w:rPr>
          <w:sz w:val="16"/>
          <w:lang w:val="en-GB"/>
        </w:rPr>
      </w:pPr>
      <w:r w:rsidRPr="00D2341F">
        <w:rPr>
          <w:lang w:val="en-US"/>
        </w:rPr>
        <w:br w:type="page"/>
      </w:r>
    </w:p>
    <w:p w:rsidR="00CA3B52" w:rsidRPr="005C1150" w:rsidRDefault="00CA3B52" w:rsidP="00F65451">
      <w:pPr>
        <w:pStyle w:val="Blanc"/>
      </w:pPr>
    </w:p>
    <w:tbl>
      <w:tblPr>
        <w:tblW w:w="0" w:type="auto"/>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447"/>
        <w:gridCol w:w="1071"/>
        <w:gridCol w:w="892"/>
        <w:gridCol w:w="2413"/>
        <w:gridCol w:w="1097"/>
      </w:tblGrid>
      <w:tr w:rsidR="00CA3B52" w:rsidRPr="00CB6CBA" w:rsidTr="002D1D5C">
        <w:trPr>
          <w:trHeight w:val="608"/>
        </w:trPr>
        <w:tc>
          <w:tcPr>
            <w:tcW w:w="2447" w:type="dxa"/>
          </w:tcPr>
          <w:p w:rsidR="00CA3B52" w:rsidRPr="00CB6CBA" w:rsidRDefault="00CA3B52" w:rsidP="002D1D5C">
            <w:pPr>
              <w:pStyle w:val="Tablehead"/>
              <w:keepLines/>
              <w:rPr>
                <w:lang w:val="en-US"/>
              </w:rPr>
            </w:pPr>
            <w:r w:rsidRPr="00CB6CBA">
              <w:rPr>
                <w:lang w:val="en-US"/>
              </w:rPr>
              <w:t xml:space="preserve">Frequency Range </w:t>
            </w:r>
          </w:p>
        </w:tc>
        <w:tc>
          <w:tcPr>
            <w:tcW w:w="1071" w:type="dxa"/>
          </w:tcPr>
          <w:p w:rsidR="00CA3B52" w:rsidRPr="00CB6CBA" w:rsidRDefault="00CA3B52" w:rsidP="00215E02">
            <w:pPr>
              <w:pStyle w:val="Tablehead"/>
              <w:keepLines/>
              <w:rPr>
                <w:lang w:val="en-US"/>
              </w:rPr>
            </w:pPr>
            <w:r w:rsidRPr="00CB6CBA">
              <w:rPr>
                <w:lang w:val="en-US"/>
              </w:rPr>
              <w:t xml:space="preserve">F </w:t>
            </w:r>
            <w:r w:rsidR="00215E02">
              <w:rPr>
                <w:lang w:val="en-US"/>
              </w:rPr>
              <w:br/>
            </w:r>
            <w:r w:rsidRPr="00CB6CBA">
              <w:rPr>
                <w:lang w:val="en-US"/>
              </w:rPr>
              <w:t xml:space="preserve">Factor </w:t>
            </w:r>
          </w:p>
        </w:tc>
        <w:tc>
          <w:tcPr>
            <w:tcW w:w="892" w:type="dxa"/>
            <w:tcBorders>
              <w:top w:val="nil"/>
              <w:bottom w:val="nil"/>
            </w:tcBorders>
          </w:tcPr>
          <w:p w:rsidR="00CA3B52" w:rsidRPr="00CB6CBA" w:rsidRDefault="00CA3B52" w:rsidP="002D1D5C">
            <w:pPr>
              <w:pStyle w:val="Tablehead"/>
              <w:keepLines/>
              <w:rPr>
                <w:lang w:val="en-US"/>
              </w:rPr>
            </w:pPr>
          </w:p>
        </w:tc>
        <w:tc>
          <w:tcPr>
            <w:tcW w:w="2413" w:type="dxa"/>
          </w:tcPr>
          <w:p w:rsidR="00CA3B52" w:rsidRPr="00CB6CBA" w:rsidRDefault="00CA3B52" w:rsidP="002D1D5C">
            <w:pPr>
              <w:pStyle w:val="Tablehead"/>
              <w:keepLines/>
              <w:rPr>
                <w:lang w:val="en-US"/>
              </w:rPr>
            </w:pPr>
            <w:r w:rsidRPr="00CB6CBA">
              <w:rPr>
                <w:lang w:val="en-US"/>
              </w:rPr>
              <w:t xml:space="preserve">Bandwidth </w:t>
            </w:r>
          </w:p>
        </w:tc>
        <w:tc>
          <w:tcPr>
            <w:tcW w:w="1097" w:type="dxa"/>
          </w:tcPr>
          <w:p w:rsidR="00CA3B52" w:rsidRPr="00CB6CBA" w:rsidRDefault="00CA3B52" w:rsidP="00215E02">
            <w:pPr>
              <w:pStyle w:val="Tablehead"/>
              <w:keepLines/>
              <w:rPr>
                <w:lang w:val="en-US"/>
              </w:rPr>
            </w:pPr>
            <w:r w:rsidRPr="00CB6CBA">
              <w:rPr>
                <w:lang w:val="en-US"/>
              </w:rPr>
              <w:t xml:space="preserve">BW </w:t>
            </w:r>
            <w:r w:rsidR="00215E02">
              <w:rPr>
                <w:lang w:val="en-US"/>
              </w:rPr>
              <w:br/>
            </w:r>
            <w:r w:rsidRPr="00CB6CBA">
              <w:rPr>
                <w:lang w:val="en-US"/>
              </w:rPr>
              <w:t xml:space="preserve">Factor </w:t>
            </w:r>
          </w:p>
        </w:tc>
      </w:tr>
      <w:tr w:rsidR="00CA3B52" w:rsidRPr="00CB6CBA" w:rsidTr="002D1D5C">
        <w:trPr>
          <w:trHeight w:val="319"/>
        </w:trPr>
        <w:tc>
          <w:tcPr>
            <w:tcW w:w="2447" w:type="dxa"/>
          </w:tcPr>
          <w:p w:rsidR="00CA3B52" w:rsidRPr="00CB6CBA" w:rsidRDefault="00CA3B52" w:rsidP="00F65451">
            <w:pPr>
              <w:pStyle w:val="Tabletext"/>
              <w:keepNext/>
              <w:keepLines/>
              <w:jc w:val="center"/>
              <w:rPr>
                <w:lang w:val="en-US"/>
              </w:rPr>
            </w:pPr>
            <w:r w:rsidRPr="00CB6CBA">
              <w:rPr>
                <w:lang w:val="en-US"/>
              </w:rPr>
              <w:t xml:space="preserve">2 GHz </w:t>
            </w:r>
            <w:r>
              <w:rPr>
                <w:lang w:val="en-US"/>
              </w:rPr>
              <w:t>–</w:t>
            </w:r>
            <w:r w:rsidRPr="00CB6CBA">
              <w:rPr>
                <w:lang w:val="en-US"/>
              </w:rPr>
              <w:t xml:space="preserve"> 3 GHz</w:t>
            </w:r>
          </w:p>
        </w:tc>
        <w:tc>
          <w:tcPr>
            <w:tcW w:w="1071" w:type="dxa"/>
          </w:tcPr>
          <w:p w:rsidR="00CA3B52" w:rsidRPr="00CB6CBA" w:rsidRDefault="00CA3B52" w:rsidP="00F65451">
            <w:pPr>
              <w:pStyle w:val="Tabletext"/>
              <w:keepNext/>
              <w:keepLines/>
              <w:jc w:val="center"/>
              <w:rPr>
                <w:lang w:val="en-US"/>
              </w:rPr>
            </w:pPr>
            <w:r w:rsidRPr="00CB6CBA">
              <w:rPr>
                <w:lang w:val="en-US"/>
              </w:rPr>
              <w:t>4</w:t>
            </w:r>
          </w:p>
        </w:tc>
        <w:tc>
          <w:tcPr>
            <w:tcW w:w="892" w:type="dxa"/>
            <w:tcBorders>
              <w:top w:val="nil"/>
              <w:bottom w:val="nil"/>
            </w:tcBorders>
          </w:tcPr>
          <w:p w:rsidR="00CA3B52" w:rsidRPr="00CB6CBA" w:rsidRDefault="00CA3B52" w:rsidP="00F65451">
            <w:pPr>
              <w:pStyle w:val="Tabletext"/>
              <w:keepNext/>
              <w:keepLines/>
              <w:rPr>
                <w:lang w:val="en-US"/>
              </w:rPr>
            </w:pPr>
          </w:p>
        </w:tc>
        <w:tc>
          <w:tcPr>
            <w:tcW w:w="2413" w:type="dxa"/>
          </w:tcPr>
          <w:p w:rsidR="00CA3B52" w:rsidRPr="00CB6CBA" w:rsidRDefault="00CA3B52" w:rsidP="00F65451">
            <w:pPr>
              <w:pStyle w:val="Tabletext"/>
              <w:keepNext/>
              <w:keepLines/>
              <w:jc w:val="center"/>
              <w:rPr>
                <w:lang w:val="en-US"/>
              </w:rPr>
            </w:pPr>
            <w:r w:rsidRPr="00CB6CBA">
              <w:rPr>
                <w:lang w:val="en-US"/>
              </w:rPr>
              <w:t>7 MHz or less</w:t>
            </w:r>
          </w:p>
        </w:tc>
        <w:tc>
          <w:tcPr>
            <w:tcW w:w="1097" w:type="dxa"/>
          </w:tcPr>
          <w:p w:rsidR="00CA3B52" w:rsidRPr="00CB6CBA" w:rsidRDefault="00CA3B52" w:rsidP="00F65451">
            <w:pPr>
              <w:pStyle w:val="Tabletext"/>
              <w:keepNext/>
              <w:keepLines/>
              <w:jc w:val="center"/>
              <w:rPr>
                <w:lang w:val="en-US"/>
              </w:rPr>
            </w:pPr>
            <w:r w:rsidRPr="00CB6CBA">
              <w:rPr>
                <w:lang w:val="en-US"/>
              </w:rPr>
              <w:t>1</w:t>
            </w:r>
          </w:p>
        </w:tc>
      </w:tr>
      <w:tr w:rsidR="00CA3B52" w:rsidRPr="00CB6CBA" w:rsidTr="002D1D5C">
        <w:trPr>
          <w:trHeight w:val="319"/>
        </w:trPr>
        <w:tc>
          <w:tcPr>
            <w:tcW w:w="2447" w:type="dxa"/>
          </w:tcPr>
          <w:p w:rsidR="00CA3B52" w:rsidRPr="00CB6CBA" w:rsidRDefault="00CA3B52" w:rsidP="00F65451">
            <w:pPr>
              <w:pStyle w:val="Tabletext"/>
              <w:jc w:val="center"/>
              <w:rPr>
                <w:lang w:val="en-US"/>
              </w:rPr>
            </w:pPr>
            <w:r w:rsidRPr="00CB6CBA">
              <w:rPr>
                <w:lang w:val="en-US"/>
              </w:rPr>
              <w:t>&gt;</w:t>
            </w:r>
            <w:r>
              <w:rPr>
                <w:lang w:val="en-US"/>
              </w:rPr>
              <w:t xml:space="preserve"> </w:t>
            </w:r>
            <w:r w:rsidRPr="00CB6CBA">
              <w:rPr>
                <w:lang w:val="en-US"/>
              </w:rPr>
              <w:t>3 GHz – 14 GHz</w:t>
            </w:r>
          </w:p>
        </w:tc>
        <w:tc>
          <w:tcPr>
            <w:tcW w:w="1071" w:type="dxa"/>
          </w:tcPr>
          <w:p w:rsidR="00CA3B52" w:rsidRPr="00CB6CBA" w:rsidRDefault="00CA3B52" w:rsidP="00F65451">
            <w:pPr>
              <w:pStyle w:val="Tabletext"/>
              <w:jc w:val="center"/>
              <w:rPr>
                <w:lang w:val="en-US"/>
              </w:rPr>
            </w:pPr>
            <w:r w:rsidRPr="00CB6CBA">
              <w:rPr>
                <w:lang w:val="en-US"/>
              </w:rPr>
              <w:t>3</w:t>
            </w:r>
          </w:p>
        </w:tc>
        <w:tc>
          <w:tcPr>
            <w:tcW w:w="892" w:type="dxa"/>
            <w:tcBorders>
              <w:top w:val="nil"/>
              <w:bottom w:val="nil"/>
            </w:tcBorders>
          </w:tcPr>
          <w:p w:rsidR="00CA3B52" w:rsidRPr="00CB6CBA" w:rsidRDefault="00CA3B52" w:rsidP="00F65451">
            <w:pPr>
              <w:pStyle w:val="Tabletext"/>
              <w:rPr>
                <w:lang w:val="en-US"/>
              </w:rPr>
            </w:pPr>
          </w:p>
        </w:tc>
        <w:tc>
          <w:tcPr>
            <w:tcW w:w="2413" w:type="dxa"/>
          </w:tcPr>
          <w:p w:rsidR="00CA3B52" w:rsidRPr="00CB6CBA" w:rsidRDefault="00CA3B52" w:rsidP="00F65451">
            <w:pPr>
              <w:pStyle w:val="Tabletext"/>
              <w:jc w:val="center"/>
              <w:rPr>
                <w:lang w:val="en-US"/>
              </w:rPr>
            </w:pPr>
            <w:r w:rsidRPr="00CB6CBA">
              <w:rPr>
                <w:lang w:val="en-US"/>
              </w:rPr>
              <w:t>&gt;</w:t>
            </w:r>
            <w:r>
              <w:rPr>
                <w:lang w:val="en-US"/>
              </w:rPr>
              <w:t xml:space="preserve"> </w:t>
            </w:r>
            <w:r w:rsidRPr="00CB6CBA">
              <w:rPr>
                <w:lang w:val="en-US"/>
              </w:rPr>
              <w:t xml:space="preserve">7 MHz </w:t>
            </w:r>
            <w:r>
              <w:rPr>
                <w:lang w:val="en-US"/>
              </w:rPr>
              <w:t xml:space="preserve">– </w:t>
            </w:r>
            <w:r w:rsidRPr="00CB6CBA">
              <w:rPr>
                <w:lang w:val="en-US"/>
              </w:rPr>
              <w:t>28 MHz</w:t>
            </w:r>
          </w:p>
        </w:tc>
        <w:tc>
          <w:tcPr>
            <w:tcW w:w="1097" w:type="dxa"/>
          </w:tcPr>
          <w:p w:rsidR="00CA3B52" w:rsidRPr="00CB6CBA" w:rsidRDefault="00CA3B52" w:rsidP="00F65451">
            <w:pPr>
              <w:pStyle w:val="Tabletext"/>
              <w:jc w:val="center"/>
              <w:rPr>
                <w:lang w:val="en-US"/>
              </w:rPr>
            </w:pPr>
            <w:r w:rsidRPr="00CB6CBA">
              <w:rPr>
                <w:lang w:val="en-US"/>
              </w:rPr>
              <w:t>2</w:t>
            </w:r>
          </w:p>
        </w:tc>
      </w:tr>
      <w:tr w:rsidR="00CA3B52" w:rsidRPr="00CB6CBA" w:rsidTr="002D1D5C">
        <w:trPr>
          <w:trHeight w:val="319"/>
        </w:trPr>
        <w:tc>
          <w:tcPr>
            <w:tcW w:w="2447" w:type="dxa"/>
          </w:tcPr>
          <w:p w:rsidR="00CA3B52" w:rsidRPr="00CB6CBA" w:rsidRDefault="00CA3B52" w:rsidP="00F65451">
            <w:pPr>
              <w:pStyle w:val="Tabletext"/>
              <w:jc w:val="center"/>
              <w:rPr>
                <w:lang w:val="en-US"/>
              </w:rPr>
            </w:pPr>
            <w:r w:rsidRPr="00CB6CBA">
              <w:rPr>
                <w:lang w:val="en-US"/>
              </w:rPr>
              <w:t>&gt;</w:t>
            </w:r>
            <w:r>
              <w:rPr>
                <w:lang w:val="en-US"/>
              </w:rPr>
              <w:t xml:space="preserve"> </w:t>
            </w:r>
            <w:r w:rsidRPr="00CB6CBA">
              <w:rPr>
                <w:lang w:val="en-US"/>
              </w:rPr>
              <w:t>14 GHz – 40 GHz</w:t>
            </w:r>
          </w:p>
        </w:tc>
        <w:tc>
          <w:tcPr>
            <w:tcW w:w="1071" w:type="dxa"/>
          </w:tcPr>
          <w:p w:rsidR="00CA3B52" w:rsidRPr="00CB6CBA" w:rsidRDefault="00CA3B52" w:rsidP="00F65451">
            <w:pPr>
              <w:pStyle w:val="Tabletext"/>
              <w:jc w:val="center"/>
              <w:rPr>
                <w:lang w:val="en-US"/>
              </w:rPr>
            </w:pPr>
            <w:r w:rsidRPr="00CB6CBA">
              <w:rPr>
                <w:lang w:val="en-US"/>
              </w:rPr>
              <w:t>2</w:t>
            </w:r>
          </w:p>
        </w:tc>
        <w:tc>
          <w:tcPr>
            <w:tcW w:w="892" w:type="dxa"/>
            <w:tcBorders>
              <w:top w:val="nil"/>
              <w:bottom w:val="nil"/>
            </w:tcBorders>
          </w:tcPr>
          <w:p w:rsidR="00CA3B52" w:rsidRPr="00CB6CBA" w:rsidRDefault="00CA3B52" w:rsidP="00F65451">
            <w:pPr>
              <w:pStyle w:val="Tabletext"/>
              <w:rPr>
                <w:lang w:val="en-US"/>
              </w:rPr>
            </w:pPr>
          </w:p>
        </w:tc>
        <w:tc>
          <w:tcPr>
            <w:tcW w:w="2413" w:type="dxa"/>
          </w:tcPr>
          <w:p w:rsidR="00CA3B52" w:rsidRPr="00CB6CBA" w:rsidRDefault="00CA3B52" w:rsidP="00F65451">
            <w:pPr>
              <w:pStyle w:val="Tabletext"/>
              <w:jc w:val="center"/>
              <w:rPr>
                <w:lang w:val="en-US"/>
              </w:rPr>
            </w:pPr>
            <w:r w:rsidRPr="00CB6CBA">
              <w:rPr>
                <w:lang w:val="en-US"/>
              </w:rPr>
              <w:t>&gt;</w:t>
            </w:r>
            <w:r>
              <w:rPr>
                <w:lang w:val="en-US"/>
              </w:rPr>
              <w:t xml:space="preserve"> </w:t>
            </w:r>
            <w:r w:rsidRPr="00CB6CBA">
              <w:rPr>
                <w:lang w:val="en-US"/>
              </w:rPr>
              <w:t>28 MHz – 56 MHz</w:t>
            </w:r>
          </w:p>
        </w:tc>
        <w:tc>
          <w:tcPr>
            <w:tcW w:w="1097" w:type="dxa"/>
          </w:tcPr>
          <w:p w:rsidR="00CA3B52" w:rsidRPr="00CB6CBA" w:rsidRDefault="00CA3B52" w:rsidP="00F65451">
            <w:pPr>
              <w:pStyle w:val="Tabletext"/>
              <w:jc w:val="center"/>
              <w:rPr>
                <w:lang w:val="en-US"/>
              </w:rPr>
            </w:pPr>
            <w:r w:rsidRPr="00CB6CBA">
              <w:rPr>
                <w:lang w:val="en-US"/>
              </w:rPr>
              <w:t>3</w:t>
            </w:r>
          </w:p>
        </w:tc>
      </w:tr>
      <w:tr w:rsidR="00CA3B52" w:rsidRPr="00CB6CBA" w:rsidTr="002D1D5C">
        <w:trPr>
          <w:trHeight w:val="319"/>
        </w:trPr>
        <w:tc>
          <w:tcPr>
            <w:tcW w:w="2447" w:type="dxa"/>
          </w:tcPr>
          <w:p w:rsidR="00CA3B52" w:rsidRPr="00CB6CBA" w:rsidRDefault="00CA3B52" w:rsidP="00F65451">
            <w:pPr>
              <w:pStyle w:val="Tabletext"/>
              <w:jc w:val="center"/>
              <w:rPr>
                <w:lang w:val="en-US"/>
              </w:rPr>
            </w:pPr>
            <w:r w:rsidRPr="00CB6CBA">
              <w:rPr>
                <w:lang w:val="en-US"/>
              </w:rPr>
              <w:t>Above 40 GHz</w:t>
            </w:r>
          </w:p>
        </w:tc>
        <w:tc>
          <w:tcPr>
            <w:tcW w:w="1071" w:type="dxa"/>
          </w:tcPr>
          <w:p w:rsidR="00CA3B52" w:rsidRPr="00CB6CBA" w:rsidRDefault="00CA3B52" w:rsidP="00F65451">
            <w:pPr>
              <w:pStyle w:val="Tabletext"/>
              <w:jc w:val="center"/>
              <w:rPr>
                <w:lang w:val="en-US"/>
              </w:rPr>
            </w:pPr>
            <w:r w:rsidRPr="00CB6CBA">
              <w:rPr>
                <w:lang w:val="en-US"/>
              </w:rPr>
              <w:t>1</w:t>
            </w:r>
          </w:p>
        </w:tc>
        <w:tc>
          <w:tcPr>
            <w:tcW w:w="892" w:type="dxa"/>
            <w:tcBorders>
              <w:top w:val="nil"/>
              <w:bottom w:val="nil"/>
            </w:tcBorders>
          </w:tcPr>
          <w:p w:rsidR="00CA3B52" w:rsidRPr="00CB6CBA" w:rsidRDefault="00CA3B52" w:rsidP="00F65451">
            <w:pPr>
              <w:pStyle w:val="Tabletext"/>
              <w:rPr>
                <w:lang w:val="en-US"/>
              </w:rPr>
            </w:pPr>
          </w:p>
        </w:tc>
        <w:tc>
          <w:tcPr>
            <w:tcW w:w="2413" w:type="dxa"/>
          </w:tcPr>
          <w:p w:rsidR="00CA3B52" w:rsidRPr="00CB6CBA" w:rsidRDefault="00CA3B52" w:rsidP="00F65451">
            <w:pPr>
              <w:pStyle w:val="Tabletext"/>
              <w:jc w:val="center"/>
              <w:rPr>
                <w:lang w:val="en-US"/>
              </w:rPr>
            </w:pPr>
            <w:r w:rsidRPr="00CB6CBA">
              <w:rPr>
                <w:lang w:val="en-US"/>
              </w:rPr>
              <w:t>More than 56 MHz</w:t>
            </w:r>
          </w:p>
        </w:tc>
        <w:tc>
          <w:tcPr>
            <w:tcW w:w="1097" w:type="dxa"/>
          </w:tcPr>
          <w:p w:rsidR="00CA3B52" w:rsidRPr="00CB6CBA" w:rsidRDefault="00CA3B52" w:rsidP="00F65451">
            <w:pPr>
              <w:pStyle w:val="Tabletext"/>
              <w:jc w:val="center"/>
              <w:rPr>
                <w:lang w:val="en-US"/>
              </w:rPr>
            </w:pPr>
            <w:r w:rsidRPr="00CB6CBA">
              <w:rPr>
                <w:lang w:val="en-US"/>
              </w:rPr>
              <w:t>4</w:t>
            </w:r>
          </w:p>
        </w:tc>
      </w:tr>
    </w:tbl>
    <w:p w:rsidR="00CA3B52" w:rsidRPr="00CB6CBA" w:rsidRDefault="00CA3B52" w:rsidP="00F65451">
      <w:pPr>
        <w:pStyle w:val="Tablefin"/>
      </w:pPr>
    </w:p>
    <w:p w:rsidR="00CA3B52" w:rsidRPr="00CB6CBA" w:rsidRDefault="00CA3B52" w:rsidP="00CA3B52">
      <w:pPr>
        <w:pStyle w:val="enumlev1"/>
        <w:rPr>
          <w:lang w:val="en-US"/>
        </w:rPr>
      </w:pPr>
      <w:r w:rsidRPr="00CB6CBA">
        <w:rPr>
          <w:lang w:val="en-US"/>
        </w:rPr>
        <w:t>13.2</w:t>
      </w:r>
      <w:r w:rsidRPr="00CB6CBA">
        <w:rPr>
          <w:lang w:val="en-US"/>
        </w:rPr>
        <w:tab/>
        <w:t>The bandwidth for each Fixed Point to Point link above 2 GHz shall be calculated based on the channel bandwidth (e.g. frequency pair with each frequency of 3.5 MHz + 3.5</w:t>
      </w:r>
      <w:r>
        <w:rPr>
          <w:lang w:val="en-US"/>
        </w:rPr>
        <w:t> </w:t>
      </w:r>
      <w:r w:rsidRPr="00CB6CBA">
        <w:rPr>
          <w:lang w:val="en-US"/>
        </w:rPr>
        <w:t>MHz</w:t>
      </w:r>
      <w:r>
        <w:rPr>
          <w:lang w:val="en-US"/>
        </w:rPr>
        <w:t xml:space="preserve"> </w:t>
      </w:r>
      <w:r w:rsidRPr="00CB6CBA">
        <w:rPr>
          <w:lang w:val="en-US"/>
        </w:rPr>
        <w:t>=</w:t>
      </w:r>
      <w:r>
        <w:rPr>
          <w:lang w:val="en-US"/>
        </w:rPr>
        <w:t xml:space="preserve"> </w:t>
      </w:r>
      <w:r w:rsidRPr="00CB6CBA">
        <w:rPr>
          <w:lang w:val="en-US"/>
        </w:rPr>
        <w:t>7</w:t>
      </w:r>
      <w:r>
        <w:rPr>
          <w:lang w:val="en-US"/>
        </w:rPr>
        <w:t> </w:t>
      </w:r>
      <w:r w:rsidRPr="00CB6CBA">
        <w:rPr>
          <w:lang w:val="en-US"/>
        </w:rPr>
        <w:t>MHz shall be having BW factor of 1). The frequency diversity shall be charged as a separate link but space diversity and hot standby operations shall not add to the Fees.</w:t>
      </w:r>
    </w:p>
    <w:p w:rsidR="00CA3B52" w:rsidRPr="00CB6CBA" w:rsidRDefault="00CA3B52" w:rsidP="00F65451">
      <w:pPr>
        <w:pStyle w:val="enumlev1"/>
        <w:rPr>
          <w:lang w:val="en-US"/>
        </w:rPr>
      </w:pPr>
      <w:r w:rsidRPr="00CB6CBA">
        <w:rPr>
          <w:lang w:val="en-US"/>
        </w:rPr>
        <w:t>13.3</w:t>
      </w:r>
      <w:r w:rsidRPr="00CB6CBA">
        <w:rPr>
          <w:lang w:val="en-US"/>
        </w:rPr>
        <w:tab/>
        <w:t xml:space="preserve">For unidirectional links and links using the same carrier frequency for transmit and receive, the bandwidth factor will be the assigned bandwidth. </w:t>
      </w:r>
    </w:p>
    <w:p w:rsidR="00CA3B52" w:rsidRPr="00CB6CBA" w:rsidRDefault="00CA3B52" w:rsidP="00F65451">
      <w:pPr>
        <w:pStyle w:val="enumlev1"/>
        <w:rPr>
          <w:lang w:val="en-US"/>
        </w:rPr>
      </w:pPr>
      <w:r w:rsidRPr="00CB6CBA">
        <w:rPr>
          <w:lang w:val="en-US"/>
        </w:rPr>
        <w:t>13.4</w:t>
      </w:r>
      <w:r w:rsidRPr="00CB6CBA">
        <w:rPr>
          <w:lang w:val="en-US"/>
        </w:rPr>
        <w:tab/>
        <w:t>In exceptional cases, as decided by the TRA, where frequency pairs are assigned for all UAE point-to-point links above 2 GHz, the annual spectrum Fees shall be ten times the annual spectrum Fees for one link (same parameters) based on a re-use factor of 10.</w:t>
      </w:r>
    </w:p>
    <w:p w:rsidR="00CA3B52" w:rsidRDefault="00CA3B52" w:rsidP="00F65451">
      <w:pPr>
        <w:pStyle w:val="enumlev1"/>
        <w:rPr>
          <w:lang w:val="en-US"/>
        </w:rPr>
      </w:pPr>
      <w:r w:rsidRPr="00CB6CBA">
        <w:rPr>
          <w:lang w:val="en-US"/>
        </w:rPr>
        <w:t>13.5</w:t>
      </w:r>
      <w:r w:rsidRPr="00CB6CBA">
        <w:rPr>
          <w:lang w:val="en-US"/>
        </w:rPr>
        <w:tab/>
        <w:t xml:space="preserve">The Annual Spectrum Fees for each fixed point to point link below 2 GHz with capacity less than 64 kbps shall be calculated as follows: </w:t>
      </w:r>
    </w:p>
    <w:p w:rsidR="00CA3B52" w:rsidRPr="005C1150" w:rsidRDefault="00CA3B52" w:rsidP="00F65451">
      <w:pPr>
        <w:pStyle w:val="Blanc"/>
      </w:pPr>
    </w:p>
    <w:p w:rsidR="00CA3B52" w:rsidRPr="00CB6CBA" w:rsidRDefault="00215E02" w:rsidP="00215E02">
      <w:pPr>
        <w:pStyle w:val="Equation"/>
        <w:rPr>
          <w:lang w:val="en-US"/>
        </w:rPr>
      </w:pPr>
      <w:r>
        <w:rPr>
          <w:lang w:val="en-US"/>
        </w:rPr>
        <w:tab/>
      </w:r>
      <w:r>
        <w:rPr>
          <w:lang w:val="en-US"/>
        </w:rPr>
        <w:tab/>
      </w:r>
      <w:r w:rsidR="00CA3B52" w:rsidRPr="00CB6CBA">
        <w:rPr>
          <w:lang w:val="en-US"/>
        </w:rPr>
        <w:t xml:space="preserve">Spectrum Fees = BW </w:t>
      </w:r>
      <w:r w:rsidR="00CA3B52">
        <w:rPr>
          <w:lang w:val="en-US"/>
        </w:rPr>
        <w:t>×</w:t>
      </w:r>
      <w:r w:rsidR="00CA3B52" w:rsidRPr="00CB6CBA">
        <w:rPr>
          <w:lang w:val="en-US"/>
        </w:rPr>
        <w:t xml:space="preserve"> 1</w:t>
      </w:r>
      <w:r w:rsidR="00CA3B52">
        <w:rPr>
          <w:lang w:val="en-US"/>
        </w:rPr>
        <w:t xml:space="preserve"> </w:t>
      </w:r>
      <w:r w:rsidR="00CA3B52" w:rsidRPr="00CB6CBA">
        <w:rPr>
          <w:lang w:val="en-US"/>
        </w:rPr>
        <w:t>000</w:t>
      </w:r>
    </w:p>
    <w:p w:rsidR="00CA3B52" w:rsidRPr="00CB6CBA" w:rsidRDefault="00CA3B52" w:rsidP="00CA3B52">
      <w:pPr>
        <w:pStyle w:val="enumlev1"/>
        <w:rPr>
          <w:lang w:val="en-US"/>
        </w:rPr>
      </w:pPr>
      <w:r w:rsidRPr="00CB6CBA">
        <w:rPr>
          <w:lang w:val="en-US"/>
        </w:rPr>
        <w:tab/>
        <w:t xml:space="preserve">where: </w:t>
      </w:r>
    </w:p>
    <w:p w:rsidR="00CA3B52" w:rsidRPr="00CB6CBA" w:rsidRDefault="00CA3B52" w:rsidP="00CA3B52">
      <w:pPr>
        <w:pStyle w:val="enumlev1"/>
        <w:rPr>
          <w:lang w:val="en-US"/>
        </w:rPr>
      </w:pPr>
      <w:r w:rsidRPr="00CB6CBA">
        <w:rPr>
          <w:b/>
          <w:bCs/>
          <w:lang w:val="en-US"/>
        </w:rPr>
        <w:tab/>
        <w:t>BW</w:t>
      </w:r>
      <w:r w:rsidRPr="00CB6CBA">
        <w:rPr>
          <w:lang w:val="en-US"/>
        </w:rPr>
        <w:t xml:space="preserve"> is the total bandwidth in kHz for all channels of that link</w:t>
      </w:r>
      <w:r>
        <w:rPr>
          <w:lang w:val="en-US"/>
        </w:rPr>
        <w:t>.</w:t>
      </w:r>
    </w:p>
    <w:p w:rsidR="00CA3B52" w:rsidRPr="00CB6CBA" w:rsidRDefault="00CA3B52" w:rsidP="00CA3B52">
      <w:pPr>
        <w:pStyle w:val="enumlev1"/>
        <w:rPr>
          <w:lang w:val="en-US"/>
        </w:rPr>
      </w:pPr>
      <w:r w:rsidRPr="00CB6CBA">
        <w:rPr>
          <w:lang w:val="en-US"/>
        </w:rPr>
        <w:t>13.6</w:t>
      </w:r>
      <w:r w:rsidRPr="00CB6CBA">
        <w:rPr>
          <w:lang w:val="en-US"/>
        </w:rPr>
        <w:tab/>
        <w:t xml:space="preserve">The Annual Spectrum Fees for Fixed Point to Point link below 2 GHz with high capacity equal or above 64 kbps shall be calculated as follows: </w:t>
      </w:r>
    </w:p>
    <w:p w:rsidR="00CA3B52" w:rsidRPr="005C1150" w:rsidRDefault="00CA3B52" w:rsidP="00F65451">
      <w:pPr>
        <w:pStyle w:val="Blanc"/>
      </w:pPr>
    </w:p>
    <w:p w:rsidR="00CA3B52" w:rsidRPr="00CB6CBA" w:rsidRDefault="00215E02" w:rsidP="00215E02">
      <w:pPr>
        <w:pStyle w:val="Equation"/>
        <w:rPr>
          <w:lang w:val="en-US"/>
        </w:rPr>
      </w:pPr>
      <w:r>
        <w:rPr>
          <w:lang w:val="en-US"/>
        </w:rPr>
        <w:tab/>
      </w:r>
      <w:r>
        <w:rPr>
          <w:lang w:val="en-US"/>
        </w:rPr>
        <w:tab/>
      </w:r>
      <w:r w:rsidR="00CA3B52" w:rsidRPr="00CB6CBA">
        <w:rPr>
          <w:lang w:val="en-US"/>
        </w:rPr>
        <w:t xml:space="preserve">Spectrum Fees = BW </w:t>
      </w:r>
      <w:r w:rsidR="00CA3B52">
        <w:rPr>
          <w:lang w:val="en-US"/>
        </w:rPr>
        <w:t>×</w:t>
      </w:r>
      <w:r w:rsidR="00CA3B52" w:rsidRPr="00CB6CBA">
        <w:rPr>
          <w:lang w:val="en-US"/>
        </w:rPr>
        <w:t xml:space="preserve"> 2</w:t>
      </w:r>
      <w:r w:rsidR="00CA3B52">
        <w:rPr>
          <w:lang w:val="en-US"/>
        </w:rPr>
        <w:t xml:space="preserve"> </w:t>
      </w:r>
      <w:r w:rsidR="00CA3B52" w:rsidRPr="00CB6CBA">
        <w:rPr>
          <w:lang w:val="en-US"/>
        </w:rPr>
        <w:t>000</w:t>
      </w:r>
    </w:p>
    <w:p w:rsidR="00CA3B52" w:rsidRPr="00CB6CBA" w:rsidRDefault="00CA3B52" w:rsidP="00CA3B52">
      <w:pPr>
        <w:pStyle w:val="enumlev1"/>
        <w:rPr>
          <w:lang w:val="en-US"/>
        </w:rPr>
      </w:pPr>
      <w:r w:rsidRPr="00CB6CBA">
        <w:rPr>
          <w:lang w:val="en-US"/>
        </w:rPr>
        <w:tab/>
        <w:t>where:</w:t>
      </w:r>
    </w:p>
    <w:p w:rsidR="00CA3B52" w:rsidRPr="00CB6CBA" w:rsidRDefault="00CA3B52" w:rsidP="00CA3B52">
      <w:pPr>
        <w:pStyle w:val="enumlev1"/>
        <w:rPr>
          <w:lang w:val="en-US"/>
        </w:rPr>
      </w:pPr>
      <w:r w:rsidRPr="00CB6CBA">
        <w:rPr>
          <w:b/>
          <w:bCs/>
          <w:lang w:val="en-US"/>
        </w:rPr>
        <w:tab/>
        <w:t>BW</w:t>
      </w:r>
      <w:r w:rsidRPr="00CB6CBA">
        <w:rPr>
          <w:lang w:val="en-US"/>
        </w:rPr>
        <w:t xml:space="preserve"> is the total bandwidth in MHz for all channels of that link.</w:t>
      </w:r>
    </w:p>
    <w:p w:rsidR="00CA3B52" w:rsidRPr="00CB6CBA" w:rsidRDefault="00CA3B52" w:rsidP="00CA3B52">
      <w:pPr>
        <w:pStyle w:val="ArtNo"/>
        <w:rPr>
          <w:lang w:val="en-US"/>
        </w:rPr>
      </w:pPr>
      <w:r w:rsidRPr="00CB6CBA">
        <w:rPr>
          <w:lang w:val="en-US"/>
        </w:rPr>
        <w:t>ARTICLE (14)</w:t>
      </w:r>
    </w:p>
    <w:p w:rsidR="00CA3B52" w:rsidRPr="00CB6CBA" w:rsidRDefault="00CA3B52" w:rsidP="00CA3B52">
      <w:pPr>
        <w:pStyle w:val="Arttitle"/>
        <w:rPr>
          <w:lang w:val="en-US"/>
        </w:rPr>
      </w:pPr>
      <w:bookmarkStart w:id="1969" w:name="_Toc237657985"/>
      <w:r w:rsidRPr="00CB6CBA">
        <w:rPr>
          <w:lang w:val="en-US"/>
        </w:rPr>
        <w:t xml:space="preserve">Spectrum Fees for FWA (PMP, WLL), SCADA, Telemetry, </w:t>
      </w:r>
      <w:r w:rsidRPr="00CB6CBA">
        <w:rPr>
          <w:lang w:val="en-US"/>
        </w:rPr>
        <w:br/>
        <w:t>Mesh Networks</w:t>
      </w:r>
      <w:bookmarkEnd w:id="1969"/>
      <w:r w:rsidRPr="00CB6CBA">
        <w:rPr>
          <w:lang w:val="en-US"/>
        </w:rPr>
        <w:t xml:space="preserve"> </w:t>
      </w:r>
    </w:p>
    <w:p w:rsidR="00CA3B52" w:rsidRDefault="00CA3B52" w:rsidP="00CA3B52">
      <w:pPr>
        <w:pStyle w:val="enumlev1"/>
        <w:rPr>
          <w:lang w:val="en-US"/>
        </w:rPr>
      </w:pPr>
      <w:r w:rsidRPr="00CB6CBA">
        <w:rPr>
          <w:lang w:val="en-US"/>
        </w:rPr>
        <w:t>14.1</w:t>
      </w:r>
      <w:r w:rsidRPr="00CB6CBA">
        <w:rPr>
          <w:lang w:val="en-US"/>
        </w:rPr>
        <w:tab/>
        <w:t xml:space="preserve">The Annual Spectrum Fees for Fixed Wireless Access (including Wireless Local loop and Point to multipoint), SCADA, Telemetry and Mesh networks below 2 GHz shall be calculated as follows: </w:t>
      </w:r>
    </w:p>
    <w:p w:rsidR="00CA3B52" w:rsidRPr="005C1150" w:rsidRDefault="00CA3B52" w:rsidP="00F65451">
      <w:pPr>
        <w:pStyle w:val="Blanc"/>
      </w:pPr>
    </w:p>
    <w:p w:rsidR="00CA3B52" w:rsidRPr="00CB6CBA" w:rsidRDefault="00215E02" w:rsidP="00215E02">
      <w:pPr>
        <w:pStyle w:val="Equation"/>
        <w:rPr>
          <w:lang w:val="en-US"/>
        </w:rPr>
      </w:pPr>
      <w:r>
        <w:rPr>
          <w:lang w:val="en-US"/>
        </w:rPr>
        <w:tab/>
      </w:r>
      <w:r>
        <w:rPr>
          <w:lang w:val="en-US"/>
        </w:rPr>
        <w:tab/>
      </w:r>
      <w:r w:rsidR="00CA3B52" w:rsidRPr="00CB6CBA">
        <w:rPr>
          <w:lang w:val="en-US"/>
        </w:rPr>
        <w:t xml:space="preserve">Spectrum Fees = BW </w:t>
      </w:r>
      <w:r w:rsidR="00CA3B52">
        <w:rPr>
          <w:lang w:val="en-US"/>
        </w:rPr>
        <w:t>×</w:t>
      </w:r>
      <w:r w:rsidR="00CA3B52" w:rsidRPr="00CB6CBA">
        <w:rPr>
          <w:lang w:val="en-US"/>
        </w:rPr>
        <w:t xml:space="preserve"> CF </w:t>
      </w:r>
      <w:r w:rsidR="00CA3B52">
        <w:rPr>
          <w:lang w:val="en-US"/>
        </w:rPr>
        <w:t>×</w:t>
      </w:r>
      <w:r w:rsidR="00CA3B52" w:rsidRPr="00CB6CBA">
        <w:rPr>
          <w:lang w:val="en-US"/>
        </w:rPr>
        <w:t xml:space="preserve"> 10</w:t>
      </w:r>
    </w:p>
    <w:p w:rsidR="00CA3B52" w:rsidRPr="00CB6CBA" w:rsidRDefault="00CA3B52" w:rsidP="00CA3B52">
      <w:pPr>
        <w:pStyle w:val="enumlev1"/>
        <w:rPr>
          <w:b/>
          <w:bCs/>
          <w:color w:val="000000"/>
          <w:lang w:val="en-US"/>
        </w:rPr>
      </w:pPr>
      <w:r w:rsidRPr="00CB6CBA">
        <w:rPr>
          <w:lang w:val="en-US"/>
        </w:rPr>
        <w:tab/>
        <w:t>where:</w:t>
      </w:r>
      <w:r w:rsidRPr="00CB6CBA">
        <w:rPr>
          <w:b/>
          <w:bCs/>
          <w:color w:val="000000"/>
          <w:lang w:val="en-US"/>
        </w:rPr>
        <w:t xml:space="preserve"> </w:t>
      </w:r>
    </w:p>
    <w:p w:rsidR="00CA3B52" w:rsidRPr="00CB6CBA" w:rsidRDefault="00CA3B52" w:rsidP="00CA3B52">
      <w:pPr>
        <w:pStyle w:val="enumlev1"/>
        <w:rPr>
          <w:lang w:val="en-US"/>
        </w:rPr>
      </w:pPr>
      <w:r w:rsidRPr="00CB6CBA">
        <w:rPr>
          <w:b/>
          <w:bCs/>
          <w:lang w:val="en-US"/>
        </w:rPr>
        <w:tab/>
        <w:t xml:space="preserve">BW </w:t>
      </w:r>
      <w:r w:rsidRPr="000B7562">
        <w:rPr>
          <w:lang w:val="en-US"/>
        </w:rPr>
        <w:t>=</w:t>
      </w:r>
      <w:r w:rsidRPr="00CB6CBA">
        <w:rPr>
          <w:b/>
          <w:bCs/>
          <w:lang w:val="en-US"/>
        </w:rPr>
        <w:t xml:space="preserve"> </w:t>
      </w:r>
      <w:r w:rsidRPr="00CB6CBA">
        <w:rPr>
          <w:lang w:val="en-US"/>
        </w:rPr>
        <w:t>Total Bandwidth in kHz</w:t>
      </w:r>
      <w:r>
        <w:rPr>
          <w:lang w:val="en-US"/>
        </w:rPr>
        <w:t>.</w:t>
      </w:r>
    </w:p>
    <w:p w:rsidR="00CA3B52" w:rsidRPr="00CB6CBA" w:rsidRDefault="00CA3B52" w:rsidP="00CA3B52">
      <w:pPr>
        <w:pStyle w:val="enumlev1"/>
        <w:rPr>
          <w:lang w:val="en-US"/>
        </w:rPr>
      </w:pPr>
      <w:r w:rsidRPr="00CB6CBA">
        <w:rPr>
          <w:b/>
          <w:bCs/>
          <w:lang w:val="en-US"/>
        </w:rPr>
        <w:tab/>
        <w:t>CF</w:t>
      </w:r>
      <w:r>
        <w:rPr>
          <w:b/>
          <w:bCs/>
          <w:lang w:val="en-US"/>
        </w:rPr>
        <w:t xml:space="preserve"> </w:t>
      </w:r>
      <w:r w:rsidRPr="000B7562">
        <w:rPr>
          <w:lang w:val="en-US"/>
        </w:rPr>
        <w:t>=</w:t>
      </w:r>
      <w:r w:rsidRPr="00CB6CBA">
        <w:rPr>
          <w:b/>
          <w:bCs/>
          <w:lang w:val="en-US"/>
        </w:rPr>
        <w:t xml:space="preserve"> </w:t>
      </w:r>
      <w:r w:rsidRPr="00CB6CBA">
        <w:rPr>
          <w:lang w:val="en-US"/>
        </w:rPr>
        <w:t xml:space="preserve">Coverage Factor depending on the geographical area which will be determined as follows: </w:t>
      </w:r>
    </w:p>
    <w:p w:rsidR="00CA3B52" w:rsidRPr="005C1150" w:rsidRDefault="00CA3B52" w:rsidP="00F65451">
      <w:pPr>
        <w:pStyle w:val="Blanc"/>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041"/>
        <w:gridCol w:w="1440"/>
        <w:gridCol w:w="1620"/>
        <w:gridCol w:w="2621"/>
        <w:gridCol w:w="2160"/>
      </w:tblGrid>
      <w:tr w:rsidR="00CA3B52" w:rsidRPr="00CB6CBA" w:rsidTr="002D1D5C">
        <w:trPr>
          <w:trHeight w:val="335"/>
          <w:jc w:val="right"/>
        </w:trPr>
        <w:tc>
          <w:tcPr>
            <w:tcW w:w="1041" w:type="dxa"/>
          </w:tcPr>
          <w:p w:rsidR="00CA3B52" w:rsidRPr="00CB6CBA" w:rsidRDefault="00CA3B52" w:rsidP="002D1D5C">
            <w:pPr>
              <w:pStyle w:val="Tablehead"/>
              <w:rPr>
                <w:lang w:val="en-US"/>
              </w:rPr>
            </w:pPr>
            <w:r w:rsidRPr="00CB6CBA">
              <w:rPr>
                <w:lang w:val="en-US"/>
              </w:rPr>
              <w:t xml:space="preserve">Area </w:t>
            </w:r>
          </w:p>
        </w:tc>
        <w:tc>
          <w:tcPr>
            <w:tcW w:w="1440" w:type="dxa"/>
          </w:tcPr>
          <w:p w:rsidR="00CA3B52" w:rsidRPr="00CB6CBA" w:rsidRDefault="00CA3B52" w:rsidP="002D1D5C">
            <w:pPr>
              <w:pStyle w:val="Tablehead"/>
              <w:rPr>
                <w:lang w:val="en-US"/>
              </w:rPr>
            </w:pPr>
            <w:r w:rsidRPr="00CB6CBA">
              <w:rPr>
                <w:lang w:val="en-US"/>
              </w:rPr>
              <w:t xml:space="preserve">Rural area or within premises </w:t>
            </w:r>
          </w:p>
        </w:tc>
        <w:tc>
          <w:tcPr>
            <w:tcW w:w="1620" w:type="dxa"/>
          </w:tcPr>
          <w:p w:rsidR="00CA3B52" w:rsidRPr="00CB6CBA" w:rsidRDefault="00CA3B52" w:rsidP="002D1D5C">
            <w:pPr>
              <w:pStyle w:val="Tablehead"/>
              <w:rPr>
                <w:lang w:val="en-US"/>
              </w:rPr>
            </w:pPr>
            <w:r w:rsidRPr="00CB6CBA">
              <w:rPr>
                <w:lang w:val="en-US"/>
              </w:rPr>
              <w:t>Urban city area within one Emirate</w:t>
            </w:r>
          </w:p>
        </w:tc>
        <w:tc>
          <w:tcPr>
            <w:tcW w:w="2621" w:type="dxa"/>
          </w:tcPr>
          <w:p w:rsidR="00CA3B52" w:rsidRPr="00CB6CBA" w:rsidRDefault="00CA3B52" w:rsidP="002D1D5C">
            <w:pPr>
              <w:pStyle w:val="Tablehead"/>
              <w:rPr>
                <w:lang w:val="en-US"/>
              </w:rPr>
            </w:pPr>
            <w:r w:rsidRPr="00CB6CBA">
              <w:rPr>
                <w:lang w:val="en-US"/>
              </w:rPr>
              <w:t xml:space="preserve">Emirate wide </w:t>
            </w:r>
          </w:p>
        </w:tc>
        <w:tc>
          <w:tcPr>
            <w:tcW w:w="2160" w:type="dxa"/>
          </w:tcPr>
          <w:p w:rsidR="00CA3B52" w:rsidRPr="00CB6CBA" w:rsidRDefault="00CA3B52" w:rsidP="002D1D5C">
            <w:pPr>
              <w:pStyle w:val="Tablehead"/>
              <w:rPr>
                <w:lang w:val="en-US"/>
              </w:rPr>
            </w:pPr>
            <w:r w:rsidRPr="00CB6CBA">
              <w:rPr>
                <w:lang w:val="en-US"/>
              </w:rPr>
              <w:t xml:space="preserve">More than Three Emirates </w:t>
            </w:r>
          </w:p>
        </w:tc>
      </w:tr>
      <w:tr w:rsidR="00CA3B52" w:rsidRPr="00CB6CBA" w:rsidTr="002D1D5C">
        <w:trPr>
          <w:trHeight w:val="335"/>
          <w:jc w:val="right"/>
        </w:trPr>
        <w:tc>
          <w:tcPr>
            <w:tcW w:w="1041" w:type="dxa"/>
            <w:tcBorders>
              <w:bottom w:val="single" w:sz="2" w:space="0" w:color="auto"/>
            </w:tcBorders>
          </w:tcPr>
          <w:p w:rsidR="00CA3B52" w:rsidRPr="00CB6CBA" w:rsidRDefault="00CA3B52" w:rsidP="002D1D5C">
            <w:pPr>
              <w:pStyle w:val="Tabletext"/>
              <w:jc w:val="center"/>
              <w:rPr>
                <w:lang w:val="en-US"/>
              </w:rPr>
            </w:pPr>
            <w:r w:rsidRPr="00CB6CBA">
              <w:rPr>
                <w:lang w:val="en-US"/>
              </w:rPr>
              <w:t>CF</w:t>
            </w:r>
          </w:p>
        </w:tc>
        <w:tc>
          <w:tcPr>
            <w:tcW w:w="1440" w:type="dxa"/>
            <w:tcBorders>
              <w:bottom w:val="single" w:sz="2" w:space="0" w:color="auto"/>
            </w:tcBorders>
          </w:tcPr>
          <w:p w:rsidR="00CA3B52" w:rsidRPr="00CB6CBA" w:rsidRDefault="00CA3B52" w:rsidP="00F65451">
            <w:pPr>
              <w:pStyle w:val="Tabletext"/>
              <w:jc w:val="center"/>
              <w:rPr>
                <w:lang w:val="en-US"/>
              </w:rPr>
            </w:pPr>
            <w:r w:rsidRPr="00CB6CBA">
              <w:rPr>
                <w:lang w:val="en-US"/>
              </w:rPr>
              <w:t>100</w:t>
            </w:r>
          </w:p>
        </w:tc>
        <w:tc>
          <w:tcPr>
            <w:tcW w:w="1620" w:type="dxa"/>
            <w:tcBorders>
              <w:bottom w:val="single" w:sz="2" w:space="0" w:color="auto"/>
            </w:tcBorders>
          </w:tcPr>
          <w:p w:rsidR="00CA3B52" w:rsidRPr="00CB6CBA" w:rsidRDefault="00CA3B52" w:rsidP="00F65451">
            <w:pPr>
              <w:pStyle w:val="Tabletext"/>
              <w:jc w:val="center"/>
              <w:rPr>
                <w:lang w:val="en-US"/>
              </w:rPr>
            </w:pPr>
            <w:r w:rsidRPr="00CB6CBA">
              <w:rPr>
                <w:lang w:val="en-US"/>
              </w:rPr>
              <w:t>500</w:t>
            </w:r>
          </w:p>
        </w:tc>
        <w:tc>
          <w:tcPr>
            <w:tcW w:w="2621" w:type="dxa"/>
            <w:tcBorders>
              <w:bottom w:val="single" w:sz="2" w:space="0" w:color="auto"/>
            </w:tcBorders>
          </w:tcPr>
          <w:p w:rsidR="00CA3B52" w:rsidRPr="00CB6CBA" w:rsidRDefault="00CA3B52" w:rsidP="002D1D5C">
            <w:pPr>
              <w:pStyle w:val="Tabletext"/>
              <w:jc w:val="left"/>
              <w:rPr>
                <w:lang w:val="en-US"/>
              </w:rPr>
            </w:pPr>
            <w:r w:rsidRPr="00CB6CBA">
              <w:rPr>
                <w:lang w:val="en-US"/>
              </w:rPr>
              <w:t>2</w:t>
            </w:r>
            <w:r>
              <w:rPr>
                <w:lang w:val="en-US"/>
              </w:rPr>
              <w:t>.</w:t>
            </w:r>
            <w:r w:rsidRPr="00CB6CBA">
              <w:rPr>
                <w:lang w:val="en-US"/>
              </w:rPr>
              <w:t>000 for Abu Dhabi or Dubai</w:t>
            </w:r>
            <w:r>
              <w:rPr>
                <w:lang w:val="en-US"/>
              </w:rPr>
              <w:t>, 1.</w:t>
            </w:r>
            <w:r w:rsidRPr="00CB6CBA">
              <w:rPr>
                <w:lang w:val="en-US"/>
              </w:rPr>
              <w:t>000 for other Emirates</w:t>
            </w:r>
          </w:p>
        </w:tc>
        <w:tc>
          <w:tcPr>
            <w:tcW w:w="2160" w:type="dxa"/>
            <w:tcBorders>
              <w:bottom w:val="single" w:sz="2" w:space="0" w:color="auto"/>
            </w:tcBorders>
          </w:tcPr>
          <w:p w:rsidR="00CA3B52" w:rsidRPr="00CB6CBA" w:rsidRDefault="00CA3B52" w:rsidP="00F65451">
            <w:pPr>
              <w:pStyle w:val="Tabletext"/>
              <w:jc w:val="center"/>
              <w:rPr>
                <w:lang w:val="en-US"/>
              </w:rPr>
            </w:pPr>
            <w:r w:rsidRPr="00CB6CBA">
              <w:rPr>
                <w:lang w:val="en-US"/>
              </w:rPr>
              <w:t>4</w:t>
            </w:r>
            <w:r>
              <w:rPr>
                <w:lang w:val="en-US"/>
              </w:rPr>
              <w:t>.</w:t>
            </w:r>
            <w:r w:rsidRPr="00CB6CBA">
              <w:rPr>
                <w:lang w:val="en-US"/>
              </w:rPr>
              <w:t>000</w:t>
            </w:r>
          </w:p>
        </w:tc>
      </w:tr>
      <w:tr w:rsidR="00CA3B52" w:rsidRPr="00F65451" w:rsidTr="002D1D5C">
        <w:trPr>
          <w:trHeight w:val="335"/>
          <w:jc w:val="right"/>
        </w:trPr>
        <w:tc>
          <w:tcPr>
            <w:tcW w:w="8882" w:type="dxa"/>
            <w:gridSpan w:val="5"/>
            <w:tcBorders>
              <w:left w:val="nil"/>
              <w:bottom w:val="nil"/>
              <w:right w:val="nil"/>
            </w:tcBorders>
          </w:tcPr>
          <w:p w:rsidR="00CA3B52" w:rsidRPr="00CB6CBA" w:rsidRDefault="00CA3B52" w:rsidP="002D1D5C">
            <w:pPr>
              <w:pStyle w:val="TableLegendNote"/>
            </w:pPr>
            <w:r w:rsidRPr="00D53FF3">
              <w:t>NOTE</w:t>
            </w:r>
            <w:r>
              <w:t xml:space="preserve"> 1 –</w:t>
            </w:r>
            <w:r w:rsidRPr="00CB6CBA">
              <w:rPr>
                <w:b/>
                <w:bCs/>
              </w:rPr>
              <w:t xml:space="preserve"> </w:t>
            </w:r>
            <w:r w:rsidRPr="00CB6CBA">
              <w:t>The TRA shall have the sole discretion to determine the Coverage Factor for an Application.</w:t>
            </w:r>
          </w:p>
        </w:tc>
      </w:tr>
    </w:tbl>
    <w:p w:rsidR="00CA3B52" w:rsidRPr="00AD6883" w:rsidRDefault="00CA3B52" w:rsidP="00AD6883">
      <w:pPr>
        <w:pStyle w:val="Tablefin"/>
      </w:pPr>
    </w:p>
    <w:p w:rsidR="00CA3B52" w:rsidRPr="00CB6CBA" w:rsidRDefault="00CA3B52" w:rsidP="00CA3B52">
      <w:pPr>
        <w:pStyle w:val="enumlev1"/>
        <w:rPr>
          <w:lang w:val="en-US"/>
        </w:rPr>
      </w:pPr>
      <w:r w:rsidRPr="00CB6CBA">
        <w:rPr>
          <w:lang w:val="en-US"/>
        </w:rPr>
        <w:t>14.2</w:t>
      </w:r>
      <w:r w:rsidRPr="00CB6CBA">
        <w:rPr>
          <w:lang w:val="en-US"/>
        </w:rPr>
        <w:tab/>
        <w:t xml:space="preserve">The Annual Spectrum Fees for Fixed Wireless Access (including Wireless Local loop and Point to multipoint), SCADA, Fixed Broadband and mesh networks above 2 GHz shall be calculated as follows: </w:t>
      </w:r>
    </w:p>
    <w:p w:rsidR="00CA3B52" w:rsidRPr="00CB6CBA" w:rsidRDefault="00CA3B52" w:rsidP="00F65451">
      <w:pPr>
        <w:pStyle w:val="Equation"/>
        <w:rPr>
          <w:lang w:val="en-US"/>
        </w:rPr>
      </w:pPr>
      <w:r>
        <w:rPr>
          <w:lang w:val="en-US"/>
        </w:rPr>
        <w:tab/>
      </w:r>
      <w:r>
        <w:rPr>
          <w:lang w:val="en-US"/>
        </w:rPr>
        <w:tab/>
      </w:r>
      <w:r w:rsidRPr="00CB6CBA">
        <w:rPr>
          <w:lang w:val="en-US"/>
        </w:rPr>
        <w:t xml:space="preserve">Spectrum Fees = BW </w:t>
      </w:r>
      <w:r>
        <w:rPr>
          <w:lang w:val="en-US"/>
        </w:rPr>
        <w:t>×</w:t>
      </w:r>
      <w:r w:rsidRPr="00CB6CBA">
        <w:rPr>
          <w:lang w:val="en-US"/>
        </w:rPr>
        <w:t xml:space="preserve"> CF </w:t>
      </w:r>
      <w:r>
        <w:rPr>
          <w:lang w:val="en-US"/>
        </w:rPr>
        <w:t>×</w:t>
      </w:r>
      <w:r w:rsidRPr="00CB6CBA">
        <w:rPr>
          <w:lang w:val="en-US"/>
        </w:rPr>
        <w:t xml:space="preserve"> FF</w:t>
      </w:r>
    </w:p>
    <w:p w:rsidR="00CA3B52" w:rsidRPr="00CB6CBA" w:rsidRDefault="00CA3B52" w:rsidP="00CA3B52">
      <w:pPr>
        <w:pStyle w:val="enumlev1"/>
        <w:rPr>
          <w:b/>
          <w:bCs/>
          <w:color w:val="000000"/>
          <w:lang w:val="en-US"/>
        </w:rPr>
      </w:pPr>
      <w:r w:rsidRPr="00CB6CBA">
        <w:rPr>
          <w:lang w:val="en-US"/>
        </w:rPr>
        <w:tab/>
        <w:t>where:</w:t>
      </w:r>
      <w:r w:rsidRPr="00CB6CBA">
        <w:rPr>
          <w:b/>
          <w:bCs/>
          <w:color w:val="000000"/>
          <w:lang w:val="en-US"/>
        </w:rPr>
        <w:t xml:space="preserve"> </w:t>
      </w:r>
    </w:p>
    <w:p w:rsidR="00CA3B52" w:rsidRPr="00CB6CBA" w:rsidRDefault="00CA3B52" w:rsidP="00CA3B52">
      <w:pPr>
        <w:pStyle w:val="enumlev1"/>
        <w:rPr>
          <w:lang w:val="en-US"/>
        </w:rPr>
      </w:pPr>
      <w:r w:rsidRPr="00CB6CBA">
        <w:rPr>
          <w:b/>
          <w:bCs/>
          <w:lang w:val="en-US"/>
        </w:rPr>
        <w:tab/>
        <w:t xml:space="preserve">BW </w:t>
      </w:r>
      <w:r w:rsidRPr="000B7562">
        <w:rPr>
          <w:lang w:val="en-US"/>
        </w:rPr>
        <w:t>=</w:t>
      </w:r>
      <w:r w:rsidRPr="00CB6CBA">
        <w:rPr>
          <w:b/>
          <w:bCs/>
          <w:lang w:val="en-US"/>
        </w:rPr>
        <w:t xml:space="preserve"> </w:t>
      </w:r>
      <w:r>
        <w:rPr>
          <w:lang w:val="en-US"/>
        </w:rPr>
        <w:t>Total Bandwidth in MHz.</w:t>
      </w:r>
    </w:p>
    <w:p w:rsidR="00CA3B52" w:rsidRPr="00CB6CBA" w:rsidRDefault="00CA3B52" w:rsidP="001272DD">
      <w:pPr>
        <w:pStyle w:val="Note"/>
        <w:ind w:left="794" w:hanging="794"/>
        <w:rPr>
          <w:i/>
          <w:iCs/>
          <w:lang w:val="en-US"/>
        </w:rPr>
      </w:pPr>
      <w:r w:rsidRPr="00CB6CBA">
        <w:rPr>
          <w:b/>
          <w:bCs/>
          <w:i/>
          <w:iCs/>
          <w:lang w:val="en-US"/>
        </w:rPr>
        <w:tab/>
      </w:r>
      <w:r w:rsidR="001272DD" w:rsidRPr="001272DD">
        <w:rPr>
          <w:i/>
          <w:iCs/>
          <w:lang w:val="en-US"/>
        </w:rPr>
        <w:t xml:space="preserve">NOTE </w:t>
      </w:r>
      <w:r w:rsidRPr="001272DD">
        <w:rPr>
          <w:i/>
          <w:iCs/>
          <w:lang w:val="en-US"/>
        </w:rPr>
        <w:t xml:space="preserve">1 </w:t>
      </w:r>
      <w:r w:rsidRPr="00FF546D">
        <w:rPr>
          <w:i/>
          <w:iCs/>
          <w:lang w:val="en-US"/>
        </w:rPr>
        <w:t>–</w:t>
      </w:r>
      <w:r w:rsidRPr="001272DD">
        <w:rPr>
          <w:i/>
          <w:iCs/>
          <w:lang w:val="en-US"/>
        </w:rPr>
        <w:t xml:space="preserve"> </w:t>
      </w:r>
      <w:r w:rsidRPr="00CB6CBA">
        <w:rPr>
          <w:i/>
          <w:iCs/>
          <w:lang w:val="en-US"/>
        </w:rPr>
        <w:t>For networks (including vehicles) using both 2.4 and 5.8 GHz, total bandwidth of both bands will be added.</w:t>
      </w:r>
    </w:p>
    <w:p w:rsidR="00CA3B52" w:rsidRPr="00CB6CBA" w:rsidRDefault="00CA3B52" w:rsidP="00CA3B52">
      <w:pPr>
        <w:pStyle w:val="enumlev1"/>
        <w:rPr>
          <w:lang w:val="en-US"/>
        </w:rPr>
      </w:pPr>
      <w:r w:rsidRPr="00CB6CBA">
        <w:rPr>
          <w:b/>
          <w:bCs/>
          <w:lang w:val="en-US"/>
        </w:rPr>
        <w:tab/>
        <w:t>CF</w:t>
      </w:r>
      <w:r>
        <w:rPr>
          <w:b/>
          <w:bCs/>
          <w:lang w:val="en-US"/>
        </w:rPr>
        <w:t xml:space="preserve"> </w:t>
      </w:r>
      <w:r w:rsidRPr="000B7562">
        <w:rPr>
          <w:lang w:val="en-US"/>
        </w:rPr>
        <w:t>=</w:t>
      </w:r>
      <w:r w:rsidRPr="00CB6CBA">
        <w:rPr>
          <w:b/>
          <w:bCs/>
          <w:lang w:val="en-US"/>
        </w:rPr>
        <w:t xml:space="preserve"> </w:t>
      </w:r>
      <w:r w:rsidRPr="00CB6CBA">
        <w:rPr>
          <w:lang w:val="en-US"/>
        </w:rPr>
        <w:t xml:space="preserve">Coverage Factor depending on the geographical area which will be determined as follows: </w:t>
      </w:r>
    </w:p>
    <w:p w:rsidR="00CA3B52" w:rsidRPr="005C1150" w:rsidRDefault="00CA3B52" w:rsidP="00F65451">
      <w:pPr>
        <w:pStyle w:val="Blanc"/>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039"/>
        <w:gridCol w:w="1442"/>
        <w:gridCol w:w="1616"/>
        <w:gridCol w:w="2625"/>
        <w:gridCol w:w="2160"/>
      </w:tblGrid>
      <w:tr w:rsidR="00CA3B52" w:rsidRPr="00CB6CBA" w:rsidTr="00D750B9">
        <w:trPr>
          <w:trHeight w:val="335"/>
          <w:jc w:val="right"/>
        </w:trPr>
        <w:tc>
          <w:tcPr>
            <w:tcW w:w="1039" w:type="dxa"/>
          </w:tcPr>
          <w:p w:rsidR="00CA3B52" w:rsidRPr="00CB6CBA" w:rsidRDefault="00CA3B52" w:rsidP="002D1D5C">
            <w:pPr>
              <w:pStyle w:val="Tablehead"/>
              <w:rPr>
                <w:lang w:val="en-US"/>
              </w:rPr>
            </w:pPr>
            <w:r w:rsidRPr="00CB6CBA">
              <w:rPr>
                <w:lang w:val="en-US"/>
              </w:rPr>
              <w:t xml:space="preserve">Area </w:t>
            </w:r>
          </w:p>
        </w:tc>
        <w:tc>
          <w:tcPr>
            <w:tcW w:w="1442" w:type="dxa"/>
          </w:tcPr>
          <w:p w:rsidR="00CA3B52" w:rsidRPr="00CB6CBA" w:rsidRDefault="00CA3B52" w:rsidP="002D1D5C">
            <w:pPr>
              <w:pStyle w:val="Tablehead"/>
              <w:rPr>
                <w:lang w:val="en-US"/>
              </w:rPr>
            </w:pPr>
            <w:r w:rsidRPr="00CB6CBA">
              <w:rPr>
                <w:lang w:val="en-US"/>
              </w:rPr>
              <w:t xml:space="preserve">Rural area or within premises </w:t>
            </w:r>
          </w:p>
        </w:tc>
        <w:tc>
          <w:tcPr>
            <w:tcW w:w="1616" w:type="dxa"/>
          </w:tcPr>
          <w:p w:rsidR="00CA3B52" w:rsidRPr="00CB6CBA" w:rsidRDefault="00CA3B52" w:rsidP="002D1D5C">
            <w:pPr>
              <w:pStyle w:val="Tablehead"/>
              <w:rPr>
                <w:lang w:val="en-US"/>
              </w:rPr>
            </w:pPr>
            <w:r w:rsidRPr="00CB6CBA">
              <w:rPr>
                <w:lang w:val="en-US"/>
              </w:rPr>
              <w:t>Urban city area within one Emirate</w:t>
            </w:r>
          </w:p>
        </w:tc>
        <w:tc>
          <w:tcPr>
            <w:tcW w:w="2625" w:type="dxa"/>
          </w:tcPr>
          <w:p w:rsidR="00CA3B52" w:rsidRPr="00CB6CBA" w:rsidRDefault="00CA3B52" w:rsidP="002D1D5C">
            <w:pPr>
              <w:pStyle w:val="Tablehead"/>
              <w:rPr>
                <w:lang w:val="en-US"/>
              </w:rPr>
            </w:pPr>
            <w:r w:rsidRPr="00CB6CBA">
              <w:rPr>
                <w:lang w:val="en-US"/>
              </w:rPr>
              <w:t xml:space="preserve">Emirate wide </w:t>
            </w:r>
          </w:p>
        </w:tc>
        <w:tc>
          <w:tcPr>
            <w:tcW w:w="2160" w:type="dxa"/>
          </w:tcPr>
          <w:p w:rsidR="00CA3B52" w:rsidRPr="00CB6CBA" w:rsidRDefault="00CA3B52" w:rsidP="002D1D5C">
            <w:pPr>
              <w:pStyle w:val="Tablehead"/>
              <w:rPr>
                <w:lang w:val="en-US"/>
              </w:rPr>
            </w:pPr>
            <w:r w:rsidRPr="00CB6CBA">
              <w:rPr>
                <w:lang w:val="en-US"/>
              </w:rPr>
              <w:t xml:space="preserve">More than Three Emirates </w:t>
            </w:r>
          </w:p>
        </w:tc>
      </w:tr>
      <w:tr w:rsidR="00CA3B52" w:rsidRPr="00CB6CBA" w:rsidTr="00D750B9">
        <w:trPr>
          <w:trHeight w:val="335"/>
          <w:jc w:val="right"/>
        </w:trPr>
        <w:tc>
          <w:tcPr>
            <w:tcW w:w="1039" w:type="dxa"/>
          </w:tcPr>
          <w:p w:rsidR="00CA3B52" w:rsidRPr="00CB6CBA" w:rsidRDefault="00CA3B52" w:rsidP="002D1D5C">
            <w:pPr>
              <w:pStyle w:val="Tabletext"/>
              <w:jc w:val="center"/>
              <w:rPr>
                <w:lang w:val="en-US"/>
              </w:rPr>
            </w:pPr>
            <w:r w:rsidRPr="00CB6CBA">
              <w:rPr>
                <w:lang w:val="en-US"/>
              </w:rPr>
              <w:t>CF</w:t>
            </w:r>
          </w:p>
        </w:tc>
        <w:tc>
          <w:tcPr>
            <w:tcW w:w="1442" w:type="dxa"/>
          </w:tcPr>
          <w:p w:rsidR="00CA3B52" w:rsidRPr="00CB6CBA" w:rsidRDefault="00CA3B52" w:rsidP="00F65451">
            <w:pPr>
              <w:pStyle w:val="Tabletext"/>
              <w:jc w:val="center"/>
              <w:rPr>
                <w:lang w:val="en-US"/>
              </w:rPr>
            </w:pPr>
            <w:r w:rsidRPr="00CB6CBA">
              <w:rPr>
                <w:lang w:val="en-US"/>
              </w:rPr>
              <w:t>100</w:t>
            </w:r>
          </w:p>
        </w:tc>
        <w:tc>
          <w:tcPr>
            <w:tcW w:w="1616" w:type="dxa"/>
          </w:tcPr>
          <w:p w:rsidR="00CA3B52" w:rsidRPr="00CB6CBA" w:rsidRDefault="00CA3B52" w:rsidP="00F65451">
            <w:pPr>
              <w:pStyle w:val="Tabletext"/>
              <w:jc w:val="center"/>
              <w:rPr>
                <w:lang w:val="en-US"/>
              </w:rPr>
            </w:pPr>
            <w:r w:rsidRPr="00CB6CBA">
              <w:rPr>
                <w:lang w:val="en-US"/>
              </w:rPr>
              <w:t>500</w:t>
            </w:r>
          </w:p>
        </w:tc>
        <w:tc>
          <w:tcPr>
            <w:tcW w:w="2625" w:type="dxa"/>
          </w:tcPr>
          <w:p w:rsidR="00CA3B52" w:rsidRPr="00CB6CBA" w:rsidRDefault="00CA3B52" w:rsidP="002D1D5C">
            <w:pPr>
              <w:pStyle w:val="Tabletext"/>
              <w:jc w:val="left"/>
              <w:rPr>
                <w:lang w:val="en-US"/>
              </w:rPr>
            </w:pPr>
            <w:r>
              <w:rPr>
                <w:lang w:val="en-US"/>
              </w:rPr>
              <w:t>2.</w:t>
            </w:r>
            <w:r w:rsidRPr="00CB6CBA">
              <w:rPr>
                <w:lang w:val="en-US"/>
              </w:rPr>
              <w:t>000 for Abu Dhabi or Dubai</w:t>
            </w:r>
            <w:r>
              <w:rPr>
                <w:lang w:val="en-US"/>
              </w:rPr>
              <w:t xml:space="preserve"> and 1.</w:t>
            </w:r>
            <w:r w:rsidRPr="00CB6CBA">
              <w:rPr>
                <w:lang w:val="en-US"/>
              </w:rPr>
              <w:t>000 for other Emirates</w:t>
            </w:r>
          </w:p>
        </w:tc>
        <w:tc>
          <w:tcPr>
            <w:tcW w:w="2160" w:type="dxa"/>
          </w:tcPr>
          <w:p w:rsidR="00CA3B52" w:rsidRPr="00CB6CBA" w:rsidRDefault="00CA3B52" w:rsidP="00F65451">
            <w:pPr>
              <w:pStyle w:val="Tabletext"/>
              <w:jc w:val="center"/>
              <w:rPr>
                <w:color w:val="000000"/>
                <w:lang w:val="en-US"/>
              </w:rPr>
            </w:pPr>
            <w:r>
              <w:rPr>
                <w:color w:val="000000"/>
                <w:lang w:val="en-US"/>
              </w:rPr>
              <w:t>4.</w:t>
            </w:r>
            <w:r w:rsidRPr="00CB6CBA">
              <w:rPr>
                <w:color w:val="000000"/>
                <w:lang w:val="en-US"/>
              </w:rPr>
              <w:t>000</w:t>
            </w:r>
          </w:p>
        </w:tc>
      </w:tr>
    </w:tbl>
    <w:p w:rsidR="00CA3B52" w:rsidRPr="00AD6883" w:rsidRDefault="00CA3B52" w:rsidP="00AD6883">
      <w:pPr>
        <w:pStyle w:val="Tablefin"/>
      </w:pPr>
    </w:p>
    <w:p w:rsidR="00CA3B52" w:rsidRDefault="00CA3B52" w:rsidP="00CA3B52">
      <w:pPr>
        <w:pStyle w:val="enumlev1"/>
        <w:rPr>
          <w:lang w:val="en-US"/>
        </w:rPr>
      </w:pPr>
      <w:r w:rsidRPr="00CB6CBA">
        <w:rPr>
          <w:lang w:val="en-US"/>
        </w:rPr>
        <w:tab/>
        <w:t>FF</w:t>
      </w:r>
      <w:r>
        <w:rPr>
          <w:lang w:val="en-US"/>
        </w:rPr>
        <w:t xml:space="preserve"> </w:t>
      </w:r>
      <w:r w:rsidRPr="00CB6CBA">
        <w:rPr>
          <w:lang w:val="en-US"/>
        </w:rPr>
        <w:t>= Frequency Factor which will be determined as follows:</w:t>
      </w:r>
    </w:p>
    <w:p w:rsidR="00CA3B52" w:rsidRPr="00CB6CBA" w:rsidRDefault="00CA3B52" w:rsidP="00CA3B52">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23"/>
      </w:tblGrid>
      <w:tr w:rsidR="00CA3B52" w:rsidRPr="00CB6CBA" w:rsidTr="002D1D5C">
        <w:trPr>
          <w:trHeight w:val="390"/>
          <w:jc w:val="center"/>
        </w:trPr>
        <w:tc>
          <w:tcPr>
            <w:tcW w:w="2921" w:type="dxa"/>
          </w:tcPr>
          <w:p w:rsidR="00CA3B52" w:rsidRPr="00CB6CBA" w:rsidRDefault="00CA3B52" w:rsidP="002D1D5C">
            <w:pPr>
              <w:pStyle w:val="Tablehead"/>
              <w:rPr>
                <w:lang w:val="en-US"/>
              </w:rPr>
            </w:pPr>
            <w:r w:rsidRPr="00CB6CBA">
              <w:rPr>
                <w:lang w:val="en-US"/>
              </w:rPr>
              <w:t>Frequency Range</w:t>
            </w:r>
          </w:p>
        </w:tc>
        <w:tc>
          <w:tcPr>
            <w:tcW w:w="2923" w:type="dxa"/>
          </w:tcPr>
          <w:p w:rsidR="00CA3B52" w:rsidRPr="00CB6CBA" w:rsidRDefault="00CA3B52" w:rsidP="002D1D5C">
            <w:pPr>
              <w:pStyle w:val="Tablehead"/>
              <w:rPr>
                <w:lang w:val="en-US"/>
              </w:rPr>
            </w:pPr>
            <w:r w:rsidRPr="00CB6CBA">
              <w:rPr>
                <w:lang w:val="en-US"/>
              </w:rPr>
              <w:t>Frequency Factor (FF)</w:t>
            </w:r>
          </w:p>
        </w:tc>
      </w:tr>
      <w:tr w:rsidR="00CA3B52" w:rsidRPr="00CB6CBA" w:rsidTr="002D1D5C">
        <w:trPr>
          <w:trHeight w:val="390"/>
          <w:jc w:val="center"/>
        </w:trPr>
        <w:tc>
          <w:tcPr>
            <w:tcW w:w="2921" w:type="dxa"/>
          </w:tcPr>
          <w:p w:rsidR="00CA3B52" w:rsidRPr="00CB6CBA" w:rsidRDefault="00CA3B52" w:rsidP="002D1D5C">
            <w:pPr>
              <w:pStyle w:val="Tabletext"/>
              <w:jc w:val="center"/>
              <w:rPr>
                <w:lang w:val="en-US"/>
              </w:rPr>
            </w:pPr>
            <w:r w:rsidRPr="00CB6CBA">
              <w:rPr>
                <w:lang w:val="en-US"/>
              </w:rPr>
              <w:t xml:space="preserve">2 GHz &lt; </w:t>
            </w:r>
            <w:r w:rsidRPr="000B7562">
              <w:rPr>
                <w:i/>
                <w:iCs/>
                <w:lang w:val="en-US"/>
              </w:rPr>
              <w:t>f</w:t>
            </w:r>
            <w:r w:rsidRPr="00CB6CBA">
              <w:rPr>
                <w:lang w:val="en-US"/>
              </w:rPr>
              <w:t xml:space="preserve"> ≤ 6 GHz</w:t>
            </w:r>
          </w:p>
        </w:tc>
        <w:tc>
          <w:tcPr>
            <w:tcW w:w="2923" w:type="dxa"/>
          </w:tcPr>
          <w:p w:rsidR="00CA3B52" w:rsidRPr="00CB6CBA" w:rsidRDefault="00CA3B52" w:rsidP="00F65451">
            <w:pPr>
              <w:pStyle w:val="Tabletext"/>
              <w:jc w:val="center"/>
              <w:rPr>
                <w:lang w:val="en-US"/>
              </w:rPr>
            </w:pPr>
            <w:r w:rsidRPr="00CB6CBA">
              <w:rPr>
                <w:lang w:val="en-US"/>
              </w:rPr>
              <w:t>5</w:t>
            </w:r>
          </w:p>
        </w:tc>
      </w:tr>
      <w:tr w:rsidR="00CA3B52" w:rsidRPr="00CB6CBA" w:rsidTr="002D1D5C">
        <w:trPr>
          <w:trHeight w:val="390"/>
          <w:jc w:val="center"/>
        </w:trPr>
        <w:tc>
          <w:tcPr>
            <w:tcW w:w="2921" w:type="dxa"/>
          </w:tcPr>
          <w:p w:rsidR="00CA3B52" w:rsidRPr="00CB6CBA" w:rsidRDefault="00CA3B52" w:rsidP="00F65451">
            <w:pPr>
              <w:pStyle w:val="Tabletext"/>
              <w:jc w:val="center"/>
              <w:rPr>
                <w:lang w:val="en-US"/>
              </w:rPr>
            </w:pPr>
            <w:r w:rsidRPr="00CB6CBA">
              <w:rPr>
                <w:lang w:val="en-US"/>
              </w:rPr>
              <w:t xml:space="preserve">6 GHz &lt; </w:t>
            </w:r>
            <w:r w:rsidRPr="000B7562">
              <w:rPr>
                <w:i/>
                <w:iCs/>
                <w:lang w:val="en-US"/>
              </w:rPr>
              <w:t>f</w:t>
            </w:r>
            <w:r w:rsidRPr="00CB6CBA">
              <w:rPr>
                <w:lang w:val="en-US"/>
              </w:rPr>
              <w:t xml:space="preserve"> ≤ 11 GHz</w:t>
            </w:r>
          </w:p>
        </w:tc>
        <w:tc>
          <w:tcPr>
            <w:tcW w:w="2923" w:type="dxa"/>
          </w:tcPr>
          <w:p w:rsidR="00CA3B52" w:rsidRPr="00CB6CBA" w:rsidRDefault="00CA3B52" w:rsidP="00F65451">
            <w:pPr>
              <w:pStyle w:val="Tabletext"/>
              <w:jc w:val="center"/>
              <w:rPr>
                <w:lang w:val="en-US"/>
              </w:rPr>
            </w:pPr>
            <w:r w:rsidRPr="00CB6CBA">
              <w:rPr>
                <w:lang w:val="en-US"/>
              </w:rPr>
              <w:t>4</w:t>
            </w:r>
          </w:p>
        </w:tc>
      </w:tr>
      <w:tr w:rsidR="00CA3B52" w:rsidRPr="00CB6CBA" w:rsidTr="002D1D5C">
        <w:trPr>
          <w:trHeight w:val="390"/>
          <w:jc w:val="center"/>
        </w:trPr>
        <w:tc>
          <w:tcPr>
            <w:tcW w:w="2921" w:type="dxa"/>
          </w:tcPr>
          <w:p w:rsidR="00CA3B52" w:rsidRPr="00CB6CBA" w:rsidRDefault="00CA3B52" w:rsidP="00F65451">
            <w:pPr>
              <w:pStyle w:val="Tabletext"/>
              <w:jc w:val="center"/>
              <w:rPr>
                <w:lang w:val="en-US"/>
              </w:rPr>
            </w:pPr>
            <w:r w:rsidRPr="00CB6CBA">
              <w:rPr>
                <w:lang w:val="en-US"/>
              </w:rPr>
              <w:t xml:space="preserve">11 GHz &lt; </w:t>
            </w:r>
            <w:r w:rsidRPr="000B7562">
              <w:rPr>
                <w:i/>
                <w:iCs/>
                <w:lang w:val="en-US"/>
              </w:rPr>
              <w:t>f</w:t>
            </w:r>
            <w:r w:rsidRPr="00CB6CBA">
              <w:rPr>
                <w:lang w:val="en-US"/>
              </w:rPr>
              <w:t xml:space="preserve"> ≤ 14 GHz</w:t>
            </w:r>
          </w:p>
        </w:tc>
        <w:tc>
          <w:tcPr>
            <w:tcW w:w="2923" w:type="dxa"/>
          </w:tcPr>
          <w:p w:rsidR="00CA3B52" w:rsidRPr="00CB6CBA" w:rsidRDefault="00CA3B52" w:rsidP="00F65451">
            <w:pPr>
              <w:pStyle w:val="Tabletext"/>
              <w:jc w:val="center"/>
              <w:rPr>
                <w:lang w:val="en-US"/>
              </w:rPr>
            </w:pPr>
            <w:r w:rsidRPr="00CB6CBA">
              <w:rPr>
                <w:lang w:val="en-US"/>
              </w:rPr>
              <w:t>3</w:t>
            </w:r>
          </w:p>
        </w:tc>
      </w:tr>
      <w:tr w:rsidR="00CA3B52" w:rsidRPr="00CB6CBA" w:rsidTr="002D1D5C">
        <w:trPr>
          <w:trHeight w:val="406"/>
          <w:jc w:val="center"/>
        </w:trPr>
        <w:tc>
          <w:tcPr>
            <w:tcW w:w="2921" w:type="dxa"/>
          </w:tcPr>
          <w:p w:rsidR="00CA3B52" w:rsidRPr="00CB6CBA" w:rsidRDefault="00CA3B52" w:rsidP="00F65451">
            <w:pPr>
              <w:pStyle w:val="Tabletext"/>
              <w:jc w:val="center"/>
              <w:rPr>
                <w:lang w:val="en-US"/>
              </w:rPr>
            </w:pPr>
            <w:r w:rsidRPr="00CB6CBA">
              <w:rPr>
                <w:lang w:val="en-US"/>
              </w:rPr>
              <w:t xml:space="preserve">14 GHz &lt; </w:t>
            </w:r>
            <w:r w:rsidRPr="000B7562">
              <w:rPr>
                <w:i/>
                <w:iCs/>
                <w:lang w:val="en-US"/>
              </w:rPr>
              <w:t>f</w:t>
            </w:r>
            <w:r w:rsidRPr="00CB6CBA">
              <w:rPr>
                <w:lang w:val="en-US"/>
              </w:rPr>
              <w:t xml:space="preserve"> ≤ 40 GHz</w:t>
            </w:r>
          </w:p>
        </w:tc>
        <w:tc>
          <w:tcPr>
            <w:tcW w:w="2923" w:type="dxa"/>
          </w:tcPr>
          <w:p w:rsidR="00CA3B52" w:rsidRPr="00CB6CBA" w:rsidRDefault="00CA3B52" w:rsidP="00F65451">
            <w:pPr>
              <w:pStyle w:val="Tabletext"/>
              <w:jc w:val="center"/>
              <w:rPr>
                <w:lang w:val="en-US"/>
              </w:rPr>
            </w:pPr>
            <w:r w:rsidRPr="00CB6CBA">
              <w:rPr>
                <w:lang w:val="en-US"/>
              </w:rPr>
              <w:t>2</w:t>
            </w:r>
          </w:p>
        </w:tc>
      </w:tr>
      <w:tr w:rsidR="00CA3B52" w:rsidRPr="00CB6CBA" w:rsidTr="002D1D5C">
        <w:trPr>
          <w:trHeight w:val="406"/>
          <w:jc w:val="center"/>
        </w:trPr>
        <w:tc>
          <w:tcPr>
            <w:tcW w:w="2921" w:type="dxa"/>
          </w:tcPr>
          <w:p w:rsidR="00CA3B52" w:rsidRPr="00CB6CBA" w:rsidRDefault="00CA3B52" w:rsidP="00F65451">
            <w:pPr>
              <w:pStyle w:val="Tabletext"/>
              <w:jc w:val="center"/>
              <w:rPr>
                <w:lang w:val="en-US"/>
              </w:rPr>
            </w:pPr>
            <w:r w:rsidRPr="00CB6CBA">
              <w:rPr>
                <w:lang w:val="en-US"/>
              </w:rPr>
              <w:t xml:space="preserve">40 GHz &lt; </w:t>
            </w:r>
            <w:r w:rsidRPr="000B7562">
              <w:rPr>
                <w:i/>
                <w:iCs/>
                <w:lang w:val="en-US"/>
              </w:rPr>
              <w:t>f</w:t>
            </w:r>
          </w:p>
        </w:tc>
        <w:tc>
          <w:tcPr>
            <w:tcW w:w="2923" w:type="dxa"/>
          </w:tcPr>
          <w:p w:rsidR="00CA3B52" w:rsidRPr="00CB6CBA" w:rsidRDefault="00CA3B52" w:rsidP="00F65451">
            <w:pPr>
              <w:pStyle w:val="Tabletext"/>
              <w:jc w:val="center"/>
              <w:rPr>
                <w:lang w:val="en-US"/>
              </w:rPr>
            </w:pPr>
            <w:r w:rsidRPr="00CB6CBA">
              <w:rPr>
                <w:lang w:val="en-US"/>
              </w:rPr>
              <w:t>1</w:t>
            </w:r>
          </w:p>
        </w:tc>
      </w:tr>
      <w:tr w:rsidR="00CA3B52" w:rsidRPr="00F65451" w:rsidTr="002D1D5C">
        <w:trPr>
          <w:trHeight w:val="406"/>
          <w:jc w:val="center"/>
        </w:trPr>
        <w:tc>
          <w:tcPr>
            <w:tcW w:w="5844" w:type="dxa"/>
            <w:gridSpan w:val="2"/>
            <w:tcBorders>
              <w:left w:val="nil"/>
              <w:bottom w:val="nil"/>
              <w:right w:val="nil"/>
            </w:tcBorders>
          </w:tcPr>
          <w:p w:rsidR="00CA3B52" w:rsidRDefault="00CA3B52" w:rsidP="002D1D5C">
            <w:pPr>
              <w:pStyle w:val="Tablelegend"/>
              <w:rPr>
                <w:lang w:val="en-US"/>
              </w:rPr>
            </w:pPr>
            <w:r w:rsidRPr="000B7562">
              <w:rPr>
                <w:i/>
                <w:iCs/>
                <w:lang w:val="en-US"/>
              </w:rPr>
              <w:t>f</w:t>
            </w:r>
            <w:r w:rsidRPr="00CB6CBA">
              <w:rPr>
                <w:lang w:val="en-US"/>
              </w:rPr>
              <w:t xml:space="preserve"> =</w:t>
            </w:r>
            <w:r>
              <w:rPr>
                <w:lang w:val="en-US"/>
              </w:rPr>
              <w:t xml:space="preserve"> </w:t>
            </w:r>
            <w:r w:rsidRPr="00CB6CBA">
              <w:rPr>
                <w:lang w:val="en-US"/>
              </w:rPr>
              <w:t xml:space="preserve">Assigned </w:t>
            </w:r>
            <w:r w:rsidRPr="005652CA">
              <w:rPr>
                <w:lang w:val="en-US"/>
              </w:rPr>
              <w:t>Frequency</w:t>
            </w:r>
            <w:r w:rsidRPr="00CB6CBA">
              <w:rPr>
                <w:lang w:val="en-US"/>
              </w:rPr>
              <w:t>.</w:t>
            </w:r>
          </w:p>
          <w:p w:rsidR="00CA3B52" w:rsidRPr="00CB6CBA" w:rsidRDefault="00CA3B52" w:rsidP="002D1D5C">
            <w:pPr>
              <w:pStyle w:val="TableLegendNote"/>
            </w:pPr>
            <w:r w:rsidRPr="00D53FF3">
              <w:t>NOTE</w:t>
            </w:r>
            <w:r>
              <w:t xml:space="preserve"> 1 –</w:t>
            </w:r>
            <w:r w:rsidRPr="00CB6CBA">
              <w:t xml:space="preserve"> The TRA shall have the sole discretion to determine the Coverage Factor for an Application.</w:t>
            </w:r>
          </w:p>
        </w:tc>
      </w:tr>
    </w:tbl>
    <w:p w:rsidR="00CA3B52" w:rsidRPr="00CB6CBA" w:rsidRDefault="00CA3B52" w:rsidP="00CA3B52">
      <w:pPr>
        <w:pStyle w:val="ArtNo"/>
        <w:rPr>
          <w:lang w:val="en-US"/>
        </w:rPr>
      </w:pPr>
      <w:r w:rsidRPr="00CB6CBA">
        <w:rPr>
          <w:lang w:val="en-US"/>
        </w:rPr>
        <w:t>ARTICLE (15)</w:t>
      </w:r>
    </w:p>
    <w:p w:rsidR="00CA3B52" w:rsidRPr="00CB6CBA" w:rsidRDefault="00CA3B52" w:rsidP="00CA3B52">
      <w:pPr>
        <w:pStyle w:val="Arttitle"/>
        <w:rPr>
          <w:lang w:val="en-US"/>
        </w:rPr>
      </w:pPr>
      <w:bookmarkStart w:id="1970" w:name="_Toc237657986"/>
      <w:r w:rsidRPr="00CB6CBA">
        <w:rPr>
          <w:lang w:val="en-US"/>
        </w:rPr>
        <w:t>Spectrum Fees for Optical and Laser links</w:t>
      </w:r>
      <w:bookmarkEnd w:id="1970"/>
      <w:r w:rsidRPr="00CB6CBA">
        <w:rPr>
          <w:lang w:val="en-US"/>
        </w:rPr>
        <w:t xml:space="preserve"> </w:t>
      </w:r>
    </w:p>
    <w:p w:rsidR="00CA3B52" w:rsidRPr="00CB6CBA" w:rsidRDefault="00CA3B52" w:rsidP="00CA3B52">
      <w:pPr>
        <w:pStyle w:val="enumlev1"/>
        <w:rPr>
          <w:b/>
          <w:bCs/>
          <w:color w:val="000000"/>
          <w:lang w:val="en-US"/>
        </w:rPr>
      </w:pPr>
      <w:r w:rsidRPr="00CB6CBA">
        <w:rPr>
          <w:lang w:val="en-US"/>
        </w:rPr>
        <w:t>15.1</w:t>
      </w:r>
      <w:r w:rsidRPr="00CB6CBA">
        <w:rPr>
          <w:lang w:val="en-US"/>
        </w:rPr>
        <w:tab/>
        <w:t xml:space="preserve">The Annual Spectrum Fees for free space Optical and Laser links shall be </w:t>
      </w:r>
      <w:r w:rsidRPr="00CB6CBA">
        <w:rPr>
          <w:color w:val="000000"/>
          <w:lang w:val="en-US"/>
        </w:rPr>
        <w:t>fifty (50) Dirhams.</w:t>
      </w:r>
      <w:r w:rsidRPr="00CB6CBA">
        <w:rPr>
          <w:b/>
          <w:bCs/>
          <w:color w:val="000000"/>
          <w:lang w:val="en-US"/>
        </w:rPr>
        <w:t xml:space="preserve"> </w:t>
      </w:r>
    </w:p>
    <w:p w:rsidR="00CA3B52" w:rsidRPr="00CB6CBA" w:rsidRDefault="00CA3B52" w:rsidP="00CA3B52">
      <w:pPr>
        <w:pStyle w:val="ArtNo"/>
        <w:rPr>
          <w:lang w:val="en-US"/>
        </w:rPr>
      </w:pPr>
      <w:r w:rsidRPr="00CB6CBA">
        <w:rPr>
          <w:lang w:val="en-US"/>
        </w:rPr>
        <w:lastRenderedPageBreak/>
        <w:t>ARTICLE (16)</w:t>
      </w:r>
    </w:p>
    <w:p w:rsidR="00CA3B52" w:rsidRPr="00CB6CBA" w:rsidRDefault="00CA3B52" w:rsidP="00CA3B52">
      <w:pPr>
        <w:pStyle w:val="Arttitle"/>
        <w:rPr>
          <w:lang w:val="en-US"/>
        </w:rPr>
      </w:pPr>
      <w:bookmarkStart w:id="1971" w:name="_Toc237657987"/>
      <w:r w:rsidRPr="00CB6CBA">
        <w:rPr>
          <w:lang w:val="en-US"/>
        </w:rPr>
        <w:t>Spectrum Fees for WLAN and Cordless Telephony</w:t>
      </w:r>
      <w:bookmarkEnd w:id="1971"/>
      <w:r w:rsidRPr="00CB6CBA">
        <w:rPr>
          <w:lang w:val="en-US"/>
        </w:rPr>
        <w:t xml:space="preserve"> </w:t>
      </w:r>
    </w:p>
    <w:p w:rsidR="00CA3B52" w:rsidRPr="00CB6CBA" w:rsidRDefault="00CA3B52" w:rsidP="00CA3B52">
      <w:pPr>
        <w:pStyle w:val="enumlev1"/>
        <w:rPr>
          <w:b/>
          <w:bCs/>
          <w:color w:val="000000"/>
          <w:lang w:val="en-US"/>
        </w:rPr>
      </w:pPr>
      <w:r w:rsidRPr="00CB6CBA">
        <w:rPr>
          <w:lang w:val="en-US"/>
        </w:rPr>
        <w:t>16.1</w:t>
      </w:r>
      <w:r w:rsidRPr="00CB6CBA">
        <w:rPr>
          <w:lang w:val="en-US"/>
        </w:rPr>
        <w:tab/>
        <w:t>The indoor use of WLAN and DECT based Cordless Telephony if operated as per the TRA regulations, shall be exempted from the Spectrum Fees.</w:t>
      </w:r>
      <w:r w:rsidRPr="00CB6CBA">
        <w:rPr>
          <w:b/>
          <w:bCs/>
          <w:color w:val="000000"/>
          <w:lang w:val="en-US"/>
        </w:rPr>
        <w:t xml:space="preserve"> </w:t>
      </w:r>
    </w:p>
    <w:p w:rsidR="00CA3B52" w:rsidRPr="00CB6CBA" w:rsidRDefault="00CA3B52" w:rsidP="00CA3B52">
      <w:pPr>
        <w:pStyle w:val="ArtNo"/>
        <w:rPr>
          <w:lang w:val="en-US"/>
        </w:rPr>
      </w:pPr>
      <w:r w:rsidRPr="00CB6CBA">
        <w:rPr>
          <w:lang w:val="en-US"/>
        </w:rPr>
        <w:t>ARTICLE (17)</w:t>
      </w:r>
    </w:p>
    <w:p w:rsidR="00CA3B52" w:rsidRPr="00CB6CBA" w:rsidRDefault="00CA3B52" w:rsidP="00CA3B52">
      <w:pPr>
        <w:pStyle w:val="Arttitle"/>
        <w:rPr>
          <w:lang w:val="en-US"/>
        </w:rPr>
      </w:pPr>
      <w:bookmarkStart w:id="1972" w:name="_Toc237657988"/>
      <w:r w:rsidRPr="00CB6CBA">
        <w:rPr>
          <w:lang w:val="en-US"/>
        </w:rPr>
        <w:t>Spectrum Fees for GMPCS</w:t>
      </w:r>
      <w:bookmarkEnd w:id="1972"/>
      <w:r w:rsidRPr="00CB6CBA">
        <w:rPr>
          <w:lang w:val="en-US"/>
        </w:rPr>
        <w:t xml:space="preserve"> </w:t>
      </w:r>
    </w:p>
    <w:p w:rsidR="00CA3B52" w:rsidRPr="00CB6CBA" w:rsidRDefault="00CA3B52" w:rsidP="00CA3B52">
      <w:pPr>
        <w:pStyle w:val="enumlev1"/>
        <w:rPr>
          <w:lang w:val="en-US"/>
        </w:rPr>
      </w:pPr>
      <w:r w:rsidRPr="00CB6CBA">
        <w:rPr>
          <w:lang w:val="en-US"/>
        </w:rPr>
        <w:t>17.1</w:t>
      </w:r>
      <w:r w:rsidRPr="00CB6CBA">
        <w:rPr>
          <w:lang w:val="en-US"/>
        </w:rPr>
        <w:tab/>
        <w:t xml:space="preserve">The Annual Spectrum Fees for Global Mobile Personal Communication by Satellite (GMPCS) Service (including its land based, aeronautical and maritime use) shall be calculated as follows: </w:t>
      </w:r>
    </w:p>
    <w:p w:rsidR="00CA3B52" w:rsidRPr="00CB6CBA" w:rsidRDefault="00215E02" w:rsidP="00215E02">
      <w:pPr>
        <w:pStyle w:val="Equation"/>
        <w:rPr>
          <w:lang w:val="en-US"/>
        </w:rPr>
      </w:pPr>
      <w:r>
        <w:rPr>
          <w:lang w:val="en-US"/>
        </w:rPr>
        <w:tab/>
      </w:r>
      <w:r>
        <w:rPr>
          <w:lang w:val="en-US"/>
        </w:rPr>
        <w:tab/>
      </w:r>
      <w:r w:rsidR="00CA3B52" w:rsidRPr="00CB6CBA">
        <w:rPr>
          <w:lang w:val="en-US"/>
        </w:rPr>
        <w:t xml:space="preserve">Spectrum Fees = BW </w:t>
      </w:r>
      <w:r w:rsidR="00CA3B52">
        <w:rPr>
          <w:lang w:val="en-US"/>
        </w:rPr>
        <w:t>×</w:t>
      </w:r>
      <w:r w:rsidR="00CA3B52" w:rsidRPr="00CB6CBA">
        <w:rPr>
          <w:lang w:val="en-US"/>
        </w:rPr>
        <w:t xml:space="preserve"> 5</w:t>
      </w:r>
      <w:r w:rsidR="00CA3B52">
        <w:rPr>
          <w:lang w:val="en-US"/>
        </w:rPr>
        <w:t xml:space="preserve"> </w:t>
      </w:r>
      <w:r w:rsidR="00CA3B52" w:rsidRPr="00CB6CBA">
        <w:rPr>
          <w:lang w:val="en-US"/>
        </w:rPr>
        <w:t>000</w:t>
      </w:r>
    </w:p>
    <w:p w:rsidR="00CA3B52" w:rsidRPr="00CB6CBA" w:rsidRDefault="00CA3B52" w:rsidP="00CA3B52">
      <w:pPr>
        <w:pStyle w:val="enumlev1"/>
        <w:rPr>
          <w:lang w:val="en-US"/>
        </w:rPr>
      </w:pPr>
      <w:r w:rsidRPr="00CB6CBA">
        <w:rPr>
          <w:lang w:val="en-US"/>
        </w:rPr>
        <w:tab/>
        <w:t xml:space="preserve">Where </w:t>
      </w:r>
      <w:r w:rsidRPr="00CB6CBA">
        <w:rPr>
          <w:b/>
          <w:bCs/>
          <w:lang w:val="en-US"/>
        </w:rPr>
        <w:t>BW</w:t>
      </w:r>
      <w:r>
        <w:rPr>
          <w:b/>
          <w:bCs/>
          <w:lang w:val="en-US"/>
        </w:rPr>
        <w:t xml:space="preserve"> </w:t>
      </w:r>
      <w:r w:rsidRPr="00F16213">
        <w:rPr>
          <w:lang w:val="en-US"/>
        </w:rPr>
        <w:t>=</w:t>
      </w:r>
      <w:r w:rsidRPr="00CB6CBA">
        <w:rPr>
          <w:b/>
          <w:bCs/>
          <w:lang w:val="en-US"/>
        </w:rPr>
        <w:t xml:space="preserve"> </w:t>
      </w:r>
      <w:r w:rsidRPr="00CB6CBA">
        <w:rPr>
          <w:lang w:val="en-US"/>
        </w:rPr>
        <w:t>Bandwidth Factor based on 2</w:t>
      </w:r>
      <w:r>
        <w:rPr>
          <w:lang w:val="en-US"/>
        </w:rPr>
        <w:t xml:space="preserve"> × </w:t>
      </w:r>
      <w:r w:rsidRPr="00CB6CBA">
        <w:rPr>
          <w:lang w:val="en-US"/>
        </w:rPr>
        <w:t>1 MHz Bandwidth used and shall be determined as follows:</w:t>
      </w:r>
    </w:p>
    <w:p w:rsidR="00CA3B52" w:rsidRPr="005C1150" w:rsidRDefault="00CA3B52" w:rsidP="00F65451">
      <w:pPr>
        <w:pStyle w:val="Blanc"/>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361"/>
        <w:gridCol w:w="1261"/>
      </w:tblGrid>
      <w:tr w:rsidR="00CA3B52" w:rsidRPr="00CB6CBA" w:rsidTr="002D1D5C">
        <w:trPr>
          <w:trHeight w:val="332"/>
          <w:jc w:val="center"/>
        </w:trPr>
        <w:tc>
          <w:tcPr>
            <w:tcW w:w="0" w:type="auto"/>
          </w:tcPr>
          <w:p w:rsidR="00CA3B52" w:rsidRPr="00CB6CBA" w:rsidRDefault="00CA3B52" w:rsidP="002D1D5C">
            <w:pPr>
              <w:pStyle w:val="Tablehead"/>
              <w:rPr>
                <w:lang w:val="en-US"/>
              </w:rPr>
            </w:pPr>
            <w:r w:rsidRPr="00CB6CBA">
              <w:rPr>
                <w:lang w:val="en-US"/>
              </w:rPr>
              <w:t xml:space="preserve">Bandwidth </w:t>
            </w:r>
          </w:p>
        </w:tc>
        <w:tc>
          <w:tcPr>
            <w:tcW w:w="0" w:type="auto"/>
          </w:tcPr>
          <w:p w:rsidR="00CA3B52" w:rsidRPr="00CB6CBA" w:rsidRDefault="00CA3B52" w:rsidP="002D1D5C">
            <w:pPr>
              <w:pStyle w:val="Tablehead"/>
              <w:rPr>
                <w:lang w:val="en-US"/>
              </w:rPr>
            </w:pPr>
            <w:r w:rsidRPr="00CB6CBA">
              <w:rPr>
                <w:lang w:val="en-US"/>
              </w:rPr>
              <w:t>BW Factor</w:t>
            </w:r>
          </w:p>
        </w:tc>
      </w:tr>
      <w:tr w:rsidR="00CA3B52" w:rsidRPr="00CB6CBA" w:rsidTr="002D1D5C">
        <w:trPr>
          <w:trHeight w:val="319"/>
          <w:jc w:val="center"/>
        </w:trPr>
        <w:tc>
          <w:tcPr>
            <w:tcW w:w="0" w:type="auto"/>
          </w:tcPr>
          <w:p w:rsidR="00CA3B52" w:rsidRPr="00CB6CBA" w:rsidRDefault="00CA3B52" w:rsidP="002D1D5C">
            <w:pPr>
              <w:pStyle w:val="Tabletext"/>
              <w:rPr>
                <w:lang w:val="en-US"/>
              </w:rPr>
            </w:pPr>
            <w:r w:rsidRPr="00CB6CBA">
              <w:rPr>
                <w:lang w:val="en-US"/>
              </w:rPr>
              <w:t xml:space="preserve">Less than 2 </w:t>
            </w:r>
            <w:r>
              <w:rPr>
                <w:lang w:val="en-US"/>
              </w:rPr>
              <w:t>×</w:t>
            </w:r>
            <w:r w:rsidRPr="00CB6CBA">
              <w:rPr>
                <w:lang w:val="en-US"/>
              </w:rPr>
              <w:t xml:space="preserve"> 1 MHz </w:t>
            </w:r>
          </w:p>
        </w:tc>
        <w:tc>
          <w:tcPr>
            <w:tcW w:w="0" w:type="auto"/>
          </w:tcPr>
          <w:p w:rsidR="00CA3B52" w:rsidRPr="00CB6CBA" w:rsidRDefault="00CA3B52" w:rsidP="002D1D5C">
            <w:pPr>
              <w:pStyle w:val="Tabletext"/>
              <w:jc w:val="center"/>
              <w:rPr>
                <w:lang w:val="en-US"/>
              </w:rPr>
            </w:pPr>
            <w:r w:rsidRPr="00CB6CBA">
              <w:rPr>
                <w:lang w:val="en-US"/>
              </w:rPr>
              <w:t>3</w:t>
            </w:r>
          </w:p>
        </w:tc>
      </w:tr>
      <w:tr w:rsidR="00CA3B52" w:rsidRPr="00CB6CBA" w:rsidTr="002D1D5C">
        <w:trPr>
          <w:trHeight w:val="319"/>
          <w:jc w:val="center"/>
        </w:trPr>
        <w:tc>
          <w:tcPr>
            <w:tcW w:w="0" w:type="auto"/>
          </w:tcPr>
          <w:p w:rsidR="00CA3B52" w:rsidRPr="00CB6CBA" w:rsidRDefault="00CA3B52" w:rsidP="002D1D5C">
            <w:pPr>
              <w:pStyle w:val="Tabletext"/>
              <w:rPr>
                <w:lang w:val="en-US"/>
              </w:rPr>
            </w:pPr>
            <w:r w:rsidRPr="00CB6CBA">
              <w:rPr>
                <w:lang w:val="en-US"/>
              </w:rPr>
              <w:t xml:space="preserve">2 </w:t>
            </w:r>
            <w:r>
              <w:rPr>
                <w:lang w:val="en-US"/>
              </w:rPr>
              <w:t>×</w:t>
            </w:r>
            <w:r w:rsidRPr="00CB6CBA">
              <w:rPr>
                <w:lang w:val="en-US"/>
              </w:rPr>
              <w:t xml:space="preserve"> 1 MHz – Less than 4 </w:t>
            </w:r>
            <w:r>
              <w:rPr>
                <w:lang w:val="en-US"/>
              </w:rPr>
              <w:t>×</w:t>
            </w:r>
            <w:r w:rsidRPr="00CB6CBA">
              <w:rPr>
                <w:lang w:val="en-US"/>
              </w:rPr>
              <w:t xml:space="preserve"> 1 MHz </w:t>
            </w:r>
          </w:p>
        </w:tc>
        <w:tc>
          <w:tcPr>
            <w:tcW w:w="0" w:type="auto"/>
          </w:tcPr>
          <w:p w:rsidR="00CA3B52" w:rsidRPr="00CB6CBA" w:rsidRDefault="00CA3B52" w:rsidP="002D1D5C">
            <w:pPr>
              <w:pStyle w:val="Tabletext"/>
              <w:jc w:val="center"/>
              <w:rPr>
                <w:lang w:val="en-US"/>
              </w:rPr>
            </w:pPr>
            <w:r w:rsidRPr="00CB6CBA">
              <w:rPr>
                <w:lang w:val="en-US"/>
              </w:rPr>
              <w:t>6</w:t>
            </w:r>
          </w:p>
        </w:tc>
      </w:tr>
      <w:tr w:rsidR="00CA3B52" w:rsidRPr="00CB6CBA" w:rsidTr="002D1D5C">
        <w:trPr>
          <w:trHeight w:val="319"/>
          <w:jc w:val="center"/>
        </w:trPr>
        <w:tc>
          <w:tcPr>
            <w:tcW w:w="0" w:type="auto"/>
          </w:tcPr>
          <w:p w:rsidR="00CA3B52" w:rsidRPr="00CB6CBA" w:rsidRDefault="00CA3B52" w:rsidP="002D1D5C">
            <w:pPr>
              <w:pStyle w:val="Tabletext"/>
              <w:rPr>
                <w:lang w:val="en-US"/>
              </w:rPr>
            </w:pPr>
            <w:r w:rsidRPr="00CB6CBA">
              <w:rPr>
                <w:lang w:val="en-US"/>
              </w:rPr>
              <w:t xml:space="preserve">4 </w:t>
            </w:r>
            <w:r>
              <w:rPr>
                <w:lang w:val="en-US"/>
              </w:rPr>
              <w:t>×</w:t>
            </w:r>
            <w:r w:rsidRPr="00CB6CBA">
              <w:rPr>
                <w:lang w:val="en-US"/>
              </w:rPr>
              <w:t xml:space="preserve"> 1 MHz – Less than 6 </w:t>
            </w:r>
            <w:r>
              <w:rPr>
                <w:lang w:val="en-US"/>
              </w:rPr>
              <w:t>×</w:t>
            </w:r>
            <w:r w:rsidRPr="00CB6CBA">
              <w:rPr>
                <w:lang w:val="en-US"/>
              </w:rPr>
              <w:t xml:space="preserve"> 1 MHz </w:t>
            </w:r>
          </w:p>
        </w:tc>
        <w:tc>
          <w:tcPr>
            <w:tcW w:w="0" w:type="auto"/>
          </w:tcPr>
          <w:p w:rsidR="00CA3B52" w:rsidRPr="00CB6CBA" w:rsidRDefault="00CA3B52" w:rsidP="002D1D5C">
            <w:pPr>
              <w:pStyle w:val="Tabletext"/>
              <w:jc w:val="center"/>
              <w:rPr>
                <w:lang w:val="en-US"/>
              </w:rPr>
            </w:pPr>
            <w:r w:rsidRPr="00CB6CBA">
              <w:rPr>
                <w:lang w:val="en-US"/>
              </w:rPr>
              <w:t>9</w:t>
            </w:r>
          </w:p>
        </w:tc>
      </w:tr>
      <w:tr w:rsidR="00CA3B52" w:rsidRPr="00CB6CBA" w:rsidTr="002D1D5C">
        <w:trPr>
          <w:trHeight w:val="319"/>
          <w:jc w:val="center"/>
        </w:trPr>
        <w:tc>
          <w:tcPr>
            <w:tcW w:w="0" w:type="auto"/>
          </w:tcPr>
          <w:p w:rsidR="00CA3B52" w:rsidRPr="00CB6CBA" w:rsidRDefault="00CA3B52" w:rsidP="002D1D5C">
            <w:pPr>
              <w:pStyle w:val="Tabletext"/>
              <w:rPr>
                <w:lang w:val="en-US"/>
              </w:rPr>
            </w:pPr>
            <w:r w:rsidRPr="00CB6CBA">
              <w:rPr>
                <w:lang w:val="en-US"/>
              </w:rPr>
              <w:t xml:space="preserve">6 </w:t>
            </w:r>
            <w:r>
              <w:rPr>
                <w:lang w:val="en-US"/>
              </w:rPr>
              <w:t>×</w:t>
            </w:r>
            <w:r w:rsidRPr="00CB6CBA">
              <w:rPr>
                <w:lang w:val="en-US"/>
              </w:rPr>
              <w:t xml:space="preserve"> 1 MHz – Less than 8 </w:t>
            </w:r>
            <w:r>
              <w:rPr>
                <w:lang w:val="en-US"/>
              </w:rPr>
              <w:t>×</w:t>
            </w:r>
            <w:r w:rsidRPr="00CB6CBA">
              <w:rPr>
                <w:lang w:val="en-US"/>
              </w:rPr>
              <w:t xml:space="preserve"> 1 MHz </w:t>
            </w:r>
          </w:p>
        </w:tc>
        <w:tc>
          <w:tcPr>
            <w:tcW w:w="0" w:type="auto"/>
          </w:tcPr>
          <w:p w:rsidR="00CA3B52" w:rsidRPr="00CB6CBA" w:rsidRDefault="00CA3B52" w:rsidP="002D1D5C">
            <w:pPr>
              <w:pStyle w:val="Tabletext"/>
              <w:jc w:val="center"/>
              <w:rPr>
                <w:lang w:val="en-US"/>
              </w:rPr>
            </w:pPr>
            <w:r w:rsidRPr="00CB6CBA">
              <w:rPr>
                <w:lang w:val="en-US"/>
              </w:rPr>
              <w:t>12</w:t>
            </w:r>
          </w:p>
        </w:tc>
      </w:tr>
      <w:tr w:rsidR="00CA3B52" w:rsidRPr="00CB6CBA" w:rsidTr="002D1D5C">
        <w:trPr>
          <w:trHeight w:val="319"/>
          <w:jc w:val="center"/>
        </w:trPr>
        <w:tc>
          <w:tcPr>
            <w:tcW w:w="0" w:type="auto"/>
          </w:tcPr>
          <w:p w:rsidR="00CA3B52" w:rsidRPr="00CB6CBA" w:rsidRDefault="00CA3B52" w:rsidP="002D1D5C">
            <w:pPr>
              <w:pStyle w:val="Tabletext"/>
              <w:rPr>
                <w:lang w:val="en-US"/>
              </w:rPr>
            </w:pPr>
            <w:r w:rsidRPr="00CB6CBA">
              <w:rPr>
                <w:lang w:val="en-US"/>
              </w:rPr>
              <w:t xml:space="preserve">8 </w:t>
            </w:r>
            <w:r>
              <w:rPr>
                <w:lang w:val="en-US"/>
              </w:rPr>
              <w:t>×</w:t>
            </w:r>
            <w:r w:rsidRPr="00CB6CBA">
              <w:rPr>
                <w:lang w:val="en-US"/>
              </w:rPr>
              <w:t xml:space="preserve"> 1 MHz – Less than 10 </w:t>
            </w:r>
            <w:r>
              <w:rPr>
                <w:lang w:val="en-US"/>
              </w:rPr>
              <w:t>×</w:t>
            </w:r>
            <w:r w:rsidRPr="00CB6CBA">
              <w:rPr>
                <w:lang w:val="en-US"/>
              </w:rPr>
              <w:t xml:space="preserve"> 1 MHz </w:t>
            </w:r>
          </w:p>
        </w:tc>
        <w:tc>
          <w:tcPr>
            <w:tcW w:w="0" w:type="auto"/>
          </w:tcPr>
          <w:p w:rsidR="00CA3B52" w:rsidRPr="00CB6CBA" w:rsidRDefault="00CA3B52" w:rsidP="002D1D5C">
            <w:pPr>
              <w:pStyle w:val="Tabletext"/>
              <w:jc w:val="center"/>
              <w:rPr>
                <w:lang w:val="en-US"/>
              </w:rPr>
            </w:pPr>
            <w:r w:rsidRPr="00CB6CBA">
              <w:rPr>
                <w:lang w:val="en-US"/>
              </w:rPr>
              <w:t>15</w:t>
            </w:r>
          </w:p>
        </w:tc>
      </w:tr>
      <w:tr w:rsidR="00CA3B52" w:rsidRPr="00CB6CBA" w:rsidTr="002D1D5C">
        <w:trPr>
          <w:trHeight w:val="319"/>
          <w:jc w:val="center"/>
        </w:trPr>
        <w:tc>
          <w:tcPr>
            <w:tcW w:w="0" w:type="auto"/>
          </w:tcPr>
          <w:p w:rsidR="00CA3B52" w:rsidRPr="00CB6CBA" w:rsidRDefault="00CA3B52" w:rsidP="002D1D5C">
            <w:pPr>
              <w:pStyle w:val="Tabletext"/>
              <w:rPr>
                <w:lang w:val="en-US"/>
              </w:rPr>
            </w:pPr>
            <w:r w:rsidRPr="00CB6CBA">
              <w:rPr>
                <w:lang w:val="en-US"/>
              </w:rPr>
              <w:t xml:space="preserve">10 </w:t>
            </w:r>
            <w:r>
              <w:rPr>
                <w:lang w:val="en-US"/>
              </w:rPr>
              <w:t>×</w:t>
            </w:r>
            <w:r w:rsidRPr="00CB6CBA">
              <w:rPr>
                <w:lang w:val="en-US"/>
              </w:rPr>
              <w:t xml:space="preserve"> 1 MHz </w:t>
            </w:r>
          </w:p>
        </w:tc>
        <w:tc>
          <w:tcPr>
            <w:tcW w:w="0" w:type="auto"/>
          </w:tcPr>
          <w:p w:rsidR="00CA3B52" w:rsidRPr="00CB6CBA" w:rsidRDefault="00CA3B52" w:rsidP="002D1D5C">
            <w:pPr>
              <w:pStyle w:val="Tabletext"/>
              <w:jc w:val="center"/>
              <w:rPr>
                <w:lang w:val="en-US"/>
              </w:rPr>
            </w:pPr>
            <w:r w:rsidRPr="00CB6CBA">
              <w:rPr>
                <w:lang w:val="en-US"/>
              </w:rPr>
              <w:t>18</w:t>
            </w:r>
          </w:p>
        </w:tc>
      </w:tr>
      <w:tr w:rsidR="00CA3B52" w:rsidRPr="00CB6CBA" w:rsidTr="002D1D5C">
        <w:trPr>
          <w:trHeight w:val="319"/>
          <w:jc w:val="center"/>
        </w:trPr>
        <w:tc>
          <w:tcPr>
            <w:tcW w:w="0" w:type="auto"/>
          </w:tcPr>
          <w:p w:rsidR="00CA3B52" w:rsidRPr="00CB6CBA" w:rsidRDefault="00CA3B52" w:rsidP="002D1D5C">
            <w:pPr>
              <w:pStyle w:val="Tabletext"/>
              <w:rPr>
                <w:lang w:val="en-US"/>
              </w:rPr>
            </w:pPr>
            <w:r w:rsidRPr="00CB6CBA">
              <w:rPr>
                <w:lang w:val="en-US"/>
              </w:rPr>
              <w:t>For each additional 2</w:t>
            </w:r>
            <w:r>
              <w:rPr>
                <w:lang w:val="en-US"/>
              </w:rPr>
              <w:t xml:space="preserve"> × </w:t>
            </w:r>
            <w:r w:rsidRPr="00CB6CBA">
              <w:rPr>
                <w:lang w:val="en-US"/>
              </w:rPr>
              <w:t xml:space="preserve">1 MHz </w:t>
            </w:r>
          </w:p>
        </w:tc>
        <w:tc>
          <w:tcPr>
            <w:tcW w:w="0" w:type="auto"/>
          </w:tcPr>
          <w:p w:rsidR="00CA3B52" w:rsidRPr="00CB6CBA" w:rsidRDefault="00CA3B52" w:rsidP="002D1D5C">
            <w:pPr>
              <w:pStyle w:val="Tabletext"/>
              <w:jc w:val="center"/>
              <w:rPr>
                <w:lang w:val="en-US"/>
              </w:rPr>
            </w:pPr>
            <w:r w:rsidRPr="00CB6CBA">
              <w:rPr>
                <w:lang w:val="en-US"/>
              </w:rPr>
              <w:t>3</w:t>
            </w:r>
          </w:p>
        </w:tc>
      </w:tr>
    </w:tbl>
    <w:p w:rsidR="00CA3B52" w:rsidRPr="00AD6883" w:rsidRDefault="00CA3B52" w:rsidP="00AD6883">
      <w:pPr>
        <w:pStyle w:val="Tablefin"/>
      </w:pPr>
    </w:p>
    <w:p w:rsidR="00CA3B52" w:rsidRPr="00CB6CBA" w:rsidRDefault="00CA3B52" w:rsidP="00CA3B52">
      <w:pPr>
        <w:pStyle w:val="ArtNo"/>
        <w:rPr>
          <w:lang w:val="en-US"/>
        </w:rPr>
      </w:pPr>
      <w:r w:rsidRPr="00CB6CBA">
        <w:rPr>
          <w:lang w:val="en-US"/>
        </w:rPr>
        <w:t>ARTICLE (18)</w:t>
      </w:r>
    </w:p>
    <w:p w:rsidR="00CA3B52" w:rsidRPr="00CB6CBA" w:rsidRDefault="00CA3B52" w:rsidP="00CA3B52">
      <w:pPr>
        <w:pStyle w:val="Arttitle"/>
        <w:rPr>
          <w:lang w:val="en-US"/>
        </w:rPr>
      </w:pPr>
      <w:bookmarkStart w:id="1973" w:name="_Toc237657989"/>
      <w:r w:rsidRPr="00CB6CBA">
        <w:rPr>
          <w:lang w:val="en-US"/>
        </w:rPr>
        <w:t>Spectrum Fees for Amateur</w:t>
      </w:r>
      <w:bookmarkEnd w:id="1973"/>
      <w:r w:rsidRPr="00CB6CBA">
        <w:rPr>
          <w:lang w:val="en-US"/>
        </w:rPr>
        <w:t xml:space="preserve"> </w:t>
      </w:r>
    </w:p>
    <w:p w:rsidR="00CA3B52" w:rsidRPr="00CB6CBA" w:rsidRDefault="00CA3B52" w:rsidP="00CA3B52">
      <w:pPr>
        <w:pStyle w:val="enumlev1"/>
        <w:rPr>
          <w:lang w:val="en-US"/>
        </w:rPr>
      </w:pPr>
      <w:r w:rsidRPr="00CB6CBA">
        <w:rPr>
          <w:lang w:val="en-US"/>
        </w:rPr>
        <w:t>18.1</w:t>
      </w:r>
      <w:r w:rsidRPr="00CB6CBA">
        <w:rPr>
          <w:lang w:val="en-US"/>
        </w:rPr>
        <w:tab/>
        <w:t xml:space="preserve">The Annual Fees for Amateur license shall be Two Hundred (200) AED payable in advance. </w:t>
      </w:r>
    </w:p>
    <w:p w:rsidR="00CA3B52" w:rsidRPr="00CB6CBA" w:rsidRDefault="00CA3B52" w:rsidP="00CA3B52">
      <w:pPr>
        <w:pStyle w:val="ArtNo"/>
        <w:rPr>
          <w:lang w:val="en-US"/>
        </w:rPr>
      </w:pPr>
      <w:r w:rsidRPr="00CB6CBA">
        <w:rPr>
          <w:lang w:val="en-US"/>
        </w:rPr>
        <w:t>ARTICLE (19)</w:t>
      </w:r>
    </w:p>
    <w:p w:rsidR="00CA3B52" w:rsidRPr="00CB6CBA" w:rsidRDefault="00CA3B52" w:rsidP="00CA3B52">
      <w:pPr>
        <w:pStyle w:val="Arttitle"/>
        <w:rPr>
          <w:lang w:val="en-US"/>
        </w:rPr>
      </w:pPr>
      <w:bookmarkStart w:id="1974" w:name="_Toc237657990"/>
      <w:r w:rsidRPr="00CB6CBA">
        <w:rPr>
          <w:lang w:val="en-US"/>
        </w:rPr>
        <w:t>Spectrum Fees for Aeronautical Radio Stations</w:t>
      </w:r>
      <w:bookmarkEnd w:id="1974"/>
      <w:r w:rsidRPr="00CB6CBA">
        <w:rPr>
          <w:lang w:val="en-US"/>
        </w:rPr>
        <w:t xml:space="preserve"> </w:t>
      </w:r>
    </w:p>
    <w:p w:rsidR="00CA3B52" w:rsidRPr="00CB6CBA" w:rsidRDefault="00CA3B52" w:rsidP="00CA3B52">
      <w:pPr>
        <w:pStyle w:val="enumlev1"/>
        <w:rPr>
          <w:lang w:val="en-US"/>
        </w:rPr>
      </w:pPr>
      <w:r w:rsidRPr="00CB6CBA">
        <w:rPr>
          <w:lang w:val="en-US"/>
        </w:rPr>
        <w:t>19.1</w:t>
      </w:r>
      <w:r w:rsidRPr="00CB6CBA">
        <w:rPr>
          <w:lang w:val="en-US"/>
        </w:rPr>
        <w:tab/>
        <w:t>The Annual Fees for each aircraft and helicopter license shall be One Thousand (1</w:t>
      </w:r>
      <w:r>
        <w:rPr>
          <w:lang w:val="en-US"/>
        </w:rPr>
        <w:t xml:space="preserve"> </w:t>
      </w:r>
      <w:r w:rsidRPr="00CB6CBA">
        <w:rPr>
          <w:lang w:val="en-US"/>
        </w:rPr>
        <w:t>000) Dirhams. This shall include all Wireless Equipment onboard.</w:t>
      </w:r>
    </w:p>
    <w:p w:rsidR="00CA3B52" w:rsidRPr="00CB6CBA" w:rsidRDefault="00CA3B52" w:rsidP="00CA3B52">
      <w:pPr>
        <w:pStyle w:val="enumlev1"/>
        <w:rPr>
          <w:lang w:val="en-US"/>
        </w:rPr>
      </w:pPr>
      <w:r w:rsidRPr="00CB6CBA">
        <w:rPr>
          <w:lang w:val="en-US"/>
        </w:rPr>
        <w:t>19.2</w:t>
      </w:r>
      <w:r w:rsidRPr="00CB6CBA">
        <w:rPr>
          <w:lang w:val="en-US"/>
        </w:rPr>
        <w:tab/>
        <w:t xml:space="preserve">The Annual Fees for gliders and balloons shall be Three Hundred (300) Dirhams. </w:t>
      </w:r>
    </w:p>
    <w:p w:rsidR="00CA3B52" w:rsidRPr="00CB6CBA" w:rsidRDefault="00CA3B52" w:rsidP="00CA3B52">
      <w:pPr>
        <w:pStyle w:val="enumlev1"/>
        <w:rPr>
          <w:rtl/>
          <w:lang w:val="en-US"/>
        </w:rPr>
      </w:pPr>
      <w:r w:rsidRPr="00CB6CBA">
        <w:rPr>
          <w:lang w:val="en-US"/>
        </w:rPr>
        <w:t>19.3</w:t>
      </w:r>
      <w:r w:rsidRPr="00CB6CBA">
        <w:rPr>
          <w:lang w:val="en-US"/>
        </w:rPr>
        <w:tab/>
        <w:t xml:space="preserve">The Annual Fees for ground to air links shall be in accordance with Article (12). </w:t>
      </w:r>
    </w:p>
    <w:p w:rsidR="00CA3B52" w:rsidRPr="00CB6CBA" w:rsidRDefault="00CA3B52" w:rsidP="00CA3B52">
      <w:pPr>
        <w:pStyle w:val="enumlev1"/>
        <w:rPr>
          <w:lang w:val="en-US"/>
        </w:rPr>
      </w:pPr>
      <w:r w:rsidRPr="00CB6CBA">
        <w:rPr>
          <w:szCs w:val="24"/>
          <w:rtl/>
          <w:lang w:val="en-US"/>
        </w:rPr>
        <w:t>19.4</w:t>
      </w:r>
      <w:r w:rsidRPr="00CB6CBA">
        <w:rPr>
          <w:rtl/>
          <w:lang w:val="en-US"/>
        </w:rPr>
        <w:tab/>
      </w:r>
      <w:r w:rsidRPr="00CB6CBA">
        <w:rPr>
          <w:lang w:val="en-US"/>
        </w:rPr>
        <w:t>The ground to air HF links shall be charged in accordance with Article (13).</w:t>
      </w:r>
    </w:p>
    <w:p w:rsidR="00CA3B52" w:rsidRPr="00CB6CBA" w:rsidRDefault="00CA3B52" w:rsidP="00CA3B52">
      <w:pPr>
        <w:pStyle w:val="ArtNo"/>
        <w:rPr>
          <w:lang w:val="en-US"/>
        </w:rPr>
      </w:pPr>
      <w:r w:rsidRPr="00CB6CBA">
        <w:rPr>
          <w:lang w:val="en-US"/>
        </w:rPr>
        <w:lastRenderedPageBreak/>
        <w:t>ARTICLE (20)</w:t>
      </w:r>
    </w:p>
    <w:p w:rsidR="00CA3B52" w:rsidRPr="00CB6CBA" w:rsidRDefault="00CA3B52" w:rsidP="00CA3B52">
      <w:pPr>
        <w:pStyle w:val="Arttitle"/>
        <w:rPr>
          <w:lang w:val="en-US"/>
        </w:rPr>
      </w:pPr>
      <w:bookmarkStart w:id="1975" w:name="_Toc237657991"/>
      <w:r w:rsidRPr="00CB6CBA">
        <w:rPr>
          <w:lang w:val="en-US"/>
        </w:rPr>
        <w:t>Spectrum Fees for Maritime Radio Services</w:t>
      </w:r>
      <w:bookmarkEnd w:id="1975"/>
      <w:r w:rsidRPr="00CB6CBA">
        <w:rPr>
          <w:lang w:val="en-US"/>
        </w:rPr>
        <w:t xml:space="preserve"> </w:t>
      </w:r>
    </w:p>
    <w:p w:rsidR="00CA3B52" w:rsidRPr="00CB6CBA" w:rsidRDefault="00CA3B52" w:rsidP="00CA3B52">
      <w:pPr>
        <w:pStyle w:val="enumlev1"/>
        <w:rPr>
          <w:lang w:val="en-US"/>
        </w:rPr>
      </w:pPr>
      <w:r w:rsidRPr="00CB6CBA">
        <w:rPr>
          <w:lang w:val="en-US"/>
        </w:rPr>
        <w:t>20.1</w:t>
      </w:r>
      <w:r w:rsidRPr="00CB6CBA">
        <w:rPr>
          <w:lang w:val="en-US"/>
        </w:rPr>
        <w:tab/>
        <w:t>Spectrum Fees for each small fishing boat license shall be Two Hundred (200) Dirhams for two years.</w:t>
      </w:r>
    </w:p>
    <w:p w:rsidR="00CA3B52" w:rsidRPr="00CB6CBA" w:rsidRDefault="00CA3B52" w:rsidP="00CA3B52">
      <w:pPr>
        <w:pStyle w:val="enumlev1"/>
        <w:rPr>
          <w:lang w:val="en-US"/>
        </w:rPr>
      </w:pPr>
      <w:r w:rsidRPr="00CB6CBA">
        <w:rPr>
          <w:lang w:val="en-US"/>
        </w:rPr>
        <w:t>20.2</w:t>
      </w:r>
      <w:r w:rsidRPr="00CB6CBA">
        <w:rPr>
          <w:lang w:val="en-US"/>
        </w:rPr>
        <w:tab/>
        <w:t>The Annual Spectrum Fees for each pleasure boat license shall be Five Hundred (500) Dirhams.</w:t>
      </w:r>
    </w:p>
    <w:p w:rsidR="00CA3B52" w:rsidRPr="00CB6CBA" w:rsidRDefault="00CA3B52" w:rsidP="00CA3B52">
      <w:pPr>
        <w:pStyle w:val="enumlev1"/>
        <w:rPr>
          <w:lang w:val="en-US"/>
        </w:rPr>
      </w:pPr>
      <w:r w:rsidRPr="00CB6CBA">
        <w:rPr>
          <w:lang w:val="en-US"/>
        </w:rPr>
        <w:t>20.3</w:t>
      </w:r>
      <w:r w:rsidRPr="00CB6CBA">
        <w:rPr>
          <w:lang w:val="en-US"/>
        </w:rPr>
        <w:tab/>
        <w:t xml:space="preserve">The Annual Spectrum Fees for each Coastal Ship </w:t>
      </w:r>
      <w:r w:rsidRPr="00CB6CBA">
        <w:rPr>
          <w:color w:val="000000"/>
          <w:lang w:val="en-US"/>
        </w:rPr>
        <w:t xml:space="preserve">(within domestic water and without MMSI) </w:t>
      </w:r>
      <w:r w:rsidRPr="00CB6CBA">
        <w:rPr>
          <w:lang w:val="en-US"/>
        </w:rPr>
        <w:t xml:space="preserve">license shall be Five Hundred (500) Dirhams. </w:t>
      </w:r>
    </w:p>
    <w:p w:rsidR="00CA3B52" w:rsidRPr="00CB6CBA" w:rsidRDefault="00CA3B52" w:rsidP="00CA3B52">
      <w:pPr>
        <w:pStyle w:val="enumlev1"/>
        <w:rPr>
          <w:lang w:val="en-US"/>
        </w:rPr>
      </w:pPr>
      <w:r w:rsidRPr="00CB6CBA">
        <w:rPr>
          <w:lang w:val="en-US"/>
        </w:rPr>
        <w:t>20.4</w:t>
      </w:r>
      <w:r w:rsidRPr="00CB6CBA">
        <w:rPr>
          <w:lang w:val="en-US"/>
        </w:rPr>
        <w:tab/>
        <w:t xml:space="preserve">The Annual Spectrum Fees for each Ship </w:t>
      </w:r>
      <w:r w:rsidRPr="00CB6CBA">
        <w:rPr>
          <w:color w:val="000000"/>
          <w:lang w:val="en-US"/>
        </w:rPr>
        <w:t xml:space="preserve">(going outside domestic water or with MMSI) </w:t>
      </w:r>
      <w:r w:rsidRPr="00CB6CBA">
        <w:rPr>
          <w:lang w:val="en-US"/>
        </w:rPr>
        <w:t>license shall be One Thousand (1</w:t>
      </w:r>
      <w:r>
        <w:rPr>
          <w:lang w:val="en-US"/>
        </w:rPr>
        <w:t xml:space="preserve"> </w:t>
      </w:r>
      <w:r w:rsidRPr="00CB6CBA">
        <w:rPr>
          <w:lang w:val="en-US"/>
        </w:rPr>
        <w:t xml:space="preserve">000) Dirhams. </w:t>
      </w:r>
    </w:p>
    <w:p w:rsidR="00CA3B52" w:rsidRPr="001272DD" w:rsidRDefault="00CA3B52" w:rsidP="001272DD">
      <w:pPr>
        <w:pStyle w:val="Note"/>
        <w:ind w:left="794" w:hanging="794"/>
        <w:rPr>
          <w:i/>
          <w:iCs/>
          <w:lang w:val="en-US"/>
        </w:rPr>
      </w:pPr>
      <w:r w:rsidRPr="00CB6CBA">
        <w:rPr>
          <w:b/>
          <w:bCs/>
          <w:i/>
          <w:iCs/>
          <w:lang w:val="en-US"/>
        </w:rPr>
        <w:tab/>
      </w:r>
      <w:r w:rsidRPr="001272DD">
        <w:rPr>
          <w:i/>
          <w:iCs/>
          <w:lang w:val="en-US"/>
        </w:rPr>
        <w:t>NOTE 1 – The Article 21.3 &amp; 21.4 shall be subject to the use of International Marine Frequency Channel as per the ITU Radio Regulations otherwise the Application will be treated as Private Mobile Radio.</w:t>
      </w:r>
    </w:p>
    <w:p w:rsidR="00CA3B52" w:rsidRPr="00CB6CBA" w:rsidRDefault="00CA3B52" w:rsidP="00CA3B52">
      <w:pPr>
        <w:pStyle w:val="ArtNo"/>
        <w:rPr>
          <w:lang w:val="en-US"/>
        </w:rPr>
      </w:pPr>
      <w:r w:rsidRPr="00CB6CBA">
        <w:rPr>
          <w:lang w:val="en-US"/>
        </w:rPr>
        <w:t>ARTICLE (21)</w:t>
      </w:r>
    </w:p>
    <w:p w:rsidR="00CA3B52" w:rsidRPr="00CB6CBA" w:rsidRDefault="00CA3B52" w:rsidP="00CA3B52">
      <w:pPr>
        <w:pStyle w:val="Arttitle"/>
        <w:rPr>
          <w:lang w:val="en-US"/>
        </w:rPr>
      </w:pPr>
      <w:bookmarkStart w:id="1976" w:name="_Toc237657992"/>
      <w:r w:rsidRPr="00CB6CBA">
        <w:rPr>
          <w:lang w:val="en-US"/>
        </w:rPr>
        <w:t>Spectrum Fees for Space and Ancillary Services</w:t>
      </w:r>
      <w:bookmarkEnd w:id="1976"/>
    </w:p>
    <w:p w:rsidR="00CA3B52" w:rsidRPr="00CB6CBA" w:rsidRDefault="00CA3B52" w:rsidP="00CA3B52">
      <w:pPr>
        <w:pStyle w:val="enumlev1"/>
        <w:rPr>
          <w:lang w:val="en-US"/>
        </w:rPr>
      </w:pPr>
      <w:r w:rsidRPr="00CB6CBA">
        <w:rPr>
          <w:lang w:val="en-US"/>
        </w:rPr>
        <w:t>21.1</w:t>
      </w:r>
      <w:r w:rsidRPr="00CB6CBA">
        <w:rPr>
          <w:lang w:val="en-US"/>
        </w:rPr>
        <w:tab/>
        <w:t>The Annual Spectrum Fees for each private VSAT shall be Five Thousand (5</w:t>
      </w:r>
      <w:r>
        <w:rPr>
          <w:lang w:val="en-US"/>
        </w:rPr>
        <w:t> 000) Dirhams.</w:t>
      </w:r>
    </w:p>
    <w:p w:rsidR="00CA3B52" w:rsidRPr="00CB6CBA" w:rsidRDefault="00CA3B52" w:rsidP="00CA3B52">
      <w:pPr>
        <w:pStyle w:val="enumlev1"/>
        <w:rPr>
          <w:lang w:val="en-US"/>
        </w:rPr>
      </w:pPr>
      <w:r w:rsidRPr="00CB6CBA">
        <w:rPr>
          <w:lang w:val="en-US"/>
        </w:rPr>
        <w:t>21.2</w:t>
      </w:r>
      <w:r w:rsidRPr="00CB6CBA">
        <w:rPr>
          <w:lang w:val="en-US"/>
        </w:rPr>
        <w:tab/>
        <w:t>The Annual Spectrum Fees for each Earth Station antenna shall be Fifty Thousand (50</w:t>
      </w:r>
      <w:r>
        <w:rPr>
          <w:lang w:val="en-US"/>
        </w:rPr>
        <w:t> </w:t>
      </w:r>
      <w:r w:rsidRPr="00CB6CBA">
        <w:rPr>
          <w:lang w:val="en-US"/>
        </w:rPr>
        <w:t xml:space="preserve">000) Dirhams. </w:t>
      </w:r>
    </w:p>
    <w:p w:rsidR="00CA3B52" w:rsidRPr="00CB6CBA" w:rsidRDefault="00CA3B52" w:rsidP="00CA3B52">
      <w:pPr>
        <w:pStyle w:val="enumlev1"/>
        <w:rPr>
          <w:lang w:val="en-US"/>
        </w:rPr>
      </w:pPr>
      <w:r w:rsidRPr="00CB6CBA">
        <w:rPr>
          <w:lang w:val="en-US"/>
        </w:rPr>
        <w:t>21.3</w:t>
      </w:r>
      <w:r w:rsidRPr="00CB6CBA">
        <w:rPr>
          <w:lang w:val="en-US"/>
        </w:rPr>
        <w:tab/>
        <w:t xml:space="preserve">The TVRO (Television receive only) shall not be charged. </w:t>
      </w:r>
    </w:p>
    <w:p w:rsidR="00CA3B52" w:rsidRPr="00CB6CBA" w:rsidRDefault="00CA3B52" w:rsidP="00CA3B52">
      <w:pPr>
        <w:pStyle w:val="enumlev1"/>
        <w:rPr>
          <w:lang w:val="en-US"/>
        </w:rPr>
      </w:pPr>
      <w:r w:rsidRPr="00CB6CBA">
        <w:rPr>
          <w:lang w:val="en-US"/>
        </w:rPr>
        <w:t>21.4</w:t>
      </w:r>
      <w:r w:rsidRPr="00CB6CBA">
        <w:rPr>
          <w:lang w:val="en-US"/>
        </w:rPr>
        <w:tab/>
        <w:t>The Annual Spectrum Fees for each DSNG shall be Five Thousand (5</w:t>
      </w:r>
      <w:r>
        <w:rPr>
          <w:lang w:val="en-US"/>
        </w:rPr>
        <w:t> </w:t>
      </w:r>
      <w:r w:rsidRPr="00CB6CBA">
        <w:rPr>
          <w:lang w:val="en-US"/>
        </w:rPr>
        <w:t>000) Dirhams.</w:t>
      </w:r>
    </w:p>
    <w:p w:rsidR="00CA3B52" w:rsidRPr="00CB6CBA" w:rsidRDefault="00CA3B52" w:rsidP="00CA3B52">
      <w:pPr>
        <w:pStyle w:val="enumlev1"/>
        <w:rPr>
          <w:lang w:val="en-US"/>
        </w:rPr>
      </w:pPr>
      <w:r w:rsidRPr="00CB6CBA">
        <w:rPr>
          <w:lang w:val="en-US"/>
        </w:rPr>
        <w:t>21.5</w:t>
      </w:r>
      <w:r w:rsidRPr="00CB6CBA">
        <w:rPr>
          <w:lang w:val="en-US"/>
        </w:rPr>
        <w:tab/>
        <w:t>The Annual Spectrum Fees for offering Aeronautical Mobile Satellite Service shall be Ten Thousand (10</w:t>
      </w:r>
      <w:r>
        <w:rPr>
          <w:lang w:val="en-US"/>
        </w:rPr>
        <w:t xml:space="preserve"> </w:t>
      </w:r>
      <w:r w:rsidRPr="00CB6CBA">
        <w:rPr>
          <w:lang w:val="en-US"/>
        </w:rPr>
        <w:t>000) Dirhams.</w:t>
      </w:r>
    </w:p>
    <w:p w:rsidR="00CA3B52" w:rsidRPr="00CB6CBA" w:rsidRDefault="00CA3B52" w:rsidP="00CA3B52">
      <w:pPr>
        <w:pStyle w:val="enumlev1"/>
        <w:rPr>
          <w:lang w:val="en-US"/>
        </w:rPr>
      </w:pPr>
      <w:r w:rsidRPr="00CB6CBA">
        <w:rPr>
          <w:lang w:val="en-US"/>
        </w:rPr>
        <w:t>21.6</w:t>
      </w:r>
      <w:r w:rsidRPr="00CB6CBA">
        <w:rPr>
          <w:lang w:val="en-US"/>
        </w:rPr>
        <w:tab/>
        <w:t>The Annual Spectrum Fees for offering Maritime Mobile Satellite Service shall be Ten Thousand (10</w:t>
      </w:r>
      <w:r>
        <w:rPr>
          <w:lang w:val="en-US"/>
        </w:rPr>
        <w:t xml:space="preserve"> </w:t>
      </w:r>
      <w:r w:rsidRPr="00CB6CBA">
        <w:rPr>
          <w:lang w:val="en-US"/>
        </w:rPr>
        <w:t>000) Dirhams.</w:t>
      </w:r>
    </w:p>
    <w:p w:rsidR="00CA3B52" w:rsidRPr="00CB6CBA" w:rsidRDefault="00CA3B52" w:rsidP="00CA3B52">
      <w:pPr>
        <w:pStyle w:val="enumlev1"/>
        <w:rPr>
          <w:lang w:val="en-US"/>
        </w:rPr>
      </w:pPr>
      <w:r w:rsidRPr="00CB6CBA">
        <w:rPr>
          <w:lang w:val="en-US"/>
        </w:rPr>
        <w:t>21.7</w:t>
      </w:r>
      <w:r w:rsidRPr="00CB6CBA">
        <w:rPr>
          <w:lang w:val="en-US"/>
        </w:rPr>
        <w:tab/>
        <w:t>The Annual Spectrum Fees for offering Earth Exploration Satellite service shall be Ten Thousand (10</w:t>
      </w:r>
      <w:r>
        <w:rPr>
          <w:lang w:val="en-US"/>
        </w:rPr>
        <w:t xml:space="preserve"> </w:t>
      </w:r>
      <w:r w:rsidRPr="00CB6CBA">
        <w:rPr>
          <w:lang w:val="en-US"/>
        </w:rPr>
        <w:t>000) Dirhams.</w:t>
      </w:r>
    </w:p>
    <w:p w:rsidR="00CA3B52" w:rsidRPr="00CB6CBA" w:rsidRDefault="00CA3B52" w:rsidP="00CA3B52">
      <w:pPr>
        <w:pStyle w:val="enumlev1"/>
        <w:rPr>
          <w:lang w:val="en-US"/>
        </w:rPr>
      </w:pPr>
      <w:r w:rsidRPr="00CB6CBA">
        <w:rPr>
          <w:lang w:val="en-US"/>
        </w:rPr>
        <w:t>21.8</w:t>
      </w:r>
      <w:r w:rsidRPr="00CB6CBA">
        <w:rPr>
          <w:lang w:val="en-US"/>
        </w:rPr>
        <w:tab/>
        <w:t>The Annual Spectrum Fees for HAPS shall be determined by the TRA based on the purpose of use.</w:t>
      </w:r>
    </w:p>
    <w:p w:rsidR="00CA3B52" w:rsidRPr="00CB6CBA" w:rsidRDefault="00CA3B52" w:rsidP="00CA3B52">
      <w:pPr>
        <w:pStyle w:val="ArtNo"/>
        <w:rPr>
          <w:lang w:val="en-US"/>
        </w:rPr>
      </w:pPr>
      <w:r w:rsidRPr="00CB6CBA">
        <w:rPr>
          <w:lang w:val="en-US"/>
        </w:rPr>
        <w:t>ARTICLE (22)</w:t>
      </w:r>
    </w:p>
    <w:p w:rsidR="00CA3B52" w:rsidRPr="00CB6CBA" w:rsidRDefault="00CA3B52" w:rsidP="00CA3B52">
      <w:pPr>
        <w:pStyle w:val="Arttitle"/>
        <w:rPr>
          <w:lang w:val="en-US"/>
        </w:rPr>
      </w:pPr>
      <w:bookmarkStart w:id="1977" w:name="_Toc237657993"/>
      <w:r w:rsidRPr="00CB6CBA">
        <w:rPr>
          <w:lang w:val="en-US"/>
        </w:rPr>
        <w:t>Spectrum Fees for Radionavigation stations</w:t>
      </w:r>
      <w:bookmarkEnd w:id="1977"/>
    </w:p>
    <w:p w:rsidR="00CA3B52" w:rsidRPr="00CB6CBA" w:rsidRDefault="00CA3B52" w:rsidP="00CA3B52">
      <w:pPr>
        <w:pStyle w:val="enumlev1"/>
        <w:rPr>
          <w:color w:val="000000"/>
          <w:lang w:val="en-US"/>
        </w:rPr>
      </w:pPr>
      <w:r w:rsidRPr="00CB6CBA">
        <w:rPr>
          <w:lang w:val="en-US"/>
        </w:rPr>
        <w:t>22.1</w:t>
      </w:r>
      <w:r w:rsidRPr="00CB6CBA">
        <w:rPr>
          <w:lang w:val="en-US"/>
        </w:rPr>
        <w:tab/>
        <w:t>The Annual Spectrum Fees for each Radionavigation Station shall be One Thousand (1</w:t>
      </w:r>
      <w:r>
        <w:rPr>
          <w:lang w:val="en-US"/>
        </w:rPr>
        <w:t> </w:t>
      </w:r>
      <w:r w:rsidRPr="00CB6CBA">
        <w:rPr>
          <w:lang w:val="en-US"/>
        </w:rPr>
        <w:t>000) Dirhams.</w:t>
      </w:r>
    </w:p>
    <w:p w:rsidR="00CA3B52" w:rsidRPr="00CB6CBA" w:rsidRDefault="00CA3B52" w:rsidP="00CA3B52">
      <w:pPr>
        <w:pStyle w:val="ArtNo"/>
        <w:rPr>
          <w:lang w:val="en-US"/>
        </w:rPr>
      </w:pPr>
      <w:r w:rsidRPr="00CB6CBA">
        <w:rPr>
          <w:lang w:val="en-US"/>
        </w:rPr>
        <w:t>ARTICLE (23)</w:t>
      </w:r>
    </w:p>
    <w:p w:rsidR="00CA3B52" w:rsidRPr="00CB6CBA" w:rsidRDefault="00CA3B52" w:rsidP="00CA3B52">
      <w:pPr>
        <w:pStyle w:val="Arttitle"/>
        <w:rPr>
          <w:lang w:val="en-US"/>
        </w:rPr>
      </w:pPr>
      <w:bookmarkStart w:id="1978" w:name="_Toc237657994"/>
      <w:r w:rsidRPr="00CB6CBA">
        <w:rPr>
          <w:lang w:val="en-US"/>
        </w:rPr>
        <w:t>Spectrum Fees for Radio Astronomy stations</w:t>
      </w:r>
      <w:bookmarkEnd w:id="1978"/>
    </w:p>
    <w:p w:rsidR="00CA3B52" w:rsidRPr="00CB6CBA" w:rsidRDefault="00CA3B52" w:rsidP="00CA3B52">
      <w:pPr>
        <w:pStyle w:val="enumlev1"/>
        <w:rPr>
          <w:color w:val="000000"/>
          <w:lang w:val="en-US"/>
        </w:rPr>
      </w:pPr>
      <w:r w:rsidRPr="00CB6CBA">
        <w:rPr>
          <w:lang w:val="en-US"/>
        </w:rPr>
        <w:t>23.1</w:t>
      </w:r>
      <w:r w:rsidRPr="00CB6CBA">
        <w:rPr>
          <w:lang w:val="en-US"/>
        </w:rPr>
        <w:tab/>
        <w:t>The Annual Spectrum Fees for each Radio Astronomy Station shall be Five Hundred (500) Dirhams.</w:t>
      </w:r>
    </w:p>
    <w:p w:rsidR="00CA3B52" w:rsidRPr="00CB6CBA" w:rsidRDefault="00CA3B52" w:rsidP="00AD6883">
      <w:pPr>
        <w:pStyle w:val="ArtNo"/>
        <w:rPr>
          <w:lang w:val="en-US"/>
        </w:rPr>
      </w:pPr>
      <w:r w:rsidRPr="00D2341F">
        <w:rPr>
          <w:lang w:val="en-US"/>
        </w:rPr>
        <w:lastRenderedPageBreak/>
        <w:t>ARTICLE</w:t>
      </w:r>
      <w:r w:rsidRPr="00CB6CBA">
        <w:rPr>
          <w:lang w:val="en-US"/>
        </w:rPr>
        <w:t xml:space="preserve"> (24)</w:t>
      </w:r>
    </w:p>
    <w:p w:rsidR="00CA3B52" w:rsidRPr="00CB6CBA" w:rsidRDefault="00CA3B52" w:rsidP="00CA3B52">
      <w:pPr>
        <w:pStyle w:val="Arttitle"/>
        <w:rPr>
          <w:lang w:val="en-US"/>
        </w:rPr>
      </w:pPr>
      <w:bookmarkStart w:id="1979" w:name="_Toc237657995"/>
      <w:r w:rsidRPr="00CB6CBA">
        <w:rPr>
          <w:lang w:val="en-US"/>
        </w:rPr>
        <w:t>Spectrum Fees for Radiolocation stations</w:t>
      </w:r>
      <w:bookmarkEnd w:id="1979"/>
    </w:p>
    <w:p w:rsidR="00CA3B52" w:rsidRDefault="00CA3B52" w:rsidP="00CA3B52">
      <w:pPr>
        <w:pStyle w:val="enumlev1"/>
        <w:rPr>
          <w:lang w:val="en-US"/>
        </w:rPr>
      </w:pPr>
      <w:r w:rsidRPr="00CB6CBA">
        <w:rPr>
          <w:lang w:val="en-US"/>
        </w:rPr>
        <w:t>24.1</w:t>
      </w:r>
      <w:r w:rsidRPr="00CB6CBA">
        <w:rPr>
          <w:lang w:val="en-US"/>
        </w:rPr>
        <w:tab/>
        <w:t>The Annual Spectrum Fees for each maritime coastal radar, weather radar, ground based radar, aeronautical surveillance, approach control, oceanic, surface movement and tracking shall be Five Thousand (5</w:t>
      </w:r>
      <w:r>
        <w:rPr>
          <w:lang w:val="en-US"/>
        </w:rPr>
        <w:t> </w:t>
      </w:r>
      <w:r w:rsidRPr="00CB6CBA">
        <w:rPr>
          <w:lang w:val="en-US"/>
        </w:rPr>
        <w:t>000) Dirhams.</w:t>
      </w:r>
    </w:p>
    <w:p w:rsidR="00CA3B52" w:rsidRPr="00CB6CBA" w:rsidRDefault="00CA3B52" w:rsidP="00AD6883">
      <w:pPr>
        <w:pStyle w:val="ArtNo"/>
        <w:rPr>
          <w:lang w:val="en-US"/>
        </w:rPr>
      </w:pPr>
      <w:r w:rsidRPr="00D2341F">
        <w:rPr>
          <w:lang w:val="en-US"/>
        </w:rPr>
        <w:t>ARTICLE</w:t>
      </w:r>
      <w:r w:rsidRPr="00CB6CBA">
        <w:rPr>
          <w:lang w:val="en-US"/>
        </w:rPr>
        <w:t xml:space="preserve"> (25)</w:t>
      </w:r>
    </w:p>
    <w:p w:rsidR="00CA3B52" w:rsidRPr="00CB6CBA" w:rsidRDefault="00CA3B52" w:rsidP="00CA3B52">
      <w:pPr>
        <w:pStyle w:val="Arttitle"/>
        <w:rPr>
          <w:lang w:val="en-US"/>
        </w:rPr>
      </w:pPr>
      <w:bookmarkStart w:id="1980" w:name="_Toc199215049"/>
      <w:bookmarkStart w:id="1981" w:name="_Toc237657996"/>
      <w:r w:rsidRPr="00CB6CBA">
        <w:rPr>
          <w:lang w:val="en-US"/>
        </w:rPr>
        <w:t>Spectrum Fees for Broadcasting Service</w:t>
      </w:r>
      <w:bookmarkEnd w:id="1980"/>
      <w:bookmarkEnd w:id="1981"/>
    </w:p>
    <w:p w:rsidR="00CA3B52" w:rsidRPr="00CB6CBA" w:rsidRDefault="00CA3B52" w:rsidP="00CA3B52">
      <w:pPr>
        <w:pStyle w:val="enumlev1"/>
        <w:rPr>
          <w:lang w:val="en-US"/>
        </w:rPr>
      </w:pPr>
      <w:bookmarkStart w:id="1982" w:name="_Toc195057825"/>
      <w:r w:rsidRPr="00F16213">
        <w:rPr>
          <w:lang w:val="en-US"/>
        </w:rPr>
        <w:t>25.1</w:t>
      </w:r>
      <w:r w:rsidRPr="00CB6CBA">
        <w:rPr>
          <w:lang w:val="en-US"/>
        </w:rPr>
        <w:tab/>
        <w:t>Terrestrial Sound and Television Broadcasting</w:t>
      </w:r>
      <w:bookmarkEnd w:id="1982"/>
    </w:p>
    <w:p w:rsidR="00CA3B52" w:rsidRPr="00CB6CBA" w:rsidRDefault="00CA3B52" w:rsidP="00CA3B52">
      <w:pPr>
        <w:pStyle w:val="enumlev1"/>
        <w:rPr>
          <w:b/>
          <w:lang w:val="en-US"/>
        </w:rPr>
      </w:pPr>
      <w:r w:rsidRPr="00CB6CBA">
        <w:rPr>
          <w:lang w:val="en-US"/>
        </w:rPr>
        <w:tab/>
        <w:t>Annual Spectrum Fees for one individual Broadcasting Station shall be calculated as follows:</w:t>
      </w:r>
    </w:p>
    <w:p w:rsidR="00CA3B52" w:rsidRPr="005C1150" w:rsidRDefault="00CA3B52" w:rsidP="00F65451">
      <w:pPr>
        <w:pStyle w:val="Blanc"/>
      </w:pPr>
    </w:p>
    <w:p w:rsidR="00CA3B52" w:rsidRPr="00CB6CBA" w:rsidRDefault="00AD6883" w:rsidP="00AD6883">
      <w:pPr>
        <w:pStyle w:val="Equation"/>
        <w:rPr>
          <w:lang w:val="en-US"/>
        </w:rPr>
      </w:pPr>
      <w:r>
        <w:rPr>
          <w:lang w:val="en-US"/>
        </w:rPr>
        <w:tab/>
      </w:r>
      <w:r>
        <w:rPr>
          <w:lang w:val="en-US"/>
        </w:rPr>
        <w:tab/>
      </w:r>
      <w:r w:rsidR="00CA3B52" w:rsidRPr="00CB6CBA">
        <w:rPr>
          <w:lang w:val="en-US"/>
        </w:rPr>
        <w:t xml:space="preserve">Spectrum Fees (per Station) = B + (P </w:t>
      </w:r>
      <w:r w:rsidR="00CA3B52">
        <w:rPr>
          <w:lang w:val="en-US"/>
        </w:rPr>
        <w:t>×</w:t>
      </w:r>
      <w:r w:rsidR="00CA3B52" w:rsidRPr="00CB6CBA">
        <w:rPr>
          <w:lang w:val="en-US"/>
        </w:rPr>
        <w:t xml:space="preserve"> ST </w:t>
      </w:r>
      <w:r w:rsidR="00CA3B52">
        <w:rPr>
          <w:lang w:val="en-US"/>
        </w:rPr>
        <w:t>×</w:t>
      </w:r>
      <w:r w:rsidR="00CA3B52" w:rsidRPr="00CB6CBA">
        <w:rPr>
          <w:lang w:val="en-US"/>
        </w:rPr>
        <w:t xml:space="preserve"> SZ </w:t>
      </w:r>
      <w:r w:rsidR="00CA3B52">
        <w:rPr>
          <w:lang w:val="en-US"/>
        </w:rPr>
        <w:t>×</w:t>
      </w:r>
      <w:r w:rsidR="00CA3B52" w:rsidRPr="00CB6CBA">
        <w:rPr>
          <w:lang w:val="en-US"/>
        </w:rPr>
        <w:t xml:space="preserve"> H </w:t>
      </w:r>
      <w:r w:rsidR="00CA3B52">
        <w:rPr>
          <w:lang w:val="en-US"/>
        </w:rPr>
        <w:t>×</w:t>
      </w:r>
      <w:r w:rsidR="00CA3B52" w:rsidRPr="00CB6CBA">
        <w:rPr>
          <w:lang w:val="en-US"/>
        </w:rPr>
        <w:t xml:space="preserve"> C)</w:t>
      </w:r>
    </w:p>
    <w:p w:rsidR="00CA3B52" w:rsidRDefault="00CA3B52" w:rsidP="00CA3B52">
      <w:pPr>
        <w:pStyle w:val="enumlev1"/>
        <w:rPr>
          <w:bCs/>
          <w:lang w:val="en-US"/>
        </w:rPr>
      </w:pPr>
      <w:r w:rsidRPr="00CB6CBA">
        <w:rPr>
          <w:bCs/>
          <w:lang w:val="en-US"/>
        </w:rPr>
        <w:t xml:space="preserve">where: </w:t>
      </w:r>
    </w:p>
    <w:p w:rsidR="00CA3B52" w:rsidRPr="00CB6CBA" w:rsidRDefault="00CA3B52" w:rsidP="00AD6883">
      <w:pPr>
        <w:pStyle w:val="enumlev1"/>
        <w:rPr>
          <w:lang w:val="en-US"/>
        </w:rPr>
      </w:pPr>
      <w:r>
        <w:rPr>
          <w:bCs/>
          <w:lang w:val="en-US"/>
        </w:rPr>
        <w:tab/>
      </w:r>
      <w:r w:rsidRPr="00CB6CBA">
        <w:rPr>
          <w:b/>
          <w:lang w:val="en-US"/>
        </w:rPr>
        <w:t xml:space="preserve">B </w:t>
      </w:r>
      <w:r w:rsidRPr="00F16213">
        <w:rPr>
          <w:bCs/>
          <w:lang w:val="en-US"/>
        </w:rPr>
        <w:t>=</w:t>
      </w:r>
      <w:r w:rsidRPr="00CB6CBA">
        <w:rPr>
          <w:b/>
          <w:lang w:val="en-US"/>
        </w:rPr>
        <w:t xml:space="preserve"> Basic Fee = </w:t>
      </w:r>
      <w:r w:rsidRPr="00CB6CBA">
        <w:rPr>
          <w:lang w:val="en-US"/>
        </w:rPr>
        <w:t>40</w:t>
      </w:r>
      <w:r>
        <w:rPr>
          <w:lang w:val="en-US"/>
        </w:rPr>
        <w:t>.</w:t>
      </w:r>
      <w:r w:rsidRPr="00CB6CBA">
        <w:rPr>
          <w:lang w:val="en-US"/>
        </w:rPr>
        <w:t xml:space="preserve">000 (Forty Thousands) Dirhams. </w:t>
      </w:r>
    </w:p>
    <w:p w:rsidR="00CA3B52" w:rsidRPr="00CB6CBA" w:rsidRDefault="00CA3B52" w:rsidP="00CA3B52">
      <w:pPr>
        <w:pStyle w:val="enumlev1"/>
        <w:rPr>
          <w:lang w:val="en-US"/>
        </w:rPr>
      </w:pPr>
      <w:r w:rsidRPr="00CB6CBA">
        <w:rPr>
          <w:b/>
          <w:lang w:val="en-US"/>
        </w:rPr>
        <w:tab/>
        <w:t xml:space="preserve">P </w:t>
      </w:r>
      <w:r w:rsidRPr="00E377DB">
        <w:rPr>
          <w:bCs/>
          <w:lang w:val="en-US"/>
        </w:rPr>
        <w:t>=</w:t>
      </w:r>
      <w:r w:rsidRPr="00CB6CBA">
        <w:rPr>
          <w:b/>
          <w:lang w:val="en-US"/>
        </w:rPr>
        <w:t xml:space="preserve"> Power Factor </w:t>
      </w:r>
      <w:r w:rsidRPr="00CB6CBA">
        <w:rPr>
          <w:lang w:val="en-US"/>
        </w:rPr>
        <w:t>shall be the power; expressed in kilowatts [KW] equals the transmitter output power (in case of LW, MW or SW transmissions) and Effective Radiated Power (</w:t>
      </w:r>
      <w:r>
        <w:rPr>
          <w:lang w:val="en-US"/>
        </w:rPr>
        <w:t>e.r.p.</w:t>
      </w:r>
      <w:r w:rsidRPr="00CB6CBA">
        <w:rPr>
          <w:lang w:val="en-US"/>
        </w:rPr>
        <w:t>) in all other cases.</w:t>
      </w:r>
    </w:p>
    <w:p w:rsidR="00CA3B52" w:rsidRDefault="00CA3B52" w:rsidP="00CA3B52">
      <w:pPr>
        <w:pStyle w:val="enumlev1"/>
        <w:rPr>
          <w:bCs/>
          <w:lang w:val="en-US"/>
        </w:rPr>
      </w:pPr>
      <w:r w:rsidRPr="00CB6CBA">
        <w:rPr>
          <w:b/>
          <w:lang w:val="en-US"/>
        </w:rPr>
        <w:tab/>
        <w:t xml:space="preserve">ST </w:t>
      </w:r>
      <w:r w:rsidRPr="00E377DB">
        <w:rPr>
          <w:bCs/>
          <w:lang w:val="en-US"/>
        </w:rPr>
        <w:t>=</w:t>
      </w:r>
      <w:r w:rsidRPr="00CB6CBA">
        <w:rPr>
          <w:b/>
          <w:lang w:val="en-US"/>
        </w:rPr>
        <w:t xml:space="preserve"> Service Type Factor </w:t>
      </w:r>
      <w:r w:rsidRPr="00CB6CBA">
        <w:rPr>
          <w:lang w:val="en-US"/>
        </w:rPr>
        <w:t>shall be calculated as</w:t>
      </w:r>
      <w:r w:rsidRPr="00CB6CBA">
        <w:rPr>
          <w:sz w:val="26"/>
          <w:szCs w:val="26"/>
          <w:lang w:val="en-US"/>
        </w:rPr>
        <w:t xml:space="preserve"> follows</w:t>
      </w:r>
      <w:r w:rsidRPr="00E377DB">
        <w:rPr>
          <w:bCs/>
          <w:sz w:val="26"/>
          <w:szCs w:val="26"/>
          <w:lang w:val="en-US"/>
        </w:rPr>
        <w:t>:</w:t>
      </w:r>
      <w:r w:rsidRPr="00E377DB">
        <w:rPr>
          <w:bCs/>
          <w:lang w:val="en-US"/>
        </w:rPr>
        <w:t xml:space="preserve"> </w:t>
      </w:r>
    </w:p>
    <w:p w:rsidR="00CA3B52" w:rsidRPr="00CB6CBA" w:rsidRDefault="00CA3B52" w:rsidP="001272DD">
      <w:pPr>
        <w:pStyle w:val="Note"/>
        <w:ind w:left="794" w:hanging="794"/>
        <w:rPr>
          <w:lang w:val="en-US"/>
        </w:rPr>
      </w:pPr>
      <w:r>
        <w:rPr>
          <w:lang w:val="en-US"/>
        </w:rPr>
        <w:tab/>
      </w:r>
      <w:r w:rsidRPr="00F45A5F">
        <w:rPr>
          <w:lang w:val="en-US"/>
        </w:rPr>
        <w:t>NOTE</w:t>
      </w:r>
      <w:r>
        <w:rPr>
          <w:lang w:val="en-US"/>
        </w:rPr>
        <w:t xml:space="preserve"> 1 – </w:t>
      </w:r>
      <w:r w:rsidRPr="00CB6CBA">
        <w:rPr>
          <w:lang w:val="en-US"/>
        </w:rPr>
        <w:t>In case of using Single Frequency Network (SFN) the complete network shall be treated as one single transmitter and the Basic Fee shall be charged once for that SFN whereas the remaining part of Spectrum Fees shall be charged per station basis.</w:t>
      </w:r>
    </w:p>
    <w:p w:rsidR="00CA3B52" w:rsidRDefault="00CA3B52" w:rsidP="00CA3B52">
      <w:pPr>
        <w:pStyle w:val="TableNo"/>
        <w:rPr>
          <w:lang w:val="en-US"/>
        </w:rPr>
      </w:pPr>
      <w:r w:rsidRPr="00CB6CBA">
        <w:rPr>
          <w:lang w:val="en-US"/>
        </w:rPr>
        <w:t xml:space="preserve">TABLE </w:t>
      </w:r>
      <w:r>
        <w:rPr>
          <w:lang w:val="en-US"/>
        </w:rPr>
        <w:t>1</w:t>
      </w:r>
    </w:p>
    <w:p w:rsidR="00CA3B52" w:rsidRDefault="00CA3B52" w:rsidP="00CA3B52">
      <w:pPr>
        <w:pStyle w:val="Tabletitle"/>
        <w:rPr>
          <w:lang w:val="en-US"/>
        </w:rPr>
      </w:pPr>
      <w:r w:rsidRPr="00CB6CBA">
        <w:rPr>
          <w:lang w:val="en-US"/>
        </w:rPr>
        <w:t>Definition of Service Type Factors (ST) for Sound Broadcasting Services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800"/>
        <w:gridCol w:w="2430"/>
        <w:gridCol w:w="1530"/>
        <w:gridCol w:w="1769"/>
      </w:tblGrid>
      <w:tr w:rsidR="00CA3B52" w:rsidRPr="00CB6CBA" w:rsidTr="00215E02">
        <w:trPr>
          <w:trHeight w:val="454"/>
          <w:jc w:val="center"/>
        </w:trPr>
        <w:tc>
          <w:tcPr>
            <w:tcW w:w="7529" w:type="dxa"/>
            <w:gridSpan w:val="4"/>
            <w:vAlign w:val="center"/>
          </w:tcPr>
          <w:p w:rsidR="00CA3B52" w:rsidRPr="00CB6CBA" w:rsidRDefault="00CA3B52" w:rsidP="00F65451">
            <w:pPr>
              <w:pStyle w:val="Tablehead"/>
              <w:rPr>
                <w:lang w:val="en-US"/>
              </w:rPr>
            </w:pPr>
            <w:r w:rsidRPr="00CB6CBA">
              <w:rPr>
                <w:lang w:val="en-US"/>
              </w:rPr>
              <w:t>Sound Broadcasting Service</w:t>
            </w:r>
          </w:p>
        </w:tc>
      </w:tr>
      <w:tr w:rsidR="00CA3B52" w:rsidRPr="00CB6CBA" w:rsidTr="00215E02">
        <w:trPr>
          <w:trHeight w:val="454"/>
          <w:jc w:val="center"/>
        </w:trPr>
        <w:tc>
          <w:tcPr>
            <w:tcW w:w="1800" w:type="dxa"/>
            <w:vAlign w:val="center"/>
          </w:tcPr>
          <w:p w:rsidR="00CA3B52" w:rsidRPr="00CB6CBA" w:rsidRDefault="00CA3B52" w:rsidP="00F65451">
            <w:pPr>
              <w:pStyle w:val="Tablehead"/>
              <w:rPr>
                <w:lang w:val="en-US"/>
              </w:rPr>
            </w:pPr>
            <w:r w:rsidRPr="00CB6CBA">
              <w:rPr>
                <w:lang w:val="en-US"/>
              </w:rPr>
              <w:t>Service Type</w:t>
            </w:r>
          </w:p>
        </w:tc>
        <w:tc>
          <w:tcPr>
            <w:tcW w:w="2430" w:type="dxa"/>
            <w:vAlign w:val="center"/>
          </w:tcPr>
          <w:p w:rsidR="00CA3B52" w:rsidRPr="00CB6CBA" w:rsidRDefault="00CA3B52" w:rsidP="00F65451">
            <w:pPr>
              <w:pStyle w:val="Tablehead"/>
              <w:rPr>
                <w:lang w:val="en-US"/>
              </w:rPr>
            </w:pPr>
            <w:r w:rsidRPr="00CB6CBA">
              <w:rPr>
                <w:lang w:val="en-US"/>
              </w:rPr>
              <w:t>Frequency Range</w:t>
            </w:r>
          </w:p>
        </w:tc>
        <w:tc>
          <w:tcPr>
            <w:tcW w:w="1530" w:type="dxa"/>
            <w:vAlign w:val="center"/>
          </w:tcPr>
          <w:p w:rsidR="00CA3B52" w:rsidRPr="00CB6CBA" w:rsidRDefault="00CA3B52" w:rsidP="00F65451">
            <w:pPr>
              <w:pStyle w:val="Tablehead"/>
              <w:rPr>
                <w:lang w:val="en-US"/>
              </w:rPr>
            </w:pPr>
            <w:r w:rsidRPr="00CB6CBA">
              <w:rPr>
                <w:lang w:val="en-US"/>
              </w:rPr>
              <w:t>Bandwidth</w:t>
            </w:r>
          </w:p>
        </w:tc>
        <w:tc>
          <w:tcPr>
            <w:tcW w:w="1769" w:type="dxa"/>
            <w:vAlign w:val="center"/>
          </w:tcPr>
          <w:p w:rsidR="00CA3B52" w:rsidRPr="00CB6CBA" w:rsidRDefault="00CA3B52" w:rsidP="00F65451">
            <w:pPr>
              <w:pStyle w:val="Tablehead"/>
              <w:rPr>
                <w:lang w:val="en-US"/>
              </w:rPr>
            </w:pPr>
            <w:r w:rsidRPr="00CB6CBA">
              <w:rPr>
                <w:lang w:val="en-US"/>
              </w:rPr>
              <w:t>Service Type Factor (ST)</w:t>
            </w:r>
          </w:p>
        </w:tc>
      </w:tr>
      <w:tr w:rsidR="00CA3B52" w:rsidRPr="00CB6CBA" w:rsidTr="002D1D5C">
        <w:trPr>
          <w:trHeight w:val="454"/>
          <w:jc w:val="center"/>
        </w:trPr>
        <w:tc>
          <w:tcPr>
            <w:tcW w:w="1800" w:type="dxa"/>
            <w:vMerge w:val="restart"/>
          </w:tcPr>
          <w:p w:rsidR="00CA3B52" w:rsidRPr="00CB6CBA" w:rsidRDefault="00CA3B52" w:rsidP="00F65451">
            <w:pPr>
              <w:pStyle w:val="Tabletext"/>
              <w:jc w:val="left"/>
              <w:rPr>
                <w:lang w:val="en-US"/>
              </w:rPr>
            </w:pPr>
            <w:r w:rsidRPr="00CB6CBA">
              <w:rPr>
                <w:lang w:val="en-US"/>
              </w:rPr>
              <w:t>LF/MF Sound Broadcasting</w:t>
            </w:r>
          </w:p>
        </w:tc>
        <w:tc>
          <w:tcPr>
            <w:tcW w:w="2430" w:type="dxa"/>
          </w:tcPr>
          <w:p w:rsidR="00CA3B52" w:rsidRPr="00CB6CBA" w:rsidRDefault="00CA3B52" w:rsidP="00F65451">
            <w:pPr>
              <w:pStyle w:val="Tabletext"/>
              <w:jc w:val="center"/>
              <w:rPr>
                <w:lang w:val="en-US"/>
              </w:rPr>
            </w:pPr>
            <w:r w:rsidRPr="00CB6CBA">
              <w:rPr>
                <w:lang w:val="en-US"/>
              </w:rPr>
              <w:t>148.5</w:t>
            </w:r>
            <w:r>
              <w:rPr>
                <w:lang w:val="en-US"/>
              </w:rPr>
              <w:t>-</w:t>
            </w:r>
            <w:r w:rsidRPr="00CB6CBA">
              <w:rPr>
                <w:lang w:val="en-US"/>
              </w:rPr>
              <w:t>283.5 kHz</w:t>
            </w:r>
          </w:p>
        </w:tc>
        <w:tc>
          <w:tcPr>
            <w:tcW w:w="1530" w:type="dxa"/>
          </w:tcPr>
          <w:p w:rsidR="00CA3B52" w:rsidRPr="00CB6CBA" w:rsidRDefault="00CA3B52" w:rsidP="00F65451">
            <w:pPr>
              <w:pStyle w:val="Tabletext"/>
              <w:jc w:val="center"/>
              <w:rPr>
                <w:lang w:val="en-US"/>
              </w:rPr>
            </w:pPr>
            <w:r w:rsidRPr="00CB6CBA">
              <w:rPr>
                <w:lang w:val="en-US"/>
              </w:rPr>
              <w:t>9 kHz</w:t>
            </w:r>
          </w:p>
        </w:tc>
        <w:tc>
          <w:tcPr>
            <w:tcW w:w="1769" w:type="dxa"/>
            <w:vMerge w:val="restart"/>
          </w:tcPr>
          <w:p w:rsidR="00CA3B52" w:rsidRPr="00CB6CBA" w:rsidRDefault="00CA3B52" w:rsidP="00F65451">
            <w:pPr>
              <w:pStyle w:val="Tabletext"/>
              <w:jc w:val="center"/>
              <w:rPr>
                <w:lang w:val="en-US"/>
              </w:rPr>
            </w:pPr>
            <w:r w:rsidRPr="00CB6CBA">
              <w:rPr>
                <w:lang w:val="en-US"/>
              </w:rPr>
              <w:t>4.5</w:t>
            </w:r>
          </w:p>
        </w:tc>
      </w:tr>
      <w:tr w:rsidR="00CA3B52" w:rsidRPr="00CB6CBA" w:rsidTr="002D1D5C">
        <w:trPr>
          <w:trHeight w:val="454"/>
          <w:jc w:val="center"/>
        </w:trPr>
        <w:tc>
          <w:tcPr>
            <w:tcW w:w="1800" w:type="dxa"/>
            <w:vMerge/>
          </w:tcPr>
          <w:p w:rsidR="00CA3B52" w:rsidRPr="00CB6CBA" w:rsidRDefault="00CA3B52" w:rsidP="00F65451">
            <w:pPr>
              <w:pStyle w:val="Tabletext"/>
              <w:jc w:val="left"/>
              <w:rPr>
                <w:lang w:val="en-US"/>
              </w:rPr>
            </w:pPr>
          </w:p>
        </w:tc>
        <w:tc>
          <w:tcPr>
            <w:tcW w:w="2430" w:type="dxa"/>
          </w:tcPr>
          <w:p w:rsidR="00CA3B52" w:rsidRPr="00CB6CBA" w:rsidRDefault="00CA3B52" w:rsidP="00F65451">
            <w:pPr>
              <w:pStyle w:val="Tabletext"/>
              <w:jc w:val="center"/>
              <w:rPr>
                <w:lang w:val="en-US"/>
              </w:rPr>
            </w:pPr>
            <w:r w:rsidRPr="00CB6CBA">
              <w:rPr>
                <w:lang w:val="en-US"/>
              </w:rPr>
              <w:t>526.5</w:t>
            </w:r>
            <w:r>
              <w:rPr>
                <w:lang w:val="en-US"/>
              </w:rPr>
              <w:t>-</w:t>
            </w:r>
            <w:r w:rsidRPr="00CB6CBA">
              <w:rPr>
                <w:lang w:val="en-US"/>
              </w:rPr>
              <w:t>1,606.5 kHz</w:t>
            </w:r>
          </w:p>
        </w:tc>
        <w:tc>
          <w:tcPr>
            <w:tcW w:w="1530" w:type="dxa"/>
          </w:tcPr>
          <w:p w:rsidR="00CA3B52" w:rsidRPr="00CB6CBA" w:rsidRDefault="00CA3B52" w:rsidP="00F65451">
            <w:pPr>
              <w:pStyle w:val="Tabletext"/>
              <w:jc w:val="center"/>
              <w:rPr>
                <w:lang w:val="en-US"/>
              </w:rPr>
            </w:pPr>
            <w:r w:rsidRPr="00CB6CBA">
              <w:rPr>
                <w:lang w:val="en-US"/>
              </w:rPr>
              <w:t>9 kHz</w:t>
            </w:r>
          </w:p>
        </w:tc>
        <w:tc>
          <w:tcPr>
            <w:tcW w:w="1769" w:type="dxa"/>
            <w:vMerge/>
          </w:tcPr>
          <w:p w:rsidR="00CA3B52" w:rsidRPr="00CB6CBA" w:rsidRDefault="00CA3B52" w:rsidP="00F65451">
            <w:pPr>
              <w:pStyle w:val="Tabletext"/>
              <w:jc w:val="center"/>
              <w:rPr>
                <w:lang w:val="en-US"/>
              </w:rPr>
            </w:pPr>
          </w:p>
        </w:tc>
      </w:tr>
      <w:tr w:rsidR="00CA3B52" w:rsidRPr="00CB6CBA" w:rsidTr="002D1D5C">
        <w:trPr>
          <w:trHeight w:val="454"/>
          <w:jc w:val="center"/>
        </w:trPr>
        <w:tc>
          <w:tcPr>
            <w:tcW w:w="1800" w:type="dxa"/>
            <w:vMerge w:val="restart"/>
          </w:tcPr>
          <w:p w:rsidR="00CA3B52" w:rsidRPr="00CB6CBA" w:rsidRDefault="00CA3B52" w:rsidP="00F65451">
            <w:pPr>
              <w:pStyle w:val="Tabletext"/>
              <w:jc w:val="left"/>
              <w:rPr>
                <w:lang w:val="en-US"/>
              </w:rPr>
            </w:pPr>
            <w:r w:rsidRPr="00CB6CBA">
              <w:rPr>
                <w:lang w:val="en-US"/>
              </w:rPr>
              <w:t>VHF Sound Broadcasting</w:t>
            </w:r>
          </w:p>
        </w:tc>
        <w:tc>
          <w:tcPr>
            <w:tcW w:w="2430" w:type="dxa"/>
          </w:tcPr>
          <w:p w:rsidR="00CA3B52" w:rsidRPr="00CB6CBA" w:rsidRDefault="00CA3B52" w:rsidP="00F65451">
            <w:pPr>
              <w:pStyle w:val="Tabletext"/>
              <w:jc w:val="center"/>
              <w:rPr>
                <w:lang w:val="en-US"/>
              </w:rPr>
            </w:pPr>
            <w:r w:rsidRPr="00CB6CBA">
              <w:rPr>
                <w:lang w:val="en-US"/>
              </w:rPr>
              <w:t>87.5</w:t>
            </w:r>
            <w:r>
              <w:rPr>
                <w:lang w:val="en-US"/>
              </w:rPr>
              <w:t>-</w:t>
            </w:r>
            <w:r w:rsidRPr="00CB6CBA">
              <w:rPr>
                <w:lang w:val="en-US"/>
              </w:rPr>
              <w:t>108 MHz</w:t>
            </w:r>
          </w:p>
        </w:tc>
        <w:tc>
          <w:tcPr>
            <w:tcW w:w="1530" w:type="dxa"/>
          </w:tcPr>
          <w:p w:rsidR="00CA3B52" w:rsidRPr="00CB6CBA" w:rsidRDefault="00CA3B52" w:rsidP="00F65451">
            <w:pPr>
              <w:pStyle w:val="Tabletext"/>
              <w:jc w:val="center"/>
              <w:rPr>
                <w:lang w:val="en-US"/>
              </w:rPr>
            </w:pPr>
            <w:r w:rsidRPr="00CB6CBA">
              <w:rPr>
                <w:lang w:val="en-US"/>
              </w:rPr>
              <w:t>200 kHz</w:t>
            </w:r>
          </w:p>
        </w:tc>
        <w:tc>
          <w:tcPr>
            <w:tcW w:w="1769" w:type="dxa"/>
          </w:tcPr>
          <w:p w:rsidR="00CA3B52" w:rsidRPr="00CB6CBA" w:rsidRDefault="00CA3B52" w:rsidP="00F65451">
            <w:pPr>
              <w:pStyle w:val="Tabletext"/>
              <w:jc w:val="center"/>
              <w:rPr>
                <w:lang w:val="en-US"/>
              </w:rPr>
            </w:pPr>
            <w:r w:rsidRPr="00CB6CBA">
              <w:rPr>
                <w:lang w:val="en-US"/>
              </w:rPr>
              <w:t>11</w:t>
            </w:r>
          </w:p>
        </w:tc>
      </w:tr>
      <w:tr w:rsidR="00CA3B52" w:rsidRPr="00CB6CBA" w:rsidTr="002D1D5C">
        <w:trPr>
          <w:trHeight w:val="454"/>
          <w:jc w:val="center"/>
        </w:trPr>
        <w:tc>
          <w:tcPr>
            <w:tcW w:w="1800" w:type="dxa"/>
            <w:vMerge/>
          </w:tcPr>
          <w:p w:rsidR="00CA3B52" w:rsidRPr="00CB6CBA" w:rsidDel="00192A8E" w:rsidRDefault="00CA3B52" w:rsidP="00F65451">
            <w:pPr>
              <w:pStyle w:val="Tabletext"/>
              <w:rPr>
                <w:lang w:val="en-US"/>
              </w:rPr>
            </w:pPr>
          </w:p>
        </w:tc>
        <w:tc>
          <w:tcPr>
            <w:tcW w:w="2430" w:type="dxa"/>
          </w:tcPr>
          <w:p w:rsidR="00CA3B52" w:rsidRPr="00CB6CBA" w:rsidRDefault="00CA3B52" w:rsidP="00F65451">
            <w:pPr>
              <w:pStyle w:val="Tabletext"/>
              <w:jc w:val="center"/>
              <w:rPr>
                <w:lang w:val="en-US"/>
              </w:rPr>
            </w:pPr>
            <w:r w:rsidRPr="00CB6CBA">
              <w:rPr>
                <w:lang w:val="en-US"/>
              </w:rPr>
              <w:t>174</w:t>
            </w:r>
            <w:r>
              <w:rPr>
                <w:lang w:val="en-US"/>
              </w:rPr>
              <w:t>-</w:t>
            </w:r>
            <w:r w:rsidRPr="00CB6CBA">
              <w:rPr>
                <w:lang w:val="en-US"/>
              </w:rPr>
              <w:t>230 MHz</w:t>
            </w:r>
          </w:p>
        </w:tc>
        <w:tc>
          <w:tcPr>
            <w:tcW w:w="1530" w:type="dxa"/>
          </w:tcPr>
          <w:p w:rsidR="00CA3B52" w:rsidRPr="00CB6CBA" w:rsidRDefault="00CA3B52" w:rsidP="00F65451">
            <w:pPr>
              <w:pStyle w:val="Tabletext"/>
              <w:jc w:val="center"/>
              <w:rPr>
                <w:lang w:val="en-US"/>
              </w:rPr>
            </w:pPr>
            <w:r w:rsidRPr="00CB6CBA">
              <w:rPr>
                <w:lang w:val="en-US"/>
              </w:rPr>
              <w:t>1.536 MHz</w:t>
            </w:r>
          </w:p>
        </w:tc>
        <w:tc>
          <w:tcPr>
            <w:tcW w:w="1769" w:type="dxa"/>
          </w:tcPr>
          <w:p w:rsidR="00CA3B52" w:rsidRPr="00CB6CBA" w:rsidRDefault="00CA3B52" w:rsidP="00F65451">
            <w:pPr>
              <w:pStyle w:val="Tabletext"/>
              <w:jc w:val="center"/>
              <w:rPr>
                <w:lang w:val="en-US"/>
              </w:rPr>
            </w:pPr>
            <w:r w:rsidRPr="00CB6CBA">
              <w:rPr>
                <w:lang w:val="en-US"/>
              </w:rPr>
              <w:t>21</w:t>
            </w:r>
          </w:p>
        </w:tc>
      </w:tr>
    </w:tbl>
    <w:p w:rsidR="00CA3B52" w:rsidRDefault="00CA3B52" w:rsidP="00CA3B52">
      <w:pPr>
        <w:pStyle w:val="TableNo"/>
        <w:rPr>
          <w:lang w:val="en-US"/>
        </w:rPr>
      </w:pPr>
      <w:r w:rsidRPr="00CB6CBA">
        <w:rPr>
          <w:lang w:val="en-US"/>
        </w:rPr>
        <w:lastRenderedPageBreak/>
        <w:t xml:space="preserve">TABLE </w:t>
      </w:r>
      <w:r>
        <w:rPr>
          <w:lang w:val="en-US"/>
        </w:rPr>
        <w:t>2</w:t>
      </w:r>
    </w:p>
    <w:p w:rsidR="00CA3B52" w:rsidRPr="00CB6CBA" w:rsidRDefault="00CA3B52" w:rsidP="00CA3B52">
      <w:pPr>
        <w:pStyle w:val="Tabletitle"/>
        <w:rPr>
          <w:lang w:val="en-US"/>
        </w:rPr>
      </w:pPr>
      <w:r w:rsidRPr="00CB6CBA">
        <w:rPr>
          <w:lang w:val="en-US"/>
        </w:rPr>
        <w:t>Definition of Service Type Factors (ST) for TV Broadcasting Services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1660"/>
        <w:gridCol w:w="2568"/>
        <w:gridCol w:w="1443"/>
        <w:gridCol w:w="2117"/>
      </w:tblGrid>
      <w:tr w:rsidR="00CA3B52" w:rsidRPr="00CB6CBA" w:rsidTr="00215E02">
        <w:trPr>
          <w:trHeight w:val="397"/>
          <w:jc w:val="center"/>
        </w:trPr>
        <w:tc>
          <w:tcPr>
            <w:tcW w:w="7788" w:type="dxa"/>
            <w:gridSpan w:val="4"/>
            <w:tcBorders>
              <w:bottom w:val="single" w:sz="2" w:space="0" w:color="auto"/>
            </w:tcBorders>
            <w:vAlign w:val="center"/>
          </w:tcPr>
          <w:p w:rsidR="00CA3B52" w:rsidRPr="00CB6CBA" w:rsidRDefault="00CA3B52" w:rsidP="00F65451">
            <w:pPr>
              <w:pStyle w:val="Tablehead"/>
              <w:rPr>
                <w:lang w:val="en-US"/>
              </w:rPr>
            </w:pPr>
            <w:r w:rsidRPr="00CB6CBA">
              <w:rPr>
                <w:lang w:val="en-US"/>
              </w:rPr>
              <w:t>TV Broadcasting Service</w:t>
            </w:r>
          </w:p>
        </w:tc>
      </w:tr>
      <w:tr w:rsidR="00CA3B52" w:rsidRPr="00CB6CBA" w:rsidTr="00215E02">
        <w:trPr>
          <w:trHeight w:val="397"/>
          <w:jc w:val="center"/>
        </w:trPr>
        <w:tc>
          <w:tcPr>
            <w:tcW w:w="1660" w:type="dxa"/>
            <w:tcBorders>
              <w:right w:val="single" w:sz="2" w:space="0" w:color="auto"/>
            </w:tcBorders>
            <w:vAlign w:val="center"/>
          </w:tcPr>
          <w:p w:rsidR="00CA3B52" w:rsidRPr="00CB6CBA" w:rsidRDefault="00CA3B52" w:rsidP="00F65451">
            <w:pPr>
              <w:pStyle w:val="Tablehead"/>
              <w:rPr>
                <w:lang w:val="en-US"/>
              </w:rPr>
            </w:pPr>
            <w:r w:rsidRPr="00CB6CBA">
              <w:rPr>
                <w:lang w:val="en-US"/>
              </w:rPr>
              <w:t>Service Type</w:t>
            </w:r>
          </w:p>
        </w:tc>
        <w:tc>
          <w:tcPr>
            <w:tcW w:w="2568" w:type="dxa"/>
            <w:tcBorders>
              <w:left w:val="single" w:sz="2" w:space="0" w:color="auto"/>
              <w:right w:val="single" w:sz="2" w:space="0" w:color="auto"/>
            </w:tcBorders>
            <w:vAlign w:val="center"/>
          </w:tcPr>
          <w:p w:rsidR="00CA3B52" w:rsidRPr="00CB6CBA" w:rsidRDefault="00CA3B52" w:rsidP="00F65451">
            <w:pPr>
              <w:pStyle w:val="Tablehead"/>
              <w:rPr>
                <w:lang w:val="en-US"/>
              </w:rPr>
            </w:pPr>
            <w:r w:rsidRPr="00CB6CBA">
              <w:rPr>
                <w:lang w:val="en-US"/>
              </w:rPr>
              <w:t>Frequency Range</w:t>
            </w:r>
          </w:p>
        </w:tc>
        <w:tc>
          <w:tcPr>
            <w:tcW w:w="1443" w:type="dxa"/>
            <w:tcBorders>
              <w:left w:val="single" w:sz="2" w:space="0" w:color="auto"/>
              <w:right w:val="single" w:sz="2" w:space="0" w:color="auto"/>
            </w:tcBorders>
            <w:vAlign w:val="center"/>
          </w:tcPr>
          <w:p w:rsidR="00CA3B52" w:rsidRPr="00CB6CBA" w:rsidRDefault="00CA3B52" w:rsidP="00F65451">
            <w:pPr>
              <w:pStyle w:val="Tablehead"/>
              <w:rPr>
                <w:lang w:val="en-US"/>
              </w:rPr>
            </w:pPr>
            <w:r w:rsidRPr="00CB6CBA">
              <w:rPr>
                <w:lang w:val="en-US"/>
              </w:rPr>
              <w:t>Bandwidth</w:t>
            </w:r>
          </w:p>
        </w:tc>
        <w:tc>
          <w:tcPr>
            <w:tcW w:w="2117" w:type="dxa"/>
            <w:tcBorders>
              <w:left w:val="single" w:sz="2" w:space="0" w:color="auto"/>
            </w:tcBorders>
            <w:vAlign w:val="center"/>
          </w:tcPr>
          <w:p w:rsidR="00CA3B52" w:rsidRPr="00CB6CBA" w:rsidRDefault="00CA3B52" w:rsidP="00F65451">
            <w:pPr>
              <w:pStyle w:val="Tablehead"/>
              <w:rPr>
                <w:lang w:val="en-US"/>
              </w:rPr>
            </w:pPr>
            <w:r w:rsidRPr="00CB6CBA">
              <w:rPr>
                <w:lang w:val="en-US"/>
              </w:rPr>
              <w:t>Service Type Factor (ST)</w:t>
            </w:r>
          </w:p>
        </w:tc>
      </w:tr>
      <w:tr w:rsidR="00CA3B52" w:rsidRPr="00CB6CBA" w:rsidTr="002D1D5C">
        <w:trPr>
          <w:trHeight w:val="397"/>
          <w:jc w:val="center"/>
        </w:trPr>
        <w:tc>
          <w:tcPr>
            <w:tcW w:w="1660" w:type="dxa"/>
            <w:vMerge w:val="restart"/>
            <w:tcBorders>
              <w:right w:val="single" w:sz="2" w:space="0" w:color="auto"/>
            </w:tcBorders>
          </w:tcPr>
          <w:p w:rsidR="00CA3B52" w:rsidRPr="00CB6CBA" w:rsidRDefault="00CA3B52" w:rsidP="00F65451">
            <w:pPr>
              <w:pStyle w:val="Tabletext"/>
              <w:jc w:val="left"/>
              <w:rPr>
                <w:lang w:val="en-US"/>
              </w:rPr>
            </w:pPr>
            <w:r w:rsidRPr="00CB6CBA">
              <w:rPr>
                <w:lang w:val="en-US"/>
              </w:rPr>
              <w:t>Terrestrial Analogue TV</w:t>
            </w:r>
          </w:p>
        </w:tc>
        <w:tc>
          <w:tcPr>
            <w:tcW w:w="2568" w:type="dxa"/>
            <w:tcBorders>
              <w:left w:val="single" w:sz="2" w:space="0" w:color="auto"/>
              <w:right w:val="single" w:sz="2" w:space="0" w:color="auto"/>
            </w:tcBorders>
          </w:tcPr>
          <w:p w:rsidR="00CA3B52" w:rsidRPr="00CB6CBA" w:rsidRDefault="00CA3B52" w:rsidP="00F65451">
            <w:pPr>
              <w:pStyle w:val="Tabletext"/>
              <w:jc w:val="center"/>
              <w:rPr>
                <w:lang w:val="en-US"/>
              </w:rPr>
            </w:pPr>
            <w:r w:rsidRPr="00CB6CBA">
              <w:rPr>
                <w:lang w:val="en-US"/>
              </w:rPr>
              <w:t>47</w:t>
            </w:r>
            <w:r>
              <w:rPr>
                <w:lang w:val="en-US"/>
              </w:rPr>
              <w:t>-</w:t>
            </w:r>
            <w:r w:rsidRPr="00CB6CBA">
              <w:rPr>
                <w:lang w:val="en-US"/>
              </w:rPr>
              <w:t>68 MHz</w:t>
            </w:r>
          </w:p>
        </w:tc>
        <w:tc>
          <w:tcPr>
            <w:tcW w:w="1443" w:type="dxa"/>
            <w:vMerge w:val="restart"/>
            <w:tcBorders>
              <w:left w:val="single" w:sz="2" w:space="0" w:color="auto"/>
              <w:right w:val="single" w:sz="2" w:space="0" w:color="auto"/>
            </w:tcBorders>
          </w:tcPr>
          <w:p w:rsidR="00CA3B52" w:rsidRPr="00CB6CBA" w:rsidRDefault="00CA3B52" w:rsidP="00F65451">
            <w:pPr>
              <w:pStyle w:val="Tabletext"/>
              <w:jc w:val="center"/>
              <w:rPr>
                <w:lang w:val="en-US"/>
              </w:rPr>
            </w:pPr>
            <w:r w:rsidRPr="00CB6CBA">
              <w:rPr>
                <w:lang w:val="en-US"/>
              </w:rPr>
              <w:t>7 MHz</w:t>
            </w:r>
          </w:p>
        </w:tc>
        <w:tc>
          <w:tcPr>
            <w:tcW w:w="2117" w:type="dxa"/>
            <w:vMerge w:val="restart"/>
            <w:tcBorders>
              <w:left w:val="single" w:sz="2" w:space="0" w:color="auto"/>
            </w:tcBorders>
          </w:tcPr>
          <w:p w:rsidR="00CA3B52" w:rsidRPr="00CB6CBA" w:rsidRDefault="00CA3B52" w:rsidP="00F65451">
            <w:pPr>
              <w:pStyle w:val="Tabletext"/>
              <w:jc w:val="center"/>
              <w:rPr>
                <w:lang w:val="en-US"/>
              </w:rPr>
            </w:pPr>
            <w:r w:rsidRPr="00CB6CBA">
              <w:rPr>
                <w:lang w:val="en-US"/>
              </w:rPr>
              <w:t>12</w:t>
            </w:r>
          </w:p>
        </w:tc>
      </w:tr>
      <w:tr w:rsidR="00CA3B52" w:rsidRPr="00CB6CBA" w:rsidTr="002D1D5C">
        <w:trPr>
          <w:trHeight w:val="397"/>
          <w:jc w:val="center"/>
        </w:trPr>
        <w:tc>
          <w:tcPr>
            <w:tcW w:w="1660" w:type="dxa"/>
            <w:vMerge/>
            <w:tcBorders>
              <w:right w:val="single" w:sz="2" w:space="0" w:color="auto"/>
            </w:tcBorders>
            <w:vAlign w:val="center"/>
          </w:tcPr>
          <w:p w:rsidR="00CA3B52" w:rsidRPr="00CB6CBA" w:rsidRDefault="00CA3B52" w:rsidP="00F65451">
            <w:pPr>
              <w:pStyle w:val="Tabletext"/>
              <w:jc w:val="left"/>
              <w:rPr>
                <w:lang w:val="en-US"/>
              </w:rPr>
            </w:pPr>
          </w:p>
        </w:tc>
        <w:tc>
          <w:tcPr>
            <w:tcW w:w="2568" w:type="dxa"/>
            <w:tcBorders>
              <w:left w:val="single" w:sz="2" w:space="0" w:color="auto"/>
              <w:right w:val="single" w:sz="2" w:space="0" w:color="auto"/>
            </w:tcBorders>
          </w:tcPr>
          <w:p w:rsidR="00CA3B52" w:rsidRPr="00CB6CBA" w:rsidRDefault="00CA3B52" w:rsidP="00F65451">
            <w:pPr>
              <w:pStyle w:val="Tabletext"/>
              <w:jc w:val="center"/>
              <w:rPr>
                <w:lang w:val="en-US"/>
              </w:rPr>
            </w:pPr>
            <w:r w:rsidRPr="00CB6CBA">
              <w:rPr>
                <w:lang w:val="en-US"/>
              </w:rPr>
              <w:t>174</w:t>
            </w:r>
            <w:r>
              <w:rPr>
                <w:lang w:val="en-US"/>
              </w:rPr>
              <w:t>-</w:t>
            </w:r>
            <w:r w:rsidRPr="00CB6CBA">
              <w:rPr>
                <w:lang w:val="en-US"/>
              </w:rPr>
              <w:t>230 MHz</w:t>
            </w:r>
          </w:p>
        </w:tc>
        <w:tc>
          <w:tcPr>
            <w:tcW w:w="1443" w:type="dxa"/>
            <w:vMerge/>
            <w:tcBorders>
              <w:left w:val="single" w:sz="2" w:space="0" w:color="auto"/>
              <w:right w:val="single" w:sz="2" w:space="0" w:color="auto"/>
            </w:tcBorders>
          </w:tcPr>
          <w:p w:rsidR="00CA3B52" w:rsidRPr="00CB6CBA" w:rsidRDefault="00CA3B52" w:rsidP="00F65451">
            <w:pPr>
              <w:pStyle w:val="Tabletext"/>
              <w:jc w:val="center"/>
              <w:rPr>
                <w:lang w:val="en-US"/>
              </w:rPr>
            </w:pPr>
          </w:p>
        </w:tc>
        <w:tc>
          <w:tcPr>
            <w:tcW w:w="2117" w:type="dxa"/>
            <w:vMerge/>
            <w:tcBorders>
              <w:left w:val="single" w:sz="2" w:space="0" w:color="auto"/>
            </w:tcBorders>
          </w:tcPr>
          <w:p w:rsidR="00CA3B52" w:rsidRPr="00CB6CBA" w:rsidRDefault="00CA3B52" w:rsidP="00F65451">
            <w:pPr>
              <w:pStyle w:val="Tabletext"/>
              <w:jc w:val="center"/>
              <w:rPr>
                <w:lang w:val="en-US"/>
              </w:rPr>
            </w:pPr>
          </w:p>
        </w:tc>
      </w:tr>
      <w:tr w:rsidR="00CA3B52" w:rsidRPr="00CB6CBA" w:rsidTr="002D1D5C">
        <w:trPr>
          <w:trHeight w:val="397"/>
          <w:jc w:val="center"/>
        </w:trPr>
        <w:tc>
          <w:tcPr>
            <w:tcW w:w="1660" w:type="dxa"/>
            <w:vMerge/>
            <w:tcBorders>
              <w:right w:val="single" w:sz="2" w:space="0" w:color="auto"/>
            </w:tcBorders>
            <w:vAlign w:val="center"/>
          </w:tcPr>
          <w:p w:rsidR="00CA3B52" w:rsidRPr="00CB6CBA" w:rsidRDefault="00CA3B52" w:rsidP="00F65451">
            <w:pPr>
              <w:pStyle w:val="Tabletext"/>
              <w:jc w:val="left"/>
              <w:rPr>
                <w:lang w:val="en-US"/>
              </w:rPr>
            </w:pPr>
          </w:p>
        </w:tc>
        <w:tc>
          <w:tcPr>
            <w:tcW w:w="2568" w:type="dxa"/>
            <w:tcBorders>
              <w:left w:val="single" w:sz="2" w:space="0" w:color="auto"/>
              <w:right w:val="single" w:sz="2" w:space="0" w:color="auto"/>
            </w:tcBorders>
          </w:tcPr>
          <w:p w:rsidR="00CA3B52" w:rsidRPr="00CB6CBA" w:rsidRDefault="00CA3B52" w:rsidP="00F65451">
            <w:pPr>
              <w:pStyle w:val="Tabletext"/>
              <w:jc w:val="center"/>
              <w:rPr>
                <w:lang w:val="en-US"/>
              </w:rPr>
            </w:pPr>
            <w:r w:rsidRPr="00CB6CBA">
              <w:rPr>
                <w:lang w:val="en-US"/>
              </w:rPr>
              <w:t>470</w:t>
            </w:r>
            <w:r>
              <w:rPr>
                <w:lang w:val="en-US"/>
              </w:rPr>
              <w:t>-</w:t>
            </w:r>
            <w:r w:rsidRPr="00CB6CBA">
              <w:rPr>
                <w:lang w:val="en-US"/>
              </w:rPr>
              <w:t>862 MHz</w:t>
            </w:r>
          </w:p>
        </w:tc>
        <w:tc>
          <w:tcPr>
            <w:tcW w:w="1443" w:type="dxa"/>
            <w:tcBorders>
              <w:left w:val="single" w:sz="2" w:space="0" w:color="auto"/>
              <w:right w:val="single" w:sz="2" w:space="0" w:color="auto"/>
            </w:tcBorders>
          </w:tcPr>
          <w:p w:rsidR="00CA3B52" w:rsidRPr="00CB6CBA" w:rsidRDefault="00CA3B52" w:rsidP="00F65451">
            <w:pPr>
              <w:pStyle w:val="Tabletext"/>
              <w:jc w:val="center"/>
              <w:rPr>
                <w:lang w:val="en-US"/>
              </w:rPr>
            </w:pPr>
            <w:r w:rsidRPr="00CB6CBA">
              <w:rPr>
                <w:lang w:val="en-US"/>
              </w:rPr>
              <w:t>8 MHz</w:t>
            </w:r>
          </w:p>
        </w:tc>
        <w:tc>
          <w:tcPr>
            <w:tcW w:w="2117" w:type="dxa"/>
            <w:tcBorders>
              <w:left w:val="single" w:sz="2" w:space="0" w:color="auto"/>
            </w:tcBorders>
          </w:tcPr>
          <w:p w:rsidR="00CA3B52" w:rsidRPr="00CB6CBA" w:rsidRDefault="00CA3B52" w:rsidP="00F65451">
            <w:pPr>
              <w:pStyle w:val="Tabletext"/>
              <w:jc w:val="center"/>
              <w:rPr>
                <w:lang w:val="en-US"/>
              </w:rPr>
            </w:pPr>
            <w:r w:rsidRPr="00CB6CBA">
              <w:rPr>
                <w:lang w:val="en-US"/>
              </w:rPr>
              <w:t>14</w:t>
            </w:r>
          </w:p>
        </w:tc>
      </w:tr>
      <w:tr w:rsidR="00CA3B52" w:rsidRPr="00CB6CBA" w:rsidTr="002D1D5C">
        <w:trPr>
          <w:trHeight w:val="397"/>
          <w:jc w:val="center"/>
        </w:trPr>
        <w:tc>
          <w:tcPr>
            <w:tcW w:w="1660" w:type="dxa"/>
            <w:vMerge w:val="restart"/>
            <w:tcBorders>
              <w:right w:val="single" w:sz="2" w:space="0" w:color="auto"/>
            </w:tcBorders>
          </w:tcPr>
          <w:p w:rsidR="00CA3B52" w:rsidRPr="00CB6CBA" w:rsidRDefault="00CA3B52" w:rsidP="00F65451">
            <w:pPr>
              <w:pStyle w:val="Tabletext"/>
              <w:jc w:val="left"/>
              <w:rPr>
                <w:lang w:val="en-US"/>
              </w:rPr>
            </w:pPr>
            <w:r w:rsidRPr="00CB6CBA">
              <w:rPr>
                <w:lang w:val="en-US"/>
              </w:rPr>
              <w:t>Terrestrial Digital TV Broadcasting</w:t>
            </w:r>
          </w:p>
        </w:tc>
        <w:tc>
          <w:tcPr>
            <w:tcW w:w="2568" w:type="dxa"/>
            <w:tcBorders>
              <w:left w:val="single" w:sz="2" w:space="0" w:color="auto"/>
              <w:right w:val="single" w:sz="2" w:space="0" w:color="auto"/>
            </w:tcBorders>
          </w:tcPr>
          <w:p w:rsidR="00CA3B52" w:rsidRPr="00CB6CBA" w:rsidRDefault="00CA3B52" w:rsidP="00F65451">
            <w:pPr>
              <w:pStyle w:val="Tabletext"/>
              <w:jc w:val="center"/>
              <w:rPr>
                <w:lang w:val="en-US"/>
              </w:rPr>
            </w:pPr>
            <w:r w:rsidRPr="00CB6CBA">
              <w:rPr>
                <w:lang w:val="en-US"/>
              </w:rPr>
              <w:t>174</w:t>
            </w:r>
            <w:r>
              <w:rPr>
                <w:lang w:val="en-US"/>
              </w:rPr>
              <w:t>-</w:t>
            </w:r>
            <w:r w:rsidRPr="00CB6CBA">
              <w:rPr>
                <w:lang w:val="en-US"/>
              </w:rPr>
              <w:t>230 MHz</w:t>
            </w:r>
          </w:p>
        </w:tc>
        <w:tc>
          <w:tcPr>
            <w:tcW w:w="1443" w:type="dxa"/>
            <w:tcBorders>
              <w:left w:val="single" w:sz="2" w:space="0" w:color="auto"/>
              <w:right w:val="single" w:sz="2" w:space="0" w:color="auto"/>
            </w:tcBorders>
          </w:tcPr>
          <w:p w:rsidR="00CA3B52" w:rsidRPr="00CB6CBA" w:rsidRDefault="00CA3B52" w:rsidP="00F65451">
            <w:pPr>
              <w:pStyle w:val="Tabletext"/>
              <w:jc w:val="center"/>
              <w:rPr>
                <w:lang w:val="en-US"/>
              </w:rPr>
            </w:pPr>
            <w:r w:rsidRPr="00CB6CBA">
              <w:rPr>
                <w:lang w:val="en-US"/>
              </w:rPr>
              <w:t>7 MHz</w:t>
            </w:r>
          </w:p>
        </w:tc>
        <w:tc>
          <w:tcPr>
            <w:tcW w:w="2117" w:type="dxa"/>
            <w:tcBorders>
              <w:left w:val="single" w:sz="2" w:space="0" w:color="auto"/>
            </w:tcBorders>
          </w:tcPr>
          <w:p w:rsidR="00CA3B52" w:rsidRPr="00CB6CBA" w:rsidRDefault="00CA3B52" w:rsidP="00F65451">
            <w:pPr>
              <w:pStyle w:val="Tabletext"/>
              <w:jc w:val="center"/>
              <w:rPr>
                <w:lang w:val="en-US"/>
              </w:rPr>
            </w:pPr>
            <w:r w:rsidRPr="00CB6CBA">
              <w:rPr>
                <w:lang w:val="en-US"/>
              </w:rPr>
              <w:t>60</w:t>
            </w:r>
          </w:p>
        </w:tc>
      </w:tr>
      <w:tr w:rsidR="00CA3B52" w:rsidRPr="00CB6CBA" w:rsidTr="002D1D5C">
        <w:trPr>
          <w:trHeight w:val="397"/>
          <w:jc w:val="center"/>
        </w:trPr>
        <w:tc>
          <w:tcPr>
            <w:tcW w:w="1660" w:type="dxa"/>
            <w:vMerge/>
            <w:tcBorders>
              <w:right w:val="single" w:sz="2" w:space="0" w:color="auto"/>
            </w:tcBorders>
            <w:vAlign w:val="center"/>
          </w:tcPr>
          <w:p w:rsidR="00CA3B52" w:rsidRPr="00CB6CBA" w:rsidRDefault="00CA3B52" w:rsidP="00F65451">
            <w:pPr>
              <w:pStyle w:val="Tabletext"/>
              <w:jc w:val="left"/>
              <w:rPr>
                <w:lang w:val="en-US"/>
              </w:rPr>
            </w:pPr>
          </w:p>
        </w:tc>
        <w:tc>
          <w:tcPr>
            <w:tcW w:w="2568" w:type="dxa"/>
            <w:tcBorders>
              <w:left w:val="single" w:sz="2" w:space="0" w:color="auto"/>
              <w:right w:val="single" w:sz="2" w:space="0" w:color="auto"/>
            </w:tcBorders>
          </w:tcPr>
          <w:p w:rsidR="00CA3B52" w:rsidRPr="00CB6CBA" w:rsidRDefault="00CA3B52" w:rsidP="00F65451">
            <w:pPr>
              <w:pStyle w:val="Tabletext"/>
              <w:jc w:val="center"/>
              <w:rPr>
                <w:lang w:val="en-US"/>
              </w:rPr>
            </w:pPr>
            <w:r w:rsidRPr="00CB6CBA">
              <w:rPr>
                <w:lang w:val="en-US"/>
              </w:rPr>
              <w:t>470</w:t>
            </w:r>
            <w:r>
              <w:rPr>
                <w:lang w:val="en-US"/>
              </w:rPr>
              <w:t>-</w:t>
            </w:r>
            <w:r w:rsidRPr="00CB6CBA">
              <w:rPr>
                <w:lang w:val="en-US"/>
              </w:rPr>
              <w:t>862 MHz</w:t>
            </w:r>
          </w:p>
        </w:tc>
        <w:tc>
          <w:tcPr>
            <w:tcW w:w="1443" w:type="dxa"/>
            <w:tcBorders>
              <w:left w:val="single" w:sz="2" w:space="0" w:color="auto"/>
              <w:right w:val="single" w:sz="2" w:space="0" w:color="auto"/>
            </w:tcBorders>
          </w:tcPr>
          <w:p w:rsidR="00CA3B52" w:rsidRPr="00CB6CBA" w:rsidRDefault="00CA3B52" w:rsidP="00F65451">
            <w:pPr>
              <w:pStyle w:val="Tabletext"/>
              <w:jc w:val="center"/>
              <w:rPr>
                <w:lang w:val="en-US"/>
              </w:rPr>
            </w:pPr>
            <w:r w:rsidRPr="00CB6CBA">
              <w:rPr>
                <w:lang w:val="en-US"/>
              </w:rPr>
              <w:t>8 MHz</w:t>
            </w:r>
          </w:p>
        </w:tc>
        <w:tc>
          <w:tcPr>
            <w:tcW w:w="2117" w:type="dxa"/>
            <w:tcBorders>
              <w:left w:val="single" w:sz="2" w:space="0" w:color="auto"/>
            </w:tcBorders>
          </w:tcPr>
          <w:p w:rsidR="00CA3B52" w:rsidRPr="00CB6CBA" w:rsidRDefault="00CA3B52" w:rsidP="00F65451">
            <w:pPr>
              <w:pStyle w:val="Tabletext"/>
              <w:jc w:val="center"/>
              <w:rPr>
                <w:lang w:val="en-US"/>
              </w:rPr>
            </w:pPr>
            <w:r w:rsidRPr="00CB6CBA">
              <w:rPr>
                <w:lang w:val="en-US"/>
              </w:rPr>
              <w:t>68</w:t>
            </w:r>
          </w:p>
        </w:tc>
      </w:tr>
      <w:tr w:rsidR="00CA3B52" w:rsidRPr="00CB6CBA" w:rsidTr="002D1D5C">
        <w:trPr>
          <w:trHeight w:val="397"/>
          <w:jc w:val="center"/>
        </w:trPr>
        <w:tc>
          <w:tcPr>
            <w:tcW w:w="1660" w:type="dxa"/>
            <w:vMerge w:val="restart"/>
            <w:tcBorders>
              <w:right w:val="single" w:sz="2" w:space="0" w:color="auto"/>
            </w:tcBorders>
          </w:tcPr>
          <w:p w:rsidR="00CA3B52" w:rsidRPr="00CB6CBA" w:rsidRDefault="00CA3B52" w:rsidP="00F65451">
            <w:pPr>
              <w:pStyle w:val="Tabletext"/>
              <w:jc w:val="left"/>
              <w:rPr>
                <w:lang w:val="en-US"/>
              </w:rPr>
            </w:pPr>
            <w:r w:rsidRPr="00CB6CBA">
              <w:rPr>
                <w:lang w:val="en-US"/>
              </w:rPr>
              <w:t>Terrestrial Mobile TV Broadcasting</w:t>
            </w:r>
          </w:p>
        </w:tc>
        <w:tc>
          <w:tcPr>
            <w:tcW w:w="2568" w:type="dxa"/>
            <w:tcBorders>
              <w:left w:val="single" w:sz="2" w:space="0" w:color="auto"/>
              <w:right w:val="single" w:sz="2" w:space="0" w:color="auto"/>
            </w:tcBorders>
          </w:tcPr>
          <w:p w:rsidR="00CA3B52" w:rsidRPr="00CB6CBA" w:rsidRDefault="00CA3B52" w:rsidP="00F65451">
            <w:pPr>
              <w:pStyle w:val="Tabletext"/>
              <w:jc w:val="center"/>
              <w:rPr>
                <w:lang w:val="en-US"/>
              </w:rPr>
            </w:pPr>
            <w:r w:rsidRPr="00CB6CBA">
              <w:rPr>
                <w:lang w:val="en-US"/>
              </w:rPr>
              <w:t>174</w:t>
            </w:r>
            <w:r>
              <w:rPr>
                <w:lang w:val="en-US"/>
              </w:rPr>
              <w:t>-</w:t>
            </w:r>
            <w:r w:rsidRPr="00CB6CBA">
              <w:rPr>
                <w:lang w:val="en-US"/>
              </w:rPr>
              <w:t>230 MHz</w:t>
            </w:r>
          </w:p>
        </w:tc>
        <w:tc>
          <w:tcPr>
            <w:tcW w:w="1443" w:type="dxa"/>
            <w:tcBorders>
              <w:left w:val="single" w:sz="2" w:space="0" w:color="auto"/>
              <w:right w:val="single" w:sz="2" w:space="0" w:color="auto"/>
            </w:tcBorders>
          </w:tcPr>
          <w:p w:rsidR="00CA3B52" w:rsidRPr="00CB6CBA" w:rsidRDefault="00CA3B52" w:rsidP="00F65451">
            <w:pPr>
              <w:pStyle w:val="Tabletext"/>
              <w:jc w:val="center"/>
              <w:rPr>
                <w:lang w:val="en-US"/>
              </w:rPr>
            </w:pPr>
            <w:r w:rsidRPr="00CB6CBA">
              <w:rPr>
                <w:lang w:val="en-US"/>
              </w:rPr>
              <w:t>7 MHz</w:t>
            </w:r>
          </w:p>
        </w:tc>
        <w:tc>
          <w:tcPr>
            <w:tcW w:w="2117" w:type="dxa"/>
            <w:tcBorders>
              <w:left w:val="single" w:sz="2" w:space="0" w:color="auto"/>
            </w:tcBorders>
          </w:tcPr>
          <w:p w:rsidR="00CA3B52" w:rsidRPr="00CB6CBA" w:rsidRDefault="00CA3B52" w:rsidP="00F65451">
            <w:pPr>
              <w:pStyle w:val="Tabletext"/>
              <w:jc w:val="center"/>
              <w:rPr>
                <w:lang w:val="en-US"/>
              </w:rPr>
            </w:pPr>
            <w:r w:rsidRPr="00CB6CBA">
              <w:rPr>
                <w:lang w:val="en-US"/>
              </w:rPr>
              <w:t>119</w:t>
            </w:r>
          </w:p>
        </w:tc>
      </w:tr>
      <w:tr w:rsidR="00CA3B52" w:rsidRPr="00CB6CBA" w:rsidTr="002D1D5C">
        <w:trPr>
          <w:trHeight w:val="397"/>
          <w:jc w:val="center"/>
        </w:trPr>
        <w:tc>
          <w:tcPr>
            <w:tcW w:w="1660" w:type="dxa"/>
            <w:vMerge/>
            <w:tcBorders>
              <w:bottom w:val="single" w:sz="2" w:space="0" w:color="auto"/>
              <w:right w:val="single" w:sz="2" w:space="0" w:color="auto"/>
            </w:tcBorders>
          </w:tcPr>
          <w:p w:rsidR="00CA3B52" w:rsidRPr="00CB6CBA" w:rsidRDefault="00CA3B52" w:rsidP="00F65451">
            <w:pPr>
              <w:pStyle w:val="Tabletext"/>
              <w:rPr>
                <w:lang w:val="en-US"/>
              </w:rPr>
            </w:pPr>
          </w:p>
        </w:tc>
        <w:tc>
          <w:tcPr>
            <w:tcW w:w="2568" w:type="dxa"/>
            <w:tcBorders>
              <w:left w:val="single" w:sz="2" w:space="0" w:color="auto"/>
              <w:bottom w:val="single" w:sz="2" w:space="0" w:color="auto"/>
              <w:right w:val="single" w:sz="2" w:space="0" w:color="auto"/>
            </w:tcBorders>
          </w:tcPr>
          <w:p w:rsidR="00CA3B52" w:rsidRPr="00CB6CBA" w:rsidRDefault="00CA3B52" w:rsidP="00F65451">
            <w:pPr>
              <w:pStyle w:val="Tabletext"/>
              <w:jc w:val="center"/>
              <w:rPr>
                <w:lang w:val="en-US"/>
              </w:rPr>
            </w:pPr>
            <w:r w:rsidRPr="00CB6CBA">
              <w:rPr>
                <w:lang w:val="en-US"/>
              </w:rPr>
              <w:t>470</w:t>
            </w:r>
            <w:r>
              <w:rPr>
                <w:lang w:val="en-US"/>
              </w:rPr>
              <w:t>-</w:t>
            </w:r>
            <w:r w:rsidRPr="00CB6CBA">
              <w:rPr>
                <w:lang w:val="en-US"/>
              </w:rPr>
              <w:t>862 MHz</w:t>
            </w:r>
          </w:p>
        </w:tc>
        <w:tc>
          <w:tcPr>
            <w:tcW w:w="1443" w:type="dxa"/>
            <w:tcBorders>
              <w:left w:val="single" w:sz="2" w:space="0" w:color="auto"/>
              <w:bottom w:val="single" w:sz="2" w:space="0" w:color="auto"/>
              <w:right w:val="single" w:sz="2" w:space="0" w:color="auto"/>
            </w:tcBorders>
          </w:tcPr>
          <w:p w:rsidR="00CA3B52" w:rsidRPr="00CB6CBA" w:rsidRDefault="00CA3B52" w:rsidP="00F65451">
            <w:pPr>
              <w:pStyle w:val="Tabletext"/>
              <w:jc w:val="center"/>
              <w:rPr>
                <w:lang w:val="en-US"/>
              </w:rPr>
            </w:pPr>
            <w:r w:rsidRPr="00CB6CBA">
              <w:rPr>
                <w:lang w:val="en-US"/>
              </w:rPr>
              <w:t>8 MHz</w:t>
            </w:r>
          </w:p>
        </w:tc>
        <w:tc>
          <w:tcPr>
            <w:tcW w:w="2117" w:type="dxa"/>
            <w:tcBorders>
              <w:left w:val="single" w:sz="2" w:space="0" w:color="auto"/>
              <w:bottom w:val="single" w:sz="2" w:space="0" w:color="auto"/>
            </w:tcBorders>
          </w:tcPr>
          <w:p w:rsidR="00CA3B52" w:rsidRPr="00CB6CBA" w:rsidRDefault="00CA3B52" w:rsidP="00F65451">
            <w:pPr>
              <w:pStyle w:val="Tabletext"/>
              <w:jc w:val="center"/>
              <w:rPr>
                <w:lang w:val="en-US"/>
              </w:rPr>
            </w:pPr>
            <w:r w:rsidRPr="00CB6CBA">
              <w:rPr>
                <w:lang w:val="en-US"/>
              </w:rPr>
              <w:t>136</w:t>
            </w:r>
          </w:p>
        </w:tc>
      </w:tr>
      <w:tr w:rsidR="00CA3B52" w:rsidRPr="00F65451" w:rsidTr="002D1D5C">
        <w:trPr>
          <w:trHeight w:val="397"/>
          <w:jc w:val="center"/>
        </w:trPr>
        <w:tc>
          <w:tcPr>
            <w:tcW w:w="7788" w:type="dxa"/>
            <w:gridSpan w:val="4"/>
            <w:tcBorders>
              <w:left w:val="nil"/>
              <w:bottom w:val="nil"/>
              <w:right w:val="nil"/>
            </w:tcBorders>
          </w:tcPr>
          <w:p w:rsidR="00CA3B52" w:rsidRPr="00CB6CBA" w:rsidRDefault="00CA3B52" w:rsidP="002D1D5C">
            <w:pPr>
              <w:pStyle w:val="TableLegendNote"/>
            </w:pPr>
            <w:r w:rsidRPr="00CB6CBA">
              <w:t>NOTE 1</w:t>
            </w:r>
            <w:r>
              <w:t xml:space="preserve"> –</w:t>
            </w:r>
            <w:r w:rsidRPr="00CB6CBA">
              <w:rPr>
                <w:lang w:bidi="ar-AE"/>
              </w:rPr>
              <w:t xml:space="preserve"> </w:t>
            </w:r>
            <w:r w:rsidRPr="00CB6CBA">
              <w:t>The Service Type Factor for Terrestrial Analog TV shall be applicable till December</w:t>
            </w:r>
            <w:r>
              <w:t> </w:t>
            </w:r>
            <w:r w:rsidRPr="00CB6CBA">
              <w:t>2015. Afterwards, the Service Type Factor for Terrestrial Digital TV Broadcasting shall be applied for Terrestrial Analog TV.</w:t>
            </w:r>
          </w:p>
          <w:p w:rsidR="00CA3B52" w:rsidRPr="00CB6CBA" w:rsidRDefault="00CA3B52" w:rsidP="002D1D5C">
            <w:pPr>
              <w:pStyle w:val="TableLegendNote"/>
            </w:pPr>
            <w:r w:rsidRPr="00CB6CBA">
              <w:t>NOTE 2</w:t>
            </w:r>
            <w:r>
              <w:t xml:space="preserve"> –</w:t>
            </w:r>
            <w:r w:rsidRPr="00CB6CBA">
              <w:t xml:space="preserve"> Service Type Factor can be calculated on prorate basis with respect to above mentioned bandwidth and closest frequency range if similar Broadcasting Service is required to be authorized in any frequency band not mentioned above. </w:t>
            </w:r>
          </w:p>
        </w:tc>
      </w:tr>
    </w:tbl>
    <w:p w:rsidR="00CA3B52" w:rsidRPr="00CB6CBA" w:rsidRDefault="00CA3B52" w:rsidP="00CA3B52">
      <w:pPr>
        <w:pStyle w:val="Tablefin"/>
      </w:pPr>
      <w:bookmarkStart w:id="1983" w:name="_Toc195057728"/>
    </w:p>
    <w:bookmarkEnd w:id="1983"/>
    <w:p w:rsidR="00CA3B52" w:rsidRPr="00CB6CBA" w:rsidRDefault="00CA3B52" w:rsidP="00CA3B52">
      <w:pPr>
        <w:pStyle w:val="enumlev1"/>
        <w:rPr>
          <w:lang w:val="en-US"/>
        </w:rPr>
      </w:pPr>
      <w:r w:rsidRPr="00CB6CBA">
        <w:rPr>
          <w:lang w:val="en-US"/>
        </w:rPr>
        <w:tab/>
        <w:t>SZ = Service Zone Factor as follows:</w:t>
      </w:r>
    </w:p>
    <w:p w:rsidR="00CA3B52" w:rsidRDefault="00CA3B52" w:rsidP="00CA3B52">
      <w:pPr>
        <w:pStyle w:val="TableNo"/>
        <w:rPr>
          <w:lang w:val="en-US"/>
        </w:rPr>
      </w:pPr>
      <w:bookmarkStart w:id="1984" w:name="_Toc195057730"/>
      <w:r w:rsidRPr="00CB6CBA">
        <w:rPr>
          <w:lang w:val="en-US"/>
        </w:rPr>
        <w:t xml:space="preserve">TABLE </w:t>
      </w:r>
      <w:r>
        <w:rPr>
          <w:lang w:val="en-US"/>
        </w:rPr>
        <w:t>3</w:t>
      </w:r>
    </w:p>
    <w:p w:rsidR="00CA3B52" w:rsidRPr="00CB6CBA" w:rsidRDefault="00CA3B52" w:rsidP="00CA3B52">
      <w:pPr>
        <w:pStyle w:val="Tabletitle"/>
        <w:rPr>
          <w:lang w:val="en-US"/>
        </w:rPr>
      </w:pPr>
      <w:r w:rsidRPr="00CB6CBA">
        <w:rPr>
          <w:lang w:val="en-US"/>
        </w:rPr>
        <w:t>Definition of Service Zones Factors (SZ)</w:t>
      </w:r>
      <w:bookmarkEnd w:id="19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CA3B52" w:rsidRPr="00CB6CBA" w:rsidTr="002D1D5C">
        <w:trPr>
          <w:trHeight w:val="680"/>
          <w:jc w:val="center"/>
        </w:trPr>
        <w:tc>
          <w:tcPr>
            <w:tcW w:w="1764" w:type="dxa"/>
            <w:shd w:val="clear" w:color="auto" w:fill="auto"/>
            <w:vAlign w:val="center"/>
          </w:tcPr>
          <w:p w:rsidR="00CA3B52" w:rsidRPr="00CB6CBA" w:rsidRDefault="00CA3B52" w:rsidP="002D1D5C">
            <w:pPr>
              <w:pStyle w:val="Tablehead"/>
              <w:rPr>
                <w:lang w:val="en-US"/>
              </w:rPr>
            </w:pPr>
            <w:r w:rsidRPr="00CB6CBA">
              <w:rPr>
                <w:lang w:val="en-US"/>
              </w:rPr>
              <w:t>Service Zone Factor (SZ)</w:t>
            </w:r>
          </w:p>
        </w:tc>
        <w:tc>
          <w:tcPr>
            <w:tcW w:w="3610" w:type="dxa"/>
            <w:shd w:val="clear" w:color="auto" w:fill="auto"/>
            <w:vAlign w:val="center"/>
          </w:tcPr>
          <w:p w:rsidR="00CA3B52" w:rsidRPr="00CB6CBA" w:rsidRDefault="00CA3B52" w:rsidP="002D1D5C">
            <w:pPr>
              <w:pStyle w:val="Tablehead"/>
              <w:rPr>
                <w:lang w:val="en-US"/>
              </w:rPr>
            </w:pPr>
            <w:r w:rsidRPr="00CB6CBA">
              <w:rPr>
                <w:lang w:val="en-US"/>
              </w:rPr>
              <w:t>Service Zone</w:t>
            </w:r>
          </w:p>
        </w:tc>
        <w:tc>
          <w:tcPr>
            <w:tcW w:w="2700" w:type="dxa"/>
            <w:shd w:val="clear" w:color="auto" w:fill="auto"/>
            <w:vAlign w:val="center"/>
          </w:tcPr>
          <w:p w:rsidR="00CA3B52" w:rsidRPr="00CB6CBA" w:rsidRDefault="00CA3B52" w:rsidP="002D1D5C">
            <w:pPr>
              <w:pStyle w:val="Tablehead"/>
              <w:rPr>
                <w:lang w:val="en-US"/>
              </w:rPr>
            </w:pPr>
            <w:r w:rsidRPr="00CB6CBA">
              <w:rPr>
                <w:lang w:val="en-US"/>
              </w:rPr>
              <w:t>Polygon Corners</w:t>
            </w:r>
          </w:p>
        </w:tc>
      </w:tr>
      <w:tr w:rsidR="00CA3B52" w:rsidRPr="00CB6CBA" w:rsidTr="002D1D5C">
        <w:trPr>
          <w:trHeight w:val="1142"/>
          <w:jc w:val="center"/>
        </w:trPr>
        <w:tc>
          <w:tcPr>
            <w:tcW w:w="1764" w:type="dxa"/>
            <w:vMerge w:val="restart"/>
          </w:tcPr>
          <w:p w:rsidR="00CA3B52" w:rsidRPr="00CB6CBA" w:rsidRDefault="00CA3B52" w:rsidP="002D1D5C">
            <w:pPr>
              <w:pStyle w:val="Tabletext"/>
              <w:jc w:val="left"/>
              <w:rPr>
                <w:lang w:val="en-US" w:eastAsia="de-DE"/>
              </w:rPr>
            </w:pPr>
            <w:r w:rsidRPr="00CB6CBA">
              <w:rPr>
                <w:lang w:val="en-US" w:eastAsia="de-DE"/>
              </w:rPr>
              <w:t>1.00 (high)</w:t>
            </w:r>
          </w:p>
        </w:tc>
        <w:tc>
          <w:tcPr>
            <w:tcW w:w="3610" w:type="dxa"/>
          </w:tcPr>
          <w:p w:rsidR="00CA3B52" w:rsidRPr="00CB6CBA" w:rsidRDefault="00CA3B52" w:rsidP="002D1D5C">
            <w:pPr>
              <w:pStyle w:val="Tabletext"/>
              <w:jc w:val="left"/>
              <w:rPr>
                <w:lang w:val="en-US" w:eastAsia="de-DE"/>
              </w:rPr>
            </w:pPr>
            <w:r w:rsidRPr="00CB6CBA">
              <w:rPr>
                <w:lang w:val="en-US" w:eastAsia="de-DE"/>
              </w:rPr>
              <w:t>City and environs of Abu Dhabi</w:t>
            </w:r>
          </w:p>
        </w:tc>
        <w:tc>
          <w:tcPr>
            <w:tcW w:w="2700" w:type="dxa"/>
          </w:tcPr>
          <w:p w:rsidR="00CA3B52" w:rsidRPr="000A535A" w:rsidRDefault="00CA3B52" w:rsidP="002D1D5C">
            <w:pPr>
              <w:pStyle w:val="Tabletext"/>
              <w:jc w:val="left"/>
              <w:rPr>
                <w:lang w:val="pt-BR"/>
              </w:rPr>
            </w:pPr>
            <w:r w:rsidRPr="000A535A">
              <w:rPr>
                <w:lang w:val="pt-BR"/>
              </w:rPr>
              <w:t>54° 30’ E – 24° 45’ N</w:t>
            </w:r>
          </w:p>
          <w:p w:rsidR="00CA3B52" w:rsidRPr="000A535A" w:rsidRDefault="00CA3B52" w:rsidP="002D1D5C">
            <w:pPr>
              <w:pStyle w:val="Tabletext"/>
              <w:jc w:val="left"/>
              <w:rPr>
                <w:lang w:val="pt-BR"/>
              </w:rPr>
            </w:pPr>
            <w:r w:rsidRPr="000A535A">
              <w:rPr>
                <w:lang w:val="pt-BR"/>
              </w:rPr>
              <w:t>55° 15’ E – 24° 40’ N</w:t>
            </w:r>
          </w:p>
          <w:p w:rsidR="00CA3B52" w:rsidRPr="000A535A" w:rsidRDefault="00CA3B52" w:rsidP="002D1D5C">
            <w:pPr>
              <w:pStyle w:val="Tabletext"/>
              <w:jc w:val="left"/>
              <w:rPr>
                <w:lang w:val="pt-BR"/>
              </w:rPr>
            </w:pPr>
            <w:r w:rsidRPr="000A535A">
              <w:rPr>
                <w:lang w:val="pt-BR"/>
              </w:rPr>
              <w:t>55° 00’ E – 24° 05’ N</w:t>
            </w:r>
          </w:p>
          <w:p w:rsidR="00CA3B52" w:rsidRPr="00CB6CBA" w:rsidRDefault="00CA3B52" w:rsidP="002D1D5C">
            <w:pPr>
              <w:pStyle w:val="Tabletext"/>
              <w:jc w:val="left"/>
              <w:rPr>
                <w:lang w:val="en-US"/>
              </w:rPr>
            </w:pPr>
            <w:r w:rsidRPr="00CB6CBA">
              <w:rPr>
                <w:lang w:val="en-US"/>
              </w:rPr>
              <w:t>54° 00’ E – 24° 20’ N</w:t>
            </w:r>
          </w:p>
        </w:tc>
      </w:tr>
      <w:tr w:rsidR="00CA3B52" w:rsidRPr="00CB6CBA" w:rsidTr="002D1D5C">
        <w:trPr>
          <w:trHeight w:val="1192"/>
          <w:jc w:val="center"/>
        </w:trPr>
        <w:tc>
          <w:tcPr>
            <w:tcW w:w="1764" w:type="dxa"/>
            <w:vMerge/>
          </w:tcPr>
          <w:p w:rsidR="00CA3B52" w:rsidRPr="00CB6CBA" w:rsidRDefault="00CA3B52" w:rsidP="002D1D5C">
            <w:pPr>
              <w:pStyle w:val="Tabletext"/>
              <w:jc w:val="left"/>
              <w:rPr>
                <w:lang w:val="en-US"/>
              </w:rPr>
            </w:pPr>
          </w:p>
        </w:tc>
        <w:tc>
          <w:tcPr>
            <w:tcW w:w="3610" w:type="dxa"/>
          </w:tcPr>
          <w:p w:rsidR="00CA3B52" w:rsidRPr="00CB6CBA" w:rsidRDefault="00CA3B52" w:rsidP="002D1D5C">
            <w:pPr>
              <w:pStyle w:val="Tabletext"/>
              <w:jc w:val="left"/>
              <w:rPr>
                <w:lang w:val="en-US"/>
              </w:rPr>
            </w:pPr>
            <w:r w:rsidRPr="00CB6CBA">
              <w:rPr>
                <w:lang w:val="en-US"/>
              </w:rPr>
              <w:t>Cities and environs of Dubai, Sharjah, Ajman and Umm Al Quwein</w:t>
            </w:r>
          </w:p>
        </w:tc>
        <w:tc>
          <w:tcPr>
            <w:tcW w:w="2700" w:type="dxa"/>
          </w:tcPr>
          <w:p w:rsidR="00CA3B52" w:rsidRPr="000A535A" w:rsidRDefault="00CA3B52" w:rsidP="002D1D5C">
            <w:pPr>
              <w:pStyle w:val="Tabletext"/>
              <w:jc w:val="left"/>
              <w:rPr>
                <w:lang w:val="pt-BR"/>
              </w:rPr>
            </w:pPr>
            <w:r w:rsidRPr="000A535A">
              <w:rPr>
                <w:lang w:val="pt-BR"/>
              </w:rPr>
              <w:t>55° 30’ E – 25° 40’ N</w:t>
            </w:r>
          </w:p>
          <w:p w:rsidR="00CA3B52" w:rsidRPr="000A535A" w:rsidRDefault="00CA3B52" w:rsidP="002D1D5C">
            <w:pPr>
              <w:pStyle w:val="Tabletext"/>
              <w:jc w:val="left"/>
              <w:rPr>
                <w:lang w:val="pt-BR"/>
              </w:rPr>
            </w:pPr>
            <w:r w:rsidRPr="000A535A">
              <w:rPr>
                <w:lang w:val="pt-BR"/>
              </w:rPr>
              <w:t>55° 55’ E – 25° 20’ N</w:t>
            </w:r>
          </w:p>
          <w:p w:rsidR="00CA3B52" w:rsidRPr="000A535A" w:rsidRDefault="00CA3B52" w:rsidP="002D1D5C">
            <w:pPr>
              <w:pStyle w:val="Tabletext"/>
              <w:jc w:val="left"/>
              <w:rPr>
                <w:lang w:val="pt-BR"/>
              </w:rPr>
            </w:pPr>
            <w:r w:rsidRPr="000A535A">
              <w:rPr>
                <w:lang w:val="pt-BR"/>
              </w:rPr>
              <w:t>55° 15’ E – 24° 40’ N</w:t>
            </w:r>
          </w:p>
          <w:p w:rsidR="00CA3B52" w:rsidRPr="00CB6CBA" w:rsidRDefault="00CA3B52" w:rsidP="002D1D5C">
            <w:pPr>
              <w:pStyle w:val="Tabletext"/>
              <w:jc w:val="left"/>
              <w:rPr>
                <w:lang w:val="en-US"/>
              </w:rPr>
            </w:pPr>
            <w:r w:rsidRPr="00CB6CBA">
              <w:rPr>
                <w:lang w:val="en-US"/>
              </w:rPr>
              <w:t>54° 30’ E – 24° 45’ N</w:t>
            </w:r>
          </w:p>
        </w:tc>
      </w:tr>
    </w:tbl>
    <w:p w:rsidR="00CA3B52" w:rsidRDefault="00CA3B52" w:rsidP="00CA3B52"/>
    <w:p w:rsidR="00CA3B52" w:rsidRDefault="00CA3B52" w:rsidP="00CA3B52"/>
    <w:p w:rsidR="00CA3B52" w:rsidRDefault="00CA3B52" w:rsidP="00CA3B52"/>
    <w:p w:rsidR="00CA3B52" w:rsidRDefault="00CA3B52" w:rsidP="00CA3B52"/>
    <w:p w:rsidR="00CA3B52" w:rsidRDefault="00CA3B52" w:rsidP="00CA3B52"/>
    <w:p w:rsidR="00CA3B52" w:rsidRDefault="00CA3B52" w:rsidP="00CA3B52">
      <w:pPr>
        <w:pStyle w:val="TableNo"/>
        <w:rPr>
          <w:lang w:val="en-US"/>
        </w:rPr>
      </w:pPr>
      <w:r w:rsidRPr="00CB6CBA">
        <w:rPr>
          <w:lang w:val="en-US"/>
        </w:rPr>
        <w:lastRenderedPageBreak/>
        <w:t xml:space="preserve">TABLE </w:t>
      </w:r>
      <w:r>
        <w:rPr>
          <w:lang w:val="en-US"/>
        </w:rPr>
        <w:t>3 (</w:t>
      </w:r>
      <w:r w:rsidRPr="008864B2">
        <w:rPr>
          <w:i/>
          <w:iCs/>
          <w:lang w:val="en-US"/>
        </w:rPr>
        <w:t>end</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CA3B52" w:rsidRPr="00CB6CBA" w:rsidTr="002D1D5C">
        <w:trPr>
          <w:trHeight w:val="680"/>
          <w:jc w:val="center"/>
        </w:trPr>
        <w:tc>
          <w:tcPr>
            <w:tcW w:w="1764" w:type="dxa"/>
            <w:shd w:val="clear" w:color="auto" w:fill="auto"/>
            <w:vAlign w:val="center"/>
          </w:tcPr>
          <w:p w:rsidR="00CA3B52" w:rsidRPr="00CB6CBA" w:rsidRDefault="00CA3B52" w:rsidP="002D1D5C">
            <w:pPr>
              <w:pStyle w:val="Tablehead"/>
              <w:rPr>
                <w:lang w:val="en-US"/>
              </w:rPr>
            </w:pPr>
            <w:r w:rsidRPr="00CB6CBA">
              <w:rPr>
                <w:lang w:val="en-US"/>
              </w:rPr>
              <w:t>Service Zone Factor (SZ)</w:t>
            </w:r>
          </w:p>
        </w:tc>
        <w:tc>
          <w:tcPr>
            <w:tcW w:w="3610" w:type="dxa"/>
            <w:shd w:val="clear" w:color="auto" w:fill="auto"/>
            <w:vAlign w:val="center"/>
          </w:tcPr>
          <w:p w:rsidR="00CA3B52" w:rsidRPr="00CB6CBA" w:rsidRDefault="00CA3B52" w:rsidP="002D1D5C">
            <w:pPr>
              <w:pStyle w:val="Tablehead"/>
              <w:rPr>
                <w:lang w:val="en-US"/>
              </w:rPr>
            </w:pPr>
            <w:r w:rsidRPr="00CB6CBA">
              <w:rPr>
                <w:lang w:val="en-US"/>
              </w:rPr>
              <w:t>Service Zone</w:t>
            </w:r>
          </w:p>
        </w:tc>
        <w:tc>
          <w:tcPr>
            <w:tcW w:w="2700" w:type="dxa"/>
            <w:shd w:val="clear" w:color="auto" w:fill="auto"/>
            <w:vAlign w:val="center"/>
          </w:tcPr>
          <w:p w:rsidR="00CA3B52" w:rsidRPr="00CB6CBA" w:rsidRDefault="00CA3B52" w:rsidP="002D1D5C">
            <w:pPr>
              <w:pStyle w:val="Tablehead"/>
              <w:rPr>
                <w:lang w:val="en-US"/>
              </w:rPr>
            </w:pPr>
            <w:r w:rsidRPr="00CB6CBA">
              <w:rPr>
                <w:lang w:val="en-US"/>
              </w:rPr>
              <w:t>Polygon Corners</w:t>
            </w:r>
          </w:p>
        </w:tc>
      </w:tr>
      <w:tr w:rsidR="00CA3B52" w:rsidRPr="00CB6CBA" w:rsidTr="002D1D5C">
        <w:trPr>
          <w:trHeight w:val="1057"/>
          <w:jc w:val="center"/>
        </w:trPr>
        <w:tc>
          <w:tcPr>
            <w:tcW w:w="1764" w:type="dxa"/>
            <w:vMerge w:val="restart"/>
          </w:tcPr>
          <w:p w:rsidR="00CA3B52" w:rsidRPr="00CB6CBA" w:rsidRDefault="00CA3B52" w:rsidP="002D1D5C">
            <w:pPr>
              <w:pStyle w:val="Tabletext"/>
              <w:jc w:val="left"/>
              <w:rPr>
                <w:lang w:val="en-US"/>
              </w:rPr>
            </w:pPr>
            <w:r w:rsidRPr="00CB6CBA">
              <w:rPr>
                <w:lang w:val="en-US"/>
              </w:rPr>
              <w:t>0.75</w:t>
            </w:r>
            <w:r>
              <w:rPr>
                <w:lang w:val="en-US"/>
              </w:rPr>
              <w:t xml:space="preserve"> </w:t>
            </w:r>
            <w:r w:rsidRPr="00CB6CBA">
              <w:rPr>
                <w:lang w:val="en-US"/>
              </w:rPr>
              <w:t>(medium)</w:t>
            </w:r>
          </w:p>
        </w:tc>
        <w:tc>
          <w:tcPr>
            <w:tcW w:w="3610" w:type="dxa"/>
          </w:tcPr>
          <w:p w:rsidR="00CA3B52" w:rsidRPr="00CB6CBA" w:rsidRDefault="00CA3B52" w:rsidP="002D1D5C">
            <w:pPr>
              <w:pStyle w:val="Tabletext"/>
              <w:jc w:val="left"/>
              <w:rPr>
                <w:lang w:val="en-US"/>
              </w:rPr>
            </w:pPr>
            <w:r w:rsidRPr="00CB6CBA">
              <w:rPr>
                <w:lang w:val="en-US"/>
              </w:rPr>
              <w:t>Area between Abu Dhabi and Al Ain</w:t>
            </w:r>
          </w:p>
        </w:tc>
        <w:tc>
          <w:tcPr>
            <w:tcW w:w="2700" w:type="dxa"/>
          </w:tcPr>
          <w:p w:rsidR="00CA3B52" w:rsidRPr="000A535A" w:rsidRDefault="00CA3B52" w:rsidP="002D1D5C">
            <w:pPr>
              <w:pStyle w:val="Tabletext"/>
              <w:jc w:val="left"/>
              <w:rPr>
                <w:lang w:val="pt-BR"/>
              </w:rPr>
            </w:pPr>
            <w:r w:rsidRPr="000A535A">
              <w:rPr>
                <w:lang w:val="pt-BR"/>
              </w:rPr>
              <w:t>55° 00’ E – 24° 20’ N</w:t>
            </w:r>
          </w:p>
          <w:p w:rsidR="00CA3B52" w:rsidRPr="000A535A" w:rsidRDefault="00CA3B52" w:rsidP="002D1D5C">
            <w:pPr>
              <w:pStyle w:val="Tabletext"/>
              <w:jc w:val="left"/>
              <w:rPr>
                <w:lang w:val="pt-BR"/>
              </w:rPr>
            </w:pPr>
            <w:r w:rsidRPr="000A535A">
              <w:rPr>
                <w:lang w:val="pt-BR"/>
              </w:rPr>
              <w:t>55° 30’ E – 24° 20’ N</w:t>
            </w:r>
          </w:p>
          <w:p w:rsidR="00CA3B52" w:rsidRPr="000A535A" w:rsidRDefault="00CA3B52" w:rsidP="002D1D5C">
            <w:pPr>
              <w:pStyle w:val="Tabletext"/>
              <w:jc w:val="left"/>
              <w:rPr>
                <w:lang w:val="pt-BR"/>
              </w:rPr>
            </w:pPr>
            <w:r w:rsidRPr="000A535A">
              <w:rPr>
                <w:lang w:val="pt-BR"/>
              </w:rPr>
              <w:t>55° 30’ E – 24° 00’ N</w:t>
            </w:r>
          </w:p>
          <w:p w:rsidR="00CA3B52" w:rsidRPr="00CB6CBA" w:rsidRDefault="00CA3B52" w:rsidP="002D1D5C">
            <w:pPr>
              <w:pStyle w:val="Tabletext"/>
              <w:jc w:val="left"/>
              <w:rPr>
                <w:lang w:val="en-US"/>
              </w:rPr>
            </w:pPr>
            <w:r w:rsidRPr="00CB6CBA">
              <w:rPr>
                <w:lang w:val="en-US"/>
              </w:rPr>
              <w:t>55° 00’ E – 24° 05’ N</w:t>
            </w:r>
          </w:p>
        </w:tc>
      </w:tr>
      <w:tr w:rsidR="00CA3B52" w:rsidRPr="00CB6CBA" w:rsidTr="002D1D5C">
        <w:trPr>
          <w:trHeight w:val="1057"/>
          <w:jc w:val="center"/>
        </w:trPr>
        <w:tc>
          <w:tcPr>
            <w:tcW w:w="1764" w:type="dxa"/>
            <w:vMerge/>
          </w:tcPr>
          <w:p w:rsidR="00CA3B52" w:rsidRPr="00CB6CBA" w:rsidRDefault="00CA3B52" w:rsidP="002D1D5C">
            <w:pPr>
              <w:pStyle w:val="Tabletext"/>
              <w:jc w:val="left"/>
              <w:rPr>
                <w:lang w:val="en-US"/>
              </w:rPr>
            </w:pPr>
          </w:p>
        </w:tc>
        <w:tc>
          <w:tcPr>
            <w:tcW w:w="3610" w:type="dxa"/>
          </w:tcPr>
          <w:p w:rsidR="00CA3B52" w:rsidRPr="00CB6CBA" w:rsidRDefault="00CA3B52" w:rsidP="002D1D5C">
            <w:pPr>
              <w:pStyle w:val="Tabletext"/>
              <w:jc w:val="left"/>
              <w:rPr>
                <w:lang w:val="en-US"/>
              </w:rPr>
            </w:pPr>
            <w:r w:rsidRPr="00CB6CBA">
              <w:rPr>
                <w:lang w:val="en-US" w:eastAsia="de-DE"/>
              </w:rPr>
              <w:t>City and environs of Al Ain</w:t>
            </w:r>
          </w:p>
        </w:tc>
        <w:tc>
          <w:tcPr>
            <w:tcW w:w="2700" w:type="dxa"/>
          </w:tcPr>
          <w:p w:rsidR="00CA3B52" w:rsidRPr="000A535A" w:rsidRDefault="00CA3B52" w:rsidP="002D1D5C">
            <w:pPr>
              <w:pStyle w:val="Tabletext"/>
              <w:jc w:val="left"/>
              <w:rPr>
                <w:lang w:val="pt-BR"/>
              </w:rPr>
            </w:pPr>
            <w:r w:rsidRPr="000A535A">
              <w:rPr>
                <w:lang w:val="pt-BR"/>
              </w:rPr>
              <w:t>55° 30’ E – 24° 20’ N</w:t>
            </w:r>
          </w:p>
          <w:p w:rsidR="00CA3B52" w:rsidRPr="000A535A" w:rsidRDefault="00CA3B52" w:rsidP="002D1D5C">
            <w:pPr>
              <w:pStyle w:val="Tabletext"/>
              <w:jc w:val="left"/>
              <w:rPr>
                <w:lang w:val="pt-BR"/>
              </w:rPr>
            </w:pPr>
            <w:r w:rsidRPr="000A535A">
              <w:rPr>
                <w:lang w:val="pt-BR"/>
              </w:rPr>
              <w:t>55° 50’ E – 24° 20’ N</w:t>
            </w:r>
          </w:p>
          <w:p w:rsidR="00CA3B52" w:rsidRPr="000A535A" w:rsidRDefault="00CA3B52" w:rsidP="002D1D5C">
            <w:pPr>
              <w:pStyle w:val="Tabletext"/>
              <w:jc w:val="left"/>
              <w:rPr>
                <w:lang w:val="pt-BR"/>
              </w:rPr>
            </w:pPr>
            <w:r w:rsidRPr="000A535A">
              <w:rPr>
                <w:lang w:val="pt-BR"/>
              </w:rPr>
              <w:t>55° 50’ E – 24° 00’ N</w:t>
            </w:r>
          </w:p>
          <w:p w:rsidR="00CA3B52" w:rsidRPr="00CB6CBA" w:rsidRDefault="00CA3B52" w:rsidP="002D1D5C">
            <w:pPr>
              <w:pStyle w:val="Tabletext"/>
              <w:jc w:val="left"/>
              <w:rPr>
                <w:lang w:val="en-US"/>
              </w:rPr>
            </w:pPr>
            <w:r w:rsidRPr="00CB6CBA">
              <w:rPr>
                <w:lang w:val="en-US"/>
              </w:rPr>
              <w:t>55° 30’ E – 24° 00’ N</w:t>
            </w:r>
          </w:p>
        </w:tc>
      </w:tr>
      <w:tr w:rsidR="00CA3B52" w:rsidRPr="00CB6CBA" w:rsidTr="002D1D5C">
        <w:trPr>
          <w:trHeight w:val="1237"/>
          <w:jc w:val="center"/>
        </w:trPr>
        <w:tc>
          <w:tcPr>
            <w:tcW w:w="1764" w:type="dxa"/>
            <w:vMerge/>
          </w:tcPr>
          <w:p w:rsidR="00CA3B52" w:rsidRPr="00CB6CBA" w:rsidRDefault="00CA3B52" w:rsidP="002D1D5C">
            <w:pPr>
              <w:pStyle w:val="Tabletext"/>
              <w:rPr>
                <w:lang w:val="en-US"/>
              </w:rPr>
            </w:pPr>
          </w:p>
        </w:tc>
        <w:tc>
          <w:tcPr>
            <w:tcW w:w="3610" w:type="dxa"/>
          </w:tcPr>
          <w:p w:rsidR="00CA3B52" w:rsidRPr="00CB6CBA" w:rsidRDefault="00CA3B52" w:rsidP="002D1D5C">
            <w:pPr>
              <w:pStyle w:val="Tabletext"/>
              <w:rPr>
                <w:lang w:val="en-US" w:eastAsia="de-DE"/>
              </w:rPr>
            </w:pPr>
            <w:r w:rsidRPr="00CB6CBA">
              <w:rPr>
                <w:lang w:val="en-US" w:eastAsia="de-DE"/>
              </w:rPr>
              <w:t>City and environs of Fujairah</w:t>
            </w:r>
          </w:p>
        </w:tc>
        <w:tc>
          <w:tcPr>
            <w:tcW w:w="2700" w:type="dxa"/>
            <w:vAlign w:val="center"/>
          </w:tcPr>
          <w:p w:rsidR="00CA3B52" w:rsidRPr="000A535A" w:rsidRDefault="00CA3B52" w:rsidP="002D1D5C">
            <w:pPr>
              <w:pStyle w:val="Tabletext"/>
              <w:rPr>
                <w:lang w:val="pt-BR"/>
              </w:rPr>
            </w:pPr>
            <w:r w:rsidRPr="000A535A">
              <w:rPr>
                <w:lang w:val="pt-BR"/>
              </w:rPr>
              <w:t>56° 15’ E – 25° 15’ N</w:t>
            </w:r>
          </w:p>
          <w:p w:rsidR="00CA3B52" w:rsidRPr="000A535A" w:rsidRDefault="00CA3B52" w:rsidP="002D1D5C">
            <w:pPr>
              <w:pStyle w:val="Tabletext"/>
              <w:rPr>
                <w:lang w:val="pt-BR"/>
              </w:rPr>
            </w:pPr>
            <w:r w:rsidRPr="000A535A">
              <w:rPr>
                <w:lang w:val="pt-BR"/>
              </w:rPr>
              <w:t>56° 25’ E – 25° 15’ N</w:t>
            </w:r>
          </w:p>
          <w:p w:rsidR="00CA3B52" w:rsidRPr="000A535A" w:rsidRDefault="00CA3B52" w:rsidP="002D1D5C">
            <w:pPr>
              <w:pStyle w:val="Tabletext"/>
              <w:rPr>
                <w:lang w:val="pt-BR"/>
              </w:rPr>
            </w:pPr>
            <w:r w:rsidRPr="000A535A">
              <w:rPr>
                <w:lang w:val="pt-BR"/>
              </w:rPr>
              <w:t>56° 25’ E – 25° 00’ N</w:t>
            </w:r>
          </w:p>
          <w:p w:rsidR="00CA3B52" w:rsidRPr="00CB6CBA" w:rsidRDefault="00CA3B52" w:rsidP="002D1D5C">
            <w:pPr>
              <w:pStyle w:val="Tabletext"/>
              <w:rPr>
                <w:lang w:val="en-US"/>
              </w:rPr>
            </w:pPr>
            <w:r w:rsidRPr="00CB6CBA">
              <w:rPr>
                <w:lang w:val="en-US"/>
              </w:rPr>
              <w:t>56° 15’ E – 25° 00’ N</w:t>
            </w:r>
          </w:p>
        </w:tc>
      </w:tr>
      <w:tr w:rsidR="00CA3B52" w:rsidRPr="00CB6CBA" w:rsidTr="002D1D5C">
        <w:trPr>
          <w:trHeight w:val="1250"/>
          <w:jc w:val="center"/>
        </w:trPr>
        <w:tc>
          <w:tcPr>
            <w:tcW w:w="1764" w:type="dxa"/>
            <w:vMerge/>
          </w:tcPr>
          <w:p w:rsidR="00CA3B52" w:rsidRPr="00CB6CBA" w:rsidRDefault="00CA3B52" w:rsidP="002D1D5C">
            <w:pPr>
              <w:pStyle w:val="Tabletext"/>
              <w:rPr>
                <w:lang w:val="en-US"/>
              </w:rPr>
            </w:pPr>
          </w:p>
        </w:tc>
        <w:tc>
          <w:tcPr>
            <w:tcW w:w="3610" w:type="dxa"/>
          </w:tcPr>
          <w:p w:rsidR="00CA3B52" w:rsidRPr="00CB6CBA" w:rsidRDefault="00CA3B52" w:rsidP="002D1D5C">
            <w:pPr>
              <w:pStyle w:val="Tabletext"/>
              <w:rPr>
                <w:lang w:val="en-US" w:eastAsia="de-DE"/>
              </w:rPr>
            </w:pPr>
            <w:r w:rsidRPr="00CB6CBA">
              <w:rPr>
                <w:lang w:val="en-US" w:eastAsia="de-DE"/>
              </w:rPr>
              <w:t>City and environs of Ras Al Khaimah</w:t>
            </w:r>
          </w:p>
        </w:tc>
        <w:tc>
          <w:tcPr>
            <w:tcW w:w="2700" w:type="dxa"/>
            <w:vAlign w:val="center"/>
          </w:tcPr>
          <w:p w:rsidR="00CA3B52" w:rsidRPr="000A535A" w:rsidRDefault="00CA3B52" w:rsidP="002D1D5C">
            <w:pPr>
              <w:pStyle w:val="Tabletext"/>
              <w:rPr>
                <w:lang w:val="pt-BR" w:eastAsia="de-DE"/>
              </w:rPr>
            </w:pPr>
            <w:r w:rsidRPr="000A535A">
              <w:rPr>
                <w:lang w:val="pt-BR" w:eastAsia="de-DE"/>
              </w:rPr>
              <w:t>55° 50’ E – 25° 55’ N</w:t>
            </w:r>
          </w:p>
          <w:p w:rsidR="00CA3B52" w:rsidRPr="000A535A" w:rsidRDefault="00CA3B52" w:rsidP="002D1D5C">
            <w:pPr>
              <w:pStyle w:val="Tabletext"/>
              <w:rPr>
                <w:lang w:val="pt-BR" w:eastAsia="de-DE"/>
              </w:rPr>
            </w:pPr>
            <w:r w:rsidRPr="000A535A">
              <w:rPr>
                <w:lang w:val="pt-BR" w:eastAsia="de-DE"/>
              </w:rPr>
              <w:t>56° 05’ E – 25° 55’ N</w:t>
            </w:r>
          </w:p>
          <w:p w:rsidR="00CA3B52" w:rsidRPr="000A535A" w:rsidRDefault="00CA3B52" w:rsidP="002D1D5C">
            <w:pPr>
              <w:pStyle w:val="Tabletext"/>
              <w:rPr>
                <w:lang w:val="pt-BR" w:eastAsia="de-DE"/>
              </w:rPr>
            </w:pPr>
            <w:r w:rsidRPr="000A535A">
              <w:rPr>
                <w:lang w:val="pt-BR" w:eastAsia="de-DE"/>
              </w:rPr>
              <w:t>56° 05’ E – 25° 40’ N</w:t>
            </w:r>
          </w:p>
          <w:p w:rsidR="00CA3B52" w:rsidRPr="00CB6CBA" w:rsidRDefault="00CA3B52" w:rsidP="002D1D5C">
            <w:pPr>
              <w:pStyle w:val="Tabletext"/>
              <w:rPr>
                <w:lang w:val="en-US" w:eastAsia="de-DE"/>
              </w:rPr>
            </w:pPr>
            <w:r w:rsidRPr="00CB6CBA">
              <w:rPr>
                <w:lang w:val="en-US" w:eastAsia="de-DE"/>
              </w:rPr>
              <w:t>55° 50’ E – 25° 40’ N</w:t>
            </w:r>
          </w:p>
        </w:tc>
      </w:tr>
      <w:tr w:rsidR="00CA3B52" w:rsidRPr="005C1150" w:rsidTr="002D1D5C">
        <w:trPr>
          <w:trHeight w:val="958"/>
          <w:jc w:val="center"/>
        </w:trPr>
        <w:tc>
          <w:tcPr>
            <w:tcW w:w="1764" w:type="dxa"/>
            <w:vMerge/>
          </w:tcPr>
          <w:p w:rsidR="00CA3B52" w:rsidRPr="00CB6CBA" w:rsidRDefault="00CA3B52" w:rsidP="002D1D5C">
            <w:pPr>
              <w:pStyle w:val="Tabletext"/>
              <w:rPr>
                <w:lang w:val="en-US"/>
              </w:rPr>
            </w:pPr>
          </w:p>
        </w:tc>
        <w:tc>
          <w:tcPr>
            <w:tcW w:w="3610" w:type="dxa"/>
            <w:vAlign w:val="center"/>
          </w:tcPr>
          <w:p w:rsidR="00CA3B52" w:rsidRPr="00CB6CBA" w:rsidRDefault="00CA3B52" w:rsidP="002D1D5C">
            <w:pPr>
              <w:pStyle w:val="Tabletext"/>
              <w:rPr>
                <w:lang w:val="en-US" w:eastAsia="de-DE"/>
              </w:rPr>
            </w:pPr>
            <w:r w:rsidRPr="00CB6CBA">
              <w:rPr>
                <w:lang w:val="en-US" w:eastAsia="de-DE"/>
              </w:rPr>
              <w:t xml:space="preserve">Area between </w:t>
            </w:r>
            <w:r w:rsidRPr="00CB6CBA">
              <w:rPr>
                <w:lang w:val="en-US"/>
              </w:rPr>
              <w:t xml:space="preserve">Umm Al Quwein and </w:t>
            </w:r>
            <w:r w:rsidRPr="00CB6CBA">
              <w:rPr>
                <w:lang w:val="en-US" w:eastAsia="de-DE"/>
              </w:rPr>
              <w:t>Ras Al Khaimah</w:t>
            </w:r>
          </w:p>
        </w:tc>
        <w:tc>
          <w:tcPr>
            <w:tcW w:w="2700" w:type="dxa"/>
          </w:tcPr>
          <w:p w:rsidR="00CA3B52" w:rsidRPr="000A535A" w:rsidRDefault="00CA3B52" w:rsidP="002D1D5C">
            <w:pPr>
              <w:pStyle w:val="Tabletext"/>
              <w:rPr>
                <w:lang w:val="pt-BR"/>
              </w:rPr>
            </w:pPr>
            <w:r w:rsidRPr="000A535A">
              <w:rPr>
                <w:lang w:val="pt-BR"/>
              </w:rPr>
              <w:t>55° 30’ E – 25° 40’ N</w:t>
            </w:r>
          </w:p>
          <w:p w:rsidR="00CA3B52" w:rsidRPr="000A535A" w:rsidRDefault="00CA3B52" w:rsidP="002D1D5C">
            <w:pPr>
              <w:pStyle w:val="Tabletext"/>
              <w:rPr>
                <w:lang w:val="pt-BR"/>
              </w:rPr>
            </w:pPr>
            <w:r w:rsidRPr="000A535A">
              <w:rPr>
                <w:lang w:val="pt-BR"/>
              </w:rPr>
              <w:t>56° 05’ E – 25° 40’ N</w:t>
            </w:r>
          </w:p>
          <w:p w:rsidR="00CA3B52" w:rsidRPr="000A535A" w:rsidRDefault="00CA3B52" w:rsidP="002D1D5C">
            <w:pPr>
              <w:pStyle w:val="Tabletext"/>
              <w:rPr>
                <w:lang w:val="pt-BR"/>
              </w:rPr>
            </w:pPr>
            <w:r w:rsidRPr="000A535A">
              <w:rPr>
                <w:lang w:val="pt-BR"/>
              </w:rPr>
              <w:t>55° 55’ E – 25° 20’ N</w:t>
            </w:r>
          </w:p>
        </w:tc>
      </w:tr>
      <w:tr w:rsidR="00CA3B52" w:rsidRPr="00CB6CBA" w:rsidTr="002D1D5C">
        <w:trPr>
          <w:trHeight w:val="350"/>
          <w:jc w:val="center"/>
        </w:trPr>
        <w:tc>
          <w:tcPr>
            <w:tcW w:w="1764" w:type="dxa"/>
            <w:tcBorders>
              <w:bottom w:val="single" w:sz="4" w:space="0" w:color="auto"/>
            </w:tcBorders>
            <w:vAlign w:val="center"/>
          </w:tcPr>
          <w:p w:rsidR="00CA3B52" w:rsidRPr="00CB6CBA" w:rsidRDefault="00CA3B52" w:rsidP="002D1D5C">
            <w:pPr>
              <w:pStyle w:val="Tabletext"/>
              <w:rPr>
                <w:lang w:val="en-US" w:eastAsia="de-DE"/>
              </w:rPr>
            </w:pPr>
            <w:r w:rsidRPr="00CB6CBA">
              <w:rPr>
                <w:lang w:val="en-US" w:eastAsia="de-DE"/>
              </w:rPr>
              <w:t>0.50 (low)</w:t>
            </w:r>
          </w:p>
        </w:tc>
        <w:tc>
          <w:tcPr>
            <w:tcW w:w="6310" w:type="dxa"/>
            <w:gridSpan w:val="2"/>
            <w:tcBorders>
              <w:bottom w:val="single" w:sz="4" w:space="0" w:color="auto"/>
            </w:tcBorders>
            <w:vAlign w:val="center"/>
          </w:tcPr>
          <w:p w:rsidR="00CA3B52" w:rsidRPr="00CB6CBA" w:rsidRDefault="00CA3B52" w:rsidP="002D1D5C">
            <w:pPr>
              <w:pStyle w:val="Tabletext"/>
              <w:rPr>
                <w:lang w:val="en-US" w:eastAsia="de-DE"/>
              </w:rPr>
            </w:pPr>
            <w:r w:rsidRPr="00CB6CBA">
              <w:rPr>
                <w:lang w:val="en-US" w:eastAsia="de-DE"/>
              </w:rPr>
              <w:t>All remaining areas</w:t>
            </w:r>
          </w:p>
        </w:tc>
      </w:tr>
      <w:tr w:rsidR="00CA3B52" w:rsidRPr="00F65451" w:rsidTr="002D1D5C">
        <w:trPr>
          <w:trHeight w:val="350"/>
          <w:jc w:val="center"/>
        </w:trPr>
        <w:tc>
          <w:tcPr>
            <w:tcW w:w="8074" w:type="dxa"/>
            <w:gridSpan w:val="3"/>
            <w:tcBorders>
              <w:left w:val="nil"/>
              <w:bottom w:val="nil"/>
              <w:right w:val="nil"/>
            </w:tcBorders>
            <w:vAlign w:val="center"/>
          </w:tcPr>
          <w:p w:rsidR="00CA3B52" w:rsidRPr="00CB6CBA" w:rsidRDefault="00CA3B52" w:rsidP="002D1D5C">
            <w:pPr>
              <w:pStyle w:val="TableLegendNote"/>
            </w:pPr>
            <w:r w:rsidRPr="00CC0A78">
              <w:t>NOTE 1</w:t>
            </w:r>
            <w:r>
              <w:t xml:space="preserve"> –</w:t>
            </w:r>
            <w:r w:rsidRPr="00CB6CBA">
              <w:t xml:space="preserve"> Any transmission from a certain location having medium or low Service Zone Factor into (partly or entirely) a higher Service Zone will upgrade this particular station in Service Zone Factor to the higher level which may be also a two step increase and the decision of the TRA shall be final in this regard. The TRA shall have the sole discretion to determine Service Zone for an Application.</w:t>
            </w:r>
          </w:p>
          <w:p w:rsidR="00CA3B52" w:rsidRPr="00CB6CBA" w:rsidRDefault="00CA3B52" w:rsidP="002D1D5C">
            <w:pPr>
              <w:pStyle w:val="TableLegendNote"/>
              <w:rPr>
                <w:lang w:eastAsia="de-DE"/>
              </w:rPr>
            </w:pPr>
            <w:r w:rsidRPr="00CC0A78">
              <w:t>NOTE 2</w:t>
            </w:r>
            <w:r>
              <w:t xml:space="preserve"> –</w:t>
            </w:r>
            <w:r w:rsidRPr="00CB6CBA">
              <w:t xml:space="preserve"> For Broadcasting Services in the HF and lower frequency bands, the Service Zone Factor </w:t>
            </w:r>
            <w:r w:rsidRPr="00CB6CBA">
              <w:rPr>
                <w:b/>
                <w:bCs/>
              </w:rPr>
              <w:t>SZ</w:t>
            </w:r>
            <w:r w:rsidRPr="00CB6CBA">
              <w:t xml:space="preserve"> = 1.</w:t>
            </w:r>
          </w:p>
        </w:tc>
      </w:tr>
    </w:tbl>
    <w:p w:rsidR="00CA3B52" w:rsidRPr="00FF546D" w:rsidRDefault="00CA3B52" w:rsidP="00F65451">
      <w:pPr>
        <w:pStyle w:val="Tablefin"/>
      </w:pPr>
    </w:p>
    <w:p w:rsidR="00CA3B52" w:rsidRPr="00CB6CBA" w:rsidRDefault="00CA3B52" w:rsidP="00CA3B52">
      <w:pPr>
        <w:pStyle w:val="enumlev1"/>
        <w:rPr>
          <w:lang w:val="en-US"/>
        </w:rPr>
      </w:pPr>
      <w:r w:rsidRPr="00CB6CBA">
        <w:rPr>
          <w:b/>
          <w:lang w:val="en-US"/>
        </w:rPr>
        <w:tab/>
        <w:t xml:space="preserve">H </w:t>
      </w:r>
      <w:r w:rsidRPr="00AA457D">
        <w:rPr>
          <w:bCs/>
          <w:lang w:val="en-US"/>
        </w:rPr>
        <w:t>=</w:t>
      </w:r>
      <w:r w:rsidRPr="00CB6CBA">
        <w:rPr>
          <w:b/>
          <w:lang w:val="en-US"/>
        </w:rPr>
        <w:t xml:space="preserve"> Antenna Height Factor </w:t>
      </w:r>
      <w:r w:rsidRPr="00CB6CBA">
        <w:rPr>
          <w:lang w:val="en-US"/>
        </w:rPr>
        <w:t>is the Antenna Height above ground level in meters including building, tower and a hill.</w:t>
      </w:r>
    </w:p>
    <w:p w:rsidR="00CA3B52" w:rsidRPr="00CB6CBA" w:rsidRDefault="00CA3B52" w:rsidP="00CA3B52">
      <w:pPr>
        <w:pStyle w:val="enumlev1"/>
        <w:rPr>
          <w:b/>
          <w:lang w:val="en-US"/>
        </w:rPr>
      </w:pPr>
      <w:r w:rsidRPr="00CB6CBA">
        <w:rPr>
          <w:lang w:val="en-US"/>
        </w:rPr>
        <w:tab/>
      </w:r>
      <w:r w:rsidRPr="00CB6CBA">
        <w:rPr>
          <w:b/>
          <w:lang w:val="en-US"/>
        </w:rPr>
        <w:t xml:space="preserve">C </w:t>
      </w:r>
      <w:r w:rsidRPr="00AA457D">
        <w:rPr>
          <w:bCs/>
          <w:lang w:val="en-US"/>
        </w:rPr>
        <w:t>=</w:t>
      </w:r>
      <w:r w:rsidRPr="00CB6CBA">
        <w:rPr>
          <w:b/>
          <w:lang w:val="en-US"/>
        </w:rPr>
        <w:t xml:space="preserve"> Correction Factor as follows</w:t>
      </w:r>
      <w:r w:rsidRPr="00215E02">
        <w:rPr>
          <w:bCs/>
          <w:lang w:val="en-US"/>
        </w:rPr>
        <w:t>:</w:t>
      </w:r>
    </w:p>
    <w:p w:rsidR="00CA3B52" w:rsidRPr="00CB6CBA" w:rsidRDefault="00CA3B52" w:rsidP="00CA3B52">
      <w:pPr>
        <w:pStyle w:val="enumlev2"/>
        <w:rPr>
          <w:lang w:val="en-US"/>
        </w:rPr>
      </w:pPr>
      <w:r w:rsidRPr="00CB6CBA">
        <w:rPr>
          <w:lang w:val="en-US"/>
        </w:rPr>
        <w:t>a)</w:t>
      </w:r>
      <w:r w:rsidRPr="00CB6CBA">
        <w:rPr>
          <w:lang w:val="en-US"/>
        </w:rPr>
        <w:tab/>
        <w:t xml:space="preserve">For Governmental Broadcasting Stations which are operating on a non-commercial basis, a Correction Factor </w:t>
      </w:r>
      <w:r w:rsidRPr="00CB6CBA">
        <w:rPr>
          <w:b/>
          <w:bCs/>
          <w:lang w:val="en-US"/>
        </w:rPr>
        <w:t>C</w:t>
      </w:r>
      <w:r w:rsidRPr="00CB6CBA">
        <w:rPr>
          <w:lang w:val="en-US"/>
        </w:rPr>
        <w:t xml:space="preserve"> = 0.5 shall be applied.</w:t>
      </w:r>
    </w:p>
    <w:p w:rsidR="00CA3B52" w:rsidRPr="00CB6CBA" w:rsidRDefault="00CA3B52" w:rsidP="00CA3B52">
      <w:pPr>
        <w:pStyle w:val="enumlev2"/>
        <w:rPr>
          <w:lang w:val="en-US"/>
        </w:rPr>
      </w:pPr>
      <w:r w:rsidRPr="00CB6CBA">
        <w:rPr>
          <w:lang w:val="en-US"/>
        </w:rPr>
        <w:t>b)</w:t>
      </w:r>
      <w:r w:rsidRPr="00CB6CBA">
        <w:rPr>
          <w:lang w:val="en-US"/>
        </w:rPr>
        <w:tab/>
        <w:t xml:space="preserve">For promoting digital switchover, digital terrestrial audio and video broadcasting transmitters (excluding Terrestrial Mobile TV Broadcasting </w:t>
      </w:r>
      <w:r w:rsidRPr="00000473">
        <w:rPr>
          <w:lang w:val="en-US"/>
        </w:rPr>
        <w:t>–</w:t>
      </w:r>
      <w:r w:rsidRPr="00CB6CBA">
        <w:rPr>
          <w:lang w:val="en-US"/>
        </w:rPr>
        <w:t xml:space="preserve"> Handheld) shall be granted a reduction of 50% during the period before 30</w:t>
      </w:r>
      <w:r w:rsidRPr="00CB6CBA">
        <w:rPr>
          <w:vertAlign w:val="superscript"/>
          <w:lang w:val="en-US"/>
        </w:rPr>
        <w:t>th</w:t>
      </w:r>
      <w:r w:rsidRPr="00CB6CBA">
        <w:rPr>
          <w:lang w:val="en-US"/>
        </w:rPr>
        <w:t xml:space="preserve"> December 2015; (i.e.</w:t>
      </w:r>
      <w:r>
        <w:rPr>
          <w:lang w:val="en-US"/>
        </w:rPr>
        <w:t> </w:t>
      </w:r>
      <w:r w:rsidRPr="00CB6CBA">
        <w:rPr>
          <w:lang w:val="en-US"/>
        </w:rPr>
        <w:t xml:space="preserve">Correction Factor </w:t>
      </w:r>
      <w:r w:rsidRPr="00CB6CBA">
        <w:rPr>
          <w:b/>
          <w:bCs/>
          <w:lang w:val="en-US"/>
        </w:rPr>
        <w:t>C</w:t>
      </w:r>
      <w:r w:rsidRPr="00CB6CBA">
        <w:rPr>
          <w:lang w:val="en-US"/>
        </w:rPr>
        <w:t xml:space="preserve"> = 0.5). This reduction is only limited to the above specified period and may be accompanied with other conditions as determined by the TRA.</w:t>
      </w:r>
    </w:p>
    <w:p w:rsidR="00CA3B52" w:rsidRPr="00CB6CBA" w:rsidRDefault="00CA3B52" w:rsidP="00CA3B52">
      <w:pPr>
        <w:pStyle w:val="enumlev2"/>
        <w:rPr>
          <w:lang w:val="en-US"/>
        </w:rPr>
      </w:pPr>
      <w:r w:rsidRPr="00CB6CBA">
        <w:rPr>
          <w:lang w:val="en-US"/>
        </w:rPr>
        <w:t>c)</w:t>
      </w:r>
      <w:r w:rsidRPr="00CB6CBA">
        <w:rPr>
          <w:lang w:val="en-US"/>
        </w:rPr>
        <w:tab/>
        <w:t xml:space="preserve">For all other assignments, the value of Correction Factor </w:t>
      </w:r>
      <w:r w:rsidRPr="00CB6CBA">
        <w:rPr>
          <w:b/>
          <w:bCs/>
          <w:lang w:val="en-US"/>
        </w:rPr>
        <w:t>C</w:t>
      </w:r>
      <w:r w:rsidRPr="00CB6CBA">
        <w:rPr>
          <w:lang w:val="en-US"/>
        </w:rPr>
        <w:t xml:space="preserve"> = 1.</w:t>
      </w:r>
    </w:p>
    <w:p w:rsidR="00CA3B52" w:rsidRPr="00CB6CBA" w:rsidRDefault="00CA3B52" w:rsidP="00F65451">
      <w:pPr>
        <w:pStyle w:val="enumlev1"/>
        <w:keepNext/>
        <w:keepLines/>
        <w:rPr>
          <w:lang w:val="en-US"/>
        </w:rPr>
      </w:pPr>
      <w:bookmarkStart w:id="1985" w:name="_Toc195057826"/>
      <w:r w:rsidRPr="00CB6CBA">
        <w:rPr>
          <w:lang w:val="en-US"/>
        </w:rPr>
        <w:lastRenderedPageBreak/>
        <w:t>25.2</w:t>
      </w:r>
      <w:r w:rsidRPr="00CB6CBA">
        <w:rPr>
          <w:lang w:val="en-US"/>
        </w:rPr>
        <w:tab/>
        <w:t>HF Seasonal Sound Broadcasting:</w:t>
      </w:r>
    </w:p>
    <w:p w:rsidR="00CA3B52" w:rsidRDefault="00CA3B52" w:rsidP="00CA3B52">
      <w:pPr>
        <w:pStyle w:val="enumlev1"/>
        <w:keepNext/>
        <w:keepLines/>
        <w:rPr>
          <w:lang w:val="en-US"/>
        </w:rPr>
      </w:pPr>
      <w:r w:rsidRPr="00CB6CBA">
        <w:rPr>
          <w:lang w:val="en-US"/>
        </w:rPr>
        <w:tab/>
        <w:t>For HF Seasonal Sound Broadcasting Services, the Spectrum Fee shall be charged per transmitter basis and for each transmitter the Annual Spectrum Fees shall be:</w:t>
      </w:r>
    </w:p>
    <w:p w:rsidR="00CA3B52" w:rsidRPr="00CB6CBA" w:rsidRDefault="00CA3B52" w:rsidP="00CA3B52">
      <w:pPr>
        <w:pStyle w:val="Blanc"/>
      </w:pPr>
    </w:p>
    <w:p w:rsidR="00CA3B52" w:rsidRPr="00CB6CBA" w:rsidRDefault="00215E02" w:rsidP="00F65451">
      <w:pPr>
        <w:pStyle w:val="Equation"/>
        <w:rPr>
          <w:lang w:val="en-US"/>
        </w:rPr>
      </w:pPr>
      <w:r>
        <w:rPr>
          <w:lang w:val="en-US"/>
        </w:rPr>
        <w:tab/>
      </w:r>
      <w:r>
        <w:rPr>
          <w:lang w:val="en-US"/>
        </w:rPr>
        <w:tab/>
      </w:r>
      <w:r w:rsidR="00CA3B52" w:rsidRPr="00CB6CBA">
        <w:rPr>
          <w:lang w:val="en-US"/>
        </w:rPr>
        <w:t>Spectrum Fees for each HF transmitter = AED 20</w:t>
      </w:r>
      <w:r w:rsidR="00CA3B52">
        <w:rPr>
          <w:lang w:val="en-US"/>
        </w:rPr>
        <w:t>.</w:t>
      </w:r>
      <w:r w:rsidR="00CA3B52" w:rsidRPr="00CB6CBA">
        <w:rPr>
          <w:lang w:val="en-US"/>
        </w:rPr>
        <w:t>000/-</w:t>
      </w:r>
    </w:p>
    <w:bookmarkEnd w:id="1985"/>
    <w:p w:rsidR="00CA3B52" w:rsidRDefault="00CA3B52" w:rsidP="00CA3B52">
      <w:pPr>
        <w:pStyle w:val="Blanc"/>
      </w:pPr>
    </w:p>
    <w:p w:rsidR="00CA3B52" w:rsidRPr="00CB6CBA" w:rsidRDefault="00CA3B52" w:rsidP="00F65451">
      <w:pPr>
        <w:pStyle w:val="enumlev1"/>
        <w:rPr>
          <w:lang w:val="en-US"/>
        </w:rPr>
      </w:pPr>
      <w:r w:rsidRPr="00CB6CBA">
        <w:rPr>
          <w:lang w:val="en-US"/>
        </w:rPr>
        <w:t>25.3</w:t>
      </w:r>
      <w:r w:rsidRPr="00CB6CBA">
        <w:rPr>
          <w:lang w:val="en-US"/>
        </w:rPr>
        <w:tab/>
        <w:t>Satellite Radio and Television Broadcasting</w:t>
      </w:r>
      <w:r>
        <w:rPr>
          <w:lang w:val="en-US"/>
        </w:rPr>
        <w:t>:</w:t>
      </w:r>
    </w:p>
    <w:p w:rsidR="00CA3B52" w:rsidRPr="00CB6CBA" w:rsidRDefault="00CA3B52" w:rsidP="00CA3B52">
      <w:pPr>
        <w:pStyle w:val="enumlev1"/>
        <w:rPr>
          <w:lang w:val="en-US"/>
        </w:rPr>
      </w:pPr>
      <w:r w:rsidRPr="00CB6CBA">
        <w:rPr>
          <w:lang w:val="en-US"/>
        </w:rPr>
        <w:tab/>
        <w:t>Uplinking of DAB, DVB-S and DVB-SH shall be charged at 200</w:t>
      </w:r>
      <w:r>
        <w:rPr>
          <w:lang w:val="en-US"/>
        </w:rPr>
        <w:t>.</w:t>
      </w:r>
      <w:r w:rsidRPr="00CB6CBA">
        <w:rPr>
          <w:lang w:val="en-US"/>
        </w:rPr>
        <w:t>000 AED per multiplex unit and DVB-RCS by 400</w:t>
      </w:r>
      <w:r>
        <w:rPr>
          <w:lang w:val="en-US"/>
        </w:rPr>
        <w:t>.</w:t>
      </w:r>
      <w:r w:rsidRPr="00CB6CBA">
        <w:rPr>
          <w:lang w:val="en-US"/>
        </w:rPr>
        <w:t>000 AED per multiplex unit.</w:t>
      </w:r>
    </w:p>
    <w:p w:rsidR="00CA3B52" w:rsidRDefault="00CA3B52" w:rsidP="00215E02">
      <w:pPr>
        <w:pStyle w:val="Note"/>
        <w:ind w:left="794" w:hanging="794"/>
        <w:rPr>
          <w:lang w:val="en-US"/>
        </w:rPr>
      </w:pPr>
      <w:r w:rsidRPr="00215E02">
        <w:rPr>
          <w:lang w:val="en-US"/>
        </w:rPr>
        <w:tab/>
      </w:r>
      <w:r>
        <w:rPr>
          <w:lang w:val="en-US"/>
        </w:rPr>
        <w:t xml:space="preserve">NOTE 1 – </w:t>
      </w:r>
      <w:r w:rsidRPr="00CB6CBA">
        <w:rPr>
          <w:lang w:val="en-US"/>
        </w:rPr>
        <w:t>A multiplex unit is defined as one channel (signal) with appropriate bandwidth containing several programmes combined by digital multiplexing. The TRA shall have the sole discretion to determine Multiplex Unit for an Application</w:t>
      </w:r>
      <w:r>
        <w:rPr>
          <w:lang w:val="en-US"/>
        </w:rPr>
        <w:t>.</w:t>
      </w:r>
    </w:p>
    <w:p w:rsidR="00CA3B52" w:rsidRPr="00CB6CBA" w:rsidRDefault="00CA3B52" w:rsidP="00CA3B52">
      <w:pPr>
        <w:pStyle w:val="ArtNo"/>
        <w:rPr>
          <w:lang w:val="en-US"/>
        </w:rPr>
      </w:pPr>
      <w:r w:rsidRPr="00CB6CBA">
        <w:rPr>
          <w:lang w:val="en-US"/>
        </w:rPr>
        <w:t>ARTICLE 26</w:t>
      </w:r>
    </w:p>
    <w:p w:rsidR="00CA3B52" w:rsidRPr="00CB6CBA" w:rsidRDefault="00CA3B52" w:rsidP="00CA3B52">
      <w:pPr>
        <w:pStyle w:val="Arttitle"/>
        <w:rPr>
          <w:lang w:val="en-US"/>
        </w:rPr>
      </w:pPr>
      <w:bookmarkStart w:id="1986" w:name="_Toc237657997"/>
      <w:r w:rsidRPr="00CB6CBA">
        <w:rPr>
          <w:lang w:val="en-US"/>
        </w:rPr>
        <w:t>Short Range Devices</w:t>
      </w:r>
      <w:bookmarkEnd w:id="1986"/>
    </w:p>
    <w:p w:rsidR="00CA3B52" w:rsidRPr="00CB6CBA" w:rsidRDefault="00CA3B52" w:rsidP="00CA3B52">
      <w:pPr>
        <w:pStyle w:val="enumlev1"/>
        <w:rPr>
          <w:lang w:val="en-US"/>
        </w:rPr>
      </w:pPr>
      <w:r w:rsidRPr="00CB6CBA">
        <w:rPr>
          <w:lang w:val="en-US"/>
        </w:rPr>
        <w:t>26.1</w:t>
      </w:r>
      <w:r w:rsidRPr="00CB6CBA">
        <w:rPr>
          <w:lang w:val="en-US"/>
        </w:rPr>
        <w:tab/>
        <w:t xml:space="preserve">All Wireless Transmission equipment meeting the criteria of the Short Range Devices as determined by the TRA shall be exempted from the annual Spectrum Fees. </w:t>
      </w:r>
    </w:p>
    <w:p w:rsidR="00CA3B52" w:rsidRPr="00CB6CBA" w:rsidRDefault="00CA3B52" w:rsidP="00CA3B52">
      <w:pPr>
        <w:pStyle w:val="enumlev1"/>
        <w:rPr>
          <w:lang w:val="en-US"/>
        </w:rPr>
      </w:pPr>
      <w:r w:rsidRPr="00CB6CBA">
        <w:rPr>
          <w:lang w:val="en-US"/>
        </w:rPr>
        <w:t>26.2</w:t>
      </w:r>
      <w:r w:rsidRPr="00CB6CBA">
        <w:rPr>
          <w:lang w:val="en-US"/>
        </w:rPr>
        <w:tab/>
        <w:t>Low Power Transmitting Devices meeting the criteria of the Low Power Transmitting Devices as determined by the TRA shall be charged as follows:</w:t>
      </w:r>
    </w:p>
    <w:p w:rsidR="00CA3B52" w:rsidRDefault="00CA3B52" w:rsidP="00CA3B52">
      <w:pPr>
        <w:pStyle w:val="TableNo"/>
        <w:rPr>
          <w:lang w:val="en-US"/>
        </w:rPr>
      </w:pPr>
      <w:r w:rsidRPr="00CB6CBA">
        <w:rPr>
          <w:lang w:val="en-US"/>
        </w:rPr>
        <w:t xml:space="preserve">TABLE </w:t>
      </w:r>
      <w:r>
        <w:rPr>
          <w:lang w:val="en-US"/>
        </w:rPr>
        <w:t>4</w:t>
      </w:r>
    </w:p>
    <w:p w:rsidR="00CA3B52" w:rsidRPr="00CB6CBA" w:rsidRDefault="00CA3B52" w:rsidP="00CA3B52">
      <w:pPr>
        <w:pStyle w:val="Tabletitle"/>
        <w:rPr>
          <w:lang w:val="en-US"/>
        </w:rPr>
      </w:pPr>
      <w:r w:rsidRPr="00CB6CBA">
        <w:rPr>
          <w:lang w:val="en-US"/>
        </w:rPr>
        <w:t>Annual Fee for Low Power Equipment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1628"/>
      </w:tblGrid>
      <w:tr w:rsidR="00CA3B52" w:rsidRPr="00CB6CBA" w:rsidTr="002D1D5C">
        <w:trPr>
          <w:cantSplit/>
          <w:jc w:val="center"/>
        </w:trPr>
        <w:tc>
          <w:tcPr>
            <w:tcW w:w="2470" w:type="dxa"/>
            <w:shd w:val="clear" w:color="auto" w:fill="auto"/>
          </w:tcPr>
          <w:p w:rsidR="00CA3B52" w:rsidRPr="00CB6CBA" w:rsidRDefault="00CA3B52" w:rsidP="002D1D5C">
            <w:pPr>
              <w:pStyle w:val="Tablehead"/>
              <w:rPr>
                <w:lang w:val="en-US"/>
              </w:rPr>
            </w:pPr>
            <w:r w:rsidRPr="00CB6CBA">
              <w:rPr>
                <w:lang w:val="en-US"/>
              </w:rPr>
              <w:t>Radiated Power</w:t>
            </w:r>
          </w:p>
        </w:tc>
        <w:tc>
          <w:tcPr>
            <w:tcW w:w="1628" w:type="dxa"/>
            <w:shd w:val="clear" w:color="auto" w:fill="auto"/>
          </w:tcPr>
          <w:p w:rsidR="00CA3B52" w:rsidRPr="00CB6CBA" w:rsidRDefault="00CA3B52" w:rsidP="002D1D5C">
            <w:pPr>
              <w:pStyle w:val="Tablehead"/>
              <w:rPr>
                <w:lang w:val="en-US"/>
              </w:rPr>
            </w:pPr>
            <w:r w:rsidRPr="00CB6CBA">
              <w:rPr>
                <w:lang w:val="en-US"/>
              </w:rPr>
              <w:t>Annual Fee</w:t>
            </w:r>
          </w:p>
        </w:tc>
      </w:tr>
      <w:tr w:rsidR="00CA3B52" w:rsidRPr="00CB6CBA" w:rsidTr="002D1D5C">
        <w:trPr>
          <w:trHeight w:hRule="exact" w:val="340"/>
          <w:jc w:val="center"/>
        </w:trPr>
        <w:tc>
          <w:tcPr>
            <w:tcW w:w="2470" w:type="dxa"/>
            <w:vAlign w:val="center"/>
          </w:tcPr>
          <w:p w:rsidR="00CA3B52" w:rsidRPr="00CB6CBA" w:rsidRDefault="00CA3B52" w:rsidP="002D1D5C">
            <w:pPr>
              <w:pStyle w:val="Tabletext"/>
              <w:jc w:val="center"/>
              <w:rPr>
                <w:lang w:val="en-US"/>
              </w:rPr>
            </w:pPr>
            <w:r w:rsidRPr="00CB6CBA">
              <w:rPr>
                <w:lang w:val="en-US"/>
              </w:rPr>
              <w:t>≤</w:t>
            </w:r>
            <w:r>
              <w:rPr>
                <w:lang w:val="en-US"/>
              </w:rPr>
              <w:t xml:space="preserve"> </w:t>
            </w:r>
            <w:r w:rsidRPr="00CB6CBA">
              <w:rPr>
                <w:lang w:val="en-US"/>
              </w:rPr>
              <w:t>10 mW</w:t>
            </w:r>
          </w:p>
        </w:tc>
        <w:tc>
          <w:tcPr>
            <w:tcW w:w="1628" w:type="dxa"/>
            <w:vAlign w:val="center"/>
          </w:tcPr>
          <w:p w:rsidR="00CA3B52" w:rsidRPr="00CB6CBA" w:rsidRDefault="00CA3B52" w:rsidP="002D1D5C">
            <w:pPr>
              <w:pStyle w:val="Tabletext"/>
              <w:jc w:val="center"/>
              <w:rPr>
                <w:lang w:val="en-US"/>
              </w:rPr>
            </w:pPr>
            <w:r w:rsidRPr="00CB6CBA">
              <w:rPr>
                <w:lang w:val="en-US"/>
              </w:rPr>
              <w:t>100 AED</w:t>
            </w:r>
          </w:p>
        </w:tc>
      </w:tr>
      <w:tr w:rsidR="00CA3B52" w:rsidRPr="00CB6CBA" w:rsidTr="002D1D5C">
        <w:trPr>
          <w:trHeight w:hRule="exact" w:val="340"/>
          <w:jc w:val="center"/>
        </w:trPr>
        <w:tc>
          <w:tcPr>
            <w:tcW w:w="2470" w:type="dxa"/>
            <w:vAlign w:val="center"/>
          </w:tcPr>
          <w:p w:rsidR="00CA3B52" w:rsidRPr="00CB6CBA" w:rsidRDefault="00CA3B52" w:rsidP="002D1D5C">
            <w:pPr>
              <w:pStyle w:val="Tabletext"/>
              <w:jc w:val="center"/>
              <w:rPr>
                <w:lang w:val="en-US"/>
              </w:rPr>
            </w:pPr>
            <w:r w:rsidRPr="00CB6CBA">
              <w:rPr>
                <w:lang w:val="en-US"/>
              </w:rPr>
              <w:t>10 mW ≤ 100 mW</w:t>
            </w:r>
          </w:p>
        </w:tc>
        <w:tc>
          <w:tcPr>
            <w:tcW w:w="1628" w:type="dxa"/>
            <w:vAlign w:val="center"/>
          </w:tcPr>
          <w:p w:rsidR="00CA3B52" w:rsidRPr="00CB6CBA" w:rsidRDefault="00CA3B52" w:rsidP="002D1D5C">
            <w:pPr>
              <w:pStyle w:val="Tabletext"/>
              <w:jc w:val="center"/>
              <w:rPr>
                <w:lang w:val="en-US"/>
              </w:rPr>
            </w:pPr>
            <w:r w:rsidRPr="00CB6CBA">
              <w:rPr>
                <w:lang w:val="en-US"/>
              </w:rPr>
              <w:t>200 AED</w:t>
            </w:r>
          </w:p>
        </w:tc>
      </w:tr>
      <w:tr w:rsidR="00CA3B52" w:rsidRPr="00CB6CBA" w:rsidTr="002D1D5C">
        <w:trPr>
          <w:trHeight w:hRule="exact" w:val="340"/>
          <w:jc w:val="center"/>
        </w:trPr>
        <w:tc>
          <w:tcPr>
            <w:tcW w:w="2470" w:type="dxa"/>
            <w:vAlign w:val="center"/>
          </w:tcPr>
          <w:p w:rsidR="00CA3B52" w:rsidRPr="00CB6CBA" w:rsidRDefault="00CA3B52" w:rsidP="002D1D5C">
            <w:pPr>
              <w:pStyle w:val="Tabletext"/>
              <w:jc w:val="center"/>
              <w:rPr>
                <w:lang w:val="en-US"/>
              </w:rPr>
            </w:pPr>
            <w:r w:rsidRPr="00CB6CBA">
              <w:rPr>
                <w:lang w:val="en-US"/>
              </w:rPr>
              <w:t>100 mW ≤</w:t>
            </w:r>
            <w:r>
              <w:rPr>
                <w:lang w:val="en-US"/>
              </w:rPr>
              <w:t xml:space="preserve"> </w:t>
            </w:r>
            <w:r w:rsidRPr="00CB6CBA">
              <w:rPr>
                <w:lang w:val="en-US"/>
              </w:rPr>
              <w:t>1 W</w:t>
            </w:r>
          </w:p>
        </w:tc>
        <w:tc>
          <w:tcPr>
            <w:tcW w:w="1628" w:type="dxa"/>
            <w:vAlign w:val="center"/>
          </w:tcPr>
          <w:p w:rsidR="00CA3B52" w:rsidRPr="00CB6CBA" w:rsidRDefault="00CA3B52" w:rsidP="002D1D5C">
            <w:pPr>
              <w:pStyle w:val="Tabletext"/>
              <w:jc w:val="center"/>
              <w:rPr>
                <w:lang w:val="en-US"/>
              </w:rPr>
            </w:pPr>
            <w:r w:rsidRPr="00CB6CBA">
              <w:rPr>
                <w:lang w:val="en-US"/>
              </w:rPr>
              <w:t>400 AED</w:t>
            </w:r>
          </w:p>
        </w:tc>
      </w:tr>
    </w:tbl>
    <w:p w:rsidR="00CA3B52" w:rsidRPr="00CB6CBA" w:rsidRDefault="00CA3B52" w:rsidP="00F65451">
      <w:pPr>
        <w:pStyle w:val="Tablefin"/>
      </w:pPr>
    </w:p>
    <w:p w:rsidR="00CA3B52" w:rsidRPr="00CB6CBA" w:rsidRDefault="00CA3B52" w:rsidP="00CA3B52">
      <w:pPr>
        <w:pStyle w:val="ArtNo"/>
        <w:rPr>
          <w:lang w:val="en-US"/>
        </w:rPr>
      </w:pPr>
      <w:r w:rsidRPr="00CB6CBA">
        <w:rPr>
          <w:lang w:val="en-US"/>
        </w:rPr>
        <w:t>ARTICLE 27</w:t>
      </w:r>
    </w:p>
    <w:p w:rsidR="00CA3B52" w:rsidRPr="00CB6CBA" w:rsidRDefault="00CA3B52" w:rsidP="00CA3B52">
      <w:pPr>
        <w:pStyle w:val="Arttitle"/>
        <w:rPr>
          <w:lang w:val="en-US"/>
        </w:rPr>
      </w:pPr>
      <w:bookmarkStart w:id="1987" w:name="_Toc237657998"/>
      <w:r w:rsidRPr="00CB6CBA">
        <w:rPr>
          <w:lang w:val="en-US"/>
        </w:rPr>
        <w:t>Emergency and disaster frequencies</w:t>
      </w:r>
      <w:bookmarkEnd w:id="1987"/>
      <w:r w:rsidRPr="00CB6CBA">
        <w:rPr>
          <w:lang w:val="en-US"/>
        </w:rPr>
        <w:t xml:space="preserve"> </w:t>
      </w:r>
    </w:p>
    <w:p w:rsidR="00CA3B52" w:rsidRDefault="00CA3B52" w:rsidP="00CA3B52">
      <w:pPr>
        <w:pStyle w:val="enumlev1"/>
        <w:rPr>
          <w:lang w:val="en-US"/>
        </w:rPr>
      </w:pPr>
      <w:r w:rsidRPr="00CB6CBA">
        <w:rPr>
          <w:lang w:val="en-US"/>
        </w:rPr>
        <w:t>27.1</w:t>
      </w:r>
      <w:r w:rsidRPr="00CB6CBA">
        <w:rPr>
          <w:lang w:val="en-US"/>
        </w:rPr>
        <w:tab/>
        <w:t xml:space="preserve">All emergency, distress and safety of life frequencies identified within the National Spectrum Plan and the National Table of Frequency Allocation shall not be charged. All Wireless Transmission equipment made exclusively for safety of life and accepted by the TRA as falling within this category shall be exempted from the spectrum Fees. </w:t>
      </w:r>
    </w:p>
    <w:p w:rsidR="00CA3B52" w:rsidRPr="00CB6CBA" w:rsidRDefault="00CA3B52" w:rsidP="00F65451">
      <w:pPr>
        <w:pStyle w:val="ArtNo"/>
        <w:rPr>
          <w:lang w:val="en-US"/>
        </w:rPr>
      </w:pPr>
      <w:r w:rsidRPr="00CB6CBA">
        <w:rPr>
          <w:lang w:val="en-US"/>
        </w:rPr>
        <w:lastRenderedPageBreak/>
        <w:t>ARTICLE 28</w:t>
      </w:r>
    </w:p>
    <w:p w:rsidR="00CA3B52" w:rsidRPr="00CB6CBA" w:rsidRDefault="00CA3B52" w:rsidP="00CA3B52">
      <w:pPr>
        <w:pStyle w:val="Arttitle"/>
        <w:rPr>
          <w:lang w:val="en-US"/>
        </w:rPr>
      </w:pPr>
      <w:bookmarkStart w:id="1988" w:name="_Toc237657999"/>
      <w:r w:rsidRPr="00CB6CBA">
        <w:rPr>
          <w:lang w:val="en-US"/>
        </w:rPr>
        <w:t>Temporary Authorization</w:t>
      </w:r>
      <w:bookmarkEnd w:id="1988"/>
      <w:r w:rsidRPr="00CB6CBA">
        <w:rPr>
          <w:lang w:val="en-US"/>
        </w:rPr>
        <w:t xml:space="preserve"> </w:t>
      </w:r>
    </w:p>
    <w:p w:rsidR="00CA3B52" w:rsidRDefault="00CA3B52" w:rsidP="00CA3B52">
      <w:pPr>
        <w:pStyle w:val="enumlev1"/>
        <w:keepNext/>
        <w:keepLines/>
        <w:rPr>
          <w:lang w:val="en-US"/>
        </w:rPr>
      </w:pPr>
      <w:r w:rsidRPr="00CB6CBA">
        <w:rPr>
          <w:lang w:val="en-US"/>
        </w:rPr>
        <w:t>28.1</w:t>
      </w:r>
      <w:r w:rsidRPr="00CB6CBA">
        <w:rPr>
          <w:lang w:val="en-US"/>
        </w:rPr>
        <w:tab/>
        <w:t xml:space="preserve">The Annual Spectrum Fees for Temporary Authorization will be calculated on prorate basis of the annual Spectrum Fees in accordance to the Radiocommunication Service. However, a minimum of 100 AED will be charged as Spectrum Fees in case the amount is less than 100 AED. The Spectrum Fees for Temporary Authorization will be in addition to the Application processing Fees. </w:t>
      </w:r>
    </w:p>
    <w:p w:rsidR="00CA3B52" w:rsidRPr="00CB6CBA" w:rsidRDefault="00CA3B52" w:rsidP="00F65451">
      <w:pPr>
        <w:pStyle w:val="ArtNo"/>
        <w:rPr>
          <w:lang w:val="en-US"/>
        </w:rPr>
      </w:pPr>
      <w:r w:rsidRPr="00CB6CBA">
        <w:rPr>
          <w:lang w:val="en-US"/>
        </w:rPr>
        <w:t>ARTICLE 29</w:t>
      </w:r>
    </w:p>
    <w:p w:rsidR="00CA3B52" w:rsidRPr="00CB6CBA" w:rsidRDefault="00CA3B52" w:rsidP="00CA3B52">
      <w:pPr>
        <w:pStyle w:val="Arttitle"/>
        <w:rPr>
          <w:lang w:val="en-US"/>
        </w:rPr>
      </w:pPr>
      <w:bookmarkStart w:id="1989" w:name="_Toc237658000"/>
      <w:r w:rsidRPr="00CB6CBA">
        <w:rPr>
          <w:lang w:val="en-US"/>
        </w:rPr>
        <w:t>Other Radio Services</w:t>
      </w:r>
      <w:bookmarkEnd w:id="1989"/>
    </w:p>
    <w:p w:rsidR="00CA3B52" w:rsidRDefault="00CA3B52" w:rsidP="00CA3B52">
      <w:pPr>
        <w:pStyle w:val="enumlev1"/>
        <w:rPr>
          <w:lang w:val="en-US"/>
        </w:rPr>
      </w:pPr>
      <w:r w:rsidRPr="00CB6CBA">
        <w:rPr>
          <w:lang w:val="en-US"/>
        </w:rPr>
        <w:t>29.1</w:t>
      </w:r>
      <w:r w:rsidRPr="00CB6CBA">
        <w:rPr>
          <w:lang w:val="en-US"/>
        </w:rPr>
        <w:tab/>
        <w:t xml:space="preserve">The Annual Spectrum Fees for an Authorization which is not covered above shall be as determined by the TRA and shall be applicable on approval by the Director General of the TRA, even before inclusion in the revised issue of these Regulations. </w:t>
      </w:r>
    </w:p>
    <w:p w:rsidR="00CA3B52" w:rsidRPr="00CB6CBA" w:rsidRDefault="00CA3B52" w:rsidP="00F65451">
      <w:pPr>
        <w:pStyle w:val="ArtNo"/>
        <w:rPr>
          <w:lang w:val="en-US"/>
        </w:rPr>
      </w:pPr>
      <w:r w:rsidRPr="00CB6CBA">
        <w:rPr>
          <w:lang w:val="en-US"/>
        </w:rPr>
        <w:t>ARTICLE 30</w:t>
      </w:r>
    </w:p>
    <w:p w:rsidR="00CA3B52" w:rsidRPr="00CB6CBA" w:rsidRDefault="00CA3B52" w:rsidP="00CA3B52">
      <w:pPr>
        <w:pStyle w:val="Arttitle"/>
        <w:rPr>
          <w:lang w:val="en-US"/>
        </w:rPr>
      </w:pPr>
      <w:bookmarkStart w:id="1990" w:name="_Toc237658001"/>
      <w:r w:rsidRPr="00CB6CBA">
        <w:rPr>
          <w:lang w:val="en-US"/>
        </w:rPr>
        <w:t>Interference complaints processing and monitoring Fees</w:t>
      </w:r>
      <w:bookmarkEnd w:id="1990"/>
      <w:r w:rsidRPr="00CB6CBA">
        <w:rPr>
          <w:lang w:val="en-US"/>
        </w:rPr>
        <w:t xml:space="preserve"> </w:t>
      </w:r>
    </w:p>
    <w:p w:rsidR="00CA3B52" w:rsidRDefault="00CA3B52" w:rsidP="00CA3B52">
      <w:pPr>
        <w:pStyle w:val="enumlev1"/>
        <w:rPr>
          <w:color w:val="000000"/>
          <w:lang w:val="en-US"/>
        </w:rPr>
      </w:pPr>
      <w:r w:rsidRPr="00CB6CBA">
        <w:rPr>
          <w:lang w:val="en-US"/>
        </w:rPr>
        <w:t>30.1</w:t>
      </w:r>
      <w:r w:rsidRPr="00CB6CBA">
        <w:rPr>
          <w:lang w:val="en-US"/>
        </w:rPr>
        <w:tab/>
        <w:t>The TRA does not charge for attending the interference complaints and monitoring</w:t>
      </w:r>
      <w:r w:rsidRPr="00CB6CBA">
        <w:rPr>
          <w:color w:val="000000"/>
          <w:lang w:val="en-US"/>
        </w:rPr>
        <w:t xml:space="preserve">. </w:t>
      </w:r>
    </w:p>
    <w:p w:rsidR="00CA3B52" w:rsidRPr="00CB6CBA" w:rsidRDefault="00CA3B52" w:rsidP="00F65451">
      <w:pPr>
        <w:pStyle w:val="ArtNo"/>
        <w:rPr>
          <w:lang w:val="en-US"/>
        </w:rPr>
      </w:pPr>
      <w:r w:rsidRPr="00CB6CBA">
        <w:rPr>
          <w:lang w:val="en-US"/>
        </w:rPr>
        <w:t>ARTICLE 31</w:t>
      </w:r>
    </w:p>
    <w:p w:rsidR="00CA3B52" w:rsidRPr="00CB6CBA" w:rsidRDefault="00CA3B52" w:rsidP="00CA3B52">
      <w:pPr>
        <w:pStyle w:val="Arttitle"/>
        <w:rPr>
          <w:lang w:val="en-US"/>
        </w:rPr>
      </w:pPr>
      <w:bookmarkStart w:id="1991" w:name="_Toc237658002"/>
      <w:r w:rsidRPr="00CB6CBA">
        <w:rPr>
          <w:lang w:val="en-US"/>
        </w:rPr>
        <w:t>Fees for the Foreign Embassies, Consulates and Diplomatic Missions</w:t>
      </w:r>
      <w:bookmarkEnd w:id="1991"/>
      <w:r w:rsidRPr="00CB6CBA">
        <w:rPr>
          <w:lang w:val="en-US"/>
        </w:rPr>
        <w:t xml:space="preserve"> </w:t>
      </w:r>
    </w:p>
    <w:p w:rsidR="00CA3B52" w:rsidRDefault="00CA3B52" w:rsidP="00CA3B52">
      <w:pPr>
        <w:pStyle w:val="enumlev1"/>
        <w:rPr>
          <w:lang w:val="en-US"/>
        </w:rPr>
      </w:pPr>
      <w:r w:rsidRPr="00CB6CBA">
        <w:rPr>
          <w:lang w:val="en-US"/>
        </w:rPr>
        <w:t>31.1</w:t>
      </w:r>
      <w:r w:rsidRPr="00CB6CBA">
        <w:rPr>
          <w:lang w:val="en-US"/>
        </w:rPr>
        <w:tab/>
        <w:t xml:space="preserve">The Foreign Embassies, Consulates, Diplomatic Missions and the State visits of dignitaries shall be exempted from the Spectrum Fees provided the same exemption is available for the UAE Embassy, Consulate and Mission in the country of origin. This exemption shall be applicable for official correspondence which falls within the scope of the Vienna Convention for diplomatic correspondence and the Applications forwarded to the TRA through the Ministry of Foreign Affairs of the UAE. </w:t>
      </w:r>
    </w:p>
    <w:p w:rsidR="00CA3B52" w:rsidRPr="00CB6CBA" w:rsidRDefault="00CA3B52" w:rsidP="00F65451">
      <w:pPr>
        <w:pStyle w:val="ArtNo"/>
        <w:rPr>
          <w:lang w:val="en-US"/>
        </w:rPr>
      </w:pPr>
      <w:r w:rsidRPr="00CB6CBA">
        <w:rPr>
          <w:lang w:val="en-US"/>
        </w:rPr>
        <w:t>ARTICLE 32</w:t>
      </w:r>
    </w:p>
    <w:p w:rsidR="00CA3B52" w:rsidRPr="00CB6CBA" w:rsidRDefault="00CA3B52" w:rsidP="00CA3B52">
      <w:pPr>
        <w:pStyle w:val="Arttitle"/>
        <w:rPr>
          <w:lang w:val="en-US"/>
        </w:rPr>
      </w:pPr>
      <w:bookmarkStart w:id="1992" w:name="_Toc237658003"/>
      <w:r w:rsidRPr="00CB6CBA">
        <w:rPr>
          <w:lang w:val="en-US"/>
        </w:rPr>
        <w:t>Fees for Site Surveys</w:t>
      </w:r>
      <w:bookmarkEnd w:id="1992"/>
      <w:r w:rsidRPr="00CB6CBA">
        <w:rPr>
          <w:lang w:val="en-US"/>
        </w:rPr>
        <w:t xml:space="preserve"> </w:t>
      </w:r>
    </w:p>
    <w:p w:rsidR="00CA3B52" w:rsidRPr="00CB6CBA" w:rsidRDefault="00CA3B52" w:rsidP="00CA3B52">
      <w:pPr>
        <w:pStyle w:val="enumlev1"/>
        <w:rPr>
          <w:lang w:val="en-US"/>
        </w:rPr>
      </w:pPr>
      <w:r w:rsidRPr="00CB6CBA">
        <w:rPr>
          <w:lang w:val="en-US"/>
        </w:rPr>
        <w:t>32.1</w:t>
      </w:r>
      <w:r w:rsidRPr="00CB6CBA">
        <w:rPr>
          <w:lang w:val="en-US"/>
        </w:rPr>
        <w:tab/>
        <w:t>The following Fees shall be charged for the site survey conducted by the TRA upon request from the Applicant or the Authorized User for technical assistance:</w:t>
      </w:r>
    </w:p>
    <w:p w:rsidR="00CA3B52" w:rsidRPr="00CB6CBA" w:rsidRDefault="00CA3B52" w:rsidP="00F65451">
      <w:pPr>
        <w:rPr>
          <w:lang w:val="en-US"/>
        </w:rPr>
      </w:pPr>
      <w:r>
        <w:rPr>
          <w:b/>
          <w:bCs/>
          <w:lang w:val="en-US"/>
        </w:rPr>
        <w:tab/>
      </w:r>
      <w:r w:rsidRPr="00CB6CBA">
        <w:rPr>
          <w:b/>
          <w:bCs/>
          <w:lang w:val="en-US"/>
        </w:rPr>
        <w:t>Site Survey Fee</w:t>
      </w:r>
      <w:r w:rsidRPr="00CB6CBA">
        <w:rPr>
          <w:lang w:val="en-US"/>
        </w:rPr>
        <w:t xml:space="preserve"> = 2,500 AED per day for each visit</w:t>
      </w:r>
      <w:r>
        <w:rPr>
          <w:lang w:val="en-US"/>
        </w:rPr>
        <w:t>.</w:t>
      </w:r>
    </w:p>
    <w:p w:rsidR="00CA3B52" w:rsidRPr="00CB6CBA" w:rsidRDefault="00CA3B52" w:rsidP="00D750B9">
      <w:pPr>
        <w:pStyle w:val="ArtNo"/>
        <w:rPr>
          <w:lang w:val="en-US"/>
        </w:rPr>
      </w:pPr>
      <w:r w:rsidRPr="00CB6CBA">
        <w:rPr>
          <w:lang w:val="en-US"/>
        </w:rPr>
        <w:lastRenderedPageBreak/>
        <w:t>ARTICLE 33</w:t>
      </w:r>
    </w:p>
    <w:p w:rsidR="00CA3B52" w:rsidRPr="00CB6CBA" w:rsidRDefault="00CA3B52" w:rsidP="00D750B9">
      <w:pPr>
        <w:pStyle w:val="Arttitle"/>
        <w:rPr>
          <w:lang w:val="en-US"/>
        </w:rPr>
      </w:pPr>
      <w:bookmarkStart w:id="1993" w:name="_Toc237658004"/>
      <w:r w:rsidRPr="00CB6CBA">
        <w:rPr>
          <w:lang w:val="en-US"/>
        </w:rPr>
        <w:t>Obligation to pay</w:t>
      </w:r>
      <w:bookmarkEnd w:id="1993"/>
      <w:r w:rsidRPr="00CB6CBA">
        <w:rPr>
          <w:lang w:val="en-US"/>
        </w:rPr>
        <w:t xml:space="preserve"> </w:t>
      </w:r>
    </w:p>
    <w:p w:rsidR="00CA3B52" w:rsidRDefault="00CA3B52" w:rsidP="00D750B9">
      <w:pPr>
        <w:pStyle w:val="enumlev1"/>
        <w:keepNext/>
        <w:keepLines/>
        <w:rPr>
          <w:lang w:val="en-US"/>
        </w:rPr>
      </w:pPr>
      <w:r w:rsidRPr="00CB6CBA">
        <w:rPr>
          <w:lang w:val="en-US"/>
        </w:rPr>
        <w:t>33.1</w:t>
      </w:r>
      <w:r w:rsidRPr="00CB6CBA">
        <w:rPr>
          <w:lang w:val="en-US"/>
        </w:rPr>
        <w:tab/>
        <w:t xml:space="preserve">The Spectrum Fees shall be payable in advance by all without any exemption except as determined in these Regulations. The Spectrum Fees shall not be construed as Federal Tax or any Local Tax and shall be considered as charge for the use of a scarce national resource of radio spectrum. Authorized Users shall have to pay the full dues within the stipulated time, even in cases where the Authorized User contests the amount either wholly or partially. </w:t>
      </w:r>
    </w:p>
    <w:p w:rsidR="00CA3B52" w:rsidRPr="00CB6CBA" w:rsidRDefault="00CA3B52" w:rsidP="00CA3B52">
      <w:pPr>
        <w:pStyle w:val="ArtNo"/>
        <w:rPr>
          <w:lang w:val="en-US"/>
        </w:rPr>
      </w:pPr>
      <w:r w:rsidRPr="00CB6CBA">
        <w:rPr>
          <w:lang w:val="en-US"/>
        </w:rPr>
        <w:t>ARTICLE 34</w:t>
      </w:r>
    </w:p>
    <w:p w:rsidR="00CA3B52" w:rsidRPr="00CB6CBA" w:rsidRDefault="00CA3B52" w:rsidP="00CA3B52">
      <w:pPr>
        <w:pStyle w:val="Arttitle"/>
        <w:rPr>
          <w:lang w:val="en-US"/>
        </w:rPr>
      </w:pPr>
      <w:bookmarkStart w:id="1994" w:name="_Toc237658005"/>
      <w:r w:rsidRPr="00CB6CBA">
        <w:rPr>
          <w:lang w:val="en-US"/>
        </w:rPr>
        <w:t>Methods of payments</w:t>
      </w:r>
      <w:bookmarkEnd w:id="1994"/>
      <w:r w:rsidRPr="00CB6CBA">
        <w:rPr>
          <w:lang w:val="en-US"/>
        </w:rPr>
        <w:t xml:space="preserve"> </w:t>
      </w:r>
    </w:p>
    <w:p w:rsidR="00CA3B52" w:rsidRPr="00CB6CBA" w:rsidRDefault="00CA3B52" w:rsidP="00CA3B52">
      <w:pPr>
        <w:pStyle w:val="enumlev1"/>
        <w:rPr>
          <w:lang w:val="en-US"/>
        </w:rPr>
      </w:pPr>
      <w:r w:rsidRPr="00CB6CBA">
        <w:rPr>
          <w:lang w:val="en-US"/>
        </w:rPr>
        <w:t>34.1</w:t>
      </w:r>
      <w:r w:rsidRPr="00CB6CBA">
        <w:rPr>
          <w:lang w:val="en-US"/>
        </w:rPr>
        <w:tab/>
        <w:t xml:space="preserve">The TRA accepts spectrum Fees and other associated charges in any of the following methods: </w:t>
      </w:r>
    </w:p>
    <w:p w:rsidR="00CA3B52" w:rsidRPr="00CB6CBA" w:rsidRDefault="00CA3B52" w:rsidP="00CA3B52">
      <w:pPr>
        <w:pStyle w:val="enumlev2"/>
        <w:rPr>
          <w:lang w:val="en-US"/>
        </w:rPr>
      </w:pPr>
      <w:r>
        <w:rPr>
          <w:lang w:val="en-US"/>
        </w:rPr>
        <w:t>–</w:t>
      </w:r>
      <w:r>
        <w:rPr>
          <w:lang w:val="en-US"/>
        </w:rPr>
        <w:tab/>
        <w:t>E-Dirham.</w:t>
      </w:r>
    </w:p>
    <w:p w:rsidR="00CA3B52" w:rsidRPr="00CB6CBA" w:rsidRDefault="00CA3B52" w:rsidP="00CA3B52">
      <w:pPr>
        <w:pStyle w:val="enumlev2"/>
        <w:rPr>
          <w:lang w:val="en-US"/>
        </w:rPr>
      </w:pPr>
      <w:r>
        <w:rPr>
          <w:lang w:val="en-US"/>
        </w:rPr>
        <w:t>–</w:t>
      </w:r>
      <w:r w:rsidRPr="00CB6CBA">
        <w:rPr>
          <w:lang w:val="en-US"/>
        </w:rPr>
        <w:tab/>
        <w:t>Cheque or cash deposit into the TRA’s bank account</w:t>
      </w:r>
      <w:r>
        <w:rPr>
          <w:lang w:val="en-US"/>
        </w:rPr>
        <w:t>.</w:t>
      </w:r>
    </w:p>
    <w:p w:rsidR="00CA3B52" w:rsidRPr="00CB6CBA" w:rsidRDefault="00CA3B52" w:rsidP="00CA3B52">
      <w:pPr>
        <w:pStyle w:val="enumlev2"/>
        <w:rPr>
          <w:lang w:val="en-US"/>
        </w:rPr>
      </w:pPr>
      <w:r>
        <w:rPr>
          <w:lang w:val="en-US"/>
        </w:rPr>
        <w:t>–</w:t>
      </w:r>
      <w:r>
        <w:rPr>
          <w:lang w:val="en-US"/>
        </w:rPr>
        <w:tab/>
        <w:t>Cash.</w:t>
      </w:r>
    </w:p>
    <w:p w:rsidR="00CA3B52" w:rsidRPr="00CB6CBA" w:rsidRDefault="00CA3B52" w:rsidP="00CA3B52">
      <w:pPr>
        <w:pStyle w:val="enumlev2"/>
        <w:rPr>
          <w:lang w:val="en-US"/>
        </w:rPr>
      </w:pPr>
      <w:r>
        <w:rPr>
          <w:lang w:val="en-US"/>
        </w:rPr>
        <w:t>–</w:t>
      </w:r>
      <w:r w:rsidRPr="00CB6CBA">
        <w:rPr>
          <w:lang w:val="en-US"/>
        </w:rPr>
        <w:tab/>
        <w:t>Wire transfer</w:t>
      </w:r>
      <w:r>
        <w:rPr>
          <w:lang w:val="en-US"/>
        </w:rPr>
        <w:t>.</w:t>
      </w:r>
    </w:p>
    <w:p w:rsidR="00CA3B52" w:rsidRDefault="00CA3B52" w:rsidP="00CA3B52">
      <w:pPr>
        <w:pStyle w:val="enumlev2"/>
        <w:rPr>
          <w:lang w:val="en-US"/>
        </w:rPr>
      </w:pPr>
      <w:r>
        <w:rPr>
          <w:lang w:val="en-US"/>
        </w:rPr>
        <w:t>–</w:t>
      </w:r>
      <w:r w:rsidRPr="00CB6CBA">
        <w:rPr>
          <w:lang w:val="en-US"/>
        </w:rPr>
        <w:tab/>
        <w:t>E-payment (when available)</w:t>
      </w:r>
      <w:r>
        <w:rPr>
          <w:lang w:val="en-US"/>
        </w:rPr>
        <w:t>.</w:t>
      </w:r>
    </w:p>
    <w:p w:rsidR="00CA3B52" w:rsidRPr="00CB6CBA" w:rsidRDefault="00CA3B52" w:rsidP="00CA3B52">
      <w:pPr>
        <w:pStyle w:val="ArtNo"/>
        <w:rPr>
          <w:lang w:val="en-US"/>
        </w:rPr>
      </w:pPr>
      <w:r w:rsidRPr="00CB6CBA">
        <w:rPr>
          <w:lang w:val="en-US"/>
        </w:rPr>
        <w:t>ARTICLE 35</w:t>
      </w:r>
    </w:p>
    <w:p w:rsidR="00CA3B52" w:rsidRPr="00CB6CBA" w:rsidRDefault="00CA3B52" w:rsidP="00CA3B52">
      <w:pPr>
        <w:pStyle w:val="Arttitle"/>
        <w:rPr>
          <w:lang w:val="en-US"/>
        </w:rPr>
      </w:pPr>
      <w:bookmarkStart w:id="1995" w:name="_Toc237658006"/>
      <w:r w:rsidRPr="00CB6CBA">
        <w:rPr>
          <w:lang w:val="en-US"/>
        </w:rPr>
        <w:t>Penalties</w:t>
      </w:r>
      <w:bookmarkEnd w:id="1995"/>
      <w:r w:rsidRPr="00CB6CBA">
        <w:rPr>
          <w:lang w:val="en-US"/>
        </w:rPr>
        <w:t xml:space="preserve"> </w:t>
      </w:r>
    </w:p>
    <w:p w:rsidR="00CA3B52" w:rsidRPr="00CB6CBA" w:rsidRDefault="00CA3B52" w:rsidP="00CA3B52">
      <w:pPr>
        <w:pStyle w:val="enumlev1"/>
        <w:rPr>
          <w:color w:val="000000"/>
          <w:lang w:val="en-US"/>
        </w:rPr>
      </w:pPr>
      <w:r w:rsidRPr="00CB6CBA">
        <w:rPr>
          <w:color w:val="000000"/>
          <w:lang w:val="en-US"/>
        </w:rPr>
        <w:t>35.1</w:t>
      </w:r>
      <w:r w:rsidRPr="00CB6CBA">
        <w:rPr>
          <w:color w:val="000000"/>
          <w:lang w:val="en-US"/>
        </w:rPr>
        <w:tab/>
      </w:r>
      <w:r w:rsidRPr="00CB6CBA">
        <w:rPr>
          <w:lang w:val="en-US"/>
        </w:rPr>
        <w:t>The penalties of the Federal Law by Decree No. 3 of 2003 as amended shall apply to any violation to these Regulations.</w:t>
      </w:r>
    </w:p>
    <w:p w:rsidR="00CA3B52" w:rsidRPr="00CB6CBA" w:rsidRDefault="00CA3B52" w:rsidP="00CA3B52">
      <w:pPr>
        <w:pStyle w:val="Blanc"/>
      </w:pPr>
    </w:p>
    <w:p w:rsidR="00CA3B52" w:rsidRDefault="00CA3B52" w:rsidP="00CA3B52">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CA3B52" w:rsidRDefault="00CA3B52" w:rsidP="00F65451">
      <w:pPr>
        <w:pStyle w:val="Heading3"/>
        <w:rPr>
          <w:lang w:val="en-US"/>
        </w:rPr>
      </w:pPr>
      <w:bookmarkStart w:id="1996" w:name="_Toc289868888"/>
      <w:bookmarkStart w:id="1997" w:name="_Toc289869047"/>
      <w:bookmarkStart w:id="1998" w:name="_Toc289932353"/>
      <w:bookmarkStart w:id="1999" w:name="_Toc289933401"/>
      <w:bookmarkStart w:id="2000" w:name="_Toc291852964"/>
      <w:bookmarkStart w:id="2001" w:name="_Toc392515948"/>
      <w:r w:rsidRPr="00CB6CBA">
        <w:rPr>
          <w:lang w:val="en-US"/>
        </w:rPr>
        <w:lastRenderedPageBreak/>
        <w:t>A.1.2</w:t>
      </w:r>
      <w:r w:rsidRPr="00CB6CBA">
        <w:rPr>
          <w:lang w:val="en-US"/>
        </w:rPr>
        <w:tab/>
        <w:t>Fees Policy of Cote D’Ivoire</w:t>
      </w:r>
      <w:bookmarkEnd w:id="1996"/>
      <w:bookmarkEnd w:id="1997"/>
      <w:bookmarkEnd w:id="1998"/>
      <w:bookmarkEnd w:id="1999"/>
      <w:bookmarkEnd w:id="2000"/>
      <w:bookmarkEnd w:id="2001"/>
    </w:p>
    <w:p w:rsidR="00CA3B52" w:rsidRPr="00550111" w:rsidRDefault="00CA3B52" w:rsidP="00CA3B52">
      <w:pPr>
        <w:rPr>
          <w:lang w:val="en-US"/>
        </w:rPr>
      </w:pPr>
    </w:p>
    <w:p w:rsidR="00CA3B52" w:rsidRPr="00CB6CBA" w:rsidRDefault="00CA3B52" w:rsidP="00CA3B52">
      <w:pPr>
        <w:jc w:val="center"/>
        <w:rPr>
          <w:sz w:val="32"/>
          <w:szCs w:val="32"/>
          <w:lang w:val="en-US"/>
        </w:rPr>
      </w:pPr>
      <w:r w:rsidRPr="00CB6CBA">
        <w:rPr>
          <w:sz w:val="32"/>
          <w:szCs w:val="32"/>
          <w:lang w:val="en-US"/>
        </w:rPr>
        <w:t>REPUBLIC OF COTE D’IVOIRE</w:t>
      </w:r>
    </w:p>
    <w:p w:rsidR="00CA3B52" w:rsidRPr="00CB6CBA" w:rsidRDefault="00CA3B52" w:rsidP="00CA3B52">
      <w:pPr>
        <w:jc w:val="center"/>
        <w:rPr>
          <w:lang w:val="en-US"/>
        </w:rPr>
      </w:pPr>
      <w:r w:rsidRPr="00CB6CBA">
        <w:rPr>
          <w:lang w:val="en-US"/>
        </w:rPr>
        <w:t>UNITY-DISCIPLINE-WORK</w:t>
      </w:r>
    </w:p>
    <w:p w:rsidR="00CA3B52" w:rsidRPr="00CB6CBA" w:rsidRDefault="00CA3B52" w:rsidP="00CA3B52">
      <w:pPr>
        <w:jc w:val="center"/>
        <w:rPr>
          <w:lang w:val="en-US"/>
        </w:rPr>
      </w:pPr>
      <w:r w:rsidRPr="00CB6CBA">
        <w:rPr>
          <w:lang w:val="en-US"/>
        </w:rPr>
        <w:t>------------------</w:t>
      </w:r>
    </w:p>
    <w:tbl>
      <w:tblPr>
        <w:tblW w:w="0" w:type="auto"/>
        <w:tblLook w:val="04A0" w:firstRow="1" w:lastRow="0" w:firstColumn="1" w:lastColumn="0" w:noHBand="0" w:noVBand="1"/>
      </w:tblPr>
      <w:tblGrid>
        <w:gridCol w:w="4927"/>
        <w:gridCol w:w="4928"/>
      </w:tblGrid>
      <w:tr w:rsidR="00CA3B52" w:rsidRPr="00F65451" w:rsidTr="002D1D5C">
        <w:tc>
          <w:tcPr>
            <w:tcW w:w="4927" w:type="dxa"/>
          </w:tcPr>
          <w:p w:rsidR="00CA3B52" w:rsidRDefault="00CA3B52" w:rsidP="002D1D5C">
            <w:pPr>
              <w:rPr>
                <w:lang w:val="en-US"/>
              </w:rPr>
            </w:pPr>
            <w:r w:rsidRPr="00CB6CBA">
              <w:rPr>
                <w:szCs w:val="24"/>
                <w:lang w:val="en-US"/>
              </w:rPr>
              <w:t>Ministry of Economic Infrastructures</w:t>
            </w:r>
          </w:p>
        </w:tc>
        <w:tc>
          <w:tcPr>
            <w:tcW w:w="4928" w:type="dxa"/>
          </w:tcPr>
          <w:p w:rsidR="00CA3B52" w:rsidRDefault="00CA3B52" w:rsidP="002D1D5C">
            <w:pPr>
              <w:rPr>
                <w:lang w:val="en-US"/>
              </w:rPr>
            </w:pPr>
            <w:r w:rsidRPr="00CB6CBA">
              <w:rPr>
                <w:szCs w:val="24"/>
                <w:lang w:val="en-US"/>
              </w:rPr>
              <w:t>Ministry of Economy and Finances</w:t>
            </w:r>
          </w:p>
        </w:tc>
      </w:tr>
      <w:tr w:rsidR="00CA3B52" w:rsidRPr="00F65451" w:rsidTr="002D1D5C">
        <w:tc>
          <w:tcPr>
            <w:tcW w:w="4927" w:type="dxa"/>
          </w:tcPr>
          <w:p w:rsidR="00CA3B52" w:rsidRDefault="00CA3B52" w:rsidP="002D1D5C">
            <w:pPr>
              <w:tabs>
                <w:tab w:val="clear" w:pos="794"/>
                <w:tab w:val="clear" w:pos="1191"/>
                <w:tab w:val="clear" w:pos="1588"/>
                <w:tab w:val="clear" w:pos="1985"/>
                <w:tab w:val="center" w:leader="dot" w:pos="2835"/>
              </w:tabs>
              <w:rPr>
                <w:lang w:val="en-US"/>
              </w:rPr>
            </w:pPr>
            <w:r>
              <w:rPr>
                <w:lang w:val="en-US"/>
              </w:rPr>
              <w:tab/>
            </w:r>
          </w:p>
        </w:tc>
        <w:tc>
          <w:tcPr>
            <w:tcW w:w="4928" w:type="dxa"/>
          </w:tcPr>
          <w:p w:rsidR="00CA3B52" w:rsidRDefault="00CA3B52" w:rsidP="002D1D5C">
            <w:pPr>
              <w:tabs>
                <w:tab w:val="clear" w:pos="794"/>
                <w:tab w:val="clear" w:pos="1191"/>
                <w:tab w:val="clear" w:pos="1588"/>
                <w:tab w:val="clear" w:pos="1985"/>
                <w:tab w:val="center" w:leader="dot" w:pos="2835"/>
              </w:tabs>
              <w:rPr>
                <w:lang w:val="en-US"/>
              </w:rPr>
            </w:pPr>
            <w:r>
              <w:rPr>
                <w:lang w:val="en-US"/>
              </w:rPr>
              <w:tab/>
            </w:r>
          </w:p>
        </w:tc>
      </w:tr>
    </w:tbl>
    <w:p w:rsidR="00CA3B52" w:rsidRPr="00CB6CBA" w:rsidRDefault="00CA3B52" w:rsidP="00CA3B52">
      <w:pPr>
        <w:pStyle w:val="Tablefin"/>
      </w:pPr>
    </w:p>
    <w:p w:rsidR="00CA3B52" w:rsidRPr="00CB6CBA" w:rsidRDefault="00CA3B52" w:rsidP="00CA3B52">
      <w:pPr>
        <w:rPr>
          <w:szCs w:val="24"/>
          <w:lang w:val="en-US"/>
        </w:rPr>
      </w:pPr>
      <w:r w:rsidRPr="00CB6CBA">
        <w:rPr>
          <w:szCs w:val="24"/>
          <w:lang w:val="en-US"/>
        </w:rPr>
        <w:t>ORDER N°…….. OF…. FIXING AMOUNT OF FEES, TAXES AND CHARGES ON RADIOCOMMUNICATIONS</w:t>
      </w:r>
    </w:p>
    <w:p w:rsidR="00CA3B52" w:rsidRDefault="00CA3B52" w:rsidP="00CA3B52">
      <w:pPr>
        <w:rPr>
          <w:szCs w:val="24"/>
          <w:lang w:val="en-US"/>
        </w:rPr>
      </w:pPr>
      <w:r w:rsidRPr="00CB6CBA">
        <w:rPr>
          <w:szCs w:val="24"/>
          <w:lang w:val="en-US"/>
        </w:rPr>
        <w:t xml:space="preserve">THE MINISTER OF ECONOMIC INFRASTRUCTURES </w:t>
      </w:r>
    </w:p>
    <w:p w:rsidR="00CA3B52" w:rsidRPr="00CB6CBA" w:rsidRDefault="00CA3B52" w:rsidP="00CA3B52">
      <w:pPr>
        <w:rPr>
          <w:szCs w:val="24"/>
          <w:lang w:val="en-US"/>
        </w:rPr>
      </w:pPr>
      <w:r w:rsidRPr="00CB6CBA">
        <w:rPr>
          <w:szCs w:val="24"/>
          <w:lang w:val="en-US"/>
        </w:rPr>
        <w:t>THE MINISTER OF ECONOMY AND FINANCES</w:t>
      </w:r>
    </w:p>
    <w:p w:rsidR="00CA3B52" w:rsidRPr="00CB6CBA" w:rsidRDefault="00CA3B52" w:rsidP="00CA3B52">
      <w:pPr>
        <w:rPr>
          <w:szCs w:val="24"/>
          <w:lang w:val="en-US"/>
        </w:rPr>
      </w:pPr>
      <w:r w:rsidRPr="00CB6CBA">
        <w:rPr>
          <w:szCs w:val="24"/>
          <w:lang w:val="en-US"/>
        </w:rPr>
        <w:t>Considering Law N° 95-526 of 7 July 1995 on Telecommunications Code</w:t>
      </w:r>
      <w:r>
        <w:rPr>
          <w:szCs w:val="24"/>
          <w:lang w:val="en-US"/>
        </w:rPr>
        <w:t>.</w:t>
      </w:r>
    </w:p>
    <w:p w:rsidR="00CA3B52" w:rsidRPr="00CB6CBA" w:rsidRDefault="00CA3B52" w:rsidP="00CA3B52">
      <w:pPr>
        <w:rPr>
          <w:szCs w:val="24"/>
          <w:lang w:val="en-US"/>
        </w:rPr>
      </w:pPr>
      <w:r w:rsidRPr="00CB6CBA">
        <w:rPr>
          <w:szCs w:val="24"/>
          <w:lang w:val="en-US"/>
        </w:rPr>
        <w:t>Considering Decree N° 95-554 of 19 July 1995 organizing and fixing the functioning of a Public Entity called Agence des Télécommunications de Côte d’Ivoire (ATCI)</w:t>
      </w:r>
      <w:r>
        <w:rPr>
          <w:szCs w:val="24"/>
          <w:lang w:val="en-US"/>
        </w:rPr>
        <w:t>.</w:t>
      </w:r>
    </w:p>
    <w:p w:rsidR="00CA3B52" w:rsidRPr="00CB6CBA" w:rsidRDefault="00CA3B52" w:rsidP="00CA3B52">
      <w:pPr>
        <w:rPr>
          <w:szCs w:val="24"/>
          <w:lang w:val="en-US"/>
        </w:rPr>
      </w:pPr>
      <w:r w:rsidRPr="00CB6CBA">
        <w:rPr>
          <w:szCs w:val="24"/>
          <w:lang w:val="en-US"/>
        </w:rPr>
        <w:t>Considering Decree N° 96-PR/002 of 26 January 1996 appointing members of Government, and modified by Decree N° 96-PR/10 of 10</w:t>
      </w:r>
      <w:r w:rsidRPr="00CB6CBA">
        <w:rPr>
          <w:szCs w:val="24"/>
          <w:vertAlign w:val="superscript"/>
          <w:lang w:val="en-US"/>
        </w:rPr>
        <w:t>th</w:t>
      </w:r>
      <w:r w:rsidRPr="00CB6CBA">
        <w:rPr>
          <w:szCs w:val="24"/>
          <w:lang w:val="en-US"/>
        </w:rPr>
        <w:t xml:space="preserve"> August 1996</w:t>
      </w:r>
      <w:r>
        <w:rPr>
          <w:szCs w:val="24"/>
          <w:lang w:val="en-US"/>
        </w:rPr>
        <w:t>.</w:t>
      </w:r>
    </w:p>
    <w:p w:rsidR="00CA3B52" w:rsidRPr="00CB6CBA" w:rsidRDefault="00CA3B52" w:rsidP="00CA3B52">
      <w:pPr>
        <w:rPr>
          <w:szCs w:val="24"/>
          <w:lang w:val="en-US"/>
        </w:rPr>
      </w:pPr>
      <w:r w:rsidRPr="00CB6CBA">
        <w:rPr>
          <w:szCs w:val="24"/>
          <w:lang w:val="en-US"/>
        </w:rPr>
        <w:t>Considering Decree N°… defining fees, taxes and charges on radiocommunications</w:t>
      </w:r>
      <w:r>
        <w:rPr>
          <w:szCs w:val="24"/>
          <w:lang w:val="en-US"/>
        </w:rPr>
        <w:t>.</w:t>
      </w:r>
    </w:p>
    <w:p w:rsidR="00CA3B52" w:rsidRDefault="00CA3B52" w:rsidP="00CA3B52">
      <w:pPr>
        <w:rPr>
          <w:szCs w:val="24"/>
          <w:lang w:val="en-US"/>
        </w:rPr>
      </w:pPr>
      <w:r w:rsidRPr="00CB6CBA">
        <w:rPr>
          <w:szCs w:val="24"/>
          <w:lang w:val="en-US"/>
        </w:rPr>
        <w:t>Considering the necessity of service</w:t>
      </w:r>
      <w:r>
        <w:rPr>
          <w:szCs w:val="24"/>
          <w:lang w:val="en-US"/>
        </w:rPr>
        <w:t>.</w:t>
      </w:r>
    </w:p>
    <w:p w:rsidR="00CA3B52" w:rsidRPr="00CB6CBA" w:rsidRDefault="00CA3B52" w:rsidP="00CA3B52">
      <w:pPr>
        <w:rPr>
          <w:szCs w:val="24"/>
          <w:lang w:val="en-US"/>
        </w:rPr>
      </w:pPr>
    </w:p>
    <w:p w:rsidR="00CA3B52" w:rsidRPr="00CB6CBA" w:rsidRDefault="00CA3B52" w:rsidP="00CA3B52">
      <w:pPr>
        <w:jc w:val="center"/>
        <w:rPr>
          <w:b/>
          <w:bCs/>
          <w:sz w:val="28"/>
          <w:szCs w:val="28"/>
          <w:lang w:val="en-US"/>
        </w:rPr>
      </w:pPr>
      <w:r w:rsidRPr="00CB6CBA">
        <w:rPr>
          <w:b/>
          <w:bCs/>
          <w:sz w:val="28"/>
          <w:szCs w:val="28"/>
          <w:lang w:val="en-US"/>
        </w:rPr>
        <w:t>ORDERS</w:t>
      </w:r>
    </w:p>
    <w:p w:rsidR="00CA3B52" w:rsidRPr="00CB6CBA" w:rsidRDefault="00CA3B52" w:rsidP="00CA3B52">
      <w:pPr>
        <w:pStyle w:val="Headingb"/>
        <w:rPr>
          <w:lang w:val="en-US"/>
        </w:rPr>
      </w:pPr>
      <w:r w:rsidRPr="00CB6CBA">
        <w:rPr>
          <w:lang w:val="en-US"/>
        </w:rPr>
        <w:t>Article 1</w:t>
      </w:r>
    </w:p>
    <w:p w:rsidR="00CA3B52" w:rsidRPr="00CB6CBA" w:rsidRDefault="00CA3B52" w:rsidP="00CA3B52">
      <w:pPr>
        <w:rPr>
          <w:lang w:val="en-US"/>
        </w:rPr>
      </w:pPr>
      <w:r w:rsidRPr="00CB6CBA">
        <w:rPr>
          <w:lang w:val="en-US"/>
        </w:rPr>
        <w:t>The amount for fees, taxes and charges on radio electricity to be paid in conformity with the rules and regulations in force are fixed in the annex to this Order.</w:t>
      </w:r>
    </w:p>
    <w:p w:rsidR="00CA3B52" w:rsidRPr="00CB6CBA" w:rsidRDefault="00CA3B52" w:rsidP="00CA3B52">
      <w:pPr>
        <w:pStyle w:val="Headingb"/>
        <w:rPr>
          <w:lang w:val="en-US"/>
        </w:rPr>
      </w:pPr>
      <w:r w:rsidRPr="00CB6CBA">
        <w:rPr>
          <w:lang w:val="en-US"/>
        </w:rPr>
        <w:t>Article 2</w:t>
      </w:r>
    </w:p>
    <w:p w:rsidR="00CA3B52" w:rsidRDefault="00CA3B52" w:rsidP="00CA3B52">
      <w:pPr>
        <w:rPr>
          <w:lang w:val="en-US"/>
        </w:rPr>
      </w:pPr>
      <w:r w:rsidRPr="00CB6CBA">
        <w:rPr>
          <w:lang w:val="en-US"/>
        </w:rPr>
        <w:t>The Agence des Télécommunications de Côte d’Ivoire is charged with the responsibility of implementing this Order which will take effect from the date of signature and its publication in the Official Gazette of the Republic of Côte d’Ivoire.</w:t>
      </w:r>
    </w:p>
    <w:p w:rsidR="00CA3B52" w:rsidRPr="00CB6CBA" w:rsidRDefault="00CA3B52" w:rsidP="00CA3B52">
      <w:pPr>
        <w:rPr>
          <w:lang w:val="en-US"/>
        </w:rPr>
      </w:pPr>
    </w:p>
    <w:p w:rsidR="00CA3B52" w:rsidRPr="00CB6CBA" w:rsidRDefault="00CA3B52" w:rsidP="00CA3B52">
      <w:pPr>
        <w:jc w:val="center"/>
        <w:rPr>
          <w:lang w:val="en-US"/>
        </w:rPr>
      </w:pPr>
      <w:r w:rsidRPr="00CB6CBA">
        <w:rPr>
          <w:lang w:val="en-US"/>
        </w:rPr>
        <w:t>Done in Abidjan on ……..</w:t>
      </w:r>
    </w:p>
    <w:p w:rsidR="00CA3B52" w:rsidRDefault="00CA3B52" w:rsidP="00CA3B52">
      <w:pPr>
        <w:tabs>
          <w:tab w:val="left" w:pos="5103"/>
        </w:tabs>
        <w:rPr>
          <w:lang w:val="en-US"/>
        </w:rPr>
      </w:pPr>
    </w:p>
    <w:p w:rsidR="00CA3B52" w:rsidRDefault="00CA3B52" w:rsidP="00CA3B52">
      <w:pPr>
        <w:tabs>
          <w:tab w:val="left" w:pos="5103"/>
        </w:tabs>
        <w:rPr>
          <w:lang w:val="en-US"/>
        </w:rPr>
      </w:pPr>
      <w:r w:rsidRPr="00CB6CBA">
        <w:rPr>
          <w:lang w:val="en-US"/>
        </w:rPr>
        <w:t>The Minister of Economic Infrastructures</w:t>
      </w:r>
      <w:r>
        <w:rPr>
          <w:lang w:val="en-US"/>
        </w:rPr>
        <w:tab/>
      </w:r>
      <w:r w:rsidRPr="00CB6CBA">
        <w:rPr>
          <w:lang w:val="en-US"/>
        </w:rPr>
        <w:t>The Minister of Economy and Finances</w:t>
      </w:r>
    </w:p>
    <w:p w:rsidR="00CA3B52" w:rsidRPr="00CB6CBA" w:rsidRDefault="00CA3B52" w:rsidP="00CA3B52">
      <w:pPr>
        <w:tabs>
          <w:tab w:val="clear" w:pos="794"/>
          <w:tab w:val="clear" w:pos="1191"/>
          <w:tab w:val="clear" w:pos="1588"/>
          <w:tab w:val="clear" w:pos="1985"/>
          <w:tab w:val="left" w:pos="5103"/>
        </w:tabs>
        <w:rPr>
          <w:lang w:val="en-US"/>
        </w:rPr>
      </w:pPr>
      <w:r w:rsidRPr="00CB6CBA">
        <w:rPr>
          <w:lang w:val="en-US"/>
        </w:rPr>
        <w:t>AKELE Ezan</w:t>
      </w:r>
      <w:r>
        <w:rPr>
          <w:lang w:val="en-US"/>
        </w:rPr>
        <w:tab/>
      </w:r>
      <w:r w:rsidRPr="00CB6CBA">
        <w:rPr>
          <w:lang w:val="en-US"/>
        </w:rPr>
        <w:t>N’Goran NIAMIEN</w:t>
      </w:r>
    </w:p>
    <w:p w:rsidR="00CA3B52" w:rsidRPr="0024294C" w:rsidRDefault="00CA3B52" w:rsidP="00F65451">
      <w:pPr>
        <w:keepNext/>
        <w:keepLines/>
        <w:jc w:val="center"/>
        <w:rPr>
          <w:lang w:val="en-US"/>
        </w:rPr>
      </w:pPr>
      <w:r w:rsidRPr="0024294C">
        <w:rPr>
          <w:lang w:val="en-US"/>
        </w:rPr>
        <w:lastRenderedPageBreak/>
        <w:t>AMOUNT OF FEES, TAXES AND CHARGES ON RADIOELECTRICITY</w:t>
      </w:r>
    </w:p>
    <w:p w:rsidR="00CA3B52" w:rsidRDefault="00CA3B52" w:rsidP="00CA3B52">
      <w:pPr>
        <w:pStyle w:val="Heading1"/>
        <w:rPr>
          <w:lang w:val="en-US"/>
        </w:rPr>
      </w:pPr>
      <w:bookmarkStart w:id="2002" w:name="_Toc289868889"/>
      <w:bookmarkStart w:id="2003" w:name="_Toc289869048"/>
      <w:bookmarkStart w:id="2004" w:name="_Toc289932354"/>
      <w:bookmarkStart w:id="2005" w:name="_Toc289933402"/>
      <w:bookmarkStart w:id="2006" w:name="_Toc291852965"/>
      <w:bookmarkStart w:id="2007" w:name="_Toc392515949"/>
      <w:r w:rsidRPr="00CB6CBA">
        <w:rPr>
          <w:lang w:val="en-US"/>
        </w:rPr>
        <w:t>A.</w:t>
      </w:r>
      <w:r w:rsidRPr="00CB6CBA">
        <w:rPr>
          <w:lang w:val="en-US"/>
        </w:rPr>
        <w:tab/>
        <w:t>TERRESTRIAL RADIOCOMMUNICATION SERVICES</w:t>
      </w:r>
      <w:bookmarkEnd w:id="2002"/>
      <w:bookmarkEnd w:id="2003"/>
      <w:bookmarkEnd w:id="2004"/>
      <w:bookmarkEnd w:id="2005"/>
      <w:bookmarkEnd w:id="2006"/>
      <w:bookmarkEnd w:id="200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2"/>
        <w:gridCol w:w="1237"/>
        <w:gridCol w:w="1229"/>
        <w:gridCol w:w="1501"/>
        <w:gridCol w:w="1500"/>
      </w:tblGrid>
      <w:tr w:rsidR="00CA3B52" w:rsidRPr="00F65451" w:rsidTr="002D1D5C">
        <w:trPr>
          <w:tblHeader/>
          <w:jc w:val="center"/>
        </w:trPr>
        <w:tc>
          <w:tcPr>
            <w:tcW w:w="4172" w:type="dxa"/>
            <w:vAlign w:val="center"/>
          </w:tcPr>
          <w:p w:rsidR="00CA3B52" w:rsidRPr="00E971F8" w:rsidRDefault="00CA3B52" w:rsidP="002D1D5C">
            <w:pPr>
              <w:pStyle w:val="Tablehead"/>
              <w:keepLines/>
              <w:rPr>
                <w:sz w:val="20"/>
              </w:rPr>
            </w:pPr>
            <w:r w:rsidRPr="00E971F8">
              <w:rPr>
                <w:sz w:val="20"/>
              </w:rPr>
              <w:t>NETWORKS OR STATIONS</w:t>
            </w:r>
          </w:p>
        </w:tc>
        <w:tc>
          <w:tcPr>
            <w:tcW w:w="1237" w:type="dxa"/>
            <w:vAlign w:val="center"/>
          </w:tcPr>
          <w:p w:rsidR="00CA3B52" w:rsidRPr="00A6735C" w:rsidRDefault="00CA3B52" w:rsidP="002D1D5C">
            <w:pPr>
              <w:pStyle w:val="Tablehead"/>
              <w:keepLines/>
              <w:rPr>
                <w:sz w:val="20"/>
                <w:lang w:val="en-US"/>
              </w:rPr>
            </w:pPr>
            <w:r w:rsidRPr="00A6735C">
              <w:rPr>
                <w:sz w:val="20"/>
                <w:lang w:val="en-US"/>
              </w:rPr>
              <w:t>Fees for compilation of file</w:t>
            </w:r>
          </w:p>
        </w:tc>
        <w:tc>
          <w:tcPr>
            <w:tcW w:w="1229" w:type="dxa"/>
            <w:vAlign w:val="center"/>
          </w:tcPr>
          <w:p w:rsidR="00CA3B52" w:rsidRPr="00A6735C" w:rsidRDefault="00CA3B52" w:rsidP="002D1D5C">
            <w:pPr>
              <w:pStyle w:val="Tablehead"/>
              <w:keepLines/>
              <w:rPr>
                <w:sz w:val="20"/>
                <w:lang w:val="en-US"/>
              </w:rPr>
            </w:pPr>
            <w:r w:rsidRPr="00A6735C">
              <w:rPr>
                <w:sz w:val="20"/>
                <w:lang w:val="en-US"/>
              </w:rPr>
              <w:t>Fees for visiting or control of stations in CFA</w:t>
            </w:r>
          </w:p>
        </w:tc>
        <w:tc>
          <w:tcPr>
            <w:tcW w:w="1501" w:type="dxa"/>
            <w:vAlign w:val="center"/>
          </w:tcPr>
          <w:p w:rsidR="00CA3B52" w:rsidRPr="00E971F8" w:rsidRDefault="00CA3B52" w:rsidP="002D1D5C">
            <w:pPr>
              <w:pStyle w:val="Tablehead"/>
              <w:keepLines/>
              <w:ind w:left="-57" w:right="-57"/>
              <w:rPr>
                <w:sz w:val="20"/>
              </w:rPr>
            </w:pPr>
            <w:r w:rsidRPr="00E971F8">
              <w:rPr>
                <w:sz w:val="20"/>
              </w:rPr>
              <w:t xml:space="preserve">Contribution </w:t>
            </w:r>
            <w:r>
              <w:rPr>
                <w:sz w:val="20"/>
              </w:rPr>
              <w:br/>
            </w:r>
            <w:r w:rsidRPr="00E971F8">
              <w:rPr>
                <w:sz w:val="20"/>
              </w:rPr>
              <w:t>to management costs</w:t>
            </w:r>
          </w:p>
        </w:tc>
        <w:tc>
          <w:tcPr>
            <w:tcW w:w="1500" w:type="dxa"/>
            <w:vAlign w:val="center"/>
          </w:tcPr>
          <w:p w:rsidR="00CA3B52" w:rsidRPr="00A6735C" w:rsidRDefault="00CA3B52" w:rsidP="002D1D5C">
            <w:pPr>
              <w:pStyle w:val="Tablehead"/>
              <w:keepLines/>
              <w:rPr>
                <w:sz w:val="20"/>
                <w:lang w:val="en-US"/>
              </w:rPr>
            </w:pPr>
            <w:r w:rsidRPr="00A6735C">
              <w:rPr>
                <w:sz w:val="20"/>
                <w:lang w:val="en-US"/>
              </w:rPr>
              <w:t>Charges for use of frequency or radioelectric channel</w:t>
            </w:r>
          </w:p>
        </w:tc>
      </w:tr>
      <w:tr w:rsidR="00D750B9" w:rsidRPr="00E971F8" w:rsidTr="002D1D5C">
        <w:trPr>
          <w:jc w:val="center"/>
        </w:trPr>
        <w:tc>
          <w:tcPr>
            <w:tcW w:w="4172" w:type="dxa"/>
          </w:tcPr>
          <w:p w:rsidR="00D750B9" w:rsidRPr="00E971F8" w:rsidRDefault="00D750B9" w:rsidP="002D1D5C">
            <w:pPr>
              <w:pStyle w:val="Tabletext"/>
              <w:jc w:val="left"/>
              <w:rPr>
                <w:sz w:val="20"/>
                <w:lang w:val="en-US"/>
              </w:rPr>
            </w:pPr>
            <w:r w:rsidRPr="00E971F8">
              <w:rPr>
                <w:sz w:val="20"/>
                <w:lang w:val="en-US"/>
              </w:rPr>
              <w:t>FIXED NETWORKS AND INDEPENDENT MOBILE TERRESTRIAL NETWORKS FOR PRIVATE USE (Non profitable services)</w:t>
            </w:r>
          </w:p>
          <w:p w:rsidR="00D750B9" w:rsidRPr="00E971F8" w:rsidRDefault="00D750B9" w:rsidP="002D1D5C">
            <w:pPr>
              <w:pStyle w:val="Tabletext"/>
              <w:jc w:val="left"/>
              <w:rPr>
                <w:sz w:val="20"/>
                <w:u w:val="single"/>
                <w:lang w:val="en-US"/>
              </w:rPr>
            </w:pPr>
          </w:p>
          <w:p w:rsidR="00D750B9" w:rsidRPr="00E971F8" w:rsidRDefault="00D750B9" w:rsidP="002D1D5C">
            <w:pPr>
              <w:pStyle w:val="Tabletext"/>
              <w:jc w:val="left"/>
              <w:rPr>
                <w:sz w:val="20"/>
                <w:lang w:val="en-US"/>
              </w:rPr>
            </w:pPr>
            <w:r w:rsidRPr="00E971F8">
              <w:rPr>
                <w:sz w:val="20"/>
                <w:lang w:val="en-US"/>
              </w:rPr>
              <w:t xml:space="preserve">1.1 </w:t>
            </w:r>
            <w:r w:rsidRPr="00000473">
              <w:rPr>
                <w:sz w:val="20"/>
                <w:lang w:val="en-US"/>
              </w:rPr>
              <w:t>–</w:t>
            </w:r>
            <w:r w:rsidRPr="00E971F8">
              <w:rPr>
                <w:sz w:val="20"/>
                <w:lang w:val="en-US"/>
              </w:rPr>
              <w:t xml:space="preserve"> VHF/UHF Radioelectric network</w:t>
            </w:r>
          </w:p>
          <w:p w:rsidR="00D750B9" w:rsidRPr="00E971F8" w:rsidRDefault="00D750B9" w:rsidP="002D1D5C">
            <w:pPr>
              <w:pStyle w:val="Tabletext"/>
              <w:tabs>
                <w:tab w:val="clear" w:pos="284"/>
                <w:tab w:val="clear" w:pos="567"/>
                <w:tab w:val="left" w:pos="459"/>
              </w:tabs>
              <w:jc w:val="left"/>
              <w:rPr>
                <w:sz w:val="20"/>
                <w:lang w:val="en-US"/>
              </w:rPr>
            </w:pPr>
            <w:r w:rsidRPr="00E971F8">
              <w:rPr>
                <w:sz w:val="20"/>
                <w:lang w:val="en-US"/>
              </w:rPr>
              <w:tab/>
              <w:t>(Bandwidth = 12.5 KHz)</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a1. Transmitter power equal or less than 10 W</w:t>
            </w:r>
          </w:p>
          <w:p w:rsidR="00D750B9" w:rsidRPr="00E971F8" w:rsidRDefault="00D750B9" w:rsidP="002D1D5C">
            <w:pPr>
              <w:pStyle w:val="Tabletext"/>
              <w:jc w:val="left"/>
              <w:rPr>
                <w:sz w:val="20"/>
                <w:lang w:val="en-US"/>
              </w:rPr>
            </w:pPr>
            <w:r w:rsidRPr="00E971F8">
              <w:rPr>
                <w:sz w:val="20"/>
                <w:lang w:val="en-US"/>
              </w:rPr>
              <w:t>a2. Transmitter power between 10 and 25 W</w:t>
            </w:r>
          </w:p>
          <w:p w:rsidR="00D750B9" w:rsidRPr="00E971F8" w:rsidRDefault="00D750B9" w:rsidP="002D1D5C">
            <w:pPr>
              <w:pStyle w:val="Tabletext"/>
              <w:jc w:val="left"/>
              <w:rPr>
                <w:sz w:val="20"/>
                <w:lang w:val="en-US"/>
              </w:rPr>
            </w:pPr>
            <w:r w:rsidRPr="00E971F8">
              <w:rPr>
                <w:sz w:val="20"/>
                <w:lang w:val="en-US"/>
              </w:rPr>
              <w:t>a3.</w:t>
            </w:r>
            <w:r>
              <w:rPr>
                <w:sz w:val="20"/>
                <w:lang w:val="en-US"/>
              </w:rPr>
              <w:t xml:space="preserve"> </w:t>
            </w:r>
            <w:r w:rsidRPr="00E971F8">
              <w:rPr>
                <w:sz w:val="20"/>
                <w:lang w:val="en-US"/>
              </w:rPr>
              <w:t>Transmitter power above 25 W</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b1. Local links with no relay (less than 10 km)</w:t>
            </w:r>
          </w:p>
          <w:p w:rsidR="00D750B9" w:rsidRPr="00E971F8" w:rsidRDefault="00D750B9" w:rsidP="002D1D5C">
            <w:pPr>
              <w:pStyle w:val="Tabletext"/>
              <w:jc w:val="left"/>
              <w:rPr>
                <w:sz w:val="20"/>
                <w:lang w:val="en-US"/>
              </w:rPr>
            </w:pPr>
            <w:r w:rsidRPr="00E971F8">
              <w:rPr>
                <w:sz w:val="20"/>
                <w:lang w:val="en-US"/>
              </w:rPr>
              <w:t>b2. Local links with relay (less than 25 km)</w:t>
            </w:r>
          </w:p>
          <w:p w:rsidR="00D750B9" w:rsidRPr="00E971F8" w:rsidRDefault="00D750B9" w:rsidP="002D1D5C">
            <w:pPr>
              <w:pStyle w:val="Tabletext"/>
              <w:jc w:val="left"/>
              <w:rPr>
                <w:sz w:val="20"/>
                <w:lang w:val="en-US"/>
              </w:rPr>
            </w:pPr>
            <w:r w:rsidRPr="00E971F8">
              <w:rPr>
                <w:sz w:val="20"/>
                <w:lang w:val="en-US"/>
              </w:rPr>
              <w:t>b3. Local links in Abidjan</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c1. Network with less than 10 sets in Abidjan</w:t>
            </w:r>
          </w:p>
          <w:p w:rsidR="00D750B9" w:rsidRPr="00E971F8" w:rsidRDefault="00D750B9" w:rsidP="002D1D5C">
            <w:pPr>
              <w:pStyle w:val="Tabletext"/>
              <w:jc w:val="left"/>
              <w:rPr>
                <w:sz w:val="20"/>
                <w:lang w:val="en-US"/>
              </w:rPr>
            </w:pPr>
            <w:r w:rsidRPr="00E971F8">
              <w:rPr>
                <w:sz w:val="20"/>
                <w:lang w:val="en-US"/>
              </w:rPr>
              <w:t>c2. Network with 10 to 50 sets in Abidjan</w:t>
            </w:r>
          </w:p>
          <w:p w:rsidR="00D750B9" w:rsidRPr="00E971F8" w:rsidRDefault="00D750B9" w:rsidP="002D1D5C">
            <w:pPr>
              <w:pStyle w:val="Tabletext"/>
              <w:jc w:val="left"/>
              <w:rPr>
                <w:sz w:val="20"/>
                <w:lang w:val="en-US"/>
              </w:rPr>
            </w:pPr>
            <w:r w:rsidRPr="00E971F8">
              <w:rPr>
                <w:sz w:val="20"/>
                <w:lang w:val="en-US"/>
              </w:rPr>
              <w:t>c3. Network with more than 50 sets in Abidjan</w:t>
            </w:r>
          </w:p>
          <w:p w:rsidR="00D750B9" w:rsidRPr="00E971F8" w:rsidRDefault="00D750B9" w:rsidP="002D1D5C">
            <w:pPr>
              <w:pStyle w:val="Tabletext"/>
              <w:jc w:val="left"/>
              <w:rPr>
                <w:sz w:val="20"/>
                <w:lang w:val="en-US"/>
              </w:rPr>
            </w:pPr>
            <w:r w:rsidRPr="00E971F8">
              <w:rPr>
                <w:sz w:val="20"/>
                <w:lang w:val="en-US"/>
              </w:rPr>
              <w:t>c4. Network outside Abidjan</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 xml:space="preserve">1.2 </w:t>
            </w:r>
            <w:r w:rsidRPr="00000473">
              <w:rPr>
                <w:sz w:val="20"/>
                <w:lang w:val="en-US"/>
              </w:rPr>
              <w:t>–</w:t>
            </w:r>
            <w:r w:rsidRPr="00E971F8">
              <w:rPr>
                <w:sz w:val="20"/>
                <w:lang w:val="en-US"/>
              </w:rPr>
              <w:t xml:space="preserve"> Radioelectric Network in MF/HF</w:t>
            </w:r>
          </w:p>
          <w:p w:rsidR="00D750B9" w:rsidRPr="00E971F8" w:rsidRDefault="00D750B9" w:rsidP="002D1D5C">
            <w:pPr>
              <w:pStyle w:val="Tabletext"/>
              <w:tabs>
                <w:tab w:val="clear" w:pos="284"/>
                <w:tab w:val="left" w:pos="426"/>
              </w:tabs>
              <w:jc w:val="left"/>
              <w:rPr>
                <w:sz w:val="20"/>
                <w:lang w:val="en-US"/>
              </w:rPr>
            </w:pPr>
            <w:r w:rsidRPr="00E971F8">
              <w:rPr>
                <w:sz w:val="20"/>
                <w:lang w:val="en-US"/>
              </w:rPr>
              <w:tab/>
              <w:t>(with bandwidth equal to 3 KHz)</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a1. Transmitter less than 50 W</w:t>
            </w:r>
          </w:p>
          <w:p w:rsidR="00D750B9" w:rsidRPr="00E971F8" w:rsidRDefault="00D750B9" w:rsidP="002D1D5C">
            <w:pPr>
              <w:pStyle w:val="Tabletext"/>
              <w:jc w:val="left"/>
              <w:rPr>
                <w:sz w:val="20"/>
                <w:lang w:val="en-US"/>
              </w:rPr>
            </w:pPr>
            <w:r w:rsidRPr="00E971F8">
              <w:rPr>
                <w:sz w:val="20"/>
                <w:lang w:val="en-US"/>
              </w:rPr>
              <w:t>a2. Transmitter between 50 and 150 W</w:t>
            </w:r>
          </w:p>
          <w:p w:rsidR="00D750B9" w:rsidRPr="00E971F8" w:rsidRDefault="00D750B9" w:rsidP="002D1D5C">
            <w:pPr>
              <w:pStyle w:val="Tabletext"/>
              <w:jc w:val="left"/>
              <w:rPr>
                <w:sz w:val="20"/>
                <w:lang w:val="en-US"/>
              </w:rPr>
            </w:pPr>
            <w:r w:rsidRPr="00E971F8">
              <w:rPr>
                <w:sz w:val="20"/>
                <w:lang w:val="en-US"/>
              </w:rPr>
              <w:t>a3. Transmitter above 150 W</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b1. Regional links (average 100 km)</w:t>
            </w:r>
          </w:p>
          <w:p w:rsidR="00D750B9" w:rsidRPr="00E971F8" w:rsidRDefault="00D750B9" w:rsidP="002D1D5C">
            <w:pPr>
              <w:pStyle w:val="Tabletext"/>
              <w:jc w:val="left"/>
              <w:rPr>
                <w:sz w:val="20"/>
                <w:lang w:val="en-US"/>
              </w:rPr>
            </w:pPr>
            <w:r w:rsidRPr="00E971F8">
              <w:rPr>
                <w:sz w:val="20"/>
                <w:lang w:val="en-US"/>
              </w:rPr>
              <w:t>b2. Inter-regional links (average 250 km)</w:t>
            </w:r>
          </w:p>
          <w:p w:rsidR="00D750B9" w:rsidRPr="00E971F8" w:rsidRDefault="00D750B9" w:rsidP="002D1D5C">
            <w:pPr>
              <w:pStyle w:val="Tabletext"/>
              <w:jc w:val="left"/>
              <w:rPr>
                <w:sz w:val="20"/>
                <w:lang w:val="en-US"/>
              </w:rPr>
            </w:pPr>
            <w:r w:rsidRPr="00E971F8">
              <w:rPr>
                <w:sz w:val="20"/>
                <w:lang w:val="en-US"/>
              </w:rPr>
              <w:t>b3. National Links (average 500 km)</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c1. Network with less than 5 stations</w:t>
            </w:r>
          </w:p>
          <w:p w:rsidR="00D750B9" w:rsidRPr="00E971F8" w:rsidRDefault="00D750B9" w:rsidP="002D1D5C">
            <w:pPr>
              <w:pStyle w:val="Tabletext"/>
              <w:jc w:val="left"/>
              <w:rPr>
                <w:sz w:val="20"/>
                <w:lang w:val="en-US"/>
              </w:rPr>
            </w:pPr>
            <w:r w:rsidRPr="00E971F8">
              <w:rPr>
                <w:sz w:val="20"/>
                <w:lang w:val="en-US"/>
              </w:rPr>
              <w:t>c2. Network with 5 to 10 stations</w:t>
            </w:r>
          </w:p>
          <w:p w:rsidR="00D750B9" w:rsidRPr="00E971F8" w:rsidRDefault="00D750B9" w:rsidP="002D1D5C">
            <w:pPr>
              <w:pStyle w:val="Tabletext"/>
              <w:jc w:val="left"/>
              <w:rPr>
                <w:sz w:val="20"/>
                <w:lang w:val="en-US"/>
              </w:rPr>
            </w:pPr>
            <w:r w:rsidRPr="00E971F8">
              <w:rPr>
                <w:sz w:val="20"/>
                <w:lang w:val="en-US"/>
              </w:rPr>
              <w:t>c3. Network with more than 10 stations</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p>
          <w:p w:rsidR="00D750B9" w:rsidRPr="00E971F8" w:rsidRDefault="00D750B9" w:rsidP="002D1D5C">
            <w:pPr>
              <w:pStyle w:val="Tabletext"/>
              <w:tabs>
                <w:tab w:val="clear" w:pos="284"/>
                <w:tab w:val="left" w:pos="426"/>
              </w:tabs>
              <w:jc w:val="left"/>
              <w:rPr>
                <w:sz w:val="20"/>
                <w:lang w:val="en-US"/>
              </w:rPr>
            </w:pPr>
            <w:r w:rsidRPr="00E971F8">
              <w:rPr>
                <w:sz w:val="20"/>
                <w:lang w:val="en-US"/>
              </w:rPr>
              <w:t xml:space="preserve">1.3 </w:t>
            </w:r>
            <w:r w:rsidRPr="00000473">
              <w:rPr>
                <w:sz w:val="20"/>
                <w:lang w:val="en-US"/>
              </w:rPr>
              <w:t>–</w:t>
            </w:r>
            <w:r w:rsidRPr="00E971F8">
              <w:rPr>
                <w:sz w:val="20"/>
                <w:lang w:val="en-US"/>
              </w:rPr>
              <w:t xml:space="preserve"> Research radio/ Message radio networks </w:t>
            </w:r>
            <w:r>
              <w:rPr>
                <w:sz w:val="20"/>
                <w:lang w:val="en-US"/>
              </w:rPr>
              <w:br/>
            </w:r>
            <w:r>
              <w:rPr>
                <w:sz w:val="20"/>
                <w:lang w:val="en-US"/>
              </w:rPr>
              <w:tab/>
            </w:r>
            <w:r w:rsidRPr="00E971F8">
              <w:rPr>
                <w:sz w:val="20"/>
                <w:lang w:val="en-US"/>
              </w:rPr>
              <w:t>(Paging) (bandwidth =</w:t>
            </w:r>
            <w:r>
              <w:rPr>
                <w:sz w:val="20"/>
                <w:lang w:val="en-US"/>
              </w:rPr>
              <w:t xml:space="preserve"> </w:t>
            </w:r>
            <w:r w:rsidRPr="00E971F8">
              <w:rPr>
                <w:sz w:val="20"/>
                <w:lang w:val="en-US"/>
              </w:rPr>
              <w:t>12.5 KHz)</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a1. Local network (urban)</w:t>
            </w:r>
          </w:p>
          <w:p w:rsidR="00D750B9" w:rsidRPr="00E971F8" w:rsidRDefault="00D750B9" w:rsidP="002D1D5C">
            <w:pPr>
              <w:pStyle w:val="Tabletext"/>
              <w:jc w:val="left"/>
              <w:rPr>
                <w:sz w:val="20"/>
                <w:lang w:val="en-US"/>
              </w:rPr>
            </w:pPr>
            <w:r w:rsidRPr="00E971F8">
              <w:rPr>
                <w:sz w:val="20"/>
                <w:lang w:val="en-US"/>
              </w:rPr>
              <w:t>a2. Regional network (interurban)</w:t>
            </w:r>
          </w:p>
          <w:p w:rsidR="00D750B9" w:rsidRPr="00E971F8" w:rsidRDefault="00D750B9" w:rsidP="002D1D5C">
            <w:pPr>
              <w:pStyle w:val="Tabletext"/>
              <w:jc w:val="left"/>
              <w:rPr>
                <w:sz w:val="20"/>
                <w:lang w:val="en-US"/>
              </w:rPr>
            </w:pPr>
            <w:r w:rsidRPr="00E971F8">
              <w:rPr>
                <w:sz w:val="20"/>
                <w:lang w:val="en-US"/>
              </w:rPr>
              <w:t>a3. National network</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b1. Base station</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c1. Locally available frequency</w:t>
            </w:r>
          </w:p>
          <w:p w:rsidR="00D750B9" w:rsidRPr="00E971F8" w:rsidRDefault="00D750B9" w:rsidP="002D1D5C">
            <w:pPr>
              <w:pStyle w:val="Tabletext"/>
              <w:jc w:val="left"/>
              <w:rPr>
                <w:sz w:val="20"/>
                <w:lang w:val="en-US"/>
              </w:rPr>
            </w:pPr>
            <w:r w:rsidRPr="00E971F8">
              <w:rPr>
                <w:sz w:val="20"/>
                <w:lang w:val="en-US"/>
              </w:rPr>
              <w:t>c2. Regional available frequency</w:t>
            </w:r>
          </w:p>
          <w:p w:rsidR="00D750B9" w:rsidRPr="00E971F8" w:rsidRDefault="00D750B9" w:rsidP="002D1D5C">
            <w:pPr>
              <w:pStyle w:val="Tabletext"/>
              <w:jc w:val="left"/>
              <w:rPr>
                <w:sz w:val="20"/>
                <w:lang w:val="en-US"/>
              </w:rPr>
            </w:pPr>
            <w:r w:rsidRPr="00E971F8">
              <w:rPr>
                <w:sz w:val="20"/>
                <w:lang w:val="en-US"/>
              </w:rPr>
              <w:t xml:space="preserve">c3. Frequency available throughout the national </w:t>
            </w:r>
            <w:r>
              <w:rPr>
                <w:sz w:val="20"/>
                <w:lang w:val="en-US"/>
              </w:rPr>
              <w:br/>
            </w:r>
            <w:r>
              <w:rPr>
                <w:sz w:val="20"/>
                <w:lang w:val="en-US"/>
              </w:rPr>
              <w:tab/>
            </w:r>
            <w:r w:rsidRPr="00E971F8">
              <w:rPr>
                <w:sz w:val="20"/>
                <w:lang w:val="en-US"/>
              </w:rPr>
              <w:t>territory</w:t>
            </w:r>
          </w:p>
          <w:p w:rsidR="00D750B9" w:rsidRPr="00052595" w:rsidRDefault="00D750B9" w:rsidP="002D1D5C">
            <w:pPr>
              <w:pStyle w:val="Tabletext"/>
              <w:jc w:val="left"/>
              <w:rPr>
                <w:sz w:val="20"/>
                <w:lang w:val="en-US"/>
              </w:rPr>
            </w:pPr>
          </w:p>
          <w:p w:rsidR="00D750B9" w:rsidRPr="00052595" w:rsidRDefault="00D750B9" w:rsidP="002D1D5C">
            <w:pPr>
              <w:pStyle w:val="Tabletext"/>
              <w:ind w:left="284" w:hanging="284"/>
              <w:jc w:val="left"/>
              <w:rPr>
                <w:sz w:val="20"/>
                <w:lang w:val="en-US"/>
              </w:rPr>
            </w:pPr>
            <w:r w:rsidRPr="00052595">
              <w:rPr>
                <w:sz w:val="20"/>
                <w:lang w:val="en-US"/>
              </w:rPr>
              <w:t xml:space="preserve">1.4 </w:t>
            </w:r>
            <w:r w:rsidRPr="00000473">
              <w:rPr>
                <w:sz w:val="20"/>
                <w:lang w:val="en-US"/>
              </w:rPr>
              <w:t>–</w:t>
            </w:r>
            <w:r w:rsidRPr="00052595">
              <w:rPr>
                <w:sz w:val="20"/>
                <w:lang w:val="en-US"/>
              </w:rPr>
              <w:t xml:space="preserve"> Shared resources network (Trunking)</w:t>
            </w:r>
          </w:p>
          <w:p w:rsidR="00D750B9" w:rsidRPr="00E971F8" w:rsidRDefault="00D750B9" w:rsidP="002D1D5C">
            <w:pPr>
              <w:pStyle w:val="Tabletext"/>
              <w:tabs>
                <w:tab w:val="clear" w:pos="284"/>
                <w:tab w:val="left" w:pos="426"/>
              </w:tabs>
              <w:jc w:val="left"/>
              <w:rPr>
                <w:sz w:val="20"/>
                <w:lang w:val="en-US"/>
              </w:rPr>
            </w:pPr>
            <w:r>
              <w:rPr>
                <w:sz w:val="20"/>
                <w:lang w:val="en-US"/>
              </w:rPr>
              <w:tab/>
            </w:r>
            <w:r w:rsidRPr="00E971F8">
              <w:rPr>
                <w:sz w:val="20"/>
                <w:lang w:val="en-US"/>
              </w:rPr>
              <w:t>(with bandwidth of 12.5 KHz)</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a1. Local network</w:t>
            </w:r>
          </w:p>
          <w:p w:rsidR="00D750B9" w:rsidRPr="00E971F8" w:rsidRDefault="00D750B9" w:rsidP="002D1D5C">
            <w:pPr>
              <w:pStyle w:val="Tabletext"/>
              <w:jc w:val="left"/>
              <w:rPr>
                <w:sz w:val="20"/>
                <w:lang w:val="en-US"/>
              </w:rPr>
            </w:pPr>
            <w:r w:rsidRPr="00E971F8">
              <w:rPr>
                <w:sz w:val="20"/>
                <w:lang w:val="en-US"/>
              </w:rPr>
              <w:t>a2. Regional network</w:t>
            </w:r>
          </w:p>
          <w:p w:rsidR="00D750B9" w:rsidRPr="00E971F8" w:rsidRDefault="00D750B9" w:rsidP="002D1D5C">
            <w:pPr>
              <w:pStyle w:val="Tabletext"/>
              <w:jc w:val="left"/>
              <w:rPr>
                <w:sz w:val="20"/>
                <w:lang w:val="en-US"/>
              </w:rPr>
            </w:pPr>
            <w:r w:rsidRPr="00E971F8">
              <w:rPr>
                <w:sz w:val="20"/>
                <w:lang w:val="en-US"/>
              </w:rPr>
              <w:t>a3. National network</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b1. Base station</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Pr>
                <w:sz w:val="20"/>
                <w:lang w:val="en-US"/>
              </w:rPr>
              <w:t>c1.</w:t>
            </w:r>
            <w:r>
              <w:rPr>
                <w:sz w:val="20"/>
                <w:lang w:val="en-US"/>
              </w:rPr>
              <w:tab/>
            </w:r>
            <w:r w:rsidRPr="00E971F8">
              <w:rPr>
                <w:sz w:val="20"/>
                <w:lang w:val="en-US"/>
              </w:rPr>
              <w:t>Locally available duplex channel</w:t>
            </w:r>
          </w:p>
          <w:p w:rsidR="00D750B9" w:rsidRPr="00E971F8" w:rsidRDefault="00D750B9" w:rsidP="002D1D5C">
            <w:pPr>
              <w:pStyle w:val="Tabletext"/>
              <w:jc w:val="left"/>
              <w:rPr>
                <w:sz w:val="20"/>
                <w:lang w:val="en-US"/>
              </w:rPr>
            </w:pPr>
            <w:r>
              <w:rPr>
                <w:sz w:val="20"/>
                <w:lang w:val="en-US"/>
              </w:rPr>
              <w:t>c2.</w:t>
            </w:r>
            <w:r>
              <w:rPr>
                <w:sz w:val="20"/>
                <w:lang w:val="en-US"/>
              </w:rPr>
              <w:tab/>
            </w:r>
            <w:r w:rsidRPr="00E971F8">
              <w:rPr>
                <w:sz w:val="20"/>
                <w:lang w:val="en-US"/>
              </w:rPr>
              <w:t>Duplex channel available on regional plan</w:t>
            </w:r>
          </w:p>
          <w:p w:rsidR="00D750B9" w:rsidRPr="00E971F8" w:rsidRDefault="00D750B9" w:rsidP="002D1D5C">
            <w:pPr>
              <w:pStyle w:val="Tabletext"/>
              <w:jc w:val="left"/>
              <w:rPr>
                <w:sz w:val="20"/>
                <w:lang w:val="en-US"/>
              </w:rPr>
            </w:pPr>
            <w:r>
              <w:rPr>
                <w:sz w:val="20"/>
                <w:lang w:val="en-US"/>
              </w:rPr>
              <w:t>c3.</w:t>
            </w:r>
            <w:r>
              <w:rPr>
                <w:sz w:val="20"/>
                <w:lang w:val="en-US"/>
              </w:rPr>
              <w:tab/>
            </w:r>
            <w:r w:rsidRPr="00E971F8">
              <w:rPr>
                <w:sz w:val="20"/>
                <w:lang w:val="en-US"/>
              </w:rPr>
              <w:t xml:space="preserve">Duplex channel available throughout the </w:t>
            </w:r>
            <w:r>
              <w:rPr>
                <w:sz w:val="20"/>
                <w:lang w:val="en-US"/>
              </w:rPr>
              <w:tab/>
            </w:r>
            <w:r w:rsidRPr="00E971F8">
              <w:rPr>
                <w:sz w:val="20"/>
                <w:lang w:val="en-US"/>
              </w:rPr>
              <w:t>national territory</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u w:val="single"/>
                <w:lang w:val="en-US"/>
              </w:rPr>
            </w:pPr>
            <w:r w:rsidRPr="00E971F8">
              <w:rPr>
                <w:sz w:val="20"/>
                <w:lang w:val="en-US"/>
              </w:rPr>
              <w:t>1.5</w:t>
            </w:r>
            <w:r>
              <w:rPr>
                <w:sz w:val="20"/>
                <w:lang w:val="en-US"/>
              </w:rPr>
              <w:t xml:space="preserve"> </w:t>
            </w:r>
            <w:r w:rsidRPr="00000473">
              <w:rPr>
                <w:sz w:val="20"/>
                <w:lang w:val="en-US"/>
              </w:rPr>
              <w:t>–</w:t>
            </w:r>
            <w:r>
              <w:rPr>
                <w:sz w:val="20"/>
                <w:lang w:val="en-US"/>
              </w:rPr>
              <w:t xml:space="preserve"> </w:t>
            </w:r>
            <w:r w:rsidRPr="00052595">
              <w:rPr>
                <w:sz w:val="20"/>
                <w:lang w:val="en-US"/>
              </w:rPr>
              <w:t>Microwave Links above 1 GHz</w:t>
            </w:r>
          </w:p>
          <w:p w:rsidR="00D750B9" w:rsidRPr="00E971F8" w:rsidRDefault="00D750B9" w:rsidP="002D1D5C">
            <w:pPr>
              <w:pStyle w:val="Tabletext"/>
              <w:jc w:val="left"/>
              <w:rPr>
                <w:sz w:val="20"/>
                <w:u w:val="single"/>
                <w:lang w:val="en-US"/>
              </w:rPr>
            </w:pPr>
          </w:p>
          <w:p w:rsidR="00D750B9" w:rsidRPr="00E971F8" w:rsidRDefault="00D750B9" w:rsidP="002D1D5C">
            <w:pPr>
              <w:pStyle w:val="Tabletext"/>
              <w:jc w:val="left"/>
              <w:rPr>
                <w:sz w:val="20"/>
                <w:lang w:val="en-US"/>
              </w:rPr>
            </w:pPr>
            <w:r w:rsidRPr="00E971F8">
              <w:rPr>
                <w:sz w:val="20"/>
                <w:lang w:val="en-US"/>
              </w:rPr>
              <w:t>a1. Trunk or local network</w:t>
            </w:r>
          </w:p>
          <w:p w:rsidR="00D750B9" w:rsidRPr="00E971F8" w:rsidRDefault="00D750B9" w:rsidP="002D1D5C">
            <w:pPr>
              <w:pStyle w:val="Tabletext"/>
              <w:jc w:val="left"/>
              <w:rPr>
                <w:sz w:val="20"/>
                <w:lang w:val="en-US"/>
              </w:rPr>
            </w:pPr>
            <w:r w:rsidRPr="00E971F8">
              <w:rPr>
                <w:sz w:val="20"/>
                <w:lang w:val="en-US"/>
              </w:rPr>
              <w:t>a2. Trunk or regional network</w:t>
            </w:r>
          </w:p>
          <w:p w:rsidR="00D750B9" w:rsidRPr="00E971F8" w:rsidRDefault="00D750B9" w:rsidP="002D1D5C">
            <w:pPr>
              <w:pStyle w:val="Tabletext"/>
              <w:jc w:val="left"/>
              <w:rPr>
                <w:sz w:val="20"/>
                <w:lang w:val="en-US"/>
              </w:rPr>
            </w:pPr>
            <w:r w:rsidRPr="00E971F8">
              <w:rPr>
                <w:sz w:val="20"/>
                <w:lang w:val="en-US"/>
              </w:rPr>
              <w:t>a3. Trunk or national network</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b1. Terminal station</w:t>
            </w:r>
          </w:p>
          <w:p w:rsidR="00D750B9" w:rsidRPr="00E971F8" w:rsidRDefault="00D750B9" w:rsidP="002D1D5C">
            <w:pPr>
              <w:pStyle w:val="Tabletext"/>
              <w:jc w:val="left"/>
              <w:rPr>
                <w:sz w:val="20"/>
                <w:lang w:val="en-US"/>
              </w:rPr>
            </w:pPr>
            <w:r w:rsidRPr="00E971F8">
              <w:rPr>
                <w:sz w:val="20"/>
                <w:lang w:val="en-US"/>
              </w:rPr>
              <w:t>b2. Relay station</w:t>
            </w:r>
          </w:p>
          <w:p w:rsidR="00D750B9" w:rsidRPr="00E971F8" w:rsidRDefault="00D750B9" w:rsidP="002D1D5C">
            <w:pPr>
              <w:pStyle w:val="Tabletext"/>
              <w:jc w:val="left"/>
              <w:rPr>
                <w:sz w:val="20"/>
                <w:lang w:val="en-US"/>
              </w:rPr>
            </w:pPr>
          </w:p>
          <w:p w:rsidR="00D750B9" w:rsidRPr="00E971F8" w:rsidRDefault="00D750B9" w:rsidP="002D1D5C">
            <w:pPr>
              <w:pStyle w:val="Tabletext"/>
              <w:ind w:right="-57"/>
              <w:jc w:val="left"/>
              <w:rPr>
                <w:sz w:val="20"/>
                <w:lang w:val="en-US"/>
              </w:rPr>
            </w:pPr>
            <w:r>
              <w:rPr>
                <w:sz w:val="20"/>
                <w:lang w:val="en-US"/>
              </w:rPr>
              <w:t>c1.</w:t>
            </w:r>
            <w:r>
              <w:rPr>
                <w:sz w:val="20"/>
                <w:lang w:val="en-US"/>
              </w:rPr>
              <w:tab/>
            </w:r>
            <w:r w:rsidRPr="00E971F8">
              <w:rPr>
                <w:sz w:val="20"/>
                <w:lang w:val="en-US"/>
              </w:rPr>
              <w:t xml:space="preserve">Links between 1 to 24 telephone channels or </w:t>
            </w:r>
            <w:r>
              <w:rPr>
                <w:sz w:val="20"/>
                <w:lang w:val="en-US"/>
              </w:rPr>
              <w:tab/>
            </w:r>
            <w:r w:rsidRPr="00E971F8">
              <w:rPr>
                <w:sz w:val="20"/>
                <w:lang w:val="en-US"/>
              </w:rPr>
              <w:t>from 2.1 Mbits/s</w:t>
            </w:r>
          </w:p>
          <w:p w:rsidR="00D750B9" w:rsidRPr="00E971F8" w:rsidRDefault="00D750B9" w:rsidP="002D1D5C">
            <w:pPr>
              <w:pStyle w:val="Tabletext"/>
              <w:jc w:val="left"/>
              <w:rPr>
                <w:sz w:val="20"/>
                <w:lang w:val="en-US"/>
              </w:rPr>
            </w:pPr>
            <w:r>
              <w:rPr>
                <w:sz w:val="20"/>
                <w:lang w:val="en-US"/>
              </w:rPr>
              <w:t>c2.</w:t>
            </w:r>
            <w:r>
              <w:rPr>
                <w:sz w:val="20"/>
                <w:lang w:val="en-US"/>
              </w:rPr>
              <w:tab/>
            </w:r>
            <w:r w:rsidRPr="00E971F8">
              <w:rPr>
                <w:sz w:val="20"/>
                <w:lang w:val="en-US"/>
              </w:rPr>
              <w:t xml:space="preserve">Links between 25 to 120 telephone channels </w:t>
            </w:r>
            <w:r>
              <w:rPr>
                <w:sz w:val="20"/>
                <w:lang w:val="en-US"/>
              </w:rPr>
              <w:br/>
            </w:r>
            <w:r>
              <w:rPr>
                <w:sz w:val="20"/>
                <w:lang w:val="en-US"/>
              </w:rPr>
              <w:tab/>
            </w:r>
            <w:r w:rsidRPr="00E971F8">
              <w:rPr>
                <w:sz w:val="20"/>
                <w:lang w:val="en-US"/>
              </w:rPr>
              <w:t>or from 2.1 to 8 Mbits/s</w:t>
            </w:r>
          </w:p>
          <w:p w:rsidR="00D750B9" w:rsidRPr="00E971F8" w:rsidRDefault="00D750B9" w:rsidP="002D1D5C">
            <w:pPr>
              <w:pStyle w:val="Tabletext"/>
              <w:ind w:right="-57"/>
              <w:jc w:val="left"/>
              <w:rPr>
                <w:sz w:val="20"/>
                <w:lang w:val="en-US"/>
              </w:rPr>
            </w:pPr>
            <w:r w:rsidRPr="00E971F8">
              <w:rPr>
                <w:sz w:val="20"/>
                <w:lang w:val="en-US"/>
              </w:rPr>
              <w:t>c3.</w:t>
            </w:r>
            <w:r>
              <w:rPr>
                <w:sz w:val="20"/>
                <w:lang w:val="en-US"/>
              </w:rPr>
              <w:tab/>
            </w:r>
            <w:r w:rsidRPr="00E971F8">
              <w:rPr>
                <w:sz w:val="20"/>
                <w:lang w:val="en-US"/>
              </w:rPr>
              <w:t xml:space="preserve">Links from 121 to 600 telephone channels or </w:t>
            </w:r>
            <w:r>
              <w:rPr>
                <w:sz w:val="20"/>
                <w:lang w:val="en-US"/>
              </w:rPr>
              <w:tab/>
            </w:r>
            <w:r w:rsidRPr="00E971F8">
              <w:rPr>
                <w:sz w:val="20"/>
                <w:lang w:val="en-US"/>
              </w:rPr>
              <w:t>from 8 to 34 Mbits/s</w:t>
            </w:r>
          </w:p>
          <w:p w:rsidR="00D750B9" w:rsidRPr="00E971F8" w:rsidRDefault="00D750B9" w:rsidP="002D1D5C">
            <w:pPr>
              <w:pStyle w:val="Tabletext"/>
              <w:ind w:right="-113"/>
              <w:jc w:val="left"/>
              <w:rPr>
                <w:sz w:val="20"/>
                <w:lang w:val="en-US"/>
              </w:rPr>
            </w:pPr>
            <w:r w:rsidRPr="00E971F8">
              <w:rPr>
                <w:sz w:val="20"/>
                <w:lang w:val="en-US"/>
              </w:rPr>
              <w:t>c4.</w:t>
            </w:r>
            <w:r>
              <w:rPr>
                <w:sz w:val="20"/>
                <w:lang w:val="en-US"/>
              </w:rPr>
              <w:tab/>
            </w:r>
            <w:r w:rsidRPr="00E971F8">
              <w:rPr>
                <w:sz w:val="20"/>
                <w:lang w:val="en-US"/>
              </w:rPr>
              <w:t xml:space="preserve">Links with more than 600 telephone channels </w:t>
            </w:r>
            <w:r>
              <w:rPr>
                <w:sz w:val="20"/>
                <w:lang w:val="en-US"/>
              </w:rPr>
              <w:tab/>
            </w:r>
            <w:r w:rsidRPr="00E971F8">
              <w:rPr>
                <w:sz w:val="20"/>
                <w:lang w:val="en-US"/>
              </w:rPr>
              <w:t>or more than 34 Mbits/s</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p>
          <w:p w:rsidR="00D750B9" w:rsidRPr="00E971F8" w:rsidRDefault="00D750B9" w:rsidP="002D1D5C">
            <w:pPr>
              <w:pStyle w:val="Tabletext"/>
              <w:ind w:left="284" w:hanging="284"/>
              <w:jc w:val="left"/>
              <w:rPr>
                <w:sz w:val="20"/>
                <w:lang w:val="en-US"/>
              </w:rPr>
            </w:pPr>
            <w:r w:rsidRPr="00E971F8">
              <w:rPr>
                <w:sz w:val="20"/>
                <w:lang w:val="en-US"/>
              </w:rPr>
              <w:t>II.</w:t>
            </w:r>
            <w:r>
              <w:rPr>
                <w:sz w:val="20"/>
                <w:lang w:val="en-US"/>
              </w:rPr>
              <w:tab/>
            </w:r>
            <w:r w:rsidRPr="00052595">
              <w:rPr>
                <w:sz w:val="20"/>
                <w:lang w:val="en-US"/>
              </w:rPr>
              <w:t>FIXED AND TERRESTRIAL MOBILE NETWORKS OPENED TO THE PUBLIC</w:t>
            </w:r>
            <w:r w:rsidRPr="00E971F8">
              <w:rPr>
                <w:sz w:val="20"/>
                <w:lang w:val="en-US"/>
              </w:rPr>
              <w:t xml:space="preserve"> (Profitable business)</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p>
          <w:p w:rsidR="00D750B9" w:rsidRPr="00052595" w:rsidRDefault="00D750B9" w:rsidP="002D1D5C">
            <w:pPr>
              <w:pStyle w:val="Tabletext"/>
              <w:tabs>
                <w:tab w:val="clear" w:pos="284"/>
                <w:tab w:val="clear" w:pos="567"/>
                <w:tab w:val="clear" w:pos="851"/>
                <w:tab w:val="clear" w:pos="1134"/>
                <w:tab w:val="clear" w:pos="1418"/>
                <w:tab w:val="clear" w:pos="1701"/>
                <w:tab w:val="left" w:pos="426"/>
              </w:tabs>
              <w:ind w:left="142" w:hanging="142"/>
              <w:jc w:val="left"/>
              <w:rPr>
                <w:sz w:val="20"/>
                <w:lang w:val="en-US"/>
              </w:rPr>
            </w:pPr>
            <w:r>
              <w:rPr>
                <w:sz w:val="20"/>
                <w:lang w:val="en-US"/>
              </w:rPr>
              <w:t>II.</w:t>
            </w:r>
            <w:r w:rsidRPr="00E971F8">
              <w:rPr>
                <w:sz w:val="20"/>
                <w:lang w:val="en-US"/>
              </w:rPr>
              <w:t>1</w:t>
            </w:r>
            <w:r>
              <w:rPr>
                <w:sz w:val="20"/>
                <w:lang w:val="en-US"/>
              </w:rPr>
              <w:t>.</w:t>
            </w:r>
            <w:r>
              <w:rPr>
                <w:sz w:val="20"/>
                <w:lang w:val="en-US"/>
              </w:rPr>
              <w:tab/>
            </w:r>
            <w:r w:rsidRPr="00052595">
              <w:rPr>
                <w:sz w:val="20"/>
                <w:lang w:val="en-US"/>
              </w:rPr>
              <w:t>Research and Message networks (Paging)</w:t>
            </w:r>
            <w:r w:rsidRPr="00052595">
              <w:rPr>
                <w:sz w:val="20"/>
                <w:lang w:val="en-US"/>
              </w:rPr>
              <w:br/>
            </w:r>
            <w:r>
              <w:rPr>
                <w:sz w:val="20"/>
                <w:lang w:val="en-US"/>
              </w:rPr>
              <w:tab/>
            </w:r>
            <w:r w:rsidRPr="00052595">
              <w:rPr>
                <w:sz w:val="20"/>
                <w:lang w:val="en-US"/>
              </w:rPr>
              <w:t>(With 12.5 KHz bandwidth)</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a1. Local (urban) network</w:t>
            </w:r>
          </w:p>
          <w:p w:rsidR="00D750B9" w:rsidRPr="00E971F8" w:rsidRDefault="00D750B9" w:rsidP="002D1D5C">
            <w:pPr>
              <w:pStyle w:val="Tabletext"/>
              <w:jc w:val="left"/>
              <w:rPr>
                <w:sz w:val="20"/>
                <w:lang w:val="en-US"/>
              </w:rPr>
            </w:pPr>
            <w:r w:rsidRPr="00E971F8">
              <w:rPr>
                <w:sz w:val="20"/>
                <w:lang w:val="en-US"/>
              </w:rPr>
              <w:t>a2. Regional (interurban) network</w:t>
            </w:r>
          </w:p>
          <w:p w:rsidR="00D750B9" w:rsidRPr="00E971F8" w:rsidRDefault="00D750B9" w:rsidP="002D1D5C">
            <w:pPr>
              <w:pStyle w:val="Tabletext"/>
              <w:jc w:val="left"/>
              <w:rPr>
                <w:sz w:val="20"/>
                <w:lang w:val="en-US"/>
              </w:rPr>
            </w:pPr>
            <w:r w:rsidRPr="00E971F8">
              <w:rPr>
                <w:sz w:val="20"/>
                <w:lang w:val="en-US"/>
              </w:rPr>
              <w:lastRenderedPageBreak/>
              <w:t>a3. National network</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b1. Base station</w:t>
            </w:r>
          </w:p>
          <w:p w:rsidR="00D750B9" w:rsidRDefault="00D750B9" w:rsidP="002D1D5C">
            <w:pPr>
              <w:pStyle w:val="Tabletext"/>
              <w:jc w:val="left"/>
              <w:rPr>
                <w:sz w:val="20"/>
                <w:lang w:val="en-US"/>
              </w:rPr>
            </w:pPr>
          </w:p>
          <w:p w:rsidR="00D750B9" w:rsidRPr="00E971F8" w:rsidRDefault="00D750B9" w:rsidP="002D1D5C">
            <w:pPr>
              <w:pStyle w:val="Tabletext"/>
              <w:jc w:val="left"/>
              <w:rPr>
                <w:sz w:val="20"/>
                <w:lang w:val="en-US"/>
              </w:rPr>
            </w:pPr>
          </w:p>
          <w:p w:rsidR="00D750B9" w:rsidRPr="00E971F8" w:rsidRDefault="00D750B9" w:rsidP="002D1D5C">
            <w:pPr>
              <w:pStyle w:val="Tabletext"/>
              <w:keepNext/>
              <w:keepLines/>
              <w:jc w:val="left"/>
              <w:rPr>
                <w:sz w:val="20"/>
                <w:lang w:val="en-US"/>
              </w:rPr>
            </w:pPr>
            <w:r w:rsidRPr="00E971F8">
              <w:rPr>
                <w:sz w:val="20"/>
                <w:lang w:val="en-US"/>
              </w:rPr>
              <w:t>c1. Locally available frequency</w:t>
            </w:r>
          </w:p>
          <w:p w:rsidR="00D750B9" w:rsidRPr="00E971F8" w:rsidRDefault="00D750B9" w:rsidP="002D1D5C">
            <w:pPr>
              <w:pStyle w:val="Tabletext"/>
              <w:keepNext/>
              <w:keepLines/>
              <w:jc w:val="left"/>
              <w:rPr>
                <w:sz w:val="20"/>
                <w:lang w:val="en-US"/>
              </w:rPr>
            </w:pPr>
            <w:r w:rsidRPr="00E971F8">
              <w:rPr>
                <w:sz w:val="20"/>
                <w:lang w:val="en-US"/>
              </w:rPr>
              <w:t>c2. Regionally available frequency</w:t>
            </w:r>
          </w:p>
          <w:p w:rsidR="00D750B9" w:rsidRPr="00E971F8" w:rsidRDefault="00D750B9" w:rsidP="002D1D5C">
            <w:pPr>
              <w:pStyle w:val="Tabletext"/>
              <w:keepNext/>
              <w:keepLines/>
              <w:jc w:val="left"/>
              <w:rPr>
                <w:sz w:val="20"/>
                <w:lang w:val="en-US"/>
              </w:rPr>
            </w:pPr>
            <w:r w:rsidRPr="00E971F8">
              <w:rPr>
                <w:sz w:val="20"/>
                <w:lang w:val="en-US"/>
              </w:rPr>
              <w:t>c3. Nationally available frequency</w:t>
            </w:r>
          </w:p>
          <w:p w:rsidR="00D750B9" w:rsidRPr="00E971F8" w:rsidRDefault="00D750B9" w:rsidP="002D1D5C">
            <w:pPr>
              <w:pStyle w:val="Tabletext"/>
              <w:jc w:val="left"/>
              <w:rPr>
                <w:sz w:val="20"/>
                <w:lang w:val="en-US"/>
              </w:rPr>
            </w:pPr>
          </w:p>
          <w:p w:rsidR="00D750B9" w:rsidRPr="00E971F8" w:rsidRDefault="00D750B9" w:rsidP="002D1D5C">
            <w:pPr>
              <w:pStyle w:val="Tabletext"/>
              <w:tabs>
                <w:tab w:val="clear" w:pos="284"/>
              </w:tabs>
              <w:ind w:left="406" w:hanging="406"/>
              <w:jc w:val="left"/>
              <w:rPr>
                <w:sz w:val="20"/>
                <w:lang w:val="en-US"/>
              </w:rPr>
            </w:pPr>
            <w:r w:rsidRPr="00E971F8">
              <w:rPr>
                <w:sz w:val="20"/>
                <w:lang w:val="en-US"/>
              </w:rPr>
              <w:t>II.2.</w:t>
            </w:r>
            <w:r>
              <w:rPr>
                <w:sz w:val="20"/>
                <w:lang w:val="en-US"/>
              </w:rPr>
              <w:tab/>
            </w:r>
            <w:r w:rsidRPr="00052595">
              <w:rPr>
                <w:sz w:val="20"/>
                <w:lang w:val="en-US"/>
              </w:rPr>
              <w:t>Shared Resources networks (Trunking)</w:t>
            </w:r>
            <w:r>
              <w:rPr>
                <w:sz w:val="20"/>
                <w:lang w:val="en-US"/>
              </w:rPr>
              <w:br/>
            </w:r>
            <w:r w:rsidRPr="00E971F8">
              <w:rPr>
                <w:sz w:val="20"/>
                <w:lang w:val="en-US"/>
              </w:rPr>
              <w:t>With channels = 12.5 KHz)</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a1. Local network (urban)</w:t>
            </w:r>
          </w:p>
          <w:p w:rsidR="00D750B9" w:rsidRPr="00E971F8" w:rsidRDefault="00D750B9" w:rsidP="002D1D5C">
            <w:pPr>
              <w:pStyle w:val="Tabletext"/>
              <w:jc w:val="left"/>
              <w:rPr>
                <w:sz w:val="20"/>
                <w:lang w:val="en-US"/>
              </w:rPr>
            </w:pPr>
            <w:r w:rsidRPr="00E971F8">
              <w:rPr>
                <w:sz w:val="20"/>
                <w:lang w:val="en-US"/>
              </w:rPr>
              <w:t>a2. Regional network (interurban)</w:t>
            </w:r>
          </w:p>
          <w:p w:rsidR="00D750B9" w:rsidRPr="00E971F8" w:rsidRDefault="00D750B9" w:rsidP="002D1D5C">
            <w:pPr>
              <w:pStyle w:val="Tabletext"/>
              <w:jc w:val="left"/>
              <w:rPr>
                <w:sz w:val="20"/>
                <w:lang w:val="en-US"/>
              </w:rPr>
            </w:pPr>
            <w:r w:rsidRPr="00E971F8">
              <w:rPr>
                <w:sz w:val="20"/>
                <w:lang w:val="en-US"/>
              </w:rPr>
              <w:t>a3. National network</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b1. Base station</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c1. Locally available frequency</w:t>
            </w:r>
          </w:p>
          <w:p w:rsidR="00D750B9" w:rsidRPr="00E971F8" w:rsidRDefault="00D750B9" w:rsidP="002D1D5C">
            <w:pPr>
              <w:pStyle w:val="Tabletext"/>
              <w:jc w:val="left"/>
              <w:rPr>
                <w:sz w:val="20"/>
                <w:lang w:val="en-US"/>
              </w:rPr>
            </w:pPr>
            <w:r w:rsidRPr="00E971F8">
              <w:rPr>
                <w:sz w:val="20"/>
                <w:lang w:val="en-US"/>
              </w:rPr>
              <w:t>c2. Regional available frequency</w:t>
            </w:r>
          </w:p>
          <w:p w:rsidR="00D750B9" w:rsidRPr="00E971F8" w:rsidRDefault="00D750B9" w:rsidP="002D1D5C">
            <w:pPr>
              <w:pStyle w:val="Tabletext"/>
              <w:ind w:left="284" w:hanging="284"/>
              <w:jc w:val="left"/>
              <w:rPr>
                <w:sz w:val="20"/>
                <w:lang w:val="en-US"/>
              </w:rPr>
            </w:pPr>
            <w:r w:rsidRPr="00E971F8">
              <w:rPr>
                <w:sz w:val="20"/>
                <w:lang w:val="en-US"/>
              </w:rPr>
              <w:t>c3. Frequency available throughout the national territory</w:t>
            </w:r>
          </w:p>
          <w:p w:rsidR="00D750B9" w:rsidRPr="00E971F8" w:rsidRDefault="00D750B9" w:rsidP="002D1D5C">
            <w:pPr>
              <w:pStyle w:val="Tabletext"/>
              <w:jc w:val="left"/>
              <w:rPr>
                <w:sz w:val="20"/>
                <w:lang w:val="en-US"/>
              </w:rPr>
            </w:pPr>
          </w:p>
          <w:p w:rsidR="00D750B9" w:rsidRPr="00052595" w:rsidRDefault="00D750B9" w:rsidP="002D1D5C">
            <w:pPr>
              <w:pStyle w:val="Tabletext"/>
              <w:jc w:val="left"/>
              <w:rPr>
                <w:sz w:val="20"/>
                <w:lang w:val="en-US"/>
              </w:rPr>
            </w:pPr>
            <w:r w:rsidRPr="00E971F8">
              <w:rPr>
                <w:sz w:val="20"/>
                <w:lang w:val="en-US"/>
              </w:rPr>
              <w:t>II.3</w:t>
            </w:r>
            <w:r w:rsidRPr="00052595">
              <w:rPr>
                <w:sz w:val="20"/>
                <w:lang w:val="en-US"/>
              </w:rPr>
              <w:t>.</w:t>
            </w:r>
            <w:r>
              <w:rPr>
                <w:sz w:val="20"/>
                <w:lang w:val="en-US"/>
              </w:rPr>
              <w:t xml:space="preserve"> </w:t>
            </w:r>
            <w:r w:rsidRPr="00052595">
              <w:rPr>
                <w:sz w:val="20"/>
                <w:lang w:val="en-US"/>
              </w:rPr>
              <w:t>Cellular Network</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a1. Base station</w:t>
            </w:r>
          </w:p>
          <w:p w:rsidR="00D750B9" w:rsidRPr="00E971F8" w:rsidRDefault="00D750B9" w:rsidP="002D1D5C">
            <w:pPr>
              <w:pStyle w:val="Tabletext"/>
              <w:jc w:val="left"/>
              <w:rPr>
                <w:sz w:val="20"/>
                <w:lang w:val="en-US"/>
              </w:rPr>
            </w:pPr>
          </w:p>
          <w:p w:rsidR="00D750B9" w:rsidRPr="00E971F8" w:rsidRDefault="00D750B9" w:rsidP="002D1D5C">
            <w:pPr>
              <w:pStyle w:val="Tabletext"/>
              <w:ind w:left="284" w:hanging="284"/>
              <w:jc w:val="left"/>
              <w:rPr>
                <w:sz w:val="20"/>
                <w:lang w:val="en-US"/>
              </w:rPr>
            </w:pPr>
            <w:r>
              <w:rPr>
                <w:sz w:val="20"/>
                <w:lang w:val="en-US"/>
              </w:rPr>
              <w:t>b1.</w:t>
            </w:r>
            <w:r>
              <w:rPr>
                <w:sz w:val="20"/>
                <w:lang w:val="en-US"/>
              </w:rPr>
              <w:tab/>
            </w:r>
            <w:r w:rsidRPr="00E971F8">
              <w:rPr>
                <w:sz w:val="20"/>
                <w:lang w:val="en-US"/>
              </w:rPr>
              <w:t>For duplex c</w:t>
            </w:r>
            <w:r>
              <w:rPr>
                <w:sz w:val="20"/>
                <w:lang w:val="en-US"/>
              </w:rPr>
              <w:t xml:space="preserve">hannel available throughout </w:t>
            </w:r>
            <w:r>
              <w:rPr>
                <w:sz w:val="20"/>
                <w:lang w:val="en-US"/>
              </w:rPr>
              <w:br/>
              <w:t>the</w:t>
            </w:r>
            <w:r w:rsidRPr="00E971F8">
              <w:rPr>
                <w:sz w:val="20"/>
                <w:lang w:val="en-US"/>
              </w:rPr>
              <w:t xml:space="preserve"> national territory (with bandwidth</w:t>
            </w:r>
            <w:r>
              <w:rPr>
                <w:sz w:val="20"/>
                <w:lang w:val="en-US"/>
              </w:rPr>
              <w:t xml:space="preserve"> </w:t>
            </w:r>
            <w:r w:rsidRPr="00E971F8">
              <w:rPr>
                <w:sz w:val="20"/>
                <w:lang w:val="en-US"/>
              </w:rPr>
              <w:t>=</w:t>
            </w:r>
            <w:r>
              <w:rPr>
                <w:sz w:val="20"/>
                <w:lang w:val="en-US"/>
              </w:rPr>
              <w:t xml:space="preserve"> </w:t>
            </w:r>
            <w:r w:rsidRPr="00E971F8">
              <w:rPr>
                <w:sz w:val="20"/>
                <w:lang w:val="en-US"/>
              </w:rPr>
              <w:t>200</w:t>
            </w:r>
            <w:r>
              <w:rPr>
                <w:sz w:val="20"/>
                <w:lang w:val="en-US"/>
              </w:rPr>
              <w:t> </w:t>
            </w:r>
            <w:r w:rsidRPr="00E971F8">
              <w:rPr>
                <w:sz w:val="20"/>
                <w:lang w:val="en-US"/>
              </w:rPr>
              <w:t>KHz)</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II.4. Microwave Links above 1 GHz</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a1. Local links</w:t>
            </w:r>
          </w:p>
          <w:p w:rsidR="00D750B9" w:rsidRPr="00E971F8" w:rsidRDefault="00D750B9" w:rsidP="002D1D5C">
            <w:pPr>
              <w:pStyle w:val="Tabletext"/>
              <w:jc w:val="left"/>
              <w:rPr>
                <w:sz w:val="20"/>
                <w:lang w:val="en-US"/>
              </w:rPr>
            </w:pPr>
            <w:r w:rsidRPr="00E971F8">
              <w:rPr>
                <w:sz w:val="20"/>
                <w:lang w:val="en-US"/>
              </w:rPr>
              <w:t>a2. Regional Links</w:t>
            </w:r>
          </w:p>
          <w:p w:rsidR="00D750B9" w:rsidRPr="00E971F8" w:rsidRDefault="00D750B9" w:rsidP="002D1D5C">
            <w:pPr>
              <w:pStyle w:val="Tabletext"/>
              <w:jc w:val="left"/>
              <w:rPr>
                <w:sz w:val="20"/>
                <w:lang w:val="en-US"/>
              </w:rPr>
            </w:pPr>
            <w:r w:rsidRPr="00E971F8">
              <w:rPr>
                <w:sz w:val="20"/>
                <w:lang w:val="en-US"/>
              </w:rPr>
              <w:t>a3. National Links</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b1. Terminal station</w:t>
            </w:r>
          </w:p>
          <w:p w:rsidR="00D750B9" w:rsidRPr="00E971F8" w:rsidRDefault="00D750B9" w:rsidP="002D1D5C">
            <w:pPr>
              <w:pStyle w:val="Tabletext"/>
              <w:jc w:val="left"/>
              <w:rPr>
                <w:sz w:val="20"/>
                <w:lang w:val="en-US"/>
              </w:rPr>
            </w:pPr>
            <w:r w:rsidRPr="00E971F8">
              <w:rPr>
                <w:sz w:val="20"/>
                <w:lang w:val="en-US"/>
              </w:rPr>
              <w:t>b2. Terminal station</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c1. Links of 120 telephone channels or 8 Mbits/s</w:t>
            </w:r>
          </w:p>
          <w:p w:rsidR="00D750B9" w:rsidRPr="00E971F8" w:rsidRDefault="00D750B9" w:rsidP="002D1D5C">
            <w:pPr>
              <w:pStyle w:val="Tabletext"/>
              <w:jc w:val="left"/>
              <w:rPr>
                <w:sz w:val="20"/>
                <w:lang w:val="en-US"/>
              </w:rPr>
            </w:pPr>
            <w:r w:rsidRPr="00E971F8">
              <w:rPr>
                <w:sz w:val="20"/>
                <w:lang w:val="en-US"/>
              </w:rPr>
              <w:t xml:space="preserve">c2. Links from 121 to 600 telephone channels or </w:t>
            </w:r>
            <w:r>
              <w:rPr>
                <w:sz w:val="20"/>
                <w:lang w:val="en-US"/>
              </w:rPr>
              <w:br/>
            </w:r>
            <w:r>
              <w:rPr>
                <w:sz w:val="20"/>
                <w:lang w:val="en-US"/>
              </w:rPr>
              <w:tab/>
            </w:r>
            <w:r w:rsidRPr="00E971F8">
              <w:rPr>
                <w:sz w:val="20"/>
                <w:lang w:val="en-US"/>
              </w:rPr>
              <w:t>from 2.1-8 Mbits/s</w:t>
            </w:r>
          </w:p>
          <w:p w:rsidR="00D750B9" w:rsidRPr="00E971F8" w:rsidRDefault="00D750B9" w:rsidP="002D1D5C">
            <w:pPr>
              <w:pStyle w:val="Tabletext"/>
              <w:jc w:val="left"/>
              <w:rPr>
                <w:sz w:val="20"/>
                <w:lang w:val="en-US"/>
              </w:rPr>
            </w:pPr>
            <w:r w:rsidRPr="00E971F8">
              <w:rPr>
                <w:sz w:val="20"/>
                <w:lang w:val="en-US"/>
              </w:rPr>
              <w:t xml:space="preserve">c3. Links up to 1200 telephone channels or more </w:t>
            </w:r>
            <w:r>
              <w:rPr>
                <w:sz w:val="20"/>
                <w:lang w:val="en-US"/>
              </w:rPr>
              <w:br/>
            </w:r>
            <w:r>
              <w:rPr>
                <w:sz w:val="20"/>
                <w:lang w:val="en-US"/>
              </w:rPr>
              <w:tab/>
            </w:r>
            <w:r w:rsidRPr="00E971F8">
              <w:rPr>
                <w:sz w:val="20"/>
                <w:lang w:val="en-US"/>
              </w:rPr>
              <w:t>than 70 Mbits/s</w:t>
            </w:r>
          </w:p>
          <w:p w:rsidR="00D750B9" w:rsidRPr="00E971F8" w:rsidRDefault="00D750B9" w:rsidP="002D1D5C">
            <w:pPr>
              <w:pStyle w:val="Tabletext"/>
              <w:jc w:val="left"/>
              <w:rPr>
                <w:sz w:val="20"/>
                <w:lang w:val="en-US"/>
              </w:rPr>
            </w:pPr>
          </w:p>
          <w:p w:rsidR="00D750B9" w:rsidRPr="00A6735C" w:rsidRDefault="00D750B9" w:rsidP="002D1D5C">
            <w:pPr>
              <w:pStyle w:val="Tabletext"/>
              <w:keepNext/>
              <w:keepLines/>
              <w:ind w:left="284" w:hanging="284"/>
              <w:jc w:val="left"/>
              <w:rPr>
                <w:sz w:val="20"/>
                <w:lang w:val="en-US"/>
              </w:rPr>
            </w:pPr>
          </w:p>
          <w:p w:rsidR="00D750B9" w:rsidRPr="002A0070" w:rsidRDefault="00D750B9" w:rsidP="002D1D5C">
            <w:pPr>
              <w:pStyle w:val="Tabletext"/>
              <w:keepNext/>
              <w:keepLines/>
              <w:ind w:left="284" w:hanging="284"/>
              <w:jc w:val="left"/>
              <w:rPr>
                <w:sz w:val="20"/>
                <w:lang w:val="en-US"/>
              </w:rPr>
            </w:pPr>
          </w:p>
          <w:p w:rsidR="00D750B9" w:rsidRPr="00E971F8" w:rsidRDefault="00D750B9" w:rsidP="002D1D5C">
            <w:pPr>
              <w:pStyle w:val="Tabletext"/>
              <w:keepNext/>
              <w:keepLines/>
              <w:ind w:left="284" w:hanging="284"/>
              <w:jc w:val="left"/>
              <w:rPr>
                <w:sz w:val="20"/>
                <w:lang w:val="fr-CH"/>
              </w:rPr>
            </w:pPr>
            <w:r w:rsidRPr="00E971F8">
              <w:rPr>
                <w:sz w:val="20"/>
                <w:lang w:val="fr-CH"/>
              </w:rPr>
              <w:lastRenderedPageBreak/>
              <w:t>III.</w:t>
            </w:r>
            <w:r>
              <w:rPr>
                <w:sz w:val="20"/>
                <w:lang w:val="fr-CH"/>
              </w:rPr>
              <w:tab/>
            </w:r>
            <w:r w:rsidRPr="00052595">
              <w:rPr>
                <w:sz w:val="20"/>
                <w:lang w:val="fr-CH"/>
              </w:rPr>
              <w:t>TERRESTRIAL RADIOMARITIME SERVICE</w:t>
            </w:r>
          </w:p>
          <w:p w:rsidR="00D750B9" w:rsidRPr="00E971F8" w:rsidRDefault="00D750B9" w:rsidP="002D1D5C">
            <w:pPr>
              <w:pStyle w:val="Tabletext"/>
              <w:keepNext/>
              <w:keepLines/>
              <w:jc w:val="left"/>
              <w:rPr>
                <w:sz w:val="20"/>
                <w:lang w:val="fr-CH"/>
              </w:rPr>
            </w:pPr>
          </w:p>
          <w:p w:rsidR="00D750B9" w:rsidRPr="00052595" w:rsidRDefault="00D750B9" w:rsidP="002D1D5C">
            <w:pPr>
              <w:pStyle w:val="Tabletext"/>
              <w:jc w:val="left"/>
              <w:rPr>
                <w:sz w:val="20"/>
                <w:lang w:val="fr-CH"/>
              </w:rPr>
            </w:pPr>
            <w:r w:rsidRPr="00E971F8">
              <w:rPr>
                <w:sz w:val="20"/>
                <w:lang w:val="fr-CH"/>
              </w:rPr>
              <w:t xml:space="preserve">III.1. </w:t>
            </w:r>
            <w:r w:rsidRPr="00052595">
              <w:rPr>
                <w:sz w:val="20"/>
                <w:lang w:val="fr-CH"/>
              </w:rPr>
              <w:t>Private coastal station (non profitable)</w:t>
            </w:r>
          </w:p>
          <w:p w:rsidR="00D750B9" w:rsidRPr="00E971F8" w:rsidRDefault="00D750B9" w:rsidP="002D1D5C">
            <w:pPr>
              <w:pStyle w:val="Tabletext"/>
              <w:jc w:val="left"/>
              <w:rPr>
                <w:sz w:val="20"/>
                <w:u w:val="single"/>
                <w:lang w:val="fr-CH"/>
              </w:rPr>
            </w:pPr>
          </w:p>
          <w:p w:rsidR="00D750B9" w:rsidRPr="00E971F8" w:rsidRDefault="00D750B9" w:rsidP="002D1D5C">
            <w:pPr>
              <w:pStyle w:val="Tabletext"/>
              <w:jc w:val="left"/>
              <w:rPr>
                <w:sz w:val="20"/>
                <w:lang w:val="en-US"/>
              </w:rPr>
            </w:pPr>
            <w:r w:rsidRPr="00E971F8">
              <w:rPr>
                <w:sz w:val="20"/>
                <w:lang w:val="en-US"/>
              </w:rPr>
              <w:t>a1. Radioelectric links VHF (25KHz)</w:t>
            </w:r>
          </w:p>
          <w:p w:rsidR="00D750B9" w:rsidRPr="00E971F8" w:rsidRDefault="00D750B9" w:rsidP="002D1D5C">
            <w:pPr>
              <w:pStyle w:val="Tabletext"/>
              <w:jc w:val="left"/>
              <w:rPr>
                <w:sz w:val="20"/>
                <w:lang w:val="en-US"/>
              </w:rPr>
            </w:pPr>
            <w:r w:rsidRPr="00E971F8">
              <w:rPr>
                <w:sz w:val="20"/>
                <w:lang w:val="en-US"/>
              </w:rPr>
              <w:t>a2. Radioelectric links MF/HF (less than 1 KHz)</w:t>
            </w:r>
          </w:p>
          <w:p w:rsidR="00D750B9" w:rsidRPr="00E971F8" w:rsidRDefault="00D750B9" w:rsidP="002D1D5C">
            <w:pPr>
              <w:pStyle w:val="Tabletext"/>
              <w:jc w:val="left"/>
              <w:rPr>
                <w:sz w:val="20"/>
                <w:lang w:val="en-US"/>
              </w:rPr>
            </w:pPr>
            <w:r w:rsidRPr="00E971F8">
              <w:rPr>
                <w:sz w:val="20"/>
                <w:lang w:val="en-US"/>
              </w:rPr>
              <w:t>a3. Radioelectric links MF/HF (3KHz)</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p>
          <w:p w:rsidR="00D750B9" w:rsidRDefault="00D750B9" w:rsidP="002D1D5C">
            <w:pPr>
              <w:pStyle w:val="Tabletext"/>
              <w:jc w:val="left"/>
              <w:rPr>
                <w:sz w:val="20"/>
                <w:lang w:val="en-US"/>
              </w:rPr>
            </w:pPr>
          </w:p>
          <w:p w:rsidR="00D750B9" w:rsidRDefault="00D750B9" w:rsidP="002D1D5C">
            <w:pPr>
              <w:pStyle w:val="Tabletext"/>
              <w:jc w:val="left"/>
              <w:rPr>
                <w:sz w:val="20"/>
                <w:lang w:val="en-US"/>
              </w:rPr>
            </w:pPr>
          </w:p>
          <w:p w:rsidR="00D750B9" w:rsidRDefault="00D750B9" w:rsidP="002D1D5C">
            <w:pPr>
              <w:pStyle w:val="Tabletext"/>
              <w:tabs>
                <w:tab w:val="clear" w:pos="284"/>
                <w:tab w:val="left" w:pos="142"/>
              </w:tabs>
              <w:jc w:val="left"/>
              <w:rPr>
                <w:sz w:val="20"/>
                <w:lang w:val="en-US"/>
              </w:rPr>
            </w:pPr>
          </w:p>
          <w:p w:rsidR="00D750B9" w:rsidRPr="00F0367C" w:rsidRDefault="00D750B9" w:rsidP="002D1D5C">
            <w:pPr>
              <w:pStyle w:val="Tabletext"/>
              <w:tabs>
                <w:tab w:val="clear" w:pos="284"/>
                <w:tab w:val="clear" w:pos="567"/>
                <w:tab w:val="clear" w:pos="851"/>
                <w:tab w:val="left" w:pos="142"/>
                <w:tab w:val="left" w:pos="480"/>
              </w:tabs>
              <w:ind w:left="142" w:hanging="142"/>
              <w:jc w:val="left"/>
              <w:rPr>
                <w:sz w:val="20"/>
                <w:lang w:val="en-US"/>
              </w:rPr>
            </w:pPr>
            <w:r w:rsidRPr="00E971F8">
              <w:rPr>
                <w:sz w:val="20"/>
                <w:lang w:val="en-US"/>
              </w:rPr>
              <w:t>III.2.</w:t>
            </w:r>
            <w:r>
              <w:rPr>
                <w:sz w:val="20"/>
                <w:lang w:val="en-US"/>
              </w:rPr>
              <w:tab/>
            </w:r>
            <w:r w:rsidRPr="00F0367C">
              <w:rPr>
                <w:sz w:val="20"/>
                <w:lang w:val="en-US"/>
              </w:rPr>
              <w:t>Coast Station opened to the public</w:t>
            </w:r>
            <w:r w:rsidRPr="00F0367C">
              <w:rPr>
                <w:sz w:val="20"/>
                <w:lang w:val="en-US"/>
              </w:rPr>
              <w:tab/>
              <w:t xml:space="preserve">(commercial service) </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a1. Radioelectric links VHF (25KHz)</w:t>
            </w:r>
          </w:p>
          <w:p w:rsidR="00D750B9" w:rsidRPr="00E971F8" w:rsidRDefault="00D750B9" w:rsidP="002D1D5C">
            <w:pPr>
              <w:pStyle w:val="Tabletext"/>
              <w:jc w:val="left"/>
              <w:rPr>
                <w:sz w:val="20"/>
                <w:lang w:val="en-US"/>
              </w:rPr>
            </w:pPr>
            <w:r w:rsidRPr="00E971F8">
              <w:rPr>
                <w:sz w:val="20"/>
                <w:lang w:val="en-US"/>
              </w:rPr>
              <w:t>a2. Radioelectric links MF/HF (less than 1 KHz)</w:t>
            </w:r>
          </w:p>
          <w:p w:rsidR="00D750B9" w:rsidRPr="00E971F8" w:rsidRDefault="00D750B9" w:rsidP="002D1D5C">
            <w:pPr>
              <w:pStyle w:val="Tabletext"/>
              <w:jc w:val="left"/>
              <w:rPr>
                <w:sz w:val="20"/>
                <w:lang w:val="en-US"/>
              </w:rPr>
            </w:pPr>
            <w:r w:rsidRPr="00E971F8">
              <w:rPr>
                <w:sz w:val="20"/>
                <w:lang w:val="en-US"/>
              </w:rPr>
              <w:t>a3. Radioelectric links MF/HF (3KHz)</w:t>
            </w:r>
          </w:p>
          <w:p w:rsidR="00D750B9" w:rsidRPr="00E971F8" w:rsidRDefault="00D750B9" w:rsidP="002D1D5C">
            <w:pPr>
              <w:pStyle w:val="Tabletext"/>
              <w:jc w:val="left"/>
              <w:rPr>
                <w:sz w:val="20"/>
                <w:lang w:val="en-US"/>
              </w:rPr>
            </w:pPr>
          </w:p>
          <w:p w:rsidR="00D750B9" w:rsidRPr="00F0367C" w:rsidRDefault="00D750B9" w:rsidP="002D1D5C">
            <w:pPr>
              <w:pStyle w:val="Tabletext"/>
              <w:jc w:val="left"/>
              <w:rPr>
                <w:sz w:val="20"/>
                <w:lang w:val="en-US"/>
              </w:rPr>
            </w:pPr>
            <w:r w:rsidRPr="00E971F8">
              <w:rPr>
                <w:sz w:val="20"/>
                <w:lang w:val="en-US"/>
              </w:rPr>
              <w:t xml:space="preserve">III.3. </w:t>
            </w:r>
            <w:r w:rsidRPr="00F0367C">
              <w:rPr>
                <w:sz w:val="20"/>
                <w:lang w:val="en-US"/>
              </w:rPr>
              <w:t>Commercial ship stations</w:t>
            </w:r>
          </w:p>
          <w:p w:rsidR="00D750B9" w:rsidRPr="00E971F8" w:rsidRDefault="00D750B9" w:rsidP="002D1D5C">
            <w:pPr>
              <w:pStyle w:val="Tabletext"/>
              <w:jc w:val="left"/>
              <w:rPr>
                <w:sz w:val="20"/>
                <w:lang w:val="en-US"/>
              </w:rPr>
            </w:pPr>
            <w:r w:rsidRPr="00E971F8">
              <w:rPr>
                <w:sz w:val="20"/>
                <w:lang w:val="en-US"/>
              </w:rPr>
              <w:t>a1. Ports operations</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 xml:space="preserve">III.4. </w:t>
            </w:r>
            <w:r w:rsidRPr="00F0367C">
              <w:rPr>
                <w:sz w:val="20"/>
                <w:lang w:val="en-US"/>
              </w:rPr>
              <w:t>Fishing ship stations</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a1. Of less than 150 tons</w:t>
            </w:r>
          </w:p>
          <w:p w:rsidR="00D750B9" w:rsidRPr="00E971F8" w:rsidRDefault="00D750B9" w:rsidP="002D1D5C">
            <w:pPr>
              <w:pStyle w:val="Tabletext"/>
              <w:jc w:val="left"/>
              <w:rPr>
                <w:sz w:val="20"/>
                <w:lang w:val="en-US"/>
              </w:rPr>
            </w:pPr>
            <w:r w:rsidRPr="00E971F8">
              <w:rPr>
                <w:sz w:val="20"/>
                <w:lang w:val="en-US"/>
              </w:rPr>
              <w:t>a2. Of more than 150 tons</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b1. Ports operations</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III.5. Tourists</w:t>
            </w:r>
            <w:r>
              <w:rPr>
                <w:sz w:val="20"/>
                <w:lang w:val="en-US"/>
              </w:rPr>
              <w:t xml:space="preserve"> </w:t>
            </w:r>
            <w:r w:rsidRPr="00E971F8">
              <w:rPr>
                <w:sz w:val="20"/>
                <w:lang w:val="en-US"/>
              </w:rPr>
              <w:t>/ Pleasure ships</w:t>
            </w:r>
          </w:p>
          <w:p w:rsidR="00D750B9" w:rsidRPr="00E971F8" w:rsidRDefault="00D750B9" w:rsidP="002D1D5C">
            <w:pPr>
              <w:pStyle w:val="Tabletext"/>
              <w:jc w:val="left"/>
              <w:rPr>
                <w:sz w:val="20"/>
                <w:lang w:val="en-US"/>
              </w:rPr>
            </w:pPr>
          </w:p>
          <w:p w:rsidR="00D750B9" w:rsidRPr="00E971F8" w:rsidRDefault="00D750B9" w:rsidP="002D1D5C">
            <w:pPr>
              <w:pStyle w:val="Tabletext"/>
              <w:tabs>
                <w:tab w:val="clear" w:pos="284"/>
                <w:tab w:val="clear" w:pos="567"/>
                <w:tab w:val="clear" w:pos="851"/>
                <w:tab w:val="left" w:pos="142"/>
                <w:tab w:val="left" w:pos="480"/>
              </w:tabs>
              <w:ind w:left="142" w:hanging="142"/>
              <w:jc w:val="left"/>
              <w:rPr>
                <w:sz w:val="20"/>
                <w:lang w:val="en-US"/>
              </w:rPr>
            </w:pPr>
            <w:r w:rsidRPr="00E971F8">
              <w:rPr>
                <w:sz w:val="20"/>
                <w:lang w:val="en-US"/>
              </w:rPr>
              <w:t>III.6.</w:t>
            </w:r>
            <w:r>
              <w:rPr>
                <w:sz w:val="20"/>
                <w:lang w:val="en-US"/>
              </w:rPr>
              <w:tab/>
            </w:r>
            <w:r w:rsidRPr="00E971F8">
              <w:rPr>
                <w:sz w:val="20"/>
                <w:lang w:val="en-US"/>
              </w:rPr>
              <w:t>Maritime transmitter</w:t>
            </w:r>
            <w:r>
              <w:rPr>
                <w:sz w:val="20"/>
                <w:lang w:val="en-US"/>
              </w:rPr>
              <w:t xml:space="preserve"> </w:t>
            </w:r>
            <w:r w:rsidRPr="00E971F8">
              <w:rPr>
                <w:sz w:val="20"/>
                <w:lang w:val="en-US"/>
              </w:rPr>
              <w:t xml:space="preserve">(receivers of 55 </w:t>
            </w:r>
            <w:r>
              <w:rPr>
                <w:sz w:val="20"/>
                <w:lang w:val="en-US"/>
              </w:rPr>
              <w:br/>
            </w:r>
            <w:r>
              <w:rPr>
                <w:sz w:val="20"/>
                <w:lang w:val="en-US"/>
              </w:rPr>
              <w:tab/>
            </w:r>
            <w:r w:rsidRPr="00E971F8">
              <w:rPr>
                <w:sz w:val="20"/>
                <w:lang w:val="en-US"/>
              </w:rPr>
              <w:t>channels</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p>
          <w:p w:rsidR="00D750B9" w:rsidRPr="00A700B7" w:rsidRDefault="00D750B9" w:rsidP="002D1D5C">
            <w:pPr>
              <w:pStyle w:val="Tabletext"/>
              <w:jc w:val="left"/>
              <w:rPr>
                <w:sz w:val="20"/>
                <w:lang w:val="en-US"/>
              </w:rPr>
            </w:pPr>
            <w:r w:rsidRPr="00E971F8">
              <w:rPr>
                <w:sz w:val="20"/>
                <w:lang w:val="en-US"/>
              </w:rPr>
              <w:t xml:space="preserve">IV. </w:t>
            </w:r>
            <w:r w:rsidRPr="00A700B7">
              <w:rPr>
                <w:sz w:val="20"/>
                <w:lang w:val="en-US"/>
              </w:rPr>
              <w:t>Aeronautic mobile Stations</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IV.1. Private aeronautic station (unofficial)</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a1. Link land to air</w:t>
            </w:r>
          </w:p>
          <w:p w:rsidR="00D750B9" w:rsidRPr="00E971F8" w:rsidRDefault="00D750B9" w:rsidP="002D1D5C">
            <w:pPr>
              <w:pStyle w:val="Tabletext"/>
              <w:jc w:val="left"/>
              <w:rPr>
                <w:sz w:val="20"/>
                <w:lang w:val="en-US"/>
              </w:rPr>
            </w:pPr>
            <w:r w:rsidRPr="00E971F8">
              <w:rPr>
                <w:sz w:val="20"/>
                <w:lang w:val="en-US"/>
              </w:rPr>
              <w:t xml:space="preserve">a2. Link land to land </w:t>
            </w:r>
          </w:p>
          <w:p w:rsidR="00D750B9" w:rsidRPr="00E971F8" w:rsidRDefault="00D750B9" w:rsidP="002D1D5C">
            <w:pPr>
              <w:pStyle w:val="Tabletext"/>
              <w:jc w:val="left"/>
              <w:rPr>
                <w:sz w:val="20"/>
                <w:lang w:val="en-US"/>
              </w:rPr>
            </w:pPr>
          </w:p>
          <w:p w:rsidR="00D750B9" w:rsidRPr="00052595" w:rsidRDefault="00D750B9" w:rsidP="002D1D5C">
            <w:pPr>
              <w:pStyle w:val="Tabletext"/>
              <w:jc w:val="left"/>
              <w:rPr>
                <w:sz w:val="20"/>
                <w:lang w:val="en-US"/>
              </w:rPr>
            </w:pPr>
            <w:r w:rsidRPr="00E971F8">
              <w:rPr>
                <w:sz w:val="20"/>
                <w:lang w:val="en-US"/>
              </w:rPr>
              <w:t xml:space="preserve">IV.2. </w:t>
            </w:r>
            <w:r w:rsidRPr="00052595">
              <w:rPr>
                <w:sz w:val="20"/>
                <w:lang w:val="en-US"/>
              </w:rPr>
              <w:t>Public Civil aviation transport system</w:t>
            </w:r>
          </w:p>
          <w:p w:rsidR="00D750B9" w:rsidRPr="00E971F8" w:rsidRDefault="00D750B9" w:rsidP="002D1D5C">
            <w:pPr>
              <w:pStyle w:val="Tabletext"/>
              <w:jc w:val="left"/>
              <w:rPr>
                <w:sz w:val="20"/>
                <w:u w:val="single"/>
                <w:lang w:val="en-US"/>
              </w:rPr>
            </w:pPr>
          </w:p>
          <w:p w:rsidR="00D750B9" w:rsidRPr="00E971F8" w:rsidRDefault="00D750B9" w:rsidP="002D1D5C">
            <w:pPr>
              <w:pStyle w:val="Tabletext"/>
              <w:jc w:val="left"/>
              <w:rPr>
                <w:sz w:val="20"/>
                <w:lang w:val="en-US"/>
              </w:rPr>
            </w:pPr>
            <w:r w:rsidRPr="00E971F8">
              <w:rPr>
                <w:sz w:val="20"/>
                <w:lang w:val="en-US"/>
              </w:rPr>
              <w:t>IV.3. Private civil aviation transport</w:t>
            </w:r>
          </w:p>
          <w:p w:rsidR="00D750B9" w:rsidRPr="00E971F8" w:rsidRDefault="00D750B9" w:rsidP="002D1D5C">
            <w:pPr>
              <w:pStyle w:val="Tabletext"/>
              <w:jc w:val="left"/>
              <w:rPr>
                <w:sz w:val="20"/>
                <w:lang w:val="en-US"/>
              </w:rPr>
            </w:pPr>
          </w:p>
          <w:p w:rsidR="00D750B9" w:rsidRDefault="00D750B9" w:rsidP="002D1D5C">
            <w:pPr>
              <w:pStyle w:val="Tabletext"/>
              <w:jc w:val="left"/>
              <w:rPr>
                <w:sz w:val="20"/>
                <w:lang w:val="en-US"/>
              </w:rPr>
            </w:pPr>
          </w:p>
          <w:p w:rsidR="00D750B9" w:rsidRPr="00052595" w:rsidRDefault="00D750B9" w:rsidP="002D1D5C">
            <w:pPr>
              <w:pStyle w:val="Tabletext"/>
              <w:jc w:val="left"/>
              <w:rPr>
                <w:sz w:val="20"/>
                <w:lang w:val="en-US"/>
              </w:rPr>
            </w:pPr>
            <w:r w:rsidRPr="00E971F8">
              <w:rPr>
                <w:sz w:val="20"/>
                <w:lang w:val="en-US"/>
              </w:rPr>
              <w:lastRenderedPageBreak/>
              <w:t xml:space="preserve">V. </w:t>
            </w:r>
            <w:r w:rsidRPr="00052595">
              <w:rPr>
                <w:sz w:val="20"/>
                <w:lang w:val="en-US"/>
              </w:rPr>
              <w:t>AMATEUR STATIONS</w:t>
            </w:r>
          </w:p>
          <w:p w:rsidR="00D750B9" w:rsidRPr="00E971F8" w:rsidRDefault="00D750B9" w:rsidP="002D1D5C">
            <w:pPr>
              <w:pStyle w:val="Tabletext"/>
              <w:jc w:val="left"/>
              <w:rPr>
                <w:sz w:val="20"/>
                <w:lang w:val="en-US"/>
              </w:rPr>
            </w:pPr>
          </w:p>
          <w:p w:rsidR="00D750B9" w:rsidRPr="00E971F8" w:rsidRDefault="00D750B9" w:rsidP="002D1D5C">
            <w:pPr>
              <w:pStyle w:val="Tabletext"/>
              <w:jc w:val="left"/>
              <w:rPr>
                <w:sz w:val="20"/>
                <w:lang w:val="en-US"/>
              </w:rPr>
            </w:pPr>
            <w:r w:rsidRPr="00E971F8">
              <w:rPr>
                <w:sz w:val="20"/>
                <w:lang w:val="en-US"/>
              </w:rPr>
              <w:t>a1. Radiotelephone station VHF</w:t>
            </w:r>
          </w:p>
          <w:p w:rsidR="00D750B9" w:rsidRPr="00E971F8" w:rsidRDefault="00D750B9" w:rsidP="002D1D5C">
            <w:pPr>
              <w:pStyle w:val="Tabletext"/>
              <w:jc w:val="left"/>
              <w:rPr>
                <w:sz w:val="20"/>
                <w:lang w:val="en-US"/>
              </w:rPr>
            </w:pPr>
            <w:r w:rsidRPr="00E971F8">
              <w:rPr>
                <w:sz w:val="20"/>
                <w:lang w:val="en-US"/>
              </w:rPr>
              <w:t>a2. Radiotelephone MF/HF</w:t>
            </w:r>
          </w:p>
        </w:tc>
        <w:tc>
          <w:tcPr>
            <w:tcW w:w="1237" w:type="dxa"/>
          </w:tcPr>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11 600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Default="00D750B9" w:rsidP="00416378">
            <w:pPr>
              <w:pStyle w:val="Tabletext"/>
              <w:jc w:val="left"/>
              <w:rPr>
                <w:sz w:val="20"/>
                <w:lang w:val="en-US"/>
              </w:rPr>
            </w:pPr>
          </w:p>
          <w:p w:rsidR="00474C7B" w:rsidRPr="00E971F8" w:rsidRDefault="00474C7B"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11 600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116 000</w:t>
            </w:r>
          </w:p>
          <w:p w:rsidR="00D750B9" w:rsidRPr="00E971F8" w:rsidRDefault="00D750B9" w:rsidP="00416378">
            <w:pPr>
              <w:pStyle w:val="Tabletext"/>
              <w:jc w:val="left"/>
              <w:rPr>
                <w:sz w:val="20"/>
                <w:lang w:val="en-US"/>
              </w:rPr>
            </w:pPr>
            <w:r w:rsidRPr="00E971F8">
              <w:rPr>
                <w:sz w:val="20"/>
                <w:lang w:val="en-US"/>
              </w:rPr>
              <w:t>290 000</w:t>
            </w:r>
          </w:p>
          <w:p w:rsidR="00D750B9" w:rsidRPr="00E971F8" w:rsidRDefault="00D750B9" w:rsidP="00416378">
            <w:pPr>
              <w:pStyle w:val="Tabletext"/>
              <w:jc w:val="left"/>
              <w:rPr>
                <w:sz w:val="20"/>
                <w:lang w:val="en-US"/>
              </w:rPr>
            </w:pPr>
            <w:r w:rsidRPr="00E971F8">
              <w:rPr>
                <w:sz w:val="20"/>
                <w:lang w:val="en-US"/>
              </w:rPr>
              <w:t>580 000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Default="00D750B9" w:rsidP="00416378">
            <w:pPr>
              <w:pStyle w:val="Tabletext"/>
              <w:jc w:val="left"/>
              <w:rPr>
                <w:sz w:val="20"/>
                <w:lang w:val="en-US"/>
              </w:rPr>
            </w:pPr>
          </w:p>
          <w:p w:rsidR="00474C7B" w:rsidRDefault="00474C7B" w:rsidP="00416378">
            <w:pPr>
              <w:pStyle w:val="Tabletext"/>
              <w:jc w:val="left"/>
              <w:rPr>
                <w:sz w:val="20"/>
                <w:lang w:val="en-US"/>
              </w:rPr>
            </w:pPr>
          </w:p>
          <w:p w:rsidR="00474C7B" w:rsidRPr="00E971F8" w:rsidRDefault="00474C7B"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116 000</w:t>
            </w:r>
          </w:p>
          <w:p w:rsidR="00D750B9" w:rsidRPr="00E971F8" w:rsidRDefault="00D750B9" w:rsidP="00416378">
            <w:pPr>
              <w:pStyle w:val="Tabletext"/>
              <w:jc w:val="left"/>
              <w:rPr>
                <w:sz w:val="20"/>
                <w:lang w:val="en-US"/>
              </w:rPr>
            </w:pPr>
            <w:r w:rsidRPr="00E971F8">
              <w:rPr>
                <w:sz w:val="20"/>
                <w:lang w:val="en-US"/>
              </w:rPr>
              <w:t>290 000</w:t>
            </w:r>
          </w:p>
          <w:p w:rsidR="00D750B9" w:rsidRPr="00E971F8" w:rsidRDefault="00D750B9" w:rsidP="00416378">
            <w:pPr>
              <w:pStyle w:val="Tabletext"/>
              <w:jc w:val="left"/>
              <w:rPr>
                <w:sz w:val="20"/>
                <w:lang w:val="en-US"/>
              </w:rPr>
            </w:pPr>
            <w:r w:rsidRPr="00E971F8">
              <w:rPr>
                <w:sz w:val="20"/>
                <w:lang w:val="en-US"/>
              </w:rPr>
              <w:t>580 000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116 000</w:t>
            </w:r>
          </w:p>
          <w:p w:rsidR="00D750B9" w:rsidRPr="00E971F8" w:rsidRDefault="00D750B9" w:rsidP="00416378">
            <w:pPr>
              <w:pStyle w:val="Tabletext"/>
              <w:jc w:val="left"/>
              <w:rPr>
                <w:sz w:val="20"/>
                <w:lang w:val="en-US"/>
              </w:rPr>
            </w:pPr>
            <w:r w:rsidRPr="00E971F8">
              <w:rPr>
                <w:sz w:val="20"/>
                <w:lang w:val="en-US"/>
              </w:rPr>
              <w:t>290 000</w:t>
            </w:r>
          </w:p>
          <w:p w:rsidR="00D750B9" w:rsidRPr="00E971F8" w:rsidRDefault="00D750B9" w:rsidP="00416378">
            <w:pPr>
              <w:pStyle w:val="Tabletext"/>
              <w:jc w:val="left"/>
              <w:rPr>
                <w:sz w:val="20"/>
                <w:lang w:val="en-US"/>
              </w:rPr>
            </w:pPr>
            <w:r w:rsidRPr="00E971F8">
              <w:rPr>
                <w:sz w:val="20"/>
                <w:lang w:val="en-US"/>
              </w:rPr>
              <w:t>580 000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1 160 000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1 740 000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3 770 000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1 160 000</w:t>
            </w:r>
          </w:p>
          <w:p w:rsidR="00D750B9" w:rsidRPr="00E971F8" w:rsidRDefault="00D750B9" w:rsidP="00416378">
            <w:pPr>
              <w:pStyle w:val="Tabletext"/>
              <w:jc w:val="left"/>
              <w:rPr>
                <w:sz w:val="20"/>
                <w:lang w:val="en-US"/>
              </w:rPr>
            </w:pPr>
            <w:r w:rsidRPr="00E971F8">
              <w:rPr>
                <w:sz w:val="20"/>
                <w:lang w:val="en-US"/>
              </w:rPr>
              <w:t>1 740 000</w:t>
            </w:r>
          </w:p>
          <w:p w:rsidR="00D750B9" w:rsidRPr="00E971F8" w:rsidRDefault="00D750B9" w:rsidP="00416378">
            <w:pPr>
              <w:pStyle w:val="Tabletext"/>
              <w:jc w:val="left"/>
              <w:rPr>
                <w:sz w:val="20"/>
                <w:lang w:val="en-US"/>
              </w:rPr>
            </w:pPr>
            <w:r w:rsidRPr="00E971F8">
              <w:rPr>
                <w:sz w:val="20"/>
                <w:lang w:val="en-US"/>
              </w:rPr>
              <w:t>3 770 000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1 160 000</w:t>
            </w:r>
          </w:p>
          <w:p w:rsidR="00D750B9" w:rsidRPr="00E971F8" w:rsidRDefault="00D750B9" w:rsidP="00416378">
            <w:pPr>
              <w:pStyle w:val="Tabletext"/>
              <w:jc w:val="left"/>
              <w:rPr>
                <w:sz w:val="20"/>
                <w:lang w:val="en-US"/>
              </w:rPr>
            </w:pPr>
            <w:r w:rsidRPr="00E971F8">
              <w:rPr>
                <w:sz w:val="20"/>
                <w:lang w:val="en-US"/>
              </w:rPr>
              <w:t>1 740 000</w:t>
            </w:r>
          </w:p>
          <w:p w:rsidR="00D750B9" w:rsidRPr="00E971F8" w:rsidRDefault="00D750B9" w:rsidP="00416378">
            <w:pPr>
              <w:pStyle w:val="Tabletext"/>
              <w:jc w:val="left"/>
              <w:rPr>
                <w:sz w:val="20"/>
                <w:lang w:val="en-US"/>
              </w:rPr>
            </w:pPr>
            <w:r w:rsidRPr="00E971F8">
              <w:rPr>
                <w:sz w:val="20"/>
                <w:lang w:val="en-US"/>
              </w:rPr>
              <w:t>3 770 000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580</w:t>
            </w:r>
            <w:r>
              <w:rPr>
                <w:sz w:val="20"/>
                <w:lang w:val="en-US"/>
              </w:rPr>
              <w:t xml:space="preserve"> </w:t>
            </w:r>
            <w:r w:rsidRPr="00E971F8">
              <w:rPr>
                <w:sz w:val="20"/>
                <w:lang w:val="en-US"/>
              </w:rPr>
              <w:t>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1 450 000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11 600</w:t>
            </w:r>
          </w:p>
          <w:p w:rsidR="00D750B9" w:rsidRPr="00E971F8" w:rsidRDefault="00D750B9" w:rsidP="00416378">
            <w:pPr>
              <w:pStyle w:val="Tabletext"/>
              <w:jc w:val="left"/>
              <w:rPr>
                <w:sz w:val="20"/>
                <w:lang w:val="en-US"/>
              </w:rPr>
            </w:pPr>
            <w:r w:rsidRPr="00E971F8">
              <w:rPr>
                <w:sz w:val="20"/>
                <w:lang w:val="en-US"/>
              </w:rPr>
              <w:t>11 600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11 600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11 600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116 000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17 400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11 600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5 800</w:t>
            </w:r>
          </w:p>
          <w:p w:rsidR="00D750B9" w:rsidRPr="00E971F8" w:rsidRDefault="00D750B9" w:rsidP="00416378">
            <w:pPr>
              <w:pStyle w:val="Tabletext"/>
              <w:jc w:val="left"/>
              <w:rPr>
                <w:sz w:val="20"/>
                <w:lang w:val="en-US"/>
              </w:rPr>
            </w:pPr>
            <w:r w:rsidRPr="00E971F8">
              <w:rPr>
                <w:sz w:val="20"/>
                <w:lang w:val="en-US"/>
              </w:rPr>
              <w:t>5</w:t>
            </w:r>
            <w:r>
              <w:rPr>
                <w:sz w:val="20"/>
                <w:lang w:val="en-US"/>
              </w:rPr>
              <w:t> </w:t>
            </w:r>
            <w:r w:rsidRPr="00E971F8">
              <w:rPr>
                <w:sz w:val="20"/>
                <w:lang w:val="en-US"/>
              </w:rPr>
              <w:t>800</w:t>
            </w:r>
          </w:p>
          <w:p w:rsidR="00D750B9" w:rsidRPr="00E971F8" w:rsidRDefault="00D750B9" w:rsidP="00416378">
            <w:pPr>
              <w:pStyle w:val="Tabletext"/>
              <w:jc w:val="left"/>
              <w:rPr>
                <w:sz w:val="20"/>
                <w:lang w:val="en-US"/>
              </w:rPr>
            </w:pPr>
          </w:p>
        </w:tc>
        <w:tc>
          <w:tcPr>
            <w:tcW w:w="1229" w:type="dxa"/>
          </w:tcPr>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Default="00D750B9" w:rsidP="00416378">
            <w:pPr>
              <w:pStyle w:val="Tabletext"/>
              <w:jc w:val="left"/>
              <w:rPr>
                <w:sz w:val="20"/>
                <w:lang w:val="en-US"/>
              </w:rPr>
            </w:pPr>
          </w:p>
          <w:p w:rsidR="00474C7B" w:rsidRPr="00E971F8" w:rsidRDefault="00474C7B"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87 000</w:t>
            </w:r>
          </w:p>
          <w:p w:rsidR="00D750B9" w:rsidRPr="00E971F8" w:rsidRDefault="00D750B9" w:rsidP="00416378">
            <w:pPr>
              <w:pStyle w:val="Tabletext"/>
              <w:jc w:val="left"/>
              <w:rPr>
                <w:sz w:val="20"/>
                <w:lang w:val="en-US"/>
              </w:rPr>
            </w:pPr>
            <w:r w:rsidRPr="00E971F8">
              <w:rPr>
                <w:sz w:val="20"/>
                <w:lang w:val="en-US"/>
              </w:rPr>
              <w:t>14 500</w:t>
            </w:r>
          </w:p>
          <w:p w:rsidR="00D750B9" w:rsidRPr="00E971F8" w:rsidRDefault="00D750B9" w:rsidP="00416378">
            <w:pPr>
              <w:pStyle w:val="Tabletext"/>
              <w:jc w:val="left"/>
              <w:rPr>
                <w:sz w:val="20"/>
                <w:lang w:val="en-US"/>
              </w:rPr>
            </w:pPr>
            <w:r w:rsidRPr="00E971F8">
              <w:rPr>
                <w:sz w:val="20"/>
                <w:lang w:val="en-US"/>
              </w:rPr>
              <w:t>58 000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14 500</w:t>
            </w:r>
          </w:p>
          <w:p w:rsidR="00D750B9" w:rsidRPr="00E971F8" w:rsidRDefault="00D750B9" w:rsidP="00416378">
            <w:pPr>
              <w:pStyle w:val="Tabletext"/>
              <w:jc w:val="left"/>
              <w:rPr>
                <w:sz w:val="20"/>
                <w:lang w:val="en-US"/>
              </w:rPr>
            </w:pPr>
            <w:r w:rsidRPr="00E971F8">
              <w:rPr>
                <w:sz w:val="20"/>
                <w:lang w:val="en-US"/>
              </w:rPr>
              <w:t>17 400</w:t>
            </w:r>
          </w:p>
          <w:p w:rsidR="00D750B9" w:rsidRPr="00E971F8" w:rsidRDefault="00D750B9" w:rsidP="00416378">
            <w:pPr>
              <w:pStyle w:val="Tabletext"/>
              <w:jc w:val="left"/>
              <w:rPr>
                <w:sz w:val="20"/>
                <w:lang w:val="en-US"/>
              </w:rPr>
            </w:pPr>
            <w:r w:rsidRPr="00E971F8">
              <w:rPr>
                <w:sz w:val="20"/>
                <w:lang w:val="en-US"/>
              </w:rPr>
              <w:t>58 000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34 800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34 800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34 800</w:t>
            </w:r>
          </w:p>
          <w:p w:rsidR="00D750B9" w:rsidRPr="00E971F8" w:rsidRDefault="00D750B9" w:rsidP="00416378">
            <w:pPr>
              <w:pStyle w:val="Tabletext"/>
              <w:jc w:val="left"/>
              <w:rPr>
                <w:sz w:val="20"/>
                <w:lang w:val="en-US"/>
              </w:rPr>
            </w:pPr>
            <w:r w:rsidRPr="00E971F8">
              <w:rPr>
                <w:sz w:val="20"/>
                <w:lang w:val="en-US"/>
              </w:rPr>
              <w:t>29 000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34 800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34 800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34 800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34 800</w:t>
            </w:r>
          </w:p>
          <w:p w:rsidR="00D750B9" w:rsidRPr="00E971F8" w:rsidRDefault="00D750B9" w:rsidP="00416378">
            <w:pPr>
              <w:pStyle w:val="Tabletext"/>
              <w:jc w:val="left"/>
              <w:rPr>
                <w:sz w:val="20"/>
                <w:lang w:val="en-US"/>
              </w:rPr>
            </w:pPr>
            <w:r w:rsidRPr="00E971F8">
              <w:rPr>
                <w:sz w:val="20"/>
                <w:lang w:val="en-US"/>
              </w:rPr>
              <w:t>29 000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87 000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580 000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34 800</w:t>
            </w:r>
          </w:p>
          <w:p w:rsidR="00D750B9" w:rsidRPr="00E971F8" w:rsidRDefault="00D750B9" w:rsidP="00416378">
            <w:pPr>
              <w:pStyle w:val="Tabletext"/>
              <w:jc w:val="left"/>
              <w:rPr>
                <w:sz w:val="20"/>
                <w:lang w:val="en-US"/>
              </w:rPr>
            </w:pPr>
            <w:r w:rsidRPr="00E971F8">
              <w:rPr>
                <w:sz w:val="20"/>
                <w:lang w:val="en-US"/>
              </w:rPr>
              <w:t>34 800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 xml:space="preserve">34 800 </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 xml:space="preserve">11 600 </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87 000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58 000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34 800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8 700</w:t>
            </w:r>
          </w:p>
          <w:p w:rsidR="00D750B9" w:rsidRPr="00E971F8" w:rsidRDefault="00D750B9" w:rsidP="00416378">
            <w:pPr>
              <w:pStyle w:val="Tabletext"/>
              <w:jc w:val="left"/>
              <w:rPr>
                <w:sz w:val="20"/>
                <w:lang w:val="en-US"/>
              </w:rPr>
            </w:pPr>
            <w:r w:rsidRPr="00E971F8">
              <w:rPr>
                <w:sz w:val="20"/>
                <w:lang w:val="en-US"/>
              </w:rPr>
              <w:t>17 400</w:t>
            </w:r>
          </w:p>
          <w:p w:rsidR="00D750B9" w:rsidRPr="00E971F8" w:rsidRDefault="00D750B9" w:rsidP="00416378">
            <w:pPr>
              <w:pStyle w:val="Tabletext"/>
              <w:jc w:val="left"/>
              <w:rPr>
                <w:sz w:val="20"/>
                <w:lang w:val="en-US"/>
              </w:rPr>
            </w:pPr>
          </w:p>
        </w:tc>
        <w:tc>
          <w:tcPr>
            <w:tcW w:w="1501" w:type="dxa"/>
          </w:tcPr>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Default="00D750B9" w:rsidP="00416378">
            <w:pPr>
              <w:pStyle w:val="Tabletext"/>
              <w:jc w:val="left"/>
              <w:rPr>
                <w:sz w:val="20"/>
                <w:lang w:val="en-US"/>
              </w:rPr>
            </w:pPr>
          </w:p>
          <w:p w:rsidR="00474C7B" w:rsidRPr="00E971F8" w:rsidRDefault="00474C7B"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290 000</w:t>
            </w:r>
          </w:p>
          <w:p w:rsidR="00D750B9" w:rsidRPr="00E971F8" w:rsidRDefault="00D750B9" w:rsidP="00416378">
            <w:pPr>
              <w:pStyle w:val="Tabletext"/>
              <w:jc w:val="left"/>
              <w:rPr>
                <w:sz w:val="20"/>
                <w:lang w:val="en-US"/>
              </w:rPr>
            </w:pPr>
            <w:r w:rsidRPr="00E971F8">
              <w:rPr>
                <w:sz w:val="20"/>
                <w:lang w:val="en-US"/>
              </w:rPr>
              <w:t>145 000</w:t>
            </w:r>
          </w:p>
          <w:p w:rsidR="00D750B9" w:rsidRPr="00E971F8" w:rsidRDefault="00D750B9" w:rsidP="00416378">
            <w:pPr>
              <w:pStyle w:val="Tabletext"/>
              <w:jc w:val="left"/>
              <w:rPr>
                <w:sz w:val="20"/>
                <w:lang w:val="en-US"/>
              </w:rPr>
            </w:pPr>
            <w:r w:rsidRPr="00E971F8">
              <w:rPr>
                <w:sz w:val="20"/>
                <w:lang w:val="en-US"/>
              </w:rPr>
              <w:t>58 000</w:t>
            </w:r>
          </w:p>
          <w:p w:rsidR="00D750B9" w:rsidRPr="00E971F8" w:rsidRDefault="00D750B9" w:rsidP="00416378">
            <w:pPr>
              <w:pStyle w:val="Tabletext"/>
              <w:jc w:val="left"/>
              <w:rPr>
                <w:sz w:val="20"/>
                <w:lang w:val="en-US"/>
              </w:rPr>
            </w:pPr>
            <w:r w:rsidRPr="00E971F8">
              <w:rPr>
                <w:sz w:val="20"/>
                <w:lang w:val="en-US"/>
              </w:rPr>
              <w:t>58 000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58 000</w:t>
            </w:r>
          </w:p>
          <w:p w:rsidR="00D750B9" w:rsidRPr="00E971F8" w:rsidRDefault="00D750B9" w:rsidP="00416378">
            <w:pPr>
              <w:pStyle w:val="Tabletext"/>
              <w:jc w:val="left"/>
              <w:rPr>
                <w:sz w:val="20"/>
                <w:lang w:val="en-US"/>
              </w:rPr>
            </w:pPr>
            <w:r w:rsidRPr="00E971F8">
              <w:rPr>
                <w:sz w:val="20"/>
                <w:lang w:val="en-US"/>
              </w:rPr>
              <w:t>87 000</w:t>
            </w:r>
          </w:p>
          <w:p w:rsidR="00D750B9" w:rsidRPr="00E971F8" w:rsidRDefault="00D750B9" w:rsidP="00416378">
            <w:pPr>
              <w:pStyle w:val="Tabletext"/>
              <w:jc w:val="left"/>
              <w:rPr>
                <w:sz w:val="20"/>
                <w:lang w:val="en-US"/>
              </w:rPr>
            </w:pPr>
            <w:r w:rsidRPr="00E971F8">
              <w:rPr>
                <w:sz w:val="20"/>
                <w:lang w:val="en-US"/>
              </w:rPr>
              <w:t>145 000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5 800 000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14 500 000</w:t>
            </w:r>
          </w:p>
          <w:p w:rsidR="00D750B9" w:rsidRPr="00E971F8" w:rsidRDefault="00D750B9" w:rsidP="00416378">
            <w:pPr>
              <w:pStyle w:val="Tabletext"/>
              <w:jc w:val="left"/>
              <w:rPr>
                <w:sz w:val="20"/>
                <w:lang w:val="en-US"/>
              </w:rPr>
            </w:pPr>
            <w:r w:rsidRPr="00E971F8">
              <w:rPr>
                <w:sz w:val="20"/>
                <w:lang w:val="en-US"/>
              </w:rPr>
              <w:t>29 000000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29 000</w:t>
            </w:r>
            <w:r>
              <w:rPr>
                <w:sz w:val="20"/>
                <w:lang w:val="en-US"/>
              </w:rPr>
              <w:t xml:space="preserve"> </w:t>
            </w:r>
            <w:r w:rsidRPr="00E971F8">
              <w:rPr>
                <w:sz w:val="20"/>
                <w:lang w:val="en-US"/>
              </w:rPr>
              <w:t>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10</w:t>
            </w:r>
            <w:r>
              <w:rPr>
                <w:sz w:val="20"/>
                <w:lang w:val="en-US"/>
              </w:rPr>
              <w:t xml:space="preserve"> </w:t>
            </w:r>
            <w:r w:rsidRPr="00E971F8">
              <w:rPr>
                <w:sz w:val="20"/>
                <w:lang w:val="en-US"/>
              </w:rPr>
              <w:t>440</w:t>
            </w:r>
            <w:r>
              <w:rPr>
                <w:sz w:val="20"/>
                <w:lang w:val="en-US"/>
              </w:rPr>
              <w:t xml:space="preserve"> </w:t>
            </w:r>
            <w:r w:rsidRPr="00E971F8">
              <w:rPr>
                <w:sz w:val="20"/>
                <w:lang w:val="en-US"/>
              </w:rPr>
              <w:t>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Default="00D750B9" w:rsidP="00416378">
            <w:pPr>
              <w:pStyle w:val="Tabletext"/>
              <w:jc w:val="left"/>
              <w:rPr>
                <w:sz w:val="20"/>
                <w:lang w:val="en-US"/>
              </w:rPr>
            </w:pPr>
          </w:p>
          <w:p w:rsidR="00D750B9"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5 800 000</w:t>
            </w:r>
          </w:p>
          <w:p w:rsidR="00D750B9" w:rsidRPr="00E971F8" w:rsidRDefault="00D750B9" w:rsidP="00416378">
            <w:pPr>
              <w:pStyle w:val="Tabletext"/>
              <w:jc w:val="left"/>
              <w:rPr>
                <w:sz w:val="20"/>
                <w:lang w:val="en-US"/>
              </w:rPr>
            </w:pPr>
            <w:r w:rsidRPr="00E971F8">
              <w:rPr>
                <w:sz w:val="20"/>
                <w:lang w:val="en-US"/>
              </w:rPr>
              <w:t>14 500</w:t>
            </w:r>
            <w:r>
              <w:rPr>
                <w:sz w:val="20"/>
                <w:lang w:val="en-US"/>
              </w:rPr>
              <w:t xml:space="preserve"> </w:t>
            </w:r>
            <w:r w:rsidRPr="00E971F8">
              <w:rPr>
                <w:sz w:val="20"/>
                <w:lang w:val="en-US"/>
              </w:rPr>
              <w:t>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29 000</w:t>
            </w:r>
            <w:r>
              <w:rPr>
                <w:sz w:val="20"/>
                <w:lang w:val="en-US"/>
              </w:rPr>
              <w:t xml:space="preserve"> </w:t>
            </w:r>
            <w:r w:rsidRPr="00E971F8">
              <w:rPr>
                <w:sz w:val="20"/>
                <w:lang w:val="en-US"/>
              </w:rPr>
              <w:t>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3 480 000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8 700 000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116 000</w:t>
            </w:r>
          </w:p>
          <w:p w:rsidR="00D750B9" w:rsidRPr="00E971F8" w:rsidRDefault="00D750B9" w:rsidP="00416378">
            <w:pPr>
              <w:pStyle w:val="Tabletext"/>
              <w:jc w:val="left"/>
              <w:rPr>
                <w:sz w:val="20"/>
                <w:lang w:val="en-US"/>
              </w:rPr>
            </w:pPr>
            <w:r w:rsidRPr="00E971F8">
              <w:rPr>
                <w:sz w:val="20"/>
                <w:lang w:val="en-US"/>
              </w:rPr>
              <w:t>174 000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58 000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58 000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580 000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290 000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58 000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Nothing</w:t>
            </w:r>
          </w:p>
          <w:p w:rsidR="00D750B9" w:rsidRPr="00E971F8" w:rsidRDefault="00D750B9" w:rsidP="00416378">
            <w:pPr>
              <w:pStyle w:val="Tabletext"/>
              <w:jc w:val="left"/>
              <w:rPr>
                <w:sz w:val="20"/>
                <w:lang w:val="en-US"/>
              </w:rPr>
            </w:pPr>
            <w:r w:rsidRPr="00E971F8">
              <w:rPr>
                <w:sz w:val="20"/>
                <w:lang w:val="en-US"/>
              </w:rPr>
              <w:t>Nothing</w:t>
            </w:r>
          </w:p>
          <w:p w:rsidR="00D750B9" w:rsidRPr="00E971F8" w:rsidRDefault="00D750B9" w:rsidP="00416378">
            <w:pPr>
              <w:pStyle w:val="Tabletext"/>
              <w:jc w:val="left"/>
              <w:rPr>
                <w:sz w:val="20"/>
                <w:lang w:val="en-US"/>
              </w:rPr>
            </w:pPr>
          </w:p>
        </w:tc>
        <w:tc>
          <w:tcPr>
            <w:tcW w:w="1500" w:type="dxa"/>
          </w:tcPr>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1 450 000</w:t>
            </w:r>
          </w:p>
          <w:p w:rsidR="00D750B9" w:rsidRPr="00E971F8" w:rsidRDefault="00D750B9" w:rsidP="00416378">
            <w:pPr>
              <w:pStyle w:val="Tabletext"/>
              <w:jc w:val="left"/>
              <w:rPr>
                <w:sz w:val="20"/>
                <w:lang w:val="en-US"/>
              </w:rPr>
            </w:pPr>
            <w:r w:rsidRPr="00E971F8">
              <w:rPr>
                <w:sz w:val="20"/>
                <w:lang w:val="en-US"/>
              </w:rPr>
              <w:t>362 500</w:t>
            </w:r>
          </w:p>
          <w:p w:rsidR="00D750B9" w:rsidRPr="00E971F8" w:rsidRDefault="00D750B9" w:rsidP="00416378">
            <w:pPr>
              <w:pStyle w:val="Tabletext"/>
              <w:jc w:val="left"/>
              <w:rPr>
                <w:sz w:val="20"/>
                <w:lang w:val="en-US"/>
              </w:rPr>
            </w:pPr>
            <w:r w:rsidRPr="00E971F8">
              <w:rPr>
                <w:sz w:val="20"/>
                <w:lang w:val="en-US"/>
              </w:rPr>
              <w:t>Double above taxes</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348 000</w:t>
            </w:r>
          </w:p>
          <w:p w:rsidR="00D750B9" w:rsidRPr="00E971F8" w:rsidRDefault="00D750B9" w:rsidP="00416378">
            <w:pPr>
              <w:pStyle w:val="Tabletext"/>
              <w:jc w:val="left"/>
              <w:rPr>
                <w:sz w:val="20"/>
                <w:lang w:val="en-US"/>
              </w:rPr>
            </w:pPr>
            <w:r w:rsidRPr="00E971F8">
              <w:rPr>
                <w:sz w:val="20"/>
                <w:lang w:val="en-US"/>
              </w:rPr>
              <w:t>870 000</w:t>
            </w:r>
          </w:p>
          <w:p w:rsidR="00D750B9" w:rsidRPr="00E971F8" w:rsidRDefault="00D750B9" w:rsidP="00416378">
            <w:pPr>
              <w:pStyle w:val="Tabletext"/>
              <w:jc w:val="left"/>
              <w:rPr>
                <w:sz w:val="20"/>
                <w:lang w:val="en-US"/>
              </w:rPr>
            </w:pPr>
            <w:r w:rsidRPr="00E971F8">
              <w:rPr>
                <w:sz w:val="20"/>
                <w:lang w:val="en-US"/>
              </w:rPr>
              <w:t>1 740 000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1 044 000</w:t>
            </w:r>
          </w:p>
          <w:p w:rsidR="00D750B9" w:rsidRPr="00E971F8" w:rsidRDefault="00D750B9" w:rsidP="00416378">
            <w:pPr>
              <w:pStyle w:val="Tabletext"/>
              <w:jc w:val="left"/>
              <w:rPr>
                <w:sz w:val="20"/>
                <w:lang w:val="en-US"/>
              </w:rPr>
            </w:pPr>
            <w:r w:rsidRPr="00E971F8">
              <w:rPr>
                <w:sz w:val="20"/>
                <w:lang w:val="en-US"/>
              </w:rPr>
              <w:t>3 480 000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5 800 000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1 740 000</w:t>
            </w:r>
          </w:p>
          <w:p w:rsidR="00D750B9" w:rsidRPr="00E971F8" w:rsidRDefault="00D750B9" w:rsidP="00416378">
            <w:pPr>
              <w:pStyle w:val="Tabletext"/>
              <w:jc w:val="left"/>
              <w:rPr>
                <w:sz w:val="20"/>
                <w:lang w:val="en-US"/>
              </w:rPr>
            </w:pPr>
            <w:r w:rsidRPr="00E971F8">
              <w:rPr>
                <w:sz w:val="20"/>
                <w:lang w:val="en-US"/>
              </w:rPr>
              <w:t>5 800 000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8 700 000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1 160 000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1 450 000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1 740 000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2 900 000</w:t>
            </w:r>
          </w:p>
          <w:p w:rsidR="00D750B9" w:rsidRPr="00E971F8" w:rsidRDefault="00D750B9" w:rsidP="00416378">
            <w:pPr>
              <w:pStyle w:val="Tabletext"/>
              <w:jc w:val="left"/>
              <w:rPr>
                <w:sz w:val="20"/>
                <w:lang w:val="en-US"/>
              </w:rPr>
            </w:pPr>
          </w:p>
          <w:p w:rsidR="00D750B9"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3 480 000</w:t>
            </w:r>
          </w:p>
          <w:p w:rsidR="00D750B9" w:rsidRPr="00E971F8" w:rsidRDefault="00D750B9" w:rsidP="00416378">
            <w:pPr>
              <w:pStyle w:val="Tabletext"/>
              <w:jc w:val="left"/>
              <w:rPr>
                <w:sz w:val="20"/>
                <w:lang w:val="en-US"/>
              </w:rPr>
            </w:pPr>
            <w:r w:rsidRPr="00E971F8">
              <w:rPr>
                <w:sz w:val="20"/>
                <w:lang w:val="en-US"/>
              </w:rPr>
              <w:t>5 800 000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8 700 000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5 800 000</w:t>
            </w:r>
          </w:p>
          <w:p w:rsidR="00D750B9" w:rsidRPr="00E971F8" w:rsidRDefault="00D750B9" w:rsidP="00416378">
            <w:pPr>
              <w:pStyle w:val="Tabletext"/>
              <w:jc w:val="left"/>
              <w:rPr>
                <w:sz w:val="20"/>
                <w:lang w:val="en-US"/>
              </w:rPr>
            </w:pPr>
            <w:r w:rsidRPr="00E971F8">
              <w:rPr>
                <w:sz w:val="20"/>
                <w:lang w:val="en-US"/>
              </w:rPr>
              <w:t>8 700 000</w:t>
            </w:r>
          </w:p>
          <w:p w:rsidR="00D750B9" w:rsidRPr="00E971F8" w:rsidRDefault="00D750B9" w:rsidP="00416378">
            <w:pPr>
              <w:pStyle w:val="Tabletext"/>
              <w:jc w:val="left"/>
              <w:rPr>
                <w:sz w:val="20"/>
                <w:lang w:val="en-US"/>
              </w:rPr>
            </w:pPr>
            <w:r w:rsidRPr="00E971F8">
              <w:rPr>
                <w:sz w:val="20"/>
                <w:lang w:val="en-US"/>
              </w:rPr>
              <w:t>10 440 000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10</w:t>
            </w:r>
            <w:r>
              <w:rPr>
                <w:sz w:val="20"/>
                <w:lang w:val="en-US"/>
              </w:rPr>
              <w:t xml:space="preserve"> </w:t>
            </w:r>
            <w:r w:rsidRPr="00E971F8">
              <w:rPr>
                <w:sz w:val="20"/>
                <w:lang w:val="en-US"/>
              </w:rPr>
              <w:t>440</w:t>
            </w:r>
            <w:r>
              <w:rPr>
                <w:sz w:val="20"/>
                <w:lang w:val="en-US"/>
              </w:rPr>
              <w:t xml:space="preserve"> </w:t>
            </w:r>
            <w:r w:rsidRPr="00E971F8">
              <w:rPr>
                <w:sz w:val="20"/>
                <w:lang w:val="en-US"/>
              </w:rPr>
              <w:t>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Default="00D750B9" w:rsidP="00416378">
            <w:pPr>
              <w:pStyle w:val="Tabletext"/>
              <w:jc w:val="left"/>
              <w:rPr>
                <w:sz w:val="20"/>
                <w:lang w:val="en-US"/>
              </w:rPr>
            </w:pPr>
          </w:p>
          <w:p w:rsidR="00D750B9" w:rsidRDefault="00D750B9" w:rsidP="00416378">
            <w:pPr>
              <w:pStyle w:val="Tabletext"/>
              <w:jc w:val="left"/>
              <w:rPr>
                <w:sz w:val="20"/>
                <w:lang w:val="en-US"/>
              </w:rPr>
            </w:pPr>
          </w:p>
          <w:p w:rsidR="00D750B9"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5 800 000</w:t>
            </w:r>
          </w:p>
          <w:p w:rsidR="00D750B9" w:rsidRPr="00E971F8" w:rsidRDefault="00D750B9" w:rsidP="00416378">
            <w:pPr>
              <w:pStyle w:val="Tabletext"/>
              <w:jc w:val="left"/>
              <w:rPr>
                <w:sz w:val="20"/>
                <w:lang w:val="en-US"/>
              </w:rPr>
            </w:pPr>
            <w:r w:rsidRPr="00E971F8">
              <w:rPr>
                <w:sz w:val="20"/>
                <w:lang w:val="en-US"/>
              </w:rPr>
              <w:t>10</w:t>
            </w:r>
            <w:r>
              <w:rPr>
                <w:sz w:val="20"/>
                <w:lang w:val="en-US"/>
              </w:rPr>
              <w:t xml:space="preserve"> </w:t>
            </w:r>
            <w:r w:rsidRPr="00E971F8">
              <w:rPr>
                <w:sz w:val="20"/>
                <w:lang w:val="en-US"/>
              </w:rPr>
              <w:t>440</w:t>
            </w:r>
            <w:r>
              <w:rPr>
                <w:sz w:val="20"/>
                <w:lang w:val="en-US"/>
              </w:rPr>
              <w:t xml:space="preserve"> </w:t>
            </w:r>
            <w:r w:rsidRPr="00E971F8">
              <w:rPr>
                <w:sz w:val="20"/>
                <w:lang w:val="en-US"/>
              </w:rPr>
              <w:t>000</w:t>
            </w:r>
          </w:p>
          <w:p w:rsidR="00D750B9" w:rsidRPr="00E971F8" w:rsidRDefault="00D750B9" w:rsidP="00416378">
            <w:pPr>
              <w:pStyle w:val="Tabletext"/>
              <w:jc w:val="left"/>
              <w:rPr>
                <w:sz w:val="20"/>
                <w:lang w:val="en-US"/>
              </w:rPr>
            </w:pPr>
            <w:r w:rsidRPr="00E971F8">
              <w:rPr>
                <w:sz w:val="20"/>
                <w:lang w:val="en-US"/>
              </w:rPr>
              <w:t>14</w:t>
            </w:r>
            <w:r>
              <w:rPr>
                <w:sz w:val="20"/>
                <w:lang w:val="en-US"/>
              </w:rPr>
              <w:t xml:space="preserve"> </w:t>
            </w:r>
            <w:r w:rsidRPr="00E971F8">
              <w:rPr>
                <w:sz w:val="20"/>
                <w:lang w:val="en-US"/>
              </w:rPr>
              <w:t>500</w:t>
            </w:r>
            <w:r>
              <w:rPr>
                <w:sz w:val="20"/>
                <w:lang w:val="en-US"/>
              </w:rPr>
              <w:t xml:space="preserve"> </w:t>
            </w:r>
            <w:r w:rsidRPr="00E971F8">
              <w:rPr>
                <w:sz w:val="20"/>
                <w:lang w:val="en-US"/>
              </w:rPr>
              <w:t>000</w:t>
            </w:r>
          </w:p>
          <w:p w:rsidR="00D750B9" w:rsidRPr="00E971F8" w:rsidRDefault="00D750B9" w:rsidP="00416378">
            <w:pPr>
              <w:pStyle w:val="Tabletext"/>
              <w:jc w:val="left"/>
              <w:rPr>
                <w:sz w:val="20"/>
                <w:lang w:val="en-US"/>
              </w:rPr>
            </w:pPr>
            <w:r w:rsidRPr="00E971F8">
              <w:rPr>
                <w:sz w:val="20"/>
                <w:lang w:val="en-US"/>
              </w:rPr>
              <w:t>17</w:t>
            </w:r>
            <w:r>
              <w:rPr>
                <w:sz w:val="20"/>
                <w:lang w:val="en-US"/>
              </w:rPr>
              <w:t xml:space="preserve"> </w:t>
            </w:r>
            <w:r w:rsidRPr="00E971F8">
              <w:rPr>
                <w:sz w:val="20"/>
                <w:lang w:val="en-US"/>
              </w:rPr>
              <w:t>400</w:t>
            </w:r>
            <w:r>
              <w:rPr>
                <w:sz w:val="20"/>
                <w:lang w:val="en-US"/>
              </w:rPr>
              <w:t xml:space="preserve"> </w:t>
            </w:r>
            <w:r w:rsidRPr="00E971F8">
              <w:rPr>
                <w:sz w:val="20"/>
                <w:lang w:val="en-US"/>
              </w:rPr>
              <w:t>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174 000</w:t>
            </w:r>
          </w:p>
          <w:p w:rsidR="00D750B9" w:rsidRPr="00E971F8" w:rsidRDefault="00D750B9" w:rsidP="00416378">
            <w:pPr>
              <w:pStyle w:val="Tabletext"/>
              <w:jc w:val="left"/>
              <w:rPr>
                <w:sz w:val="20"/>
                <w:lang w:val="en-US"/>
              </w:rPr>
            </w:pPr>
            <w:r w:rsidRPr="00E971F8">
              <w:rPr>
                <w:sz w:val="20"/>
                <w:lang w:val="en-US"/>
              </w:rPr>
              <w:t>139 200</w:t>
            </w:r>
          </w:p>
          <w:p w:rsidR="00D750B9" w:rsidRPr="00E971F8" w:rsidRDefault="00D750B9" w:rsidP="00416378">
            <w:pPr>
              <w:pStyle w:val="Tabletext"/>
              <w:jc w:val="left"/>
              <w:rPr>
                <w:sz w:val="20"/>
                <w:lang w:val="en-US"/>
              </w:rPr>
            </w:pPr>
            <w:r w:rsidRPr="00E971F8">
              <w:rPr>
                <w:sz w:val="20"/>
                <w:lang w:val="en-US"/>
              </w:rPr>
              <w:t>417 600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174 000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174 000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174 000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lastRenderedPageBreak/>
              <w:t>Nothing</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116 000</w:t>
            </w:r>
          </w:p>
          <w:p w:rsidR="00D750B9" w:rsidRPr="00E971F8" w:rsidRDefault="00D750B9" w:rsidP="00416378">
            <w:pPr>
              <w:pStyle w:val="Tabletext"/>
              <w:jc w:val="left"/>
              <w:rPr>
                <w:sz w:val="20"/>
                <w:lang w:val="en-US"/>
              </w:rPr>
            </w:pPr>
            <w:r w:rsidRPr="00E971F8">
              <w:rPr>
                <w:sz w:val="20"/>
                <w:lang w:val="en-US"/>
              </w:rPr>
              <w:t>145 000</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Nothing</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Nothing</w:t>
            </w: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p>
          <w:p w:rsidR="00D750B9" w:rsidRPr="00E971F8" w:rsidRDefault="00D750B9" w:rsidP="00416378">
            <w:pPr>
              <w:pStyle w:val="Tabletext"/>
              <w:jc w:val="left"/>
              <w:rPr>
                <w:sz w:val="20"/>
                <w:lang w:val="en-US"/>
              </w:rPr>
            </w:pPr>
            <w:r w:rsidRPr="00E971F8">
              <w:rPr>
                <w:sz w:val="20"/>
                <w:lang w:val="en-US"/>
              </w:rPr>
              <w:t>Nothing</w:t>
            </w:r>
          </w:p>
          <w:p w:rsidR="00D750B9" w:rsidRPr="00E971F8" w:rsidRDefault="00D750B9" w:rsidP="00416378">
            <w:pPr>
              <w:pStyle w:val="Tabletext"/>
              <w:jc w:val="left"/>
              <w:rPr>
                <w:sz w:val="20"/>
                <w:lang w:val="en-US"/>
              </w:rPr>
            </w:pPr>
            <w:r w:rsidRPr="00E971F8">
              <w:rPr>
                <w:sz w:val="20"/>
                <w:lang w:val="en-US"/>
              </w:rPr>
              <w:t>Nothing</w:t>
            </w:r>
          </w:p>
          <w:p w:rsidR="00D750B9" w:rsidRPr="00E971F8" w:rsidRDefault="00D750B9" w:rsidP="00416378">
            <w:pPr>
              <w:pStyle w:val="Tabletext"/>
              <w:jc w:val="left"/>
              <w:rPr>
                <w:sz w:val="20"/>
                <w:lang w:val="en-US"/>
              </w:rPr>
            </w:pPr>
          </w:p>
        </w:tc>
      </w:tr>
    </w:tbl>
    <w:p w:rsidR="00CA3B52" w:rsidRDefault="00CA3B52" w:rsidP="00CA3B52">
      <w:pPr>
        <w:rPr>
          <w:lang w:val="en-US"/>
        </w:rPr>
      </w:pPr>
    </w:p>
    <w:p w:rsidR="00CA3B52" w:rsidRPr="00CB6CBA" w:rsidRDefault="00CA3B52" w:rsidP="00F65451">
      <w:pPr>
        <w:rPr>
          <w:lang w:val="en-US"/>
        </w:rPr>
      </w:pPr>
    </w:p>
    <w:p w:rsidR="00CA3B52" w:rsidRPr="00CB6CBA" w:rsidRDefault="00CA3B52" w:rsidP="00CA3B52">
      <w:pPr>
        <w:pStyle w:val="Heading1"/>
        <w:rPr>
          <w:lang w:val="en-US"/>
        </w:rPr>
      </w:pPr>
      <w:bookmarkStart w:id="2008" w:name="_Toc289868890"/>
      <w:bookmarkStart w:id="2009" w:name="_Toc289869049"/>
      <w:bookmarkStart w:id="2010" w:name="_Toc289932355"/>
      <w:bookmarkStart w:id="2011" w:name="_Toc289933403"/>
      <w:bookmarkStart w:id="2012" w:name="_Toc291852966"/>
      <w:bookmarkStart w:id="2013" w:name="_Toc392515950"/>
      <w:r w:rsidRPr="00CB6CBA">
        <w:rPr>
          <w:lang w:val="en-US"/>
        </w:rPr>
        <w:lastRenderedPageBreak/>
        <w:t>B.</w:t>
      </w:r>
      <w:r w:rsidRPr="00CB6CBA">
        <w:rPr>
          <w:lang w:val="en-US"/>
        </w:rPr>
        <w:tab/>
        <w:t>SATELLITE RADIOCOMMUNICATIONS</w:t>
      </w:r>
      <w:bookmarkEnd w:id="2008"/>
      <w:bookmarkEnd w:id="2009"/>
      <w:bookmarkEnd w:id="2010"/>
      <w:bookmarkEnd w:id="2011"/>
      <w:bookmarkEnd w:id="2012"/>
      <w:bookmarkEnd w:id="201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9"/>
        <w:gridCol w:w="1204"/>
        <w:gridCol w:w="1560"/>
        <w:gridCol w:w="1559"/>
        <w:gridCol w:w="1417"/>
      </w:tblGrid>
      <w:tr w:rsidR="00CA3B52" w:rsidRPr="00F65451" w:rsidTr="002D1D5C">
        <w:trPr>
          <w:tblHeader/>
          <w:jc w:val="center"/>
        </w:trPr>
        <w:tc>
          <w:tcPr>
            <w:tcW w:w="3899" w:type="dxa"/>
            <w:vAlign w:val="center"/>
          </w:tcPr>
          <w:p w:rsidR="00CA3B52" w:rsidRPr="00F0367C" w:rsidRDefault="00CA3B52" w:rsidP="002D1D5C">
            <w:pPr>
              <w:pStyle w:val="Tablehead"/>
              <w:keepLines/>
              <w:rPr>
                <w:sz w:val="20"/>
              </w:rPr>
            </w:pPr>
            <w:r w:rsidRPr="00F0367C">
              <w:rPr>
                <w:sz w:val="20"/>
              </w:rPr>
              <w:t>NETWORKS OR STATIONS</w:t>
            </w:r>
          </w:p>
        </w:tc>
        <w:tc>
          <w:tcPr>
            <w:tcW w:w="1204" w:type="dxa"/>
            <w:vAlign w:val="center"/>
          </w:tcPr>
          <w:p w:rsidR="00CA3B52" w:rsidRPr="00F0367C" w:rsidRDefault="00CA3B52" w:rsidP="002D1D5C">
            <w:pPr>
              <w:pStyle w:val="Tablehead"/>
              <w:keepLines/>
              <w:rPr>
                <w:sz w:val="20"/>
              </w:rPr>
            </w:pPr>
            <w:r w:rsidRPr="00F0367C">
              <w:rPr>
                <w:sz w:val="20"/>
              </w:rPr>
              <w:t>Tax for compiling files</w:t>
            </w:r>
          </w:p>
        </w:tc>
        <w:tc>
          <w:tcPr>
            <w:tcW w:w="1560" w:type="dxa"/>
            <w:vAlign w:val="center"/>
          </w:tcPr>
          <w:p w:rsidR="00CA3B52" w:rsidRPr="00F0367C" w:rsidRDefault="00CA3B52" w:rsidP="002D1D5C">
            <w:pPr>
              <w:pStyle w:val="Tablehead"/>
              <w:keepLines/>
              <w:rPr>
                <w:sz w:val="20"/>
              </w:rPr>
            </w:pPr>
            <w:r w:rsidRPr="00F0367C">
              <w:rPr>
                <w:sz w:val="20"/>
              </w:rPr>
              <w:t>Control or visit charges</w:t>
            </w:r>
          </w:p>
        </w:tc>
        <w:tc>
          <w:tcPr>
            <w:tcW w:w="1559" w:type="dxa"/>
            <w:vAlign w:val="center"/>
          </w:tcPr>
          <w:p w:rsidR="00CA3B52" w:rsidRPr="00F0367C" w:rsidRDefault="00CA3B52" w:rsidP="002D1D5C">
            <w:pPr>
              <w:pStyle w:val="Tablehead"/>
              <w:keepLines/>
              <w:rPr>
                <w:sz w:val="20"/>
              </w:rPr>
            </w:pPr>
            <w:r w:rsidRPr="00F0367C">
              <w:rPr>
                <w:sz w:val="20"/>
              </w:rPr>
              <w:t>Contributions towards management costs</w:t>
            </w:r>
          </w:p>
        </w:tc>
        <w:tc>
          <w:tcPr>
            <w:tcW w:w="1417" w:type="dxa"/>
            <w:vAlign w:val="center"/>
          </w:tcPr>
          <w:p w:rsidR="00CA3B52" w:rsidRPr="00A6735C" w:rsidRDefault="00CA3B52" w:rsidP="002D1D5C">
            <w:pPr>
              <w:pStyle w:val="Tablehead"/>
              <w:keepLines/>
              <w:rPr>
                <w:sz w:val="20"/>
                <w:lang w:val="en-US"/>
              </w:rPr>
            </w:pPr>
            <w:r w:rsidRPr="00A6735C">
              <w:rPr>
                <w:sz w:val="20"/>
                <w:lang w:val="en-US"/>
              </w:rPr>
              <w:t>Charges for use of radio frequency or radioelectric channels</w:t>
            </w:r>
          </w:p>
        </w:tc>
      </w:tr>
      <w:tr w:rsidR="00CA3B52" w:rsidRPr="00CB6CBA" w:rsidTr="002D1D5C">
        <w:trPr>
          <w:jc w:val="center"/>
        </w:trPr>
        <w:tc>
          <w:tcPr>
            <w:tcW w:w="3899" w:type="dxa"/>
          </w:tcPr>
          <w:p w:rsidR="00CA3B52" w:rsidRPr="00F0367C" w:rsidRDefault="00CA3B52" w:rsidP="00F65451">
            <w:pPr>
              <w:pStyle w:val="Tabletext"/>
              <w:jc w:val="left"/>
              <w:rPr>
                <w:sz w:val="20"/>
                <w:lang w:val="en-US"/>
              </w:rPr>
            </w:pPr>
            <w:r w:rsidRPr="00F0367C">
              <w:rPr>
                <w:sz w:val="20"/>
                <w:lang w:val="en-US"/>
              </w:rPr>
              <w:t>PRIVATE NETWORKS AND EARTH STATIONS (Non commercial services)</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I.1. National network (Fixed or Mobile)</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a1. Master station</w:t>
            </w:r>
          </w:p>
          <w:p w:rsidR="00CA3B52" w:rsidRPr="00F0367C" w:rsidRDefault="00CA3B52" w:rsidP="00F65451">
            <w:pPr>
              <w:pStyle w:val="Tabletext"/>
              <w:jc w:val="left"/>
              <w:rPr>
                <w:sz w:val="20"/>
                <w:lang w:val="en-US"/>
              </w:rPr>
            </w:pPr>
            <w:r w:rsidRPr="00F0367C">
              <w:rPr>
                <w:sz w:val="20"/>
                <w:lang w:val="en-US"/>
              </w:rPr>
              <w:t>a2. Secondary station</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b1.</w:t>
            </w:r>
            <w:r>
              <w:rPr>
                <w:sz w:val="20"/>
                <w:lang w:val="en-US"/>
              </w:rPr>
              <w:tab/>
            </w:r>
            <w:r w:rsidRPr="00F0367C">
              <w:rPr>
                <w:sz w:val="20"/>
                <w:lang w:val="en-US"/>
              </w:rPr>
              <w:t xml:space="preserve">Links between 1 to 24 telephone channels </w:t>
            </w:r>
            <w:r>
              <w:rPr>
                <w:sz w:val="20"/>
                <w:lang w:val="en-US"/>
              </w:rPr>
              <w:br/>
            </w:r>
            <w:r>
              <w:rPr>
                <w:sz w:val="20"/>
                <w:lang w:val="en-US"/>
              </w:rPr>
              <w:tab/>
            </w:r>
            <w:r w:rsidRPr="00F0367C">
              <w:rPr>
                <w:sz w:val="20"/>
                <w:lang w:val="en-US"/>
              </w:rPr>
              <w:t>or less than 2.1 Mbits/s</w:t>
            </w:r>
          </w:p>
          <w:p w:rsidR="00CA3B52" w:rsidRPr="00F0367C" w:rsidRDefault="00CA3B52" w:rsidP="00F65451">
            <w:pPr>
              <w:pStyle w:val="Tabletext"/>
              <w:ind w:left="284" w:hanging="284"/>
              <w:jc w:val="left"/>
              <w:rPr>
                <w:sz w:val="20"/>
                <w:lang w:val="en-US"/>
              </w:rPr>
            </w:pPr>
            <w:r w:rsidRPr="00F0367C">
              <w:rPr>
                <w:sz w:val="20"/>
                <w:lang w:val="en-US"/>
              </w:rPr>
              <w:t>b2.</w:t>
            </w:r>
            <w:r>
              <w:rPr>
                <w:sz w:val="20"/>
                <w:lang w:val="en-US"/>
              </w:rPr>
              <w:tab/>
            </w:r>
            <w:r w:rsidRPr="00F0367C">
              <w:rPr>
                <w:sz w:val="20"/>
                <w:lang w:val="en-US"/>
              </w:rPr>
              <w:t xml:space="preserve">Links between 25 to 120 telephone </w:t>
            </w:r>
            <w:r>
              <w:rPr>
                <w:sz w:val="20"/>
                <w:lang w:val="en-US"/>
              </w:rPr>
              <w:br/>
            </w:r>
            <w:r w:rsidRPr="00F0367C">
              <w:rPr>
                <w:sz w:val="20"/>
                <w:lang w:val="en-US"/>
              </w:rPr>
              <w:t>channels or 2.1 to 8 Mbits/s</w:t>
            </w:r>
          </w:p>
          <w:p w:rsidR="00CA3B52" w:rsidRPr="00F0367C" w:rsidRDefault="00CA3B52" w:rsidP="00F65451">
            <w:pPr>
              <w:pStyle w:val="Tabletext"/>
              <w:ind w:left="284" w:hanging="284"/>
              <w:jc w:val="left"/>
              <w:rPr>
                <w:sz w:val="20"/>
                <w:lang w:val="en-US"/>
              </w:rPr>
            </w:pPr>
            <w:r w:rsidRPr="00F0367C">
              <w:rPr>
                <w:sz w:val="20"/>
                <w:lang w:val="en-US"/>
              </w:rPr>
              <w:t>b3.</w:t>
            </w:r>
            <w:r>
              <w:rPr>
                <w:sz w:val="20"/>
                <w:lang w:val="en-US"/>
              </w:rPr>
              <w:tab/>
            </w:r>
            <w:r w:rsidRPr="00F0367C">
              <w:rPr>
                <w:sz w:val="20"/>
                <w:lang w:val="en-US"/>
              </w:rPr>
              <w:t>Links between 121 to 600 telephone channels or 8 to 34 Mbits/s</w:t>
            </w:r>
          </w:p>
          <w:p w:rsidR="00CA3B52" w:rsidRPr="00F0367C" w:rsidRDefault="00CA3B52" w:rsidP="00F65451">
            <w:pPr>
              <w:pStyle w:val="Tabletext"/>
              <w:ind w:left="284" w:hanging="284"/>
              <w:jc w:val="left"/>
              <w:rPr>
                <w:sz w:val="20"/>
                <w:lang w:val="en-US"/>
              </w:rPr>
            </w:pPr>
            <w:r>
              <w:rPr>
                <w:sz w:val="20"/>
                <w:lang w:val="en-US"/>
              </w:rPr>
              <w:t>b4.</w:t>
            </w:r>
            <w:r>
              <w:rPr>
                <w:sz w:val="20"/>
                <w:lang w:val="en-US"/>
              </w:rPr>
              <w:tab/>
            </w:r>
            <w:r w:rsidRPr="00F0367C">
              <w:rPr>
                <w:sz w:val="20"/>
                <w:lang w:val="en-US"/>
              </w:rPr>
              <w:t>Links over 600 telephone channels or more than 34 Mbits/s</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I.2. International Independent Earth station</w:t>
            </w:r>
          </w:p>
          <w:p w:rsidR="00CA3B52" w:rsidRPr="00F0367C" w:rsidRDefault="00CA3B52" w:rsidP="00F65451">
            <w:pPr>
              <w:pStyle w:val="Tabletext"/>
              <w:ind w:left="284" w:hanging="284"/>
              <w:jc w:val="left"/>
              <w:rPr>
                <w:sz w:val="20"/>
                <w:lang w:val="en-US"/>
              </w:rPr>
            </w:pPr>
            <w:r>
              <w:rPr>
                <w:sz w:val="20"/>
                <w:lang w:val="en-US"/>
              </w:rPr>
              <w:t>I.3.</w:t>
            </w:r>
            <w:r>
              <w:rPr>
                <w:sz w:val="20"/>
                <w:lang w:val="en-US"/>
              </w:rPr>
              <w:tab/>
            </w:r>
            <w:r w:rsidRPr="00F0367C">
              <w:rPr>
                <w:sz w:val="20"/>
                <w:lang w:val="en-US"/>
              </w:rPr>
              <w:t>International secondary micro earth stations (VSATs)</w:t>
            </w:r>
          </w:p>
          <w:p w:rsidR="00CA3B52" w:rsidRPr="00F0367C" w:rsidRDefault="00CA3B52" w:rsidP="00F65451">
            <w:pPr>
              <w:pStyle w:val="Tabletext"/>
              <w:jc w:val="left"/>
              <w:rPr>
                <w:sz w:val="20"/>
                <w:lang w:val="en-US"/>
              </w:rPr>
            </w:pPr>
            <w:r w:rsidRPr="00F0367C">
              <w:rPr>
                <w:sz w:val="20"/>
                <w:lang w:val="en-US"/>
              </w:rPr>
              <w:t>I.4. Portable or Mobile Earth station</w:t>
            </w:r>
          </w:p>
          <w:p w:rsidR="00CA3B52" w:rsidRPr="00F0367C" w:rsidRDefault="00CA3B52" w:rsidP="00F65451">
            <w:pPr>
              <w:pStyle w:val="Tabletext"/>
              <w:jc w:val="left"/>
              <w:rPr>
                <w:sz w:val="20"/>
                <w:lang w:val="en-US"/>
              </w:rPr>
            </w:pPr>
            <w:r w:rsidRPr="00F0367C">
              <w:rPr>
                <w:sz w:val="20"/>
                <w:lang w:val="en-US"/>
              </w:rPr>
              <w:t>I.5. Individual reception earth station</w:t>
            </w:r>
          </w:p>
          <w:p w:rsidR="00CA3B52" w:rsidRPr="00F0367C" w:rsidRDefault="00CA3B52" w:rsidP="00F65451">
            <w:pPr>
              <w:pStyle w:val="Tabletext"/>
              <w:jc w:val="left"/>
              <w:rPr>
                <w:sz w:val="20"/>
                <w:lang w:val="en-US"/>
              </w:rPr>
            </w:pPr>
          </w:p>
          <w:p w:rsidR="00CA3B52" w:rsidRPr="00F0367C" w:rsidRDefault="00CA3B52" w:rsidP="00F65451">
            <w:pPr>
              <w:pStyle w:val="Tabletext"/>
              <w:ind w:left="284" w:hanging="284"/>
              <w:jc w:val="left"/>
              <w:rPr>
                <w:sz w:val="20"/>
                <w:lang w:val="en-US"/>
              </w:rPr>
            </w:pPr>
            <w:r w:rsidRPr="00F0367C">
              <w:rPr>
                <w:sz w:val="20"/>
                <w:lang w:val="en-US"/>
              </w:rPr>
              <w:t>II.</w:t>
            </w:r>
            <w:r>
              <w:rPr>
                <w:sz w:val="20"/>
                <w:lang w:val="en-US"/>
              </w:rPr>
              <w:tab/>
            </w:r>
            <w:r w:rsidRPr="00F0367C">
              <w:rPr>
                <w:sz w:val="20"/>
                <w:lang w:val="en-US"/>
              </w:rPr>
              <w:t>STATIONS AND TERRESTRIAL NETWORKS OPENED TO THE PUBLIC (Commercial services)</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II.1. National network opened to the public</w:t>
            </w:r>
          </w:p>
          <w:p w:rsidR="00CA3B52" w:rsidRPr="00F0367C" w:rsidRDefault="00CA3B52" w:rsidP="00F65451">
            <w:pPr>
              <w:pStyle w:val="Tabletext"/>
              <w:jc w:val="left"/>
              <w:rPr>
                <w:sz w:val="20"/>
                <w:lang w:val="en-US"/>
              </w:rPr>
            </w:pPr>
          </w:p>
          <w:p w:rsidR="00CA3B52" w:rsidRPr="00F0367C" w:rsidRDefault="00CA3B52" w:rsidP="00F65451">
            <w:pPr>
              <w:pStyle w:val="Tabletext"/>
              <w:ind w:left="284" w:hanging="284"/>
              <w:jc w:val="left"/>
              <w:rPr>
                <w:sz w:val="20"/>
                <w:lang w:val="en-US"/>
              </w:rPr>
            </w:pPr>
            <w:r w:rsidRPr="00F0367C">
              <w:rPr>
                <w:sz w:val="20"/>
                <w:lang w:val="en-US"/>
              </w:rPr>
              <w:t>a1.</w:t>
            </w:r>
            <w:r>
              <w:rPr>
                <w:sz w:val="20"/>
                <w:lang w:val="en-US"/>
              </w:rPr>
              <w:tab/>
            </w:r>
            <w:r w:rsidRPr="00F0367C">
              <w:rPr>
                <w:sz w:val="20"/>
                <w:lang w:val="en-US"/>
              </w:rPr>
              <w:t>Terrestrial aeronautic  station-coastal or terrestrial</w:t>
            </w:r>
          </w:p>
          <w:p w:rsidR="00CA3B52" w:rsidRPr="00F0367C" w:rsidRDefault="00CA3B52" w:rsidP="00F65451">
            <w:pPr>
              <w:pStyle w:val="Tabletext"/>
              <w:jc w:val="left"/>
              <w:rPr>
                <w:sz w:val="20"/>
                <w:lang w:val="en-US"/>
              </w:rPr>
            </w:pPr>
            <w:r w:rsidRPr="00F0367C">
              <w:rPr>
                <w:sz w:val="20"/>
                <w:lang w:val="en-US"/>
              </w:rPr>
              <w:t>a2. Terrestrial aeronautics- ship or terrestrial</w:t>
            </w:r>
          </w:p>
          <w:p w:rsidR="00CA3B52" w:rsidRPr="00F0367C" w:rsidRDefault="00CA3B52" w:rsidP="00F65451">
            <w:pPr>
              <w:pStyle w:val="Tabletext"/>
              <w:jc w:val="left"/>
              <w:rPr>
                <w:sz w:val="20"/>
                <w:lang w:val="en-US"/>
              </w:rPr>
            </w:pPr>
          </w:p>
          <w:p w:rsidR="00CA3B52" w:rsidRPr="00F0367C" w:rsidRDefault="00CA3B52" w:rsidP="00F65451">
            <w:pPr>
              <w:pStyle w:val="Tabletext"/>
              <w:ind w:left="284" w:hanging="284"/>
              <w:jc w:val="left"/>
              <w:rPr>
                <w:sz w:val="20"/>
                <w:lang w:val="en-US"/>
              </w:rPr>
            </w:pPr>
            <w:r>
              <w:rPr>
                <w:sz w:val="20"/>
                <w:lang w:val="en-US"/>
              </w:rPr>
              <w:t>b1.</w:t>
            </w:r>
            <w:r>
              <w:rPr>
                <w:sz w:val="20"/>
                <w:lang w:val="en-US"/>
              </w:rPr>
              <w:tab/>
            </w:r>
            <w:r w:rsidRPr="00F0367C">
              <w:rPr>
                <w:sz w:val="20"/>
                <w:lang w:val="en-US"/>
              </w:rPr>
              <w:t>Links between 1 to 120 telephone channels or 2 to 8 Mbits/s</w:t>
            </w:r>
          </w:p>
          <w:p w:rsidR="00CA3B52" w:rsidRPr="00F0367C" w:rsidRDefault="00CA3B52" w:rsidP="00F65451">
            <w:pPr>
              <w:pStyle w:val="Tabletext"/>
              <w:ind w:left="284" w:hanging="284"/>
              <w:jc w:val="left"/>
              <w:rPr>
                <w:sz w:val="20"/>
                <w:lang w:val="en-US"/>
              </w:rPr>
            </w:pPr>
            <w:r>
              <w:rPr>
                <w:sz w:val="20"/>
                <w:lang w:val="en-US"/>
              </w:rPr>
              <w:t>b2.</w:t>
            </w:r>
            <w:r>
              <w:rPr>
                <w:sz w:val="20"/>
                <w:lang w:val="en-US"/>
              </w:rPr>
              <w:tab/>
            </w:r>
            <w:r w:rsidRPr="00F0367C">
              <w:rPr>
                <w:sz w:val="20"/>
                <w:lang w:val="en-US"/>
              </w:rPr>
              <w:t>Links between 121 to 600 telephone channels or 8 to 34 Mbits/s</w:t>
            </w:r>
          </w:p>
          <w:p w:rsidR="00CA3B52" w:rsidRPr="00F0367C" w:rsidRDefault="00CA3B52" w:rsidP="00F65451">
            <w:pPr>
              <w:pStyle w:val="Tabletext"/>
              <w:ind w:left="284" w:hanging="284"/>
              <w:jc w:val="left"/>
              <w:rPr>
                <w:sz w:val="20"/>
                <w:lang w:val="en-US"/>
              </w:rPr>
            </w:pPr>
            <w:r>
              <w:rPr>
                <w:sz w:val="20"/>
                <w:lang w:val="en-US"/>
              </w:rPr>
              <w:t>b3.</w:t>
            </w:r>
            <w:r>
              <w:rPr>
                <w:sz w:val="20"/>
                <w:lang w:val="en-US"/>
              </w:rPr>
              <w:tab/>
            </w:r>
            <w:r w:rsidRPr="00F0367C">
              <w:rPr>
                <w:sz w:val="20"/>
                <w:lang w:val="en-US"/>
              </w:rPr>
              <w:t>Links between 601 to 1200 telephone channels or 34 to 70 Mbits/s</w:t>
            </w:r>
          </w:p>
          <w:p w:rsidR="00CA3B52" w:rsidRPr="00F0367C" w:rsidRDefault="00CA3B52" w:rsidP="00F65451">
            <w:pPr>
              <w:pStyle w:val="Tabletext"/>
              <w:ind w:left="284" w:hanging="284"/>
              <w:jc w:val="left"/>
              <w:rPr>
                <w:sz w:val="20"/>
                <w:lang w:val="en-US"/>
              </w:rPr>
            </w:pPr>
            <w:r>
              <w:rPr>
                <w:sz w:val="20"/>
                <w:lang w:val="en-US"/>
              </w:rPr>
              <w:t>b4.</w:t>
            </w:r>
            <w:r>
              <w:rPr>
                <w:sz w:val="20"/>
                <w:lang w:val="en-US"/>
              </w:rPr>
              <w:tab/>
            </w:r>
            <w:r w:rsidRPr="00F0367C">
              <w:rPr>
                <w:sz w:val="20"/>
                <w:lang w:val="en-US"/>
              </w:rPr>
              <w:t>Links above 1200 telephone channels or more than 70 Mbits/s</w:t>
            </w:r>
          </w:p>
          <w:p w:rsidR="00CA3B52" w:rsidRPr="00F0367C" w:rsidRDefault="00CA3B52" w:rsidP="00F65451">
            <w:pPr>
              <w:pStyle w:val="Tabletext"/>
              <w:jc w:val="left"/>
              <w:rPr>
                <w:sz w:val="20"/>
                <w:lang w:val="en-US"/>
              </w:rPr>
            </w:pPr>
          </w:p>
          <w:p w:rsidR="00CA3B52" w:rsidRPr="00F0367C" w:rsidRDefault="00CA3B52" w:rsidP="00F65451">
            <w:pPr>
              <w:pStyle w:val="Tabletext"/>
              <w:tabs>
                <w:tab w:val="clear" w:pos="567"/>
                <w:tab w:val="left" w:pos="459"/>
              </w:tabs>
              <w:ind w:left="459" w:hanging="459"/>
              <w:jc w:val="left"/>
              <w:rPr>
                <w:sz w:val="20"/>
                <w:lang w:val="en-US"/>
              </w:rPr>
            </w:pPr>
            <w:r w:rsidRPr="00F0367C">
              <w:rPr>
                <w:sz w:val="20"/>
                <w:lang w:val="en-US"/>
              </w:rPr>
              <w:t>II.2.</w:t>
            </w:r>
            <w:r>
              <w:rPr>
                <w:sz w:val="20"/>
                <w:lang w:val="en-US"/>
              </w:rPr>
              <w:tab/>
            </w:r>
            <w:r w:rsidRPr="00F0367C">
              <w:rPr>
                <w:sz w:val="20"/>
                <w:lang w:val="en-US"/>
              </w:rPr>
              <w:t>Terrestrial earth stations linked to international public networks</w:t>
            </w:r>
          </w:p>
          <w:p w:rsidR="00CA3B52" w:rsidRPr="00F0367C" w:rsidRDefault="00CA3B52" w:rsidP="00F65451">
            <w:pPr>
              <w:pStyle w:val="Tabletext"/>
              <w:jc w:val="left"/>
              <w:rPr>
                <w:sz w:val="20"/>
                <w:lang w:val="en-US"/>
              </w:rPr>
            </w:pPr>
          </w:p>
          <w:p w:rsidR="00CA3B52" w:rsidRPr="00F0367C" w:rsidRDefault="00CA3B52" w:rsidP="00F65451">
            <w:pPr>
              <w:pStyle w:val="Tabletext"/>
              <w:tabs>
                <w:tab w:val="clear" w:pos="567"/>
                <w:tab w:val="left" w:pos="459"/>
              </w:tabs>
              <w:ind w:left="459" w:hanging="459"/>
              <w:jc w:val="left"/>
              <w:rPr>
                <w:sz w:val="20"/>
                <w:lang w:val="en-US"/>
              </w:rPr>
            </w:pPr>
            <w:r w:rsidRPr="00F0367C">
              <w:rPr>
                <w:sz w:val="20"/>
                <w:lang w:val="en-US"/>
              </w:rPr>
              <w:t>II.3.</w:t>
            </w:r>
            <w:r>
              <w:rPr>
                <w:sz w:val="20"/>
                <w:lang w:val="en-US"/>
              </w:rPr>
              <w:tab/>
            </w:r>
            <w:r w:rsidRPr="00F0367C">
              <w:rPr>
                <w:sz w:val="20"/>
                <w:lang w:val="en-US"/>
              </w:rPr>
              <w:t>Terrestrial stations linked to international independent networks</w:t>
            </w:r>
          </w:p>
          <w:p w:rsidR="00CA3B52" w:rsidRPr="00F0367C" w:rsidRDefault="00CA3B52" w:rsidP="00F65451">
            <w:pPr>
              <w:pStyle w:val="Tabletext"/>
              <w:tabs>
                <w:tab w:val="clear" w:pos="567"/>
                <w:tab w:val="left" w:pos="459"/>
              </w:tabs>
              <w:ind w:left="459" w:hanging="459"/>
              <w:jc w:val="left"/>
              <w:rPr>
                <w:sz w:val="20"/>
                <w:lang w:val="en-US"/>
              </w:rPr>
            </w:pPr>
            <w:r>
              <w:rPr>
                <w:sz w:val="20"/>
                <w:lang w:val="en-US"/>
              </w:rPr>
              <w:t>II.4.</w:t>
            </w:r>
            <w:r>
              <w:rPr>
                <w:sz w:val="20"/>
                <w:lang w:val="en-US"/>
              </w:rPr>
              <w:tab/>
            </w:r>
            <w:r w:rsidRPr="00F0367C">
              <w:rPr>
                <w:sz w:val="20"/>
                <w:lang w:val="en-US"/>
              </w:rPr>
              <w:t>Community reception earth stations</w:t>
            </w:r>
          </w:p>
          <w:p w:rsidR="00CA3B52" w:rsidRPr="00F0367C" w:rsidRDefault="00CA3B52" w:rsidP="00F65451">
            <w:pPr>
              <w:pStyle w:val="Tabletext"/>
              <w:jc w:val="left"/>
              <w:rPr>
                <w:sz w:val="20"/>
                <w:lang w:val="en-US"/>
              </w:rPr>
            </w:pPr>
            <w:r w:rsidRPr="00F0367C">
              <w:rPr>
                <w:sz w:val="20"/>
                <w:lang w:val="en-US"/>
              </w:rPr>
              <w:lastRenderedPageBreak/>
              <w:t>a1. Reception of less than 5 programmes</w:t>
            </w:r>
          </w:p>
          <w:p w:rsidR="00CA3B52" w:rsidRPr="00F0367C" w:rsidRDefault="00CA3B52" w:rsidP="00F65451">
            <w:pPr>
              <w:pStyle w:val="Tabletext"/>
              <w:jc w:val="left"/>
              <w:rPr>
                <w:sz w:val="20"/>
                <w:lang w:val="en-US"/>
              </w:rPr>
            </w:pPr>
            <w:r w:rsidRPr="00F0367C">
              <w:rPr>
                <w:sz w:val="20"/>
                <w:lang w:val="en-US"/>
              </w:rPr>
              <w:t>a2. Reception of 5 to 10 programmes</w:t>
            </w:r>
          </w:p>
          <w:p w:rsidR="00CA3B52" w:rsidRPr="00F0367C" w:rsidRDefault="00CA3B52" w:rsidP="00F65451">
            <w:pPr>
              <w:pStyle w:val="Tabletext"/>
              <w:jc w:val="left"/>
              <w:rPr>
                <w:sz w:val="20"/>
                <w:lang w:val="en-US"/>
              </w:rPr>
            </w:pPr>
            <w:r w:rsidRPr="00F0367C">
              <w:rPr>
                <w:sz w:val="20"/>
                <w:lang w:val="en-US"/>
              </w:rPr>
              <w:t>a3. Reception of more than 10 programmes</w:t>
            </w:r>
          </w:p>
        </w:tc>
        <w:tc>
          <w:tcPr>
            <w:tcW w:w="1204" w:type="dxa"/>
          </w:tcPr>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1 044 000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116 000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58 000</w:t>
            </w:r>
          </w:p>
          <w:p w:rsidR="00CA3B52" w:rsidRPr="00F0367C" w:rsidRDefault="00CA3B52" w:rsidP="00F65451">
            <w:pPr>
              <w:pStyle w:val="Tabletext"/>
              <w:jc w:val="left"/>
              <w:rPr>
                <w:sz w:val="20"/>
                <w:lang w:val="en-US"/>
              </w:rPr>
            </w:pPr>
            <w:r w:rsidRPr="00F0367C">
              <w:rPr>
                <w:sz w:val="20"/>
                <w:lang w:val="en-US"/>
              </w:rPr>
              <w:t>58 000</w:t>
            </w:r>
          </w:p>
          <w:p w:rsidR="00CA3B52" w:rsidRPr="00F0367C" w:rsidRDefault="00CA3B52" w:rsidP="00F65451">
            <w:pPr>
              <w:pStyle w:val="Tabletext"/>
              <w:jc w:val="left"/>
              <w:rPr>
                <w:sz w:val="20"/>
                <w:lang w:val="en-US"/>
              </w:rPr>
            </w:pPr>
            <w:r w:rsidRPr="00F0367C">
              <w:rPr>
                <w:sz w:val="20"/>
                <w:lang w:val="en-US"/>
              </w:rPr>
              <w:t xml:space="preserve">11 600 </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3 770 000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1 740 000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lastRenderedPageBreak/>
              <w:t>870 000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580 000</w:t>
            </w:r>
          </w:p>
          <w:p w:rsidR="00CA3B52" w:rsidRPr="00F0367C" w:rsidRDefault="00CA3B52" w:rsidP="00F65451">
            <w:pPr>
              <w:pStyle w:val="Tabletext"/>
              <w:jc w:val="left"/>
              <w:rPr>
                <w:sz w:val="20"/>
                <w:lang w:val="en-US"/>
              </w:rPr>
            </w:pPr>
            <w:r w:rsidRPr="00F0367C">
              <w:rPr>
                <w:sz w:val="20"/>
                <w:lang w:val="en-US"/>
              </w:rPr>
              <w:t>29 000</w:t>
            </w:r>
          </w:p>
          <w:p w:rsidR="00CA3B52" w:rsidRPr="00F0367C" w:rsidRDefault="00CA3B52" w:rsidP="00F65451">
            <w:pPr>
              <w:pStyle w:val="Tabletext"/>
              <w:jc w:val="left"/>
              <w:rPr>
                <w:sz w:val="20"/>
                <w:lang w:val="en-US"/>
              </w:rPr>
            </w:pPr>
            <w:r w:rsidRPr="00F0367C">
              <w:rPr>
                <w:sz w:val="20"/>
                <w:lang w:val="en-US"/>
              </w:rPr>
              <w:t>58 000</w:t>
            </w:r>
          </w:p>
          <w:p w:rsidR="00CA3B52" w:rsidRPr="00F0367C" w:rsidRDefault="00CA3B52" w:rsidP="00F65451">
            <w:pPr>
              <w:pStyle w:val="Tabletext"/>
              <w:jc w:val="left"/>
              <w:rPr>
                <w:sz w:val="20"/>
                <w:lang w:val="en-US"/>
              </w:rPr>
            </w:pPr>
            <w:r w:rsidRPr="00F0367C">
              <w:rPr>
                <w:sz w:val="20"/>
                <w:lang w:val="en-US"/>
              </w:rPr>
              <w:t>145 000</w:t>
            </w:r>
          </w:p>
        </w:tc>
        <w:tc>
          <w:tcPr>
            <w:tcW w:w="1560" w:type="dxa"/>
          </w:tcPr>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87 000</w:t>
            </w:r>
          </w:p>
          <w:p w:rsidR="00CA3B52" w:rsidRPr="00F0367C" w:rsidRDefault="00CA3B52" w:rsidP="00F65451">
            <w:pPr>
              <w:pStyle w:val="Tabletext"/>
              <w:jc w:val="left"/>
              <w:rPr>
                <w:sz w:val="20"/>
                <w:lang w:val="en-US"/>
              </w:rPr>
            </w:pPr>
            <w:r w:rsidRPr="00F0367C">
              <w:rPr>
                <w:sz w:val="20"/>
                <w:lang w:val="en-US"/>
              </w:rPr>
              <w:t>34 000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34 800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34 800</w:t>
            </w:r>
          </w:p>
          <w:p w:rsidR="00CA3B52" w:rsidRPr="00F0367C" w:rsidRDefault="00CA3B52" w:rsidP="00F65451">
            <w:pPr>
              <w:pStyle w:val="Tabletext"/>
              <w:jc w:val="left"/>
              <w:rPr>
                <w:sz w:val="20"/>
                <w:lang w:val="en-US"/>
              </w:rPr>
            </w:pPr>
            <w:r w:rsidRPr="00F0367C">
              <w:rPr>
                <w:sz w:val="20"/>
                <w:lang w:val="en-US"/>
              </w:rPr>
              <w:t>29 000</w:t>
            </w:r>
          </w:p>
          <w:p w:rsidR="00CA3B52" w:rsidRPr="00F0367C" w:rsidRDefault="00CA3B52" w:rsidP="00F65451">
            <w:pPr>
              <w:pStyle w:val="Tabletext"/>
              <w:jc w:val="left"/>
              <w:rPr>
                <w:sz w:val="20"/>
                <w:lang w:val="en-US"/>
              </w:rPr>
            </w:pPr>
            <w:r w:rsidRPr="00F0367C">
              <w:rPr>
                <w:sz w:val="20"/>
                <w:lang w:val="en-US"/>
              </w:rPr>
              <w:t>14 500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87 000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58 000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87 000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lastRenderedPageBreak/>
              <w:t>34 800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34 800</w:t>
            </w:r>
          </w:p>
          <w:p w:rsidR="00CA3B52" w:rsidRPr="00F0367C" w:rsidRDefault="00CA3B52" w:rsidP="00F65451">
            <w:pPr>
              <w:pStyle w:val="Tabletext"/>
              <w:jc w:val="left"/>
              <w:rPr>
                <w:sz w:val="20"/>
                <w:lang w:val="en-US"/>
              </w:rPr>
            </w:pPr>
            <w:r w:rsidRPr="00F0367C">
              <w:rPr>
                <w:sz w:val="20"/>
                <w:lang w:val="en-US"/>
              </w:rPr>
              <w:t>14 500</w:t>
            </w:r>
          </w:p>
          <w:p w:rsidR="00CA3B52" w:rsidRPr="00F0367C" w:rsidRDefault="00CA3B52" w:rsidP="00F65451">
            <w:pPr>
              <w:pStyle w:val="Tabletext"/>
              <w:jc w:val="left"/>
              <w:rPr>
                <w:sz w:val="20"/>
                <w:lang w:val="en-US"/>
              </w:rPr>
            </w:pPr>
            <w:r w:rsidRPr="00F0367C">
              <w:rPr>
                <w:sz w:val="20"/>
                <w:lang w:val="en-US"/>
              </w:rPr>
              <w:t>29 000</w:t>
            </w:r>
          </w:p>
          <w:p w:rsidR="00CA3B52" w:rsidRPr="00F0367C" w:rsidRDefault="00CA3B52" w:rsidP="00F65451">
            <w:pPr>
              <w:pStyle w:val="Tabletext"/>
              <w:jc w:val="left"/>
              <w:rPr>
                <w:sz w:val="20"/>
                <w:lang w:val="en-US"/>
              </w:rPr>
            </w:pPr>
            <w:r w:rsidRPr="00F0367C">
              <w:rPr>
                <w:sz w:val="20"/>
                <w:lang w:val="en-US"/>
              </w:rPr>
              <w:t>58 000</w:t>
            </w:r>
          </w:p>
        </w:tc>
        <w:tc>
          <w:tcPr>
            <w:tcW w:w="1559" w:type="dxa"/>
          </w:tcPr>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8 700 000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580 000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174 000</w:t>
            </w:r>
          </w:p>
          <w:p w:rsidR="00CA3B52" w:rsidRPr="00F0367C" w:rsidRDefault="00CA3B52" w:rsidP="00F65451">
            <w:pPr>
              <w:pStyle w:val="Tabletext"/>
              <w:jc w:val="left"/>
              <w:rPr>
                <w:sz w:val="20"/>
                <w:lang w:val="en-US"/>
              </w:rPr>
            </w:pPr>
            <w:r w:rsidRPr="00F0367C">
              <w:rPr>
                <w:sz w:val="20"/>
                <w:lang w:val="en-US"/>
              </w:rPr>
              <w:t>145 000</w:t>
            </w:r>
          </w:p>
          <w:p w:rsidR="00CA3B52" w:rsidRPr="00F0367C" w:rsidRDefault="00CA3B52" w:rsidP="00F65451">
            <w:pPr>
              <w:pStyle w:val="Tabletext"/>
              <w:jc w:val="left"/>
              <w:rPr>
                <w:sz w:val="20"/>
                <w:lang w:val="en-US"/>
              </w:rPr>
            </w:pPr>
            <w:r w:rsidRPr="00F0367C">
              <w:rPr>
                <w:sz w:val="20"/>
                <w:lang w:val="en-US"/>
              </w:rPr>
              <w:t xml:space="preserve">Nothing </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29 000</w:t>
            </w:r>
            <w:r>
              <w:rPr>
                <w:sz w:val="20"/>
                <w:lang w:val="en-US"/>
              </w:rPr>
              <w:t xml:space="preserve"> </w:t>
            </w:r>
            <w:r w:rsidRPr="00F0367C">
              <w:rPr>
                <w:sz w:val="20"/>
                <w:lang w:val="en-US"/>
              </w:rPr>
              <w:t>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11 600</w:t>
            </w:r>
            <w:r>
              <w:rPr>
                <w:sz w:val="20"/>
                <w:lang w:val="en-US"/>
              </w:rPr>
              <w:t xml:space="preserve"> </w:t>
            </w:r>
            <w:r w:rsidRPr="00F0367C">
              <w:rPr>
                <w:sz w:val="20"/>
                <w:lang w:val="en-US"/>
              </w:rPr>
              <w:t>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lastRenderedPageBreak/>
              <w:t>5 800 000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29 900</w:t>
            </w:r>
            <w:r>
              <w:rPr>
                <w:sz w:val="20"/>
                <w:lang w:val="en-US"/>
              </w:rPr>
              <w:t> </w:t>
            </w:r>
            <w:r w:rsidRPr="00F0367C">
              <w:rPr>
                <w:sz w:val="20"/>
                <w:lang w:val="en-US"/>
              </w:rPr>
              <w:t>000</w:t>
            </w:r>
          </w:p>
          <w:p w:rsidR="00CA3B52" w:rsidRPr="00F0367C" w:rsidRDefault="00CA3B52" w:rsidP="00F65451">
            <w:pPr>
              <w:pStyle w:val="Tabletext"/>
              <w:jc w:val="left"/>
              <w:rPr>
                <w:sz w:val="20"/>
                <w:lang w:val="en-US"/>
              </w:rPr>
            </w:pPr>
            <w:r w:rsidRPr="00F0367C">
              <w:rPr>
                <w:sz w:val="20"/>
                <w:lang w:val="en-US"/>
              </w:rPr>
              <w:t>1 450 000</w:t>
            </w:r>
          </w:p>
          <w:p w:rsidR="00CA3B52" w:rsidRPr="00F0367C" w:rsidRDefault="00CA3B52" w:rsidP="00F65451">
            <w:pPr>
              <w:pStyle w:val="Tabletext"/>
              <w:jc w:val="left"/>
              <w:rPr>
                <w:sz w:val="20"/>
                <w:lang w:val="en-US"/>
              </w:rPr>
            </w:pPr>
            <w:r w:rsidRPr="00F0367C">
              <w:rPr>
                <w:sz w:val="20"/>
                <w:lang w:val="en-US"/>
              </w:rPr>
              <w:t>5 800 000</w:t>
            </w:r>
          </w:p>
          <w:p w:rsidR="00CA3B52" w:rsidRPr="00F0367C" w:rsidRDefault="00CA3B52" w:rsidP="00F65451">
            <w:pPr>
              <w:pStyle w:val="Tabletext"/>
              <w:jc w:val="left"/>
              <w:rPr>
                <w:sz w:val="20"/>
                <w:lang w:val="en-US"/>
              </w:rPr>
            </w:pPr>
            <w:r w:rsidRPr="00F0367C">
              <w:rPr>
                <w:sz w:val="20"/>
                <w:lang w:val="en-US"/>
              </w:rPr>
              <w:t>1 160 000</w:t>
            </w:r>
          </w:p>
        </w:tc>
        <w:tc>
          <w:tcPr>
            <w:tcW w:w="1417" w:type="dxa"/>
          </w:tcPr>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1 160 000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1 450 000</w:t>
            </w:r>
          </w:p>
          <w:p w:rsidR="00CA3B52" w:rsidRPr="00F0367C" w:rsidRDefault="00CA3B52" w:rsidP="00F65451">
            <w:pPr>
              <w:pStyle w:val="Tabletext"/>
              <w:jc w:val="left"/>
              <w:rPr>
                <w:sz w:val="20"/>
                <w:lang w:val="en-US"/>
              </w:rPr>
            </w:pPr>
            <w:r w:rsidRPr="00F0367C">
              <w:rPr>
                <w:sz w:val="20"/>
                <w:lang w:val="en-US"/>
              </w:rPr>
              <w:t>1 740 000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2</w:t>
            </w:r>
            <w:r>
              <w:rPr>
                <w:sz w:val="20"/>
                <w:lang w:val="en-US"/>
              </w:rPr>
              <w:t xml:space="preserve"> </w:t>
            </w:r>
            <w:r w:rsidRPr="00F0367C">
              <w:rPr>
                <w:sz w:val="20"/>
                <w:lang w:val="en-US"/>
              </w:rPr>
              <w:t>900 000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348 000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145 000</w:t>
            </w:r>
          </w:p>
          <w:p w:rsidR="00CA3B52" w:rsidRPr="00F0367C" w:rsidRDefault="00CA3B52" w:rsidP="00F65451">
            <w:pPr>
              <w:pStyle w:val="Tabletext"/>
              <w:jc w:val="left"/>
              <w:rPr>
                <w:sz w:val="20"/>
                <w:lang w:val="en-US"/>
              </w:rPr>
            </w:pPr>
            <w:r w:rsidRPr="00F0367C">
              <w:rPr>
                <w:sz w:val="20"/>
                <w:lang w:val="en-US"/>
              </w:rPr>
              <w:t>116 000</w:t>
            </w:r>
          </w:p>
          <w:p w:rsidR="00CA3B52" w:rsidRPr="00F0367C" w:rsidRDefault="00CA3B52" w:rsidP="00F65451">
            <w:pPr>
              <w:pStyle w:val="Tabletext"/>
              <w:jc w:val="left"/>
              <w:rPr>
                <w:sz w:val="20"/>
                <w:lang w:val="en-US"/>
              </w:rPr>
            </w:pPr>
            <w:r w:rsidRPr="00F0367C">
              <w:rPr>
                <w:sz w:val="20"/>
                <w:lang w:val="en-US"/>
              </w:rPr>
              <w:t>Nothing</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5 800 000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10</w:t>
            </w:r>
            <w:r>
              <w:rPr>
                <w:sz w:val="20"/>
                <w:lang w:val="en-US"/>
              </w:rPr>
              <w:t xml:space="preserve"> </w:t>
            </w:r>
            <w:r w:rsidRPr="00F0367C">
              <w:rPr>
                <w:sz w:val="20"/>
                <w:lang w:val="en-US"/>
              </w:rPr>
              <w:t>440 000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14</w:t>
            </w:r>
            <w:r>
              <w:rPr>
                <w:sz w:val="20"/>
                <w:lang w:val="en-US"/>
              </w:rPr>
              <w:t xml:space="preserve"> </w:t>
            </w:r>
            <w:r w:rsidRPr="00F0367C">
              <w:rPr>
                <w:sz w:val="20"/>
                <w:lang w:val="en-US"/>
              </w:rPr>
              <w:t>500 000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17</w:t>
            </w:r>
            <w:r>
              <w:rPr>
                <w:sz w:val="20"/>
                <w:lang w:val="en-US"/>
              </w:rPr>
              <w:t xml:space="preserve"> </w:t>
            </w:r>
            <w:r w:rsidRPr="00F0367C">
              <w:rPr>
                <w:sz w:val="20"/>
                <w:lang w:val="en-US"/>
              </w:rPr>
              <w:t>400 000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3 480 000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lastRenderedPageBreak/>
              <w:t>1 740 000</w:t>
            </w:r>
          </w:p>
          <w:p w:rsidR="00CA3B52" w:rsidRPr="00F0367C" w:rsidRDefault="00CA3B52" w:rsidP="00F65451">
            <w:pPr>
              <w:pStyle w:val="Tabletext"/>
              <w:jc w:val="left"/>
              <w:rPr>
                <w:sz w:val="20"/>
                <w:lang w:val="en-US"/>
              </w:rPr>
            </w:pPr>
          </w:p>
          <w:p w:rsidR="00CA3B52" w:rsidRPr="00F0367C" w:rsidRDefault="00CA3B52" w:rsidP="00F65451">
            <w:pPr>
              <w:pStyle w:val="Tabletext"/>
              <w:jc w:val="left"/>
              <w:rPr>
                <w:sz w:val="20"/>
                <w:lang w:val="en-US"/>
              </w:rPr>
            </w:pPr>
            <w:r w:rsidRPr="00F0367C">
              <w:rPr>
                <w:sz w:val="20"/>
                <w:lang w:val="en-US"/>
              </w:rPr>
              <w:t>580 000</w:t>
            </w:r>
          </w:p>
          <w:p w:rsidR="00CA3B52" w:rsidRPr="00F0367C" w:rsidRDefault="00CA3B52" w:rsidP="00F65451">
            <w:pPr>
              <w:pStyle w:val="Tabletext"/>
              <w:jc w:val="left"/>
              <w:rPr>
                <w:sz w:val="20"/>
                <w:lang w:val="en-US"/>
              </w:rPr>
            </w:pPr>
            <w:r w:rsidRPr="00F0367C">
              <w:rPr>
                <w:sz w:val="20"/>
                <w:lang w:val="en-US"/>
              </w:rPr>
              <w:t>1 450 000</w:t>
            </w:r>
          </w:p>
          <w:p w:rsidR="00CA3B52" w:rsidRPr="00F0367C" w:rsidRDefault="00CA3B52" w:rsidP="00F65451">
            <w:pPr>
              <w:pStyle w:val="Tabletext"/>
              <w:jc w:val="left"/>
              <w:rPr>
                <w:sz w:val="20"/>
                <w:lang w:val="en-US"/>
              </w:rPr>
            </w:pPr>
            <w:r w:rsidRPr="00F0367C">
              <w:rPr>
                <w:sz w:val="20"/>
                <w:lang w:val="en-US"/>
              </w:rPr>
              <w:t>5 800 000</w:t>
            </w:r>
          </w:p>
          <w:p w:rsidR="00CA3B52" w:rsidRPr="00F0367C" w:rsidRDefault="00CA3B52" w:rsidP="00F65451">
            <w:pPr>
              <w:pStyle w:val="Tabletext"/>
              <w:jc w:val="left"/>
              <w:rPr>
                <w:sz w:val="20"/>
                <w:lang w:val="en-US"/>
              </w:rPr>
            </w:pPr>
            <w:r w:rsidRPr="00F0367C">
              <w:rPr>
                <w:sz w:val="20"/>
                <w:lang w:val="en-US"/>
              </w:rPr>
              <w:t>11 600 000</w:t>
            </w:r>
          </w:p>
        </w:tc>
      </w:tr>
    </w:tbl>
    <w:p w:rsidR="00CA3B52" w:rsidRDefault="00CA3B52" w:rsidP="00CA3B52">
      <w:pPr>
        <w:pStyle w:val="Tablefin"/>
      </w:pPr>
    </w:p>
    <w:p w:rsidR="00CA3B52" w:rsidRDefault="00CA3B52" w:rsidP="00CA3B52">
      <w:pPr>
        <w:pStyle w:val="Heading1"/>
        <w:rPr>
          <w:lang w:val="en-US"/>
        </w:rPr>
      </w:pPr>
      <w:bookmarkStart w:id="2014" w:name="_Toc289868891"/>
      <w:bookmarkStart w:id="2015" w:name="_Toc289869050"/>
      <w:bookmarkStart w:id="2016" w:name="_Toc289932356"/>
      <w:bookmarkStart w:id="2017" w:name="_Toc289933404"/>
      <w:bookmarkStart w:id="2018" w:name="_Toc291852967"/>
      <w:bookmarkStart w:id="2019" w:name="_Toc392515951"/>
      <w:r w:rsidRPr="00CB6CBA">
        <w:rPr>
          <w:lang w:val="en-US"/>
        </w:rPr>
        <w:t>C.</w:t>
      </w:r>
      <w:r w:rsidRPr="00CB6CBA">
        <w:rPr>
          <w:lang w:val="en-US"/>
        </w:rPr>
        <w:tab/>
        <w:t>TEMPORAL UTILIZATION OF RADIOELECTRIC STATIONS</w:t>
      </w:r>
      <w:bookmarkEnd w:id="2014"/>
      <w:bookmarkEnd w:id="2015"/>
      <w:bookmarkEnd w:id="2016"/>
      <w:bookmarkEnd w:id="2017"/>
      <w:bookmarkEnd w:id="2018"/>
      <w:bookmarkEnd w:id="201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3"/>
        <w:gridCol w:w="1755"/>
        <w:gridCol w:w="1383"/>
        <w:gridCol w:w="1559"/>
        <w:gridCol w:w="1559"/>
      </w:tblGrid>
      <w:tr w:rsidR="00CA3B52" w:rsidRPr="00F65451" w:rsidTr="002D1D5C">
        <w:trPr>
          <w:jc w:val="center"/>
        </w:trPr>
        <w:tc>
          <w:tcPr>
            <w:tcW w:w="3383" w:type="dxa"/>
            <w:vAlign w:val="center"/>
          </w:tcPr>
          <w:p w:rsidR="00CA3B52" w:rsidRPr="00DF737B" w:rsidRDefault="00CA3B52" w:rsidP="002D1D5C">
            <w:pPr>
              <w:pStyle w:val="Tablehead"/>
              <w:rPr>
                <w:sz w:val="20"/>
                <w:lang w:val="en-US"/>
              </w:rPr>
            </w:pPr>
            <w:r w:rsidRPr="00DF737B">
              <w:rPr>
                <w:sz w:val="20"/>
                <w:lang w:val="en-US"/>
              </w:rPr>
              <w:t>NETWORKS OR STATIONS</w:t>
            </w:r>
          </w:p>
        </w:tc>
        <w:tc>
          <w:tcPr>
            <w:tcW w:w="1755" w:type="dxa"/>
            <w:vAlign w:val="center"/>
          </w:tcPr>
          <w:p w:rsidR="00CA3B52" w:rsidRPr="00DF737B" w:rsidRDefault="00CA3B52" w:rsidP="002D1D5C">
            <w:pPr>
              <w:pStyle w:val="Tablehead"/>
              <w:rPr>
                <w:sz w:val="20"/>
                <w:lang w:val="en-US"/>
              </w:rPr>
            </w:pPr>
            <w:r w:rsidRPr="00DF737B">
              <w:rPr>
                <w:sz w:val="20"/>
                <w:lang w:val="en-US"/>
              </w:rPr>
              <w:t>FEES FOR COMPILING FILES</w:t>
            </w:r>
          </w:p>
        </w:tc>
        <w:tc>
          <w:tcPr>
            <w:tcW w:w="1383" w:type="dxa"/>
            <w:vAlign w:val="center"/>
          </w:tcPr>
          <w:p w:rsidR="00CA3B52" w:rsidRPr="00DF737B" w:rsidRDefault="00CA3B52" w:rsidP="002D1D5C">
            <w:pPr>
              <w:pStyle w:val="Tablehead"/>
              <w:rPr>
                <w:sz w:val="20"/>
                <w:lang w:val="en-US"/>
              </w:rPr>
            </w:pPr>
            <w:r w:rsidRPr="00DF737B">
              <w:rPr>
                <w:sz w:val="20"/>
                <w:lang w:val="en-US"/>
              </w:rPr>
              <w:t>Control or visit tax</w:t>
            </w:r>
          </w:p>
        </w:tc>
        <w:tc>
          <w:tcPr>
            <w:tcW w:w="1559" w:type="dxa"/>
            <w:vAlign w:val="center"/>
          </w:tcPr>
          <w:p w:rsidR="00CA3B52" w:rsidRPr="00DF737B" w:rsidRDefault="00CA3B52" w:rsidP="002D1D5C">
            <w:pPr>
              <w:pStyle w:val="Tablehead"/>
              <w:ind w:left="-57" w:right="-57"/>
              <w:rPr>
                <w:sz w:val="20"/>
                <w:lang w:val="en-US"/>
              </w:rPr>
            </w:pPr>
            <w:r w:rsidRPr="00DF737B">
              <w:rPr>
                <w:sz w:val="20"/>
                <w:lang w:val="en-US"/>
              </w:rPr>
              <w:t xml:space="preserve">Contribution </w:t>
            </w:r>
            <w:r>
              <w:rPr>
                <w:sz w:val="20"/>
                <w:lang w:val="en-US"/>
              </w:rPr>
              <w:br/>
            </w:r>
            <w:r w:rsidRPr="00DF737B">
              <w:rPr>
                <w:sz w:val="20"/>
                <w:lang w:val="en-US"/>
              </w:rPr>
              <w:t>for management costs</w:t>
            </w:r>
          </w:p>
        </w:tc>
        <w:tc>
          <w:tcPr>
            <w:tcW w:w="1559" w:type="dxa"/>
            <w:vAlign w:val="center"/>
          </w:tcPr>
          <w:p w:rsidR="00CA3B52" w:rsidRPr="00DF737B" w:rsidRDefault="00CA3B52" w:rsidP="002D1D5C">
            <w:pPr>
              <w:pStyle w:val="Tablehead"/>
              <w:ind w:left="-57" w:right="-57"/>
              <w:rPr>
                <w:sz w:val="20"/>
                <w:lang w:val="en-US"/>
              </w:rPr>
            </w:pPr>
            <w:r w:rsidRPr="00DF737B">
              <w:rPr>
                <w:sz w:val="20"/>
                <w:lang w:val="en-US"/>
              </w:rPr>
              <w:t xml:space="preserve">Charges for use of frequencies </w:t>
            </w:r>
            <w:r>
              <w:rPr>
                <w:sz w:val="20"/>
                <w:lang w:val="en-US"/>
              </w:rPr>
              <w:br/>
            </w:r>
            <w:r w:rsidRPr="00DF737B">
              <w:rPr>
                <w:sz w:val="20"/>
                <w:lang w:val="en-US"/>
              </w:rPr>
              <w:t>or Radioelectric spectrum</w:t>
            </w:r>
          </w:p>
        </w:tc>
      </w:tr>
      <w:tr w:rsidR="00CA3B52" w:rsidRPr="00F65451" w:rsidTr="002D1D5C">
        <w:trPr>
          <w:jc w:val="center"/>
        </w:trPr>
        <w:tc>
          <w:tcPr>
            <w:tcW w:w="3383" w:type="dxa"/>
          </w:tcPr>
          <w:p w:rsidR="00CA3B52" w:rsidRPr="00DF737B" w:rsidRDefault="00CA3B52" w:rsidP="002D1D5C">
            <w:pPr>
              <w:pStyle w:val="Tabletext"/>
              <w:jc w:val="left"/>
              <w:rPr>
                <w:sz w:val="20"/>
                <w:lang w:val="en-US"/>
              </w:rPr>
            </w:pPr>
            <w:r w:rsidRPr="00DF737B">
              <w:rPr>
                <w:sz w:val="20"/>
                <w:lang w:val="en-US"/>
              </w:rPr>
              <w:t>Terrestrial services</w:t>
            </w:r>
          </w:p>
          <w:p w:rsidR="00CA3B52" w:rsidRPr="00DF737B" w:rsidRDefault="00CA3B52" w:rsidP="002D1D5C">
            <w:pPr>
              <w:pStyle w:val="Tabletext"/>
              <w:jc w:val="left"/>
              <w:rPr>
                <w:sz w:val="20"/>
                <w:lang w:val="en-US"/>
              </w:rPr>
            </w:pPr>
          </w:p>
          <w:p w:rsidR="00CA3B52" w:rsidRPr="00DF737B" w:rsidRDefault="00CA3B52" w:rsidP="002D1D5C">
            <w:pPr>
              <w:pStyle w:val="Tabletext"/>
              <w:jc w:val="left"/>
              <w:rPr>
                <w:sz w:val="20"/>
                <w:lang w:val="en-US"/>
              </w:rPr>
            </w:pPr>
            <w:r w:rsidRPr="00DF737B">
              <w:rPr>
                <w:sz w:val="20"/>
                <w:lang w:val="en-US"/>
              </w:rPr>
              <w:t>a1. Fixed station or base</w:t>
            </w:r>
          </w:p>
          <w:p w:rsidR="00CA3B52" w:rsidRPr="00DF737B" w:rsidRDefault="00CA3B52" w:rsidP="002D1D5C">
            <w:pPr>
              <w:pStyle w:val="Tabletext"/>
              <w:jc w:val="left"/>
              <w:rPr>
                <w:sz w:val="20"/>
                <w:lang w:val="en-US"/>
              </w:rPr>
            </w:pPr>
            <w:r w:rsidRPr="00DF737B">
              <w:rPr>
                <w:sz w:val="20"/>
                <w:lang w:val="en-US"/>
              </w:rPr>
              <w:t>a2. Mobile station</w:t>
            </w:r>
          </w:p>
          <w:p w:rsidR="00CA3B52" w:rsidRPr="00DF737B" w:rsidRDefault="00CA3B52" w:rsidP="002D1D5C">
            <w:pPr>
              <w:pStyle w:val="Tabletext"/>
              <w:jc w:val="left"/>
              <w:rPr>
                <w:sz w:val="20"/>
                <w:lang w:val="en-US"/>
              </w:rPr>
            </w:pPr>
            <w:r w:rsidRPr="00DF737B">
              <w:rPr>
                <w:sz w:val="20"/>
                <w:lang w:val="en-US"/>
              </w:rPr>
              <w:t>a3. Portable station</w:t>
            </w:r>
          </w:p>
          <w:p w:rsidR="00CA3B52" w:rsidRPr="00DF737B" w:rsidRDefault="00CA3B52" w:rsidP="002D1D5C">
            <w:pPr>
              <w:pStyle w:val="Tabletext"/>
              <w:jc w:val="left"/>
              <w:rPr>
                <w:sz w:val="20"/>
                <w:lang w:val="en-US"/>
              </w:rPr>
            </w:pPr>
          </w:p>
          <w:p w:rsidR="00CA3B52" w:rsidRPr="00DF737B" w:rsidRDefault="00CA3B52" w:rsidP="002D1D5C">
            <w:pPr>
              <w:pStyle w:val="Tabletext"/>
              <w:jc w:val="left"/>
              <w:rPr>
                <w:sz w:val="20"/>
                <w:lang w:val="en-US"/>
              </w:rPr>
            </w:pPr>
          </w:p>
          <w:p w:rsidR="00CA3B52" w:rsidRPr="00DF737B" w:rsidRDefault="00CA3B52" w:rsidP="002D1D5C">
            <w:pPr>
              <w:pStyle w:val="Tabletext"/>
              <w:jc w:val="left"/>
              <w:rPr>
                <w:sz w:val="20"/>
                <w:lang w:val="en-US"/>
              </w:rPr>
            </w:pPr>
          </w:p>
          <w:p w:rsidR="00CA3B52" w:rsidRPr="00DF737B" w:rsidRDefault="00CA3B52" w:rsidP="002D1D5C">
            <w:pPr>
              <w:pStyle w:val="Tabletext"/>
              <w:jc w:val="left"/>
              <w:rPr>
                <w:sz w:val="20"/>
                <w:lang w:val="en-US"/>
              </w:rPr>
            </w:pPr>
            <w:r w:rsidRPr="00DF737B">
              <w:rPr>
                <w:sz w:val="20"/>
                <w:lang w:val="en-US"/>
              </w:rPr>
              <w:t>Spatial services</w:t>
            </w:r>
          </w:p>
          <w:p w:rsidR="00CA3B52" w:rsidRPr="00DF737B" w:rsidRDefault="00CA3B52" w:rsidP="002D1D5C">
            <w:pPr>
              <w:pStyle w:val="Tabletext"/>
              <w:jc w:val="left"/>
              <w:rPr>
                <w:sz w:val="20"/>
                <w:lang w:val="en-US"/>
              </w:rPr>
            </w:pPr>
          </w:p>
          <w:p w:rsidR="00CA3B52" w:rsidRPr="00DF737B" w:rsidRDefault="00E1644D" w:rsidP="002D1D5C">
            <w:pPr>
              <w:pStyle w:val="Tabletext"/>
              <w:jc w:val="left"/>
              <w:rPr>
                <w:sz w:val="20"/>
                <w:lang w:val="en-US"/>
              </w:rPr>
            </w:pPr>
            <w:r>
              <w:rPr>
                <w:sz w:val="20"/>
                <w:lang w:val="en-US"/>
              </w:rPr>
              <w:t>a1. Aeronautic, coastal or</w:t>
            </w:r>
            <w:r w:rsidR="00CA3B52" w:rsidRPr="00DF737B">
              <w:rPr>
                <w:sz w:val="20"/>
                <w:lang w:val="en-US"/>
              </w:rPr>
              <w:t xml:space="preserve"> earth stations</w:t>
            </w:r>
          </w:p>
          <w:p w:rsidR="00CA3B52" w:rsidRPr="00DF737B" w:rsidRDefault="00CA3B52" w:rsidP="002D1D5C">
            <w:pPr>
              <w:pStyle w:val="Tabletext"/>
              <w:jc w:val="left"/>
              <w:rPr>
                <w:sz w:val="20"/>
                <w:lang w:val="en-US"/>
              </w:rPr>
            </w:pPr>
            <w:r w:rsidRPr="00DF737B">
              <w:rPr>
                <w:sz w:val="20"/>
                <w:lang w:val="en-US"/>
              </w:rPr>
              <w:t>a2. Mobile earth station</w:t>
            </w:r>
          </w:p>
          <w:p w:rsidR="00CA3B52" w:rsidRPr="00DF737B" w:rsidRDefault="00CA3B52" w:rsidP="002D1D5C">
            <w:pPr>
              <w:pStyle w:val="Tabletext"/>
              <w:jc w:val="left"/>
              <w:rPr>
                <w:sz w:val="20"/>
                <w:lang w:val="en-US"/>
              </w:rPr>
            </w:pPr>
            <w:r w:rsidRPr="00DF737B">
              <w:rPr>
                <w:sz w:val="20"/>
                <w:lang w:val="en-US"/>
              </w:rPr>
              <w:t>a3. Portable or mobile earth stations</w:t>
            </w:r>
          </w:p>
        </w:tc>
        <w:tc>
          <w:tcPr>
            <w:tcW w:w="1755" w:type="dxa"/>
          </w:tcPr>
          <w:p w:rsidR="00CA3B52" w:rsidRPr="00215E02" w:rsidRDefault="00CA3B52" w:rsidP="00F65451">
            <w:pPr>
              <w:pStyle w:val="Tabletext"/>
              <w:jc w:val="left"/>
              <w:rPr>
                <w:sz w:val="20"/>
                <w:lang w:val="en-US"/>
              </w:rPr>
            </w:pPr>
          </w:p>
          <w:p w:rsidR="00CA3B52" w:rsidRPr="00215E02" w:rsidRDefault="00CA3B52" w:rsidP="00F65451">
            <w:pPr>
              <w:pStyle w:val="Tabletext"/>
              <w:jc w:val="left"/>
              <w:rPr>
                <w:sz w:val="20"/>
                <w:lang w:val="en-US"/>
              </w:rPr>
            </w:pPr>
          </w:p>
          <w:p w:rsidR="00CA3B52" w:rsidRPr="00215E02" w:rsidRDefault="00CA3B52" w:rsidP="00F65451">
            <w:pPr>
              <w:pStyle w:val="Tabletext"/>
              <w:jc w:val="left"/>
              <w:rPr>
                <w:sz w:val="20"/>
                <w:lang w:val="en-US"/>
              </w:rPr>
            </w:pPr>
            <w:r w:rsidRPr="00215E02">
              <w:rPr>
                <w:sz w:val="20"/>
                <w:lang w:val="en-US"/>
              </w:rPr>
              <w:t>Nothing</w:t>
            </w:r>
          </w:p>
          <w:p w:rsidR="00CA3B52" w:rsidRPr="00215E02" w:rsidRDefault="00CA3B52" w:rsidP="00F65451">
            <w:pPr>
              <w:pStyle w:val="Tabletext"/>
              <w:jc w:val="left"/>
              <w:rPr>
                <w:sz w:val="20"/>
                <w:lang w:val="en-US"/>
              </w:rPr>
            </w:pPr>
            <w:r w:rsidRPr="00215E02">
              <w:rPr>
                <w:sz w:val="20"/>
                <w:lang w:val="en-US"/>
              </w:rPr>
              <w:t xml:space="preserve">Nothing </w:t>
            </w:r>
          </w:p>
          <w:p w:rsidR="00CA3B52" w:rsidRPr="00215E02" w:rsidRDefault="00CA3B52" w:rsidP="00F65451">
            <w:pPr>
              <w:pStyle w:val="Tabletext"/>
              <w:jc w:val="left"/>
              <w:rPr>
                <w:sz w:val="20"/>
                <w:lang w:val="en-US"/>
              </w:rPr>
            </w:pPr>
            <w:r w:rsidRPr="00215E02">
              <w:rPr>
                <w:sz w:val="20"/>
                <w:lang w:val="en-US"/>
              </w:rPr>
              <w:t>Nothing</w:t>
            </w:r>
          </w:p>
          <w:p w:rsidR="00CA3B52" w:rsidRPr="00215E02" w:rsidRDefault="00CA3B52" w:rsidP="00F65451">
            <w:pPr>
              <w:pStyle w:val="Tabletext"/>
              <w:jc w:val="left"/>
              <w:rPr>
                <w:sz w:val="20"/>
                <w:lang w:val="en-US"/>
              </w:rPr>
            </w:pPr>
          </w:p>
          <w:p w:rsidR="00CA3B52" w:rsidRPr="00215E02" w:rsidRDefault="00CA3B52" w:rsidP="00F65451">
            <w:pPr>
              <w:pStyle w:val="Tabletext"/>
              <w:jc w:val="left"/>
              <w:rPr>
                <w:sz w:val="20"/>
                <w:lang w:val="en-US"/>
              </w:rPr>
            </w:pPr>
          </w:p>
          <w:p w:rsidR="00CA3B52" w:rsidRPr="00215E02" w:rsidRDefault="00CA3B52" w:rsidP="00F65451">
            <w:pPr>
              <w:pStyle w:val="Tabletext"/>
              <w:jc w:val="left"/>
              <w:rPr>
                <w:sz w:val="20"/>
                <w:lang w:val="en-US"/>
              </w:rPr>
            </w:pPr>
          </w:p>
          <w:p w:rsidR="00CA3B52" w:rsidRPr="00215E02" w:rsidRDefault="00CA3B52" w:rsidP="00F65451">
            <w:pPr>
              <w:pStyle w:val="Tabletext"/>
              <w:jc w:val="left"/>
              <w:rPr>
                <w:sz w:val="20"/>
                <w:lang w:val="en-US"/>
              </w:rPr>
            </w:pPr>
          </w:p>
          <w:p w:rsidR="00CA3B52" w:rsidRPr="00215E02" w:rsidRDefault="00CA3B52" w:rsidP="00F65451">
            <w:pPr>
              <w:pStyle w:val="Tabletext"/>
              <w:jc w:val="left"/>
              <w:rPr>
                <w:sz w:val="20"/>
                <w:lang w:val="en-US"/>
              </w:rPr>
            </w:pPr>
          </w:p>
          <w:p w:rsidR="00CA3B52" w:rsidRPr="00215E02" w:rsidRDefault="00CA3B52" w:rsidP="00F65451">
            <w:pPr>
              <w:pStyle w:val="Tabletext"/>
              <w:jc w:val="left"/>
              <w:rPr>
                <w:sz w:val="20"/>
                <w:lang w:val="en-US"/>
              </w:rPr>
            </w:pPr>
            <w:r w:rsidRPr="00215E02">
              <w:rPr>
                <w:sz w:val="20"/>
                <w:lang w:val="en-US"/>
              </w:rPr>
              <w:t>Nothing, Nothing, Nothing</w:t>
            </w:r>
          </w:p>
        </w:tc>
        <w:tc>
          <w:tcPr>
            <w:tcW w:w="1383" w:type="dxa"/>
          </w:tcPr>
          <w:p w:rsidR="00CA3B52" w:rsidRPr="00215E02" w:rsidRDefault="00CA3B52" w:rsidP="00F65451">
            <w:pPr>
              <w:pStyle w:val="Tabletext"/>
              <w:jc w:val="left"/>
              <w:rPr>
                <w:sz w:val="20"/>
                <w:lang w:val="en-US"/>
              </w:rPr>
            </w:pPr>
          </w:p>
          <w:p w:rsidR="00CA3B52" w:rsidRPr="00215E02" w:rsidRDefault="00CA3B52" w:rsidP="00F65451">
            <w:pPr>
              <w:pStyle w:val="Tabletext"/>
              <w:jc w:val="left"/>
              <w:rPr>
                <w:sz w:val="20"/>
                <w:lang w:val="en-US"/>
              </w:rPr>
            </w:pPr>
          </w:p>
          <w:p w:rsidR="00CA3B52" w:rsidRPr="00215E02" w:rsidRDefault="00CA3B52" w:rsidP="00F65451">
            <w:pPr>
              <w:pStyle w:val="Tabletext"/>
              <w:jc w:val="left"/>
              <w:rPr>
                <w:sz w:val="20"/>
                <w:lang w:val="en-US"/>
              </w:rPr>
            </w:pPr>
            <w:r w:rsidRPr="00215E02">
              <w:rPr>
                <w:sz w:val="20"/>
                <w:lang w:val="en-US"/>
              </w:rPr>
              <w:t>11 600</w:t>
            </w:r>
          </w:p>
          <w:p w:rsidR="00CA3B52" w:rsidRPr="00215E02" w:rsidRDefault="00CA3B52" w:rsidP="00F65451">
            <w:pPr>
              <w:pStyle w:val="Tabletext"/>
              <w:jc w:val="left"/>
              <w:rPr>
                <w:sz w:val="20"/>
                <w:lang w:val="en-US"/>
              </w:rPr>
            </w:pPr>
            <w:r w:rsidRPr="00215E02">
              <w:rPr>
                <w:sz w:val="20"/>
                <w:lang w:val="en-US"/>
              </w:rPr>
              <w:t>8 700</w:t>
            </w:r>
          </w:p>
          <w:p w:rsidR="00CA3B52" w:rsidRPr="00215E02" w:rsidRDefault="00CA3B52" w:rsidP="00F65451">
            <w:pPr>
              <w:pStyle w:val="Tabletext"/>
              <w:jc w:val="left"/>
              <w:rPr>
                <w:sz w:val="20"/>
                <w:lang w:val="en-US"/>
              </w:rPr>
            </w:pPr>
            <w:r w:rsidRPr="00215E02">
              <w:rPr>
                <w:sz w:val="20"/>
                <w:lang w:val="en-US"/>
              </w:rPr>
              <w:t>5 800</w:t>
            </w:r>
          </w:p>
          <w:p w:rsidR="00CA3B52" w:rsidRPr="00215E02" w:rsidRDefault="00CA3B52" w:rsidP="00F65451">
            <w:pPr>
              <w:pStyle w:val="Tabletext"/>
              <w:jc w:val="left"/>
              <w:rPr>
                <w:sz w:val="20"/>
                <w:lang w:val="en-US"/>
              </w:rPr>
            </w:pPr>
          </w:p>
          <w:p w:rsidR="00CA3B52" w:rsidRPr="00215E02" w:rsidRDefault="00CA3B52" w:rsidP="00F65451">
            <w:pPr>
              <w:pStyle w:val="Tabletext"/>
              <w:jc w:val="left"/>
              <w:rPr>
                <w:sz w:val="20"/>
                <w:lang w:val="en-US"/>
              </w:rPr>
            </w:pPr>
          </w:p>
          <w:p w:rsidR="00CA3B52" w:rsidRPr="00215E02" w:rsidRDefault="00CA3B52" w:rsidP="00F65451">
            <w:pPr>
              <w:pStyle w:val="Tabletext"/>
              <w:jc w:val="left"/>
              <w:rPr>
                <w:sz w:val="20"/>
                <w:lang w:val="en-US"/>
              </w:rPr>
            </w:pPr>
          </w:p>
          <w:p w:rsidR="00CA3B52" w:rsidRPr="00215E02" w:rsidRDefault="00CA3B52" w:rsidP="00F65451">
            <w:pPr>
              <w:pStyle w:val="Tabletext"/>
              <w:jc w:val="left"/>
              <w:rPr>
                <w:sz w:val="20"/>
                <w:lang w:val="en-US"/>
              </w:rPr>
            </w:pPr>
          </w:p>
          <w:p w:rsidR="00CA3B52" w:rsidRPr="00215E02" w:rsidRDefault="00CA3B52" w:rsidP="00F65451">
            <w:pPr>
              <w:pStyle w:val="Tabletext"/>
              <w:jc w:val="left"/>
              <w:rPr>
                <w:sz w:val="20"/>
                <w:lang w:val="en-US"/>
              </w:rPr>
            </w:pPr>
          </w:p>
          <w:p w:rsidR="00CA3B52" w:rsidRPr="00215E02" w:rsidRDefault="00CA3B52" w:rsidP="00F65451">
            <w:pPr>
              <w:pStyle w:val="Tabletext"/>
              <w:jc w:val="left"/>
              <w:rPr>
                <w:sz w:val="20"/>
                <w:lang w:val="en-US"/>
              </w:rPr>
            </w:pPr>
            <w:r w:rsidRPr="00215E02">
              <w:rPr>
                <w:sz w:val="20"/>
                <w:lang w:val="en-US"/>
              </w:rPr>
              <w:t>29 000</w:t>
            </w:r>
          </w:p>
          <w:p w:rsidR="00CA3B52" w:rsidRPr="00215E02" w:rsidRDefault="00CA3B52" w:rsidP="00F65451">
            <w:pPr>
              <w:pStyle w:val="Tabletext"/>
              <w:jc w:val="left"/>
              <w:rPr>
                <w:sz w:val="20"/>
                <w:lang w:val="en-US"/>
              </w:rPr>
            </w:pPr>
            <w:r w:rsidRPr="00215E02">
              <w:rPr>
                <w:sz w:val="20"/>
                <w:lang w:val="en-US"/>
              </w:rPr>
              <w:t>17 400</w:t>
            </w:r>
          </w:p>
          <w:p w:rsidR="00CA3B52" w:rsidRPr="00215E02" w:rsidRDefault="00CA3B52" w:rsidP="00F65451">
            <w:pPr>
              <w:pStyle w:val="Tabletext"/>
              <w:jc w:val="left"/>
              <w:rPr>
                <w:sz w:val="20"/>
                <w:lang w:val="en-US"/>
              </w:rPr>
            </w:pPr>
            <w:r w:rsidRPr="00215E02">
              <w:rPr>
                <w:sz w:val="20"/>
                <w:lang w:val="en-US"/>
              </w:rPr>
              <w:t>11 600</w:t>
            </w:r>
          </w:p>
        </w:tc>
        <w:tc>
          <w:tcPr>
            <w:tcW w:w="1559" w:type="dxa"/>
          </w:tcPr>
          <w:p w:rsidR="00CA3B52" w:rsidRPr="00215E02" w:rsidRDefault="00CA3B52" w:rsidP="00F65451">
            <w:pPr>
              <w:pStyle w:val="Tabletext"/>
              <w:jc w:val="left"/>
              <w:rPr>
                <w:sz w:val="20"/>
                <w:lang w:val="en-US"/>
              </w:rPr>
            </w:pPr>
          </w:p>
          <w:p w:rsidR="00CA3B52" w:rsidRPr="00215E02" w:rsidRDefault="00CA3B52" w:rsidP="00F65451">
            <w:pPr>
              <w:pStyle w:val="Tabletext"/>
              <w:jc w:val="left"/>
              <w:rPr>
                <w:sz w:val="20"/>
                <w:lang w:val="en-US"/>
              </w:rPr>
            </w:pPr>
          </w:p>
          <w:p w:rsidR="00CA3B52" w:rsidRPr="00215E02" w:rsidRDefault="00CA3B52" w:rsidP="00F65451">
            <w:pPr>
              <w:pStyle w:val="Tabletext"/>
              <w:jc w:val="left"/>
              <w:rPr>
                <w:sz w:val="20"/>
                <w:lang w:val="en-US"/>
              </w:rPr>
            </w:pPr>
            <w:r w:rsidRPr="00215E02">
              <w:rPr>
                <w:sz w:val="20"/>
                <w:lang w:val="en-US"/>
              </w:rPr>
              <w:t>Calculated for the whole month on the prorate of utilization</w:t>
            </w:r>
          </w:p>
        </w:tc>
        <w:tc>
          <w:tcPr>
            <w:tcW w:w="1559" w:type="dxa"/>
          </w:tcPr>
          <w:p w:rsidR="00CA3B52" w:rsidRPr="00215E02" w:rsidRDefault="00CA3B52" w:rsidP="00F65451">
            <w:pPr>
              <w:pStyle w:val="Tabletext"/>
              <w:jc w:val="left"/>
              <w:rPr>
                <w:sz w:val="20"/>
                <w:lang w:val="en-US"/>
              </w:rPr>
            </w:pPr>
          </w:p>
          <w:p w:rsidR="00CA3B52" w:rsidRPr="00215E02" w:rsidRDefault="00CA3B52" w:rsidP="00F65451">
            <w:pPr>
              <w:pStyle w:val="Tabletext"/>
              <w:jc w:val="left"/>
              <w:rPr>
                <w:sz w:val="20"/>
                <w:lang w:val="en-US"/>
              </w:rPr>
            </w:pPr>
          </w:p>
          <w:p w:rsidR="00CA3B52" w:rsidRPr="00215E02" w:rsidRDefault="00CA3B52" w:rsidP="00F65451">
            <w:pPr>
              <w:pStyle w:val="Tabletext"/>
              <w:jc w:val="left"/>
              <w:rPr>
                <w:sz w:val="20"/>
                <w:lang w:val="en-US"/>
              </w:rPr>
            </w:pPr>
            <w:r w:rsidRPr="00215E02">
              <w:rPr>
                <w:sz w:val="20"/>
                <w:lang w:val="en-US"/>
              </w:rPr>
              <w:t>Calculated for the entire month on the prorate of utilization</w:t>
            </w:r>
          </w:p>
        </w:tc>
      </w:tr>
    </w:tbl>
    <w:p w:rsidR="00CA3B52" w:rsidRPr="00CB6CBA" w:rsidRDefault="00CA3B52" w:rsidP="00CA3B52">
      <w:pPr>
        <w:rPr>
          <w:lang w:val="en-US"/>
        </w:rPr>
      </w:pPr>
    </w:p>
    <w:p w:rsidR="00CA3B52" w:rsidRPr="00CB6CBA" w:rsidRDefault="00CA3B52" w:rsidP="00CA3B52">
      <w:pPr>
        <w:pStyle w:val="Heading1"/>
        <w:rPr>
          <w:lang w:val="en-US"/>
        </w:rPr>
      </w:pPr>
      <w:bookmarkStart w:id="2020" w:name="_Toc289868892"/>
      <w:bookmarkStart w:id="2021" w:name="_Toc289869051"/>
      <w:bookmarkStart w:id="2022" w:name="_Toc289932357"/>
      <w:bookmarkStart w:id="2023" w:name="_Toc289933405"/>
      <w:bookmarkStart w:id="2024" w:name="_Toc291852968"/>
      <w:bookmarkStart w:id="2025" w:name="_Toc392515952"/>
      <w:r w:rsidRPr="00CB6CBA">
        <w:rPr>
          <w:lang w:val="en-US"/>
        </w:rPr>
        <w:t>D.</w:t>
      </w:r>
      <w:r w:rsidRPr="00CB6CBA">
        <w:rPr>
          <w:lang w:val="en-US"/>
        </w:rPr>
        <w:tab/>
        <w:t>OTHER FEES AND TAXES</w:t>
      </w:r>
      <w:bookmarkEnd w:id="2020"/>
      <w:bookmarkEnd w:id="2021"/>
      <w:bookmarkEnd w:id="2022"/>
      <w:bookmarkEnd w:id="2023"/>
      <w:bookmarkEnd w:id="2024"/>
      <w:bookmarkEnd w:id="2025"/>
    </w:p>
    <w:p w:rsidR="00CA3B52" w:rsidRPr="00CB6CBA" w:rsidRDefault="00CA3B52" w:rsidP="00F65451">
      <w:pPr>
        <w:pStyle w:val="Headingi"/>
        <w:rPr>
          <w:lang w:val="en-US"/>
        </w:rPr>
      </w:pPr>
      <w:bookmarkStart w:id="2026" w:name="_Toc289868893"/>
      <w:bookmarkStart w:id="2027" w:name="_Toc289869052"/>
      <w:bookmarkStart w:id="2028" w:name="_Toc289932358"/>
      <w:bookmarkStart w:id="2029" w:name="_Toc291852969"/>
      <w:bookmarkStart w:id="2030" w:name="_Toc392515953"/>
      <w:r w:rsidRPr="00CB6CBA">
        <w:rPr>
          <w:lang w:val="en-US"/>
        </w:rPr>
        <w:t>I.</w:t>
      </w:r>
      <w:r w:rsidRPr="00CB6CBA">
        <w:rPr>
          <w:lang w:val="en-US"/>
        </w:rPr>
        <w:tab/>
        <w:t>SPECIAL EQUIPMENTS.</w:t>
      </w:r>
      <w:bookmarkEnd w:id="2026"/>
      <w:bookmarkEnd w:id="2027"/>
      <w:bookmarkEnd w:id="2028"/>
      <w:bookmarkEnd w:id="2029"/>
      <w:bookmarkEnd w:id="2030"/>
    </w:p>
    <w:p w:rsidR="00CA3B52" w:rsidRPr="00CB6CBA" w:rsidRDefault="00CA3B52" w:rsidP="00F65451">
      <w:pPr>
        <w:rPr>
          <w:lang w:val="en-US"/>
        </w:rPr>
      </w:pPr>
      <w:r w:rsidRPr="00CB6CBA">
        <w:rPr>
          <w:lang w:val="en-US"/>
        </w:rPr>
        <w:t>1.</w:t>
      </w:r>
      <w:r w:rsidRPr="00CB6CBA">
        <w:rPr>
          <w:lang w:val="en-US"/>
        </w:rPr>
        <w:tab/>
        <w:t>Transmitters and Receivers with low power or CB sets</w:t>
      </w:r>
    </w:p>
    <w:p w:rsidR="00CA3B52" w:rsidRPr="00CB6CBA" w:rsidRDefault="00CA3B52" w:rsidP="00F65451">
      <w:pPr>
        <w:pStyle w:val="enumlev1"/>
        <w:rPr>
          <w:lang w:val="en-US"/>
        </w:rPr>
      </w:pPr>
      <w:r w:rsidRPr="00CB6CBA">
        <w:rPr>
          <w:lang w:val="en-US"/>
        </w:rPr>
        <w:t>–</w:t>
      </w:r>
      <w:r w:rsidRPr="00CB6CBA">
        <w:rPr>
          <w:lang w:val="en-US"/>
        </w:rPr>
        <w:tab/>
        <w:t>Annual forfeitary charge</w:t>
      </w:r>
      <w:r w:rsidRPr="00CB6CBA">
        <w:rPr>
          <w:lang w:val="en-US"/>
        </w:rPr>
        <w:tab/>
      </w:r>
      <w:r>
        <w:rPr>
          <w:lang w:val="en-US"/>
        </w:rPr>
        <w:tab/>
      </w:r>
      <w:r>
        <w:rPr>
          <w:lang w:val="en-US"/>
        </w:rPr>
        <w:tab/>
      </w:r>
      <w:r w:rsidRPr="00CB6CBA">
        <w:rPr>
          <w:lang w:val="en-US"/>
        </w:rPr>
        <w:t>23 200 F</w:t>
      </w:r>
    </w:p>
    <w:p w:rsidR="00CA3B52" w:rsidRPr="00CB6CBA" w:rsidRDefault="00CA3B52" w:rsidP="00F65451">
      <w:pPr>
        <w:rPr>
          <w:lang w:val="en-US"/>
        </w:rPr>
      </w:pPr>
      <w:r w:rsidRPr="00CB6CBA">
        <w:rPr>
          <w:lang w:val="en-US"/>
        </w:rPr>
        <w:t>2.</w:t>
      </w:r>
      <w:r w:rsidRPr="00CB6CBA">
        <w:rPr>
          <w:lang w:val="en-US"/>
        </w:rPr>
        <w:tab/>
        <w:t>Installation of reduced command radio</w:t>
      </w:r>
    </w:p>
    <w:p w:rsidR="00CA3B52" w:rsidRPr="00CB6CBA" w:rsidRDefault="00CA3B52" w:rsidP="00F65451">
      <w:pPr>
        <w:pStyle w:val="enumlev1"/>
        <w:rPr>
          <w:lang w:val="en-US"/>
        </w:rPr>
      </w:pPr>
      <w:r w:rsidRPr="00CB6CBA">
        <w:rPr>
          <w:lang w:val="en-US"/>
        </w:rPr>
        <w:t>–</w:t>
      </w:r>
      <w:r w:rsidRPr="00CB6CBA">
        <w:rPr>
          <w:lang w:val="en-US"/>
        </w:rPr>
        <w:tab/>
        <w:t>Special tax for 5 years</w:t>
      </w:r>
      <w:r w:rsidRPr="00CB6CBA">
        <w:rPr>
          <w:lang w:val="en-US"/>
        </w:rPr>
        <w:tab/>
      </w:r>
      <w:r>
        <w:rPr>
          <w:lang w:val="en-US"/>
        </w:rPr>
        <w:tab/>
      </w:r>
      <w:r>
        <w:rPr>
          <w:lang w:val="en-US"/>
        </w:rPr>
        <w:tab/>
      </w:r>
      <w:r w:rsidRPr="00CB6CBA">
        <w:rPr>
          <w:lang w:val="en-US"/>
        </w:rPr>
        <w:t>23 200 F</w:t>
      </w:r>
    </w:p>
    <w:p w:rsidR="00CA3B52" w:rsidRDefault="00CA3B52" w:rsidP="00CA3B52">
      <w:pPr>
        <w:pStyle w:val="Headingi"/>
        <w:rPr>
          <w:lang w:val="en-US"/>
        </w:rPr>
      </w:pPr>
      <w:bookmarkStart w:id="2031" w:name="_Toc289868894"/>
      <w:bookmarkStart w:id="2032" w:name="_Toc289869053"/>
      <w:bookmarkStart w:id="2033" w:name="_Toc289932359"/>
      <w:bookmarkStart w:id="2034" w:name="_Toc291852970"/>
      <w:bookmarkStart w:id="2035" w:name="_Toc392515954"/>
      <w:r w:rsidRPr="00CB6CBA">
        <w:rPr>
          <w:lang w:val="en-US"/>
        </w:rPr>
        <w:t>II.</w:t>
      </w:r>
      <w:r w:rsidRPr="00CB6CBA">
        <w:rPr>
          <w:lang w:val="en-US"/>
        </w:rPr>
        <w:tab/>
        <w:t>LICENCE FEES/CERTIFICATE</w:t>
      </w:r>
      <w:bookmarkEnd w:id="2031"/>
      <w:bookmarkEnd w:id="2032"/>
      <w:bookmarkEnd w:id="2033"/>
      <w:bookmarkEnd w:id="2034"/>
      <w:bookmarkEnd w:id="2035"/>
    </w:p>
    <w:tbl>
      <w:tblPr>
        <w:tblW w:w="0" w:type="auto"/>
        <w:tblCellMar>
          <w:left w:w="0" w:type="dxa"/>
          <w:right w:w="0" w:type="dxa"/>
        </w:tblCellMar>
        <w:tblLook w:val="04A0" w:firstRow="1" w:lastRow="0" w:firstColumn="1" w:lastColumn="0" w:noHBand="0" w:noVBand="1"/>
      </w:tblPr>
      <w:tblGrid>
        <w:gridCol w:w="4253"/>
        <w:gridCol w:w="1984"/>
        <w:gridCol w:w="1843"/>
        <w:gridCol w:w="1559"/>
      </w:tblGrid>
      <w:tr w:rsidR="00CA3B52" w:rsidTr="002D1D5C">
        <w:tc>
          <w:tcPr>
            <w:tcW w:w="4253" w:type="dxa"/>
          </w:tcPr>
          <w:p w:rsidR="00CA3B52" w:rsidRDefault="00CA3B52" w:rsidP="002D1D5C">
            <w:pPr>
              <w:jc w:val="center"/>
              <w:rPr>
                <w:lang w:val="en-US"/>
              </w:rPr>
            </w:pPr>
          </w:p>
        </w:tc>
        <w:tc>
          <w:tcPr>
            <w:tcW w:w="1984" w:type="dxa"/>
          </w:tcPr>
          <w:p w:rsidR="00CA3B52" w:rsidRDefault="00CA3B52" w:rsidP="002D1D5C">
            <w:pPr>
              <w:jc w:val="center"/>
              <w:rPr>
                <w:lang w:val="en-US"/>
              </w:rPr>
            </w:pPr>
            <w:r w:rsidRPr="00DF737B">
              <w:rPr>
                <w:lang w:val="en-US"/>
              </w:rPr>
              <w:t>Establishing</w:t>
            </w:r>
          </w:p>
        </w:tc>
        <w:tc>
          <w:tcPr>
            <w:tcW w:w="1843" w:type="dxa"/>
          </w:tcPr>
          <w:p w:rsidR="00CA3B52" w:rsidRDefault="00CA3B52" w:rsidP="002D1D5C">
            <w:pPr>
              <w:jc w:val="center"/>
              <w:rPr>
                <w:lang w:val="en-US"/>
              </w:rPr>
            </w:pPr>
            <w:r w:rsidRPr="00DF737B">
              <w:rPr>
                <w:lang w:val="en-US"/>
              </w:rPr>
              <w:t>Renewal</w:t>
            </w:r>
          </w:p>
        </w:tc>
        <w:tc>
          <w:tcPr>
            <w:tcW w:w="1559" w:type="dxa"/>
          </w:tcPr>
          <w:p w:rsidR="00CA3B52" w:rsidRDefault="00CA3B52" w:rsidP="002D1D5C">
            <w:pPr>
              <w:jc w:val="center"/>
              <w:rPr>
                <w:lang w:val="en-US"/>
              </w:rPr>
            </w:pPr>
            <w:r w:rsidRPr="00DF737B">
              <w:rPr>
                <w:lang w:val="en-US"/>
              </w:rPr>
              <w:t>Duplicata</w:t>
            </w:r>
          </w:p>
        </w:tc>
      </w:tr>
      <w:tr w:rsidR="00CA3B52" w:rsidTr="002D1D5C">
        <w:tc>
          <w:tcPr>
            <w:tcW w:w="4253" w:type="dxa"/>
          </w:tcPr>
          <w:p w:rsidR="00CA3B52" w:rsidRDefault="00CA3B52" w:rsidP="002D1D5C">
            <w:pPr>
              <w:jc w:val="left"/>
              <w:rPr>
                <w:lang w:val="en-US"/>
              </w:rPr>
            </w:pPr>
            <w:r w:rsidRPr="00CB6CBA">
              <w:rPr>
                <w:lang w:val="en-US"/>
              </w:rPr>
              <w:t>1</w:t>
            </w:r>
            <w:r>
              <w:rPr>
                <w:lang w:val="en-US"/>
              </w:rPr>
              <w:t>.</w:t>
            </w:r>
            <w:r w:rsidRPr="00CB6CBA">
              <w:rPr>
                <w:lang w:val="en-US"/>
              </w:rPr>
              <w:t xml:space="preserve"> Amateur station aeronautic or ship</w:t>
            </w:r>
          </w:p>
        </w:tc>
        <w:tc>
          <w:tcPr>
            <w:tcW w:w="1984" w:type="dxa"/>
          </w:tcPr>
          <w:p w:rsidR="00CA3B52" w:rsidRDefault="00CA3B52" w:rsidP="002D1D5C">
            <w:pPr>
              <w:tabs>
                <w:tab w:val="clear" w:pos="794"/>
                <w:tab w:val="clear" w:pos="1191"/>
                <w:tab w:val="clear" w:pos="1588"/>
                <w:tab w:val="clear" w:pos="1985"/>
                <w:tab w:val="decimal" w:pos="850"/>
              </w:tabs>
              <w:jc w:val="left"/>
              <w:rPr>
                <w:lang w:val="en-US"/>
              </w:rPr>
            </w:pPr>
            <w:r w:rsidRPr="00CB6CBA">
              <w:rPr>
                <w:lang w:val="en-US"/>
              </w:rPr>
              <w:t>5 800</w:t>
            </w:r>
          </w:p>
        </w:tc>
        <w:tc>
          <w:tcPr>
            <w:tcW w:w="1843" w:type="dxa"/>
          </w:tcPr>
          <w:p w:rsidR="00CA3B52" w:rsidRDefault="00CA3B52" w:rsidP="002D1D5C">
            <w:pPr>
              <w:tabs>
                <w:tab w:val="clear" w:pos="794"/>
                <w:tab w:val="clear" w:pos="1191"/>
                <w:tab w:val="clear" w:pos="1588"/>
                <w:tab w:val="clear" w:pos="1985"/>
                <w:tab w:val="decimal" w:pos="851"/>
              </w:tabs>
              <w:jc w:val="left"/>
              <w:rPr>
                <w:lang w:val="en-US"/>
              </w:rPr>
            </w:pPr>
            <w:r w:rsidRPr="00CB6CBA">
              <w:rPr>
                <w:lang w:val="en-US"/>
              </w:rPr>
              <w:t>5 800</w:t>
            </w:r>
          </w:p>
        </w:tc>
        <w:tc>
          <w:tcPr>
            <w:tcW w:w="1559" w:type="dxa"/>
          </w:tcPr>
          <w:p w:rsidR="00CA3B52" w:rsidRPr="00CB6CBA" w:rsidRDefault="00CA3B52" w:rsidP="002D1D5C">
            <w:pPr>
              <w:tabs>
                <w:tab w:val="clear" w:pos="794"/>
                <w:tab w:val="clear" w:pos="1191"/>
                <w:tab w:val="clear" w:pos="1588"/>
                <w:tab w:val="clear" w:pos="1985"/>
                <w:tab w:val="decimal" w:pos="709"/>
              </w:tabs>
              <w:jc w:val="left"/>
              <w:rPr>
                <w:lang w:val="en-US"/>
              </w:rPr>
            </w:pPr>
            <w:r w:rsidRPr="00CB6CBA">
              <w:rPr>
                <w:lang w:val="en-US"/>
              </w:rPr>
              <w:t>11</w:t>
            </w:r>
            <w:r>
              <w:rPr>
                <w:lang w:val="en-US"/>
              </w:rPr>
              <w:t xml:space="preserve"> </w:t>
            </w:r>
            <w:r w:rsidRPr="00CB6CBA">
              <w:rPr>
                <w:lang w:val="en-US"/>
              </w:rPr>
              <w:t>600</w:t>
            </w:r>
          </w:p>
        </w:tc>
      </w:tr>
      <w:tr w:rsidR="00CA3B52" w:rsidTr="002D1D5C">
        <w:tc>
          <w:tcPr>
            <w:tcW w:w="4253" w:type="dxa"/>
          </w:tcPr>
          <w:p w:rsidR="00CA3B52" w:rsidRDefault="00CA3B52" w:rsidP="002D1D5C">
            <w:pPr>
              <w:jc w:val="left"/>
              <w:rPr>
                <w:lang w:val="en-US"/>
              </w:rPr>
            </w:pPr>
            <w:r w:rsidRPr="00CB6CBA">
              <w:rPr>
                <w:lang w:val="en-US"/>
              </w:rPr>
              <w:t>2. Amateur Earth Station aeronautic/Ship</w:t>
            </w:r>
          </w:p>
        </w:tc>
        <w:tc>
          <w:tcPr>
            <w:tcW w:w="1984" w:type="dxa"/>
          </w:tcPr>
          <w:p w:rsidR="00CA3B52" w:rsidRDefault="00CA3B52" w:rsidP="002D1D5C">
            <w:pPr>
              <w:tabs>
                <w:tab w:val="clear" w:pos="794"/>
                <w:tab w:val="clear" w:pos="1191"/>
                <w:tab w:val="clear" w:pos="1588"/>
                <w:tab w:val="clear" w:pos="1985"/>
                <w:tab w:val="decimal" w:pos="850"/>
              </w:tabs>
              <w:jc w:val="left"/>
              <w:rPr>
                <w:lang w:val="en-US"/>
              </w:rPr>
            </w:pPr>
            <w:r w:rsidRPr="00CB6CBA">
              <w:rPr>
                <w:lang w:val="en-US"/>
              </w:rPr>
              <w:t>11</w:t>
            </w:r>
            <w:r>
              <w:rPr>
                <w:lang w:val="en-US"/>
              </w:rPr>
              <w:t xml:space="preserve"> </w:t>
            </w:r>
            <w:r w:rsidRPr="00CB6CBA">
              <w:rPr>
                <w:lang w:val="en-US"/>
              </w:rPr>
              <w:t>600</w:t>
            </w:r>
          </w:p>
        </w:tc>
        <w:tc>
          <w:tcPr>
            <w:tcW w:w="1843" w:type="dxa"/>
          </w:tcPr>
          <w:p w:rsidR="00CA3B52" w:rsidRDefault="00CA3B52" w:rsidP="002D1D5C">
            <w:pPr>
              <w:tabs>
                <w:tab w:val="clear" w:pos="794"/>
                <w:tab w:val="clear" w:pos="1191"/>
                <w:tab w:val="clear" w:pos="1588"/>
                <w:tab w:val="clear" w:pos="1985"/>
                <w:tab w:val="decimal" w:pos="851"/>
              </w:tabs>
              <w:jc w:val="left"/>
              <w:rPr>
                <w:lang w:val="en-US"/>
              </w:rPr>
            </w:pPr>
            <w:r w:rsidRPr="00CB6CBA">
              <w:rPr>
                <w:lang w:val="en-US"/>
              </w:rPr>
              <w:t>11</w:t>
            </w:r>
            <w:r>
              <w:rPr>
                <w:lang w:val="en-US"/>
              </w:rPr>
              <w:t xml:space="preserve"> </w:t>
            </w:r>
            <w:r w:rsidRPr="00CB6CBA">
              <w:rPr>
                <w:lang w:val="en-US"/>
              </w:rPr>
              <w:t>600</w:t>
            </w:r>
          </w:p>
        </w:tc>
        <w:tc>
          <w:tcPr>
            <w:tcW w:w="1559" w:type="dxa"/>
          </w:tcPr>
          <w:p w:rsidR="00CA3B52" w:rsidRDefault="00CA3B52" w:rsidP="002D1D5C">
            <w:pPr>
              <w:tabs>
                <w:tab w:val="clear" w:pos="794"/>
                <w:tab w:val="clear" w:pos="1191"/>
                <w:tab w:val="clear" w:pos="1588"/>
                <w:tab w:val="clear" w:pos="1985"/>
                <w:tab w:val="decimal" w:pos="709"/>
              </w:tabs>
              <w:jc w:val="left"/>
              <w:rPr>
                <w:lang w:val="en-US"/>
              </w:rPr>
            </w:pPr>
            <w:r w:rsidRPr="00CB6CBA">
              <w:rPr>
                <w:lang w:val="en-US"/>
              </w:rPr>
              <w:t>23</w:t>
            </w:r>
            <w:r>
              <w:rPr>
                <w:lang w:val="en-US"/>
              </w:rPr>
              <w:t xml:space="preserve"> </w:t>
            </w:r>
            <w:r w:rsidRPr="00CB6CBA">
              <w:rPr>
                <w:lang w:val="en-US"/>
              </w:rPr>
              <w:t>200</w:t>
            </w:r>
          </w:p>
        </w:tc>
      </w:tr>
      <w:tr w:rsidR="00CA3B52" w:rsidTr="002D1D5C">
        <w:tc>
          <w:tcPr>
            <w:tcW w:w="4253" w:type="dxa"/>
          </w:tcPr>
          <w:p w:rsidR="00CA3B52" w:rsidRPr="00CB6CBA" w:rsidRDefault="00CA3B52" w:rsidP="002D1D5C">
            <w:pPr>
              <w:jc w:val="left"/>
              <w:rPr>
                <w:lang w:val="en-US"/>
              </w:rPr>
            </w:pPr>
            <w:r w:rsidRPr="00CB6CBA">
              <w:rPr>
                <w:lang w:val="en-US"/>
              </w:rPr>
              <w:t>3. Operator’s certificate</w:t>
            </w:r>
          </w:p>
        </w:tc>
        <w:tc>
          <w:tcPr>
            <w:tcW w:w="1984" w:type="dxa"/>
          </w:tcPr>
          <w:p w:rsidR="00CA3B52" w:rsidRPr="00CB6CBA" w:rsidRDefault="00CA3B52" w:rsidP="002D1D5C">
            <w:pPr>
              <w:tabs>
                <w:tab w:val="clear" w:pos="794"/>
                <w:tab w:val="clear" w:pos="1191"/>
                <w:tab w:val="clear" w:pos="1588"/>
                <w:tab w:val="clear" w:pos="1985"/>
                <w:tab w:val="decimal" w:pos="850"/>
              </w:tabs>
              <w:jc w:val="left"/>
              <w:rPr>
                <w:lang w:val="en-US"/>
              </w:rPr>
            </w:pPr>
            <w:r w:rsidRPr="00CB6CBA">
              <w:rPr>
                <w:lang w:val="en-US"/>
              </w:rPr>
              <w:t>5 800</w:t>
            </w:r>
          </w:p>
        </w:tc>
        <w:tc>
          <w:tcPr>
            <w:tcW w:w="1843" w:type="dxa"/>
          </w:tcPr>
          <w:p w:rsidR="00CA3B52" w:rsidRPr="00CB6CBA" w:rsidRDefault="00CA3B52" w:rsidP="002D1D5C">
            <w:pPr>
              <w:tabs>
                <w:tab w:val="clear" w:pos="794"/>
                <w:tab w:val="clear" w:pos="1191"/>
                <w:tab w:val="clear" w:pos="1588"/>
                <w:tab w:val="clear" w:pos="1985"/>
                <w:tab w:val="decimal" w:pos="851"/>
              </w:tabs>
              <w:jc w:val="left"/>
              <w:rPr>
                <w:lang w:val="en-US"/>
              </w:rPr>
            </w:pPr>
            <w:r>
              <w:rPr>
                <w:lang w:val="en-US"/>
              </w:rPr>
              <w:t>–</w:t>
            </w:r>
          </w:p>
        </w:tc>
        <w:tc>
          <w:tcPr>
            <w:tcW w:w="1559" w:type="dxa"/>
          </w:tcPr>
          <w:p w:rsidR="00CA3B52" w:rsidRPr="00CB6CBA" w:rsidRDefault="00CA3B52" w:rsidP="002D1D5C">
            <w:pPr>
              <w:tabs>
                <w:tab w:val="clear" w:pos="794"/>
                <w:tab w:val="clear" w:pos="1191"/>
                <w:tab w:val="clear" w:pos="1588"/>
                <w:tab w:val="clear" w:pos="1985"/>
                <w:tab w:val="decimal" w:pos="709"/>
              </w:tabs>
              <w:jc w:val="left"/>
              <w:rPr>
                <w:lang w:val="en-US"/>
              </w:rPr>
            </w:pPr>
            <w:r w:rsidRPr="00CB6CBA">
              <w:rPr>
                <w:lang w:val="en-US"/>
              </w:rPr>
              <w:t>11 600</w:t>
            </w:r>
          </w:p>
        </w:tc>
      </w:tr>
    </w:tbl>
    <w:p w:rsidR="00CA3B52" w:rsidRPr="00CB6CBA" w:rsidRDefault="00CA3B52" w:rsidP="00CA3B52">
      <w:pPr>
        <w:pStyle w:val="Headingi"/>
        <w:rPr>
          <w:lang w:val="en-US"/>
        </w:rPr>
      </w:pPr>
      <w:bookmarkStart w:id="2036" w:name="_Toc289868895"/>
      <w:bookmarkStart w:id="2037" w:name="_Toc289869054"/>
      <w:bookmarkStart w:id="2038" w:name="_Toc289932360"/>
      <w:bookmarkStart w:id="2039" w:name="_Toc291852971"/>
      <w:bookmarkStart w:id="2040" w:name="_Toc392515955"/>
      <w:r w:rsidRPr="00CB6CBA">
        <w:rPr>
          <w:lang w:val="en-US"/>
        </w:rPr>
        <w:lastRenderedPageBreak/>
        <w:t>III.</w:t>
      </w:r>
      <w:r w:rsidRPr="00CB6CBA">
        <w:rPr>
          <w:lang w:val="en-US"/>
        </w:rPr>
        <w:tab/>
        <w:t>EXAM FEES FOR THE ISSUE OF OPERATOR’S CERTIFICATE</w:t>
      </w:r>
      <w:bookmarkEnd w:id="2036"/>
      <w:bookmarkEnd w:id="2037"/>
      <w:bookmarkEnd w:id="2038"/>
      <w:bookmarkEnd w:id="2039"/>
      <w:bookmarkEnd w:id="2040"/>
    </w:p>
    <w:p w:rsidR="00CA3B52" w:rsidRPr="00CB6CBA" w:rsidRDefault="00CA3B52" w:rsidP="00CA3B52">
      <w:pPr>
        <w:rPr>
          <w:lang w:val="en-US"/>
        </w:rPr>
      </w:pPr>
      <w:r w:rsidRPr="00CB6CBA">
        <w:rPr>
          <w:lang w:val="en-US"/>
        </w:rPr>
        <w:t>1.</w:t>
      </w:r>
      <w:r>
        <w:rPr>
          <w:lang w:val="en-US"/>
        </w:rPr>
        <w:t xml:space="preserve"> </w:t>
      </w:r>
      <w:r w:rsidRPr="00CB6CBA">
        <w:rPr>
          <w:lang w:val="en-US"/>
        </w:rPr>
        <w:t>Radiotelegraphic operator for ship station</w:t>
      </w:r>
      <w:r w:rsidRPr="00CB6CBA">
        <w:rPr>
          <w:lang w:val="en-US"/>
        </w:rPr>
        <w:tab/>
      </w:r>
    </w:p>
    <w:p w:rsidR="00CA3B52" w:rsidRPr="00CB6CBA" w:rsidRDefault="00CA3B52" w:rsidP="00CA3B52">
      <w:pPr>
        <w:rPr>
          <w:lang w:val="en-US"/>
        </w:rPr>
      </w:pPr>
      <w:r w:rsidRPr="00CB6CBA">
        <w:rPr>
          <w:lang w:val="en-US"/>
        </w:rPr>
        <w:t>a. General certificate for radiocommunications operator</w:t>
      </w:r>
      <w:r w:rsidRPr="00CB6CBA">
        <w:rPr>
          <w:lang w:val="en-US"/>
        </w:rPr>
        <w:tab/>
      </w:r>
      <w:r w:rsidRPr="00CB6CBA">
        <w:rPr>
          <w:lang w:val="en-US"/>
        </w:rPr>
        <w:tab/>
        <w:t>58 000F</w:t>
      </w:r>
    </w:p>
    <w:p w:rsidR="00CA3B52" w:rsidRPr="00CB6CBA" w:rsidRDefault="00CA3B52" w:rsidP="00CA3B52">
      <w:pPr>
        <w:rPr>
          <w:lang w:val="en-US"/>
        </w:rPr>
      </w:pPr>
      <w:r w:rsidRPr="00CB6CBA">
        <w:rPr>
          <w:lang w:val="en-US"/>
        </w:rPr>
        <w:t>b. First class radiotelegraphic operator</w:t>
      </w:r>
      <w:r w:rsidRPr="00CB6CBA">
        <w:rPr>
          <w:lang w:val="en-US"/>
        </w:rPr>
        <w:tab/>
      </w:r>
      <w:r w:rsidRPr="00CB6CBA">
        <w:rPr>
          <w:lang w:val="en-US"/>
        </w:rPr>
        <w:tab/>
      </w:r>
      <w:r w:rsidRPr="00CB6CBA">
        <w:rPr>
          <w:lang w:val="en-US"/>
        </w:rPr>
        <w:tab/>
      </w:r>
      <w:r w:rsidRPr="00CB6CBA">
        <w:rPr>
          <w:lang w:val="en-US"/>
        </w:rPr>
        <w:tab/>
        <w:t>29 000F</w:t>
      </w:r>
    </w:p>
    <w:p w:rsidR="00CA3B52" w:rsidRPr="00CB6CBA" w:rsidRDefault="00CA3B52" w:rsidP="00CA3B52">
      <w:pPr>
        <w:rPr>
          <w:lang w:val="en-US"/>
        </w:rPr>
      </w:pPr>
      <w:r w:rsidRPr="00CB6CBA">
        <w:rPr>
          <w:lang w:val="en-US"/>
        </w:rPr>
        <w:t xml:space="preserve">c. Second class radiotelegraphic </w:t>
      </w:r>
      <w:r>
        <w:rPr>
          <w:lang w:val="en-US"/>
        </w:rPr>
        <w:t>o</w:t>
      </w:r>
      <w:r w:rsidRPr="00CB6CBA">
        <w:rPr>
          <w:lang w:val="en-US"/>
        </w:rPr>
        <w:t>perator</w:t>
      </w:r>
      <w:r w:rsidRPr="00CB6CBA">
        <w:rPr>
          <w:lang w:val="en-US"/>
        </w:rPr>
        <w:tab/>
      </w:r>
      <w:r w:rsidRPr="00CB6CBA">
        <w:rPr>
          <w:lang w:val="en-US"/>
        </w:rPr>
        <w:tab/>
      </w:r>
      <w:r w:rsidRPr="00CB6CBA">
        <w:rPr>
          <w:lang w:val="en-US"/>
        </w:rPr>
        <w:tab/>
      </w:r>
      <w:r w:rsidRPr="00CB6CBA">
        <w:rPr>
          <w:lang w:val="en-US"/>
        </w:rPr>
        <w:tab/>
        <w:t>29 000F</w:t>
      </w:r>
    </w:p>
    <w:p w:rsidR="00CA3B52" w:rsidRPr="00CB6CBA" w:rsidRDefault="00CA3B52" w:rsidP="00CA3B52">
      <w:pPr>
        <w:rPr>
          <w:lang w:val="en-US"/>
        </w:rPr>
      </w:pPr>
      <w:r w:rsidRPr="00CB6CBA">
        <w:rPr>
          <w:lang w:val="en-US"/>
        </w:rPr>
        <w:t xml:space="preserve">d. Special radiotelegraphic </w:t>
      </w:r>
      <w:r>
        <w:rPr>
          <w:lang w:val="en-US"/>
        </w:rPr>
        <w:t>o</w:t>
      </w:r>
      <w:r w:rsidRPr="00CB6CBA">
        <w:rPr>
          <w:lang w:val="en-US"/>
        </w:rPr>
        <w:t>perator certificate</w:t>
      </w:r>
      <w:r w:rsidRPr="00CB6CBA">
        <w:rPr>
          <w:lang w:val="en-US"/>
        </w:rPr>
        <w:tab/>
      </w:r>
      <w:r w:rsidRPr="00CB6CBA">
        <w:rPr>
          <w:lang w:val="en-US"/>
        </w:rPr>
        <w:tab/>
      </w:r>
      <w:r w:rsidRPr="00CB6CBA">
        <w:rPr>
          <w:lang w:val="en-US"/>
        </w:rPr>
        <w:tab/>
        <w:t>29 000F</w:t>
      </w:r>
    </w:p>
    <w:p w:rsidR="00CA3B52" w:rsidRPr="00CB6CBA" w:rsidRDefault="00CA3B52" w:rsidP="00CA3B52">
      <w:pPr>
        <w:rPr>
          <w:lang w:val="en-US"/>
        </w:rPr>
      </w:pPr>
      <w:r w:rsidRPr="00CB6CBA">
        <w:rPr>
          <w:lang w:val="en-US"/>
        </w:rPr>
        <w:t>2.</w:t>
      </w:r>
      <w:r>
        <w:rPr>
          <w:lang w:val="en-US"/>
        </w:rPr>
        <w:t xml:space="preserve"> </w:t>
      </w:r>
      <w:r w:rsidRPr="00CB6CBA">
        <w:rPr>
          <w:lang w:val="en-US"/>
        </w:rPr>
        <w:t>Radiotelegraphist for aeronautic or ship stations</w:t>
      </w:r>
    </w:p>
    <w:p w:rsidR="00CA3B52" w:rsidRPr="00CB6CBA" w:rsidRDefault="00CA3B52" w:rsidP="00CA3B52">
      <w:pPr>
        <w:rPr>
          <w:lang w:val="en-US"/>
        </w:rPr>
      </w:pPr>
      <w:r w:rsidRPr="00CB6CBA">
        <w:rPr>
          <w:lang w:val="en-US"/>
        </w:rPr>
        <w:t>a. General certificate</w:t>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t>14 500F</w:t>
      </w:r>
    </w:p>
    <w:p w:rsidR="00CA3B52" w:rsidRPr="00CB6CBA" w:rsidRDefault="00CA3B52" w:rsidP="00CA3B52">
      <w:pPr>
        <w:rPr>
          <w:lang w:val="en-US"/>
        </w:rPr>
      </w:pPr>
      <w:r w:rsidRPr="00CB6CBA">
        <w:rPr>
          <w:lang w:val="en-US"/>
        </w:rPr>
        <w:t>b. Restricted certificate</w:t>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t>14 500F</w:t>
      </w:r>
    </w:p>
    <w:p w:rsidR="00CA3B52" w:rsidRPr="00CB6CBA" w:rsidRDefault="00CA3B52" w:rsidP="00CA3B52">
      <w:pPr>
        <w:rPr>
          <w:lang w:val="en-US"/>
        </w:rPr>
      </w:pPr>
      <w:r w:rsidRPr="00CB6CBA">
        <w:rPr>
          <w:lang w:val="en-US"/>
        </w:rPr>
        <w:t>3.</w:t>
      </w:r>
      <w:r>
        <w:rPr>
          <w:lang w:val="en-US"/>
        </w:rPr>
        <w:t xml:space="preserve"> </w:t>
      </w:r>
      <w:r w:rsidRPr="00CB6CBA">
        <w:rPr>
          <w:lang w:val="en-US"/>
        </w:rPr>
        <w:t>Operator’s certificate for Radio amateur station</w:t>
      </w:r>
    </w:p>
    <w:p w:rsidR="00CA3B52" w:rsidRPr="00CB6CBA" w:rsidRDefault="00CA3B52" w:rsidP="00CA3B52">
      <w:pPr>
        <w:rPr>
          <w:lang w:val="en-US"/>
        </w:rPr>
      </w:pPr>
      <w:r w:rsidRPr="00CB6CBA">
        <w:rPr>
          <w:lang w:val="en-US"/>
        </w:rPr>
        <w:t>a. Radiotelegraphist</w:t>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Pr>
          <w:lang w:val="en-US"/>
        </w:rPr>
        <w:tab/>
      </w:r>
      <w:r w:rsidRPr="00CB6CBA">
        <w:rPr>
          <w:lang w:val="en-US"/>
        </w:rPr>
        <w:t>14 500F</w:t>
      </w:r>
    </w:p>
    <w:p w:rsidR="00CA3B52" w:rsidRPr="00CB6CBA" w:rsidRDefault="00CA3B52" w:rsidP="00CA3B52">
      <w:pPr>
        <w:rPr>
          <w:lang w:val="en-US"/>
        </w:rPr>
      </w:pPr>
      <w:r w:rsidRPr="00CB6CBA">
        <w:rPr>
          <w:lang w:val="en-US"/>
        </w:rPr>
        <w:t>b. Radiotelephonic operator</w:t>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t>14 500F</w:t>
      </w:r>
    </w:p>
    <w:p w:rsidR="00CA3B52" w:rsidRPr="00CB6CBA" w:rsidRDefault="00CA3B52" w:rsidP="00F65451">
      <w:pPr>
        <w:pStyle w:val="Headingi"/>
        <w:rPr>
          <w:lang w:val="en-US"/>
        </w:rPr>
      </w:pPr>
      <w:bookmarkStart w:id="2041" w:name="_Toc289868896"/>
      <w:bookmarkStart w:id="2042" w:name="_Toc289869055"/>
      <w:bookmarkStart w:id="2043" w:name="_Toc289932361"/>
      <w:bookmarkStart w:id="2044" w:name="_Toc291852972"/>
      <w:bookmarkStart w:id="2045" w:name="_Toc392515956"/>
      <w:r w:rsidRPr="00CB6CBA">
        <w:rPr>
          <w:lang w:val="en-US"/>
        </w:rPr>
        <w:t>IV.</w:t>
      </w:r>
      <w:r w:rsidRPr="00CB6CBA">
        <w:rPr>
          <w:lang w:val="en-US"/>
        </w:rPr>
        <w:tab/>
        <w:t>FEES FOR THE ISSUANCE OF AUTHORIZATIONS</w:t>
      </w:r>
      <w:bookmarkEnd w:id="2041"/>
      <w:bookmarkEnd w:id="2042"/>
      <w:bookmarkEnd w:id="2043"/>
      <w:bookmarkEnd w:id="2044"/>
      <w:bookmarkEnd w:id="2045"/>
    </w:p>
    <w:p w:rsidR="00CA3B52" w:rsidRPr="00CB6CBA" w:rsidRDefault="00CA3B52" w:rsidP="00F65451">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sidRPr="00CB6CBA">
        <w:rPr>
          <w:lang w:val="en-US"/>
        </w:rPr>
        <w:t>Fees for compiling file    Authorization charge</w:t>
      </w:r>
    </w:p>
    <w:p w:rsidR="00CA3B52" w:rsidRPr="00D2341F" w:rsidRDefault="00CA3B52" w:rsidP="00CA3B52">
      <w:pPr>
        <w:rPr>
          <w:lang w:val="de-CH"/>
        </w:rPr>
      </w:pPr>
      <w:r w:rsidRPr="00D2341F">
        <w:rPr>
          <w:lang w:val="de-CH"/>
        </w:rPr>
        <w:t>1. Private installer</w:t>
      </w:r>
      <w:r w:rsidRPr="00D2341F">
        <w:rPr>
          <w:lang w:val="de-CH"/>
        </w:rPr>
        <w:tab/>
      </w:r>
      <w:r w:rsidRPr="00D2341F">
        <w:rPr>
          <w:lang w:val="de-CH"/>
        </w:rPr>
        <w:tab/>
      </w:r>
      <w:r w:rsidRPr="00D2341F">
        <w:rPr>
          <w:lang w:val="de-CH"/>
        </w:rPr>
        <w:tab/>
      </w:r>
      <w:r w:rsidRPr="00D2341F">
        <w:rPr>
          <w:lang w:val="de-CH"/>
        </w:rPr>
        <w:tab/>
      </w:r>
      <w:r w:rsidRPr="00D2341F">
        <w:rPr>
          <w:lang w:val="de-CH"/>
        </w:rPr>
        <w:tab/>
        <w:t xml:space="preserve">58 000F </w:t>
      </w:r>
      <w:r w:rsidRPr="00D2341F">
        <w:rPr>
          <w:lang w:val="de-CH"/>
        </w:rPr>
        <w:tab/>
      </w:r>
      <w:r w:rsidRPr="00D2341F">
        <w:rPr>
          <w:lang w:val="de-CH"/>
        </w:rPr>
        <w:tab/>
        <w:t>348 000F</w:t>
      </w:r>
    </w:p>
    <w:p w:rsidR="00CA3B52" w:rsidRPr="00D2341F" w:rsidRDefault="00CA3B52" w:rsidP="00CA3B52">
      <w:pPr>
        <w:rPr>
          <w:lang w:val="de-CH"/>
        </w:rPr>
      </w:pPr>
      <w:r w:rsidRPr="00D2341F">
        <w:rPr>
          <w:lang w:val="de-CH"/>
        </w:rPr>
        <w:t>2. Reseller</w:t>
      </w:r>
      <w:r w:rsidRPr="00D2341F">
        <w:rPr>
          <w:lang w:val="de-CH"/>
        </w:rPr>
        <w:tab/>
      </w:r>
      <w:r w:rsidRPr="00D2341F">
        <w:rPr>
          <w:lang w:val="de-CH"/>
        </w:rPr>
        <w:tab/>
      </w:r>
      <w:r w:rsidRPr="00D2341F">
        <w:rPr>
          <w:lang w:val="de-CH"/>
        </w:rPr>
        <w:tab/>
      </w:r>
      <w:r w:rsidRPr="00D2341F">
        <w:rPr>
          <w:lang w:val="de-CH"/>
        </w:rPr>
        <w:tab/>
      </w:r>
      <w:r w:rsidRPr="00D2341F">
        <w:rPr>
          <w:lang w:val="de-CH"/>
        </w:rPr>
        <w:tab/>
      </w:r>
      <w:r w:rsidRPr="00D2341F">
        <w:rPr>
          <w:lang w:val="de-CH"/>
        </w:rPr>
        <w:tab/>
      </w:r>
      <w:r w:rsidRPr="00D2341F">
        <w:rPr>
          <w:lang w:val="de-CH"/>
        </w:rPr>
        <w:tab/>
        <w:t>58 000F</w:t>
      </w:r>
      <w:r w:rsidRPr="00D2341F">
        <w:rPr>
          <w:lang w:val="de-CH"/>
        </w:rPr>
        <w:tab/>
      </w:r>
      <w:r w:rsidRPr="00D2341F">
        <w:rPr>
          <w:lang w:val="de-CH"/>
        </w:rPr>
        <w:tab/>
        <w:t>145 000F</w:t>
      </w:r>
    </w:p>
    <w:p w:rsidR="00CA3B52" w:rsidRPr="00CB6CBA" w:rsidRDefault="00CA3B52" w:rsidP="00CA3B52">
      <w:pPr>
        <w:rPr>
          <w:lang w:val="en-US"/>
        </w:rPr>
      </w:pPr>
      <w:r w:rsidRPr="00CB6CBA">
        <w:rPr>
          <w:lang w:val="en-US"/>
        </w:rPr>
        <w:t>3. Simple Terminal Equipment</w:t>
      </w:r>
      <w:r w:rsidRPr="00CB6CBA">
        <w:rPr>
          <w:lang w:val="en-US"/>
        </w:rPr>
        <w:tab/>
      </w:r>
      <w:r>
        <w:rPr>
          <w:lang w:val="en-US"/>
        </w:rPr>
        <w:tab/>
        <w:t xml:space="preserve">  </w:t>
      </w:r>
      <w:r w:rsidRPr="00CB6CBA">
        <w:rPr>
          <w:lang w:val="en-US"/>
        </w:rPr>
        <w:t>5 800F</w:t>
      </w:r>
      <w:r w:rsidRPr="00CB6CBA">
        <w:rPr>
          <w:lang w:val="en-US"/>
        </w:rPr>
        <w:tab/>
      </w:r>
      <w:r w:rsidRPr="00CB6CBA">
        <w:rPr>
          <w:lang w:val="en-US"/>
        </w:rPr>
        <w:tab/>
      </w:r>
      <w:r>
        <w:rPr>
          <w:lang w:val="en-US"/>
        </w:rPr>
        <w:t xml:space="preserve">  </w:t>
      </w:r>
      <w:r w:rsidRPr="00CB6CBA">
        <w:rPr>
          <w:lang w:val="en-US"/>
        </w:rPr>
        <w:t>58 000F</w:t>
      </w:r>
    </w:p>
    <w:p w:rsidR="00CA3B52" w:rsidRPr="00CB6CBA" w:rsidRDefault="00CA3B52" w:rsidP="00CA3B52">
      <w:pPr>
        <w:rPr>
          <w:lang w:val="en-US"/>
        </w:rPr>
      </w:pPr>
      <w:r w:rsidRPr="00CB6CBA">
        <w:rPr>
          <w:lang w:val="en-US"/>
        </w:rPr>
        <w:t>4. Complex Terminal Equipment</w:t>
      </w:r>
      <w:r w:rsidRPr="00CB6CBA">
        <w:rPr>
          <w:lang w:val="en-US"/>
        </w:rPr>
        <w:tab/>
      </w:r>
      <w:r>
        <w:rPr>
          <w:lang w:val="en-US"/>
        </w:rPr>
        <w:tab/>
      </w:r>
      <w:r w:rsidRPr="00CB6CBA">
        <w:rPr>
          <w:lang w:val="en-US"/>
        </w:rPr>
        <w:t>11 600F</w:t>
      </w:r>
      <w:r w:rsidRPr="00CB6CBA">
        <w:rPr>
          <w:lang w:val="en-US"/>
        </w:rPr>
        <w:tab/>
      </w:r>
      <w:r w:rsidRPr="00CB6CBA">
        <w:rPr>
          <w:lang w:val="en-US"/>
        </w:rPr>
        <w:tab/>
        <w:t>116 000F</w:t>
      </w:r>
    </w:p>
    <w:p w:rsidR="00CA3B52" w:rsidRPr="00CB6CBA" w:rsidRDefault="00CA3B52" w:rsidP="00F65451">
      <w:pPr>
        <w:pStyle w:val="Headingi"/>
        <w:rPr>
          <w:lang w:val="en-US"/>
        </w:rPr>
      </w:pPr>
      <w:bookmarkStart w:id="2046" w:name="_Toc289868897"/>
      <w:bookmarkStart w:id="2047" w:name="_Toc289869056"/>
      <w:bookmarkStart w:id="2048" w:name="_Toc289932362"/>
      <w:bookmarkStart w:id="2049" w:name="_Toc291852973"/>
      <w:bookmarkStart w:id="2050" w:name="_Toc392515957"/>
      <w:r w:rsidRPr="00CB6CBA">
        <w:rPr>
          <w:lang w:val="en-US"/>
        </w:rPr>
        <w:t>V.</w:t>
      </w:r>
      <w:r w:rsidRPr="00CB6CBA">
        <w:rPr>
          <w:lang w:val="en-US"/>
        </w:rPr>
        <w:tab/>
        <w:t>TAX FOR INTERVENING IN THE NETWORKS</w:t>
      </w:r>
      <w:bookmarkEnd w:id="2046"/>
      <w:bookmarkEnd w:id="2047"/>
      <w:bookmarkEnd w:id="2048"/>
      <w:bookmarkEnd w:id="2049"/>
      <w:bookmarkEnd w:id="2050"/>
    </w:p>
    <w:p w:rsidR="00CA3B52" w:rsidRPr="00CB6CBA" w:rsidRDefault="00CA3B52" w:rsidP="00CA3B52">
      <w:pPr>
        <w:rPr>
          <w:lang w:val="en-US"/>
        </w:rPr>
      </w:pPr>
      <w:r w:rsidRPr="00CB6CBA">
        <w:rPr>
          <w:lang w:val="en-US"/>
        </w:rPr>
        <w:t>1. Interference</w:t>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Pr>
          <w:lang w:val="en-US"/>
        </w:rPr>
        <w:tab/>
      </w:r>
      <w:r w:rsidRPr="00CB6CBA">
        <w:rPr>
          <w:lang w:val="en-US"/>
        </w:rPr>
        <w:tab/>
        <w:t>116 000F</w:t>
      </w:r>
    </w:p>
    <w:p w:rsidR="00CA3B52" w:rsidRPr="00CB6CBA" w:rsidRDefault="00CA3B52" w:rsidP="00CA3B52">
      <w:pPr>
        <w:rPr>
          <w:lang w:val="en-US"/>
        </w:rPr>
      </w:pPr>
      <w:r w:rsidRPr="00CB6CBA">
        <w:rPr>
          <w:lang w:val="en-US"/>
        </w:rPr>
        <w:t xml:space="preserve">2. Non conformity of installations </w:t>
      </w:r>
      <w:r w:rsidRPr="00CB6CBA">
        <w:rPr>
          <w:lang w:val="en-US"/>
        </w:rPr>
        <w:tab/>
      </w:r>
      <w:r w:rsidRPr="00CB6CBA">
        <w:rPr>
          <w:lang w:val="en-US"/>
        </w:rPr>
        <w:tab/>
      </w:r>
      <w:r w:rsidRPr="00CB6CBA">
        <w:rPr>
          <w:lang w:val="en-US"/>
        </w:rPr>
        <w:tab/>
      </w:r>
      <w:r w:rsidRPr="00CB6CBA">
        <w:rPr>
          <w:lang w:val="en-US"/>
        </w:rPr>
        <w:tab/>
      </w:r>
      <w:r w:rsidRPr="00CB6CBA">
        <w:rPr>
          <w:lang w:val="en-US"/>
        </w:rPr>
        <w:tab/>
        <w:t>145 000F</w:t>
      </w:r>
    </w:p>
    <w:p w:rsidR="00CA3B52" w:rsidRPr="00CB6CBA" w:rsidRDefault="00CA3B52" w:rsidP="00CA3B52">
      <w:pPr>
        <w:rPr>
          <w:lang w:val="en-US"/>
        </w:rPr>
      </w:pPr>
      <w:r w:rsidRPr="00CB6CBA">
        <w:rPr>
          <w:lang w:val="en-US"/>
        </w:rPr>
        <w:t>3. Miscellaneous</w:t>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Pr>
          <w:lang w:val="en-US"/>
        </w:rPr>
        <w:t xml:space="preserve">  </w:t>
      </w:r>
      <w:r w:rsidRPr="00CB6CBA">
        <w:rPr>
          <w:lang w:val="en-US"/>
        </w:rPr>
        <w:t>58 000F</w:t>
      </w:r>
    </w:p>
    <w:p w:rsidR="00CA3B52" w:rsidRPr="00CB6CBA" w:rsidRDefault="00CA3B52" w:rsidP="00F65451">
      <w:pPr>
        <w:pStyle w:val="Headingi"/>
        <w:rPr>
          <w:lang w:val="en-US"/>
        </w:rPr>
      </w:pPr>
      <w:bookmarkStart w:id="2051" w:name="_Toc289868898"/>
      <w:bookmarkStart w:id="2052" w:name="_Toc289869057"/>
      <w:bookmarkStart w:id="2053" w:name="_Toc289932363"/>
      <w:bookmarkStart w:id="2054" w:name="_Toc291852974"/>
      <w:bookmarkStart w:id="2055" w:name="_Toc392515958"/>
      <w:r w:rsidRPr="00CB6CBA">
        <w:rPr>
          <w:lang w:val="en-US"/>
        </w:rPr>
        <w:t>VI.</w:t>
      </w:r>
      <w:r w:rsidRPr="00CB6CBA">
        <w:rPr>
          <w:lang w:val="en-US"/>
        </w:rPr>
        <w:tab/>
        <w:t>LABELLING</w:t>
      </w:r>
      <w:bookmarkEnd w:id="2051"/>
      <w:bookmarkEnd w:id="2052"/>
      <w:bookmarkEnd w:id="2053"/>
      <w:bookmarkEnd w:id="2054"/>
      <w:bookmarkEnd w:id="2055"/>
    </w:p>
    <w:p w:rsidR="00CA3B52" w:rsidRPr="00CB6CBA" w:rsidRDefault="00CA3B52" w:rsidP="00CA3B52">
      <w:pPr>
        <w:rPr>
          <w:lang w:val="en-US"/>
        </w:rPr>
      </w:pPr>
      <w:r w:rsidRPr="00CB6CBA">
        <w:rPr>
          <w:lang w:val="en-US"/>
        </w:rPr>
        <w:t>1. Fixed set</w:t>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Pr>
          <w:lang w:val="en-US"/>
        </w:rPr>
        <w:tab/>
      </w:r>
      <w:r w:rsidRPr="00CB6CBA">
        <w:rPr>
          <w:lang w:val="en-US"/>
        </w:rPr>
        <w:tab/>
        <w:t>2 900F</w:t>
      </w:r>
    </w:p>
    <w:p w:rsidR="00CA3B52" w:rsidRPr="00CB6CBA" w:rsidRDefault="00CA3B52" w:rsidP="00CA3B52">
      <w:pPr>
        <w:rPr>
          <w:lang w:val="en-US"/>
        </w:rPr>
      </w:pPr>
      <w:r w:rsidRPr="00CB6CBA">
        <w:rPr>
          <w:lang w:val="en-US"/>
        </w:rPr>
        <w:t>2. Mobile set</w:t>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t>1 740F</w:t>
      </w:r>
    </w:p>
    <w:p w:rsidR="00CA3B52" w:rsidRPr="00CB6CBA" w:rsidRDefault="00CA3B52" w:rsidP="00CA3B52">
      <w:pPr>
        <w:rPr>
          <w:lang w:val="en-US"/>
        </w:rPr>
      </w:pPr>
      <w:r w:rsidRPr="00CB6CBA">
        <w:rPr>
          <w:lang w:val="en-US"/>
        </w:rPr>
        <w:t>3. Handheld set</w:t>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r>
      <w:r w:rsidRPr="00CB6CBA">
        <w:rPr>
          <w:lang w:val="en-US"/>
        </w:rPr>
        <w:tab/>
        <w:t>1 160F</w:t>
      </w:r>
      <w:r w:rsidRPr="00CB6CBA">
        <w:rPr>
          <w:lang w:val="en-US"/>
        </w:rPr>
        <w:tab/>
      </w:r>
    </w:p>
    <w:p w:rsidR="00CA3B52" w:rsidRDefault="00CA3B52" w:rsidP="00CA3B52">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CA3B52" w:rsidRPr="00CB6CBA" w:rsidRDefault="00CA3B52" w:rsidP="00CA3B52">
      <w:pPr>
        <w:pStyle w:val="Headingb"/>
        <w:jc w:val="center"/>
        <w:rPr>
          <w:lang w:val="en-US"/>
        </w:rPr>
      </w:pPr>
      <w:r w:rsidRPr="00CB6CBA">
        <w:rPr>
          <w:lang w:val="en-US"/>
        </w:rPr>
        <w:lastRenderedPageBreak/>
        <w:t>REPUBLIC OF COTE D’IVOIRE</w:t>
      </w:r>
    </w:p>
    <w:p w:rsidR="00CA3B52" w:rsidRPr="00CB6CBA" w:rsidRDefault="00CA3B52" w:rsidP="00CA3B52">
      <w:pPr>
        <w:pStyle w:val="Headingb"/>
        <w:jc w:val="center"/>
        <w:rPr>
          <w:lang w:val="en-US"/>
        </w:rPr>
      </w:pPr>
      <w:r w:rsidRPr="00CB6CBA">
        <w:rPr>
          <w:lang w:val="en-US"/>
        </w:rPr>
        <w:t>CONCESSIONARY CONVENTION</w:t>
      </w:r>
    </w:p>
    <w:p w:rsidR="00CA3B52" w:rsidRPr="00CB6CBA" w:rsidRDefault="00CA3B52" w:rsidP="00CA3B52">
      <w:pPr>
        <w:pStyle w:val="Headingb"/>
        <w:jc w:val="center"/>
        <w:rPr>
          <w:lang w:val="en-US"/>
        </w:rPr>
      </w:pPr>
      <w:r w:rsidRPr="00CB6CBA">
        <w:rPr>
          <w:lang w:val="en-US"/>
        </w:rPr>
        <w:t>ANNEX 15</w:t>
      </w:r>
    </w:p>
    <w:p w:rsidR="00CA3B52" w:rsidRPr="00CB6CBA" w:rsidRDefault="00CA3B52" w:rsidP="00CA3B52">
      <w:pPr>
        <w:pStyle w:val="Headingb"/>
        <w:jc w:val="center"/>
        <w:rPr>
          <w:lang w:val="en-US"/>
        </w:rPr>
      </w:pPr>
      <w:r w:rsidRPr="00CB6CBA">
        <w:rPr>
          <w:lang w:val="en-US"/>
        </w:rPr>
        <w:t xml:space="preserve">DRAFT DECREE FIXING FEES, TAXES AND </w:t>
      </w:r>
      <w:r>
        <w:rPr>
          <w:lang w:val="en-US"/>
        </w:rPr>
        <w:br/>
      </w:r>
      <w:r w:rsidRPr="00CB6CBA">
        <w:rPr>
          <w:lang w:val="en-US"/>
        </w:rPr>
        <w:t>CHARGES ON RADIOCOMMUNICATIONS</w:t>
      </w:r>
    </w:p>
    <w:p w:rsidR="00CA3B52" w:rsidRPr="00CB6CBA" w:rsidRDefault="00CA3B52" w:rsidP="00CA3B52">
      <w:pPr>
        <w:rPr>
          <w:lang w:val="en-US"/>
        </w:rPr>
      </w:pPr>
    </w:p>
    <w:p w:rsidR="00CA3B52" w:rsidRPr="00CB6CBA" w:rsidRDefault="00CA3B52" w:rsidP="00CA3B52">
      <w:pPr>
        <w:jc w:val="center"/>
        <w:rPr>
          <w:szCs w:val="24"/>
          <w:lang w:val="en-US"/>
        </w:rPr>
      </w:pPr>
      <w:r w:rsidRPr="00CB6CBA">
        <w:rPr>
          <w:szCs w:val="24"/>
          <w:lang w:val="en-US"/>
        </w:rPr>
        <w:t>REPUBLIC OF COTE D’IVOIRE</w:t>
      </w:r>
    </w:p>
    <w:p w:rsidR="00CA3B52" w:rsidRPr="00CB6CBA" w:rsidRDefault="00CA3B52" w:rsidP="00CA3B52">
      <w:pPr>
        <w:jc w:val="center"/>
        <w:rPr>
          <w:szCs w:val="24"/>
          <w:lang w:val="en-US"/>
        </w:rPr>
      </w:pPr>
      <w:r w:rsidRPr="00CB6CBA">
        <w:rPr>
          <w:szCs w:val="24"/>
          <w:lang w:val="en-US"/>
        </w:rPr>
        <w:t>Unity-Discipline-Work</w:t>
      </w:r>
    </w:p>
    <w:p w:rsidR="00CA3B52" w:rsidRPr="00CB6CBA" w:rsidRDefault="00CA3B52" w:rsidP="00CA3B52">
      <w:pPr>
        <w:rPr>
          <w:szCs w:val="24"/>
          <w:lang w:val="en-US"/>
        </w:rPr>
      </w:pPr>
    </w:p>
    <w:p w:rsidR="00CA3B52" w:rsidRPr="00CB6CBA" w:rsidRDefault="00CA3B52" w:rsidP="00F65451">
      <w:pPr>
        <w:rPr>
          <w:szCs w:val="24"/>
          <w:lang w:val="en-US"/>
        </w:rPr>
      </w:pPr>
      <w:r w:rsidRPr="00CB6CBA">
        <w:rPr>
          <w:szCs w:val="24"/>
          <w:lang w:val="en-US"/>
        </w:rPr>
        <w:t>Ministry of Economic</w:t>
      </w:r>
      <w:r>
        <w:rPr>
          <w:szCs w:val="24"/>
          <w:lang w:val="en-US"/>
        </w:rPr>
        <w:tab/>
      </w:r>
      <w:r>
        <w:rPr>
          <w:szCs w:val="24"/>
          <w:lang w:val="en-US"/>
        </w:rPr>
        <w:tab/>
      </w:r>
      <w:r>
        <w:rPr>
          <w:szCs w:val="24"/>
          <w:lang w:val="en-US"/>
        </w:rPr>
        <w:tab/>
      </w:r>
      <w:r>
        <w:rPr>
          <w:szCs w:val="24"/>
          <w:lang w:val="en-US"/>
        </w:rPr>
        <w:tab/>
      </w:r>
      <w:r w:rsidRPr="00CB6CBA">
        <w:rPr>
          <w:szCs w:val="24"/>
          <w:lang w:val="en-US"/>
        </w:rPr>
        <w:t>Ministry of Economy and Finances</w:t>
      </w:r>
    </w:p>
    <w:p w:rsidR="00CA3B52" w:rsidRPr="00CB6CBA" w:rsidRDefault="00CA3B52" w:rsidP="00F65451">
      <w:pPr>
        <w:rPr>
          <w:szCs w:val="24"/>
          <w:lang w:val="en-US"/>
        </w:rPr>
      </w:pPr>
      <w:r w:rsidRPr="00CB6CBA">
        <w:rPr>
          <w:szCs w:val="24"/>
          <w:lang w:val="en-US"/>
        </w:rPr>
        <w:t>Infrastructure</w:t>
      </w:r>
    </w:p>
    <w:p w:rsidR="00CA3B52" w:rsidRPr="00CB6CBA" w:rsidRDefault="00CA3B52" w:rsidP="00F65451">
      <w:pPr>
        <w:rPr>
          <w:lang w:val="en-US"/>
        </w:rPr>
      </w:pPr>
    </w:p>
    <w:p w:rsidR="00CA3B52" w:rsidRPr="00CB6CBA" w:rsidRDefault="00CA3B52" w:rsidP="00CA3B52">
      <w:pPr>
        <w:jc w:val="center"/>
        <w:rPr>
          <w:lang w:val="en-US"/>
        </w:rPr>
      </w:pPr>
      <w:r w:rsidRPr="00CB6CBA">
        <w:rPr>
          <w:lang w:val="en-US"/>
        </w:rPr>
        <w:t>ORDINANCE N° 97/173/ of 19/03/97 DEFINING FEES, TAXES AND CHARGES IN</w:t>
      </w:r>
      <w:r w:rsidRPr="00CB6CBA">
        <w:rPr>
          <w:lang w:val="en-US"/>
        </w:rPr>
        <w:br/>
        <w:t>RADIOCOMMUNICATION SERVICES</w:t>
      </w:r>
    </w:p>
    <w:p w:rsidR="00CA3B52" w:rsidRPr="00CB6CBA" w:rsidRDefault="00CA3B52" w:rsidP="00F65451">
      <w:pPr>
        <w:jc w:val="center"/>
        <w:rPr>
          <w:lang w:val="en-US"/>
        </w:rPr>
      </w:pPr>
      <w:r w:rsidRPr="00CB6CBA">
        <w:rPr>
          <w:lang w:val="en-US"/>
        </w:rPr>
        <w:t>THE PRESIDENT OF THE REPUBLIC</w:t>
      </w:r>
    </w:p>
    <w:p w:rsidR="00CA3B52" w:rsidRPr="00CB6CBA" w:rsidRDefault="00CA3B52" w:rsidP="00CA3B52">
      <w:pPr>
        <w:pStyle w:val="Normalaftertitle"/>
        <w:rPr>
          <w:lang w:val="en-US"/>
        </w:rPr>
      </w:pPr>
      <w:r w:rsidRPr="00CB6CBA">
        <w:rPr>
          <w:lang w:val="en-US"/>
        </w:rPr>
        <w:t>Considering the joint report of the Ministry of Economy and Finances and the Ministry of Economic Infrastructure</w:t>
      </w:r>
      <w:r>
        <w:rPr>
          <w:lang w:val="en-US"/>
        </w:rPr>
        <w:t>.</w:t>
      </w:r>
    </w:p>
    <w:p w:rsidR="00CA3B52" w:rsidRPr="00CB6CBA" w:rsidRDefault="00CA3B52" w:rsidP="00CA3B52">
      <w:pPr>
        <w:rPr>
          <w:lang w:val="en-US"/>
        </w:rPr>
      </w:pPr>
      <w:r w:rsidRPr="00CB6CBA">
        <w:rPr>
          <w:lang w:val="en-US"/>
        </w:rPr>
        <w:t>Considering the Constitution</w:t>
      </w:r>
      <w:r>
        <w:rPr>
          <w:lang w:val="en-US"/>
        </w:rPr>
        <w:t>.</w:t>
      </w:r>
    </w:p>
    <w:p w:rsidR="00CA3B52" w:rsidRPr="00CB6CBA" w:rsidRDefault="00CA3B52" w:rsidP="00CA3B52">
      <w:pPr>
        <w:rPr>
          <w:lang w:val="en-US"/>
        </w:rPr>
      </w:pPr>
      <w:r w:rsidRPr="00CB6CBA">
        <w:rPr>
          <w:lang w:val="en-US"/>
        </w:rPr>
        <w:t>Considering law N° 95-526 of 7 July 1995 on Telecommunications Code</w:t>
      </w:r>
      <w:r>
        <w:rPr>
          <w:lang w:val="en-US"/>
        </w:rPr>
        <w:t>.</w:t>
      </w:r>
    </w:p>
    <w:p w:rsidR="00CA3B52" w:rsidRPr="00CB6CBA" w:rsidRDefault="00CA3B52" w:rsidP="00CA3B52">
      <w:pPr>
        <w:rPr>
          <w:lang w:val="en-US"/>
        </w:rPr>
      </w:pPr>
      <w:r w:rsidRPr="00CB6CBA">
        <w:rPr>
          <w:lang w:val="en-US"/>
        </w:rPr>
        <w:t>Considering Decree N° 85-1089 of 16</w:t>
      </w:r>
      <w:r w:rsidRPr="00CB6CBA">
        <w:rPr>
          <w:vertAlign w:val="superscript"/>
          <w:lang w:val="en-US"/>
        </w:rPr>
        <w:t>th</w:t>
      </w:r>
      <w:r w:rsidRPr="00CB6CBA">
        <w:rPr>
          <w:lang w:val="en-US"/>
        </w:rPr>
        <w:t xml:space="preserve"> October 1985 fixing Private Radioelectricity regulations in Côte d’Ivoire</w:t>
      </w:r>
      <w:r>
        <w:rPr>
          <w:lang w:val="en-US"/>
        </w:rPr>
        <w:t>.</w:t>
      </w:r>
    </w:p>
    <w:p w:rsidR="00CA3B52" w:rsidRPr="00CB6CBA" w:rsidRDefault="00CA3B52" w:rsidP="00CA3B52">
      <w:pPr>
        <w:rPr>
          <w:lang w:val="en-US"/>
        </w:rPr>
      </w:pPr>
      <w:r w:rsidRPr="00CB6CBA">
        <w:rPr>
          <w:lang w:val="en-US"/>
        </w:rPr>
        <w:t>Considering decree N° 95-554 of 19 July 1995 fixing organization and functioning of a Special Public entity here-after named Agence des Télécommunications de Côte d’Ivoire</w:t>
      </w:r>
      <w:r>
        <w:rPr>
          <w:lang w:val="en-US"/>
        </w:rPr>
        <w:t>.</w:t>
      </w:r>
    </w:p>
    <w:p w:rsidR="00CA3B52" w:rsidRPr="00CB6CBA" w:rsidRDefault="00CA3B52" w:rsidP="00CA3B52">
      <w:pPr>
        <w:rPr>
          <w:lang w:val="en-US"/>
        </w:rPr>
      </w:pPr>
      <w:r w:rsidRPr="00CB6CBA">
        <w:rPr>
          <w:lang w:val="en-US"/>
        </w:rPr>
        <w:t>Considering decree N° 96-PR/002 of 26</w:t>
      </w:r>
      <w:r w:rsidRPr="00CB6CBA">
        <w:rPr>
          <w:vertAlign w:val="superscript"/>
          <w:lang w:val="en-US"/>
        </w:rPr>
        <w:t>th</w:t>
      </w:r>
      <w:r w:rsidRPr="00CB6CBA">
        <w:rPr>
          <w:lang w:val="en-US"/>
        </w:rPr>
        <w:t xml:space="preserve"> January 1996 appointing members of Government; as modified by decree N° 96-PR/10 of 10</w:t>
      </w:r>
      <w:r w:rsidRPr="00CB6CBA">
        <w:rPr>
          <w:vertAlign w:val="superscript"/>
          <w:lang w:val="en-US"/>
        </w:rPr>
        <w:t>th</w:t>
      </w:r>
      <w:r w:rsidRPr="00CB6CBA">
        <w:rPr>
          <w:lang w:val="en-US"/>
        </w:rPr>
        <w:t xml:space="preserve"> August 1996</w:t>
      </w:r>
      <w:r>
        <w:rPr>
          <w:lang w:val="en-US"/>
        </w:rPr>
        <w:t>.</w:t>
      </w:r>
    </w:p>
    <w:p w:rsidR="00CA3B52" w:rsidRPr="00CB6CBA" w:rsidRDefault="00CA3B52" w:rsidP="00CA3B52">
      <w:pPr>
        <w:rPr>
          <w:lang w:val="en-US"/>
        </w:rPr>
      </w:pPr>
      <w:r w:rsidRPr="00CB6CBA">
        <w:rPr>
          <w:lang w:val="en-US"/>
        </w:rPr>
        <w:t>Considering decree N° 96-179 of 1</w:t>
      </w:r>
      <w:r w:rsidRPr="00CB6CBA">
        <w:rPr>
          <w:vertAlign w:val="superscript"/>
          <w:lang w:val="en-US"/>
        </w:rPr>
        <w:t>st</w:t>
      </w:r>
      <w:r w:rsidRPr="00CB6CBA">
        <w:rPr>
          <w:lang w:val="en-US"/>
        </w:rPr>
        <w:t xml:space="preserve"> March 1996 fixing attributions of members of Government</w:t>
      </w:r>
      <w:r>
        <w:rPr>
          <w:lang w:val="en-US"/>
        </w:rPr>
        <w:t>.</w:t>
      </w:r>
    </w:p>
    <w:p w:rsidR="00CA3B52" w:rsidRPr="00CB6CBA" w:rsidRDefault="00CA3B52" w:rsidP="00F65451">
      <w:pPr>
        <w:spacing w:before="720"/>
        <w:jc w:val="center"/>
        <w:rPr>
          <w:lang w:val="en-US"/>
        </w:rPr>
      </w:pPr>
      <w:r w:rsidRPr="00CB6CBA">
        <w:rPr>
          <w:lang w:val="en-US"/>
        </w:rPr>
        <w:t>THE MINISTER’S COUNCIL HAVING CONSIDERED:</w:t>
      </w:r>
    </w:p>
    <w:p w:rsidR="00CA3B52" w:rsidRPr="00CF44C4" w:rsidRDefault="00CA3B52" w:rsidP="00F65451">
      <w:pPr>
        <w:jc w:val="center"/>
        <w:rPr>
          <w:lang w:val="en-US"/>
        </w:rPr>
      </w:pPr>
      <w:r w:rsidRPr="00CF44C4">
        <w:rPr>
          <w:lang w:val="en-US"/>
        </w:rPr>
        <w:t>DECREES</w:t>
      </w:r>
    </w:p>
    <w:p w:rsidR="00CA3B52" w:rsidRPr="00CB6CBA" w:rsidRDefault="00CA3B52" w:rsidP="00F65451">
      <w:pPr>
        <w:rPr>
          <w:lang w:val="en-US"/>
        </w:rPr>
      </w:pPr>
    </w:p>
    <w:p w:rsidR="00CA3B52" w:rsidRPr="00CB6CBA" w:rsidRDefault="00CA3B52" w:rsidP="00F65451">
      <w:pPr>
        <w:jc w:val="center"/>
        <w:rPr>
          <w:lang w:val="en-US"/>
        </w:rPr>
      </w:pPr>
      <w:r w:rsidRPr="00CB6CBA">
        <w:rPr>
          <w:lang w:val="en-US"/>
        </w:rPr>
        <w:t>CHAPTER I</w:t>
      </w:r>
    </w:p>
    <w:p w:rsidR="00CA3B52" w:rsidRPr="00CF44C4" w:rsidRDefault="00CA3B52" w:rsidP="00F65451">
      <w:pPr>
        <w:jc w:val="center"/>
        <w:rPr>
          <w:lang w:val="en-US"/>
        </w:rPr>
      </w:pPr>
      <w:r w:rsidRPr="00CF44C4">
        <w:rPr>
          <w:lang w:val="en-US"/>
        </w:rPr>
        <w:t>GENERAL PROVISIONS: EXTENT OF APPLICATION</w:t>
      </w:r>
    </w:p>
    <w:p w:rsidR="00CA3B52" w:rsidRPr="00CB6CBA" w:rsidRDefault="00CA3B52" w:rsidP="00CA3B52">
      <w:pPr>
        <w:pStyle w:val="Normalaftertitle"/>
        <w:rPr>
          <w:lang w:val="en-US"/>
        </w:rPr>
      </w:pPr>
      <w:r w:rsidRPr="00F06474">
        <w:rPr>
          <w:lang w:val="en-US"/>
        </w:rPr>
        <w:t>Article 1</w:t>
      </w:r>
      <w:r w:rsidRPr="00CB6CBA">
        <w:rPr>
          <w:lang w:val="en-US"/>
        </w:rPr>
        <w:t>: In application of the provisions of Articles 6, 8, 20, 24 and 51 of Law N° 95-526 of 7</w:t>
      </w:r>
      <w:r>
        <w:rPr>
          <w:lang w:val="en-US"/>
        </w:rPr>
        <w:t> </w:t>
      </w:r>
      <w:r w:rsidRPr="00CB6CBA">
        <w:rPr>
          <w:lang w:val="en-US"/>
        </w:rPr>
        <w:t>July</w:t>
      </w:r>
      <w:r>
        <w:rPr>
          <w:lang w:val="en-US"/>
        </w:rPr>
        <w:t> </w:t>
      </w:r>
      <w:r w:rsidRPr="00CB6CBA">
        <w:rPr>
          <w:lang w:val="en-US"/>
        </w:rPr>
        <w:t>1995 fixing Telecommunications Code, this decree defines fees, taxes, charges and contributions payable to Agence des Télécommunications de Côte d’Ivoire (ATCI) by applicants or holders of authorizations in radiocommunications matters.</w:t>
      </w:r>
    </w:p>
    <w:p w:rsidR="00CA3B52" w:rsidRPr="00CB6CBA" w:rsidRDefault="00CA3B52" w:rsidP="00F65451">
      <w:pPr>
        <w:rPr>
          <w:lang w:val="en-US"/>
        </w:rPr>
      </w:pPr>
    </w:p>
    <w:p w:rsidR="00CA3B52" w:rsidRPr="00CB6CBA" w:rsidRDefault="00CA3B52" w:rsidP="00F65451">
      <w:pPr>
        <w:keepNext/>
        <w:keepLines/>
        <w:jc w:val="center"/>
        <w:rPr>
          <w:lang w:val="en-US"/>
        </w:rPr>
      </w:pPr>
      <w:r w:rsidRPr="00CB6CBA">
        <w:rPr>
          <w:lang w:val="en-US"/>
        </w:rPr>
        <w:lastRenderedPageBreak/>
        <w:t>CHAPTER II</w:t>
      </w:r>
    </w:p>
    <w:p w:rsidR="00CA3B52" w:rsidRPr="00CB6CBA" w:rsidRDefault="00CA3B52" w:rsidP="00F65451">
      <w:pPr>
        <w:keepNext/>
        <w:keepLines/>
        <w:jc w:val="center"/>
        <w:rPr>
          <w:lang w:val="en-US"/>
        </w:rPr>
      </w:pPr>
      <w:r w:rsidRPr="00CB6CBA">
        <w:rPr>
          <w:lang w:val="en-US"/>
        </w:rPr>
        <w:t>FEES, CHARGES AND CONTRIBUTIONS APPLICABLE TO RADIOELECTRIC</w:t>
      </w:r>
      <w:r>
        <w:rPr>
          <w:lang w:val="en-US"/>
        </w:rPr>
        <w:t xml:space="preserve"> </w:t>
      </w:r>
      <w:r w:rsidRPr="00CB6CBA">
        <w:rPr>
          <w:lang w:val="en-US"/>
        </w:rPr>
        <w:br/>
        <w:t>NETWORKS AND STATIONS</w:t>
      </w:r>
    </w:p>
    <w:p w:rsidR="00CA3B52" w:rsidRPr="00CB6CBA" w:rsidRDefault="00CA3B52" w:rsidP="00CA3B52">
      <w:pPr>
        <w:pStyle w:val="Normalaftertitle"/>
        <w:rPr>
          <w:lang w:val="en-US"/>
        </w:rPr>
      </w:pPr>
      <w:r w:rsidRPr="00F06474">
        <w:rPr>
          <w:lang w:val="en-US"/>
        </w:rPr>
        <w:t>Section</w:t>
      </w:r>
      <w:r w:rsidRPr="00CB6CBA">
        <w:rPr>
          <w:u w:val="single"/>
          <w:lang w:val="en-US"/>
        </w:rPr>
        <w:t xml:space="preserve"> </w:t>
      </w:r>
      <w:r w:rsidRPr="00CB6CBA">
        <w:rPr>
          <w:lang w:val="en-US"/>
        </w:rPr>
        <w:t>1: Radioelectric networks of fixed and mobile services, networks and earth stations of fixed satellite services and mobile satellite services.</w:t>
      </w:r>
    </w:p>
    <w:p w:rsidR="00CA3B52" w:rsidRPr="00CB6CBA" w:rsidRDefault="00CA3B52" w:rsidP="00CA3B52">
      <w:pPr>
        <w:rPr>
          <w:lang w:val="en-US"/>
        </w:rPr>
      </w:pPr>
      <w:r>
        <w:rPr>
          <w:lang w:val="en-US"/>
        </w:rPr>
        <w:t>A</w:t>
      </w:r>
      <w:r w:rsidRPr="00F06474">
        <w:rPr>
          <w:lang w:val="en-US"/>
        </w:rPr>
        <w:t>rticle 2</w:t>
      </w:r>
      <w:r w:rsidRPr="00CB6CBA">
        <w:rPr>
          <w:lang w:val="en-US"/>
        </w:rPr>
        <w:t>: The applicants or holders of authorizations relating to radioelectric networks for fixed and terrestrial mobile services, as well as networks and earth stations for fixed and  mobile satellite services are liable to the payment of fees, charges and contributions as follows:</w:t>
      </w:r>
    </w:p>
    <w:p w:rsidR="00CA3B52" w:rsidRPr="00CB6CBA" w:rsidRDefault="00CA3B52" w:rsidP="00CA3B52">
      <w:pPr>
        <w:pStyle w:val="enumlev1"/>
        <w:rPr>
          <w:lang w:val="en-US"/>
        </w:rPr>
      </w:pPr>
      <w:r w:rsidRPr="00CB6CBA">
        <w:rPr>
          <w:lang w:val="en-US"/>
        </w:rPr>
        <w:t>–</w:t>
      </w:r>
      <w:r w:rsidRPr="00CB6CBA">
        <w:rPr>
          <w:lang w:val="en-US"/>
        </w:rPr>
        <w:tab/>
        <w:t>fees for compiling file;</w:t>
      </w:r>
    </w:p>
    <w:p w:rsidR="00CA3B52" w:rsidRPr="00CB6CBA" w:rsidRDefault="00CA3B52" w:rsidP="00CA3B52">
      <w:pPr>
        <w:pStyle w:val="enumlev1"/>
        <w:rPr>
          <w:lang w:val="en-US"/>
        </w:rPr>
      </w:pPr>
      <w:r w:rsidRPr="00CB6CBA">
        <w:rPr>
          <w:lang w:val="en-US"/>
        </w:rPr>
        <w:t>–</w:t>
      </w:r>
      <w:r w:rsidRPr="00CB6CBA">
        <w:rPr>
          <w:lang w:val="en-US"/>
        </w:rPr>
        <w:tab/>
        <w:t>fees for controlling radioelectric stations;</w:t>
      </w:r>
    </w:p>
    <w:p w:rsidR="00CA3B52" w:rsidRPr="00CB6CBA" w:rsidRDefault="00CA3B52" w:rsidP="00CA3B52">
      <w:pPr>
        <w:pStyle w:val="enumlev1"/>
        <w:rPr>
          <w:lang w:val="en-US"/>
        </w:rPr>
      </w:pPr>
      <w:r w:rsidRPr="00CB6CBA">
        <w:rPr>
          <w:lang w:val="en-US"/>
        </w:rPr>
        <w:t>–</w:t>
      </w:r>
      <w:r w:rsidRPr="00CB6CBA">
        <w:rPr>
          <w:lang w:val="en-US"/>
        </w:rPr>
        <w:tab/>
        <w:t>contribution to management costs;</w:t>
      </w:r>
    </w:p>
    <w:p w:rsidR="00CA3B52" w:rsidRPr="00CB6CBA" w:rsidRDefault="00CA3B52" w:rsidP="00CA3B52">
      <w:pPr>
        <w:pStyle w:val="enumlev1"/>
        <w:rPr>
          <w:lang w:val="en-US"/>
        </w:rPr>
      </w:pPr>
      <w:r w:rsidRPr="00CB6CBA">
        <w:rPr>
          <w:lang w:val="en-US"/>
        </w:rPr>
        <w:t>–</w:t>
      </w:r>
      <w:r w:rsidRPr="00CB6CBA">
        <w:rPr>
          <w:lang w:val="en-US"/>
        </w:rPr>
        <w:tab/>
        <w:t>charges for using radioelectric frequencies.</w:t>
      </w:r>
    </w:p>
    <w:p w:rsidR="00CA3B52" w:rsidRPr="00CB6CBA" w:rsidRDefault="00CA3B52" w:rsidP="00CA3B52">
      <w:pPr>
        <w:rPr>
          <w:lang w:val="en-US"/>
        </w:rPr>
      </w:pPr>
      <w:r w:rsidRPr="00F06474">
        <w:rPr>
          <w:lang w:val="en-US"/>
        </w:rPr>
        <w:t>Section II</w:t>
      </w:r>
      <w:r w:rsidRPr="00CB6CBA">
        <w:rPr>
          <w:lang w:val="en-US"/>
        </w:rPr>
        <w:t>: Community Earth Stations for Reception only</w:t>
      </w:r>
      <w:r>
        <w:rPr>
          <w:lang w:val="en-US"/>
        </w:rPr>
        <w:t>.</w:t>
      </w:r>
    </w:p>
    <w:p w:rsidR="00CA3B52" w:rsidRPr="00CB6CBA" w:rsidRDefault="00CA3B52" w:rsidP="00CA3B52">
      <w:pPr>
        <w:rPr>
          <w:lang w:val="en-US"/>
        </w:rPr>
      </w:pPr>
      <w:r w:rsidRPr="00F06474">
        <w:rPr>
          <w:lang w:val="en-US"/>
        </w:rPr>
        <w:t>Article 3</w:t>
      </w:r>
      <w:r w:rsidRPr="00CB6CBA">
        <w:rPr>
          <w:lang w:val="en-US"/>
        </w:rPr>
        <w:t>: Applicants or holders of authorizations relating to installation of radio broadcasting for collective reception or reception from redistribution in conformity with the provisions of Article 20 of Law N° 95-526 of 07 July 1995 fixing Telecommunications Code, are entitled to pay fees, charges and contributions stipulated in Article 2 above.</w:t>
      </w:r>
    </w:p>
    <w:p w:rsidR="00CA3B52" w:rsidRPr="00CB6CBA" w:rsidRDefault="00CA3B52" w:rsidP="00CA3B52">
      <w:pPr>
        <w:rPr>
          <w:lang w:val="en-US"/>
        </w:rPr>
      </w:pPr>
      <w:r w:rsidRPr="00F06474">
        <w:rPr>
          <w:lang w:val="en-US"/>
        </w:rPr>
        <w:t>Section III</w:t>
      </w:r>
      <w:r w:rsidRPr="00CB6CBA">
        <w:rPr>
          <w:lang w:val="en-US"/>
        </w:rPr>
        <w:t>: Amateur Stations</w:t>
      </w:r>
      <w:r>
        <w:rPr>
          <w:lang w:val="en-US"/>
        </w:rPr>
        <w:t>.</w:t>
      </w:r>
    </w:p>
    <w:p w:rsidR="00CA3B52" w:rsidRPr="00CB6CBA" w:rsidRDefault="00CA3B52" w:rsidP="00CA3B52">
      <w:pPr>
        <w:rPr>
          <w:lang w:val="en-US"/>
        </w:rPr>
      </w:pPr>
      <w:r w:rsidRPr="00F06474">
        <w:rPr>
          <w:lang w:val="en-US"/>
        </w:rPr>
        <w:t>Article 4</w:t>
      </w:r>
      <w:r w:rsidRPr="00CB6CBA">
        <w:rPr>
          <w:lang w:val="en-US"/>
        </w:rPr>
        <w:t>: Applicants or holders of authorizations for amateur stations are entitled to pay the following fees:</w:t>
      </w:r>
    </w:p>
    <w:p w:rsidR="00CA3B52" w:rsidRPr="00CB6CBA" w:rsidRDefault="00CA3B52" w:rsidP="00CA3B52">
      <w:pPr>
        <w:pStyle w:val="enumlev1"/>
        <w:rPr>
          <w:lang w:val="en-US"/>
        </w:rPr>
      </w:pPr>
      <w:r w:rsidRPr="00CB6CBA">
        <w:rPr>
          <w:lang w:val="en-US"/>
        </w:rPr>
        <w:t>–</w:t>
      </w:r>
      <w:r w:rsidRPr="00CB6CBA">
        <w:rPr>
          <w:lang w:val="en-US"/>
        </w:rPr>
        <w:tab/>
        <w:t>Fees for compiling the file</w:t>
      </w:r>
      <w:r>
        <w:rPr>
          <w:lang w:val="en-US"/>
        </w:rPr>
        <w:t>.</w:t>
      </w:r>
    </w:p>
    <w:p w:rsidR="00CA3B52" w:rsidRPr="00CB6CBA" w:rsidRDefault="00CA3B52" w:rsidP="00CA3B52">
      <w:pPr>
        <w:pStyle w:val="enumlev1"/>
        <w:rPr>
          <w:lang w:val="en-US"/>
        </w:rPr>
      </w:pPr>
      <w:r w:rsidRPr="00CB6CBA">
        <w:rPr>
          <w:lang w:val="en-US"/>
        </w:rPr>
        <w:t>–</w:t>
      </w:r>
      <w:r w:rsidRPr="00CB6CBA">
        <w:rPr>
          <w:lang w:val="en-US"/>
        </w:rPr>
        <w:tab/>
        <w:t>Charges for controlling the stations</w:t>
      </w:r>
      <w:r>
        <w:rPr>
          <w:lang w:val="en-US"/>
        </w:rPr>
        <w:t>.</w:t>
      </w:r>
    </w:p>
    <w:p w:rsidR="00CA3B52" w:rsidRPr="00CB6CBA" w:rsidRDefault="00CA3B52" w:rsidP="00CA3B52">
      <w:pPr>
        <w:rPr>
          <w:lang w:val="en-US"/>
        </w:rPr>
      </w:pPr>
      <w:r w:rsidRPr="00F06474">
        <w:rPr>
          <w:lang w:val="en-US"/>
        </w:rPr>
        <w:t>Section IV</w:t>
      </w:r>
      <w:r w:rsidRPr="00CB6CBA">
        <w:rPr>
          <w:lang w:val="en-US"/>
        </w:rPr>
        <w:t>: Temporary utilization of radioelectric stations</w:t>
      </w:r>
      <w:r>
        <w:rPr>
          <w:lang w:val="en-US"/>
        </w:rPr>
        <w:t>.</w:t>
      </w:r>
    </w:p>
    <w:p w:rsidR="00CA3B52" w:rsidRPr="00CB6CBA" w:rsidRDefault="00CA3B52" w:rsidP="00CA3B52">
      <w:pPr>
        <w:rPr>
          <w:lang w:val="en-US"/>
        </w:rPr>
      </w:pPr>
      <w:r w:rsidRPr="00F06474">
        <w:rPr>
          <w:lang w:val="en-US"/>
        </w:rPr>
        <w:t>Article 5</w:t>
      </w:r>
      <w:r w:rsidRPr="00CB6CBA">
        <w:rPr>
          <w:lang w:val="en-US"/>
        </w:rPr>
        <w:t>: Terrestrial radioelectric stations as well as spatial earth stations which are used on temporal basis are entitled to pay the following charges and fees:</w:t>
      </w:r>
    </w:p>
    <w:p w:rsidR="00CA3B52" w:rsidRPr="00CB6CBA" w:rsidRDefault="00CA3B52" w:rsidP="00CA3B52">
      <w:pPr>
        <w:pStyle w:val="enumlev1"/>
        <w:rPr>
          <w:lang w:val="en-US"/>
        </w:rPr>
      </w:pPr>
      <w:r w:rsidRPr="00CB6CBA">
        <w:rPr>
          <w:lang w:val="en-US"/>
        </w:rPr>
        <w:t>–</w:t>
      </w:r>
      <w:r w:rsidRPr="00CB6CBA">
        <w:rPr>
          <w:lang w:val="en-US"/>
        </w:rPr>
        <w:tab/>
        <w:t xml:space="preserve">control charge; </w:t>
      </w:r>
    </w:p>
    <w:p w:rsidR="00CA3B52" w:rsidRPr="00CB6CBA" w:rsidRDefault="00CA3B52" w:rsidP="00CA3B52">
      <w:pPr>
        <w:pStyle w:val="enumlev1"/>
        <w:rPr>
          <w:lang w:val="en-US"/>
        </w:rPr>
      </w:pPr>
      <w:r w:rsidRPr="00CB6CBA">
        <w:rPr>
          <w:lang w:val="en-US"/>
        </w:rPr>
        <w:t>–</w:t>
      </w:r>
      <w:r w:rsidRPr="00CB6CBA">
        <w:rPr>
          <w:lang w:val="en-US"/>
        </w:rPr>
        <w:tab/>
        <w:t>fees for contribution towards management costs and charges for the use of radioelectric frequencies calculated on monthly basis.</w:t>
      </w:r>
    </w:p>
    <w:p w:rsidR="00CA3B52" w:rsidRPr="00CB6CBA" w:rsidRDefault="00CA3B52" w:rsidP="00F65451">
      <w:pPr>
        <w:rPr>
          <w:lang w:val="en-US"/>
        </w:rPr>
      </w:pPr>
      <w:r w:rsidRPr="00F06474">
        <w:rPr>
          <w:lang w:val="en-US"/>
        </w:rPr>
        <w:t>Section V</w:t>
      </w:r>
      <w:r w:rsidRPr="00CB6CBA">
        <w:rPr>
          <w:lang w:val="en-US"/>
        </w:rPr>
        <w:t>: Low power Transmitters and Receivers or CBs sets</w:t>
      </w:r>
      <w:r>
        <w:rPr>
          <w:lang w:val="en-US"/>
        </w:rPr>
        <w:t>.</w:t>
      </w:r>
    </w:p>
    <w:p w:rsidR="00CA3B52" w:rsidRPr="00CB6CBA" w:rsidRDefault="00CA3B52" w:rsidP="00CA3B52">
      <w:pPr>
        <w:rPr>
          <w:lang w:val="en-US"/>
        </w:rPr>
      </w:pPr>
      <w:r w:rsidRPr="00F06474">
        <w:rPr>
          <w:lang w:val="en-US"/>
        </w:rPr>
        <w:t>Article 6</w:t>
      </w:r>
      <w:r w:rsidRPr="00CB6CBA">
        <w:rPr>
          <w:lang w:val="en-US"/>
        </w:rPr>
        <w:t>: The use of transmitters and receivers sets which operate on simple channels called CB sets, is submitted to the payment of a forfeitary charge, which is not refundable at the time of awarding the authorization.</w:t>
      </w:r>
    </w:p>
    <w:p w:rsidR="00CA3B52" w:rsidRPr="00CB6CBA" w:rsidRDefault="00CA3B52" w:rsidP="00CA3B52">
      <w:pPr>
        <w:rPr>
          <w:lang w:val="en-US"/>
        </w:rPr>
      </w:pPr>
      <w:r w:rsidRPr="00CB6CBA">
        <w:rPr>
          <w:lang w:val="en-US"/>
        </w:rPr>
        <w:t xml:space="preserve">Not subject to this fees are CB sets with a maximum of 40 channels operating exclusively in angular modulation and having a maximum of 4 </w:t>
      </w:r>
      <w:r>
        <w:rPr>
          <w:lang w:val="en-US"/>
        </w:rPr>
        <w:t>W</w:t>
      </w:r>
      <w:r w:rsidRPr="00CB6CBA">
        <w:rPr>
          <w:lang w:val="en-US"/>
        </w:rPr>
        <w:t>.</w:t>
      </w:r>
    </w:p>
    <w:p w:rsidR="00CA3B52" w:rsidRPr="00CB6CBA" w:rsidRDefault="00CA3B52" w:rsidP="00CA3B52">
      <w:pPr>
        <w:rPr>
          <w:lang w:val="en-US"/>
        </w:rPr>
      </w:pPr>
      <w:r w:rsidRPr="00F06474">
        <w:rPr>
          <w:lang w:val="en-US"/>
        </w:rPr>
        <w:t>Section VI</w:t>
      </w:r>
      <w:r w:rsidRPr="00CB6CBA">
        <w:rPr>
          <w:lang w:val="en-US"/>
        </w:rPr>
        <w:t>: Installation of reduced command radio</w:t>
      </w:r>
      <w:r>
        <w:rPr>
          <w:lang w:val="en-US"/>
        </w:rPr>
        <w:t>.</w:t>
      </w:r>
    </w:p>
    <w:p w:rsidR="00CA3B52" w:rsidRPr="00CB6CBA" w:rsidRDefault="00CA3B52" w:rsidP="00CA3B52">
      <w:pPr>
        <w:rPr>
          <w:lang w:val="en-US"/>
        </w:rPr>
      </w:pPr>
      <w:r w:rsidRPr="00F06474">
        <w:rPr>
          <w:lang w:val="en-US"/>
        </w:rPr>
        <w:t>Article 7</w:t>
      </w:r>
      <w:r w:rsidRPr="00CB6CBA">
        <w:rPr>
          <w:lang w:val="en-US"/>
        </w:rPr>
        <w:t>: The use of reduced transmitters and receivers sets with less than five (5) watts meant for command radio, except for those authori</w:t>
      </w:r>
      <w:r>
        <w:rPr>
          <w:lang w:val="en-US"/>
        </w:rPr>
        <w:t>z</w:t>
      </w:r>
      <w:r w:rsidRPr="00CB6CBA">
        <w:rPr>
          <w:lang w:val="en-US"/>
        </w:rPr>
        <w:t>ed with full right, is submitted to the payment of taxes for a period of five (5) years, which is collected upfront and non refundable.</w:t>
      </w:r>
    </w:p>
    <w:p w:rsidR="00CA3B52" w:rsidRPr="00CB6CBA" w:rsidRDefault="00CA3B52" w:rsidP="00CA3B52">
      <w:pPr>
        <w:rPr>
          <w:lang w:val="en-US"/>
        </w:rPr>
      </w:pPr>
      <w:r w:rsidRPr="00F06474">
        <w:rPr>
          <w:lang w:val="en-US"/>
        </w:rPr>
        <w:t>Section VII</w:t>
      </w:r>
      <w:r w:rsidRPr="00CB6CBA">
        <w:rPr>
          <w:lang w:val="en-US"/>
        </w:rPr>
        <w:t>: Rates and the modality of payment of radioelectric fees and charges.</w:t>
      </w:r>
    </w:p>
    <w:p w:rsidR="00CA3B52" w:rsidRPr="00CB6CBA" w:rsidRDefault="00CA3B52" w:rsidP="00CA3B52">
      <w:pPr>
        <w:keepNext/>
        <w:keepLines/>
        <w:rPr>
          <w:lang w:val="en-US"/>
        </w:rPr>
      </w:pPr>
      <w:r w:rsidRPr="00F06474">
        <w:rPr>
          <w:lang w:val="en-US"/>
        </w:rPr>
        <w:lastRenderedPageBreak/>
        <w:t>Article 8</w:t>
      </w:r>
      <w:r w:rsidRPr="00CB6CBA">
        <w:rPr>
          <w:lang w:val="en-US"/>
        </w:rPr>
        <w:t>: The modalities for payment of fees, charges and contributions as stipulated in Sections I to IV stipulated above is as follows:</w:t>
      </w:r>
    </w:p>
    <w:p w:rsidR="00CA3B52" w:rsidRPr="00CB6CBA" w:rsidRDefault="00CA3B52" w:rsidP="00CA3B52">
      <w:pPr>
        <w:pStyle w:val="enumlev1"/>
        <w:keepNext/>
        <w:keepLines/>
        <w:rPr>
          <w:lang w:val="en-US"/>
        </w:rPr>
      </w:pPr>
      <w:r w:rsidRPr="00CB6CBA">
        <w:rPr>
          <w:lang w:val="en-US"/>
        </w:rPr>
        <w:t>–</w:t>
      </w:r>
      <w:r w:rsidRPr="00CB6CBA">
        <w:rPr>
          <w:lang w:val="en-US"/>
        </w:rPr>
        <w:tab/>
        <w:t>fees for the compilation of files, forfeitary and non refundable charges are paid upfront before the authorization is issued;</w:t>
      </w:r>
    </w:p>
    <w:p w:rsidR="00CA3B52" w:rsidRPr="00CB6CBA" w:rsidRDefault="00CA3B52" w:rsidP="00CA3B52">
      <w:pPr>
        <w:pStyle w:val="enumlev1"/>
        <w:rPr>
          <w:lang w:val="en-US"/>
        </w:rPr>
      </w:pPr>
      <w:r w:rsidRPr="00CB6CBA">
        <w:rPr>
          <w:lang w:val="en-US"/>
        </w:rPr>
        <w:t>–</w:t>
      </w:r>
      <w:r w:rsidRPr="00CB6CBA">
        <w:rPr>
          <w:lang w:val="en-US"/>
        </w:rPr>
        <w:tab/>
        <w:t>control charge for stations and contributions for management costs are paid in advance and due payable on annual basis and non refundable</w:t>
      </w:r>
      <w:r>
        <w:rPr>
          <w:lang w:val="en-US"/>
        </w:rPr>
        <w:t>;</w:t>
      </w:r>
    </w:p>
    <w:p w:rsidR="00CA3B52" w:rsidRPr="00CB6CBA" w:rsidRDefault="00CA3B52" w:rsidP="00CA3B52">
      <w:pPr>
        <w:pStyle w:val="enumlev1"/>
        <w:rPr>
          <w:lang w:val="en-US"/>
        </w:rPr>
      </w:pPr>
      <w:r w:rsidRPr="00CB6CBA">
        <w:rPr>
          <w:lang w:val="en-US"/>
        </w:rPr>
        <w:t>–</w:t>
      </w:r>
      <w:r w:rsidRPr="00CB6CBA">
        <w:rPr>
          <w:lang w:val="en-US"/>
        </w:rPr>
        <w:tab/>
        <w:t>charges due for the use of electric frequencies is on annual basis and the first year starts from the date of putting into service of the stations while the subsequent years start from the 1st of January.</w:t>
      </w:r>
    </w:p>
    <w:p w:rsidR="00CA3B52" w:rsidRPr="00CB6CBA" w:rsidRDefault="00CA3B52" w:rsidP="00CA3B52">
      <w:pPr>
        <w:rPr>
          <w:lang w:val="en-US"/>
        </w:rPr>
      </w:pPr>
      <w:r w:rsidRPr="00F06474">
        <w:rPr>
          <w:lang w:val="en-US"/>
        </w:rPr>
        <w:t>Article 9</w:t>
      </w:r>
      <w:r w:rsidRPr="00CB6CBA">
        <w:rPr>
          <w:lang w:val="en-US"/>
        </w:rPr>
        <w:t xml:space="preserve">: Payment of fees and charges is testified with the issue of a label which is gummed on the equipment, vehicles or ship for mobile stations. </w:t>
      </w:r>
    </w:p>
    <w:p w:rsidR="00CA3B52" w:rsidRDefault="00CA3B52" w:rsidP="00CA3B52">
      <w:pPr>
        <w:rPr>
          <w:lang w:val="en-US"/>
        </w:rPr>
      </w:pPr>
    </w:p>
    <w:p w:rsidR="00CA3B52" w:rsidRPr="00F06474" w:rsidRDefault="00CA3B52" w:rsidP="00CA3B52">
      <w:pPr>
        <w:jc w:val="center"/>
        <w:rPr>
          <w:lang w:val="en-US"/>
        </w:rPr>
      </w:pPr>
      <w:r w:rsidRPr="00F06474">
        <w:rPr>
          <w:lang w:val="en-US"/>
        </w:rPr>
        <w:t>CHAPTER III</w:t>
      </w:r>
    </w:p>
    <w:p w:rsidR="00CA3B52" w:rsidRPr="00F06474" w:rsidRDefault="00CA3B52" w:rsidP="00CA3B52">
      <w:pPr>
        <w:jc w:val="center"/>
        <w:rPr>
          <w:lang w:val="en-US"/>
        </w:rPr>
      </w:pPr>
      <w:r w:rsidRPr="00F06474">
        <w:rPr>
          <w:lang w:val="en-US"/>
        </w:rPr>
        <w:t>FEES AND OTHER CHARGES</w:t>
      </w:r>
    </w:p>
    <w:p w:rsidR="00CA3B52" w:rsidRPr="00CB6CBA" w:rsidRDefault="00CA3B52" w:rsidP="00F65451">
      <w:pPr>
        <w:rPr>
          <w:lang w:val="en-US"/>
        </w:rPr>
      </w:pPr>
      <w:r w:rsidRPr="00F06474">
        <w:rPr>
          <w:lang w:val="en-US"/>
        </w:rPr>
        <w:t>Section I</w:t>
      </w:r>
      <w:r w:rsidRPr="00CB6CBA">
        <w:rPr>
          <w:lang w:val="en-US"/>
        </w:rPr>
        <w:t>: Exam Fees</w:t>
      </w:r>
      <w:r>
        <w:rPr>
          <w:lang w:val="en-US"/>
        </w:rPr>
        <w:t>.</w:t>
      </w:r>
    </w:p>
    <w:p w:rsidR="00CA3B52" w:rsidRPr="00CB6CBA" w:rsidRDefault="00CA3B52" w:rsidP="00474C7B">
      <w:pPr>
        <w:rPr>
          <w:lang w:val="en-US"/>
        </w:rPr>
      </w:pPr>
      <w:r w:rsidRPr="00F06474">
        <w:rPr>
          <w:lang w:val="en-US"/>
        </w:rPr>
        <w:t>Article 10</w:t>
      </w:r>
      <w:r w:rsidRPr="00CB6CBA">
        <w:rPr>
          <w:lang w:val="en-US"/>
        </w:rPr>
        <w:t>: For the obtention of a certificates for radiotelegraph operator, radio telephone operator or a certificate for the two, exams fees are paid before the examinations start. The same fees will be paid for issuing a certificate (s) for those having military attestations as operators.</w:t>
      </w:r>
    </w:p>
    <w:p w:rsidR="00CA3B52" w:rsidRPr="00CB6CBA" w:rsidRDefault="00CA3B52" w:rsidP="00CA3B52">
      <w:pPr>
        <w:rPr>
          <w:lang w:val="en-US"/>
        </w:rPr>
      </w:pPr>
      <w:r w:rsidRPr="00F06474">
        <w:rPr>
          <w:lang w:val="en-US"/>
        </w:rPr>
        <w:t>Article 11</w:t>
      </w:r>
      <w:r w:rsidRPr="00CB6CBA">
        <w:rPr>
          <w:lang w:val="en-US"/>
        </w:rPr>
        <w:t xml:space="preserve">: In the course of issuing or renewing or establishing a duplicate of a radio amateur, air or ship licence and a certificate of an operator, forfeitary and non refundable fees are paid. </w:t>
      </w:r>
    </w:p>
    <w:p w:rsidR="00CA3B52" w:rsidRPr="00F06474" w:rsidRDefault="00CA3B52" w:rsidP="00CA3B52">
      <w:pPr>
        <w:rPr>
          <w:lang w:val="en-US"/>
        </w:rPr>
      </w:pPr>
      <w:r w:rsidRPr="00F06474">
        <w:rPr>
          <w:lang w:val="en-US"/>
        </w:rPr>
        <w:t>Section II: Intervention fees.</w:t>
      </w:r>
    </w:p>
    <w:p w:rsidR="00CA3B52" w:rsidRPr="00CB6CBA" w:rsidRDefault="00CA3B52" w:rsidP="00CA3B52">
      <w:pPr>
        <w:rPr>
          <w:lang w:val="en-US"/>
        </w:rPr>
      </w:pPr>
      <w:r w:rsidRPr="00F06474">
        <w:rPr>
          <w:lang w:val="en-US"/>
        </w:rPr>
        <w:t>Article 12</w:t>
      </w:r>
      <w:r w:rsidRPr="00CB6CBA">
        <w:rPr>
          <w:lang w:val="en-US"/>
        </w:rPr>
        <w:t>: Exceptional fees are paid for radioelectric interference on frequency which is in regular use or installations which have not respected the norms as stipulated in chapter II above and this leads to payment of a forfeitary charge for each intervention. This tax is paid by the owner of the station which is either interfering with other stations or by the owner of a non conformity installation.</w:t>
      </w:r>
    </w:p>
    <w:p w:rsidR="00CA3B52" w:rsidRPr="00CB6CBA" w:rsidRDefault="00CA3B52" w:rsidP="00CA3B52">
      <w:pPr>
        <w:rPr>
          <w:lang w:val="en-US"/>
        </w:rPr>
      </w:pPr>
      <w:r w:rsidRPr="00F06474">
        <w:rPr>
          <w:lang w:val="en-US"/>
        </w:rPr>
        <w:t>Section III</w:t>
      </w:r>
      <w:r w:rsidRPr="00CB6CBA">
        <w:rPr>
          <w:lang w:val="en-US"/>
        </w:rPr>
        <w:t>: Commissioning Charges</w:t>
      </w:r>
      <w:r>
        <w:rPr>
          <w:lang w:val="en-US"/>
        </w:rPr>
        <w:t>.</w:t>
      </w:r>
    </w:p>
    <w:p w:rsidR="00CA3B52" w:rsidRPr="00CB6CBA" w:rsidRDefault="00CA3B52" w:rsidP="00CA3B52">
      <w:pPr>
        <w:rPr>
          <w:lang w:val="en-US"/>
        </w:rPr>
      </w:pPr>
      <w:r w:rsidRPr="00F06474">
        <w:rPr>
          <w:lang w:val="en-US"/>
        </w:rPr>
        <w:t>Article 13</w:t>
      </w:r>
      <w:r w:rsidRPr="00CB6CBA">
        <w:rPr>
          <w:lang w:val="en-US"/>
        </w:rPr>
        <w:t>: The commissioning of terminal equipments and an authorization of private radiocommunications installers are entitled to payment of non refundable charges as follows:</w:t>
      </w:r>
    </w:p>
    <w:p w:rsidR="00CA3B52" w:rsidRPr="00CB6CBA" w:rsidRDefault="00CA3B52" w:rsidP="00CA3B52">
      <w:pPr>
        <w:pStyle w:val="enumlev1"/>
        <w:rPr>
          <w:lang w:val="en-US"/>
        </w:rPr>
      </w:pPr>
      <w:r w:rsidRPr="00CB6CBA">
        <w:rPr>
          <w:lang w:val="en-US"/>
        </w:rPr>
        <w:t>1)</w:t>
      </w:r>
      <w:r w:rsidRPr="00CB6CBA">
        <w:rPr>
          <w:lang w:val="en-US"/>
        </w:rPr>
        <w:tab/>
      </w:r>
      <w:r w:rsidRPr="00CB6CBA">
        <w:rPr>
          <w:b/>
          <w:lang w:val="en-US"/>
        </w:rPr>
        <w:t>For equipments</w:t>
      </w:r>
      <w:r w:rsidRPr="00CB6CBA">
        <w:rPr>
          <w:lang w:val="en-US"/>
        </w:rPr>
        <w:t>: A fee for compiling a file and a fee for technical control of the equipment</w:t>
      </w:r>
      <w:r>
        <w:rPr>
          <w:lang w:val="en-US"/>
        </w:rPr>
        <w:t>.</w:t>
      </w:r>
    </w:p>
    <w:p w:rsidR="00CA3B52" w:rsidRPr="00CB6CBA" w:rsidRDefault="00CA3B52" w:rsidP="00CA3B52">
      <w:pPr>
        <w:pStyle w:val="enumlev1"/>
        <w:rPr>
          <w:lang w:val="en-US"/>
        </w:rPr>
      </w:pPr>
      <w:r w:rsidRPr="0024702C">
        <w:rPr>
          <w:bCs/>
          <w:lang w:val="en-US"/>
        </w:rPr>
        <w:t>2)</w:t>
      </w:r>
      <w:r w:rsidRPr="00CB6CBA">
        <w:rPr>
          <w:b/>
          <w:lang w:val="en-US"/>
        </w:rPr>
        <w:tab/>
        <w:t>For private installers</w:t>
      </w:r>
      <w:r w:rsidRPr="00CB6CBA">
        <w:rPr>
          <w:lang w:val="en-US"/>
        </w:rPr>
        <w:t>: A fee for compiling a file and a charge for commissioning which are paid during the issue or renewal of authorization.</w:t>
      </w:r>
    </w:p>
    <w:p w:rsidR="00CA3B52" w:rsidRPr="00CB6CBA" w:rsidRDefault="00CA3B52" w:rsidP="00F65451">
      <w:pPr>
        <w:rPr>
          <w:lang w:val="en-US"/>
        </w:rPr>
      </w:pPr>
    </w:p>
    <w:p w:rsidR="00CA3B52" w:rsidRPr="00F06474" w:rsidRDefault="00CA3B52" w:rsidP="00F65451">
      <w:pPr>
        <w:jc w:val="center"/>
        <w:rPr>
          <w:lang w:val="en-US"/>
        </w:rPr>
      </w:pPr>
      <w:r w:rsidRPr="00F06474">
        <w:rPr>
          <w:lang w:val="en-US"/>
        </w:rPr>
        <w:t>CHAPTER IV</w:t>
      </w:r>
    </w:p>
    <w:p w:rsidR="00CA3B52" w:rsidRPr="00F06474" w:rsidRDefault="00CA3B52" w:rsidP="00F65451">
      <w:pPr>
        <w:jc w:val="center"/>
        <w:rPr>
          <w:lang w:val="en-US"/>
        </w:rPr>
      </w:pPr>
      <w:r w:rsidRPr="00F06474">
        <w:rPr>
          <w:lang w:val="en-US"/>
        </w:rPr>
        <w:t>PENAL PROVISIONS</w:t>
      </w:r>
    </w:p>
    <w:p w:rsidR="00CA3B52" w:rsidRPr="00CB6CBA" w:rsidRDefault="00CA3B52" w:rsidP="00CA3B52">
      <w:pPr>
        <w:pStyle w:val="Normalaftertitle"/>
        <w:rPr>
          <w:lang w:val="en-US"/>
        </w:rPr>
      </w:pPr>
      <w:r w:rsidRPr="00F06474">
        <w:rPr>
          <w:lang w:val="en-US"/>
        </w:rPr>
        <w:t>Article 14</w:t>
      </w:r>
      <w:r w:rsidRPr="00CB6CBA">
        <w:rPr>
          <w:lang w:val="en-US"/>
        </w:rPr>
        <w:t>: Any infringement to the provisions of this decree will be sanctioned by Articles 14 and 35 of Law N° 95-526 of 7 July 1995 on Telecommunications code.</w:t>
      </w:r>
    </w:p>
    <w:p w:rsidR="00CA3B52" w:rsidRPr="00CB6CBA" w:rsidRDefault="00CA3B52" w:rsidP="00CA3B52">
      <w:pPr>
        <w:rPr>
          <w:lang w:val="en-US"/>
        </w:rPr>
      </w:pPr>
      <w:r w:rsidRPr="00F06474">
        <w:rPr>
          <w:lang w:val="en-US"/>
        </w:rPr>
        <w:t>Article 15</w:t>
      </w:r>
      <w:r w:rsidRPr="00CB6CBA">
        <w:rPr>
          <w:lang w:val="en-US"/>
        </w:rPr>
        <w:t>: In addition, failure to pay the required fees, charges and contributions will lead to the suspension of the authorization and the sealing of the radioelectric equipment.</w:t>
      </w:r>
    </w:p>
    <w:p w:rsidR="00CA3B52" w:rsidRPr="00CB6CBA" w:rsidRDefault="00CA3B52" w:rsidP="00F65451">
      <w:pPr>
        <w:rPr>
          <w:lang w:val="en-US"/>
        </w:rPr>
      </w:pPr>
    </w:p>
    <w:p w:rsidR="00CA3B52" w:rsidRPr="00F06474" w:rsidRDefault="00CA3B52" w:rsidP="00F65451">
      <w:pPr>
        <w:jc w:val="center"/>
        <w:rPr>
          <w:lang w:val="en-US"/>
        </w:rPr>
      </w:pPr>
      <w:r w:rsidRPr="00F06474">
        <w:rPr>
          <w:lang w:val="en-US"/>
        </w:rPr>
        <w:lastRenderedPageBreak/>
        <w:t>CHAPTER V</w:t>
      </w:r>
    </w:p>
    <w:p w:rsidR="00CA3B52" w:rsidRPr="00F06474" w:rsidRDefault="00CA3B52" w:rsidP="00F65451">
      <w:pPr>
        <w:jc w:val="center"/>
        <w:rPr>
          <w:lang w:val="en-US"/>
        </w:rPr>
      </w:pPr>
      <w:r w:rsidRPr="00F06474">
        <w:rPr>
          <w:lang w:val="en-US"/>
        </w:rPr>
        <w:t>FINAL PROVISIONS</w:t>
      </w:r>
    </w:p>
    <w:p w:rsidR="00CA3B52" w:rsidRPr="00CB6CBA" w:rsidRDefault="00CA3B52" w:rsidP="00CA3B52">
      <w:pPr>
        <w:pStyle w:val="Normalaftertitle"/>
        <w:rPr>
          <w:lang w:val="en-US"/>
        </w:rPr>
      </w:pPr>
      <w:r w:rsidRPr="00F06474">
        <w:rPr>
          <w:lang w:val="en-US"/>
        </w:rPr>
        <w:t>Article 16</w:t>
      </w:r>
      <w:r w:rsidRPr="00CB6CBA">
        <w:rPr>
          <w:lang w:val="en-US"/>
        </w:rPr>
        <w:t>: The amount of fees, charges and contributions to be paid in accordance to the provisions of this decree are fixed by a joint Ministerial Order of the Minister of Economy and Finances and the Minister in charge of Telecommunications.</w:t>
      </w:r>
    </w:p>
    <w:p w:rsidR="00CA3B52" w:rsidRPr="00CB6CBA" w:rsidRDefault="00CA3B52" w:rsidP="00CA3B52">
      <w:pPr>
        <w:rPr>
          <w:lang w:val="en-US"/>
        </w:rPr>
      </w:pPr>
      <w:r w:rsidRPr="00F06474">
        <w:rPr>
          <w:lang w:val="en-US"/>
        </w:rPr>
        <w:t>Article 17</w:t>
      </w:r>
      <w:r w:rsidRPr="00CB6CBA">
        <w:rPr>
          <w:lang w:val="en-US"/>
        </w:rPr>
        <w:t>: All other former provisions contrary to this decree are cancelled notably Articles 16, 17, 18, 19, 20, 21 and 22 of decree N° 85-1089 of 16 October 1985 fixing regulations on private radioelectricity.</w:t>
      </w:r>
    </w:p>
    <w:p w:rsidR="00CA3B52" w:rsidRPr="00CB6CBA" w:rsidRDefault="00CA3B52" w:rsidP="00CA3B52">
      <w:pPr>
        <w:rPr>
          <w:lang w:val="en-US"/>
        </w:rPr>
      </w:pPr>
      <w:r w:rsidRPr="00F06474">
        <w:rPr>
          <w:lang w:val="en-US"/>
        </w:rPr>
        <w:t>Article 18</w:t>
      </w:r>
      <w:r w:rsidRPr="00CB6CBA">
        <w:rPr>
          <w:lang w:val="en-US"/>
        </w:rPr>
        <w:t>: This decree shall enter into force from the date of signature and will be published in the Official Gazette of the Republic of Côte d’Ivoire.</w:t>
      </w:r>
    </w:p>
    <w:p w:rsidR="00CA3B52" w:rsidRPr="00CB6CBA" w:rsidRDefault="00CA3B52" w:rsidP="00CA3B52">
      <w:pPr>
        <w:rPr>
          <w:lang w:val="en-US"/>
        </w:rPr>
      </w:pPr>
      <w:r w:rsidRPr="00F06474">
        <w:rPr>
          <w:lang w:val="en-US"/>
        </w:rPr>
        <w:t>Article 19</w:t>
      </w:r>
      <w:r w:rsidRPr="00CB6CBA">
        <w:rPr>
          <w:lang w:val="en-US"/>
        </w:rPr>
        <w:t>: The Minister in charge of Telecommunications and the Minister in charge of Economy and Finances are responsible as it concerns each of them in the implementation of this decree.</w:t>
      </w:r>
    </w:p>
    <w:p w:rsidR="00F06474" w:rsidRDefault="00CA3B52" w:rsidP="00B27CE9">
      <w:pPr>
        <w:spacing w:before="1440"/>
        <w:jc w:val="left"/>
        <w:rPr>
          <w:lang w:val="de-CH"/>
        </w:rPr>
      </w:pPr>
      <w:r w:rsidRPr="000A535A">
        <w:rPr>
          <w:lang w:val="de-CH"/>
        </w:rPr>
        <w:t>Done in Abidjan</w:t>
      </w:r>
      <w:r w:rsidR="00B27CE9">
        <w:rPr>
          <w:lang w:val="de-CH"/>
        </w:rPr>
        <w:br/>
      </w:r>
      <w:r w:rsidRPr="000A535A">
        <w:rPr>
          <w:lang w:val="de-CH"/>
        </w:rPr>
        <w:t>Henri KONAN BEDIE</w:t>
      </w:r>
    </w:p>
    <w:p w:rsidR="00474C7B" w:rsidRDefault="00474C7B" w:rsidP="00B27CE9">
      <w:pPr>
        <w:spacing w:before="1440"/>
        <w:jc w:val="left"/>
        <w:rPr>
          <w:lang w:val="de-CH"/>
        </w:rPr>
      </w:pPr>
    </w:p>
    <w:p w:rsidR="00474C7B" w:rsidRPr="00F65451" w:rsidRDefault="00474C7B" w:rsidP="00474C7B">
      <w:pPr>
        <w:pStyle w:val="Line"/>
        <w:rPr>
          <w:lang w:val="de-CH"/>
        </w:rPr>
      </w:pPr>
    </w:p>
    <w:sectPr w:rsidR="00474C7B" w:rsidRPr="00F65451" w:rsidSect="007E085A">
      <w:headerReference w:type="even" r:id="rId270"/>
      <w:headerReference w:type="default" r:id="rId271"/>
      <w:headerReference w:type="first" r:id="rId272"/>
      <w:pgSz w:w="11907" w:h="16834" w:code="9"/>
      <w:pgMar w:top="1418" w:right="1134" w:bottom="1134" w:left="1134" w:header="720" w:footer="482"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883" w:rsidRDefault="00AD6883">
      <w:r>
        <w:separator/>
      </w:r>
    </w:p>
  </w:endnote>
  <w:endnote w:type="continuationSeparator" w:id="0">
    <w:p w:rsidR="00AD6883" w:rsidRDefault="00AD6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charset w:val="00"/>
    <w:family w:val="auto"/>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
    <w:altName w:val="Batang"/>
    <w:panose1 w:val="00000000000000000000"/>
    <w:charset w:val="81"/>
    <w:family w:val="roman"/>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883" w:rsidRPr="00CB090D" w:rsidRDefault="00AD6883">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883" w:rsidRPr="0024702C" w:rsidRDefault="00AD6883" w:rsidP="0024702C">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883" w:rsidRPr="003A0697" w:rsidRDefault="00AD6883" w:rsidP="003A06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883" w:rsidRPr="003A0697" w:rsidRDefault="00AD6883" w:rsidP="003A06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883" w:rsidRDefault="00AD6883">
      <w:r>
        <w:separator/>
      </w:r>
    </w:p>
  </w:footnote>
  <w:footnote w:type="continuationSeparator" w:id="0">
    <w:p w:rsidR="00AD6883" w:rsidRDefault="00AD6883">
      <w:r>
        <w:continuationSeparator/>
      </w:r>
    </w:p>
  </w:footnote>
  <w:footnote w:id="1">
    <w:p w:rsidR="00AD6883" w:rsidRPr="00FC0E37" w:rsidRDefault="00AD6883" w:rsidP="00481587">
      <w:pPr>
        <w:pStyle w:val="FootnoteText"/>
        <w:spacing w:before="40"/>
        <w:rPr>
          <w:lang w:val="en-US"/>
        </w:rPr>
      </w:pPr>
      <w:r w:rsidRPr="004B1C8B">
        <w:rPr>
          <w:rStyle w:val="FootnoteReference"/>
        </w:rPr>
        <w:footnoteRef/>
      </w:r>
      <w:r w:rsidRPr="005F07FC">
        <w:rPr>
          <w:lang w:val="en-US"/>
        </w:rPr>
        <w:tab/>
      </w:r>
      <w:r w:rsidRPr="00FC0E37">
        <w:rPr>
          <w:lang w:val="en-US"/>
        </w:rPr>
        <w:t>Source: A. M. YOUSSEF, E. KALMAN, L. BENZONI, “Technico-Economic Methods For Radio Spectrum Assignment”, in IEEE Communications Magazine, June 1995.</w:t>
      </w:r>
    </w:p>
  </w:footnote>
  <w:footnote w:id="2">
    <w:p w:rsidR="00AD6883" w:rsidRPr="0024702C" w:rsidRDefault="00AD6883" w:rsidP="00223739">
      <w:pPr>
        <w:pStyle w:val="FootnoteText"/>
        <w:rPr>
          <w:lang w:val="en-US"/>
        </w:rPr>
      </w:pPr>
      <w:r w:rsidRPr="00223739">
        <w:rPr>
          <w:rStyle w:val="FootnoteReference"/>
        </w:rPr>
        <w:footnoteRef/>
      </w:r>
      <w:r w:rsidRPr="007F2948">
        <w:rPr>
          <w:lang w:val="en-US"/>
        </w:rPr>
        <w:tab/>
      </w:r>
      <w:r w:rsidRPr="0024702C">
        <w:rPr>
          <w:lang w:val="en-US"/>
        </w:rPr>
        <w:t xml:space="preserve">SMITH-NERA (1996) </w:t>
      </w:r>
      <w:r>
        <w:rPr>
          <w:lang w:val="en-US"/>
        </w:rPr>
        <w:t>– S</w:t>
      </w:r>
      <w:r w:rsidRPr="0024702C">
        <w:rPr>
          <w:lang w:val="en-US"/>
        </w:rPr>
        <w:t xml:space="preserve">tudy into the Use of Spectrum Pricing; </w:t>
      </w:r>
      <w:r>
        <w:rPr>
          <w:lang w:val="en-US"/>
        </w:rPr>
        <w:t>R</w:t>
      </w:r>
      <w:r w:rsidRPr="0024702C">
        <w:rPr>
          <w:lang w:val="en-US"/>
        </w:rPr>
        <w:t xml:space="preserve">eport prepared by the Smith Group and NERA for the UK Radio Agency. See also the </w:t>
      </w:r>
      <w:r>
        <w:rPr>
          <w:lang w:val="en-US"/>
        </w:rPr>
        <w:t xml:space="preserve">Report by Europe Economics for OFCOM </w:t>
      </w:r>
      <w:r w:rsidRPr="0024702C">
        <w:rPr>
          <w:lang w:val="en-US"/>
        </w:rPr>
        <w:t>for the year ending 31 March 2006.</w:t>
      </w:r>
      <w:r>
        <w:rPr>
          <w:lang w:val="en-US"/>
        </w:rPr>
        <w:t xml:space="preserve"> </w:t>
      </w:r>
    </w:p>
  </w:footnote>
  <w:footnote w:id="3">
    <w:p w:rsidR="00AD6883" w:rsidRPr="00776E34" w:rsidRDefault="00AD6883" w:rsidP="007E085A">
      <w:pPr>
        <w:pStyle w:val="FootnoteText"/>
        <w:rPr>
          <w:lang w:val="en-US"/>
        </w:rPr>
      </w:pPr>
      <w:r w:rsidRPr="007E085A">
        <w:rPr>
          <w:rStyle w:val="FootnoteReference"/>
        </w:rPr>
        <w:footnoteRef/>
      </w:r>
      <w:r w:rsidRPr="00776E34">
        <w:rPr>
          <w:lang w:val="en-US"/>
        </w:rPr>
        <w:t xml:space="preserve"> </w:t>
      </w:r>
      <w:r>
        <w:rPr>
          <w:lang w:val="en-US"/>
        </w:rPr>
        <w:tab/>
      </w:r>
      <w:r w:rsidRPr="0024702C">
        <w:rPr>
          <w:lang w:val="en-US"/>
        </w:rPr>
        <w:t>NOZDRIN, V.</w:t>
      </w:r>
      <w:r>
        <w:rPr>
          <w:lang w:val="en-US"/>
        </w:rPr>
        <w:t xml:space="preserve"> [</w:t>
      </w:r>
      <w:r w:rsidRPr="0024702C">
        <w:rPr>
          <w:lang w:val="en-US"/>
        </w:rPr>
        <w:t>2003</w:t>
      </w:r>
      <w:r>
        <w:rPr>
          <w:lang w:val="en-US"/>
        </w:rPr>
        <w:t>]</w:t>
      </w:r>
      <w:r w:rsidRPr="0024702C">
        <w:rPr>
          <w:lang w:val="en-US"/>
        </w:rPr>
        <w:t xml:space="preserve"> Spectrum pricing</w:t>
      </w:r>
      <w:r>
        <w:rPr>
          <w:lang w:val="en-US"/>
        </w:rPr>
        <w:t>.</w:t>
      </w:r>
      <w:r w:rsidRPr="0024702C">
        <w:rPr>
          <w:lang w:val="en-US"/>
        </w:rPr>
        <w:t xml:space="preserve"> Regional Radiocommunication Seminar, Lusaka</w:t>
      </w:r>
      <w:r>
        <w:rPr>
          <w:lang w:val="en-US"/>
        </w:rPr>
        <w:t> </w:t>
      </w:r>
      <w:r w:rsidRPr="0024702C">
        <w:rPr>
          <w:lang w:val="en-US"/>
        </w:rPr>
        <w:t>2003.</w:t>
      </w:r>
    </w:p>
  </w:footnote>
  <w:footnote w:id="4">
    <w:p w:rsidR="00AD6883" w:rsidRPr="00E77DE4" w:rsidRDefault="00AD6883" w:rsidP="00447D7D">
      <w:pPr>
        <w:pStyle w:val="FootnoteText"/>
        <w:rPr>
          <w:lang w:val="en-US"/>
        </w:rPr>
      </w:pPr>
      <w:r w:rsidRPr="00447D7D">
        <w:rPr>
          <w:rStyle w:val="FootnoteReference"/>
        </w:rPr>
        <w:footnoteRef/>
      </w:r>
      <w:r w:rsidRPr="00E77DE4">
        <w:rPr>
          <w:lang w:val="en-US"/>
        </w:rPr>
        <w:tab/>
        <w:t>ERC (1998) Report on the Introduction of Economic Criteria in Spectrum Management and the Principles of Fees and Charging in the CEPT, ERC Report 53, March, Manchester.</w:t>
      </w:r>
    </w:p>
  </w:footnote>
  <w:footnote w:id="5">
    <w:p w:rsidR="00AD6883" w:rsidRPr="00FC0E37" w:rsidRDefault="00AD6883" w:rsidP="00447D7D">
      <w:pPr>
        <w:pStyle w:val="FootnoteText"/>
        <w:rPr>
          <w:lang w:val="en-US"/>
        </w:rPr>
      </w:pPr>
      <w:r>
        <w:rPr>
          <w:rStyle w:val="FootnoteReference"/>
        </w:rPr>
        <w:footnoteRef/>
      </w:r>
      <w:r w:rsidRPr="00FC0E37">
        <w:rPr>
          <w:lang w:val="en-US"/>
        </w:rPr>
        <w:t xml:space="preserve"> </w:t>
      </w:r>
      <w:r>
        <w:rPr>
          <w:lang w:val="en-US"/>
        </w:rPr>
        <w:tab/>
      </w:r>
      <w:r w:rsidRPr="0024702C">
        <w:rPr>
          <w:lang w:val="en-US"/>
        </w:rPr>
        <w:t xml:space="preserve">MCMILLAN </w:t>
      </w:r>
      <w:r>
        <w:rPr>
          <w:lang w:val="en-US"/>
        </w:rPr>
        <w:t>[</w:t>
      </w:r>
      <w:r w:rsidRPr="0024702C">
        <w:rPr>
          <w:lang w:val="en-US"/>
        </w:rPr>
        <w:t>1994</w:t>
      </w:r>
      <w:r>
        <w:rPr>
          <w:lang w:val="en-US"/>
        </w:rPr>
        <w:t>]</w:t>
      </w:r>
      <w:r w:rsidRPr="0024702C">
        <w:rPr>
          <w:lang w:val="en-US"/>
        </w:rPr>
        <w:t xml:space="preserve"> </w:t>
      </w:r>
      <w:r w:rsidRPr="00687D1F">
        <w:rPr>
          <w:bCs/>
          <w:szCs w:val="24"/>
          <w:lang w:val="en-US" w:eastAsia="zh-CN"/>
        </w:rPr>
        <w:t>Why auction the spectrum?</w:t>
      </w:r>
      <w:r>
        <w:rPr>
          <w:lang w:val="en-US"/>
        </w:rPr>
        <w:t xml:space="preserve"> </w:t>
      </w:r>
      <w:r w:rsidRPr="0024702C">
        <w:rPr>
          <w:lang w:val="en-US"/>
        </w:rPr>
        <w:t>University of California.</w:t>
      </w:r>
    </w:p>
  </w:footnote>
  <w:footnote w:id="6">
    <w:p w:rsidR="00AD6883" w:rsidRPr="0024702C" w:rsidRDefault="00AD6883" w:rsidP="00447D7D">
      <w:pPr>
        <w:pStyle w:val="FootnoteText"/>
        <w:rPr>
          <w:lang w:val="en-US"/>
        </w:rPr>
      </w:pPr>
      <w:r>
        <w:rPr>
          <w:rStyle w:val="FootnoteReference"/>
        </w:rPr>
        <w:footnoteRef/>
      </w:r>
      <w:r w:rsidRPr="0024702C">
        <w:rPr>
          <w:lang w:val="en-US"/>
        </w:rPr>
        <w:t xml:space="preserve"> </w:t>
      </w:r>
      <w:r w:rsidRPr="0024702C">
        <w:rPr>
          <w:lang w:val="en-US"/>
        </w:rPr>
        <w:tab/>
        <w:t xml:space="preserve">MCMILLAN, J. [Summer 1994] Selling Spectrum Rights. </w:t>
      </w:r>
      <w:r w:rsidRPr="0024702C">
        <w:rPr>
          <w:i/>
          <w:lang w:val="en-US"/>
        </w:rPr>
        <w:t>J. Economic Perspectives</w:t>
      </w:r>
      <w:r w:rsidRPr="0024702C">
        <w:rPr>
          <w:iCs/>
          <w:lang w:val="en-US"/>
        </w:rPr>
        <w:t>.</w:t>
      </w:r>
    </w:p>
  </w:footnote>
  <w:footnote w:id="7">
    <w:p w:rsidR="00AD6883" w:rsidRPr="004A286A" w:rsidRDefault="00AD6883" w:rsidP="00447D7D">
      <w:pPr>
        <w:pStyle w:val="FootnoteText"/>
        <w:rPr>
          <w:rStyle w:val="FootnoteReference"/>
          <w:position w:val="0"/>
          <w:sz w:val="22"/>
        </w:rPr>
      </w:pPr>
      <w:r w:rsidRPr="00FC0E37">
        <w:rPr>
          <w:rStyle w:val="FootnoteReference"/>
        </w:rPr>
        <w:footnoteRef/>
      </w:r>
      <w:r w:rsidRPr="004A286A">
        <w:rPr>
          <w:rStyle w:val="FootnoteReference"/>
          <w:position w:val="0"/>
          <w:sz w:val="22"/>
        </w:rPr>
        <w:t xml:space="preserve"> </w:t>
      </w:r>
      <w:r w:rsidRPr="004A286A">
        <w:rPr>
          <w:rStyle w:val="FootnoteReference"/>
          <w:position w:val="0"/>
          <w:sz w:val="22"/>
        </w:rPr>
        <w:tab/>
        <w:t xml:space="preserve">BYKHOVSKY, M. A., KUSHTUEV, A. I., NOZDRIN, V. V. and PAVLIOUK, A. P. [1998]  Auctions as an effective contemporary method of spectrum management. </w:t>
      </w:r>
      <w:r w:rsidRPr="00586560">
        <w:rPr>
          <w:rStyle w:val="FootnoteReference"/>
          <w:i/>
          <w:iCs/>
          <w:position w:val="0"/>
          <w:sz w:val="22"/>
        </w:rPr>
        <w:t>Elektrosvyaz</w:t>
      </w:r>
      <w:r w:rsidRPr="004A286A">
        <w:rPr>
          <w:rStyle w:val="FootnoteReference"/>
          <w:position w:val="0"/>
          <w:sz w:val="22"/>
        </w:rPr>
        <w:t>.</w:t>
      </w:r>
    </w:p>
  </w:footnote>
  <w:footnote w:id="8">
    <w:p w:rsidR="00AD6883" w:rsidRPr="00586560" w:rsidRDefault="00AD6883" w:rsidP="006D51AA">
      <w:pPr>
        <w:pStyle w:val="FootnoteText"/>
        <w:rPr>
          <w:lang w:val="en-US"/>
        </w:rPr>
      </w:pPr>
      <w:r>
        <w:rPr>
          <w:rStyle w:val="FootnoteReference"/>
        </w:rPr>
        <w:footnoteRef/>
      </w:r>
      <w:r w:rsidRPr="00586560">
        <w:rPr>
          <w:lang w:val="en-US"/>
        </w:rPr>
        <w:tab/>
      </w:r>
      <w:r w:rsidRPr="0024702C">
        <w:rPr>
          <w:lang w:val="en-US"/>
        </w:rPr>
        <w:t xml:space="preserve">BYKHOVSKY, M. A. [1993] Frequency planning of cellular mobile networks. </w:t>
      </w:r>
      <w:r w:rsidRPr="00DC004A">
        <w:rPr>
          <w:i/>
          <w:iCs/>
        </w:rPr>
        <w:t>Elektrosvyaz</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883" w:rsidRPr="00022D03" w:rsidRDefault="00AD6883" w:rsidP="0024702C">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796FC7">
      <w:rPr>
        <w:b/>
        <w:bCs/>
        <w:noProof/>
        <w:lang w:val="en-US"/>
      </w:rPr>
      <w:t>42</w:t>
    </w:r>
    <w:r w:rsidRPr="00B21000">
      <w:fldChar w:fldCharType="end"/>
    </w:r>
    <w:r w:rsidRPr="00B21000">
      <w:rPr>
        <w:lang w:val="en-US"/>
      </w:rPr>
      <w:tab/>
    </w:r>
    <w:r>
      <w:fldChar w:fldCharType="begin"/>
    </w:r>
    <w:r w:rsidRPr="00022D03">
      <w:rPr>
        <w:lang w:val="en-US"/>
      </w:rPr>
      <w:instrText xml:space="preserve"> DOCPROPERTY "Header 2" \* MERGEFORMAT </w:instrText>
    </w:r>
    <w:r>
      <w:fldChar w:fldCharType="separate"/>
    </w:r>
    <w:r w:rsidR="00796FC7" w:rsidRPr="00796FC7">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796FC7">
      <w:rPr>
        <w:b/>
        <w:bCs/>
        <w:noProof/>
      </w:rPr>
      <w:t>ITU-R  SM.2012-4</w:t>
    </w:r>
    <w:r w:rsidRPr="00B21000">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883" w:rsidRPr="00002E74" w:rsidRDefault="00AD6883" w:rsidP="00002E74">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796FC7">
      <w:rPr>
        <w:b/>
        <w:bCs/>
        <w:noProof/>
        <w:lang w:val="en-US"/>
      </w:rPr>
      <w:t>44</w:t>
    </w:r>
    <w:r w:rsidRPr="00B21000">
      <w:fldChar w:fldCharType="end"/>
    </w:r>
    <w:r w:rsidRPr="00B21000">
      <w:rPr>
        <w:lang w:val="en-US"/>
      </w:rPr>
      <w:tab/>
    </w:r>
    <w:r>
      <w:fldChar w:fldCharType="begin"/>
    </w:r>
    <w:r w:rsidRPr="00022D03">
      <w:rPr>
        <w:lang w:val="en-US"/>
      </w:rPr>
      <w:instrText xml:space="preserve"> DOCPROPERTY "Header 2" \* MERGEFORMAT </w:instrText>
    </w:r>
    <w:r>
      <w:fldChar w:fldCharType="separate"/>
    </w:r>
    <w:r w:rsidR="00796FC7" w:rsidRPr="00796FC7">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796FC7">
      <w:rPr>
        <w:b/>
        <w:bCs/>
        <w:noProof/>
      </w:rPr>
      <w:t>ITU-R  SM.2012-4</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883" w:rsidRDefault="00AD6883" w:rsidP="0024702C">
    <w:pPr>
      <w:pStyle w:val="Header"/>
      <w:ind w:right="360" w:firstLine="360"/>
    </w:pPr>
    <w:r>
      <w:rPr>
        <w:noProof/>
        <w:lang w:val="en-US" w:eastAsia="zh-CN"/>
      </w:rPr>
      <w:drawing>
        <wp:anchor distT="0" distB="0" distL="114300" distR="114300" simplePos="0" relativeHeight="251659264" behindDoc="1" locked="0" layoutInCell="1" allowOverlap="1" wp14:anchorId="2749498C" wp14:editId="4197400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883" w:rsidRPr="00022D03" w:rsidRDefault="00AD6883" w:rsidP="00A6735C">
    <w:pPr>
      <w:pStyle w:val="Header"/>
      <w:jc w:val="both"/>
      <w:rPr>
        <w:lang w:val="en-US"/>
      </w:rPr>
    </w:pPr>
    <w:r w:rsidRPr="00B21000">
      <w:rPr>
        <w:lang w:val="en-US"/>
      </w:rPr>
      <w:tab/>
    </w:r>
    <w:r>
      <w:fldChar w:fldCharType="begin"/>
    </w:r>
    <w:r w:rsidRPr="00022D03">
      <w:rPr>
        <w:lang w:val="en-US"/>
      </w:rPr>
      <w:instrText xml:space="preserve"> DOCPROPERTY "Header 2" \* MERGEFORMAT </w:instrText>
    </w:r>
    <w:r>
      <w:fldChar w:fldCharType="separate"/>
    </w:r>
    <w:r w:rsidR="00796FC7" w:rsidRPr="00796FC7">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796FC7">
      <w:rPr>
        <w:b/>
        <w:bCs/>
        <w:noProof/>
      </w:rPr>
      <w:t>ITU-R  SM.2012-4</w:t>
    </w:r>
    <w:r w:rsidRPr="00B21000">
      <w:fldChar w:fldCharType="end"/>
    </w:r>
    <w:r>
      <w:tab/>
    </w:r>
    <w:r>
      <w:fldChar w:fldCharType="begin"/>
    </w:r>
    <w:r>
      <w:instrText xml:space="preserve"> PAGE   \* MERGEFORMAT </w:instrText>
    </w:r>
    <w:r>
      <w:fldChar w:fldCharType="separate"/>
    </w:r>
    <w:r>
      <w:rPr>
        <w:noProof/>
      </w:rPr>
      <w:t>88</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883" w:rsidRPr="007E085A" w:rsidRDefault="00AD6883" w:rsidP="007E085A">
    <w:pPr>
      <w:pStyle w:val="Header"/>
      <w:jc w:val="both"/>
      <w:rPr>
        <w:b/>
        <w:bCs/>
        <w:lang w:val="en-US"/>
      </w:rPr>
    </w:pPr>
    <w:r w:rsidRPr="00B21000">
      <w:rPr>
        <w:lang w:val="en-US"/>
      </w:rPr>
      <w:tab/>
    </w:r>
    <w:r>
      <w:fldChar w:fldCharType="begin"/>
    </w:r>
    <w:r w:rsidRPr="00022D03">
      <w:rPr>
        <w:lang w:val="en-US"/>
      </w:rPr>
      <w:instrText xml:space="preserve"> DOCPROPERTY "Header 2" \* MERGEFORMAT </w:instrText>
    </w:r>
    <w:r>
      <w:fldChar w:fldCharType="separate"/>
    </w:r>
    <w:r w:rsidR="00796FC7" w:rsidRPr="00796FC7">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796FC7">
      <w:rPr>
        <w:b/>
        <w:bCs/>
        <w:noProof/>
      </w:rPr>
      <w:t>ITU-R  SM.2012-4</w:t>
    </w:r>
    <w:r w:rsidRPr="00B21000">
      <w:fldChar w:fldCharType="end"/>
    </w:r>
    <w:r>
      <w:tab/>
    </w:r>
    <w:r w:rsidRPr="00A6735C">
      <w:rPr>
        <w:b/>
        <w:bCs/>
      </w:rPr>
      <w:fldChar w:fldCharType="begin"/>
    </w:r>
    <w:r w:rsidRPr="00A6735C">
      <w:rPr>
        <w:b/>
        <w:bCs/>
      </w:rPr>
      <w:instrText xml:space="preserve"> PAGE   \* MERGEFORMAT </w:instrText>
    </w:r>
    <w:r w:rsidRPr="00A6735C">
      <w:rPr>
        <w:b/>
        <w:bCs/>
      </w:rPr>
      <w:fldChar w:fldCharType="separate"/>
    </w:r>
    <w:r w:rsidR="00796FC7">
      <w:rPr>
        <w:b/>
        <w:bCs/>
        <w:noProof/>
      </w:rPr>
      <w:t>41</w:t>
    </w:r>
    <w:r w:rsidRPr="00A6735C">
      <w:rPr>
        <w:b/>
        <w:bC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883" w:rsidRPr="00A6735C" w:rsidRDefault="00AD6883" w:rsidP="00A6735C">
    <w:pPr>
      <w:pStyle w:val="Header"/>
      <w:jc w:val="both"/>
      <w:rPr>
        <w:b/>
        <w:bCs/>
        <w:lang w:val="en-US"/>
      </w:rPr>
    </w:pPr>
    <w:r w:rsidRPr="00B21000">
      <w:rPr>
        <w:lang w:val="en-US"/>
      </w:rPr>
      <w:tab/>
    </w:r>
    <w:r>
      <w:fldChar w:fldCharType="begin"/>
    </w:r>
    <w:r w:rsidRPr="00022D03">
      <w:rPr>
        <w:lang w:val="en-US"/>
      </w:rPr>
      <w:instrText xml:space="preserve"> DOCPROPERTY "Header 2" \* MERGEFORMAT </w:instrText>
    </w:r>
    <w:r>
      <w:fldChar w:fldCharType="separate"/>
    </w:r>
    <w:r w:rsidR="00796FC7" w:rsidRPr="00796FC7">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796FC7">
      <w:rPr>
        <w:b/>
        <w:bCs/>
        <w:noProof/>
      </w:rPr>
      <w:t>ITU-R  SM.2012-4</w:t>
    </w:r>
    <w:r w:rsidRPr="00B21000">
      <w:fldChar w:fldCharType="end"/>
    </w:r>
    <w:r>
      <w:tab/>
    </w:r>
    <w:r w:rsidRPr="00A6735C">
      <w:rPr>
        <w:b/>
        <w:bCs/>
      </w:rPr>
      <w:fldChar w:fldCharType="begin"/>
    </w:r>
    <w:r w:rsidRPr="00A6735C">
      <w:rPr>
        <w:b/>
        <w:bCs/>
      </w:rPr>
      <w:instrText xml:space="preserve"> PAGE   \* MERGEFORMAT </w:instrText>
    </w:r>
    <w:r w:rsidRPr="00A6735C">
      <w:rPr>
        <w:b/>
        <w:bCs/>
      </w:rPr>
      <w:fldChar w:fldCharType="separate"/>
    </w:r>
    <w:r w:rsidR="00796FC7">
      <w:rPr>
        <w:b/>
        <w:bCs/>
        <w:noProof/>
      </w:rPr>
      <w:t>1</w:t>
    </w:r>
    <w:r w:rsidRPr="00A6735C">
      <w:rPr>
        <w:b/>
        <w:bC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883" w:rsidRPr="00022D03" w:rsidRDefault="00AD6883" w:rsidP="00C5054C">
    <w:pPr>
      <w:pStyle w:val="Header"/>
      <w:tabs>
        <w:tab w:val="clear" w:pos="4848"/>
        <w:tab w:val="clear" w:pos="9696"/>
        <w:tab w:val="center" w:pos="7258"/>
        <w:tab w:val="left" w:pos="14515"/>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44</w:t>
    </w:r>
    <w:r w:rsidRPr="00B21000">
      <w:fldChar w:fldCharType="end"/>
    </w:r>
    <w:r w:rsidRPr="00B21000">
      <w:rPr>
        <w:lang w:val="en-US"/>
      </w:rPr>
      <w:tab/>
    </w:r>
    <w:r>
      <w:fldChar w:fldCharType="begin"/>
    </w:r>
    <w:r w:rsidRPr="00022D03">
      <w:rPr>
        <w:lang w:val="en-US"/>
      </w:rPr>
      <w:instrText xml:space="preserve"> DOCPROPERTY "Header 2" \* MERGEFORMAT </w:instrText>
    </w:r>
    <w:r>
      <w:fldChar w:fldCharType="separate"/>
    </w:r>
    <w:r w:rsidR="00796FC7" w:rsidRPr="00796FC7">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796FC7">
      <w:rPr>
        <w:b/>
        <w:bCs/>
        <w:noProof/>
      </w:rPr>
      <w:t>ITU-R  SM.2012-4</w:t>
    </w:r>
    <w:r w:rsidRPr="00B21000">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883" w:rsidRPr="007E085A" w:rsidRDefault="00AD6883" w:rsidP="007E085A">
    <w:pPr>
      <w:pStyle w:val="Header"/>
      <w:tabs>
        <w:tab w:val="clear" w:pos="4848"/>
        <w:tab w:val="clear" w:pos="9696"/>
        <w:tab w:val="center" w:pos="7258"/>
        <w:tab w:val="right" w:pos="14601"/>
      </w:tabs>
      <w:jc w:val="both"/>
      <w:rPr>
        <w:lang w:val="en-US"/>
      </w:rPr>
    </w:pPr>
    <w:r w:rsidRPr="00B21000">
      <w:rPr>
        <w:lang w:val="en-US"/>
      </w:rPr>
      <w:tab/>
    </w:r>
    <w:r>
      <w:fldChar w:fldCharType="begin"/>
    </w:r>
    <w:r w:rsidRPr="00022D03">
      <w:rPr>
        <w:lang w:val="en-US"/>
      </w:rPr>
      <w:instrText xml:space="preserve"> DOCPROPERTY "Header 2" \* MERGEFORMAT </w:instrText>
    </w:r>
    <w:r>
      <w:fldChar w:fldCharType="separate"/>
    </w:r>
    <w:r w:rsidR="00796FC7" w:rsidRPr="00796FC7">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796FC7">
      <w:rPr>
        <w:b/>
        <w:bCs/>
        <w:noProof/>
      </w:rPr>
      <w:t>ITU-R  SM.2012-4</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796FC7">
      <w:rPr>
        <w:b/>
        <w:bCs/>
        <w:noProof/>
        <w:lang w:val="en-US"/>
      </w:rPr>
      <w:t>43</w:t>
    </w:r>
    <w:r w:rsidRPr="00B21000">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883" w:rsidRDefault="00AD6883" w:rsidP="0024294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96FC7">
      <w:rPr>
        <w:rStyle w:val="PageNumber"/>
        <w:b/>
        <w:bCs/>
        <w:noProof/>
        <w:lang w:val="en-US"/>
      </w:rPr>
      <w:t>176</w:t>
    </w:r>
    <w:r>
      <w:rPr>
        <w:rStyle w:val="PageNumber"/>
        <w:b/>
        <w:bCs/>
      </w:rPr>
      <w:fldChar w:fldCharType="end"/>
    </w:r>
    <w:r>
      <w:rPr>
        <w:lang w:val="en-US"/>
      </w:rPr>
      <w:tab/>
    </w:r>
    <w:r>
      <w:fldChar w:fldCharType="begin"/>
    </w:r>
    <w:r w:rsidRPr="00022D03">
      <w:rPr>
        <w:lang w:val="en-US"/>
      </w:rPr>
      <w:instrText xml:space="preserve"> DOCPROPERTY "Header 2" \* MERGEFORMAT </w:instrText>
    </w:r>
    <w:r>
      <w:fldChar w:fldCharType="separate"/>
    </w:r>
    <w:r w:rsidR="00796FC7" w:rsidRPr="00796FC7">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796FC7">
      <w:rPr>
        <w:b/>
        <w:bCs/>
        <w:noProof/>
      </w:rPr>
      <w:t>ITU-R  SM.2012-4</w:t>
    </w:r>
    <w:r w:rsidRPr="00B21000">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883" w:rsidRDefault="00AD6883" w:rsidP="0024294C">
    <w:pPr>
      <w:pStyle w:val="Header"/>
    </w:pPr>
    <w:r>
      <w:tab/>
    </w:r>
    <w:r>
      <w:fldChar w:fldCharType="begin"/>
    </w:r>
    <w:r w:rsidRPr="00022D03">
      <w:rPr>
        <w:lang w:val="en-US"/>
      </w:rPr>
      <w:instrText xml:space="preserve"> DOCPROPERTY "Header 2" \* MERGEFORMAT </w:instrText>
    </w:r>
    <w:r>
      <w:fldChar w:fldCharType="separate"/>
    </w:r>
    <w:r w:rsidR="00796FC7" w:rsidRPr="00796FC7">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796FC7">
      <w:rPr>
        <w:b/>
        <w:bCs/>
        <w:noProof/>
      </w:rPr>
      <w:t>ITU-R  SM.2012-4</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96FC7">
      <w:rPr>
        <w:rStyle w:val="PageNumber"/>
        <w:b/>
        <w:bCs/>
        <w:noProof/>
      </w:rPr>
      <w:t>175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77ECA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26C2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F400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B054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7629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8A94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CC17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867B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A688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9820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1C61A3"/>
    <w:multiLevelType w:val="hybridMultilevel"/>
    <w:tmpl w:val="3F0C1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1F7033"/>
    <w:multiLevelType w:val="hybridMultilevel"/>
    <w:tmpl w:val="E308676E"/>
    <w:lvl w:ilvl="0" w:tplc="9AB0BE1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2323948"/>
    <w:multiLevelType w:val="hybridMultilevel"/>
    <w:tmpl w:val="826E40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15655A"/>
    <w:multiLevelType w:val="hybridMultilevel"/>
    <w:tmpl w:val="1AF8FCDA"/>
    <w:lvl w:ilvl="0" w:tplc="2D04539C">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FB83BCA"/>
    <w:multiLevelType w:val="hybridMultilevel"/>
    <w:tmpl w:val="54747092"/>
    <w:lvl w:ilvl="0" w:tplc="689CB7A8">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4342FA2"/>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6" w15:restartNumberingAfterBreak="0">
    <w:nsid w:val="464F7AE1"/>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7" w15:restartNumberingAfterBreak="0">
    <w:nsid w:val="4BC3427B"/>
    <w:multiLevelType w:val="hybridMultilevel"/>
    <w:tmpl w:val="156664F2"/>
    <w:lvl w:ilvl="0" w:tplc="B9707A10">
      <w:start w:val="1"/>
      <w:numFmt w:val="decimal"/>
      <w:lvlText w:val="%1."/>
      <w:lvlJc w:val="left"/>
      <w:pPr>
        <w:ind w:left="760" w:hanging="360"/>
      </w:pPr>
      <w:rPr>
        <w:rFonts w:hint="default"/>
        <w: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560A0D8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15:restartNumberingAfterBreak="0">
    <w:nsid w:val="61BD490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6D67463"/>
    <w:multiLevelType w:val="hybridMultilevel"/>
    <w:tmpl w:val="860628BE"/>
    <w:lvl w:ilvl="0" w:tplc="8B048C36">
      <w:numFmt w:val="bullet"/>
      <w:lvlText w:val="-"/>
      <w:lvlJc w:val="left"/>
      <w:pPr>
        <w:ind w:left="465" w:hanging="360"/>
      </w:pPr>
      <w:rPr>
        <w:rFonts w:ascii="Times New Roman" w:eastAsia="Batang" w:hAnsi="Times New Roman" w:cs="Times New Roman"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21" w15:restartNumberingAfterBreak="0">
    <w:nsid w:val="730D028F"/>
    <w:multiLevelType w:val="multilevel"/>
    <w:tmpl w:val="85E41DA4"/>
    <w:lvl w:ilvl="0">
      <w:start w:val="5"/>
      <w:numFmt w:val="decimal"/>
      <w:suff w:val="nothing"/>
      <w:lvlText w:val="ARTICLE %1 - "/>
      <w:lvlJc w:val="center"/>
      <w:pPr>
        <w:ind w:left="4320" w:hanging="4320"/>
      </w:pPr>
      <w:rPr>
        <w:rFonts w:ascii="Times New Roman Bold" w:hAnsi="Times New Roman Bold" w:cs="Times New Roman" w:hint="default"/>
        <w:b/>
        <w:i w:val="0"/>
        <w:caps/>
        <w:sz w:val="24"/>
        <w:szCs w:val="24"/>
        <w:u w:val="none"/>
      </w:rPr>
    </w:lvl>
    <w:lvl w:ilvl="1">
      <w:start w:val="1"/>
      <w:numFmt w:val="decimal"/>
      <w:isLgl/>
      <w:lvlText w:val="%1.%2"/>
      <w:lvlJc w:val="left"/>
      <w:pPr>
        <w:tabs>
          <w:tab w:val="num" w:pos="1008"/>
        </w:tabs>
        <w:ind w:left="1008" w:hanging="1008"/>
      </w:pPr>
      <w:rPr>
        <w:rFonts w:ascii="Times New Roman Bold" w:hAnsi="Times New Roman Bold" w:cs="Times New Roman" w:hint="default"/>
        <w:b/>
        <w:i w:val="0"/>
        <w:sz w:val="24"/>
        <w:szCs w:val="24"/>
        <w:u w:val="none"/>
      </w:rPr>
    </w:lvl>
    <w:lvl w:ilvl="2">
      <w:start w:val="1"/>
      <w:numFmt w:val="decimal"/>
      <w:lvlText w:val="%1.%2.%3."/>
      <w:lvlJc w:val="left"/>
      <w:pPr>
        <w:tabs>
          <w:tab w:val="num" w:pos="1008"/>
        </w:tabs>
        <w:ind w:left="1008" w:hanging="1008"/>
      </w:pPr>
      <w:rPr>
        <w:rFonts w:ascii="Times New Roman" w:hAnsi="Times New Roman" w:cs="Times New Roman" w:hint="default"/>
        <w:b w:val="0"/>
        <w:i w:val="0"/>
        <w:sz w:val="24"/>
        <w:szCs w:val="24"/>
        <w:u w:val="none"/>
      </w:rPr>
    </w:lvl>
    <w:lvl w:ilvl="3">
      <w:start w:val="1"/>
      <w:numFmt w:val="lowerLetter"/>
      <w:lvlText w:val="(%4)"/>
      <w:lvlJc w:val="left"/>
      <w:pPr>
        <w:tabs>
          <w:tab w:val="num" w:pos="1728"/>
        </w:tabs>
        <w:ind w:left="1728" w:hanging="720"/>
      </w:pPr>
      <w:rPr>
        <w:rFonts w:ascii="Times New Roman" w:hAnsi="Times New Roman" w:cs="Times New Roman" w:hint="default"/>
        <w:b w:val="0"/>
        <w:i w:val="0"/>
        <w:sz w:val="24"/>
        <w:szCs w:val="24"/>
        <w:u w:val="none"/>
      </w:rPr>
    </w:lvl>
    <w:lvl w:ilvl="4">
      <w:start w:val="1"/>
      <w:numFmt w:val="lowerRoman"/>
      <w:lvlText w:val="(%5)"/>
      <w:lvlJc w:val="left"/>
      <w:pPr>
        <w:tabs>
          <w:tab w:val="num" w:pos="2448"/>
        </w:tabs>
        <w:ind w:left="2448" w:hanging="720"/>
      </w:pPr>
      <w:rPr>
        <w:rFonts w:ascii="Times New Roman" w:hAnsi="Times New Roman" w:cs="Times New Roman" w:hint="default"/>
        <w:b w:val="0"/>
        <w:i w:val="0"/>
        <w:sz w:val="24"/>
        <w:szCs w:val="24"/>
        <w:u w:val="none"/>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4320"/>
        </w:tabs>
        <w:ind w:left="4320" w:hanging="720"/>
      </w:pPr>
      <w:rPr>
        <w:rFonts w:cs="Times New Roman" w:hint="default"/>
      </w:rPr>
    </w:lvl>
    <w:lvl w:ilvl="8">
      <w:start w:val="1"/>
      <w:numFmt w:val="upperLetter"/>
      <w:lvlText w:val="%9)"/>
      <w:lvlJc w:val="left"/>
      <w:pPr>
        <w:tabs>
          <w:tab w:val="num" w:pos="4320"/>
        </w:tabs>
        <w:ind w:left="4320" w:hanging="720"/>
      </w:pPr>
      <w:rPr>
        <w:rFonts w:cs="Times New Roman" w:hint="default"/>
      </w:rPr>
    </w:lvl>
  </w:abstractNum>
  <w:abstractNum w:abstractNumId="22" w15:restartNumberingAfterBreak="0">
    <w:nsid w:val="797F57B2"/>
    <w:multiLevelType w:val="multilevel"/>
    <w:tmpl w:val="1996DA9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2"/>
  </w:num>
  <w:num w:numId="13">
    <w:abstractNumId w:val="21"/>
  </w:num>
  <w:num w:numId="14">
    <w:abstractNumId w:val="14"/>
  </w:num>
  <w:num w:numId="15">
    <w:abstractNumId w:val="11"/>
  </w:num>
  <w:num w:numId="16">
    <w:abstractNumId w:val="18"/>
  </w:num>
  <w:num w:numId="17">
    <w:abstractNumId w:val="19"/>
  </w:num>
  <w:num w:numId="18">
    <w:abstractNumId w:val="15"/>
  </w:num>
  <w:num w:numId="19">
    <w:abstractNumId w:val="13"/>
  </w:num>
  <w:num w:numId="20">
    <w:abstractNumId w:val="10"/>
  </w:num>
  <w:num w:numId="21">
    <w:abstractNumId w:val="12"/>
  </w:num>
  <w:num w:numId="22">
    <w:abstractNumId w:val="20"/>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D03"/>
    <w:rsid w:val="00000473"/>
    <w:rsid w:val="00001399"/>
    <w:rsid w:val="00002E74"/>
    <w:rsid w:val="000064F4"/>
    <w:rsid w:val="000123A6"/>
    <w:rsid w:val="00022D03"/>
    <w:rsid w:val="00023746"/>
    <w:rsid w:val="00032880"/>
    <w:rsid w:val="000338C4"/>
    <w:rsid w:val="000429F2"/>
    <w:rsid w:val="00052595"/>
    <w:rsid w:val="00056D0F"/>
    <w:rsid w:val="0006316C"/>
    <w:rsid w:val="000632A8"/>
    <w:rsid w:val="00080AA5"/>
    <w:rsid w:val="00092C21"/>
    <w:rsid w:val="00094FD5"/>
    <w:rsid w:val="00097FD9"/>
    <w:rsid w:val="000A20B7"/>
    <w:rsid w:val="000A7119"/>
    <w:rsid w:val="000B7423"/>
    <w:rsid w:val="000B7562"/>
    <w:rsid w:val="000B78DE"/>
    <w:rsid w:val="000C5FCA"/>
    <w:rsid w:val="000D65D4"/>
    <w:rsid w:val="000E52B3"/>
    <w:rsid w:val="000F2A55"/>
    <w:rsid w:val="000F686E"/>
    <w:rsid w:val="000F7022"/>
    <w:rsid w:val="00110817"/>
    <w:rsid w:val="00110E9B"/>
    <w:rsid w:val="00116767"/>
    <w:rsid w:val="00121214"/>
    <w:rsid w:val="0012303E"/>
    <w:rsid w:val="001272DD"/>
    <w:rsid w:val="00147C13"/>
    <w:rsid w:val="00152992"/>
    <w:rsid w:val="001616F4"/>
    <w:rsid w:val="001730F8"/>
    <w:rsid w:val="001B06EF"/>
    <w:rsid w:val="001E21FD"/>
    <w:rsid w:val="001F2E5C"/>
    <w:rsid w:val="002074F9"/>
    <w:rsid w:val="002101E7"/>
    <w:rsid w:val="00215E02"/>
    <w:rsid w:val="0021702B"/>
    <w:rsid w:val="00217EBF"/>
    <w:rsid w:val="00223739"/>
    <w:rsid w:val="0024294C"/>
    <w:rsid w:val="002443A1"/>
    <w:rsid w:val="0024702C"/>
    <w:rsid w:val="00250E91"/>
    <w:rsid w:val="0027035F"/>
    <w:rsid w:val="002937B0"/>
    <w:rsid w:val="002A631E"/>
    <w:rsid w:val="002B13C6"/>
    <w:rsid w:val="002B5AEF"/>
    <w:rsid w:val="002D1D5C"/>
    <w:rsid w:val="002D6684"/>
    <w:rsid w:val="002D76C4"/>
    <w:rsid w:val="003071F4"/>
    <w:rsid w:val="00330F30"/>
    <w:rsid w:val="003339E5"/>
    <w:rsid w:val="00357EBB"/>
    <w:rsid w:val="003972C5"/>
    <w:rsid w:val="003A0093"/>
    <w:rsid w:val="003A0697"/>
    <w:rsid w:val="003A154B"/>
    <w:rsid w:val="003A28AE"/>
    <w:rsid w:val="003B5737"/>
    <w:rsid w:val="003D0182"/>
    <w:rsid w:val="003D3A89"/>
    <w:rsid w:val="003E49BB"/>
    <w:rsid w:val="004068FF"/>
    <w:rsid w:val="00407AD7"/>
    <w:rsid w:val="0041198C"/>
    <w:rsid w:val="00443475"/>
    <w:rsid w:val="00447D7D"/>
    <w:rsid w:val="004706A6"/>
    <w:rsid w:val="00474C7B"/>
    <w:rsid w:val="00481587"/>
    <w:rsid w:val="00483A72"/>
    <w:rsid w:val="004A286A"/>
    <w:rsid w:val="004A4E59"/>
    <w:rsid w:val="004B1C8B"/>
    <w:rsid w:val="004E275C"/>
    <w:rsid w:val="004E6750"/>
    <w:rsid w:val="004E6D7E"/>
    <w:rsid w:val="004E78EB"/>
    <w:rsid w:val="0051072C"/>
    <w:rsid w:val="00520578"/>
    <w:rsid w:val="00523DCA"/>
    <w:rsid w:val="00536BBD"/>
    <w:rsid w:val="00550111"/>
    <w:rsid w:val="005737F6"/>
    <w:rsid w:val="0057458B"/>
    <w:rsid w:val="00582762"/>
    <w:rsid w:val="00586560"/>
    <w:rsid w:val="005B3B67"/>
    <w:rsid w:val="005C0D19"/>
    <w:rsid w:val="005C1150"/>
    <w:rsid w:val="005C1652"/>
    <w:rsid w:val="005E399D"/>
    <w:rsid w:val="005F07FC"/>
    <w:rsid w:val="005F0B1C"/>
    <w:rsid w:val="005F3851"/>
    <w:rsid w:val="00607465"/>
    <w:rsid w:val="00607D68"/>
    <w:rsid w:val="006259C5"/>
    <w:rsid w:val="00632E5E"/>
    <w:rsid w:val="00633C23"/>
    <w:rsid w:val="0064519E"/>
    <w:rsid w:val="00675690"/>
    <w:rsid w:val="00676DA2"/>
    <w:rsid w:val="006A3866"/>
    <w:rsid w:val="006A628F"/>
    <w:rsid w:val="006B3F4A"/>
    <w:rsid w:val="006B4F03"/>
    <w:rsid w:val="006B5A92"/>
    <w:rsid w:val="006C6DBA"/>
    <w:rsid w:val="006D07A8"/>
    <w:rsid w:val="006D51AA"/>
    <w:rsid w:val="006E036A"/>
    <w:rsid w:val="006E25B8"/>
    <w:rsid w:val="00707603"/>
    <w:rsid w:val="00727B65"/>
    <w:rsid w:val="007359E9"/>
    <w:rsid w:val="00740187"/>
    <w:rsid w:val="007468DA"/>
    <w:rsid w:val="00751881"/>
    <w:rsid w:val="00753B36"/>
    <w:rsid w:val="007643E9"/>
    <w:rsid w:val="00764803"/>
    <w:rsid w:val="00776E34"/>
    <w:rsid w:val="00783680"/>
    <w:rsid w:val="00796FC7"/>
    <w:rsid w:val="007A11BA"/>
    <w:rsid w:val="007A44FB"/>
    <w:rsid w:val="007B1A92"/>
    <w:rsid w:val="007C080D"/>
    <w:rsid w:val="007C30F2"/>
    <w:rsid w:val="007D3DBF"/>
    <w:rsid w:val="007E085A"/>
    <w:rsid w:val="007E4B31"/>
    <w:rsid w:val="007F482C"/>
    <w:rsid w:val="00803E26"/>
    <w:rsid w:val="00810531"/>
    <w:rsid w:val="00816FB0"/>
    <w:rsid w:val="00833FD2"/>
    <w:rsid w:val="00872AC4"/>
    <w:rsid w:val="008864B2"/>
    <w:rsid w:val="008A10D5"/>
    <w:rsid w:val="008A18D5"/>
    <w:rsid w:val="008A1E35"/>
    <w:rsid w:val="008A6D5C"/>
    <w:rsid w:val="008D5B54"/>
    <w:rsid w:val="008D77BF"/>
    <w:rsid w:val="008F35B9"/>
    <w:rsid w:val="008F3EFF"/>
    <w:rsid w:val="0091602F"/>
    <w:rsid w:val="0092229D"/>
    <w:rsid w:val="00922C76"/>
    <w:rsid w:val="009231D7"/>
    <w:rsid w:val="00930CD2"/>
    <w:rsid w:val="00931E13"/>
    <w:rsid w:val="00942A5B"/>
    <w:rsid w:val="00943DEB"/>
    <w:rsid w:val="00946617"/>
    <w:rsid w:val="0094767C"/>
    <w:rsid w:val="00963141"/>
    <w:rsid w:val="0097049F"/>
    <w:rsid w:val="00972099"/>
    <w:rsid w:val="00991898"/>
    <w:rsid w:val="009937ED"/>
    <w:rsid w:val="009A4770"/>
    <w:rsid w:val="009A74CF"/>
    <w:rsid w:val="009C0023"/>
    <w:rsid w:val="009D7547"/>
    <w:rsid w:val="009E0A86"/>
    <w:rsid w:val="009E4012"/>
    <w:rsid w:val="009F3888"/>
    <w:rsid w:val="00A25DD8"/>
    <w:rsid w:val="00A3079E"/>
    <w:rsid w:val="00A55FD9"/>
    <w:rsid w:val="00A61F54"/>
    <w:rsid w:val="00A6585A"/>
    <w:rsid w:val="00A6617B"/>
    <w:rsid w:val="00A6672C"/>
    <w:rsid w:val="00A6735C"/>
    <w:rsid w:val="00A700B7"/>
    <w:rsid w:val="00A81D74"/>
    <w:rsid w:val="00A86C75"/>
    <w:rsid w:val="00A93F33"/>
    <w:rsid w:val="00AA457D"/>
    <w:rsid w:val="00AA7882"/>
    <w:rsid w:val="00AB0DC8"/>
    <w:rsid w:val="00AD6883"/>
    <w:rsid w:val="00AF0CA0"/>
    <w:rsid w:val="00B0203C"/>
    <w:rsid w:val="00B04CF3"/>
    <w:rsid w:val="00B1292A"/>
    <w:rsid w:val="00B1544E"/>
    <w:rsid w:val="00B277B9"/>
    <w:rsid w:val="00B27B00"/>
    <w:rsid w:val="00B27CE9"/>
    <w:rsid w:val="00B36540"/>
    <w:rsid w:val="00B44E24"/>
    <w:rsid w:val="00B5005D"/>
    <w:rsid w:val="00B609C4"/>
    <w:rsid w:val="00B62BDB"/>
    <w:rsid w:val="00B8285A"/>
    <w:rsid w:val="00B865AE"/>
    <w:rsid w:val="00BC7B6F"/>
    <w:rsid w:val="00BC7C44"/>
    <w:rsid w:val="00BD5038"/>
    <w:rsid w:val="00BD6ADD"/>
    <w:rsid w:val="00C01B41"/>
    <w:rsid w:val="00C41D5B"/>
    <w:rsid w:val="00C5054C"/>
    <w:rsid w:val="00C54CB6"/>
    <w:rsid w:val="00C60633"/>
    <w:rsid w:val="00C65B68"/>
    <w:rsid w:val="00C67A98"/>
    <w:rsid w:val="00C74106"/>
    <w:rsid w:val="00C907C5"/>
    <w:rsid w:val="00C90AB1"/>
    <w:rsid w:val="00CA3B52"/>
    <w:rsid w:val="00CB6194"/>
    <w:rsid w:val="00CE13D1"/>
    <w:rsid w:val="00CE304C"/>
    <w:rsid w:val="00CF1E05"/>
    <w:rsid w:val="00CF44C4"/>
    <w:rsid w:val="00CF7652"/>
    <w:rsid w:val="00D014E4"/>
    <w:rsid w:val="00D125A3"/>
    <w:rsid w:val="00D2341F"/>
    <w:rsid w:val="00D255C0"/>
    <w:rsid w:val="00D43E21"/>
    <w:rsid w:val="00D47D7A"/>
    <w:rsid w:val="00D750B9"/>
    <w:rsid w:val="00D85193"/>
    <w:rsid w:val="00D8694B"/>
    <w:rsid w:val="00D97170"/>
    <w:rsid w:val="00DE23E0"/>
    <w:rsid w:val="00DF4176"/>
    <w:rsid w:val="00DF50E8"/>
    <w:rsid w:val="00DF737B"/>
    <w:rsid w:val="00E07E91"/>
    <w:rsid w:val="00E12379"/>
    <w:rsid w:val="00E1473C"/>
    <w:rsid w:val="00E1644D"/>
    <w:rsid w:val="00E24F2B"/>
    <w:rsid w:val="00E30119"/>
    <w:rsid w:val="00E377DB"/>
    <w:rsid w:val="00E55EAA"/>
    <w:rsid w:val="00E662B9"/>
    <w:rsid w:val="00E712CE"/>
    <w:rsid w:val="00E77DB8"/>
    <w:rsid w:val="00E77DE4"/>
    <w:rsid w:val="00E961ED"/>
    <w:rsid w:val="00E971F8"/>
    <w:rsid w:val="00EA09E6"/>
    <w:rsid w:val="00EB2773"/>
    <w:rsid w:val="00ED1B0C"/>
    <w:rsid w:val="00ED7323"/>
    <w:rsid w:val="00ED76F9"/>
    <w:rsid w:val="00EF7C55"/>
    <w:rsid w:val="00F00AD7"/>
    <w:rsid w:val="00F0367C"/>
    <w:rsid w:val="00F05E83"/>
    <w:rsid w:val="00F06474"/>
    <w:rsid w:val="00F16213"/>
    <w:rsid w:val="00F20F9A"/>
    <w:rsid w:val="00F24A60"/>
    <w:rsid w:val="00F368AD"/>
    <w:rsid w:val="00F63467"/>
    <w:rsid w:val="00F65451"/>
    <w:rsid w:val="00F65AB3"/>
    <w:rsid w:val="00F81A1D"/>
    <w:rsid w:val="00F86687"/>
    <w:rsid w:val="00F95F26"/>
    <w:rsid w:val="00F97EEB"/>
    <w:rsid w:val="00FB1323"/>
    <w:rsid w:val="00FB1C90"/>
    <w:rsid w:val="00FB77F7"/>
    <w:rsid w:val="00FC0E37"/>
    <w:rsid w:val="00FD6C3D"/>
    <w:rsid w:val="00FE2C60"/>
    <w:rsid w:val="00FF4400"/>
    <w:rsid w:val="00FF54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5:docId w15:val="{FF0CAC51-8902-4F32-9723-008BEB653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89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A4E59"/>
    <w:rPr>
      <w:b/>
      <w:sz w:val="24"/>
      <w:lang w:val="fr-FR" w:eastAsia="en-US"/>
    </w:rPr>
  </w:style>
  <w:style w:type="character" w:customStyle="1" w:styleId="Heading2Char">
    <w:name w:val="Heading 2 Char"/>
    <w:basedOn w:val="DefaultParagraphFont"/>
    <w:link w:val="Heading2"/>
    <w:uiPriority w:val="9"/>
    <w:locked/>
    <w:rsid w:val="004A4E59"/>
    <w:rPr>
      <w:b/>
      <w:sz w:val="24"/>
      <w:lang w:val="fr-FR" w:eastAsia="en-US"/>
    </w:rPr>
  </w:style>
  <w:style w:type="character" w:customStyle="1" w:styleId="Heading3Char">
    <w:name w:val="Heading 3 Char"/>
    <w:basedOn w:val="DefaultParagraphFont"/>
    <w:link w:val="Heading3"/>
    <w:uiPriority w:val="9"/>
    <w:locked/>
    <w:rsid w:val="004A4E59"/>
    <w:rPr>
      <w:b/>
      <w:sz w:val="24"/>
      <w:lang w:val="fr-FR" w:eastAsia="en-US"/>
    </w:rPr>
  </w:style>
  <w:style w:type="character" w:customStyle="1" w:styleId="Heading4Char">
    <w:name w:val="Heading 4 Char"/>
    <w:basedOn w:val="DefaultParagraphFont"/>
    <w:link w:val="Heading4"/>
    <w:uiPriority w:val="9"/>
    <w:locked/>
    <w:rsid w:val="004A4E59"/>
    <w:rPr>
      <w:b/>
      <w:sz w:val="24"/>
      <w:lang w:val="fr-FR" w:eastAsia="en-US"/>
    </w:rPr>
  </w:style>
  <w:style w:type="character" w:customStyle="1" w:styleId="Heading5Char">
    <w:name w:val="Heading 5 Char"/>
    <w:basedOn w:val="DefaultParagraphFont"/>
    <w:link w:val="Heading5"/>
    <w:uiPriority w:val="9"/>
    <w:locked/>
    <w:rsid w:val="004A4E59"/>
    <w:rPr>
      <w:b/>
      <w:sz w:val="24"/>
      <w:lang w:val="fr-FR" w:eastAsia="en-US"/>
    </w:rPr>
  </w:style>
  <w:style w:type="character" w:customStyle="1" w:styleId="Heading6Char">
    <w:name w:val="Heading 6 Char"/>
    <w:basedOn w:val="DefaultParagraphFont"/>
    <w:link w:val="Heading6"/>
    <w:uiPriority w:val="9"/>
    <w:locked/>
    <w:rsid w:val="004A4E59"/>
    <w:rPr>
      <w:b/>
      <w:sz w:val="24"/>
      <w:lang w:val="fr-FR" w:eastAsia="en-US"/>
    </w:rPr>
  </w:style>
  <w:style w:type="character" w:customStyle="1" w:styleId="Heading7Char">
    <w:name w:val="Heading 7 Char"/>
    <w:basedOn w:val="DefaultParagraphFont"/>
    <w:link w:val="Heading7"/>
    <w:uiPriority w:val="9"/>
    <w:locked/>
    <w:rsid w:val="004A4E59"/>
    <w:rPr>
      <w:b/>
      <w:sz w:val="24"/>
      <w:lang w:val="fr-FR" w:eastAsia="en-US"/>
    </w:rPr>
  </w:style>
  <w:style w:type="character" w:customStyle="1" w:styleId="Heading8Char">
    <w:name w:val="Heading 8 Char"/>
    <w:basedOn w:val="DefaultParagraphFont"/>
    <w:link w:val="Heading8"/>
    <w:uiPriority w:val="9"/>
    <w:locked/>
    <w:rsid w:val="004A4E59"/>
    <w:rPr>
      <w:b/>
      <w:sz w:val="24"/>
      <w:lang w:val="fr-FR" w:eastAsia="en-US"/>
    </w:rPr>
  </w:style>
  <w:style w:type="character" w:customStyle="1" w:styleId="Heading9Char">
    <w:name w:val="Heading 9 Char"/>
    <w:basedOn w:val="DefaultParagraphFont"/>
    <w:link w:val="Heading9"/>
    <w:uiPriority w:val="9"/>
    <w:locked/>
    <w:rsid w:val="004A4E59"/>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4A4E59"/>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4A4E59"/>
    <w:rPr>
      <w:noProof/>
      <w:sz w:val="18"/>
      <w:lang w:val="fr-FR" w:eastAsia="en-US"/>
    </w:rPr>
  </w:style>
  <w:style w:type="character" w:styleId="PageNumber">
    <w:name w:val="page number"/>
    <w:basedOn w:val="DefaultParagraphFont"/>
    <w:uiPriority w:val="99"/>
  </w:style>
  <w:style w:type="paragraph" w:customStyle="1" w:styleId="Headingb">
    <w:name w:val="Heading_b"/>
    <w:basedOn w:val="Heading3"/>
    <w:next w:val="Normal"/>
    <w:link w:val="HeadingbChar"/>
    <w:qFormat/>
    <w:pPr>
      <w:spacing w:before="160"/>
      <w:ind w:left="0" w:firstLine="0"/>
      <w:outlineLvl w:val="9"/>
    </w:pPr>
  </w:style>
  <w:style w:type="character" w:customStyle="1" w:styleId="HeadingbChar">
    <w:name w:val="Heading_b Char"/>
    <w:basedOn w:val="DefaultParagraphFont"/>
    <w:link w:val="Headingb"/>
    <w:locked/>
    <w:rsid w:val="004A4E59"/>
    <w:rPr>
      <w:b/>
      <w:sz w:val="24"/>
      <w:lang w:val="fr-FR" w:eastAsia="en-US"/>
    </w:r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4A4E59"/>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locked/>
    <w:rsid w:val="004A4E59"/>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link w:val="Rectitle"/>
    <w:uiPriority w:val="99"/>
    <w:locked/>
    <w:rsid w:val="00CA3B52"/>
    <w:rPr>
      <w:b/>
      <w:sz w:val="28"/>
      <w:lang w:val="fr-FR" w:eastAsia="en-US"/>
    </w:rPr>
  </w:style>
  <w:style w:type="character" w:customStyle="1" w:styleId="RecNoChar">
    <w:name w:val="Rec_No Char"/>
    <w:basedOn w:val="DefaultParagraphFont"/>
    <w:link w:val="RecNo"/>
    <w:locked/>
    <w:rsid w:val="004A4E59"/>
    <w:rPr>
      <w:sz w:val="28"/>
      <w:lang w:val="fr-FR" w:eastAsia="en-US"/>
    </w:r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character" w:customStyle="1" w:styleId="AnnexNoTitleChar">
    <w:name w:val="Annex_NoTitle Char"/>
    <w:basedOn w:val="DefaultParagraphFont"/>
    <w:link w:val="AnnexNoTitle"/>
    <w:rsid w:val="00CA3B52"/>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CA3B52"/>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4A4E59"/>
    <w:rPr>
      <w:sz w:val="22"/>
      <w:lang w:val="fr-FR" w:eastAsia="en-US"/>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style>
  <w:style w:type="paragraph" w:customStyle="1" w:styleId="Reptitle">
    <w:name w:val="Rep_title"/>
    <w:basedOn w:val="Rectitle"/>
    <w:next w:val="Repref"/>
  </w:style>
  <w:style w:type="paragraph" w:customStyle="1" w:styleId="Repref">
    <w:name w:val="Rep_ref"/>
    <w:basedOn w:val="Recref"/>
    <w:next w:val="Repdate"/>
  </w:style>
  <w:style w:type="character" w:customStyle="1" w:styleId="RepNoChar">
    <w:name w:val="Rep_No Char"/>
    <w:basedOn w:val="RecNoChar"/>
    <w:link w:val="RepNo"/>
    <w:locked/>
    <w:rsid w:val="004A4E59"/>
    <w:rPr>
      <w:sz w:val="28"/>
      <w:lang w:val="fr-FR" w:eastAsia="en-US"/>
    </w:rPr>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0"/>
    <w:pPr>
      <w:keepNext/>
      <w:spacing w:before="0" w:after="120"/>
      <w:jc w:val="center"/>
    </w:pPr>
    <w:rPr>
      <w:b/>
    </w:rPr>
  </w:style>
  <w:style w:type="character" w:customStyle="1" w:styleId="Tabletitle0">
    <w:name w:val="Table_title Знак"/>
    <w:basedOn w:val="DefaultParagraphFont"/>
    <w:link w:val="Tabletitle"/>
    <w:locked/>
    <w:rsid w:val="00CA3B52"/>
    <w:rPr>
      <w:b/>
      <w:sz w:val="24"/>
      <w:lang w:val="fr-FR" w:eastAsia="en-US"/>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022D03"/>
    <w:rPr>
      <w:color w:val="0000FF"/>
      <w:u w:val="single"/>
    </w:rPr>
  </w:style>
  <w:style w:type="paragraph" w:styleId="Revision">
    <w:name w:val="Revision"/>
    <w:hidden/>
    <w:uiPriority w:val="99"/>
    <w:semiHidden/>
    <w:rsid w:val="004A4E59"/>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footer" Target="footer3.xml"/><Relationship Id="rId42" Type="http://schemas.openxmlformats.org/officeDocument/2006/relationships/image" Target="media/image12.emf"/><Relationship Id="rId63" Type="http://schemas.openxmlformats.org/officeDocument/2006/relationships/image" Target="media/image22.wmf"/><Relationship Id="rId84" Type="http://schemas.openxmlformats.org/officeDocument/2006/relationships/image" Target="media/image32.wmf"/><Relationship Id="rId138" Type="http://schemas.openxmlformats.org/officeDocument/2006/relationships/image" Target="media/image59.wmf"/><Relationship Id="rId159" Type="http://schemas.openxmlformats.org/officeDocument/2006/relationships/oleObject" Target="embeddings/oleObject70.bin"/><Relationship Id="rId170" Type="http://schemas.openxmlformats.org/officeDocument/2006/relationships/image" Target="media/image75.wmf"/><Relationship Id="rId191" Type="http://schemas.openxmlformats.org/officeDocument/2006/relationships/oleObject" Target="embeddings/oleObject86.bin"/><Relationship Id="rId205" Type="http://schemas.openxmlformats.org/officeDocument/2006/relationships/image" Target="media/image92.wmf"/><Relationship Id="rId226" Type="http://schemas.openxmlformats.org/officeDocument/2006/relationships/oleObject" Target="embeddings/oleObject103.bin"/><Relationship Id="rId247" Type="http://schemas.openxmlformats.org/officeDocument/2006/relationships/oleObject" Target="embeddings/oleObject112.bin"/><Relationship Id="rId107" Type="http://schemas.openxmlformats.org/officeDocument/2006/relationships/oleObject" Target="embeddings/oleObject44.bin"/><Relationship Id="rId268" Type="http://schemas.openxmlformats.org/officeDocument/2006/relationships/hyperlink" Target="http://www.fcc.gov/encyclopedia/public-safety-frequency-coordinators" TargetMode="External"/><Relationship Id="rId11" Type="http://schemas.openxmlformats.org/officeDocument/2006/relationships/header" Target="header2.xml"/><Relationship Id="rId32" Type="http://schemas.openxmlformats.org/officeDocument/2006/relationships/image" Target="media/image7.wmf"/><Relationship Id="rId53" Type="http://schemas.openxmlformats.org/officeDocument/2006/relationships/oleObject" Target="embeddings/oleObject16.bin"/><Relationship Id="rId74" Type="http://schemas.openxmlformats.org/officeDocument/2006/relationships/oleObject" Target="embeddings/oleObject27.bin"/><Relationship Id="rId128" Type="http://schemas.openxmlformats.org/officeDocument/2006/relationships/image" Target="media/image54.wmf"/><Relationship Id="rId149" Type="http://schemas.openxmlformats.org/officeDocument/2006/relationships/oleObject" Target="embeddings/oleObject65.bin"/><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image" Target="media/image70.wmf"/><Relationship Id="rId181" Type="http://schemas.openxmlformats.org/officeDocument/2006/relationships/oleObject" Target="embeddings/oleObject81.bin"/><Relationship Id="rId216" Type="http://schemas.openxmlformats.org/officeDocument/2006/relationships/oleObject" Target="embeddings/oleObject98.bin"/><Relationship Id="rId237" Type="http://schemas.openxmlformats.org/officeDocument/2006/relationships/image" Target="media/image108.wmf"/><Relationship Id="rId258" Type="http://schemas.openxmlformats.org/officeDocument/2006/relationships/image" Target="media/image117.wmf"/><Relationship Id="rId22" Type="http://schemas.openxmlformats.org/officeDocument/2006/relationships/header" Target="header6.xml"/><Relationship Id="rId43" Type="http://schemas.openxmlformats.org/officeDocument/2006/relationships/oleObject" Target="embeddings/oleObject11.bin"/><Relationship Id="rId64" Type="http://schemas.openxmlformats.org/officeDocument/2006/relationships/oleObject" Target="embeddings/oleObject22.bin"/><Relationship Id="rId118" Type="http://schemas.openxmlformats.org/officeDocument/2006/relationships/image" Target="media/image49.wmf"/><Relationship Id="rId139" Type="http://schemas.openxmlformats.org/officeDocument/2006/relationships/oleObject" Target="embeddings/oleObject60.bin"/><Relationship Id="rId85" Type="http://schemas.openxmlformats.org/officeDocument/2006/relationships/oleObject" Target="embeddings/oleObject33.bin"/><Relationship Id="rId150" Type="http://schemas.openxmlformats.org/officeDocument/2006/relationships/image" Target="media/image65.wmf"/><Relationship Id="rId171" Type="http://schemas.openxmlformats.org/officeDocument/2006/relationships/oleObject" Target="embeddings/oleObject76.bin"/><Relationship Id="rId192" Type="http://schemas.openxmlformats.org/officeDocument/2006/relationships/image" Target="media/image86.wmf"/><Relationship Id="rId206" Type="http://schemas.openxmlformats.org/officeDocument/2006/relationships/oleObject" Target="embeddings/oleObject93.bin"/><Relationship Id="rId227" Type="http://schemas.openxmlformats.org/officeDocument/2006/relationships/image" Target="media/image103.wmf"/><Relationship Id="rId248" Type="http://schemas.openxmlformats.org/officeDocument/2006/relationships/image" Target="media/image112.wmf"/><Relationship Id="rId269" Type="http://schemas.openxmlformats.org/officeDocument/2006/relationships/hyperlink" Target="http://wireless.fcc.gov/services/index.htm?job=licensing_3&amp;id=industrial_business" TargetMode="External"/><Relationship Id="rId12" Type="http://schemas.openxmlformats.org/officeDocument/2006/relationships/header" Target="header3.xml"/><Relationship Id="rId33" Type="http://schemas.openxmlformats.org/officeDocument/2006/relationships/oleObject" Target="embeddings/oleObject6.bin"/><Relationship Id="rId108" Type="http://schemas.openxmlformats.org/officeDocument/2006/relationships/image" Target="media/image44.wmf"/><Relationship Id="rId129" Type="http://schemas.openxmlformats.org/officeDocument/2006/relationships/oleObject" Target="embeddings/oleObject55.bin"/><Relationship Id="rId54" Type="http://schemas.openxmlformats.org/officeDocument/2006/relationships/image" Target="media/image18.wmf"/><Relationship Id="rId75" Type="http://schemas.openxmlformats.org/officeDocument/2006/relationships/image" Target="media/image28.wmf"/><Relationship Id="rId96" Type="http://schemas.openxmlformats.org/officeDocument/2006/relationships/image" Target="media/image38.emf"/><Relationship Id="rId140" Type="http://schemas.openxmlformats.org/officeDocument/2006/relationships/image" Target="media/image60.wmf"/><Relationship Id="rId161" Type="http://schemas.openxmlformats.org/officeDocument/2006/relationships/oleObject" Target="embeddings/oleObject71.bin"/><Relationship Id="rId182" Type="http://schemas.openxmlformats.org/officeDocument/2006/relationships/image" Target="media/image81.wmf"/><Relationship Id="rId217" Type="http://schemas.openxmlformats.org/officeDocument/2006/relationships/image" Target="media/image98.emf"/><Relationship Id="rId6" Type="http://schemas.openxmlformats.org/officeDocument/2006/relationships/footnotes" Target="footnotes.xml"/><Relationship Id="rId238" Type="http://schemas.openxmlformats.org/officeDocument/2006/relationships/oleObject" Target="embeddings/oleObject109.bin"/><Relationship Id="rId259" Type="http://schemas.openxmlformats.org/officeDocument/2006/relationships/oleObject" Target="embeddings/oleObject118.bin"/><Relationship Id="rId23" Type="http://schemas.openxmlformats.org/officeDocument/2006/relationships/header" Target="header7.xml"/><Relationship Id="rId119" Type="http://schemas.openxmlformats.org/officeDocument/2006/relationships/oleObject" Target="embeddings/oleObject50.bin"/><Relationship Id="rId270" Type="http://schemas.openxmlformats.org/officeDocument/2006/relationships/header" Target="header8.xml"/><Relationship Id="rId44" Type="http://schemas.openxmlformats.org/officeDocument/2006/relationships/image" Target="media/image13.wmf"/><Relationship Id="rId60" Type="http://schemas.openxmlformats.org/officeDocument/2006/relationships/oleObject" Target="embeddings/oleObject20.bin"/><Relationship Id="rId65" Type="http://schemas.openxmlformats.org/officeDocument/2006/relationships/image" Target="media/image23.wmf"/><Relationship Id="rId81" Type="http://schemas.openxmlformats.org/officeDocument/2006/relationships/oleObject" Target="embeddings/oleObject31.bin"/><Relationship Id="rId86" Type="http://schemas.openxmlformats.org/officeDocument/2006/relationships/image" Target="media/image33.wmf"/><Relationship Id="rId130" Type="http://schemas.openxmlformats.org/officeDocument/2006/relationships/image" Target="media/image55.wmf"/><Relationship Id="rId135" Type="http://schemas.openxmlformats.org/officeDocument/2006/relationships/oleObject" Target="embeddings/oleObject58.bin"/><Relationship Id="rId151" Type="http://schemas.openxmlformats.org/officeDocument/2006/relationships/oleObject" Target="embeddings/oleObject66.bin"/><Relationship Id="rId156" Type="http://schemas.openxmlformats.org/officeDocument/2006/relationships/image" Target="media/image68.wmf"/><Relationship Id="rId177" Type="http://schemas.openxmlformats.org/officeDocument/2006/relationships/oleObject" Target="embeddings/oleObject79.bin"/><Relationship Id="rId198" Type="http://schemas.openxmlformats.org/officeDocument/2006/relationships/oleObject" Target="embeddings/oleObject89.bin"/><Relationship Id="rId172" Type="http://schemas.openxmlformats.org/officeDocument/2006/relationships/image" Target="media/image76.wmf"/><Relationship Id="rId193" Type="http://schemas.openxmlformats.org/officeDocument/2006/relationships/oleObject" Target="embeddings/oleObject87.bin"/><Relationship Id="rId202" Type="http://schemas.openxmlformats.org/officeDocument/2006/relationships/oleObject" Target="embeddings/oleObject91.bin"/><Relationship Id="rId207" Type="http://schemas.openxmlformats.org/officeDocument/2006/relationships/image" Target="media/image93.wmf"/><Relationship Id="rId223" Type="http://schemas.openxmlformats.org/officeDocument/2006/relationships/image" Target="media/image101.wmf"/><Relationship Id="rId228" Type="http://schemas.openxmlformats.org/officeDocument/2006/relationships/oleObject" Target="embeddings/oleObject104.bin"/><Relationship Id="rId244" Type="http://schemas.openxmlformats.org/officeDocument/2006/relationships/image" Target="media/image110.emf"/><Relationship Id="rId249" Type="http://schemas.openxmlformats.org/officeDocument/2006/relationships/oleObject" Target="embeddings/oleObject113.bin"/><Relationship Id="rId13" Type="http://schemas.openxmlformats.org/officeDocument/2006/relationships/hyperlink" Target="http://www.itu.int/ITU-R/go/patents/en" TargetMode="External"/><Relationship Id="rId18" Type="http://schemas.openxmlformats.org/officeDocument/2006/relationships/footer" Target="footer1.xml"/><Relationship Id="rId39" Type="http://schemas.openxmlformats.org/officeDocument/2006/relationships/oleObject" Target="embeddings/oleObject9.bin"/><Relationship Id="rId109" Type="http://schemas.openxmlformats.org/officeDocument/2006/relationships/oleObject" Target="embeddings/oleObject45.bin"/><Relationship Id="rId260" Type="http://schemas.openxmlformats.org/officeDocument/2006/relationships/image" Target="media/image118.wmf"/><Relationship Id="rId265" Type="http://schemas.openxmlformats.org/officeDocument/2006/relationships/oleObject" Target="embeddings/oleObject121.bin"/><Relationship Id="rId34" Type="http://schemas.openxmlformats.org/officeDocument/2006/relationships/image" Target="media/image8.wmf"/><Relationship Id="rId50" Type="http://schemas.openxmlformats.org/officeDocument/2006/relationships/image" Target="media/image16.wmf"/><Relationship Id="rId55" Type="http://schemas.openxmlformats.org/officeDocument/2006/relationships/oleObject" Target="embeddings/oleObject17.bin"/><Relationship Id="rId76" Type="http://schemas.openxmlformats.org/officeDocument/2006/relationships/oleObject" Target="embeddings/oleObject28.bin"/><Relationship Id="rId97" Type="http://schemas.openxmlformats.org/officeDocument/2006/relationships/oleObject" Target="embeddings/oleObject39.bin"/><Relationship Id="rId104" Type="http://schemas.openxmlformats.org/officeDocument/2006/relationships/image" Target="media/image42.wmf"/><Relationship Id="rId120" Type="http://schemas.openxmlformats.org/officeDocument/2006/relationships/image" Target="media/image50.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image" Target="media/image63.wmf"/><Relationship Id="rId167" Type="http://schemas.openxmlformats.org/officeDocument/2006/relationships/oleObject" Target="embeddings/oleObject74.bin"/><Relationship Id="rId188" Type="http://schemas.openxmlformats.org/officeDocument/2006/relationships/image" Target="media/image84.wmf"/><Relationship Id="rId7" Type="http://schemas.openxmlformats.org/officeDocument/2006/relationships/endnotes" Target="endnotes.xml"/><Relationship Id="rId71" Type="http://schemas.openxmlformats.org/officeDocument/2006/relationships/image" Target="media/image26.wmf"/><Relationship Id="rId92" Type="http://schemas.openxmlformats.org/officeDocument/2006/relationships/image" Target="media/image36.emf"/><Relationship Id="rId162" Type="http://schemas.openxmlformats.org/officeDocument/2006/relationships/image" Target="media/image71.wmf"/><Relationship Id="rId183" Type="http://schemas.openxmlformats.org/officeDocument/2006/relationships/oleObject" Target="embeddings/oleObject82.bin"/><Relationship Id="rId213" Type="http://schemas.openxmlformats.org/officeDocument/2006/relationships/image" Target="media/image96.wmf"/><Relationship Id="rId218" Type="http://schemas.openxmlformats.org/officeDocument/2006/relationships/oleObject" Target="embeddings/oleObject99.bin"/><Relationship Id="rId234" Type="http://schemas.openxmlformats.org/officeDocument/2006/relationships/oleObject" Target="embeddings/oleObject107.bin"/><Relationship Id="rId239" Type="http://schemas.openxmlformats.org/officeDocument/2006/relationships/image" Target="media/image109.wmf"/><Relationship Id="rId2" Type="http://schemas.openxmlformats.org/officeDocument/2006/relationships/numbering" Target="numbering.xml"/><Relationship Id="rId29" Type="http://schemas.openxmlformats.org/officeDocument/2006/relationships/oleObject" Target="embeddings/oleObject4.bin"/><Relationship Id="rId250" Type="http://schemas.openxmlformats.org/officeDocument/2006/relationships/image" Target="media/image113.wmf"/><Relationship Id="rId255" Type="http://schemas.openxmlformats.org/officeDocument/2006/relationships/oleObject" Target="embeddings/oleObject116.bin"/><Relationship Id="rId271" Type="http://schemas.openxmlformats.org/officeDocument/2006/relationships/header" Target="header9.xml"/><Relationship Id="rId24" Type="http://schemas.openxmlformats.org/officeDocument/2006/relationships/footer" Target="footer4.xml"/><Relationship Id="rId40" Type="http://schemas.openxmlformats.org/officeDocument/2006/relationships/image" Target="media/image11.emf"/><Relationship Id="rId45" Type="http://schemas.openxmlformats.org/officeDocument/2006/relationships/oleObject" Target="embeddings/oleObject12.bin"/><Relationship Id="rId66" Type="http://schemas.openxmlformats.org/officeDocument/2006/relationships/oleObject" Target="embeddings/oleObject23.bin"/><Relationship Id="rId87" Type="http://schemas.openxmlformats.org/officeDocument/2006/relationships/oleObject" Target="embeddings/oleObject34.bin"/><Relationship Id="rId110" Type="http://schemas.openxmlformats.org/officeDocument/2006/relationships/image" Target="media/image45.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58.wmf"/><Relationship Id="rId157" Type="http://schemas.openxmlformats.org/officeDocument/2006/relationships/oleObject" Target="embeddings/oleObject69.bin"/><Relationship Id="rId178" Type="http://schemas.openxmlformats.org/officeDocument/2006/relationships/image" Target="media/image79.wmf"/><Relationship Id="rId61" Type="http://schemas.openxmlformats.org/officeDocument/2006/relationships/image" Target="media/image21.wmf"/><Relationship Id="rId82" Type="http://schemas.openxmlformats.org/officeDocument/2006/relationships/image" Target="media/image31.wmf"/><Relationship Id="rId152" Type="http://schemas.openxmlformats.org/officeDocument/2006/relationships/image" Target="media/image66.wmf"/><Relationship Id="rId173" Type="http://schemas.openxmlformats.org/officeDocument/2006/relationships/oleObject" Target="embeddings/oleObject77.bin"/><Relationship Id="rId194" Type="http://schemas.openxmlformats.org/officeDocument/2006/relationships/image" Target="media/image87.emf"/><Relationship Id="rId199" Type="http://schemas.openxmlformats.org/officeDocument/2006/relationships/image" Target="media/image89.wmf"/><Relationship Id="rId203" Type="http://schemas.openxmlformats.org/officeDocument/2006/relationships/image" Target="media/image91.wmf"/><Relationship Id="rId208" Type="http://schemas.openxmlformats.org/officeDocument/2006/relationships/oleObject" Target="embeddings/oleObject94.bin"/><Relationship Id="rId229" Type="http://schemas.openxmlformats.org/officeDocument/2006/relationships/image" Target="media/image104.wmf"/><Relationship Id="rId19" Type="http://schemas.openxmlformats.org/officeDocument/2006/relationships/footer" Target="footer2.xml"/><Relationship Id="rId224" Type="http://schemas.openxmlformats.org/officeDocument/2006/relationships/oleObject" Target="embeddings/oleObject102.bin"/><Relationship Id="rId240" Type="http://schemas.openxmlformats.org/officeDocument/2006/relationships/oleObject" Target="embeddings/oleObject110.bin"/><Relationship Id="rId245" Type="http://schemas.openxmlformats.org/officeDocument/2006/relationships/oleObject" Target="embeddings/oleObject111.bin"/><Relationship Id="rId261" Type="http://schemas.openxmlformats.org/officeDocument/2006/relationships/oleObject" Target="embeddings/oleObject119.bin"/><Relationship Id="rId266" Type="http://schemas.openxmlformats.org/officeDocument/2006/relationships/oleObject" Target="embeddings/oleObject122.bin"/><Relationship Id="rId14" Type="http://schemas.openxmlformats.org/officeDocument/2006/relationships/hyperlink" Target="http://www.itu.int/publ/R-REP/en" TargetMode="External"/><Relationship Id="rId30" Type="http://schemas.openxmlformats.org/officeDocument/2006/relationships/image" Target="media/image6.wmf"/><Relationship Id="rId35" Type="http://schemas.openxmlformats.org/officeDocument/2006/relationships/oleObject" Target="embeddings/oleObject7.bin"/><Relationship Id="rId56" Type="http://schemas.openxmlformats.org/officeDocument/2006/relationships/oleObject" Target="embeddings/oleObject18.bin"/><Relationship Id="rId77" Type="http://schemas.openxmlformats.org/officeDocument/2006/relationships/image" Target="media/image29.wmf"/><Relationship Id="rId100" Type="http://schemas.openxmlformats.org/officeDocument/2006/relationships/image" Target="media/image40.wmf"/><Relationship Id="rId105" Type="http://schemas.openxmlformats.org/officeDocument/2006/relationships/oleObject" Target="embeddings/oleObject43.bin"/><Relationship Id="rId126" Type="http://schemas.openxmlformats.org/officeDocument/2006/relationships/image" Target="media/image53.wmf"/><Relationship Id="rId147" Type="http://schemas.openxmlformats.org/officeDocument/2006/relationships/oleObject" Target="embeddings/oleObject64.bin"/><Relationship Id="rId168" Type="http://schemas.openxmlformats.org/officeDocument/2006/relationships/image" Target="media/image74.wmf"/><Relationship Id="rId8" Type="http://schemas.openxmlformats.org/officeDocument/2006/relationships/image" Target="media/image1.wmf"/><Relationship Id="rId51" Type="http://schemas.openxmlformats.org/officeDocument/2006/relationships/oleObject" Target="embeddings/oleObject15.bin"/><Relationship Id="rId72" Type="http://schemas.openxmlformats.org/officeDocument/2006/relationships/oleObject" Target="embeddings/oleObject26.bin"/><Relationship Id="rId93" Type="http://schemas.openxmlformats.org/officeDocument/2006/relationships/oleObject" Target="embeddings/oleObject37.bin"/><Relationship Id="rId98" Type="http://schemas.openxmlformats.org/officeDocument/2006/relationships/image" Target="media/image39.emf"/><Relationship Id="rId121" Type="http://schemas.openxmlformats.org/officeDocument/2006/relationships/oleObject" Target="embeddings/oleObject51.bin"/><Relationship Id="rId142" Type="http://schemas.openxmlformats.org/officeDocument/2006/relationships/image" Target="media/image61.wmf"/><Relationship Id="rId163" Type="http://schemas.openxmlformats.org/officeDocument/2006/relationships/oleObject" Target="embeddings/oleObject72.bin"/><Relationship Id="rId184" Type="http://schemas.openxmlformats.org/officeDocument/2006/relationships/image" Target="media/image82.wmf"/><Relationship Id="rId189" Type="http://schemas.openxmlformats.org/officeDocument/2006/relationships/oleObject" Target="embeddings/oleObject85.bin"/><Relationship Id="rId219" Type="http://schemas.openxmlformats.org/officeDocument/2006/relationships/image" Target="media/image99.wmf"/><Relationship Id="rId3" Type="http://schemas.openxmlformats.org/officeDocument/2006/relationships/styles" Target="styles.xml"/><Relationship Id="rId214" Type="http://schemas.openxmlformats.org/officeDocument/2006/relationships/oleObject" Target="embeddings/oleObject97.bin"/><Relationship Id="rId230" Type="http://schemas.openxmlformats.org/officeDocument/2006/relationships/oleObject" Target="embeddings/oleObject105.bin"/><Relationship Id="rId235" Type="http://schemas.openxmlformats.org/officeDocument/2006/relationships/image" Target="media/image107.wmf"/><Relationship Id="rId251" Type="http://schemas.openxmlformats.org/officeDocument/2006/relationships/oleObject" Target="embeddings/oleObject114.bin"/><Relationship Id="rId256" Type="http://schemas.openxmlformats.org/officeDocument/2006/relationships/image" Target="media/image116.wmf"/><Relationship Id="rId25" Type="http://schemas.openxmlformats.org/officeDocument/2006/relationships/hyperlink" Target="http://www.itu.int/ITU-D/tech/spectrum-management/MODEL_FULL.pdf" TargetMode="External"/><Relationship Id="rId46" Type="http://schemas.openxmlformats.org/officeDocument/2006/relationships/image" Target="media/image14.emf"/><Relationship Id="rId67" Type="http://schemas.openxmlformats.org/officeDocument/2006/relationships/image" Target="media/image24.wmf"/><Relationship Id="rId116" Type="http://schemas.openxmlformats.org/officeDocument/2006/relationships/image" Target="media/image48.wmf"/><Relationship Id="rId137" Type="http://schemas.openxmlformats.org/officeDocument/2006/relationships/oleObject" Target="embeddings/oleObject59.bin"/><Relationship Id="rId158" Type="http://schemas.openxmlformats.org/officeDocument/2006/relationships/image" Target="media/image69.wmf"/><Relationship Id="rId272" Type="http://schemas.openxmlformats.org/officeDocument/2006/relationships/header" Target="header10.xml"/><Relationship Id="rId20" Type="http://schemas.openxmlformats.org/officeDocument/2006/relationships/header" Target="header5.xml"/><Relationship Id="rId41" Type="http://schemas.openxmlformats.org/officeDocument/2006/relationships/oleObject" Target="embeddings/oleObject10.bin"/><Relationship Id="rId62" Type="http://schemas.openxmlformats.org/officeDocument/2006/relationships/oleObject" Target="embeddings/oleObject21.bin"/><Relationship Id="rId83" Type="http://schemas.openxmlformats.org/officeDocument/2006/relationships/oleObject" Target="embeddings/oleObject32.bin"/><Relationship Id="rId88" Type="http://schemas.openxmlformats.org/officeDocument/2006/relationships/image" Target="media/image34.wmf"/><Relationship Id="rId111" Type="http://schemas.openxmlformats.org/officeDocument/2006/relationships/oleObject" Target="embeddings/oleObject46.bin"/><Relationship Id="rId132" Type="http://schemas.openxmlformats.org/officeDocument/2006/relationships/image" Target="media/image56.wmf"/><Relationship Id="rId153" Type="http://schemas.openxmlformats.org/officeDocument/2006/relationships/oleObject" Target="embeddings/oleObject67.bin"/><Relationship Id="rId174" Type="http://schemas.openxmlformats.org/officeDocument/2006/relationships/image" Target="media/image77.wmf"/><Relationship Id="rId179" Type="http://schemas.openxmlformats.org/officeDocument/2006/relationships/oleObject" Target="embeddings/oleObject80.bin"/><Relationship Id="rId195" Type="http://schemas.openxmlformats.org/officeDocument/2006/relationships/oleObject" Target="embeddings/oleObject88.bin"/><Relationship Id="rId209" Type="http://schemas.openxmlformats.org/officeDocument/2006/relationships/image" Target="media/image94.wmf"/><Relationship Id="rId190" Type="http://schemas.openxmlformats.org/officeDocument/2006/relationships/image" Target="media/image85.wmf"/><Relationship Id="rId204" Type="http://schemas.openxmlformats.org/officeDocument/2006/relationships/oleObject" Target="embeddings/oleObject92.bin"/><Relationship Id="rId220" Type="http://schemas.openxmlformats.org/officeDocument/2006/relationships/oleObject" Target="embeddings/oleObject100.bin"/><Relationship Id="rId225" Type="http://schemas.openxmlformats.org/officeDocument/2006/relationships/image" Target="media/image102.wmf"/><Relationship Id="rId241" Type="http://schemas.openxmlformats.org/officeDocument/2006/relationships/hyperlink" Target="http://www.ofcom.org.uk/research/radiocomms/reports/policy_report/evaluation_report_AIP.pdf" TargetMode="External"/><Relationship Id="rId246" Type="http://schemas.openxmlformats.org/officeDocument/2006/relationships/image" Target="media/image111.wmf"/><Relationship Id="rId267" Type="http://schemas.openxmlformats.org/officeDocument/2006/relationships/hyperlink" Target="http://www.fcc.gov/encyclopedia/advisory-committees-fcc" TargetMode="External"/><Relationship Id="rId15" Type="http://schemas.openxmlformats.org/officeDocument/2006/relationships/image" Target="media/image3.emf"/><Relationship Id="rId36" Type="http://schemas.openxmlformats.org/officeDocument/2006/relationships/image" Target="media/image9.wmf"/><Relationship Id="rId57" Type="http://schemas.openxmlformats.org/officeDocument/2006/relationships/image" Target="media/image19.wmf"/><Relationship Id="rId106" Type="http://schemas.openxmlformats.org/officeDocument/2006/relationships/image" Target="media/image43.wmf"/><Relationship Id="rId127" Type="http://schemas.openxmlformats.org/officeDocument/2006/relationships/oleObject" Target="embeddings/oleObject54.bin"/><Relationship Id="rId262" Type="http://schemas.openxmlformats.org/officeDocument/2006/relationships/image" Target="media/image119.wmf"/><Relationship Id="rId10" Type="http://schemas.openxmlformats.org/officeDocument/2006/relationships/header" Target="header1.xml"/><Relationship Id="rId31" Type="http://schemas.openxmlformats.org/officeDocument/2006/relationships/oleObject" Target="embeddings/oleObject5.bin"/><Relationship Id="rId52" Type="http://schemas.openxmlformats.org/officeDocument/2006/relationships/image" Target="media/image17.wmf"/><Relationship Id="rId73" Type="http://schemas.openxmlformats.org/officeDocument/2006/relationships/image" Target="media/image27.wmf"/><Relationship Id="rId78" Type="http://schemas.openxmlformats.org/officeDocument/2006/relationships/oleObject" Target="embeddings/oleObject29.bin"/><Relationship Id="rId94" Type="http://schemas.openxmlformats.org/officeDocument/2006/relationships/image" Target="media/image37.e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1.wmf"/><Relationship Id="rId143" Type="http://schemas.openxmlformats.org/officeDocument/2006/relationships/oleObject" Target="embeddings/oleObject62.bin"/><Relationship Id="rId148" Type="http://schemas.openxmlformats.org/officeDocument/2006/relationships/image" Target="media/image64.wmf"/><Relationship Id="rId164" Type="http://schemas.openxmlformats.org/officeDocument/2006/relationships/image" Target="media/image72.w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0.wmf"/><Relationship Id="rId210" Type="http://schemas.openxmlformats.org/officeDocument/2006/relationships/oleObject" Target="embeddings/oleObject95.bin"/><Relationship Id="rId215" Type="http://schemas.openxmlformats.org/officeDocument/2006/relationships/image" Target="media/image97.wmf"/><Relationship Id="rId236" Type="http://schemas.openxmlformats.org/officeDocument/2006/relationships/oleObject" Target="embeddings/oleObject108.bin"/><Relationship Id="rId257" Type="http://schemas.openxmlformats.org/officeDocument/2006/relationships/oleObject" Target="embeddings/oleObject117.bin"/><Relationship Id="rId26" Type="http://schemas.openxmlformats.org/officeDocument/2006/relationships/image" Target="media/image4.wmf"/><Relationship Id="rId231" Type="http://schemas.openxmlformats.org/officeDocument/2006/relationships/image" Target="media/image105.wmf"/><Relationship Id="rId252" Type="http://schemas.openxmlformats.org/officeDocument/2006/relationships/image" Target="media/image114.wmf"/><Relationship Id="rId273" Type="http://schemas.openxmlformats.org/officeDocument/2006/relationships/fontTable" Target="fontTable.xml"/><Relationship Id="rId47" Type="http://schemas.openxmlformats.org/officeDocument/2006/relationships/oleObject" Target="embeddings/oleObject13.bin"/><Relationship Id="rId68" Type="http://schemas.openxmlformats.org/officeDocument/2006/relationships/oleObject" Target="embeddings/oleObject24.bin"/><Relationship Id="rId89" Type="http://schemas.openxmlformats.org/officeDocument/2006/relationships/oleObject" Target="embeddings/oleObject35.bin"/><Relationship Id="rId112" Type="http://schemas.openxmlformats.org/officeDocument/2006/relationships/image" Target="media/image46.wmf"/><Relationship Id="rId133" Type="http://schemas.openxmlformats.org/officeDocument/2006/relationships/oleObject" Target="embeddings/oleObject57.bin"/><Relationship Id="rId154" Type="http://schemas.openxmlformats.org/officeDocument/2006/relationships/image" Target="media/image67.wmf"/><Relationship Id="rId175" Type="http://schemas.openxmlformats.org/officeDocument/2006/relationships/oleObject" Target="embeddings/oleObject78.bin"/><Relationship Id="rId196" Type="http://schemas.openxmlformats.org/officeDocument/2006/relationships/hyperlink" Target="http://wireless.fcc.gov/auctions/default.htm?job=auctions_all" TargetMode="External"/><Relationship Id="rId200" Type="http://schemas.openxmlformats.org/officeDocument/2006/relationships/oleObject" Target="embeddings/oleObject90.bin"/><Relationship Id="rId16" Type="http://schemas.openxmlformats.org/officeDocument/2006/relationships/oleObject" Target="embeddings/oleObject2.bin"/><Relationship Id="rId221" Type="http://schemas.openxmlformats.org/officeDocument/2006/relationships/image" Target="media/image100.wmf"/><Relationship Id="rId242" Type="http://schemas.openxmlformats.org/officeDocument/2006/relationships/hyperlink" Target="http://transition.fcc.gov/fees/appfees.html" TargetMode="External"/><Relationship Id="rId263" Type="http://schemas.openxmlformats.org/officeDocument/2006/relationships/oleObject" Target="embeddings/oleObject120.bin"/><Relationship Id="rId37" Type="http://schemas.openxmlformats.org/officeDocument/2006/relationships/oleObject" Target="embeddings/oleObject8.bin"/><Relationship Id="rId58" Type="http://schemas.openxmlformats.org/officeDocument/2006/relationships/oleObject" Target="embeddings/oleObject19.bin"/><Relationship Id="rId79" Type="http://schemas.openxmlformats.org/officeDocument/2006/relationships/oleObject" Target="embeddings/oleObject30.bin"/><Relationship Id="rId102" Type="http://schemas.openxmlformats.org/officeDocument/2006/relationships/image" Target="media/image41.wmf"/><Relationship Id="rId123" Type="http://schemas.openxmlformats.org/officeDocument/2006/relationships/oleObject" Target="embeddings/oleObject52.bin"/><Relationship Id="rId144" Type="http://schemas.openxmlformats.org/officeDocument/2006/relationships/image" Target="media/image62.wmf"/><Relationship Id="rId90" Type="http://schemas.openxmlformats.org/officeDocument/2006/relationships/image" Target="media/image35.wmf"/><Relationship Id="rId165" Type="http://schemas.openxmlformats.org/officeDocument/2006/relationships/oleObject" Target="embeddings/oleObject73.bin"/><Relationship Id="rId186" Type="http://schemas.openxmlformats.org/officeDocument/2006/relationships/image" Target="media/image83.wmf"/><Relationship Id="rId211" Type="http://schemas.openxmlformats.org/officeDocument/2006/relationships/image" Target="media/image95.wmf"/><Relationship Id="rId232" Type="http://schemas.openxmlformats.org/officeDocument/2006/relationships/oleObject" Target="embeddings/oleObject106.bin"/><Relationship Id="rId253" Type="http://schemas.openxmlformats.org/officeDocument/2006/relationships/oleObject" Target="embeddings/oleObject115.bin"/><Relationship Id="rId274" Type="http://schemas.openxmlformats.org/officeDocument/2006/relationships/theme" Target="theme/theme1.xml"/><Relationship Id="rId27" Type="http://schemas.openxmlformats.org/officeDocument/2006/relationships/oleObject" Target="embeddings/oleObject3.bin"/><Relationship Id="rId48" Type="http://schemas.openxmlformats.org/officeDocument/2006/relationships/image" Target="media/image15.emf"/><Relationship Id="rId69" Type="http://schemas.openxmlformats.org/officeDocument/2006/relationships/image" Target="media/image25.wmf"/><Relationship Id="rId113" Type="http://schemas.openxmlformats.org/officeDocument/2006/relationships/oleObject" Target="embeddings/oleObject47.bin"/><Relationship Id="rId134" Type="http://schemas.openxmlformats.org/officeDocument/2006/relationships/image" Target="media/image57.wmf"/><Relationship Id="rId80" Type="http://schemas.openxmlformats.org/officeDocument/2006/relationships/image" Target="media/image30.wmf"/><Relationship Id="rId155" Type="http://schemas.openxmlformats.org/officeDocument/2006/relationships/oleObject" Target="embeddings/oleObject68.bin"/><Relationship Id="rId176" Type="http://schemas.openxmlformats.org/officeDocument/2006/relationships/image" Target="media/image78.wmf"/><Relationship Id="rId197" Type="http://schemas.openxmlformats.org/officeDocument/2006/relationships/image" Target="media/image88.wmf"/><Relationship Id="rId201" Type="http://schemas.openxmlformats.org/officeDocument/2006/relationships/image" Target="media/image90.wmf"/><Relationship Id="rId222" Type="http://schemas.openxmlformats.org/officeDocument/2006/relationships/oleObject" Target="embeddings/oleObject101.bin"/><Relationship Id="rId243" Type="http://schemas.openxmlformats.org/officeDocument/2006/relationships/hyperlink" Target="http://www.ecfr.gov/cgi-bin/text-idx?SID=8ff7d70cef964a24a25ff9612c757d00&amp;node=47:1.0.1.1.2.1.152.49&amp;rgn=div8" TargetMode="External"/><Relationship Id="rId264" Type="http://schemas.openxmlformats.org/officeDocument/2006/relationships/image" Target="media/image120.wmf"/><Relationship Id="rId17" Type="http://schemas.openxmlformats.org/officeDocument/2006/relationships/header" Target="header4.xml"/><Relationship Id="rId38" Type="http://schemas.openxmlformats.org/officeDocument/2006/relationships/image" Target="media/image10.emf"/><Relationship Id="rId59" Type="http://schemas.openxmlformats.org/officeDocument/2006/relationships/image" Target="media/image20.wmf"/><Relationship Id="rId103" Type="http://schemas.openxmlformats.org/officeDocument/2006/relationships/oleObject" Target="embeddings/oleObject42.bin"/><Relationship Id="rId124" Type="http://schemas.openxmlformats.org/officeDocument/2006/relationships/image" Target="media/image52.wmf"/><Relationship Id="rId70" Type="http://schemas.openxmlformats.org/officeDocument/2006/relationships/oleObject" Target="embeddings/oleObject25.bin"/><Relationship Id="rId91" Type="http://schemas.openxmlformats.org/officeDocument/2006/relationships/oleObject" Target="embeddings/oleObject36.bin"/><Relationship Id="rId145" Type="http://schemas.openxmlformats.org/officeDocument/2006/relationships/oleObject" Target="embeddings/oleObject63.bin"/><Relationship Id="rId166" Type="http://schemas.openxmlformats.org/officeDocument/2006/relationships/image" Target="media/image73.emf"/><Relationship Id="rId187" Type="http://schemas.openxmlformats.org/officeDocument/2006/relationships/oleObject" Target="embeddings/oleObject84.bin"/><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image" Target="media/image106.wmf"/><Relationship Id="rId254" Type="http://schemas.openxmlformats.org/officeDocument/2006/relationships/image" Target="media/image115.wmf"/><Relationship Id="rId28" Type="http://schemas.openxmlformats.org/officeDocument/2006/relationships/image" Target="media/image5.wmf"/><Relationship Id="rId49" Type="http://schemas.openxmlformats.org/officeDocument/2006/relationships/oleObject" Target="embeddings/oleObject14.bin"/><Relationship Id="rId114" Type="http://schemas.openxmlformats.org/officeDocument/2006/relationships/image" Target="media/image47.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313EC-3BB9-44A8-BD32-EB7039C56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242</TotalTime>
  <Pages>1</Pages>
  <Words>62135</Words>
  <Characters>380888</Characters>
  <Application>Microsoft Office Word</Application>
  <DocSecurity>0</DocSecurity>
  <Lines>10294</Lines>
  <Paragraphs>155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442868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69</cp:revision>
  <cp:lastPrinted>2015-12-14T12:02:00Z</cp:lastPrinted>
  <dcterms:created xsi:type="dcterms:W3CDTF">2014-07-07T15:18:00Z</dcterms:created>
  <dcterms:modified xsi:type="dcterms:W3CDTF">2015-12-14T12:06:00Z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