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CC1C23"/>
    <w:p w:rsidR="00CC1C23" w:rsidRDefault="00CC1C23" w:rsidP="00CC1C23"/>
    <w:p w:rsidR="00CC1C23" w:rsidRDefault="00CC1C23" w:rsidP="00CC1C23"/>
    <w:p w:rsidR="00CC1C23" w:rsidRDefault="00CC1C23" w:rsidP="00CC1C23"/>
    <w:p w:rsidR="00CC1C23" w:rsidRDefault="00CC1C23" w:rsidP="00CC1C23"/>
    <w:p w:rsidR="00CC1C23" w:rsidRDefault="00CC1C23" w:rsidP="00CC1C23"/>
    <w:p w:rsidR="00CC1C23" w:rsidRDefault="00CC1C23" w:rsidP="00CC1C23"/>
    <w:p w:rsidR="00CC1C23" w:rsidRDefault="00CC1C23" w:rsidP="00CC1C23"/>
    <w:p w:rsidR="00CC1C23" w:rsidRDefault="00CC1C23" w:rsidP="00CC1C23"/>
    <w:p w:rsidR="00CC1C23" w:rsidRDefault="00CC1C23" w:rsidP="00CC1C23"/>
    <w:p w:rsidR="00CC1C23" w:rsidRDefault="00CC1C23" w:rsidP="00CC1C23"/>
    <w:tbl>
      <w:tblPr>
        <w:tblW w:w="10089" w:type="dxa"/>
        <w:tblLook w:val="01E0" w:firstRow="1" w:lastRow="1" w:firstColumn="1" w:lastColumn="1" w:noHBand="0" w:noVBand="0"/>
      </w:tblPr>
      <w:tblGrid>
        <w:gridCol w:w="10089"/>
      </w:tblGrid>
      <w:tr w:rsidR="00CC1C23" w:rsidRPr="00EF1E72" w:rsidTr="006C09C0">
        <w:tc>
          <w:tcPr>
            <w:tcW w:w="10089" w:type="dxa"/>
          </w:tcPr>
          <w:p w:rsidR="00CC1C23" w:rsidRPr="00EF1E72" w:rsidRDefault="00CC1C23" w:rsidP="006C09C0">
            <w:pPr>
              <w:spacing w:before="380" w:line="280" w:lineRule="exact"/>
              <w:jc w:val="right"/>
              <w:rPr>
                <w:rFonts w:ascii="Tahoma" w:hAnsi="Tahoma" w:cs="Tahoma"/>
                <w:b/>
                <w:bCs/>
                <w:iCs/>
                <w:color w:val="509141"/>
                <w:sz w:val="32"/>
                <w:szCs w:val="32"/>
                <w:lang w:val="en-US"/>
              </w:rPr>
            </w:pPr>
          </w:p>
          <w:p w:rsidR="00CC1C23" w:rsidRPr="00E72FDE" w:rsidRDefault="00CC1C23" w:rsidP="00E72FDE">
            <w:pPr>
              <w:spacing w:before="380" w:line="280" w:lineRule="exact"/>
              <w:jc w:val="right"/>
              <w:rPr>
                <w:rFonts w:ascii="Tahoma" w:hAnsi="Tahoma" w:cs="Tahoma"/>
                <w:b/>
                <w:bCs/>
                <w:iCs/>
                <w:color w:val="509141"/>
                <w:sz w:val="36"/>
                <w:szCs w:val="36"/>
              </w:rPr>
            </w:pPr>
            <w:r w:rsidRPr="00E72FDE">
              <w:rPr>
                <w:rFonts w:ascii="Tahoma" w:hAnsi="Tahoma" w:cs="Tahoma"/>
                <w:b/>
                <w:bCs/>
                <w:iCs/>
                <w:color w:val="509141"/>
                <w:sz w:val="36"/>
                <w:szCs w:val="36"/>
              </w:rPr>
              <w:t>Report  ITU-R  SA.</w:t>
            </w:r>
            <w:r w:rsidR="00E72FDE" w:rsidRPr="00E72FDE">
              <w:rPr>
                <w:rFonts w:ascii="Tahoma" w:hAnsi="Tahoma" w:cs="Tahoma"/>
                <w:b/>
                <w:bCs/>
                <w:iCs/>
                <w:color w:val="509141"/>
                <w:sz w:val="36"/>
                <w:szCs w:val="36"/>
              </w:rPr>
              <w:t>2</w:t>
            </w:r>
            <w:r w:rsidR="00E72FDE">
              <w:rPr>
                <w:rFonts w:ascii="Tahoma" w:hAnsi="Tahoma" w:cs="Tahoma"/>
                <w:b/>
                <w:bCs/>
                <w:iCs/>
                <w:color w:val="509141"/>
                <w:sz w:val="36"/>
                <w:szCs w:val="36"/>
              </w:rPr>
              <w:t>325-0</w:t>
            </w:r>
          </w:p>
          <w:p w:rsidR="00CC1C23" w:rsidRPr="00E72FDE" w:rsidRDefault="00CC1C23" w:rsidP="00E72FDE">
            <w:pPr>
              <w:spacing w:before="80" w:line="280" w:lineRule="exact"/>
              <w:jc w:val="right"/>
              <w:rPr>
                <w:rFonts w:ascii="Tahoma" w:hAnsi="Tahoma" w:cs="Tahoma"/>
                <w:iCs/>
                <w:color w:val="509141"/>
                <w:szCs w:val="24"/>
              </w:rPr>
            </w:pPr>
            <w:r w:rsidRPr="00E72FDE">
              <w:rPr>
                <w:rFonts w:ascii="Tahoma" w:hAnsi="Tahoma" w:cs="Tahoma"/>
                <w:b/>
                <w:bCs/>
                <w:iCs/>
                <w:color w:val="509141"/>
                <w:szCs w:val="24"/>
              </w:rPr>
              <w:t>(</w:t>
            </w:r>
            <w:r w:rsidR="00E72FDE">
              <w:rPr>
                <w:rFonts w:ascii="Tahoma" w:hAnsi="Tahoma" w:cs="Tahoma"/>
                <w:b/>
                <w:bCs/>
                <w:iCs/>
                <w:color w:val="509141"/>
                <w:szCs w:val="24"/>
              </w:rPr>
              <w:t>11</w:t>
            </w:r>
            <w:r w:rsidRPr="00E72FDE">
              <w:rPr>
                <w:rFonts w:ascii="Tahoma" w:hAnsi="Tahoma" w:cs="Tahoma"/>
                <w:b/>
                <w:bCs/>
                <w:iCs/>
                <w:color w:val="509141"/>
                <w:szCs w:val="24"/>
              </w:rPr>
              <w:t>/</w:t>
            </w:r>
            <w:r w:rsidR="00E72FDE">
              <w:rPr>
                <w:rFonts w:ascii="Tahoma" w:hAnsi="Tahoma" w:cs="Tahoma"/>
                <w:b/>
                <w:bCs/>
                <w:iCs/>
                <w:color w:val="509141"/>
                <w:szCs w:val="24"/>
              </w:rPr>
              <w:t>2014</w:t>
            </w:r>
            <w:r w:rsidRPr="00E72FDE">
              <w:rPr>
                <w:rFonts w:ascii="Tahoma" w:hAnsi="Tahoma" w:cs="Tahoma"/>
                <w:b/>
                <w:bCs/>
                <w:iCs/>
                <w:color w:val="509141"/>
                <w:szCs w:val="24"/>
              </w:rPr>
              <w:t>)</w:t>
            </w:r>
          </w:p>
        </w:tc>
      </w:tr>
      <w:tr w:rsidR="00CC1C23" w:rsidRPr="00F90CAF" w:rsidTr="006C09C0">
        <w:tc>
          <w:tcPr>
            <w:tcW w:w="10089" w:type="dxa"/>
          </w:tcPr>
          <w:p w:rsidR="00CC1C23" w:rsidRPr="00E72FDE" w:rsidRDefault="00CC1C23" w:rsidP="006C09C0">
            <w:pPr>
              <w:spacing w:before="80" w:line="500" w:lineRule="exact"/>
              <w:jc w:val="right"/>
              <w:rPr>
                <w:rFonts w:ascii="Tahoma" w:hAnsi="Tahoma" w:cs="Tahoma"/>
                <w:b/>
                <w:bCs/>
                <w:iCs/>
                <w:color w:val="509141"/>
                <w:sz w:val="44"/>
                <w:szCs w:val="44"/>
                <w:lang w:val="en-US"/>
              </w:rPr>
            </w:pPr>
          </w:p>
          <w:p w:rsidR="00CC1C23" w:rsidRPr="00EF1E72" w:rsidRDefault="00E72FDE" w:rsidP="008839C1">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Sharing between space-to-space links</w:t>
            </w:r>
            <w:r w:rsidR="008839C1">
              <w:rPr>
                <w:rFonts w:ascii="Tahoma" w:hAnsi="Tahoma" w:cs="Tahoma"/>
                <w:b/>
                <w:bCs/>
                <w:iCs/>
                <w:color w:val="509141"/>
                <w:sz w:val="44"/>
                <w:szCs w:val="44"/>
                <w:lang w:val="en-US"/>
              </w:rPr>
              <w:br/>
            </w:r>
            <w:r>
              <w:rPr>
                <w:rFonts w:ascii="Tahoma" w:hAnsi="Tahoma" w:cs="Tahoma"/>
                <w:b/>
                <w:bCs/>
                <w:iCs/>
                <w:color w:val="509141"/>
                <w:sz w:val="44"/>
                <w:szCs w:val="44"/>
                <w:lang w:val="en-US"/>
              </w:rPr>
              <w:t>in space research, space orientation</w:t>
            </w:r>
            <w:r w:rsidR="008839C1">
              <w:rPr>
                <w:rFonts w:ascii="Tahoma" w:hAnsi="Tahoma" w:cs="Tahoma"/>
                <w:b/>
                <w:bCs/>
                <w:iCs/>
                <w:color w:val="509141"/>
                <w:sz w:val="44"/>
                <w:szCs w:val="44"/>
                <w:lang w:val="en-US"/>
              </w:rPr>
              <w:br/>
            </w:r>
            <w:r>
              <w:rPr>
                <w:rFonts w:ascii="Tahoma" w:hAnsi="Tahoma" w:cs="Tahoma"/>
                <w:b/>
                <w:bCs/>
                <w:iCs/>
                <w:color w:val="509141"/>
                <w:sz w:val="44"/>
                <w:szCs w:val="44"/>
                <w:lang w:val="en-US"/>
              </w:rPr>
              <w:t>and Earth exploration-satellite</w:t>
            </w:r>
            <w:r w:rsidR="008839C1">
              <w:rPr>
                <w:rFonts w:ascii="Tahoma" w:hAnsi="Tahoma" w:cs="Tahoma"/>
                <w:b/>
                <w:bCs/>
                <w:iCs/>
                <w:color w:val="509141"/>
                <w:sz w:val="44"/>
                <w:szCs w:val="44"/>
                <w:lang w:val="en-US"/>
              </w:rPr>
              <w:br/>
            </w:r>
            <w:r>
              <w:rPr>
                <w:rFonts w:ascii="Tahoma" w:hAnsi="Tahoma" w:cs="Tahoma"/>
                <w:b/>
                <w:bCs/>
                <w:iCs/>
                <w:color w:val="509141"/>
                <w:sz w:val="44"/>
                <w:szCs w:val="44"/>
                <w:lang w:val="en-US"/>
              </w:rPr>
              <w:t xml:space="preserve">services and IMT systems </w:t>
            </w:r>
            <w:r w:rsidR="008839C1">
              <w:rPr>
                <w:rFonts w:ascii="Tahoma" w:hAnsi="Tahoma" w:cs="Tahoma"/>
                <w:b/>
                <w:bCs/>
                <w:iCs/>
                <w:color w:val="509141"/>
                <w:sz w:val="44"/>
                <w:szCs w:val="44"/>
                <w:lang w:val="en-US"/>
              </w:rPr>
              <w:br/>
              <w:t xml:space="preserve">in </w:t>
            </w:r>
            <w:r>
              <w:rPr>
                <w:rFonts w:ascii="Tahoma" w:hAnsi="Tahoma" w:cs="Tahoma"/>
                <w:b/>
                <w:bCs/>
                <w:iCs/>
                <w:color w:val="509141"/>
                <w:sz w:val="44"/>
                <w:szCs w:val="44"/>
                <w:lang w:val="en-US"/>
              </w:rPr>
              <w:t>the frequency bands</w:t>
            </w:r>
            <w:r w:rsidR="008839C1">
              <w:rPr>
                <w:rFonts w:ascii="Tahoma" w:hAnsi="Tahoma" w:cs="Tahoma"/>
                <w:b/>
                <w:bCs/>
                <w:iCs/>
                <w:color w:val="509141"/>
                <w:sz w:val="44"/>
                <w:szCs w:val="44"/>
                <w:lang w:val="en-US"/>
              </w:rPr>
              <w:br/>
            </w:r>
            <w:r>
              <w:rPr>
                <w:rFonts w:ascii="Tahoma" w:hAnsi="Tahoma" w:cs="Tahoma"/>
                <w:b/>
                <w:bCs/>
                <w:iCs/>
                <w:color w:val="509141"/>
                <w:sz w:val="44"/>
                <w:szCs w:val="44"/>
                <w:lang w:val="en-US"/>
              </w:rPr>
              <w:t>2 025-2 110 MHz and</w:t>
            </w:r>
            <w:r w:rsidR="008839C1">
              <w:rPr>
                <w:rFonts w:ascii="Tahoma" w:hAnsi="Tahoma" w:cs="Tahoma"/>
                <w:b/>
                <w:bCs/>
                <w:iCs/>
                <w:color w:val="509141"/>
                <w:sz w:val="44"/>
                <w:szCs w:val="44"/>
                <w:lang w:val="en-US"/>
              </w:rPr>
              <w:br/>
            </w:r>
            <w:r>
              <w:rPr>
                <w:rFonts w:ascii="Tahoma" w:hAnsi="Tahoma" w:cs="Tahoma"/>
                <w:b/>
                <w:bCs/>
                <w:iCs/>
                <w:color w:val="509141"/>
                <w:sz w:val="44"/>
                <w:szCs w:val="44"/>
                <w:lang w:val="en-US"/>
              </w:rPr>
              <w:t>2 200-2 290 MHz</w:t>
            </w:r>
          </w:p>
          <w:p w:rsidR="00CC1C23" w:rsidRPr="00EF1E72" w:rsidRDefault="00CC1C23" w:rsidP="006C09C0">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CC1C23" w:rsidRPr="00EF1E72" w:rsidTr="006C09C0">
        <w:tc>
          <w:tcPr>
            <w:tcW w:w="10089" w:type="dxa"/>
          </w:tcPr>
          <w:p w:rsidR="00CC1C23" w:rsidRPr="00EF1E72" w:rsidRDefault="00CC1C23" w:rsidP="006C09C0">
            <w:pPr>
              <w:spacing w:before="80" w:line="280" w:lineRule="exact"/>
              <w:ind w:right="640"/>
              <w:rPr>
                <w:rFonts w:ascii="Tahoma" w:hAnsi="Tahoma" w:cs="Tahoma"/>
                <w:b/>
                <w:bCs/>
                <w:iCs/>
                <w:color w:val="243285"/>
                <w:sz w:val="32"/>
                <w:szCs w:val="32"/>
                <w:lang w:val="en-US"/>
              </w:rPr>
            </w:pPr>
          </w:p>
          <w:p w:rsidR="00CC1C23" w:rsidRPr="00EF1E72" w:rsidRDefault="00CC1C23" w:rsidP="006C09C0">
            <w:pPr>
              <w:spacing w:before="80" w:line="280" w:lineRule="exact"/>
              <w:ind w:right="640"/>
              <w:rPr>
                <w:rFonts w:ascii="Tahoma" w:hAnsi="Tahoma" w:cs="Tahoma"/>
                <w:b/>
                <w:bCs/>
                <w:iCs/>
                <w:color w:val="243285"/>
                <w:sz w:val="32"/>
                <w:szCs w:val="32"/>
                <w:lang w:val="en-US"/>
              </w:rPr>
            </w:pPr>
          </w:p>
          <w:p w:rsidR="00CC1C23" w:rsidRPr="00EF1E72" w:rsidRDefault="00CC1C23" w:rsidP="006C09C0">
            <w:pPr>
              <w:spacing w:before="80" w:line="280" w:lineRule="exact"/>
              <w:ind w:right="640"/>
              <w:rPr>
                <w:rFonts w:ascii="Tahoma" w:hAnsi="Tahoma" w:cs="Tahoma"/>
                <w:b/>
                <w:bCs/>
                <w:iCs/>
                <w:color w:val="243285"/>
                <w:sz w:val="32"/>
                <w:szCs w:val="32"/>
                <w:lang w:val="en-US"/>
              </w:rPr>
            </w:pPr>
          </w:p>
          <w:p w:rsidR="00CC1C23" w:rsidRPr="00EF1E72" w:rsidRDefault="00CC1C23" w:rsidP="006C09C0">
            <w:pPr>
              <w:spacing w:before="80" w:after="180" w:line="360" w:lineRule="exact"/>
              <w:jc w:val="right"/>
              <w:rPr>
                <w:rFonts w:ascii="Tahoma" w:hAnsi="Tahoma" w:cs="Tahoma"/>
                <w:b/>
                <w:bCs/>
                <w:iCs/>
                <w:color w:val="243285"/>
                <w:sz w:val="36"/>
                <w:szCs w:val="36"/>
                <w:lang w:val="en-US"/>
              </w:rPr>
            </w:pPr>
          </w:p>
          <w:p w:rsidR="00CC1C23" w:rsidRPr="00EF1E72" w:rsidRDefault="00CC1C23" w:rsidP="006C09C0">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SA Series</w:t>
            </w:r>
          </w:p>
          <w:p w:rsidR="00CC1C23" w:rsidRPr="00EF1E72" w:rsidRDefault="00CC1C23" w:rsidP="006C09C0">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CC1C23" w:rsidRDefault="00CC1C23" w:rsidP="00CC1C23">
      <w:pPr>
        <w:spacing w:before="80"/>
        <w:rPr>
          <w:i/>
          <w:sz w:val="22"/>
          <w:lang w:val="en-US"/>
        </w:rPr>
      </w:pPr>
    </w:p>
    <w:p w:rsidR="00CC1C23" w:rsidRDefault="00CC1C23" w:rsidP="00CC1C23">
      <w:pPr>
        <w:spacing w:before="80"/>
        <w:rPr>
          <w:i/>
          <w:sz w:val="22"/>
          <w:lang w:val="en-US"/>
        </w:rPr>
      </w:pPr>
    </w:p>
    <w:p w:rsidR="00CC1C23" w:rsidRDefault="00CC1C23" w:rsidP="00CC1C23">
      <w:pPr>
        <w:spacing w:before="80"/>
        <w:rPr>
          <w:i/>
          <w:sz w:val="22"/>
          <w:lang w:val="en-US"/>
        </w:rPr>
      </w:pPr>
    </w:p>
    <w:p w:rsidR="00CC1C23" w:rsidRDefault="00CC1C23" w:rsidP="00CC1C23">
      <w:pPr>
        <w:spacing w:before="80"/>
        <w:rPr>
          <w:i/>
          <w:sz w:val="22"/>
          <w:lang w:val="en-US"/>
        </w:rPr>
      </w:pPr>
    </w:p>
    <w:p w:rsidR="00CC1C23" w:rsidRDefault="00CC1C23" w:rsidP="00CC1C23">
      <w:pPr>
        <w:spacing w:before="80"/>
        <w:rPr>
          <w:i/>
          <w:sz w:val="22"/>
          <w:lang w:val="en-US"/>
        </w:rPr>
      </w:pPr>
    </w:p>
    <w:p w:rsidR="00CC1C23" w:rsidRDefault="00CC1C23" w:rsidP="00CC1C23">
      <w:pPr>
        <w:spacing w:before="80"/>
        <w:rPr>
          <w:i/>
          <w:sz w:val="22"/>
          <w:lang w:val="en-US"/>
        </w:rPr>
      </w:pPr>
    </w:p>
    <w:p w:rsidR="00CC1C23" w:rsidRDefault="00CC1C23" w:rsidP="00CC1C23">
      <w:pPr>
        <w:rPr>
          <w:rFonts w:ascii="Palatino Linotype" w:hAnsi="Palatino Linotype"/>
          <w:lang w:val="en-US"/>
        </w:rPr>
        <w:sectPr w:rsidR="00CC1C23" w:rsidSect="006C09C0">
          <w:headerReference w:type="even" r:id="rId8"/>
          <w:headerReference w:type="default" r:id="rId9"/>
          <w:pgSz w:w="11907" w:h="16840" w:code="9"/>
          <w:pgMar w:top="1089" w:right="1089" w:bottom="284" w:left="1089" w:header="567" w:footer="284" w:gutter="0"/>
          <w:pgNumType w:start="1"/>
          <w:cols w:space="720"/>
        </w:sectPr>
      </w:pPr>
    </w:p>
    <w:p w:rsidR="00CC1C23" w:rsidRDefault="00CC1C23" w:rsidP="00CC1C23">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C1C23" w:rsidRDefault="00CC1C23" w:rsidP="00CC1C2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C1C23" w:rsidRDefault="00CC1C23" w:rsidP="00CC1C2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C1C23" w:rsidRDefault="00CC1C23" w:rsidP="00CC1C23">
      <w:pPr>
        <w:pStyle w:val="Heading1"/>
        <w:spacing w:before="400"/>
        <w:jc w:val="center"/>
        <w:rPr>
          <w:szCs w:val="24"/>
          <w:lang w:val="en-US"/>
        </w:rPr>
      </w:pPr>
    </w:p>
    <w:p w:rsidR="00CC1C23" w:rsidRDefault="00CC1C23" w:rsidP="00CC1C23">
      <w:pPr>
        <w:pStyle w:val="Heading1"/>
        <w:spacing w:before="540"/>
        <w:jc w:val="center"/>
        <w:rPr>
          <w:szCs w:val="24"/>
          <w:lang w:val="en-US"/>
        </w:rPr>
      </w:pPr>
      <w:r>
        <w:rPr>
          <w:szCs w:val="24"/>
          <w:lang w:val="en-US"/>
        </w:rPr>
        <w:t>Policy on Intellectual Property Right (IPR)</w:t>
      </w:r>
    </w:p>
    <w:p w:rsidR="00CC1C23" w:rsidRDefault="00CC1C23" w:rsidP="00CC1C23">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C1C23" w:rsidRDefault="00CC1C23" w:rsidP="00CC1C23">
      <w:pPr>
        <w:jc w:val="center"/>
        <w:rPr>
          <w:sz w:val="22"/>
          <w:lang w:val="en-US"/>
        </w:rPr>
      </w:pPr>
    </w:p>
    <w:p w:rsidR="00CC1C23" w:rsidRDefault="00CC1C23" w:rsidP="00CC1C23">
      <w:pPr>
        <w:jc w:val="center"/>
        <w:rPr>
          <w:sz w:val="22"/>
          <w:lang w:val="en-US"/>
        </w:rPr>
      </w:pPr>
    </w:p>
    <w:p w:rsidR="00CC1C23" w:rsidRDefault="00CC1C23" w:rsidP="00CC1C2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C1C23" w:rsidRPr="00F90CAF" w:rsidTr="006C09C0">
        <w:tc>
          <w:tcPr>
            <w:tcW w:w="9360" w:type="dxa"/>
            <w:gridSpan w:val="2"/>
            <w:tcBorders>
              <w:top w:val="single" w:sz="12" w:space="0" w:color="000080"/>
              <w:left w:val="single" w:sz="12" w:space="0" w:color="000080"/>
              <w:bottom w:val="nil"/>
              <w:right w:val="single" w:sz="12" w:space="0" w:color="000080"/>
            </w:tcBorders>
          </w:tcPr>
          <w:p w:rsidR="00CC1C23" w:rsidRPr="00C7761D" w:rsidRDefault="00CC1C23" w:rsidP="006C09C0">
            <w:pPr>
              <w:pStyle w:val="ChapNo"/>
              <w:spacing w:before="240"/>
              <w:rPr>
                <w:sz w:val="22"/>
                <w:szCs w:val="22"/>
                <w:lang w:val="en-US"/>
              </w:rPr>
            </w:pPr>
            <w:r w:rsidRPr="00C7761D">
              <w:rPr>
                <w:sz w:val="22"/>
                <w:szCs w:val="22"/>
                <w:lang w:val="en-US"/>
              </w:rPr>
              <w:t xml:space="preserve">Series of ITU-R Reports </w:t>
            </w:r>
          </w:p>
          <w:p w:rsidR="00CC1C23" w:rsidRDefault="00CC1C23" w:rsidP="006C09C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CC1C23" w:rsidTr="006C09C0">
        <w:tc>
          <w:tcPr>
            <w:tcW w:w="1140" w:type="dxa"/>
            <w:tcBorders>
              <w:top w:val="nil"/>
              <w:left w:val="single" w:sz="12" w:space="0" w:color="000080"/>
              <w:bottom w:val="nil"/>
              <w:right w:val="nil"/>
            </w:tcBorders>
          </w:tcPr>
          <w:p w:rsidR="00CC1C23" w:rsidRDefault="00CC1C23" w:rsidP="006C09C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C1C23" w:rsidRDefault="00CC1C23" w:rsidP="006C09C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C1C23" w:rsidTr="006C09C0">
        <w:tc>
          <w:tcPr>
            <w:tcW w:w="1140" w:type="dxa"/>
            <w:tcBorders>
              <w:top w:val="nil"/>
              <w:left w:val="single" w:sz="12" w:space="0" w:color="000080"/>
              <w:bottom w:val="nil"/>
              <w:right w:val="nil"/>
            </w:tcBorders>
            <w:shd w:val="clear" w:color="auto" w:fill="auto"/>
          </w:tcPr>
          <w:p w:rsidR="00CC1C23" w:rsidRPr="006F2B77" w:rsidRDefault="00CC1C23" w:rsidP="006C09C0">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C1C23" w:rsidRPr="006F2B77" w:rsidRDefault="00CC1C23" w:rsidP="006C09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C1C23" w:rsidRPr="00F90CAF" w:rsidTr="006C09C0">
        <w:tc>
          <w:tcPr>
            <w:tcW w:w="1140" w:type="dxa"/>
            <w:tcBorders>
              <w:top w:val="nil"/>
              <w:left w:val="single" w:sz="12" w:space="0" w:color="000080"/>
              <w:bottom w:val="nil"/>
              <w:right w:val="nil"/>
            </w:tcBorders>
          </w:tcPr>
          <w:p w:rsidR="00CC1C23" w:rsidRDefault="00CC1C23" w:rsidP="006C09C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C1C23" w:rsidRDefault="00CC1C23" w:rsidP="006C09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C1C23" w:rsidRPr="00D55B55" w:rsidTr="006C09C0">
        <w:tc>
          <w:tcPr>
            <w:tcW w:w="1140" w:type="dxa"/>
            <w:tcBorders>
              <w:top w:val="nil"/>
              <w:left w:val="single" w:sz="12" w:space="0" w:color="000080"/>
              <w:bottom w:val="nil"/>
              <w:right w:val="nil"/>
            </w:tcBorders>
            <w:shd w:val="clear" w:color="auto" w:fill="auto"/>
          </w:tcPr>
          <w:p w:rsidR="00CC1C23" w:rsidRPr="00D55B55" w:rsidRDefault="00CC1C23" w:rsidP="006C09C0">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C1C23" w:rsidRPr="00D55B55" w:rsidRDefault="00CC1C23" w:rsidP="006C09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C1C23" w:rsidRPr="00BD3F5C" w:rsidTr="006C09C0">
        <w:tc>
          <w:tcPr>
            <w:tcW w:w="1140" w:type="dxa"/>
            <w:tcBorders>
              <w:top w:val="nil"/>
              <w:left w:val="single" w:sz="12" w:space="0" w:color="000080"/>
              <w:bottom w:val="nil"/>
              <w:right w:val="nil"/>
            </w:tcBorders>
            <w:shd w:val="clear" w:color="auto" w:fill="auto"/>
          </w:tcPr>
          <w:p w:rsidR="00CC1C23" w:rsidRPr="00BD3F5C" w:rsidRDefault="00CC1C23" w:rsidP="006C09C0">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C1C23" w:rsidRPr="00BD3F5C" w:rsidRDefault="00CC1C23" w:rsidP="006C09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C1C23" w:rsidRPr="00D069F2" w:rsidTr="006C09C0">
        <w:tc>
          <w:tcPr>
            <w:tcW w:w="1140" w:type="dxa"/>
            <w:tcBorders>
              <w:top w:val="nil"/>
              <w:left w:val="single" w:sz="12" w:space="0" w:color="000080"/>
              <w:bottom w:val="nil"/>
              <w:right w:val="nil"/>
            </w:tcBorders>
            <w:shd w:val="clear" w:color="auto" w:fill="auto"/>
          </w:tcPr>
          <w:p w:rsidR="00CC1C23" w:rsidRPr="00D069F2" w:rsidRDefault="00CC1C23" w:rsidP="006C09C0">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C1C23" w:rsidRPr="00D069F2" w:rsidRDefault="00CC1C23" w:rsidP="006C09C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C1C23" w:rsidRPr="008D3D8D" w:rsidTr="006C09C0">
        <w:tc>
          <w:tcPr>
            <w:tcW w:w="1140" w:type="dxa"/>
            <w:tcBorders>
              <w:top w:val="nil"/>
              <w:left w:val="single" w:sz="12" w:space="0" w:color="000080"/>
              <w:bottom w:val="nil"/>
              <w:right w:val="nil"/>
            </w:tcBorders>
            <w:shd w:val="clear" w:color="auto" w:fill="auto"/>
          </w:tcPr>
          <w:p w:rsidR="00CC1C23" w:rsidRPr="008D3D8D" w:rsidRDefault="00CC1C23" w:rsidP="006C09C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C1C23" w:rsidRPr="008D3D8D" w:rsidRDefault="00CC1C23" w:rsidP="006C09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C1C23" w:rsidRPr="002D77AF" w:rsidTr="006C09C0">
        <w:tc>
          <w:tcPr>
            <w:tcW w:w="1140" w:type="dxa"/>
            <w:tcBorders>
              <w:top w:val="nil"/>
              <w:left w:val="single" w:sz="12" w:space="0" w:color="000080"/>
              <w:bottom w:val="nil"/>
              <w:right w:val="nil"/>
            </w:tcBorders>
            <w:shd w:val="clear" w:color="auto" w:fill="auto"/>
          </w:tcPr>
          <w:p w:rsidR="00CC1C23" w:rsidRPr="002D77AF" w:rsidRDefault="00CC1C23" w:rsidP="006C09C0">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C1C23" w:rsidRPr="002D77AF" w:rsidRDefault="00CC1C23" w:rsidP="006C09C0">
            <w:pPr>
              <w:spacing w:before="30" w:after="30"/>
              <w:jc w:val="left"/>
              <w:rPr>
                <w:sz w:val="20"/>
                <w:lang w:val="fr-CH"/>
              </w:rPr>
            </w:pPr>
            <w:r w:rsidRPr="002D77AF">
              <w:rPr>
                <w:sz w:val="20"/>
                <w:lang w:val="fr-CH"/>
              </w:rPr>
              <w:t>Radiowave propagation</w:t>
            </w:r>
          </w:p>
        </w:tc>
      </w:tr>
      <w:tr w:rsidR="00CC1C23" w:rsidRPr="003B4EE8" w:rsidTr="006C09C0">
        <w:tc>
          <w:tcPr>
            <w:tcW w:w="1140" w:type="dxa"/>
            <w:tcBorders>
              <w:top w:val="nil"/>
              <w:left w:val="single" w:sz="12" w:space="0" w:color="000080"/>
              <w:bottom w:val="nil"/>
              <w:right w:val="nil"/>
            </w:tcBorders>
            <w:shd w:val="clear" w:color="auto" w:fill="auto"/>
          </w:tcPr>
          <w:p w:rsidR="00CC1C23" w:rsidRPr="003B4EE8" w:rsidRDefault="00CC1C23" w:rsidP="006C09C0">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C1C23" w:rsidRPr="003B4EE8" w:rsidRDefault="00CC1C23" w:rsidP="006C09C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C1C23" w:rsidRPr="00CB1116" w:rsidTr="006C09C0">
        <w:tc>
          <w:tcPr>
            <w:tcW w:w="1140" w:type="dxa"/>
            <w:tcBorders>
              <w:top w:val="nil"/>
              <w:left w:val="single" w:sz="12" w:space="0" w:color="000080"/>
              <w:bottom w:val="nil"/>
              <w:right w:val="nil"/>
            </w:tcBorders>
            <w:shd w:val="clear" w:color="auto" w:fill="auto"/>
          </w:tcPr>
          <w:p w:rsidR="00CC1C23" w:rsidRPr="00CB1116" w:rsidRDefault="00CC1C23" w:rsidP="006C09C0">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C1C23" w:rsidRPr="00CB1116" w:rsidRDefault="00CC1C23" w:rsidP="006C09C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C1C23" w:rsidRPr="00C114A7" w:rsidTr="006C09C0">
        <w:tc>
          <w:tcPr>
            <w:tcW w:w="1140" w:type="dxa"/>
            <w:tcBorders>
              <w:top w:val="nil"/>
              <w:left w:val="single" w:sz="12" w:space="0" w:color="000080"/>
              <w:bottom w:val="nil"/>
              <w:right w:val="nil"/>
            </w:tcBorders>
            <w:shd w:val="clear" w:color="auto" w:fill="auto"/>
          </w:tcPr>
          <w:p w:rsidR="00CC1C23" w:rsidRPr="00C114A7" w:rsidRDefault="00CC1C23" w:rsidP="006C09C0">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C1C23" w:rsidRPr="00C114A7" w:rsidRDefault="00CC1C23" w:rsidP="006C09C0">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CC1C23" w:rsidRPr="00C114A7" w:rsidTr="006C09C0">
        <w:tc>
          <w:tcPr>
            <w:tcW w:w="1140" w:type="dxa"/>
            <w:tcBorders>
              <w:top w:val="nil"/>
              <w:left w:val="single" w:sz="12" w:space="0" w:color="000080"/>
              <w:bottom w:val="nil"/>
              <w:right w:val="nil"/>
            </w:tcBorders>
            <w:shd w:val="clear" w:color="auto" w:fill="F3F3F3"/>
          </w:tcPr>
          <w:p w:rsidR="00CC1C23" w:rsidRPr="00C114A7" w:rsidRDefault="00CC1C23" w:rsidP="006C09C0">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CC1C23" w:rsidRPr="00C114A7" w:rsidRDefault="00CC1C23" w:rsidP="006C09C0">
            <w:pPr>
              <w:spacing w:before="30" w:after="30"/>
              <w:jc w:val="left"/>
              <w:rPr>
                <w:b/>
                <w:bCs/>
                <w:color w:val="000080"/>
                <w:sz w:val="20"/>
                <w:lang w:val="en-US"/>
              </w:rPr>
            </w:pPr>
            <w:r w:rsidRPr="00C114A7">
              <w:rPr>
                <w:b/>
                <w:bCs/>
                <w:color w:val="000080"/>
                <w:sz w:val="20"/>
                <w:lang w:val="en-US"/>
              </w:rPr>
              <w:t>Space applications and meteorology</w:t>
            </w:r>
          </w:p>
        </w:tc>
      </w:tr>
      <w:tr w:rsidR="00CC1C23" w:rsidRPr="00F90CAF" w:rsidTr="006C09C0">
        <w:tc>
          <w:tcPr>
            <w:tcW w:w="1140" w:type="dxa"/>
            <w:tcBorders>
              <w:top w:val="nil"/>
              <w:left w:val="single" w:sz="12" w:space="0" w:color="000080"/>
              <w:bottom w:val="nil"/>
              <w:right w:val="nil"/>
            </w:tcBorders>
          </w:tcPr>
          <w:p w:rsidR="00CC1C23" w:rsidRDefault="00CC1C23" w:rsidP="006C09C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C1C23" w:rsidRDefault="00CC1C23" w:rsidP="006C09C0">
            <w:pPr>
              <w:spacing w:before="30" w:after="30"/>
              <w:jc w:val="left"/>
              <w:rPr>
                <w:sz w:val="20"/>
                <w:lang w:val="en-US"/>
              </w:rPr>
            </w:pPr>
            <w:r>
              <w:rPr>
                <w:sz w:val="20"/>
                <w:lang w:val="en-US"/>
              </w:rPr>
              <w:t>Frequency sharing and coordination between fixed-satellite and fixed service systems</w:t>
            </w:r>
          </w:p>
        </w:tc>
      </w:tr>
      <w:tr w:rsidR="00CC1C23" w:rsidTr="006C09C0">
        <w:tc>
          <w:tcPr>
            <w:tcW w:w="1140" w:type="dxa"/>
            <w:tcBorders>
              <w:top w:val="nil"/>
              <w:left w:val="single" w:sz="12" w:space="0" w:color="000080"/>
              <w:bottom w:val="single" w:sz="12" w:space="0" w:color="000080"/>
              <w:right w:val="nil"/>
            </w:tcBorders>
          </w:tcPr>
          <w:p w:rsidR="00CC1C23" w:rsidRDefault="00CC1C23" w:rsidP="006C09C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C1C23" w:rsidRDefault="00CC1C23" w:rsidP="006C09C0">
            <w:pPr>
              <w:spacing w:before="30" w:after="180"/>
              <w:jc w:val="left"/>
              <w:rPr>
                <w:sz w:val="20"/>
                <w:lang w:val="en-US"/>
              </w:rPr>
            </w:pPr>
            <w:r>
              <w:rPr>
                <w:sz w:val="20"/>
                <w:lang w:val="en-US"/>
              </w:rPr>
              <w:t>Spectrum management</w:t>
            </w:r>
          </w:p>
        </w:tc>
      </w:tr>
    </w:tbl>
    <w:p w:rsidR="00CC1C23" w:rsidRDefault="00CC1C23" w:rsidP="00CC1C2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C1C23" w:rsidTr="006C09C0">
        <w:tc>
          <w:tcPr>
            <w:tcW w:w="720" w:type="dxa"/>
          </w:tcPr>
          <w:p w:rsidR="00CC1C23" w:rsidRDefault="00CC1C23" w:rsidP="006C09C0">
            <w:pPr>
              <w:jc w:val="center"/>
              <w:rPr>
                <w:sz w:val="22"/>
                <w:lang w:val="en-US"/>
              </w:rPr>
            </w:pPr>
          </w:p>
        </w:tc>
      </w:tr>
    </w:tbl>
    <w:p w:rsidR="00CC1C23" w:rsidRDefault="00CC1C23" w:rsidP="00CC1C2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C1C23" w:rsidRPr="00F90CAF" w:rsidTr="006C09C0">
        <w:tc>
          <w:tcPr>
            <w:tcW w:w="9360" w:type="dxa"/>
            <w:tcBorders>
              <w:top w:val="single" w:sz="12" w:space="0" w:color="000080"/>
              <w:left w:val="single" w:sz="12" w:space="0" w:color="000080"/>
              <w:bottom w:val="single" w:sz="12" w:space="0" w:color="000080"/>
              <w:right w:val="single" w:sz="12" w:space="0" w:color="000080"/>
            </w:tcBorders>
          </w:tcPr>
          <w:p w:rsidR="00CC1C23" w:rsidRPr="00EF1E72" w:rsidRDefault="00CC1C23" w:rsidP="006C09C0">
            <w:pPr>
              <w:spacing w:after="120"/>
              <w:jc w:val="left"/>
              <w:rPr>
                <w:b/>
                <w:bCs/>
                <w:sz w:val="20"/>
                <w:lang w:val="en-US"/>
              </w:rPr>
            </w:pPr>
            <w:r w:rsidRPr="00EF1E72">
              <w:rPr>
                <w:b/>
                <w:bCs/>
                <w:i/>
                <w:iCs/>
                <w:sz w:val="20"/>
                <w:lang w:val="en-US"/>
              </w:rPr>
              <w:t>Note</w:t>
            </w:r>
            <w:r w:rsidRPr="00EF1E72">
              <w:rPr>
                <w:i/>
                <w:iCs/>
                <w:sz w:val="20"/>
                <w:lang w:val="en-US"/>
              </w:rPr>
              <w:t>: This ITU-R Report was approved in English by the Study Group under the procedure detailed in Resolution</w:t>
            </w:r>
            <w:r>
              <w:rPr>
                <w:i/>
                <w:iCs/>
                <w:sz w:val="20"/>
                <w:lang w:val="en-US"/>
              </w:rPr>
              <w:t> </w:t>
            </w:r>
            <w:r w:rsidRPr="00EF1E72">
              <w:rPr>
                <w:i/>
                <w:iCs/>
                <w:sz w:val="20"/>
                <w:lang w:val="en-US"/>
              </w:rPr>
              <w:t>ITU-R 1.</w:t>
            </w:r>
          </w:p>
        </w:tc>
      </w:tr>
    </w:tbl>
    <w:p w:rsidR="00CC1C23" w:rsidRDefault="00CC1C23" w:rsidP="00CC1C23">
      <w:pPr>
        <w:spacing w:before="0"/>
        <w:jc w:val="center"/>
        <w:rPr>
          <w:sz w:val="22"/>
          <w:lang w:val="en-US"/>
        </w:rPr>
      </w:pPr>
    </w:p>
    <w:p w:rsidR="00CC1C23" w:rsidRDefault="00CC1C23" w:rsidP="00CC1C23">
      <w:pPr>
        <w:spacing w:before="0"/>
        <w:jc w:val="center"/>
        <w:rPr>
          <w:sz w:val="22"/>
          <w:lang w:val="en-US"/>
        </w:rPr>
      </w:pPr>
    </w:p>
    <w:p w:rsidR="00CC1C23" w:rsidRDefault="00CC1C23" w:rsidP="00CC1C23">
      <w:pPr>
        <w:spacing w:before="0"/>
        <w:jc w:val="right"/>
        <w:rPr>
          <w:i/>
          <w:iCs/>
          <w:sz w:val="20"/>
          <w:lang w:val="en-US"/>
        </w:rPr>
      </w:pPr>
      <w:r>
        <w:rPr>
          <w:i/>
          <w:iCs/>
          <w:sz w:val="20"/>
          <w:lang w:val="en-US"/>
        </w:rPr>
        <w:t>Electronic Publication</w:t>
      </w:r>
    </w:p>
    <w:p w:rsidR="00CC1C23" w:rsidRDefault="00CC1C23" w:rsidP="00CC1C23">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CC1C23" w:rsidRDefault="00CC1C23" w:rsidP="00CC1C23">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2015</w:t>
      </w:r>
    </w:p>
    <w:p w:rsidR="00CC1C23" w:rsidRDefault="00CC1C23" w:rsidP="00CC1C23">
      <w:pPr>
        <w:rPr>
          <w:sz w:val="18"/>
          <w:szCs w:val="18"/>
          <w:lang w:val="en-US"/>
        </w:rPr>
      </w:pPr>
      <w:r>
        <w:rPr>
          <w:sz w:val="18"/>
          <w:szCs w:val="18"/>
          <w:lang w:val="en-US"/>
        </w:rPr>
        <w:t>All rights reserved. No part of this publication may be reproduced, by any means whatsoever, without written permission of ITU.</w:t>
      </w:r>
    </w:p>
    <w:p w:rsidR="00CC1C23" w:rsidRDefault="00CC1C23" w:rsidP="00CC1C23">
      <w:pPr>
        <w:tabs>
          <w:tab w:val="clear" w:pos="794"/>
          <w:tab w:val="clear" w:pos="1191"/>
          <w:tab w:val="clear" w:pos="1588"/>
          <w:tab w:val="clear" w:pos="1985"/>
        </w:tabs>
        <w:overflowPunct/>
        <w:autoSpaceDE/>
        <w:autoSpaceDN/>
        <w:adjustRightInd/>
        <w:spacing w:before="0"/>
        <w:jc w:val="left"/>
        <w:rPr>
          <w:i/>
          <w:sz w:val="20"/>
          <w:lang w:val="en-US"/>
        </w:rPr>
        <w:sectPr w:rsidR="00CC1C23">
          <w:pgSz w:w="11907" w:h="16834"/>
          <w:pgMar w:top="1418" w:right="1134" w:bottom="1134" w:left="1134" w:header="720" w:footer="482" w:gutter="0"/>
          <w:paperSrc w:first="15" w:other="15"/>
          <w:pgNumType w:fmt="lowerRoman" w:start="2"/>
          <w:cols w:space="720"/>
        </w:sectPr>
      </w:pPr>
    </w:p>
    <w:p w:rsidR="00C309C4" w:rsidRPr="00C309C4" w:rsidRDefault="00C309C4" w:rsidP="00C309C4">
      <w:pPr>
        <w:pStyle w:val="Rectitle"/>
        <w:spacing w:before="0"/>
        <w:rPr>
          <w:lang w:val="en-US"/>
        </w:rPr>
      </w:pPr>
      <w:bookmarkStart w:id="2" w:name="irecnoe"/>
      <w:bookmarkEnd w:id="2"/>
      <w:r w:rsidRPr="00044F43">
        <w:rPr>
          <w:lang w:val="en-US"/>
        </w:rPr>
        <w:lastRenderedPageBreak/>
        <w:t>REPORT</w:t>
      </w:r>
      <w:r w:rsidRPr="008D3D8D">
        <w:rPr>
          <w:lang w:val="en-US"/>
        </w:rPr>
        <w:t xml:space="preserve">  </w:t>
      </w:r>
      <w:r w:rsidRPr="008D3D8D">
        <w:rPr>
          <w:rStyle w:val="href"/>
          <w:lang w:val="en-US"/>
        </w:rPr>
        <w:t xml:space="preserve">ITU-R  </w:t>
      </w:r>
      <w:r>
        <w:rPr>
          <w:rStyle w:val="href"/>
          <w:lang w:val="en-US"/>
        </w:rPr>
        <w:t>SA</w:t>
      </w:r>
      <w:r w:rsidRPr="008D3D8D">
        <w:rPr>
          <w:rStyle w:val="href"/>
          <w:lang w:val="en-US"/>
        </w:rPr>
        <w:t>.</w:t>
      </w:r>
      <w:r>
        <w:rPr>
          <w:rStyle w:val="href"/>
          <w:lang w:val="en-US"/>
        </w:rPr>
        <w:t>2325-0</w:t>
      </w:r>
      <w:r>
        <w:rPr>
          <w:rStyle w:val="FootnoteReference"/>
          <w:lang w:val="en-US"/>
        </w:rPr>
        <w:footnoteReference w:id="1"/>
      </w:r>
    </w:p>
    <w:p w:rsidR="003E1768" w:rsidRDefault="003E1768" w:rsidP="00071226">
      <w:pPr>
        <w:pStyle w:val="Reptitle"/>
        <w:rPr>
          <w:lang w:val="en-US"/>
        </w:rPr>
      </w:pPr>
      <w:r>
        <w:rPr>
          <w:lang w:val="en-US"/>
        </w:rPr>
        <w:t>Sharing between space-to-space links in space research, space operation</w:t>
      </w:r>
      <w:r w:rsidR="00071226">
        <w:rPr>
          <w:lang w:val="en-US"/>
        </w:rPr>
        <w:br/>
      </w:r>
      <w:r>
        <w:rPr>
          <w:lang w:val="en-US"/>
        </w:rPr>
        <w:t xml:space="preserve">and Earth exploration-satellite services and IMT systems </w:t>
      </w:r>
      <w:r w:rsidR="00071226">
        <w:rPr>
          <w:lang w:val="en-US"/>
        </w:rPr>
        <w:br/>
        <w:t xml:space="preserve">in </w:t>
      </w:r>
      <w:r>
        <w:rPr>
          <w:lang w:val="en-US"/>
        </w:rPr>
        <w:t>the frequency</w:t>
      </w:r>
      <w:r w:rsidR="00071226">
        <w:rPr>
          <w:lang w:val="en-US"/>
        </w:rPr>
        <w:t xml:space="preserve"> </w:t>
      </w:r>
      <w:r>
        <w:rPr>
          <w:lang w:val="en-US"/>
        </w:rPr>
        <w:t>bands 2 02</w:t>
      </w:r>
      <w:r w:rsidR="003D24A7">
        <w:rPr>
          <w:lang w:val="en-US"/>
        </w:rPr>
        <w:t>5</w:t>
      </w:r>
      <w:r w:rsidR="003D24A7">
        <w:rPr>
          <w:lang w:val="en-US"/>
        </w:rPr>
        <w:noBreakHyphen/>
        <w:t>2 110 MHz</w:t>
      </w:r>
      <w:r w:rsidR="00071226">
        <w:rPr>
          <w:lang w:val="en-US"/>
        </w:rPr>
        <w:br/>
      </w:r>
      <w:r w:rsidR="003D24A7">
        <w:rPr>
          <w:lang w:val="en-US"/>
        </w:rPr>
        <w:t>and 2 110 MHz and 2 290 MHz</w:t>
      </w:r>
    </w:p>
    <w:p w:rsidR="002177C5" w:rsidRPr="002177C5" w:rsidRDefault="002177C5" w:rsidP="002177C5">
      <w:pPr>
        <w:pStyle w:val="Repdate"/>
        <w:rPr>
          <w:lang w:val="en-US"/>
        </w:rPr>
      </w:pPr>
      <w:r>
        <w:rPr>
          <w:lang w:val="en-US"/>
        </w:rPr>
        <w:t>(2014)</w:t>
      </w:r>
    </w:p>
    <w:p w:rsidR="00071226" w:rsidRPr="00071226" w:rsidRDefault="00071226" w:rsidP="00071226">
      <w:pPr>
        <w:pStyle w:val="Heading1"/>
        <w:rPr>
          <w:lang w:val="en-US"/>
        </w:rPr>
      </w:pPr>
      <w:r w:rsidRPr="00071226">
        <w:rPr>
          <w:lang w:val="en-US"/>
        </w:rPr>
        <w:t>1</w:t>
      </w:r>
      <w:r w:rsidRPr="00071226">
        <w:rPr>
          <w:lang w:val="en-US"/>
        </w:rPr>
        <w:tab/>
        <w:t>Introduction</w:t>
      </w:r>
    </w:p>
    <w:p w:rsidR="00071226" w:rsidRPr="00071226" w:rsidRDefault="00071226" w:rsidP="00071226">
      <w:pPr>
        <w:rPr>
          <w:lang w:val="en-US"/>
        </w:rPr>
      </w:pPr>
      <w:r w:rsidRPr="00071226">
        <w:rPr>
          <w:lang w:val="en-US"/>
        </w:rPr>
        <w:t>WRC-15 agenda item 1.1 called for conducting sharing and compatibility studies with services already having allocations in candidate frequency bands for potential accommodation of International Mobile Telecommunication (IMT) systems.  The frequency bands 2 025-2 110 MHz and 2 200</w:t>
      </w:r>
      <w:r w:rsidRPr="00071226">
        <w:rPr>
          <w:lang w:val="en-US"/>
        </w:rPr>
        <w:noBreakHyphen/>
        <w:t>2 290 MHz have been identified as suitable frequency ranges for accommodation of IMT systems.</w:t>
      </w:r>
    </w:p>
    <w:p w:rsidR="00071226" w:rsidRPr="00071226" w:rsidRDefault="00071226" w:rsidP="00071226">
      <w:pPr>
        <w:rPr>
          <w:b/>
          <w:lang w:val="en-US"/>
        </w:rPr>
      </w:pPr>
      <w:r w:rsidRPr="00071226">
        <w:rPr>
          <w:lang w:val="en-US"/>
        </w:rPr>
        <w:t>Incumbent primary services in the frequency band 2 200-2 290 MHz include space operation (space-to-Earth and space-space), Earth exploration-satellite (space-to-Earth and space-space), fixed, mobile including aeronautical telemetry, and space research (space-to-Earth and space-to-space).  Incumbent primary services in the frequency band 2 025-2 110 MHz include space operation (Earth-to-space and space-space), Earth exploration-satellite (Earth-to-space and space-space), fixed, mobile, and space research (Earth-to-space and space-to-space).</w:t>
      </w:r>
    </w:p>
    <w:p w:rsidR="00071226" w:rsidRPr="00071226" w:rsidRDefault="00071226" w:rsidP="00071226">
      <w:pPr>
        <w:rPr>
          <w:b/>
          <w:lang w:val="en-US"/>
        </w:rPr>
      </w:pPr>
      <w:r w:rsidRPr="00071226">
        <w:rPr>
          <w:lang w:val="en-US"/>
        </w:rPr>
        <w:t xml:space="preserve">The allocation to the mobile service in this band is under the limitation of </w:t>
      </w:r>
      <w:r w:rsidR="002177C5">
        <w:rPr>
          <w:lang w:val="en-US"/>
        </w:rPr>
        <w:t>Radio Regulations (</w:t>
      </w:r>
      <w:r w:rsidRPr="00071226">
        <w:rPr>
          <w:lang w:val="en-US"/>
        </w:rPr>
        <w:t>RR</w:t>
      </w:r>
      <w:r w:rsidR="002177C5">
        <w:rPr>
          <w:lang w:val="en-US"/>
        </w:rPr>
        <w:t>)</w:t>
      </w:r>
      <w:r w:rsidRPr="00071226">
        <w:rPr>
          <w:lang w:val="en-US"/>
        </w:rPr>
        <w:t xml:space="preserve"> No. </w:t>
      </w:r>
      <w:r w:rsidRPr="002E172F">
        <w:rPr>
          <w:b/>
          <w:bCs/>
          <w:lang w:val="en-US"/>
        </w:rPr>
        <w:t>5.391</w:t>
      </w:r>
      <w:r w:rsidRPr="00C309C4">
        <w:rPr>
          <w:lang w:val="en-US"/>
        </w:rPr>
        <w:t>:</w:t>
      </w:r>
    </w:p>
    <w:p w:rsidR="00071226" w:rsidRDefault="00071226" w:rsidP="002177C5">
      <w:pPr>
        <w:rPr>
          <w:szCs w:val="24"/>
          <w:lang w:val="en-AU"/>
        </w:rPr>
      </w:pPr>
      <w:r w:rsidRPr="002E172F">
        <w:rPr>
          <w:b/>
          <w:bCs/>
          <w:szCs w:val="24"/>
          <w:lang w:val="en-US"/>
        </w:rPr>
        <w:t>5.391</w:t>
      </w:r>
      <w:r w:rsidRPr="00071226">
        <w:rPr>
          <w:szCs w:val="24"/>
          <w:lang w:val="en-US"/>
        </w:rPr>
        <w:tab/>
      </w:r>
      <w:r w:rsidRPr="002177C5">
        <w:rPr>
          <w:iCs/>
          <w:szCs w:val="24"/>
          <w:lang w:val="en-AU"/>
        </w:rPr>
        <w:t>In making assignments to the mobile service in the bands 2</w:t>
      </w:r>
      <w:r w:rsidRPr="002177C5">
        <w:rPr>
          <w:iCs/>
          <w:szCs w:val="24"/>
          <w:lang w:val="en-US"/>
        </w:rPr>
        <w:t> </w:t>
      </w:r>
      <w:r w:rsidRPr="002177C5">
        <w:rPr>
          <w:iCs/>
          <w:szCs w:val="24"/>
          <w:lang w:val="en-AU"/>
        </w:rPr>
        <w:t>025-2</w:t>
      </w:r>
      <w:r w:rsidRPr="002177C5">
        <w:rPr>
          <w:iCs/>
          <w:szCs w:val="24"/>
          <w:lang w:val="en-US"/>
        </w:rPr>
        <w:t> </w:t>
      </w:r>
      <w:r w:rsidRPr="002177C5">
        <w:rPr>
          <w:iCs/>
          <w:szCs w:val="24"/>
          <w:lang w:val="en-AU"/>
        </w:rPr>
        <w:t>110 MHz and 2</w:t>
      </w:r>
      <w:r w:rsidRPr="002177C5">
        <w:rPr>
          <w:iCs/>
          <w:szCs w:val="24"/>
          <w:lang w:val="en-US"/>
        </w:rPr>
        <w:t> </w:t>
      </w:r>
      <w:r w:rsidRPr="002177C5">
        <w:rPr>
          <w:iCs/>
          <w:szCs w:val="24"/>
          <w:lang w:val="en-AU"/>
        </w:rPr>
        <w:t>200-2</w:t>
      </w:r>
      <w:r w:rsidRPr="002177C5">
        <w:rPr>
          <w:iCs/>
          <w:szCs w:val="24"/>
          <w:lang w:val="en-US"/>
        </w:rPr>
        <w:t> </w:t>
      </w:r>
      <w:r w:rsidRPr="002177C5">
        <w:rPr>
          <w:iCs/>
          <w:szCs w:val="24"/>
          <w:lang w:val="en-AU"/>
        </w:rPr>
        <w:t>290</w:t>
      </w:r>
      <w:r w:rsidRPr="002177C5">
        <w:rPr>
          <w:iCs/>
          <w:lang w:val="en-US"/>
        </w:rPr>
        <w:t> </w:t>
      </w:r>
      <w:r w:rsidRPr="002177C5">
        <w:rPr>
          <w:iCs/>
          <w:szCs w:val="24"/>
          <w:lang w:val="en-AU"/>
        </w:rPr>
        <w:t xml:space="preserve">MHz, administrations shall not introduce high-density mobile systems, as described in </w:t>
      </w:r>
      <w:r w:rsidRPr="002177C5">
        <w:rPr>
          <w:iCs/>
          <w:szCs w:val="24"/>
          <w:lang w:val="en-US"/>
        </w:rPr>
        <w:t>Recommendation</w:t>
      </w:r>
      <w:r w:rsidRPr="002177C5">
        <w:rPr>
          <w:iCs/>
          <w:szCs w:val="24"/>
          <w:lang w:val="en-AU"/>
        </w:rPr>
        <w:t xml:space="preserve"> ITU-R SA.1154,and shall take that Recommendation into account for the introduction of any other type of mobile system.</w:t>
      </w:r>
      <w:r w:rsidRPr="002177C5">
        <w:rPr>
          <w:iCs/>
          <w:szCs w:val="24"/>
          <w:lang w:val="en-US"/>
        </w:rPr>
        <w:t>     </w:t>
      </w:r>
      <w:r w:rsidRPr="002177C5">
        <w:rPr>
          <w:iCs/>
          <w:sz w:val="16"/>
          <w:szCs w:val="16"/>
          <w:lang w:val="en-US"/>
        </w:rPr>
        <w:t>(WRC</w:t>
      </w:r>
      <w:r w:rsidRPr="002177C5">
        <w:rPr>
          <w:iCs/>
          <w:sz w:val="16"/>
          <w:szCs w:val="16"/>
          <w:lang w:val="en-US"/>
        </w:rPr>
        <w:noBreakHyphen/>
        <w:t>97)</w:t>
      </w:r>
    </w:p>
    <w:p w:rsidR="00071226" w:rsidRPr="00071226" w:rsidRDefault="00071226" w:rsidP="00071226">
      <w:pPr>
        <w:rPr>
          <w:lang w:val="en-US"/>
        </w:rPr>
      </w:pPr>
      <w:r w:rsidRPr="00071226">
        <w:rPr>
          <w:lang w:val="en-US"/>
        </w:rPr>
        <w:t xml:space="preserve">This </w:t>
      </w:r>
      <w:r w:rsidR="002177C5" w:rsidRPr="00071226">
        <w:rPr>
          <w:lang w:val="en-US"/>
        </w:rPr>
        <w:t xml:space="preserve">Report </w:t>
      </w:r>
      <w:r w:rsidRPr="00071226">
        <w:rPr>
          <w:lang w:val="en-US"/>
        </w:rPr>
        <w:t>considers the feasibility of long term evolution (LTE) type of IMT systems sharing the frequency bands 2 025-2 110 MHz and 2 200-2 290 MHz with incumbent primary services of the space research, Earth exploration-satellite and space operation services in the space-to-space direction.  Sections 4.1.1 and 4.2.1 examine the sharing potential of commercial broadband systems with forward link transmissions from NASA geostationary tracking and data relay satellite system (TDRSS) satellites in the frequency band 2 025-2 110 MHz to some typical satellite users, which are in low earth orbit (LEO).  These are typical of the many forward link systems of various data relay satellite (DRS) satellites and user spacecraft. The protection of DRS forward links is critical to several administrations Earth science and space exploration programs as well as cooperative programs involving space agencies from around the world and authorized non</w:t>
      </w:r>
      <w:r w:rsidRPr="00071226">
        <w:rPr>
          <w:lang w:val="en-US"/>
        </w:rPr>
        <w:noBreakHyphen/>
        <w:t>governmental user satellite operators.</w:t>
      </w:r>
    </w:p>
    <w:p w:rsidR="00071226" w:rsidRPr="00071226" w:rsidRDefault="00071226" w:rsidP="00071226">
      <w:pPr>
        <w:rPr>
          <w:lang w:val="en-US"/>
        </w:rPr>
      </w:pPr>
      <w:r w:rsidRPr="00071226">
        <w:rPr>
          <w:lang w:val="en-US"/>
        </w:rPr>
        <w:t xml:space="preserve">Sections 4.2.1 and 4.2.2 examine the sharing potential of commercial broadband systems with return link transmissions of geostationary tracking and data relay satellite system satellites in the frequency band 2 200-2 290 MHz from the International Space Station (ISS), which is in low Earth orbit. </w:t>
      </w:r>
      <w:r w:rsidRPr="00071226">
        <w:rPr>
          <w:lang w:val="en-US"/>
        </w:rPr>
        <w:br/>
        <w:t xml:space="preserve">These are typical of the many return link systems of various data relay satellites and user spacecraft. The protection of DRS return links is critical to several administrations' Earth science and space </w:t>
      </w:r>
      <w:r w:rsidRPr="00071226">
        <w:rPr>
          <w:lang w:val="en-US"/>
        </w:rPr>
        <w:lastRenderedPageBreak/>
        <w:t xml:space="preserve">exploration programs as well as cooperative programs involving space agencies from around </w:t>
      </w:r>
      <w:r w:rsidRPr="00071226">
        <w:rPr>
          <w:lang w:val="en-US"/>
        </w:rPr>
        <w:br/>
        <w:t>the world and authorized non-governmental user satellite operators.</w:t>
      </w:r>
    </w:p>
    <w:p w:rsidR="00071226" w:rsidRPr="00071226" w:rsidRDefault="00071226" w:rsidP="00071226">
      <w:pPr>
        <w:rPr>
          <w:lang w:val="en-US"/>
        </w:rPr>
      </w:pPr>
      <w:r w:rsidRPr="00071226">
        <w:rPr>
          <w:lang w:val="en-US"/>
        </w:rPr>
        <w:t xml:space="preserve">This </w:t>
      </w:r>
      <w:r w:rsidR="006C09C0" w:rsidRPr="00071226">
        <w:rPr>
          <w:lang w:val="en-US"/>
        </w:rPr>
        <w:t>Report</w:t>
      </w:r>
      <w:r w:rsidRPr="00071226">
        <w:rPr>
          <w:lang w:val="en-US"/>
        </w:rPr>
        <w:t xml:space="preserve"> does not include analyses of LTE sharing with other incumbent services and systems </w:t>
      </w:r>
      <w:r w:rsidRPr="00071226">
        <w:rPr>
          <w:lang w:val="en-US"/>
        </w:rPr>
        <w:br/>
        <w:t xml:space="preserve">in the 2 025-2 110 MHz and 2 200-2 290 MHz frequency bands, such as proximity links with </w:t>
      </w:r>
      <w:r w:rsidRPr="00071226">
        <w:rPr>
          <w:lang w:val="en-US"/>
        </w:rPr>
        <w:br/>
        <w:t>the International Space Station, satellite space-to-Earth links, and aeronautical mobile telemetry or other low-density mobile systems.  As a result of the findings of these sharing analyses, namely that sharing between commercial broadband systems and data relay satellite systems precludes the accommodation of LTE systems, it is considered unnecessary to study other incumbent services in the frequency bands 2 025-2 110 MHz and 2 200-2 290 MHz.</w:t>
      </w:r>
    </w:p>
    <w:p w:rsidR="00071226" w:rsidRPr="00071226" w:rsidRDefault="00071226" w:rsidP="00D25D4F">
      <w:pPr>
        <w:rPr>
          <w:lang w:val="en-US"/>
        </w:rPr>
      </w:pPr>
      <w:r w:rsidRPr="00071226">
        <w:rPr>
          <w:lang w:val="en-US"/>
        </w:rPr>
        <w:t xml:space="preserve">An overview of the technical parameters used for this study is presented in </w:t>
      </w:r>
      <w:r w:rsidR="006C09C0">
        <w:rPr>
          <w:lang w:val="en-US"/>
        </w:rPr>
        <w:t>§ </w:t>
      </w:r>
      <w:r w:rsidRPr="00071226">
        <w:rPr>
          <w:lang w:val="en-US"/>
        </w:rPr>
        <w:t>3. Detailed technical characteristics, including calculation steps and analysis procedures, are presented in A</w:t>
      </w:r>
      <w:r w:rsidR="00D25D4F">
        <w:rPr>
          <w:lang w:val="en-US"/>
        </w:rPr>
        <w:t>nnexe</w:t>
      </w:r>
      <w:r w:rsidRPr="00071226">
        <w:rPr>
          <w:lang w:val="en-US"/>
        </w:rPr>
        <w:t>s</w:t>
      </w:r>
      <w:r w:rsidR="006C09C0">
        <w:rPr>
          <w:lang w:val="en-US"/>
        </w:rPr>
        <w:t> </w:t>
      </w:r>
      <w:r w:rsidRPr="00071226">
        <w:rPr>
          <w:lang w:val="en-US"/>
        </w:rPr>
        <w:t>A</w:t>
      </w:r>
      <w:r w:rsidR="00D25D4F">
        <w:rPr>
          <w:lang w:val="en-US"/>
        </w:rPr>
        <w:t xml:space="preserve"> to </w:t>
      </w:r>
      <w:r w:rsidR="006C09C0">
        <w:rPr>
          <w:lang w:val="en-US"/>
        </w:rPr>
        <w:t>E.</w:t>
      </w:r>
    </w:p>
    <w:p w:rsidR="00071226" w:rsidRPr="00071226" w:rsidRDefault="00071226" w:rsidP="006C09C0">
      <w:pPr>
        <w:rPr>
          <w:lang w:val="en-US"/>
        </w:rPr>
      </w:pPr>
      <w:r w:rsidRPr="00071226">
        <w:rPr>
          <w:lang w:val="en-US"/>
        </w:rPr>
        <w:t xml:space="preserve">The technical parameters for LTE systems in </w:t>
      </w:r>
      <w:r w:rsidR="006C09C0">
        <w:rPr>
          <w:lang w:val="en-US"/>
        </w:rPr>
        <w:t>§ </w:t>
      </w:r>
      <w:r w:rsidRPr="00071226">
        <w:rPr>
          <w:lang w:val="en-US"/>
        </w:rPr>
        <w:t>3 and the A</w:t>
      </w:r>
      <w:r w:rsidR="006C09C0">
        <w:rPr>
          <w:lang w:val="en-US"/>
        </w:rPr>
        <w:t>nnex</w:t>
      </w:r>
      <w:r w:rsidR="00920F6A">
        <w:rPr>
          <w:lang w:val="en-US"/>
        </w:rPr>
        <w:t>es</w:t>
      </w:r>
      <w:r w:rsidRPr="00071226">
        <w:rPr>
          <w:lang w:val="en-US"/>
        </w:rPr>
        <w:t xml:space="preserve"> of this study are consistent with the agreed upon characteristics provided in Report ITU-R M.2292.</w:t>
      </w:r>
    </w:p>
    <w:p w:rsidR="00071226" w:rsidRPr="00071226" w:rsidRDefault="00071226" w:rsidP="00071226">
      <w:pPr>
        <w:pStyle w:val="Heading1"/>
        <w:rPr>
          <w:szCs w:val="28"/>
          <w:lang w:val="en-US"/>
        </w:rPr>
      </w:pPr>
      <w:r w:rsidRPr="00071226">
        <w:rPr>
          <w:szCs w:val="28"/>
          <w:lang w:val="en-US"/>
        </w:rPr>
        <w:t>2</w:t>
      </w:r>
      <w:r w:rsidRPr="00071226">
        <w:rPr>
          <w:szCs w:val="28"/>
          <w:lang w:val="en-US"/>
        </w:rPr>
        <w:tab/>
        <w:t>Background</w:t>
      </w:r>
    </w:p>
    <w:p w:rsidR="00071226" w:rsidRPr="00071226" w:rsidRDefault="00071226" w:rsidP="002E172F">
      <w:pPr>
        <w:rPr>
          <w:lang w:val="en-US"/>
        </w:rPr>
      </w:pPr>
      <w:r w:rsidRPr="00071226">
        <w:rPr>
          <w:lang w:val="en-US"/>
        </w:rPr>
        <w:t>This section provides background on the systems and parameters that were used for the sharing analysis between commercial broadband systems and DRS return links in the frequency bands 2 025</w:t>
      </w:r>
      <w:r w:rsidR="002E172F">
        <w:rPr>
          <w:lang w:val="en-US"/>
        </w:rPr>
        <w:noBreakHyphen/>
      </w:r>
      <w:r w:rsidRPr="00071226">
        <w:rPr>
          <w:lang w:val="en-US"/>
        </w:rPr>
        <w:t>2 110 MHz and 2 200-2 290 MHz.</w:t>
      </w:r>
    </w:p>
    <w:p w:rsidR="00071226" w:rsidRPr="00071226" w:rsidRDefault="00071226" w:rsidP="00071226">
      <w:pPr>
        <w:pStyle w:val="Heading2"/>
        <w:rPr>
          <w:lang w:val="en-US"/>
        </w:rPr>
      </w:pPr>
      <w:bookmarkStart w:id="3" w:name="_Toc362524728"/>
      <w:r w:rsidRPr="00071226">
        <w:rPr>
          <w:lang w:val="en-US"/>
        </w:rPr>
        <w:t>2.1</w:t>
      </w:r>
      <w:r w:rsidRPr="00071226">
        <w:rPr>
          <w:lang w:val="en-US"/>
        </w:rPr>
        <w:tab/>
        <w:t>TDRSS</w:t>
      </w:r>
      <w:bookmarkEnd w:id="3"/>
    </w:p>
    <w:p w:rsidR="00071226" w:rsidRPr="00071226" w:rsidRDefault="00071226" w:rsidP="002E172F">
      <w:pPr>
        <w:rPr>
          <w:lang w:val="en-US"/>
        </w:rPr>
      </w:pPr>
      <w:r w:rsidRPr="00071226">
        <w:rPr>
          <w:lang w:val="en-US"/>
        </w:rPr>
        <w:t xml:space="preserve">The tracking data and relay satellite system comprises six on-orbit tracking and data relay satellites located in geosynchronous orbit.  Multiple additional TDRSs are available as backups for operational support at any given time.  The TDRSS is a relay system which provides continuous, highly reliable, worldwide tracking and data relay services between low earth orbiting spacecraft and earth stations that are interconnected with command centres and data processing facilities. </w:t>
      </w:r>
      <w:r w:rsidR="002E172F" w:rsidRPr="002E172F">
        <w:rPr>
          <w:lang w:val="en-US"/>
        </w:rPr>
        <w:t>Fig.</w:t>
      </w:r>
      <w:r w:rsidR="002E172F">
        <w:rPr>
          <w:lang w:val="en-US"/>
        </w:rPr>
        <w:t> </w:t>
      </w:r>
      <w:r w:rsidRPr="00071226">
        <w:rPr>
          <w:lang w:val="en-US"/>
        </w:rPr>
        <w:t xml:space="preserve">1 presents an overview of the TDRSS constellation operating at locations around the world. Several other DRS satellites not shown in </w:t>
      </w:r>
      <w:r w:rsidR="002E172F" w:rsidRPr="002E172F">
        <w:rPr>
          <w:lang w:val="en-US"/>
        </w:rPr>
        <w:t>Fig.</w:t>
      </w:r>
      <w:r w:rsidRPr="00071226">
        <w:rPr>
          <w:lang w:val="en-US"/>
        </w:rPr>
        <w:t xml:space="preserve"> 1 are operated by other administrations.</w:t>
      </w:r>
    </w:p>
    <w:p w:rsidR="00071226" w:rsidRPr="00E31BA1" w:rsidRDefault="00071226" w:rsidP="00071226">
      <w:pPr>
        <w:pStyle w:val="FigureNo"/>
      </w:pPr>
      <w:r w:rsidRPr="00E31BA1">
        <w:t>FIGURE 1</w:t>
      </w:r>
    </w:p>
    <w:p w:rsidR="00071226" w:rsidRDefault="006C09C0" w:rsidP="00071226">
      <w:pPr>
        <w:pStyle w:val="Figuretitle"/>
      </w:pPr>
      <w:r>
        <w:t>Overview of TDRSS constellation</w:t>
      </w:r>
    </w:p>
    <w:p w:rsidR="00071226" w:rsidRDefault="00071226" w:rsidP="006C09C0">
      <w:pPr>
        <w:pStyle w:val="Figure"/>
      </w:pPr>
      <w:r>
        <w:rPr>
          <w:noProof/>
          <w:lang w:val="en-US" w:eastAsia="zh-CN"/>
        </w:rPr>
        <w:drawing>
          <wp:inline distT="0" distB="0" distL="0" distR="0" wp14:anchorId="679F6CFF" wp14:editId="6A255577">
            <wp:extent cx="4337222" cy="2961276"/>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37488" cy="2961458"/>
                    </a:xfrm>
                    <a:prstGeom prst="rect">
                      <a:avLst/>
                    </a:prstGeom>
                  </pic:spPr>
                </pic:pic>
              </a:graphicData>
            </a:graphic>
          </wp:inline>
        </w:drawing>
      </w:r>
    </w:p>
    <w:p w:rsidR="00071226" w:rsidRPr="00071226" w:rsidRDefault="00071226" w:rsidP="00071226">
      <w:pPr>
        <w:rPr>
          <w:lang w:val="en-US"/>
        </w:rPr>
      </w:pPr>
      <w:r w:rsidRPr="00071226">
        <w:rPr>
          <w:lang w:val="en-US"/>
        </w:rPr>
        <w:lastRenderedPageBreak/>
        <w:t xml:space="preserve">The geostationary location of TDRSS provides the capability for satellites in lower orbits to have seamless communications with one or more earth stations.  This is a critical requirement for space science missions and space exploration programs as data to and from low Earth orbiting satellites observing the Earth, performing scientific measurements, or receiving telecommand can be transmitted in real-time via TDRSS. </w:t>
      </w:r>
    </w:p>
    <w:p w:rsidR="00071226" w:rsidRPr="00071226" w:rsidRDefault="00071226" w:rsidP="002E172F">
      <w:pPr>
        <w:rPr>
          <w:lang w:val="en-US"/>
        </w:rPr>
      </w:pPr>
      <w:r w:rsidRPr="00071226">
        <w:rPr>
          <w:lang w:val="en-US"/>
        </w:rPr>
        <w:t xml:space="preserve">The analysis presented in this </w:t>
      </w:r>
      <w:r w:rsidR="006C09C0" w:rsidRPr="00071226">
        <w:rPr>
          <w:lang w:val="en-US"/>
        </w:rPr>
        <w:t xml:space="preserve">Report </w:t>
      </w:r>
      <w:r w:rsidRPr="00071226">
        <w:rPr>
          <w:lang w:val="en-US"/>
        </w:rPr>
        <w:t xml:space="preserve">on the sharing potential of the frequency band 2 025-2 110 MHz focuses exclusively on the forward links from the TDRS located at 41°West longitude to a few of NASA’s satellites in low Earth orbit as a typical data relay operation. These forward links are critical because they are used for command and control of LEO satellites that collect data for weather prediction and science research.  For example, the International Space Station forward link must be available for uninterrupted communication because it is used exclusively by astronauts for communications with earth stations and command centres. </w:t>
      </w:r>
    </w:p>
    <w:p w:rsidR="00071226" w:rsidRPr="00071226" w:rsidRDefault="00071226" w:rsidP="00D25D4F">
      <w:pPr>
        <w:rPr>
          <w:lang w:val="en-US"/>
        </w:rPr>
      </w:pPr>
      <w:r w:rsidRPr="00071226">
        <w:rPr>
          <w:lang w:val="en-US"/>
        </w:rPr>
        <w:t xml:space="preserve">The analysis presented in this </w:t>
      </w:r>
      <w:r w:rsidR="00D25D4F">
        <w:rPr>
          <w:lang w:val="en-US"/>
        </w:rPr>
        <w:t>R</w:t>
      </w:r>
      <w:r w:rsidRPr="00071226">
        <w:rPr>
          <w:lang w:val="en-US"/>
        </w:rPr>
        <w:t xml:space="preserve">eport on the sharing potential in the frequency band 2 200-2 290 MHz focuses exclusively on the return links between ISS in low Earth orbit and the TDRS located at 41° West longitude as a typical data relay operation.  </w:t>
      </w:r>
      <w:r w:rsidR="006C09C0">
        <w:rPr>
          <w:lang w:val="en-US"/>
        </w:rPr>
        <w:t>As can be seen in Fig.</w:t>
      </w:r>
      <w:r w:rsidRPr="00071226">
        <w:rPr>
          <w:lang w:val="en-US"/>
        </w:rPr>
        <w:t xml:space="preserve"> 2, the orbit of the ISS, while in communication with the TDRS at 41°</w:t>
      </w:r>
      <w:r w:rsidR="006C09C0">
        <w:rPr>
          <w:lang w:val="en-US"/>
        </w:rPr>
        <w:t> </w:t>
      </w:r>
      <w:r w:rsidRPr="00071226">
        <w:rPr>
          <w:lang w:val="en-US"/>
        </w:rPr>
        <w:t>West, places it above a variety of locations around the Earth. The ISS to TDRS links was used in these analyses because the return links used by the ISS astronauts is critical and must be available for uninterrupted communication to ground stations while the ISS is orbiting the Earth.  Further, the ISS uses the TDRSS almost exclusively for communications to earth stations and command centres.  With regards to the forward lin</w:t>
      </w:r>
      <w:r w:rsidR="00044F43">
        <w:rPr>
          <w:lang w:val="en-US"/>
        </w:rPr>
        <w:t>k analysis as discussed in the R</w:t>
      </w:r>
      <w:r w:rsidRPr="00071226">
        <w:rPr>
          <w:lang w:val="en-US"/>
        </w:rPr>
        <w:t xml:space="preserve">eport, the track of the ISS as shown in </w:t>
      </w:r>
      <w:r w:rsidR="006C09C0" w:rsidRPr="006C09C0">
        <w:rPr>
          <w:lang w:val="en-US"/>
        </w:rPr>
        <w:t>Fig.</w:t>
      </w:r>
      <w:r w:rsidRPr="00071226">
        <w:rPr>
          <w:lang w:val="en-US"/>
        </w:rPr>
        <w:t xml:space="preserve"> 2 is typical of many of the satellites considered in the analys</w:t>
      </w:r>
      <w:r w:rsidR="006C09C0">
        <w:rPr>
          <w:lang w:val="en-US"/>
        </w:rPr>
        <w:t>is.</w:t>
      </w:r>
    </w:p>
    <w:p w:rsidR="00071226" w:rsidRPr="00071226" w:rsidRDefault="00071226" w:rsidP="00071226">
      <w:pPr>
        <w:pStyle w:val="FigureNo"/>
        <w:rPr>
          <w:lang w:val="en-US"/>
        </w:rPr>
      </w:pPr>
      <w:r w:rsidRPr="00071226">
        <w:rPr>
          <w:lang w:val="en-US"/>
        </w:rPr>
        <w:t>FIGURE 2</w:t>
      </w:r>
    </w:p>
    <w:p w:rsidR="00071226" w:rsidRPr="00071226" w:rsidRDefault="00071226" w:rsidP="00071226">
      <w:pPr>
        <w:pStyle w:val="Figuretitle"/>
        <w:spacing w:after="240"/>
        <w:rPr>
          <w:lang w:val="en-US"/>
        </w:rPr>
      </w:pPr>
      <w:r w:rsidRPr="00071226">
        <w:rPr>
          <w:lang w:val="en-US"/>
        </w:rPr>
        <w:t>Overview of ISS beam track over a 24 hour period</w:t>
      </w:r>
    </w:p>
    <w:p w:rsidR="00071226" w:rsidRDefault="00071226" w:rsidP="006C09C0">
      <w:pPr>
        <w:pStyle w:val="Figure"/>
      </w:pPr>
      <w:r>
        <w:rPr>
          <w:noProof/>
          <w:lang w:val="en-US" w:eastAsia="zh-CN"/>
        </w:rPr>
        <w:drawing>
          <wp:inline distT="0" distB="0" distL="0" distR="0" wp14:anchorId="354CA679" wp14:editId="589B4D8B">
            <wp:extent cx="5219700" cy="2438400"/>
            <wp:effectExtent l="0" t="0" r="0" b="0"/>
            <wp:docPr id="28" name="Picture 28" descr="satellite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tellitetrack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2438400"/>
                    </a:xfrm>
                    <a:prstGeom prst="rect">
                      <a:avLst/>
                    </a:prstGeom>
                    <a:noFill/>
                    <a:ln>
                      <a:noFill/>
                    </a:ln>
                  </pic:spPr>
                </pic:pic>
              </a:graphicData>
            </a:graphic>
          </wp:inline>
        </w:drawing>
      </w:r>
    </w:p>
    <w:p w:rsidR="006C09C0" w:rsidRPr="006C09C0" w:rsidRDefault="006C09C0" w:rsidP="00093C72">
      <w:pPr>
        <w:spacing w:before="240"/>
      </w:pPr>
    </w:p>
    <w:p w:rsidR="00071226" w:rsidRPr="00071226" w:rsidRDefault="00071226" w:rsidP="002E172F">
      <w:pPr>
        <w:rPr>
          <w:lang w:val="en-US"/>
        </w:rPr>
      </w:pPr>
      <w:r w:rsidRPr="00071226">
        <w:rPr>
          <w:lang w:val="en-US"/>
        </w:rPr>
        <w:t xml:space="preserve">This </w:t>
      </w:r>
      <w:r w:rsidR="00C741F6" w:rsidRPr="00071226">
        <w:rPr>
          <w:lang w:val="en-US"/>
        </w:rPr>
        <w:t xml:space="preserve">Report </w:t>
      </w:r>
      <w:r w:rsidRPr="00071226">
        <w:rPr>
          <w:lang w:val="en-US"/>
        </w:rPr>
        <w:t xml:space="preserve">focuses on one orbital location of the TDRS, however similar results would be obtained for other TDRS orbital locations because each TDRS has similar parameters. Further, other DRSs operated by China (CTDRS), ESA (ARTEMIS), Japan (DRTS), and Russia (CSDRN-M/VSSRD-2M/WSDRN-M) have notified frequency assignments across the 2 025-2 110 MHz and 2 200-2 290 MHz frequency band. These DRS systems can also be expected to have similar results as those presented for TDRS 41° West because their return links have characteristics similar to those of TDRS, as can be seen in Recommendation ITU-R SA.1414. Recommendation ITU-R SA.1275 specifies orbital locations for DRS systems in the 2 200-2 290 MHz frequency band. </w:t>
      </w:r>
      <w:r w:rsidRPr="00071226">
        <w:rPr>
          <w:i/>
          <w:iCs/>
          <w:lang w:val="en-US"/>
        </w:rPr>
        <w:t>Recommends</w:t>
      </w:r>
      <w:r w:rsidR="006C09C0">
        <w:rPr>
          <w:lang w:val="en-US"/>
        </w:rPr>
        <w:t> </w:t>
      </w:r>
      <w:r w:rsidRPr="00071226">
        <w:rPr>
          <w:lang w:val="en-US"/>
        </w:rPr>
        <w:t xml:space="preserve">1 from </w:t>
      </w:r>
      <w:r w:rsidRPr="00071226">
        <w:rPr>
          <w:lang w:val="en-US"/>
        </w:rPr>
        <w:lastRenderedPageBreak/>
        <w:t xml:space="preserve">Recommendation ITU-R SA.1275 states: "that receivers on-board DRS that operate in the 2 200-2 290 MHz frequency band which should be protected in accordance with Recommendation ITU-R F.1247 are located in the following geostationary orbital positions (given in the East direction): </w:t>
      </w:r>
      <w:r>
        <w:rPr>
          <w:lang w:val="en-US"/>
        </w:rPr>
        <w:t>10.6°, 16.4°, 16.8°, 21.5°, 47°, 59°, 77°, 80°, 85°, 89°, 90.75°, 95°, 113°, 121°, 133°, 160°, 167°, 171°, 176.8°, 177.5°, 186°, 189°, 190°, 192.5°, 198.5°, 200°, 221°, 281°, 298°, 311°, 314°, 316°, 319°, 328°, 344°, 348°.” (Note that 319°E = 41°W).</w:t>
      </w:r>
    </w:p>
    <w:p w:rsidR="00071226" w:rsidRPr="00071226" w:rsidRDefault="00071226" w:rsidP="00071226">
      <w:pPr>
        <w:pStyle w:val="Heading3"/>
        <w:rPr>
          <w:lang w:val="en-US"/>
        </w:rPr>
      </w:pPr>
      <w:bookmarkStart w:id="4" w:name="_Toc362524729"/>
      <w:r w:rsidRPr="00071226">
        <w:rPr>
          <w:lang w:val="en-US"/>
        </w:rPr>
        <w:t>2.1.1</w:t>
      </w:r>
      <w:r w:rsidRPr="00071226">
        <w:rPr>
          <w:lang w:val="en-US"/>
        </w:rPr>
        <w:tab/>
        <w:t>TDRSS protection criteria and applicable ITU-R Recommendations</w:t>
      </w:r>
      <w:bookmarkEnd w:id="4"/>
    </w:p>
    <w:p w:rsidR="00071226" w:rsidRPr="00071226" w:rsidRDefault="00071226" w:rsidP="00C741F6">
      <w:pPr>
        <w:rPr>
          <w:lang w:val="en-US"/>
        </w:rPr>
      </w:pPr>
      <w:r w:rsidRPr="00071226">
        <w:rPr>
          <w:lang w:val="en-US"/>
        </w:rPr>
        <w:t xml:space="preserve">The protection criteria used in the analyses considered in this </w:t>
      </w:r>
      <w:r w:rsidR="00C741F6" w:rsidRPr="00071226">
        <w:rPr>
          <w:lang w:val="en-US"/>
        </w:rPr>
        <w:t>Report</w:t>
      </w:r>
      <w:r w:rsidRPr="00071226">
        <w:rPr>
          <w:lang w:val="en-US"/>
        </w:rPr>
        <w:t>, as specified in Recommendation ITU-R SA.1154, is an aggregate interfering signal power density from mobile systems in the frequency bands 2 025-2 110 MHz and 2 200-2 290 MHz of –184 dB (W/kHz) at the DRS receiving antenna port, not to be exceeded for more than 0.1% of the time. Applicable recommendations listing orbital locations and characteristics of data relay satellites include:</w:t>
      </w:r>
    </w:p>
    <w:p w:rsidR="00071226" w:rsidRPr="00071226" w:rsidRDefault="00071226" w:rsidP="00BF1B1C">
      <w:pPr>
        <w:pStyle w:val="enumlev1"/>
        <w:rPr>
          <w:lang w:val="en-US"/>
        </w:rPr>
      </w:pPr>
      <w:r w:rsidRPr="00071226">
        <w:rPr>
          <w:lang w:val="en-US"/>
        </w:rPr>
        <w:t>–</w:t>
      </w:r>
      <w:r w:rsidRPr="00071226">
        <w:rPr>
          <w:lang w:val="en-US"/>
        </w:rPr>
        <w:tab/>
        <w:t>Recommendation ITU-R SA.1414</w:t>
      </w:r>
      <w:r w:rsidR="00BF1B1C">
        <w:rPr>
          <w:lang w:val="en-US"/>
        </w:rPr>
        <w:t> –</w:t>
      </w:r>
      <w:r w:rsidRPr="00071226">
        <w:rPr>
          <w:lang w:val="en-US"/>
        </w:rPr>
        <w:t xml:space="preserve"> Characteristics </w:t>
      </w:r>
      <w:r w:rsidR="00C741F6">
        <w:rPr>
          <w:lang w:val="en-US"/>
        </w:rPr>
        <w:t>of data relay satellite systems</w:t>
      </w:r>
    </w:p>
    <w:p w:rsidR="00071226" w:rsidRPr="00071226" w:rsidRDefault="00071226" w:rsidP="00BF1B1C">
      <w:pPr>
        <w:pStyle w:val="enumlev1"/>
        <w:rPr>
          <w:lang w:val="en-US"/>
        </w:rPr>
      </w:pPr>
      <w:r w:rsidRPr="00071226">
        <w:rPr>
          <w:lang w:val="en-US"/>
        </w:rPr>
        <w:t>–</w:t>
      </w:r>
      <w:r w:rsidRPr="00071226">
        <w:rPr>
          <w:lang w:val="en-US"/>
        </w:rPr>
        <w:tab/>
        <w:t>Recommendation ITU-R SA.1275</w:t>
      </w:r>
      <w:r w:rsidR="00BF1B1C">
        <w:rPr>
          <w:lang w:val="en-US"/>
        </w:rPr>
        <w:t> –</w:t>
      </w:r>
      <w:r w:rsidRPr="00071226">
        <w:rPr>
          <w:lang w:val="en-US"/>
        </w:rPr>
        <w:t xml:space="preserve"> Orbital locations of data relay satellites to be protected from the emissions of fixed service systems operating in the band 2 200-2 290 MHz</w:t>
      </w:r>
    </w:p>
    <w:p w:rsidR="00071226" w:rsidRPr="00071226" w:rsidRDefault="00071226" w:rsidP="00BF1B1C">
      <w:pPr>
        <w:pStyle w:val="enumlev1"/>
        <w:rPr>
          <w:lang w:val="en-US"/>
        </w:rPr>
      </w:pPr>
      <w:r w:rsidRPr="00071226">
        <w:rPr>
          <w:lang w:val="en-US"/>
        </w:rPr>
        <w:t>–</w:t>
      </w:r>
      <w:r w:rsidRPr="00071226">
        <w:rPr>
          <w:lang w:val="en-US"/>
        </w:rPr>
        <w:tab/>
        <w:t>Recommendation ITU-R SA.1155</w:t>
      </w:r>
      <w:r w:rsidR="00BF1B1C">
        <w:rPr>
          <w:lang w:val="en-US"/>
        </w:rPr>
        <w:t> –</w:t>
      </w:r>
      <w:r w:rsidRPr="00071226">
        <w:rPr>
          <w:lang w:val="en-US"/>
        </w:rPr>
        <w:t xml:space="preserve"> Protection criteria related to the operation of data relay satellite systems.</w:t>
      </w:r>
    </w:p>
    <w:p w:rsidR="00071226" w:rsidRPr="00071226" w:rsidRDefault="00071226" w:rsidP="00071226">
      <w:pPr>
        <w:pStyle w:val="Heading2"/>
        <w:rPr>
          <w:lang w:val="en-US"/>
        </w:rPr>
      </w:pPr>
      <w:bookmarkStart w:id="5" w:name="_Toc362524730"/>
      <w:r w:rsidRPr="00071226">
        <w:rPr>
          <w:lang w:val="en-US"/>
        </w:rPr>
        <w:t>2.2</w:t>
      </w:r>
      <w:r w:rsidRPr="00071226">
        <w:rPr>
          <w:lang w:val="en-US"/>
        </w:rPr>
        <w:tab/>
        <w:t>Commercial broadband LTE systems</w:t>
      </w:r>
      <w:bookmarkEnd w:id="5"/>
    </w:p>
    <w:p w:rsidR="00071226" w:rsidRPr="00920F6A" w:rsidRDefault="00071226" w:rsidP="00C309C4">
      <w:pPr>
        <w:rPr>
          <w:lang w:val="en-US"/>
        </w:rPr>
      </w:pPr>
      <w:r w:rsidRPr="00071226">
        <w:rPr>
          <w:lang w:val="en-US"/>
        </w:rPr>
        <w:t>The wireless broadband technologies systems analysed at 2 025-2 110 MHz and 2 200-2 290 MHz were assumed to implement LTE technology with parameters that were provided in Report ITU</w:t>
      </w:r>
      <w:r w:rsidR="00C309C4">
        <w:rPr>
          <w:lang w:val="en-US"/>
        </w:rPr>
        <w:noBreakHyphen/>
      </w:r>
      <w:r w:rsidRPr="00071226">
        <w:rPr>
          <w:lang w:val="en-US"/>
        </w:rPr>
        <w:t>R</w:t>
      </w:r>
      <w:r w:rsidR="00C309C4">
        <w:rPr>
          <w:lang w:val="en-US"/>
        </w:rPr>
        <w:t> </w:t>
      </w:r>
      <w:r w:rsidRPr="00071226">
        <w:rPr>
          <w:lang w:val="en-US"/>
        </w:rPr>
        <w:t xml:space="preserve">M.2292 for use in sharing studies under WRC-15 agenda item 1.1.  </w:t>
      </w:r>
      <w:r>
        <w:rPr>
          <w:lang w:val="en-US"/>
        </w:rPr>
        <w:t>Although this analysis assumes wireless broadband characteristics based on the LTE technology standard, the results would also apply to other types of wireless broadband technology with similar characteristics.</w:t>
      </w:r>
    </w:p>
    <w:p w:rsidR="00071226" w:rsidRPr="00071226" w:rsidRDefault="00071226" w:rsidP="00965C95">
      <w:pPr>
        <w:pStyle w:val="Heading1"/>
        <w:rPr>
          <w:lang w:val="en-US"/>
        </w:rPr>
      </w:pPr>
      <w:r w:rsidRPr="00071226">
        <w:rPr>
          <w:lang w:val="en-US"/>
        </w:rPr>
        <w:t>3</w:t>
      </w:r>
      <w:r w:rsidRPr="00071226">
        <w:rPr>
          <w:lang w:val="en-US"/>
        </w:rPr>
        <w:tab/>
        <w:t>Technical characteristics</w:t>
      </w:r>
    </w:p>
    <w:p w:rsidR="00071226" w:rsidRDefault="00071226" w:rsidP="00D25D4F">
      <w:pPr>
        <w:rPr>
          <w:lang w:val="en-US"/>
        </w:rPr>
      </w:pPr>
      <w:r w:rsidRPr="00071226">
        <w:rPr>
          <w:lang w:val="en-US"/>
        </w:rPr>
        <w:t xml:space="preserve">This section provides the technical characteristics of the space-to-space forward and return links and the commercial broadband systems that were used for this sharing study. Section 3.1.1 provides the technical characteristics of the space-to-space links from the TDRS located at 41° West to some of NASA typical user satellites. Section 3.1.2 provides the technical characteristics of the space-to-space links from the ISS transmitting to a TDRS located at 41° West. Section 3.2 provides the technical characteristics for the commercial mobile broadband base-stations and </w:t>
      </w:r>
      <w:r w:rsidR="00BF1B1C">
        <w:rPr>
          <w:lang w:val="en-US"/>
        </w:rPr>
        <w:t xml:space="preserve">user equipment (UE) terminals. </w:t>
      </w:r>
      <w:r w:rsidRPr="00071226">
        <w:rPr>
          <w:lang w:val="en-US"/>
        </w:rPr>
        <w:t xml:space="preserve">Additional technical characteristics used for these sharing analyses can be found in the </w:t>
      </w:r>
      <w:r w:rsidR="00D25D4F">
        <w:rPr>
          <w:lang w:val="en-US"/>
        </w:rPr>
        <w:t>Annexes</w:t>
      </w:r>
      <w:r w:rsidRPr="00071226">
        <w:rPr>
          <w:lang w:val="en-US"/>
        </w:rPr>
        <w:t>.</w:t>
      </w:r>
    </w:p>
    <w:p w:rsidR="00071226" w:rsidRPr="00071226" w:rsidRDefault="00071226" w:rsidP="00071226">
      <w:pPr>
        <w:pStyle w:val="Heading2"/>
        <w:rPr>
          <w:rFonts w:asciiTheme="majorBidi" w:hAnsiTheme="majorBidi" w:cstheme="majorBidi"/>
          <w:szCs w:val="24"/>
          <w:lang w:val="en-US"/>
        </w:rPr>
      </w:pPr>
      <w:bookmarkStart w:id="6" w:name="_Toc362524732"/>
      <w:r w:rsidRPr="00071226">
        <w:rPr>
          <w:rFonts w:asciiTheme="majorBidi" w:hAnsiTheme="majorBidi" w:cstheme="majorBidi"/>
          <w:szCs w:val="24"/>
          <w:lang w:val="en-US"/>
        </w:rPr>
        <w:t>3.1</w:t>
      </w:r>
      <w:r w:rsidRPr="00071226">
        <w:rPr>
          <w:rFonts w:asciiTheme="majorBidi" w:hAnsiTheme="majorBidi" w:cstheme="majorBidi"/>
          <w:szCs w:val="24"/>
          <w:lang w:val="en-US"/>
        </w:rPr>
        <w:tab/>
        <w:t>Technical characteristics for space-to-space links used in the analysis</w:t>
      </w:r>
      <w:bookmarkEnd w:id="6"/>
    </w:p>
    <w:p w:rsidR="00071226" w:rsidRPr="00071226" w:rsidRDefault="00071226" w:rsidP="00071226">
      <w:pPr>
        <w:pStyle w:val="Heading3"/>
        <w:rPr>
          <w:rFonts w:asciiTheme="majorBidi" w:hAnsiTheme="majorBidi" w:cstheme="majorBidi"/>
          <w:lang w:val="en-US"/>
        </w:rPr>
      </w:pPr>
      <w:bookmarkStart w:id="7" w:name="_Toc362524733"/>
      <w:r w:rsidRPr="00071226">
        <w:rPr>
          <w:rFonts w:asciiTheme="majorBidi" w:hAnsiTheme="majorBidi" w:cstheme="majorBidi"/>
          <w:lang w:val="en-US"/>
        </w:rPr>
        <w:t>3.1.1</w:t>
      </w:r>
      <w:r w:rsidRPr="00071226">
        <w:rPr>
          <w:rFonts w:asciiTheme="majorBidi" w:hAnsiTheme="majorBidi" w:cstheme="majorBidi"/>
          <w:lang w:val="en-US"/>
        </w:rPr>
        <w:tab/>
        <w:t>Space-to-space forward links</w:t>
      </w:r>
      <w:bookmarkEnd w:id="7"/>
    </w:p>
    <w:p w:rsidR="00071226" w:rsidRPr="00071226" w:rsidRDefault="00071226" w:rsidP="00C309C4">
      <w:pPr>
        <w:rPr>
          <w:lang w:val="en-US"/>
        </w:rPr>
      </w:pPr>
      <w:r w:rsidRPr="00071226">
        <w:rPr>
          <w:lang w:val="en-US"/>
        </w:rPr>
        <w:t>The forward links considered in this analysis are from TDRS 41° West to the systems listed in Table</w:t>
      </w:r>
      <w:r w:rsidR="00C309C4">
        <w:rPr>
          <w:lang w:val="en-US"/>
        </w:rPr>
        <w:t> </w:t>
      </w:r>
      <w:r w:rsidRPr="00071226">
        <w:rPr>
          <w:lang w:val="en-US"/>
        </w:rPr>
        <w:t>1.</w:t>
      </w:r>
    </w:p>
    <w:p w:rsidR="00071226" w:rsidRPr="00071226" w:rsidRDefault="00071226" w:rsidP="00071226">
      <w:pPr>
        <w:rPr>
          <w:lang w:val="en-US"/>
        </w:rPr>
      </w:pPr>
      <w:r w:rsidRPr="00071226">
        <w:rPr>
          <w:lang w:val="en-US"/>
        </w:rPr>
        <w:t>When calculating the interference into the forward links, it was assumed that:</w:t>
      </w:r>
    </w:p>
    <w:p w:rsidR="00071226" w:rsidRPr="00071226" w:rsidRDefault="00071226" w:rsidP="00071226">
      <w:pPr>
        <w:pStyle w:val="enumlev1"/>
        <w:rPr>
          <w:lang w:val="en-US"/>
        </w:rPr>
      </w:pPr>
      <w:r w:rsidRPr="00071226">
        <w:rPr>
          <w:lang w:val="en-US"/>
        </w:rPr>
        <w:t>–</w:t>
      </w:r>
      <w:r w:rsidRPr="00071226">
        <w:rPr>
          <w:lang w:val="en-US"/>
        </w:rPr>
        <w:tab/>
        <w:t>the receiver technical characteristics as listed in Table 1;</w:t>
      </w:r>
    </w:p>
    <w:p w:rsidR="00071226" w:rsidRPr="00071226" w:rsidRDefault="00071226" w:rsidP="00071226">
      <w:pPr>
        <w:pStyle w:val="enumlev1"/>
        <w:rPr>
          <w:lang w:val="en-US"/>
        </w:rPr>
      </w:pPr>
      <w:r w:rsidRPr="00071226">
        <w:rPr>
          <w:lang w:val="en-US"/>
        </w:rPr>
        <w:t>–</w:t>
      </w:r>
      <w:r w:rsidRPr="00071226">
        <w:rPr>
          <w:lang w:val="en-US"/>
        </w:rPr>
        <w:tab/>
        <w:t>the receiver antenna pattern used is Recommendation ITU-R S.672 (first sidelobe is 25 dB down from the peak);</w:t>
      </w:r>
    </w:p>
    <w:p w:rsidR="00071226" w:rsidRPr="00071226" w:rsidRDefault="00071226" w:rsidP="00071226">
      <w:pPr>
        <w:pStyle w:val="enumlev1"/>
        <w:rPr>
          <w:lang w:val="en-US"/>
        </w:rPr>
      </w:pPr>
      <w:r w:rsidRPr="00071226">
        <w:rPr>
          <w:lang w:val="en-US"/>
        </w:rPr>
        <w:t>–</w:t>
      </w:r>
      <w:r w:rsidRPr="00071226">
        <w:rPr>
          <w:lang w:val="en-US"/>
        </w:rPr>
        <w:tab/>
        <w:t>the polarization discrimination is 3 dB on and off-axis (Circular polarized forward links vs. LTE linear polarization);</w:t>
      </w:r>
    </w:p>
    <w:p w:rsidR="00071226" w:rsidRDefault="00071226" w:rsidP="00071226">
      <w:pPr>
        <w:pStyle w:val="enumlev1"/>
        <w:rPr>
          <w:lang w:val="en-US"/>
        </w:rPr>
      </w:pPr>
      <w:r w:rsidRPr="00071226">
        <w:rPr>
          <w:lang w:val="en-US"/>
        </w:rPr>
        <w:lastRenderedPageBreak/>
        <w:t>–</w:t>
      </w:r>
      <w:r w:rsidRPr="00071226">
        <w:rPr>
          <w:lang w:val="en-US"/>
        </w:rPr>
        <w:tab/>
        <w:t xml:space="preserve">the ITU-R recommended threshold is threshold for interference from mobile system transmitters: Io = –184 dBW/kHz to be exceeded no more than 0.1% of the time per Recommendation ITU-R SA.1154, </w:t>
      </w:r>
      <w:r w:rsidRPr="00071226">
        <w:rPr>
          <w:i/>
          <w:iCs/>
          <w:lang w:val="en-US"/>
        </w:rPr>
        <w:t>recommends</w:t>
      </w:r>
      <w:r w:rsidRPr="00071226">
        <w:rPr>
          <w:lang w:val="en-US"/>
        </w:rPr>
        <w:t xml:space="preserve"> 1.2.</w:t>
      </w:r>
    </w:p>
    <w:p w:rsidR="00071226" w:rsidRDefault="00BF1B1C" w:rsidP="00071226">
      <w:pPr>
        <w:pStyle w:val="TableNo"/>
      </w:pPr>
      <w:bookmarkStart w:id="8" w:name="_Ref353196435"/>
      <w:r>
        <w:t xml:space="preserve">TABLE </w:t>
      </w:r>
      <w:bookmarkEnd w:id="8"/>
      <w:r w:rsidR="00071226">
        <w:t>1</w:t>
      </w:r>
    </w:p>
    <w:p w:rsidR="00071226" w:rsidRDefault="00071226" w:rsidP="00071226">
      <w:pPr>
        <w:pStyle w:val="Tabletitle"/>
      </w:pPr>
      <w:r>
        <w:t xml:space="preserve">TDRS user satellite </w:t>
      </w:r>
      <w:r w:rsidRPr="00A553EF">
        <w:t>receiver</w:t>
      </w:r>
      <w:r>
        <w:t xml:space="preserve"> technical characteristics</w:t>
      </w:r>
    </w:p>
    <w:tbl>
      <w:tblPr>
        <w:tblW w:w="9640" w:type="dxa"/>
        <w:jc w:val="center"/>
        <w:tblLayout w:type="fixed"/>
        <w:tblLook w:val="04A0" w:firstRow="1" w:lastRow="0" w:firstColumn="1" w:lastColumn="0" w:noHBand="0" w:noVBand="1"/>
      </w:tblPr>
      <w:tblGrid>
        <w:gridCol w:w="1587"/>
        <w:gridCol w:w="986"/>
        <w:gridCol w:w="1243"/>
        <w:gridCol w:w="1474"/>
        <w:gridCol w:w="1219"/>
        <w:gridCol w:w="1219"/>
        <w:gridCol w:w="1023"/>
        <w:gridCol w:w="889"/>
      </w:tblGrid>
      <w:tr w:rsidR="00071226" w:rsidTr="00BF1B1C">
        <w:trPr>
          <w:cantSplit/>
          <w:trHeight w:val="960"/>
          <w:jc w:val="center"/>
        </w:trPr>
        <w:tc>
          <w:tcPr>
            <w:tcW w:w="1587" w:type="dxa"/>
            <w:tcBorders>
              <w:top w:val="single" w:sz="2" w:space="0" w:color="auto"/>
              <w:left w:val="single" w:sz="2" w:space="0" w:color="auto"/>
              <w:bottom w:val="single" w:sz="2" w:space="0" w:color="auto"/>
              <w:right w:val="single" w:sz="4" w:space="0" w:color="auto"/>
            </w:tcBorders>
            <w:vAlign w:val="center"/>
            <w:hideMark/>
          </w:tcPr>
          <w:p w:rsidR="00071226" w:rsidRDefault="00071226" w:rsidP="006C09C0">
            <w:pPr>
              <w:pStyle w:val="Tablehead"/>
              <w:rPr>
                <w:lang w:eastAsia="zh-CN"/>
              </w:rPr>
            </w:pPr>
            <w:r>
              <w:rPr>
                <w:lang w:eastAsia="zh-CN"/>
              </w:rPr>
              <w:t xml:space="preserve">Receiver </w:t>
            </w:r>
          </w:p>
        </w:tc>
        <w:tc>
          <w:tcPr>
            <w:tcW w:w="986" w:type="dxa"/>
            <w:tcBorders>
              <w:top w:val="single" w:sz="2" w:space="0" w:color="auto"/>
              <w:left w:val="nil"/>
              <w:bottom w:val="single" w:sz="2" w:space="0" w:color="auto"/>
              <w:right w:val="single" w:sz="4" w:space="0" w:color="auto"/>
            </w:tcBorders>
            <w:vAlign w:val="center"/>
            <w:hideMark/>
          </w:tcPr>
          <w:p w:rsidR="00071226" w:rsidRDefault="00071226" w:rsidP="006C09C0">
            <w:pPr>
              <w:pStyle w:val="Tablehead"/>
              <w:rPr>
                <w:lang w:eastAsia="zh-CN"/>
              </w:rPr>
            </w:pPr>
            <w:r>
              <w:rPr>
                <w:lang w:eastAsia="zh-CN"/>
              </w:rPr>
              <w:t xml:space="preserve">Altitude (km) </w:t>
            </w:r>
          </w:p>
        </w:tc>
        <w:tc>
          <w:tcPr>
            <w:tcW w:w="1243" w:type="dxa"/>
            <w:tcBorders>
              <w:top w:val="single" w:sz="2" w:space="0" w:color="auto"/>
              <w:left w:val="nil"/>
              <w:bottom w:val="single" w:sz="2" w:space="0" w:color="auto"/>
              <w:right w:val="single" w:sz="4" w:space="0" w:color="auto"/>
            </w:tcBorders>
            <w:vAlign w:val="center"/>
            <w:hideMark/>
          </w:tcPr>
          <w:p w:rsidR="00071226" w:rsidRDefault="00071226" w:rsidP="006C09C0">
            <w:pPr>
              <w:pStyle w:val="Tablehead"/>
              <w:rPr>
                <w:lang w:eastAsia="zh-CN"/>
              </w:rPr>
            </w:pPr>
            <w:r>
              <w:rPr>
                <w:lang w:eastAsia="zh-CN"/>
              </w:rPr>
              <w:t xml:space="preserve">Inclination (degrees) </w:t>
            </w:r>
          </w:p>
        </w:tc>
        <w:tc>
          <w:tcPr>
            <w:tcW w:w="1474" w:type="dxa"/>
            <w:tcBorders>
              <w:top w:val="single" w:sz="2" w:space="0" w:color="auto"/>
              <w:left w:val="nil"/>
              <w:bottom w:val="single" w:sz="2" w:space="0" w:color="auto"/>
              <w:right w:val="single" w:sz="4" w:space="0" w:color="auto"/>
            </w:tcBorders>
            <w:vAlign w:val="center"/>
            <w:hideMark/>
          </w:tcPr>
          <w:p w:rsidR="00071226" w:rsidRDefault="00071226" w:rsidP="006C09C0">
            <w:pPr>
              <w:pStyle w:val="Tablehead"/>
              <w:rPr>
                <w:lang w:eastAsia="zh-CN"/>
              </w:rPr>
            </w:pPr>
            <w:r>
              <w:rPr>
                <w:lang w:eastAsia="zh-CN"/>
              </w:rPr>
              <w:t>Eccentricity</w:t>
            </w:r>
          </w:p>
        </w:tc>
        <w:tc>
          <w:tcPr>
            <w:tcW w:w="1219" w:type="dxa"/>
            <w:tcBorders>
              <w:top w:val="single" w:sz="2" w:space="0" w:color="auto"/>
              <w:left w:val="nil"/>
              <w:bottom w:val="single" w:sz="2" w:space="0" w:color="auto"/>
              <w:right w:val="single" w:sz="4" w:space="0" w:color="auto"/>
            </w:tcBorders>
            <w:vAlign w:val="center"/>
            <w:hideMark/>
          </w:tcPr>
          <w:p w:rsidR="00071226" w:rsidRDefault="00071226" w:rsidP="006C09C0">
            <w:pPr>
              <w:pStyle w:val="Tablehead"/>
              <w:rPr>
                <w:lang w:eastAsia="zh-CN"/>
              </w:rPr>
            </w:pPr>
            <w:r>
              <w:rPr>
                <w:lang w:eastAsia="zh-CN"/>
              </w:rPr>
              <w:t>Min. Frequency (MHz)</w:t>
            </w:r>
          </w:p>
        </w:tc>
        <w:tc>
          <w:tcPr>
            <w:tcW w:w="1219" w:type="dxa"/>
            <w:tcBorders>
              <w:top w:val="single" w:sz="2" w:space="0" w:color="auto"/>
              <w:left w:val="nil"/>
              <w:bottom w:val="single" w:sz="2" w:space="0" w:color="auto"/>
              <w:right w:val="single" w:sz="4" w:space="0" w:color="auto"/>
            </w:tcBorders>
            <w:vAlign w:val="center"/>
            <w:hideMark/>
          </w:tcPr>
          <w:p w:rsidR="00071226" w:rsidRDefault="00071226" w:rsidP="006C09C0">
            <w:pPr>
              <w:pStyle w:val="Tablehead"/>
              <w:rPr>
                <w:lang w:eastAsia="zh-CN"/>
              </w:rPr>
            </w:pPr>
            <w:r>
              <w:rPr>
                <w:lang w:eastAsia="zh-CN"/>
              </w:rPr>
              <w:t>Max. Frequency (MHz)</w:t>
            </w:r>
          </w:p>
        </w:tc>
        <w:tc>
          <w:tcPr>
            <w:tcW w:w="1023" w:type="dxa"/>
            <w:tcBorders>
              <w:top w:val="single" w:sz="2" w:space="0" w:color="auto"/>
              <w:left w:val="nil"/>
              <w:bottom w:val="single" w:sz="2" w:space="0" w:color="auto"/>
              <w:right w:val="single" w:sz="4" w:space="0" w:color="auto"/>
            </w:tcBorders>
            <w:vAlign w:val="center"/>
            <w:hideMark/>
          </w:tcPr>
          <w:p w:rsidR="00071226" w:rsidRDefault="00071226" w:rsidP="006C09C0">
            <w:pPr>
              <w:pStyle w:val="Tablehead"/>
              <w:rPr>
                <w:lang w:eastAsia="zh-CN"/>
              </w:rPr>
            </w:pPr>
            <w:r>
              <w:rPr>
                <w:lang w:eastAsia="zh-CN"/>
              </w:rPr>
              <w:t xml:space="preserve">Antenna Gain (dBi) </w:t>
            </w:r>
          </w:p>
        </w:tc>
        <w:tc>
          <w:tcPr>
            <w:tcW w:w="889" w:type="dxa"/>
            <w:tcBorders>
              <w:top w:val="single" w:sz="2" w:space="0" w:color="auto"/>
              <w:left w:val="nil"/>
              <w:bottom w:val="single" w:sz="2" w:space="0" w:color="auto"/>
              <w:right w:val="single" w:sz="2" w:space="0" w:color="auto"/>
            </w:tcBorders>
            <w:vAlign w:val="center"/>
            <w:hideMark/>
          </w:tcPr>
          <w:p w:rsidR="00071226" w:rsidRDefault="00071226" w:rsidP="006C09C0">
            <w:pPr>
              <w:pStyle w:val="Tablehead"/>
              <w:rPr>
                <w:lang w:eastAsia="zh-CN"/>
              </w:rPr>
            </w:pPr>
            <w:r>
              <w:rPr>
                <w:lang w:eastAsia="zh-CN"/>
              </w:rPr>
              <w:t>System Noise Temp. (K)</w:t>
            </w:r>
          </w:p>
        </w:tc>
      </w:tr>
      <w:tr w:rsidR="00071226" w:rsidTr="00BF1B1C">
        <w:trPr>
          <w:cantSplit/>
          <w:trHeight w:val="319"/>
          <w:jc w:val="center"/>
        </w:trPr>
        <w:tc>
          <w:tcPr>
            <w:tcW w:w="1587" w:type="dxa"/>
            <w:tcBorders>
              <w:top w:val="single" w:sz="2" w:space="0" w:color="auto"/>
              <w:left w:val="single" w:sz="8" w:space="0" w:color="auto"/>
              <w:bottom w:val="single" w:sz="4" w:space="0" w:color="auto"/>
              <w:right w:val="single" w:sz="4" w:space="0" w:color="auto"/>
            </w:tcBorders>
            <w:noWrap/>
            <w:vAlign w:val="center"/>
            <w:hideMark/>
          </w:tcPr>
          <w:p w:rsidR="00071226" w:rsidRDefault="00071226" w:rsidP="006C09C0">
            <w:pPr>
              <w:pStyle w:val="Tabletext"/>
              <w:rPr>
                <w:lang w:val="en-US" w:eastAsia="zh-CN"/>
              </w:rPr>
            </w:pPr>
            <w:r>
              <w:rPr>
                <w:lang w:val="en-US" w:eastAsia="zh-CN"/>
              </w:rPr>
              <w:t>Cygnus</w:t>
            </w:r>
          </w:p>
        </w:tc>
        <w:tc>
          <w:tcPr>
            <w:tcW w:w="986" w:type="dxa"/>
            <w:tcBorders>
              <w:top w:val="single" w:sz="2" w:space="0" w:color="auto"/>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460</w:t>
            </w:r>
          </w:p>
        </w:tc>
        <w:tc>
          <w:tcPr>
            <w:tcW w:w="1243" w:type="dxa"/>
            <w:tcBorders>
              <w:top w:val="single" w:sz="2" w:space="0" w:color="auto"/>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51.6</w:t>
            </w:r>
          </w:p>
        </w:tc>
        <w:tc>
          <w:tcPr>
            <w:tcW w:w="1474" w:type="dxa"/>
            <w:tcBorders>
              <w:top w:val="single" w:sz="2" w:space="0" w:color="auto"/>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0.000</w:t>
            </w:r>
          </w:p>
        </w:tc>
        <w:tc>
          <w:tcPr>
            <w:tcW w:w="1219" w:type="dxa"/>
            <w:tcBorders>
              <w:top w:val="single" w:sz="2" w:space="0" w:color="auto"/>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2037.49</w:t>
            </w:r>
          </w:p>
        </w:tc>
        <w:tc>
          <w:tcPr>
            <w:tcW w:w="1219" w:type="dxa"/>
            <w:tcBorders>
              <w:top w:val="single" w:sz="2" w:space="0" w:color="auto"/>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2043.65</w:t>
            </w:r>
          </w:p>
        </w:tc>
        <w:tc>
          <w:tcPr>
            <w:tcW w:w="1023" w:type="dxa"/>
            <w:tcBorders>
              <w:top w:val="single" w:sz="2" w:space="0" w:color="auto"/>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1.6</w:t>
            </w:r>
          </w:p>
        </w:tc>
        <w:tc>
          <w:tcPr>
            <w:tcW w:w="889" w:type="dxa"/>
            <w:tcBorders>
              <w:top w:val="single" w:sz="2" w:space="0" w:color="auto"/>
              <w:left w:val="nil"/>
              <w:bottom w:val="single" w:sz="4" w:space="0" w:color="auto"/>
              <w:right w:val="single" w:sz="8" w:space="0" w:color="auto"/>
            </w:tcBorders>
            <w:noWrap/>
            <w:vAlign w:val="center"/>
            <w:hideMark/>
          </w:tcPr>
          <w:p w:rsidR="00071226" w:rsidRDefault="00071226" w:rsidP="006C09C0">
            <w:pPr>
              <w:pStyle w:val="Tabletext"/>
              <w:jc w:val="center"/>
              <w:rPr>
                <w:lang w:val="en-US" w:eastAsia="zh-CN"/>
              </w:rPr>
            </w:pPr>
            <w:r>
              <w:rPr>
                <w:lang w:val="en-US" w:eastAsia="zh-CN"/>
              </w:rPr>
              <w:t>1849</w:t>
            </w:r>
          </w:p>
        </w:tc>
      </w:tr>
      <w:tr w:rsidR="00071226" w:rsidTr="00BF1B1C">
        <w:trPr>
          <w:cantSplit/>
          <w:trHeight w:val="319"/>
          <w:jc w:val="center"/>
        </w:trPr>
        <w:tc>
          <w:tcPr>
            <w:tcW w:w="1587" w:type="dxa"/>
            <w:tcBorders>
              <w:top w:val="nil"/>
              <w:left w:val="single" w:sz="8" w:space="0" w:color="auto"/>
              <w:bottom w:val="single" w:sz="4" w:space="0" w:color="auto"/>
              <w:right w:val="single" w:sz="4" w:space="0" w:color="auto"/>
            </w:tcBorders>
            <w:noWrap/>
            <w:vAlign w:val="center"/>
            <w:hideMark/>
          </w:tcPr>
          <w:p w:rsidR="00071226" w:rsidRDefault="00071226" w:rsidP="006C09C0">
            <w:pPr>
              <w:pStyle w:val="Tabletext"/>
              <w:rPr>
                <w:lang w:val="en-US" w:eastAsia="zh-CN"/>
              </w:rPr>
            </w:pPr>
            <w:r>
              <w:rPr>
                <w:lang w:val="en-US" w:eastAsia="zh-CN"/>
              </w:rPr>
              <w:t>GPM</w:t>
            </w:r>
          </w:p>
        </w:tc>
        <w:tc>
          <w:tcPr>
            <w:tcW w:w="986"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407</w:t>
            </w:r>
          </w:p>
        </w:tc>
        <w:tc>
          <w:tcPr>
            <w:tcW w:w="1243"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65.0</w:t>
            </w:r>
          </w:p>
        </w:tc>
        <w:tc>
          <w:tcPr>
            <w:tcW w:w="1474"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0.000</w:t>
            </w:r>
          </w:p>
        </w:tc>
        <w:tc>
          <w:tcPr>
            <w:tcW w:w="1219"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2103.33</w:t>
            </w:r>
          </w:p>
        </w:tc>
        <w:tc>
          <w:tcPr>
            <w:tcW w:w="1219"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2109.49</w:t>
            </w:r>
          </w:p>
        </w:tc>
        <w:tc>
          <w:tcPr>
            <w:tcW w:w="1023"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23.0</w:t>
            </w:r>
          </w:p>
        </w:tc>
        <w:tc>
          <w:tcPr>
            <w:tcW w:w="889" w:type="dxa"/>
            <w:tcBorders>
              <w:top w:val="nil"/>
              <w:left w:val="nil"/>
              <w:bottom w:val="single" w:sz="4" w:space="0" w:color="auto"/>
              <w:right w:val="single" w:sz="8" w:space="0" w:color="auto"/>
            </w:tcBorders>
            <w:noWrap/>
            <w:vAlign w:val="center"/>
            <w:hideMark/>
          </w:tcPr>
          <w:p w:rsidR="00071226" w:rsidRDefault="00071226" w:rsidP="006C09C0">
            <w:pPr>
              <w:pStyle w:val="Tabletext"/>
              <w:jc w:val="center"/>
              <w:rPr>
                <w:lang w:val="en-US" w:eastAsia="zh-CN"/>
              </w:rPr>
            </w:pPr>
            <w:r>
              <w:rPr>
                <w:lang w:val="en-US" w:eastAsia="zh-CN"/>
              </w:rPr>
              <w:t>226</w:t>
            </w:r>
          </w:p>
        </w:tc>
      </w:tr>
      <w:tr w:rsidR="00071226" w:rsidTr="00BF1B1C">
        <w:trPr>
          <w:cantSplit/>
          <w:trHeight w:val="319"/>
          <w:jc w:val="center"/>
        </w:trPr>
        <w:tc>
          <w:tcPr>
            <w:tcW w:w="1587" w:type="dxa"/>
            <w:tcBorders>
              <w:top w:val="nil"/>
              <w:left w:val="single" w:sz="8" w:space="0" w:color="auto"/>
              <w:bottom w:val="single" w:sz="4" w:space="0" w:color="auto"/>
              <w:right w:val="single" w:sz="4" w:space="0" w:color="auto"/>
            </w:tcBorders>
            <w:noWrap/>
            <w:vAlign w:val="center"/>
            <w:hideMark/>
          </w:tcPr>
          <w:p w:rsidR="00071226" w:rsidRDefault="00071226" w:rsidP="00BF1B1C">
            <w:pPr>
              <w:pStyle w:val="Tabletext"/>
              <w:rPr>
                <w:lang w:val="en-US" w:eastAsia="zh-CN"/>
              </w:rPr>
            </w:pPr>
            <w:r>
              <w:rPr>
                <w:lang w:val="en-US" w:eastAsia="zh-CN"/>
              </w:rPr>
              <w:t>ISS</w:t>
            </w:r>
            <w:r w:rsidR="00BF1B1C">
              <w:rPr>
                <w:lang w:val="en-US" w:eastAsia="zh-CN"/>
              </w:rPr>
              <w:t> –</w:t>
            </w:r>
            <w:r>
              <w:rPr>
                <w:lang w:val="en-US" w:eastAsia="zh-CN"/>
              </w:rPr>
              <w:t xml:space="preserve"> LGA</w:t>
            </w:r>
          </w:p>
        </w:tc>
        <w:tc>
          <w:tcPr>
            <w:tcW w:w="986"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400</w:t>
            </w:r>
          </w:p>
        </w:tc>
        <w:tc>
          <w:tcPr>
            <w:tcW w:w="1243"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51.6</w:t>
            </w:r>
          </w:p>
        </w:tc>
        <w:tc>
          <w:tcPr>
            <w:tcW w:w="1474"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0.000</w:t>
            </w:r>
          </w:p>
        </w:tc>
        <w:tc>
          <w:tcPr>
            <w:tcW w:w="1219"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2082.61</w:t>
            </w:r>
          </w:p>
        </w:tc>
        <w:tc>
          <w:tcPr>
            <w:tcW w:w="1219"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2088.77</w:t>
            </w:r>
          </w:p>
        </w:tc>
        <w:tc>
          <w:tcPr>
            <w:tcW w:w="1023"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1.1</w:t>
            </w:r>
          </w:p>
        </w:tc>
        <w:tc>
          <w:tcPr>
            <w:tcW w:w="889" w:type="dxa"/>
            <w:tcBorders>
              <w:top w:val="nil"/>
              <w:left w:val="nil"/>
              <w:bottom w:val="single" w:sz="4" w:space="0" w:color="auto"/>
              <w:right w:val="single" w:sz="8" w:space="0" w:color="auto"/>
            </w:tcBorders>
            <w:noWrap/>
            <w:vAlign w:val="center"/>
            <w:hideMark/>
          </w:tcPr>
          <w:p w:rsidR="00071226" w:rsidRDefault="00071226" w:rsidP="006C09C0">
            <w:pPr>
              <w:pStyle w:val="Tabletext"/>
              <w:jc w:val="center"/>
              <w:rPr>
                <w:lang w:val="en-US" w:eastAsia="zh-CN"/>
              </w:rPr>
            </w:pPr>
            <w:r>
              <w:rPr>
                <w:lang w:val="en-US" w:eastAsia="zh-CN"/>
              </w:rPr>
              <w:t>479</w:t>
            </w:r>
          </w:p>
        </w:tc>
      </w:tr>
      <w:tr w:rsidR="00071226" w:rsidTr="00BF1B1C">
        <w:trPr>
          <w:cantSplit/>
          <w:trHeight w:val="319"/>
          <w:jc w:val="center"/>
        </w:trPr>
        <w:tc>
          <w:tcPr>
            <w:tcW w:w="1587" w:type="dxa"/>
            <w:tcBorders>
              <w:top w:val="nil"/>
              <w:left w:val="single" w:sz="8" w:space="0" w:color="auto"/>
              <w:bottom w:val="single" w:sz="4" w:space="0" w:color="auto"/>
              <w:right w:val="single" w:sz="4" w:space="0" w:color="auto"/>
            </w:tcBorders>
            <w:noWrap/>
            <w:vAlign w:val="center"/>
            <w:hideMark/>
          </w:tcPr>
          <w:p w:rsidR="00071226" w:rsidRDefault="00071226" w:rsidP="006C09C0">
            <w:pPr>
              <w:pStyle w:val="Tabletext"/>
              <w:rPr>
                <w:lang w:val="en-US" w:eastAsia="zh-CN"/>
              </w:rPr>
            </w:pPr>
            <w:r>
              <w:rPr>
                <w:lang w:val="en-US" w:eastAsia="zh-CN"/>
              </w:rPr>
              <w:t>TERRA</w:t>
            </w:r>
          </w:p>
        </w:tc>
        <w:tc>
          <w:tcPr>
            <w:tcW w:w="986"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705</w:t>
            </w:r>
          </w:p>
        </w:tc>
        <w:tc>
          <w:tcPr>
            <w:tcW w:w="1243"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98.2</w:t>
            </w:r>
          </w:p>
        </w:tc>
        <w:tc>
          <w:tcPr>
            <w:tcW w:w="1474"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0.000</w:t>
            </w:r>
          </w:p>
        </w:tc>
        <w:tc>
          <w:tcPr>
            <w:tcW w:w="1219"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2103.33</w:t>
            </w:r>
          </w:p>
        </w:tc>
        <w:tc>
          <w:tcPr>
            <w:tcW w:w="1219"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2109.49</w:t>
            </w:r>
          </w:p>
        </w:tc>
        <w:tc>
          <w:tcPr>
            <w:tcW w:w="1023"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25.8</w:t>
            </w:r>
          </w:p>
        </w:tc>
        <w:tc>
          <w:tcPr>
            <w:tcW w:w="889" w:type="dxa"/>
            <w:tcBorders>
              <w:top w:val="nil"/>
              <w:left w:val="nil"/>
              <w:bottom w:val="single" w:sz="4" w:space="0" w:color="auto"/>
              <w:right w:val="single" w:sz="8" w:space="0" w:color="auto"/>
            </w:tcBorders>
            <w:noWrap/>
            <w:vAlign w:val="center"/>
            <w:hideMark/>
          </w:tcPr>
          <w:p w:rsidR="00071226" w:rsidRDefault="00071226" w:rsidP="006C09C0">
            <w:pPr>
              <w:pStyle w:val="Tabletext"/>
              <w:jc w:val="center"/>
              <w:rPr>
                <w:lang w:val="en-US" w:eastAsia="zh-CN"/>
              </w:rPr>
            </w:pPr>
            <w:r>
              <w:rPr>
                <w:lang w:val="en-US" w:eastAsia="zh-CN"/>
              </w:rPr>
              <w:t>410</w:t>
            </w:r>
          </w:p>
        </w:tc>
      </w:tr>
      <w:tr w:rsidR="00071226" w:rsidTr="00BF1B1C">
        <w:trPr>
          <w:cantSplit/>
          <w:trHeight w:val="319"/>
          <w:jc w:val="center"/>
        </w:trPr>
        <w:tc>
          <w:tcPr>
            <w:tcW w:w="1587" w:type="dxa"/>
            <w:tcBorders>
              <w:top w:val="nil"/>
              <w:left w:val="single" w:sz="8" w:space="0" w:color="auto"/>
              <w:bottom w:val="single" w:sz="4" w:space="0" w:color="auto"/>
              <w:right w:val="single" w:sz="4" w:space="0" w:color="auto"/>
            </w:tcBorders>
            <w:noWrap/>
            <w:vAlign w:val="center"/>
            <w:hideMark/>
          </w:tcPr>
          <w:p w:rsidR="00071226" w:rsidRDefault="00071226" w:rsidP="00BF1B1C">
            <w:pPr>
              <w:pStyle w:val="Tabletext"/>
              <w:jc w:val="left"/>
              <w:rPr>
                <w:lang w:val="en-US" w:eastAsia="zh-CN"/>
              </w:rPr>
            </w:pPr>
            <w:r>
              <w:rPr>
                <w:lang w:val="en-US" w:eastAsia="zh-CN"/>
              </w:rPr>
              <w:t>TRMM</w:t>
            </w:r>
            <w:r w:rsidR="00BF1B1C">
              <w:rPr>
                <w:lang w:val="en-US" w:eastAsia="zh-CN"/>
              </w:rPr>
              <w:t> –</w:t>
            </w:r>
            <w:r>
              <w:rPr>
                <w:lang w:val="en-US" w:eastAsia="zh-CN"/>
              </w:rPr>
              <w:t xml:space="preserve"> HGA</w:t>
            </w:r>
          </w:p>
        </w:tc>
        <w:tc>
          <w:tcPr>
            <w:tcW w:w="986"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403</w:t>
            </w:r>
          </w:p>
        </w:tc>
        <w:tc>
          <w:tcPr>
            <w:tcW w:w="1243"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35.0</w:t>
            </w:r>
          </w:p>
        </w:tc>
        <w:tc>
          <w:tcPr>
            <w:tcW w:w="1474"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0.001</w:t>
            </w:r>
          </w:p>
        </w:tc>
        <w:tc>
          <w:tcPr>
            <w:tcW w:w="1219"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2073.86</w:t>
            </w:r>
          </w:p>
        </w:tc>
        <w:tc>
          <w:tcPr>
            <w:tcW w:w="1219"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2080.02</w:t>
            </w:r>
          </w:p>
        </w:tc>
        <w:tc>
          <w:tcPr>
            <w:tcW w:w="1023" w:type="dxa"/>
            <w:tcBorders>
              <w:top w:val="nil"/>
              <w:left w:val="nil"/>
              <w:bottom w:val="single" w:sz="4" w:space="0" w:color="auto"/>
              <w:right w:val="single" w:sz="4" w:space="0" w:color="auto"/>
            </w:tcBorders>
            <w:noWrap/>
            <w:vAlign w:val="center"/>
            <w:hideMark/>
          </w:tcPr>
          <w:p w:rsidR="00071226" w:rsidRDefault="00071226" w:rsidP="006C09C0">
            <w:pPr>
              <w:pStyle w:val="Tabletext"/>
              <w:jc w:val="center"/>
              <w:rPr>
                <w:lang w:val="en-US" w:eastAsia="zh-CN"/>
              </w:rPr>
            </w:pPr>
            <w:r>
              <w:rPr>
                <w:lang w:val="en-US" w:eastAsia="zh-CN"/>
              </w:rPr>
              <w:t>23.0</w:t>
            </w:r>
          </w:p>
        </w:tc>
        <w:tc>
          <w:tcPr>
            <w:tcW w:w="889" w:type="dxa"/>
            <w:tcBorders>
              <w:top w:val="nil"/>
              <w:left w:val="nil"/>
              <w:bottom w:val="single" w:sz="4" w:space="0" w:color="auto"/>
              <w:right w:val="single" w:sz="8" w:space="0" w:color="auto"/>
            </w:tcBorders>
            <w:noWrap/>
            <w:vAlign w:val="center"/>
            <w:hideMark/>
          </w:tcPr>
          <w:p w:rsidR="00071226" w:rsidRDefault="00071226" w:rsidP="006C09C0">
            <w:pPr>
              <w:pStyle w:val="Tabletext"/>
              <w:jc w:val="center"/>
              <w:rPr>
                <w:lang w:val="en-US" w:eastAsia="zh-CN"/>
              </w:rPr>
            </w:pPr>
            <w:r>
              <w:rPr>
                <w:lang w:val="en-US" w:eastAsia="zh-CN"/>
              </w:rPr>
              <w:t>513</w:t>
            </w:r>
          </w:p>
        </w:tc>
      </w:tr>
    </w:tbl>
    <w:p w:rsidR="00071226" w:rsidRPr="00A553EF" w:rsidRDefault="00071226" w:rsidP="00071226">
      <w:pPr>
        <w:pStyle w:val="Heading3"/>
        <w:rPr>
          <w:rFonts w:asciiTheme="majorBidi" w:hAnsiTheme="majorBidi" w:cstheme="majorBidi"/>
        </w:rPr>
      </w:pPr>
      <w:bookmarkStart w:id="9" w:name="_Toc362524734"/>
      <w:r w:rsidRPr="00A553EF">
        <w:rPr>
          <w:rFonts w:asciiTheme="majorBidi" w:hAnsiTheme="majorBidi" w:cstheme="majorBidi"/>
        </w:rPr>
        <w:t>3.1.2</w:t>
      </w:r>
      <w:r w:rsidRPr="00A553EF">
        <w:rPr>
          <w:rFonts w:asciiTheme="majorBidi" w:hAnsiTheme="majorBidi" w:cstheme="majorBidi"/>
        </w:rPr>
        <w:tab/>
        <w:t>Space-to-space return links</w:t>
      </w:r>
      <w:bookmarkEnd w:id="9"/>
    </w:p>
    <w:p w:rsidR="00071226" w:rsidRPr="00071226" w:rsidRDefault="00071226" w:rsidP="00071226">
      <w:pPr>
        <w:rPr>
          <w:lang w:val="en-US"/>
        </w:rPr>
      </w:pPr>
      <w:r w:rsidRPr="00071226">
        <w:rPr>
          <w:lang w:val="en-US"/>
        </w:rPr>
        <w:t>The TDRSS technical system characteristics used in these analyses are indicated in Tables 2 and 3 below.</w:t>
      </w:r>
    </w:p>
    <w:p w:rsidR="00071226" w:rsidRDefault="00071226" w:rsidP="00071226">
      <w:pPr>
        <w:pStyle w:val="TableNo"/>
        <w:spacing w:before="240"/>
      </w:pPr>
      <w:r>
        <w:t>TABLE 2</w:t>
      </w:r>
    </w:p>
    <w:p w:rsidR="00071226" w:rsidRDefault="00071226" w:rsidP="00071226">
      <w:pPr>
        <w:pStyle w:val="Tabletitle"/>
      </w:pPr>
      <w:r>
        <w:t>TDRSS technical characteristics</w:t>
      </w:r>
    </w:p>
    <w:tbl>
      <w:tblPr>
        <w:tblW w:w="9637" w:type="dxa"/>
        <w:jc w:val="center"/>
        <w:tblLayout w:type="fixed"/>
        <w:tblCellMar>
          <w:left w:w="0" w:type="dxa"/>
          <w:right w:w="0" w:type="dxa"/>
        </w:tblCellMar>
        <w:tblLook w:val="04A0" w:firstRow="1" w:lastRow="0" w:firstColumn="1" w:lastColumn="0" w:noHBand="0" w:noVBand="1"/>
      </w:tblPr>
      <w:tblGrid>
        <w:gridCol w:w="3231"/>
        <w:gridCol w:w="3231"/>
        <w:gridCol w:w="3175"/>
      </w:tblGrid>
      <w:tr w:rsidR="00071226" w:rsidTr="00BF1B1C">
        <w:trPr>
          <w:trHeight w:val="406"/>
          <w:jc w:val="center"/>
        </w:trPr>
        <w:tc>
          <w:tcPr>
            <w:tcW w:w="3231"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Default="00071226" w:rsidP="00BF1B1C">
            <w:pPr>
              <w:pStyle w:val="Tablehead"/>
              <w:rPr>
                <w:lang w:eastAsia="zh-CN"/>
              </w:rPr>
            </w:pPr>
            <w:r>
              <w:rPr>
                <w:lang w:eastAsia="zh-CN"/>
              </w:rPr>
              <w:t>System</w:t>
            </w:r>
          </w:p>
        </w:tc>
        <w:tc>
          <w:tcPr>
            <w:tcW w:w="3231"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Default="00071226" w:rsidP="00BF1B1C">
            <w:pPr>
              <w:pStyle w:val="Tablehead"/>
              <w:rPr>
                <w:lang w:eastAsia="zh-CN"/>
              </w:rPr>
            </w:pPr>
            <w:r>
              <w:rPr>
                <w:lang w:eastAsia="zh-CN"/>
              </w:rPr>
              <w:t>Parameter</w:t>
            </w:r>
          </w:p>
        </w:tc>
        <w:tc>
          <w:tcPr>
            <w:tcW w:w="3175"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Default="00071226" w:rsidP="00BF1B1C">
            <w:pPr>
              <w:pStyle w:val="Tablehead"/>
              <w:rPr>
                <w:lang w:eastAsia="zh-CN"/>
              </w:rPr>
            </w:pPr>
            <w:r>
              <w:rPr>
                <w:lang w:eastAsia="zh-CN"/>
              </w:rPr>
              <w:t>Value</w:t>
            </w:r>
          </w:p>
        </w:tc>
      </w:tr>
      <w:tr w:rsidR="00071226" w:rsidTr="00BF1B1C">
        <w:trPr>
          <w:trHeight w:val="356"/>
          <w:jc w:val="center"/>
        </w:trPr>
        <w:tc>
          <w:tcPr>
            <w:tcW w:w="3231" w:type="dxa"/>
            <w:vMerge w:val="restart"/>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Pr="00071226" w:rsidRDefault="00071226" w:rsidP="00BF1B1C">
            <w:pPr>
              <w:pStyle w:val="Tabletext"/>
              <w:jc w:val="left"/>
              <w:rPr>
                <w:lang w:val="en-US" w:eastAsia="zh-CN"/>
              </w:rPr>
            </w:pPr>
            <w:r>
              <w:rPr>
                <w:lang w:val="en-US" w:eastAsia="zh-CN"/>
              </w:rPr>
              <w:t>TDRSS Inter-Orbit Return Link</w:t>
            </w:r>
          </w:p>
          <w:p w:rsidR="00071226" w:rsidRPr="00071226" w:rsidRDefault="00071226" w:rsidP="006C09C0">
            <w:pPr>
              <w:pStyle w:val="Tabletext"/>
              <w:rPr>
                <w:lang w:val="en-US" w:eastAsia="zh-CN"/>
              </w:rPr>
            </w:pPr>
            <w:r>
              <w:rPr>
                <w:lang w:val="en-US" w:eastAsia="zh-CN"/>
              </w:rPr>
              <w:t xml:space="preserve">Satellite at 41° West </w:t>
            </w:r>
          </w:p>
        </w:tc>
        <w:tc>
          <w:tcPr>
            <w:tcW w:w="3231"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Default="00071226" w:rsidP="00BF1B1C">
            <w:pPr>
              <w:pStyle w:val="Tabletext"/>
              <w:jc w:val="left"/>
              <w:rPr>
                <w:lang w:eastAsia="zh-CN"/>
              </w:rPr>
            </w:pPr>
            <w:r>
              <w:rPr>
                <w:lang w:val="en-US" w:eastAsia="zh-CN"/>
              </w:rPr>
              <w:t>Rx Antenna Gain &amp; Polarization</w:t>
            </w:r>
          </w:p>
        </w:tc>
        <w:tc>
          <w:tcPr>
            <w:tcW w:w="3175"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Default="00071226" w:rsidP="00BF1B1C">
            <w:pPr>
              <w:pStyle w:val="Tabletext"/>
              <w:jc w:val="left"/>
              <w:rPr>
                <w:lang w:eastAsia="zh-CN"/>
              </w:rPr>
            </w:pPr>
            <w:r>
              <w:rPr>
                <w:lang w:val="en-US" w:eastAsia="zh-CN"/>
              </w:rPr>
              <w:t>36.6 dBi, circular</w:t>
            </w:r>
          </w:p>
        </w:tc>
      </w:tr>
      <w:tr w:rsidR="00071226" w:rsidRPr="00F90CAF" w:rsidTr="00BF1B1C">
        <w:trPr>
          <w:trHeight w:val="535"/>
          <w:jc w:val="center"/>
        </w:trPr>
        <w:tc>
          <w:tcPr>
            <w:tcW w:w="3231" w:type="dxa"/>
            <w:vMerge/>
            <w:tcBorders>
              <w:top w:val="single" w:sz="4" w:space="0" w:color="auto"/>
              <w:left w:val="single" w:sz="4" w:space="0" w:color="auto"/>
              <w:bottom w:val="single" w:sz="4" w:space="0" w:color="auto"/>
              <w:right w:val="single" w:sz="4" w:space="0" w:color="auto"/>
            </w:tcBorders>
            <w:hideMark/>
          </w:tcPr>
          <w:p w:rsidR="00071226" w:rsidRDefault="00071226" w:rsidP="006C09C0">
            <w:pPr>
              <w:pStyle w:val="Tabletext"/>
              <w:rPr>
                <w:lang w:eastAsia="zh-CN"/>
              </w:rPr>
            </w:pPr>
          </w:p>
        </w:tc>
        <w:tc>
          <w:tcPr>
            <w:tcW w:w="3231"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Default="00071226" w:rsidP="00BF1B1C">
            <w:pPr>
              <w:pStyle w:val="Tabletext"/>
              <w:jc w:val="left"/>
              <w:rPr>
                <w:lang w:eastAsia="zh-CN"/>
              </w:rPr>
            </w:pPr>
            <w:r>
              <w:rPr>
                <w:lang w:val="en-US" w:eastAsia="zh-CN"/>
              </w:rPr>
              <w:t>Polarization Discrimination</w:t>
            </w:r>
          </w:p>
        </w:tc>
        <w:tc>
          <w:tcPr>
            <w:tcW w:w="3175"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Pr="00071226" w:rsidRDefault="00071226" w:rsidP="00BF1B1C">
            <w:pPr>
              <w:pStyle w:val="Tabletext"/>
              <w:jc w:val="left"/>
              <w:rPr>
                <w:lang w:val="en-US" w:eastAsia="zh-CN"/>
              </w:rPr>
            </w:pPr>
            <w:r>
              <w:rPr>
                <w:lang w:val="en-US" w:eastAsia="zh-CN"/>
              </w:rPr>
              <w:t>3 dB on- and off-axis (vs LTE linear polarization)</w:t>
            </w:r>
          </w:p>
        </w:tc>
      </w:tr>
      <w:tr w:rsidR="00071226" w:rsidRPr="00F90CAF" w:rsidTr="00BF1B1C">
        <w:trPr>
          <w:trHeight w:val="611"/>
          <w:jc w:val="center"/>
        </w:trPr>
        <w:tc>
          <w:tcPr>
            <w:tcW w:w="3231" w:type="dxa"/>
            <w:vMerge/>
            <w:tcBorders>
              <w:top w:val="single" w:sz="4" w:space="0" w:color="auto"/>
              <w:left w:val="single" w:sz="4" w:space="0" w:color="auto"/>
              <w:bottom w:val="single" w:sz="4" w:space="0" w:color="auto"/>
              <w:right w:val="single" w:sz="4" w:space="0" w:color="auto"/>
            </w:tcBorders>
            <w:hideMark/>
          </w:tcPr>
          <w:p w:rsidR="00071226" w:rsidRPr="00071226" w:rsidRDefault="00071226" w:rsidP="006C09C0">
            <w:pPr>
              <w:pStyle w:val="Tabletext"/>
              <w:rPr>
                <w:lang w:val="en-US" w:eastAsia="zh-CN"/>
              </w:rPr>
            </w:pPr>
          </w:p>
        </w:tc>
        <w:tc>
          <w:tcPr>
            <w:tcW w:w="3231"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Default="00071226" w:rsidP="00BF1B1C">
            <w:pPr>
              <w:pStyle w:val="Tabletext"/>
              <w:jc w:val="left"/>
              <w:rPr>
                <w:lang w:val="fr-CH" w:eastAsia="zh-CN"/>
              </w:rPr>
            </w:pPr>
            <w:r>
              <w:rPr>
                <w:lang w:val="fr-CH" w:eastAsia="zh-CN"/>
              </w:rPr>
              <w:t>Rx Antenna Pattern</w:t>
            </w:r>
          </w:p>
          <w:p w:rsidR="00071226" w:rsidRDefault="00071226" w:rsidP="00BF1B1C">
            <w:pPr>
              <w:pStyle w:val="Tabletext"/>
              <w:jc w:val="left"/>
              <w:rPr>
                <w:lang w:val="fr-CH" w:eastAsia="zh-CN"/>
              </w:rPr>
            </w:pPr>
            <w:r>
              <w:rPr>
                <w:i/>
                <w:iCs/>
                <w:lang w:val="fr-CH" w:eastAsia="zh-CN"/>
              </w:rPr>
              <w:t>Recommendation ITU-R SA.1414</w:t>
            </w:r>
          </w:p>
        </w:tc>
        <w:tc>
          <w:tcPr>
            <w:tcW w:w="3175"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Pr="00071226" w:rsidRDefault="00071226" w:rsidP="00BF1B1C">
            <w:pPr>
              <w:pStyle w:val="Tabletext"/>
              <w:jc w:val="left"/>
              <w:rPr>
                <w:lang w:val="en-US" w:eastAsia="zh-CN"/>
              </w:rPr>
            </w:pPr>
            <w:r>
              <w:rPr>
                <w:lang w:val="en-US" w:eastAsia="zh-CN"/>
              </w:rPr>
              <w:t xml:space="preserve">As specified in </w:t>
            </w:r>
            <w:r>
              <w:rPr>
                <w:lang w:val="en-US" w:eastAsia="zh-CN"/>
              </w:rPr>
              <w:br/>
              <w:t>Rec. ITU-R S.672-4 (LS = –25)</w:t>
            </w:r>
          </w:p>
        </w:tc>
      </w:tr>
      <w:tr w:rsidR="00071226" w:rsidRPr="00F90CAF" w:rsidTr="00BF1B1C">
        <w:trPr>
          <w:trHeight w:val="781"/>
          <w:jc w:val="center"/>
        </w:trPr>
        <w:tc>
          <w:tcPr>
            <w:tcW w:w="3231" w:type="dxa"/>
            <w:vMerge/>
            <w:tcBorders>
              <w:top w:val="single" w:sz="4" w:space="0" w:color="auto"/>
              <w:left w:val="single" w:sz="4" w:space="0" w:color="auto"/>
              <w:bottom w:val="single" w:sz="4" w:space="0" w:color="auto"/>
              <w:right w:val="single" w:sz="4" w:space="0" w:color="auto"/>
            </w:tcBorders>
            <w:hideMark/>
          </w:tcPr>
          <w:p w:rsidR="00071226" w:rsidRPr="00071226" w:rsidRDefault="00071226" w:rsidP="006C09C0">
            <w:pPr>
              <w:pStyle w:val="Tabletext"/>
              <w:rPr>
                <w:lang w:val="en-US" w:eastAsia="zh-CN"/>
              </w:rPr>
            </w:pPr>
          </w:p>
        </w:tc>
        <w:tc>
          <w:tcPr>
            <w:tcW w:w="3231"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Pr="00071226" w:rsidRDefault="00071226" w:rsidP="00BF1B1C">
            <w:pPr>
              <w:pStyle w:val="Tabletext"/>
              <w:jc w:val="left"/>
              <w:rPr>
                <w:lang w:val="en-US" w:eastAsia="zh-CN"/>
              </w:rPr>
            </w:pPr>
            <w:r>
              <w:rPr>
                <w:lang w:val="en-US" w:eastAsia="zh-CN"/>
              </w:rPr>
              <w:t>Interference threshold for mobile Transmitters</w:t>
            </w:r>
          </w:p>
          <w:p w:rsidR="00071226" w:rsidRDefault="00071226" w:rsidP="00BF1B1C">
            <w:pPr>
              <w:pStyle w:val="Tabletext"/>
              <w:jc w:val="left"/>
              <w:rPr>
                <w:lang w:eastAsia="zh-CN"/>
              </w:rPr>
            </w:pPr>
            <w:r>
              <w:rPr>
                <w:i/>
                <w:iCs/>
                <w:lang w:val="en-US" w:eastAsia="zh-CN"/>
              </w:rPr>
              <w:t>Reommendation. ITU-R S.1154</w:t>
            </w:r>
          </w:p>
        </w:tc>
        <w:tc>
          <w:tcPr>
            <w:tcW w:w="3175"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Pr="00071226" w:rsidRDefault="00071226" w:rsidP="00BF1B1C">
            <w:pPr>
              <w:pStyle w:val="Tabletext"/>
              <w:jc w:val="left"/>
              <w:rPr>
                <w:lang w:val="en-US" w:eastAsia="zh-CN"/>
              </w:rPr>
            </w:pPr>
            <w:r>
              <w:rPr>
                <w:lang w:val="en-US" w:eastAsia="zh-CN"/>
              </w:rPr>
              <w:t>I = –184 dB(W/kHz) to be exceeded for no more than 0.1% of the time</w:t>
            </w:r>
          </w:p>
        </w:tc>
      </w:tr>
      <w:tr w:rsidR="00071226" w:rsidTr="00BF1B1C">
        <w:trPr>
          <w:trHeight w:val="537"/>
          <w:jc w:val="center"/>
        </w:trPr>
        <w:tc>
          <w:tcPr>
            <w:tcW w:w="3231" w:type="dxa"/>
            <w:vMerge/>
            <w:tcBorders>
              <w:top w:val="single" w:sz="4" w:space="0" w:color="auto"/>
              <w:left w:val="single" w:sz="4" w:space="0" w:color="auto"/>
              <w:bottom w:val="single" w:sz="4" w:space="0" w:color="auto"/>
              <w:right w:val="single" w:sz="4" w:space="0" w:color="auto"/>
            </w:tcBorders>
            <w:hideMark/>
          </w:tcPr>
          <w:p w:rsidR="00071226" w:rsidRPr="00071226" w:rsidRDefault="00071226" w:rsidP="006C09C0">
            <w:pPr>
              <w:pStyle w:val="Tabletext"/>
              <w:rPr>
                <w:lang w:val="en-US" w:eastAsia="zh-CN"/>
              </w:rPr>
            </w:pPr>
          </w:p>
        </w:tc>
        <w:tc>
          <w:tcPr>
            <w:tcW w:w="3231"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Default="00071226" w:rsidP="00BF1B1C">
            <w:pPr>
              <w:pStyle w:val="Tabletext"/>
              <w:jc w:val="left"/>
              <w:rPr>
                <w:lang w:val="en-US" w:eastAsia="zh-CN"/>
              </w:rPr>
            </w:pPr>
            <w:r>
              <w:rPr>
                <w:lang w:val="en-US" w:eastAsia="zh-CN"/>
              </w:rPr>
              <w:t>DRS return link receiver noise power (N)</w:t>
            </w:r>
          </w:p>
        </w:tc>
        <w:tc>
          <w:tcPr>
            <w:tcW w:w="3175"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Default="00071226" w:rsidP="00BF1B1C">
            <w:pPr>
              <w:pStyle w:val="Tabletext"/>
              <w:jc w:val="left"/>
              <w:rPr>
                <w:lang w:val="en-US" w:eastAsia="zh-CN"/>
              </w:rPr>
            </w:pPr>
            <w:r>
              <w:rPr>
                <w:lang w:val="en-US" w:eastAsia="zh-CN"/>
              </w:rPr>
              <w:t>N = –170.7 (dBW/(kHz))</w:t>
            </w:r>
          </w:p>
        </w:tc>
      </w:tr>
      <w:tr w:rsidR="00071226" w:rsidRPr="00F90CAF" w:rsidTr="00BF1B1C">
        <w:trPr>
          <w:trHeight w:val="630"/>
          <w:jc w:val="center"/>
        </w:trPr>
        <w:tc>
          <w:tcPr>
            <w:tcW w:w="3231" w:type="dxa"/>
            <w:vMerge/>
            <w:tcBorders>
              <w:top w:val="single" w:sz="4" w:space="0" w:color="auto"/>
              <w:left w:val="single" w:sz="4" w:space="0" w:color="auto"/>
              <w:bottom w:val="single" w:sz="4" w:space="0" w:color="auto"/>
              <w:right w:val="single" w:sz="4" w:space="0" w:color="auto"/>
            </w:tcBorders>
            <w:hideMark/>
          </w:tcPr>
          <w:p w:rsidR="00071226" w:rsidRDefault="00071226" w:rsidP="006C09C0">
            <w:pPr>
              <w:pStyle w:val="Tabletext"/>
              <w:rPr>
                <w:lang w:eastAsia="zh-CN"/>
              </w:rPr>
            </w:pPr>
          </w:p>
        </w:tc>
        <w:tc>
          <w:tcPr>
            <w:tcW w:w="3231"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Default="00071226" w:rsidP="00BF1B1C">
            <w:pPr>
              <w:pStyle w:val="Tabletext"/>
              <w:jc w:val="left"/>
              <w:rPr>
                <w:lang w:val="en-US" w:eastAsia="zh-CN"/>
              </w:rPr>
            </w:pPr>
            <w:r>
              <w:rPr>
                <w:lang w:val="en-US" w:eastAsia="zh-CN"/>
              </w:rPr>
              <w:t>Interference-to-Noise Power Ratio</w:t>
            </w:r>
          </w:p>
        </w:tc>
        <w:tc>
          <w:tcPr>
            <w:tcW w:w="3175"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071226" w:rsidRDefault="00071226" w:rsidP="00BF1B1C">
            <w:pPr>
              <w:pStyle w:val="Tabletext"/>
              <w:jc w:val="left"/>
              <w:rPr>
                <w:lang w:val="en-US" w:eastAsia="zh-CN"/>
              </w:rPr>
            </w:pPr>
            <w:r>
              <w:rPr>
                <w:lang w:val="en-US" w:eastAsia="zh-CN"/>
              </w:rPr>
              <w:t>I/N =</w:t>
            </w:r>
            <w:r w:rsidR="00BF1B1C">
              <w:rPr>
                <w:lang w:val="en-US" w:eastAsia="zh-CN"/>
              </w:rPr>
              <w:t xml:space="preserve"> </w:t>
            </w:r>
            <w:r>
              <w:rPr>
                <w:lang w:val="en-US" w:eastAsia="zh-CN"/>
              </w:rPr>
              <w:t>–13.3 dB not to be exceeded for more than 0.1% of</w:t>
            </w:r>
            <w:r w:rsidR="00BF1B1C">
              <w:rPr>
                <w:lang w:val="en-US" w:eastAsia="zh-CN"/>
              </w:rPr>
              <w:t> </w:t>
            </w:r>
            <w:r>
              <w:rPr>
                <w:lang w:val="en-US" w:eastAsia="zh-CN"/>
              </w:rPr>
              <w:t>the time</w:t>
            </w:r>
          </w:p>
        </w:tc>
      </w:tr>
    </w:tbl>
    <w:p w:rsidR="00BF1B1C" w:rsidRDefault="00BF1B1C" w:rsidP="00BF1B1C">
      <w:pPr>
        <w:pStyle w:val="Tablefin"/>
      </w:pPr>
    </w:p>
    <w:p w:rsidR="00071226" w:rsidRPr="00071226" w:rsidRDefault="00071226" w:rsidP="00071226">
      <w:pPr>
        <w:pStyle w:val="TableNo"/>
        <w:spacing w:before="480"/>
        <w:rPr>
          <w:lang w:val="en-US"/>
        </w:rPr>
      </w:pPr>
      <w:r w:rsidRPr="00071226">
        <w:rPr>
          <w:lang w:val="en-US"/>
        </w:rPr>
        <w:lastRenderedPageBreak/>
        <w:t>TABLE 3</w:t>
      </w:r>
    </w:p>
    <w:p w:rsidR="00071226" w:rsidRDefault="00071226" w:rsidP="00071226">
      <w:pPr>
        <w:pStyle w:val="Tabletitle"/>
        <w:rPr>
          <w:lang w:val="en-US"/>
        </w:rPr>
      </w:pPr>
      <w:r w:rsidRPr="00071226">
        <w:rPr>
          <w:lang w:val="en-US"/>
        </w:rPr>
        <w:t>ISS transmit link technical characteristics</w:t>
      </w:r>
    </w:p>
    <w:tbl>
      <w:tblPr>
        <w:tblW w:w="9071" w:type="dxa"/>
        <w:jc w:val="center"/>
        <w:tblLayout w:type="fixed"/>
        <w:tblCellMar>
          <w:left w:w="0" w:type="dxa"/>
          <w:right w:w="0" w:type="dxa"/>
        </w:tblCellMar>
        <w:tblLook w:val="04A0" w:firstRow="1" w:lastRow="0" w:firstColumn="1" w:lastColumn="0" w:noHBand="0" w:noVBand="1"/>
      </w:tblPr>
      <w:tblGrid>
        <w:gridCol w:w="4535"/>
        <w:gridCol w:w="2268"/>
        <w:gridCol w:w="2268"/>
      </w:tblGrid>
      <w:tr w:rsidR="00BF1B1C" w:rsidTr="00093C72">
        <w:trPr>
          <w:trHeight w:val="406"/>
          <w:jc w:val="center"/>
        </w:trPr>
        <w:tc>
          <w:tcPr>
            <w:tcW w:w="4535"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BF1B1C" w:rsidRDefault="00BF1B1C" w:rsidP="00BF1B1C">
            <w:pPr>
              <w:pStyle w:val="Tablehead"/>
              <w:rPr>
                <w:lang w:eastAsia="zh-CN"/>
              </w:rPr>
            </w:pPr>
            <w:r>
              <w:rPr>
                <w:lang w:eastAsia="zh-CN"/>
              </w:rPr>
              <w:t>System</w:t>
            </w:r>
          </w:p>
        </w:tc>
        <w:tc>
          <w:tcPr>
            <w:tcW w:w="2268"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BF1B1C" w:rsidRDefault="00BF1B1C" w:rsidP="00BF1B1C">
            <w:pPr>
              <w:pStyle w:val="Tablehead"/>
              <w:rPr>
                <w:lang w:eastAsia="zh-CN"/>
              </w:rPr>
            </w:pPr>
            <w:r>
              <w:rPr>
                <w:lang w:eastAsia="zh-CN"/>
              </w:rPr>
              <w:t>Parameter</w:t>
            </w:r>
          </w:p>
        </w:tc>
        <w:tc>
          <w:tcPr>
            <w:tcW w:w="2268"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hideMark/>
          </w:tcPr>
          <w:p w:rsidR="00BF1B1C" w:rsidRDefault="00BF1B1C" w:rsidP="00BF1B1C">
            <w:pPr>
              <w:pStyle w:val="Tablehead"/>
              <w:rPr>
                <w:lang w:eastAsia="zh-CN"/>
              </w:rPr>
            </w:pPr>
            <w:r>
              <w:rPr>
                <w:lang w:eastAsia="zh-CN"/>
              </w:rPr>
              <w:t>Value</w:t>
            </w:r>
          </w:p>
        </w:tc>
      </w:tr>
      <w:tr w:rsidR="00BF1B1C" w:rsidTr="00093C72">
        <w:trPr>
          <w:trHeight w:val="356"/>
          <w:jc w:val="center"/>
        </w:trPr>
        <w:tc>
          <w:tcPr>
            <w:tcW w:w="4535"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tcPr>
          <w:p w:rsidR="00BF1B1C" w:rsidRPr="00C309C4" w:rsidRDefault="00BF1B1C" w:rsidP="00BF1B1C">
            <w:pPr>
              <w:pStyle w:val="Tabletext"/>
              <w:jc w:val="left"/>
              <w:rPr>
                <w:lang w:val="en-US" w:eastAsia="zh-CN"/>
              </w:rPr>
            </w:pPr>
            <w:r>
              <w:rPr>
                <w:lang w:val="en-US" w:eastAsia="zh-CN"/>
              </w:rPr>
              <w:t>ISS Transmit Link</w:t>
            </w:r>
            <w:r w:rsidRPr="00C309C4">
              <w:rPr>
                <w:lang w:val="en-US" w:eastAsia="zh-CN"/>
              </w:rPr>
              <w:br/>
            </w:r>
            <w:r>
              <w:rPr>
                <w:lang w:val="en-US" w:eastAsia="zh-CN"/>
              </w:rPr>
              <w:t>400 kilometres Orbit at 51.6 degree inclination</w:t>
            </w:r>
          </w:p>
        </w:tc>
        <w:tc>
          <w:tcPr>
            <w:tcW w:w="2268"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tcPr>
          <w:p w:rsidR="00BF1B1C" w:rsidRDefault="00BF1B1C" w:rsidP="00BF1B1C">
            <w:pPr>
              <w:pStyle w:val="Tabletext"/>
              <w:rPr>
                <w:lang w:eastAsia="zh-CN"/>
              </w:rPr>
            </w:pPr>
            <w:r>
              <w:rPr>
                <w:lang w:val="en-US" w:eastAsia="zh-CN"/>
              </w:rPr>
              <w:t>Tx Antenna Gain</w:t>
            </w:r>
          </w:p>
        </w:tc>
        <w:tc>
          <w:tcPr>
            <w:tcW w:w="2268" w:type="dxa"/>
            <w:tcBorders>
              <w:top w:val="single" w:sz="4" w:space="0" w:color="auto"/>
              <w:left w:val="single" w:sz="4" w:space="0" w:color="auto"/>
              <w:bottom w:val="single" w:sz="4" w:space="0" w:color="auto"/>
              <w:right w:val="single" w:sz="4" w:space="0" w:color="auto"/>
            </w:tcBorders>
            <w:tcMar>
              <w:top w:w="29" w:type="dxa"/>
              <w:left w:w="144" w:type="dxa"/>
              <w:bottom w:w="29" w:type="dxa"/>
              <w:right w:w="144" w:type="dxa"/>
            </w:tcMar>
          </w:tcPr>
          <w:p w:rsidR="00BF1B1C" w:rsidRDefault="00BF1B1C" w:rsidP="00BF1B1C">
            <w:pPr>
              <w:pStyle w:val="Tabletext"/>
              <w:rPr>
                <w:lang w:eastAsia="zh-CN"/>
              </w:rPr>
            </w:pPr>
            <w:r>
              <w:rPr>
                <w:lang w:val="en-US" w:eastAsia="zh-CN"/>
              </w:rPr>
              <w:t>0 dBi, Omni</w:t>
            </w:r>
          </w:p>
        </w:tc>
      </w:tr>
    </w:tbl>
    <w:p w:rsidR="00093C72" w:rsidRDefault="00093C72" w:rsidP="00093C72">
      <w:pPr>
        <w:pStyle w:val="Tablefin"/>
      </w:pPr>
      <w:bookmarkStart w:id="10" w:name="_Toc362524735"/>
    </w:p>
    <w:p w:rsidR="00071226" w:rsidRDefault="00071226" w:rsidP="00071226">
      <w:pPr>
        <w:pStyle w:val="Heading2"/>
      </w:pPr>
      <w:r>
        <w:t>3.2</w:t>
      </w:r>
      <w:r>
        <w:tab/>
        <w:t>Commercial broadband LTE parameters</w:t>
      </w:r>
      <w:bookmarkEnd w:id="10"/>
    </w:p>
    <w:p w:rsidR="00071226" w:rsidRPr="00071226" w:rsidRDefault="00071226" w:rsidP="00044F43">
      <w:pPr>
        <w:rPr>
          <w:lang w:val="en-US"/>
        </w:rPr>
      </w:pPr>
      <w:r w:rsidRPr="00071226">
        <w:rPr>
          <w:lang w:val="en-US"/>
        </w:rPr>
        <w:t xml:space="preserve">As discussed in </w:t>
      </w:r>
      <w:r w:rsidR="00044F43">
        <w:rPr>
          <w:lang w:val="en-US"/>
        </w:rPr>
        <w:t>§</w:t>
      </w:r>
      <w:r w:rsidRPr="00071226">
        <w:rPr>
          <w:lang w:val="en-US"/>
        </w:rPr>
        <w:t xml:space="preserve"> 2.2, the technical parameters for commercial broadband LTE systems were provided in Report ITU-R M.2292 for the sector antenna pattern in Recommendation ITU-R F.1336 as specified in that Report, see A</w:t>
      </w:r>
      <w:r w:rsidR="00044F43">
        <w:rPr>
          <w:lang w:val="en-US"/>
        </w:rPr>
        <w:t>nnex</w:t>
      </w:r>
      <w:r w:rsidRPr="00071226">
        <w:rPr>
          <w:lang w:val="en-US"/>
        </w:rPr>
        <w:t xml:space="preserve"> C.</w:t>
      </w:r>
      <w:r w:rsidR="00BF1B1C">
        <w:rPr>
          <w:lang w:val="en-US"/>
        </w:rPr>
        <w:t xml:space="preserve"> </w:t>
      </w:r>
      <w:r w:rsidRPr="00071226">
        <w:rPr>
          <w:lang w:val="en-US"/>
        </w:rPr>
        <w:t>The technical parameters used in the analyses were varied to test a range of assumptions.</w:t>
      </w:r>
      <w:r w:rsidR="00BF1B1C">
        <w:rPr>
          <w:lang w:val="en-US"/>
        </w:rPr>
        <w:t xml:space="preserve"> </w:t>
      </w:r>
      <w:r w:rsidRPr="00071226">
        <w:rPr>
          <w:lang w:val="en-US"/>
        </w:rPr>
        <w:t>The assumptions regarding base-station resource loading, power distributions, clutter and other propagation losses, were varied so as to encompass a range of assumptions that are associated with worst-case and best-case frequency sharing scenarios. Section</w:t>
      </w:r>
      <w:r w:rsidR="00093C72">
        <w:rPr>
          <w:lang w:val="en-US"/>
        </w:rPr>
        <w:t> </w:t>
      </w:r>
      <w:r w:rsidRPr="00071226">
        <w:rPr>
          <w:lang w:val="en-US"/>
        </w:rPr>
        <w:t xml:space="preserve">3.2.1 provides an overview of technical characteristics for LTE base-stations and </w:t>
      </w:r>
      <w:r w:rsidR="00093C72">
        <w:rPr>
          <w:lang w:val="en-US"/>
        </w:rPr>
        <w:t>§ </w:t>
      </w:r>
      <w:r w:rsidRPr="00071226">
        <w:rPr>
          <w:lang w:val="en-US"/>
        </w:rPr>
        <w:t>3.2.2 provides an overview of technical characteristics for LTE user equipment (UE).</w:t>
      </w:r>
      <w:r w:rsidR="00BF1B1C">
        <w:rPr>
          <w:lang w:val="en-US"/>
        </w:rPr>
        <w:t xml:space="preserve"> </w:t>
      </w:r>
      <w:r w:rsidRPr="00071226">
        <w:rPr>
          <w:lang w:val="en-US"/>
        </w:rPr>
        <w:t>Further, more detailed parameters such as aggregate base-station and user equipment e.i.r.p. calculation methods, deployment models, antenna patterns, and a listing of cities used in the analyses can be found in the appendices.</w:t>
      </w:r>
    </w:p>
    <w:p w:rsidR="00071226" w:rsidRPr="00071226" w:rsidRDefault="00071226" w:rsidP="00071226">
      <w:pPr>
        <w:pStyle w:val="Heading3"/>
        <w:rPr>
          <w:rFonts w:asciiTheme="majorBidi" w:hAnsiTheme="majorBidi"/>
          <w:lang w:val="en-US"/>
        </w:rPr>
      </w:pPr>
      <w:bookmarkStart w:id="11" w:name="_Toc362524736"/>
      <w:r w:rsidRPr="00071226">
        <w:rPr>
          <w:rFonts w:asciiTheme="majorBidi" w:hAnsiTheme="majorBidi"/>
          <w:lang w:val="en-US"/>
        </w:rPr>
        <w:t>3.2.1</w:t>
      </w:r>
      <w:r w:rsidRPr="00071226">
        <w:rPr>
          <w:rFonts w:asciiTheme="majorBidi" w:hAnsiTheme="majorBidi"/>
          <w:lang w:val="en-US"/>
        </w:rPr>
        <w:tab/>
        <w:t>Overview of LTE base-station technical parameters</w:t>
      </w:r>
      <w:bookmarkEnd w:id="11"/>
    </w:p>
    <w:p w:rsidR="00071226" w:rsidRPr="00071226" w:rsidRDefault="00071226" w:rsidP="00093C72">
      <w:pPr>
        <w:rPr>
          <w:lang w:val="en-US"/>
        </w:rPr>
      </w:pPr>
      <w:r w:rsidRPr="00071226">
        <w:rPr>
          <w:lang w:val="en-US"/>
        </w:rPr>
        <w:t xml:space="preserve">The LTE base-station technical parameters are presented in Table 4 and an overview of the deployment model is presented in Table 5 and </w:t>
      </w:r>
      <w:r w:rsidR="00093C72" w:rsidRPr="00093C72">
        <w:rPr>
          <w:lang w:val="en-US"/>
        </w:rPr>
        <w:t>Fig</w:t>
      </w:r>
      <w:r w:rsidRPr="00071226">
        <w:rPr>
          <w:lang w:val="en-US"/>
        </w:rPr>
        <w:t>s 3 and 4. The transmit power values shown in Table 4 are levels emanating</w:t>
      </w:r>
      <w:r w:rsidR="00093C72">
        <w:rPr>
          <w:lang w:val="en-US"/>
        </w:rPr>
        <w:t xml:space="preserve"> from LTE ground transmissions.</w:t>
      </w:r>
    </w:p>
    <w:p w:rsidR="00071226" w:rsidRDefault="00071226" w:rsidP="00071226">
      <w:pPr>
        <w:pStyle w:val="TableNo"/>
        <w:spacing w:before="480"/>
      </w:pPr>
      <w:r>
        <w:t>TABLE 4</w:t>
      </w:r>
    </w:p>
    <w:p w:rsidR="00071226" w:rsidRDefault="00071226" w:rsidP="00071226">
      <w:pPr>
        <w:pStyle w:val="Tabletitle"/>
      </w:pPr>
      <w:r>
        <w:t>LTE base-station technical characteristics</w:t>
      </w:r>
    </w:p>
    <w:tbl>
      <w:tblPr>
        <w:tblW w:w="9638" w:type="dxa"/>
        <w:jc w:val="center"/>
        <w:tblLook w:val="04A0" w:firstRow="1" w:lastRow="0" w:firstColumn="1" w:lastColumn="0" w:noHBand="0" w:noVBand="1"/>
      </w:tblPr>
      <w:tblGrid>
        <w:gridCol w:w="2835"/>
        <w:gridCol w:w="6803"/>
      </w:tblGrid>
      <w:tr w:rsidR="00071226" w:rsidTr="00093C72">
        <w:trPr>
          <w:jc w:val="center"/>
        </w:trPr>
        <w:tc>
          <w:tcPr>
            <w:tcW w:w="2835" w:type="dxa"/>
            <w:tcBorders>
              <w:top w:val="single" w:sz="4" w:space="0" w:color="auto"/>
              <w:left w:val="single" w:sz="4" w:space="0" w:color="auto"/>
              <w:bottom w:val="single" w:sz="4" w:space="0" w:color="auto"/>
              <w:right w:val="single" w:sz="4" w:space="0" w:color="auto"/>
            </w:tcBorders>
            <w:hideMark/>
          </w:tcPr>
          <w:p w:rsidR="00071226" w:rsidRPr="005C0D33" w:rsidRDefault="00071226" w:rsidP="00093C72">
            <w:pPr>
              <w:pStyle w:val="Tabletext"/>
              <w:jc w:val="left"/>
            </w:pPr>
            <w:r w:rsidRPr="005C0D33">
              <w:t xml:space="preserve">LTE </w:t>
            </w:r>
            <w:r>
              <w:t>base-station</w:t>
            </w:r>
            <w:r w:rsidRPr="005C0D33">
              <w:t xml:space="preserve"> Parameter</w:t>
            </w:r>
          </w:p>
        </w:tc>
        <w:tc>
          <w:tcPr>
            <w:tcW w:w="6803" w:type="dxa"/>
            <w:tcBorders>
              <w:top w:val="single" w:sz="4" w:space="0" w:color="auto"/>
              <w:left w:val="single" w:sz="4" w:space="0" w:color="auto"/>
              <w:bottom w:val="single" w:sz="4" w:space="0" w:color="auto"/>
              <w:right w:val="single" w:sz="4" w:space="0" w:color="auto"/>
            </w:tcBorders>
            <w:hideMark/>
          </w:tcPr>
          <w:p w:rsidR="00071226" w:rsidRPr="005C0D33" w:rsidRDefault="00071226" w:rsidP="006C09C0">
            <w:pPr>
              <w:pStyle w:val="Tabletext"/>
            </w:pPr>
            <w:r w:rsidRPr="005C0D33">
              <w:t>Parameter</w:t>
            </w:r>
          </w:p>
        </w:tc>
      </w:tr>
      <w:tr w:rsidR="00071226" w:rsidRPr="00F90CAF" w:rsidTr="00093C72">
        <w:trPr>
          <w:jc w:val="center"/>
        </w:trPr>
        <w:tc>
          <w:tcPr>
            <w:tcW w:w="2835" w:type="dxa"/>
            <w:tcBorders>
              <w:top w:val="single" w:sz="4" w:space="0" w:color="auto"/>
              <w:left w:val="single" w:sz="4" w:space="0" w:color="auto"/>
              <w:bottom w:val="single" w:sz="4" w:space="0" w:color="auto"/>
              <w:right w:val="single" w:sz="4" w:space="0" w:color="auto"/>
            </w:tcBorders>
            <w:hideMark/>
          </w:tcPr>
          <w:p w:rsidR="00071226" w:rsidRPr="005C0D33" w:rsidRDefault="00071226" w:rsidP="00093C72">
            <w:pPr>
              <w:pStyle w:val="Tabletext"/>
              <w:jc w:val="left"/>
            </w:pPr>
            <w:r w:rsidRPr="005C0D33">
              <w:t>Antenna Pattern</w:t>
            </w:r>
          </w:p>
        </w:tc>
        <w:tc>
          <w:tcPr>
            <w:tcW w:w="6803" w:type="dxa"/>
            <w:tcBorders>
              <w:top w:val="single" w:sz="4" w:space="0" w:color="auto"/>
              <w:left w:val="single" w:sz="4" w:space="0" w:color="auto"/>
              <w:bottom w:val="single" w:sz="4" w:space="0" w:color="auto"/>
              <w:right w:val="single" w:sz="4" w:space="0" w:color="auto"/>
            </w:tcBorders>
            <w:hideMark/>
          </w:tcPr>
          <w:p w:rsidR="00071226" w:rsidRPr="00071226" w:rsidRDefault="00071226" w:rsidP="00093C72">
            <w:pPr>
              <w:pStyle w:val="Tabletext"/>
              <w:jc w:val="left"/>
              <w:rPr>
                <w:lang w:val="en-US"/>
              </w:rPr>
            </w:pPr>
            <w:r w:rsidRPr="00071226">
              <w:rPr>
                <w:lang w:val="en-US"/>
              </w:rPr>
              <w:t>Sector antenna (Recommendation ITU-R F.1336,</w:t>
            </w:r>
            <w:r w:rsidRPr="00071226">
              <w:rPr>
                <w:i/>
                <w:iCs/>
                <w:lang w:val="en-US"/>
              </w:rPr>
              <w:t xml:space="preserve"> recommends</w:t>
            </w:r>
            <w:r w:rsidRPr="00071226">
              <w:rPr>
                <w:lang w:val="en-US"/>
              </w:rPr>
              <w:t xml:space="preserve"> 3.1, see</w:t>
            </w:r>
            <w:r w:rsidR="00093C72">
              <w:rPr>
                <w:lang w:val="en-US"/>
              </w:rPr>
              <w:t> </w:t>
            </w:r>
            <w:r w:rsidRPr="00071226">
              <w:rPr>
                <w:lang w:val="en-US"/>
              </w:rPr>
              <w:t xml:space="preserve">Appendix C </w:t>
            </w:r>
          </w:p>
        </w:tc>
      </w:tr>
      <w:tr w:rsidR="00071226" w:rsidRPr="00F90CAF" w:rsidTr="00093C72">
        <w:trPr>
          <w:jc w:val="center"/>
        </w:trPr>
        <w:tc>
          <w:tcPr>
            <w:tcW w:w="2835" w:type="dxa"/>
            <w:tcBorders>
              <w:top w:val="single" w:sz="4" w:space="0" w:color="auto"/>
              <w:left w:val="single" w:sz="4" w:space="0" w:color="auto"/>
              <w:bottom w:val="single" w:sz="4" w:space="0" w:color="auto"/>
              <w:right w:val="single" w:sz="4" w:space="0" w:color="auto"/>
            </w:tcBorders>
            <w:hideMark/>
          </w:tcPr>
          <w:p w:rsidR="00071226" w:rsidRPr="005C0D33" w:rsidRDefault="00071226" w:rsidP="00093C72">
            <w:pPr>
              <w:pStyle w:val="Tabletext"/>
              <w:jc w:val="left"/>
            </w:pPr>
            <w:r w:rsidRPr="005C0D33">
              <w:t>Sector antenna pointing azimuth</w:t>
            </w:r>
          </w:p>
        </w:tc>
        <w:tc>
          <w:tcPr>
            <w:tcW w:w="6803" w:type="dxa"/>
            <w:tcBorders>
              <w:top w:val="single" w:sz="4" w:space="0" w:color="auto"/>
              <w:left w:val="single" w:sz="4" w:space="0" w:color="auto"/>
              <w:bottom w:val="single" w:sz="4" w:space="0" w:color="auto"/>
              <w:right w:val="single" w:sz="4" w:space="0" w:color="auto"/>
            </w:tcBorders>
            <w:hideMark/>
          </w:tcPr>
          <w:p w:rsidR="00071226" w:rsidRPr="00071226" w:rsidRDefault="00071226" w:rsidP="00093C72">
            <w:pPr>
              <w:pStyle w:val="Tabletext"/>
              <w:jc w:val="left"/>
              <w:rPr>
                <w:lang w:val="en-US"/>
              </w:rPr>
            </w:pPr>
            <w:r w:rsidRPr="00071226">
              <w:rPr>
                <w:lang w:val="en-US"/>
              </w:rPr>
              <w:t>120 degree spacing on the same tower; randomly oriented among towers (relative to true north)</w:t>
            </w:r>
          </w:p>
        </w:tc>
      </w:tr>
      <w:tr w:rsidR="00071226" w:rsidRPr="00F90CAF" w:rsidTr="00093C72">
        <w:trPr>
          <w:jc w:val="center"/>
        </w:trPr>
        <w:tc>
          <w:tcPr>
            <w:tcW w:w="2835" w:type="dxa"/>
            <w:tcBorders>
              <w:top w:val="single" w:sz="4" w:space="0" w:color="auto"/>
              <w:left w:val="single" w:sz="4" w:space="0" w:color="auto"/>
              <w:bottom w:val="single" w:sz="4" w:space="0" w:color="auto"/>
              <w:right w:val="single" w:sz="4" w:space="0" w:color="auto"/>
            </w:tcBorders>
            <w:hideMark/>
          </w:tcPr>
          <w:p w:rsidR="00071226" w:rsidRPr="005C0D33" w:rsidRDefault="00071226" w:rsidP="00093C72">
            <w:pPr>
              <w:pStyle w:val="Tabletext"/>
              <w:jc w:val="left"/>
            </w:pPr>
            <w:r w:rsidRPr="005C0D33">
              <w:t xml:space="preserve">Sector antenna pointing elevation </w:t>
            </w:r>
          </w:p>
        </w:tc>
        <w:tc>
          <w:tcPr>
            <w:tcW w:w="6803" w:type="dxa"/>
            <w:tcBorders>
              <w:top w:val="single" w:sz="4" w:space="0" w:color="auto"/>
              <w:left w:val="single" w:sz="4" w:space="0" w:color="auto"/>
              <w:bottom w:val="single" w:sz="4" w:space="0" w:color="auto"/>
              <w:right w:val="single" w:sz="4" w:space="0" w:color="auto"/>
            </w:tcBorders>
            <w:hideMark/>
          </w:tcPr>
          <w:p w:rsidR="00071226" w:rsidRPr="00071226" w:rsidRDefault="00071226" w:rsidP="00093C72">
            <w:pPr>
              <w:pStyle w:val="Tabletext"/>
              <w:jc w:val="left"/>
              <w:rPr>
                <w:lang w:val="en-US"/>
              </w:rPr>
            </w:pPr>
            <w:r w:rsidRPr="00071226">
              <w:rPr>
                <w:lang w:val="en-US"/>
              </w:rPr>
              <w:t>10 degrees down tilt for each urban zone sector antenna</w:t>
            </w:r>
          </w:p>
          <w:p w:rsidR="00071226" w:rsidRPr="00071226" w:rsidRDefault="00071226" w:rsidP="00093C72">
            <w:pPr>
              <w:pStyle w:val="Tabletext"/>
              <w:jc w:val="left"/>
              <w:rPr>
                <w:lang w:val="en-US"/>
              </w:rPr>
            </w:pPr>
            <w:r w:rsidRPr="00071226">
              <w:rPr>
                <w:lang w:val="en-US"/>
              </w:rPr>
              <w:t>6 degrees down tilt for each suburban zone sector antenna</w:t>
            </w:r>
          </w:p>
          <w:p w:rsidR="00071226" w:rsidRPr="00071226" w:rsidRDefault="00071226" w:rsidP="00093C72">
            <w:pPr>
              <w:pStyle w:val="Tabletext"/>
              <w:jc w:val="left"/>
              <w:rPr>
                <w:lang w:val="en-US"/>
              </w:rPr>
            </w:pPr>
            <w:r w:rsidRPr="00071226">
              <w:rPr>
                <w:lang w:val="en-US"/>
              </w:rPr>
              <w:t>3 degrees down tilt for each rural zone sector antenna</w:t>
            </w:r>
          </w:p>
        </w:tc>
      </w:tr>
      <w:tr w:rsidR="00071226" w:rsidTr="00093C72">
        <w:trPr>
          <w:jc w:val="center"/>
        </w:trPr>
        <w:tc>
          <w:tcPr>
            <w:tcW w:w="2835" w:type="dxa"/>
            <w:tcBorders>
              <w:top w:val="single" w:sz="4" w:space="0" w:color="auto"/>
              <w:left w:val="single" w:sz="4" w:space="0" w:color="auto"/>
              <w:bottom w:val="single" w:sz="4" w:space="0" w:color="auto"/>
              <w:right w:val="single" w:sz="4" w:space="0" w:color="auto"/>
            </w:tcBorders>
            <w:hideMark/>
          </w:tcPr>
          <w:p w:rsidR="00071226" w:rsidRPr="005C0D33" w:rsidRDefault="00071226" w:rsidP="00093C72">
            <w:pPr>
              <w:pStyle w:val="Tabletext"/>
              <w:jc w:val="left"/>
            </w:pPr>
            <w:r w:rsidRPr="005C0D33">
              <w:t>Sector antenna height</w:t>
            </w:r>
          </w:p>
        </w:tc>
        <w:tc>
          <w:tcPr>
            <w:tcW w:w="6803" w:type="dxa"/>
            <w:tcBorders>
              <w:top w:val="single" w:sz="4" w:space="0" w:color="auto"/>
              <w:left w:val="single" w:sz="4" w:space="0" w:color="auto"/>
              <w:bottom w:val="single" w:sz="4" w:space="0" w:color="auto"/>
              <w:right w:val="single" w:sz="4" w:space="0" w:color="auto"/>
            </w:tcBorders>
            <w:hideMark/>
          </w:tcPr>
          <w:p w:rsidR="00071226" w:rsidRPr="005C0D33" w:rsidRDefault="00071226" w:rsidP="00093C72">
            <w:pPr>
              <w:pStyle w:val="Tabletext"/>
              <w:jc w:val="left"/>
            </w:pPr>
            <w:r w:rsidRPr="005C0D33">
              <w:t>10 meters (AGL)</w:t>
            </w:r>
          </w:p>
        </w:tc>
      </w:tr>
      <w:tr w:rsidR="00071226" w:rsidRPr="00F90CAF" w:rsidTr="00093C72">
        <w:trPr>
          <w:jc w:val="center"/>
        </w:trPr>
        <w:tc>
          <w:tcPr>
            <w:tcW w:w="2835" w:type="dxa"/>
            <w:tcBorders>
              <w:top w:val="single" w:sz="4" w:space="0" w:color="auto"/>
              <w:left w:val="single" w:sz="4" w:space="0" w:color="auto"/>
              <w:bottom w:val="single" w:sz="4" w:space="0" w:color="auto"/>
              <w:right w:val="single" w:sz="4" w:space="0" w:color="auto"/>
            </w:tcBorders>
            <w:hideMark/>
          </w:tcPr>
          <w:p w:rsidR="00071226" w:rsidRPr="005C0D33" w:rsidRDefault="00071226" w:rsidP="00093C72">
            <w:pPr>
              <w:pStyle w:val="Tabletext"/>
              <w:jc w:val="left"/>
            </w:pPr>
            <w:r w:rsidRPr="005C0D33">
              <w:t>Sector antenna gain</w:t>
            </w:r>
          </w:p>
        </w:tc>
        <w:tc>
          <w:tcPr>
            <w:tcW w:w="6803" w:type="dxa"/>
            <w:tcBorders>
              <w:top w:val="single" w:sz="4" w:space="0" w:color="auto"/>
              <w:left w:val="single" w:sz="4" w:space="0" w:color="auto"/>
              <w:bottom w:val="single" w:sz="4" w:space="0" w:color="auto"/>
              <w:right w:val="single" w:sz="4" w:space="0" w:color="auto"/>
            </w:tcBorders>
            <w:hideMark/>
          </w:tcPr>
          <w:p w:rsidR="00071226" w:rsidRPr="00071226" w:rsidRDefault="00071226" w:rsidP="00093C72">
            <w:pPr>
              <w:pStyle w:val="Tabletext"/>
              <w:jc w:val="left"/>
              <w:rPr>
                <w:lang w:val="en-US"/>
              </w:rPr>
            </w:pPr>
            <w:r w:rsidRPr="00071226">
              <w:rPr>
                <w:lang w:val="en-US"/>
              </w:rPr>
              <w:t>16 dBi (ITU-R antenna) for each urban and suburban zone sector antenna</w:t>
            </w:r>
          </w:p>
          <w:p w:rsidR="00071226" w:rsidRPr="00071226" w:rsidRDefault="00071226" w:rsidP="00093C72">
            <w:pPr>
              <w:pStyle w:val="Tabletext"/>
              <w:jc w:val="left"/>
              <w:rPr>
                <w:lang w:val="en-US"/>
              </w:rPr>
            </w:pPr>
            <w:r w:rsidRPr="00071226">
              <w:rPr>
                <w:lang w:val="en-US"/>
              </w:rPr>
              <w:t>18 dBi (ITU-R antenna) for each rural zone sector antenna</w:t>
            </w:r>
          </w:p>
        </w:tc>
      </w:tr>
      <w:tr w:rsidR="00071226" w:rsidRPr="00F90CAF" w:rsidTr="00093C72">
        <w:trPr>
          <w:jc w:val="center"/>
        </w:trPr>
        <w:tc>
          <w:tcPr>
            <w:tcW w:w="2835" w:type="dxa"/>
            <w:tcBorders>
              <w:top w:val="single" w:sz="4" w:space="0" w:color="auto"/>
              <w:left w:val="single" w:sz="4" w:space="0" w:color="auto"/>
              <w:bottom w:val="single" w:sz="4" w:space="0" w:color="auto"/>
              <w:right w:val="single" w:sz="4" w:space="0" w:color="auto"/>
            </w:tcBorders>
            <w:hideMark/>
          </w:tcPr>
          <w:p w:rsidR="00071226" w:rsidRPr="00071226" w:rsidRDefault="00071226" w:rsidP="00093C72">
            <w:pPr>
              <w:pStyle w:val="Tabletext"/>
              <w:jc w:val="left"/>
              <w:rPr>
                <w:lang w:val="en-US"/>
              </w:rPr>
            </w:pPr>
            <w:r w:rsidRPr="00071226">
              <w:rPr>
                <w:lang w:val="en-US"/>
              </w:rPr>
              <w:t>Sector transmit power</w:t>
            </w:r>
          </w:p>
          <w:p w:rsidR="00071226" w:rsidRPr="00071226" w:rsidRDefault="00071226" w:rsidP="00093C72">
            <w:pPr>
              <w:pStyle w:val="Tabletext"/>
              <w:jc w:val="left"/>
              <w:rPr>
                <w:lang w:val="en-US"/>
              </w:rPr>
            </w:pPr>
            <w:r w:rsidRPr="00071226">
              <w:rPr>
                <w:lang w:val="en-US"/>
              </w:rPr>
              <w:t>(Recommendation ITU</w:t>
            </w:r>
            <w:r w:rsidR="00093C72">
              <w:rPr>
                <w:lang w:val="en-US"/>
              </w:rPr>
              <w:noBreakHyphen/>
            </w:r>
            <w:r w:rsidRPr="00071226">
              <w:rPr>
                <w:lang w:val="en-US"/>
              </w:rPr>
              <w:t>R</w:t>
            </w:r>
            <w:r w:rsidR="00093C72">
              <w:rPr>
                <w:lang w:val="en-US"/>
              </w:rPr>
              <w:t> </w:t>
            </w:r>
            <w:r w:rsidRPr="00071226">
              <w:rPr>
                <w:lang w:val="en-US"/>
              </w:rPr>
              <w:t>F.1336 antenna)</w:t>
            </w:r>
          </w:p>
        </w:tc>
        <w:tc>
          <w:tcPr>
            <w:tcW w:w="6803" w:type="dxa"/>
            <w:tcBorders>
              <w:top w:val="single" w:sz="4" w:space="0" w:color="auto"/>
              <w:left w:val="single" w:sz="4" w:space="0" w:color="auto"/>
              <w:bottom w:val="single" w:sz="4" w:space="0" w:color="auto"/>
              <w:right w:val="single" w:sz="4" w:space="0" w:color="auto"/>
            </w:tcBorders>
            <w:hideMark/>
          </w:tcPr>
          <w:p w:rsidR="00071226" w:rsidRPr="00071226" w:rsidRDefault="00071226" w:rsidP="00093C72">
            <w:pPr>
              <w:pStyle w:val="Tabletext"/>
              <w:jc w:val="left"/>
              <w:rPr>
                <w:lang w:val="en-US"/>
              </w:rPr>
            </w:pPr>
            <w:r w:rsidRPr="00071226">
              <w:rPr>
                <w:lang w:val="en-US"/>
              </w:rPr>
              <w:t>Peak power of 40W/10 MHz with 50% and 20%,</w:t>
            </w:r>
            <w:r w:rsidR="00BF1B1C">
              <w:rPr>
                <w:lang w:val="en-US"/>
              </w:rPr>
              <w:t xml:space="preserve"> </w:t>
            </w:r>
            <w:r w:rsidRPr="00071226">
              <w:rPr>
                <w:lang w:val="en-US"/>
              </w:rPr>
              <w:t xml:space="preserve"> time-frequency resource loading depending on interference scenario</w:t>
            </w:r>
          </w:p>
        </w:tc>
      </w:tr>
    </w:tbl>
    <w:p w:rsidR="00093C72" w:rsidRDefault="00093C72" w:rsidP="00093C72">
      <w:pPr>
        <w:pStyle w:val="Tablefin"/>
      </w:pPr>
    </w:p>
    <w:p w:rsidR="00093C72" w:rsidRDefault="00093C72" w:rsidP="00093C72">
      <w:pPr>
        <w:pStyle w:val="TableNo"/>
        <w:spacing w:before="480"/>
      </w:pPr>
      <w:r>
        <w:lastRenderedPageBreak/>
        <w:t>TABLE 4 (</w:t>
      </w:r>
      <w:r w:rsidR="00FE7059">
        <w:rPr>
          <w:i/>
          <w:iCs/>
        </w:rPr>
        <w:t>e</w:t>
      </w:r>
      <w:r w:rsidRPr="00093C72">
        <w:rPr>
          <w:i/>
          <w:iCs/>
        </w:rPr>
        <w:t>nd</w:t>
      </w:r>
      <w:r>
        <w:t>)</w:t>
      </w:r>
    </w:p>
    <w:tbl>
      <w:tblPr>
        <w:tblW w:w="9638" w:type="dxa"/>
        <w:jc w:val="center"/>
        <w:tblLook w:val="04A0" w:firstRow="1" w:lastRow="0" w:firstColumn="1" w:lastColumn="0" w:noHBand="0" w:noVBand="1"/>
      </w:tblPr>
      <w:tblGrid>
        <w:gridCol w:w="2835"/>
        <w:gridCol w:w="6803"/>
      </w:tblGrid>
      <w:tr w:rsidR="00071226" w:rsidRPr="00F90CAF" w:rsidTr="00093C72">
        <w:trPr>
          <w:jc w:val="center"/>
        </w:trPr>
        <w:tc>
          <w:tcPr>
            <w:tcW w:w="2835" w:type="dxa"/>
            <w:tcBorders>
              <w:top w:val="single" w:sz="4" w:space="0" w:color="auto"/>
              <w:left w:val="single" w:sz="4" w:space="0" w:color="auto"/>
              <w:bottom w:val="single" w:sz="4" w:space="0" w:color="auto"/>
              <w:right w:val="single" w:sz="4" w:space="0" w:color="auto"/>
            </w:tcBorders>
            <w:hideMark/>
          </w:tcPr>
          <w:p w:rsidR="00071226" w:rsidRPr="00071226" w:rsidRDefault="00071226" w:rsidP="00093C72">
            <w:pPr>
              <w:pStyle w:val="Tabletext"/>
              <w:keepNext/>
              <w:keepLines/>
              <w:jc w:val="left"/>
              <w:rPr>
                <w:lang w:val="en-US"/>
              </w:rPr>
            </w:pPr>
            <w:r w:rsidRPr="00071226">
              <w:rPr>
                <w:lang w:val="en-US"/>
              </w:rPr>
              <w:t>Net Power per city zone</w:t>
            </w:r>
          </w:p>
        </w:tc>
        <w:tc>
          <w:tcPr>
            <w:tcW w:w="6803" w:type="dxa"/>
            <w:tcBorders>
              <w:top w:val="single" w:sz="4" w:space="0" w:color="auto"/>
              <w:left w:val="single" w:sz="4" w:space="0" w:color="auto"/>
              <w:bottom w:val="single" w:sz="4" w:space="0" w:color="auto"/>
              <w:right w:val="single" w:sz="4" w:space="0" w:color="auto"/>
            </w:tcBorders>
            <w:hideMark/>
          </w:tcPr>
          <w:p w:rsidR="00071226" w:rsidRPr="00071226" w:rsidRDefault="00071226" w:rsidP="00093C72">
            <w:pPr>
              <w:pStyle w:val="Tabletext"/>
              <w:keepNext/>
              <w:keepLines/>
              <w:rPr>
                <w:lang w:val="en-US"/>
              </w:rPr>
            </w:pPr>
            <w:r w:rsidRPr="00071226">
              <w:rPr>
                <w:lang w:val="en-US"/>
              </w:rPr>
              <w:t>See Appendix B</w:t>
            </w:r>
          </w:p>
          <w:p w:rsidR="00071226" w:rsidRPr="00071226" w:rsidRDefault="00093C72" w:rsidP="00093C72">
            <w:pPr>
              <w:pStyle w:val="Tabletext"/>
              <w:keepNext/>
              <w:keepLines/>
              <w:rPr>
                <w:lang w:val="en-US"/>
              </w:rPr>
            </w:pPr>
            <w:r>
              <w:rPr>
                <w:lang w:val="en-US"/>
              </w:rPr>
              <w:t>Urban Zone</w:t>
            </w:r>
            <w:r w:rsidR="00071226" w:rsidRPr="00071226">
              <w:rPr>
                <w:lang w:val="en-US"/>
              </w:rPr>
              <w:t>: 29.44 dBW (50% loading), 25.47 dBW (20% loading)</w:t>
            </w:r>
          </w:p>
          <w:p w:rsidR="00071226" w:rsidRPr="00071226" w:rsidRDefault="00071226" w:rsidP="00093C72">
            <w:pPr>
              <w:pStyle w:val="Tabletext"/>
              <w:keepNext/>
              <w:keepLines/>
              <w:rPr>
                <w:lang w:val="en-US"/>
              </w:rPr>
            </w:pPr>
            <w:r w:rsidRPr="00071226">
              <w:rPr>
                <w:lang w:val="en-US"/>
              </w:rPr>
              <w:t>Suburban Zone: 43 dBW (50% loading), 39 dBW (20% loading)</w:t>
            </w:r>
          </w:p>
          <w:p w:rsidR="00071226" w:rsidRPr="00071226" w:rsidRDefault="00071226" w:rsidP="00093C72">
            <w:pPr>
              <w:pStyle w:val="Tabletext"/>
              <w:keepNext/>
              <w:keepLines/>
              <w:rPr>
                <w:lang w:val="en-US"/>
              </w:rPr>
            </w:pPr>
            <w:r w:rsidRPr="00071226">
              <w:rPr>
                <w:lang w:val="en-US"/>
              </w:rPr>
              <w:t>Rural Zone: 36.35 dBW (50% loading), 32.38 dBW (20% loading)</w:t>
            </w:r>
          </w:p>
        </w:tc>
      </w:tr>
      <w:tr w:rsidR="00071226" w:rsidTr="00093C72">
        <w:trPr>
          <w:jc w:val="center"/>
        </w:trPr>
        <w:tc>
          <w:tcPr>
            <w:tcW w:w="2835" w:type="dxa"/>
            <w:tcBorders>
              <w:top w:val="single" w:sz="4" w:space="0" w:color="auto"/>
              <w:left w:val="single" w:sz="4" w:space="0" w:color="auto"/>
              <w:bottom w:val="single" w:sz="4" w:space="0" w:color="auto"/>
              <w:right w:val="single" w:sz="4" w:space="0" w:color="auto"/>
            </w:tcBorders>
            <w:hideMark/>
          </w:tcPr>
          <w:p w:rsidR="00071226" w:rsidRPr="005C0D33" w:rsidRDefault="00071226" w:rsidP="00093C72">
            <w:pPr>
              <w:pStyle w:val="Tabletext"/>
              <w:jc w:val="left"/>
            </w:pPr>
            <w:r w:rsidRPr="005C0D33">
              <w:t>LTE channel bandwidth</w:t>
            </w:r>
          </w:p>
        </w:tc>
        <w:tc>
          <w:tcPr>
            <w:tcW w:w="6803" w:type="dxa"/>
            <w:tcBorders>
              <w:top w:val="single" w:sz="4" w:space="0" w:color="auto"/>
              <w:left w:val="single" w:sz="4" w:space="0" w:color="auto"/>
              <w:bottom w:val="single" w:sz="4" w:space="0" w:color="auto"/>
              <w:right w:val="single" w:sz="4" w:space="0" w:color="auto"/>
            </w:tcBorders>
            <w:hideMark/>
          </w:tcPr>
          <w:p w:rsidR="00071226" w:rsidRPr="005C0D33" w:rsidRDefault="00071226" w:rsidP="006C09C0">
            <w:pPr>
              <w:pStyle w:val="Tabletext"/>
            </w:pPr>
            <w:r w:rsidRPr="005C0D33">
              <w:t>10 MHz</w:t>
            </w:r>
          </w:p>
        </w:tc>
      </w:tr>
      <w:tr w:rsidR="00071226" w:rsidRPr="00F90CAF" w:rsidTr="00093C72">
        <w:trPr>
          <w:jc w:val="center"/>
        </w:trPr>
        <w:tc>
          <w:tcPr>
            <w:tcW w:w="2835" w:type="dxa"/>
            <w:tcBorders>
              <w:top w:val="single" w:sz="4" w:space="0" w:color="auto"/>
              <w:left w:val="single" w:sz="4" w:space="0" w:color="auto"/>
              <w:bottom w:val="single" w:sz="4" w:space="0" w:color="auto"/>
              <w:right w:val="single" w:sz="4" w:space="0" w:color="auto"/>
            </w:tcBorders>
            <w:hideMark/>
          </w:tcPr>
          <w:p w:rsidR="00071226" w:rsidRPr="00071226" w:rsidRDefault="00071226" w:rsidP="00093C72">
            <w:pPr>
              <w:pStyle w:val="Tabletext"/>
              <w:jc w:val="left"/>
              <w:rPr>
                <w:lang w:val="en-US"/>
              </w:rPr>
            </w:pPr>
            <w:r w:rsidRPr="00071226">
              <w:rPr>
                <w:lang w:val="en-US"/>
              </w:rPr>
              <w:t>Elevation mask for Recommendation</w:t>
            </w:r>
            <w:r w:rsidR="00093C72">
              <w:rPr>
                <w:lang w:val="en-US"/>
              </w:rPr>
              <w:t xml:space="preserve"> </w:t>
            </w:r>
            <w:r w:rsidRPr="00071226">
              <w:rPr>
                <w:lang w:val="en-US"/>
              </w:rPr>
              <w:t>ITU</w:t>
            </w:r>
            <w:r w:rsidR="00093C72">
              <w:rPr>
                <w:lang w:val="en-US"/>
              </w:rPr>
              <w:noBreakHyphen/>
            </w:r>
            <w:r w:rsidRPr="00071226">
              <w:rPr>
                <w:lang w:val="en-US"/>
              </w:rPr>
              <w:t>R</w:t>
            </w:r>
            <w:r w:rsidR="00093C72">
              <w:rPr>
                <w:lang w:val="en-US"/>
              </w:rPr>
              <w:t> </w:t>
            </w:r>
            <w:r w:rsidRPr="00071226">
              <w:rPr>
                <w:lang w:val="en-US"/>
              </w:rPr>
              <w:t>F.1336</w:t>
            </w:r>
          </w:p>
        </w:tc>
        <w:tc>
          <w:tcPr>
            <w:tcW w:w="6803" w:type="dxa"/>
            <w:tcBorders>
              <w:top w:val="single" w:sz="4" w:space="0" w:color="auto"/>
              <w:left w:val="single" w:sz="4" w:space="0" w:color="auto"/>
              <w:bottom w:val="single" w:sz="4" w:space="0" w:color="auto"/>
              <w:right w:val="single" w:sz="4" w:space="0" w:color="auto"/>
            </w:tcBorders>
            <w:hideMark/>
          </w:tcPr>
          <w:p w:rsidR="00071226" w:rsidRPr="00071226" w:rsidRDefault="00071226" w:rsidP="006C09C0">
            <w:pPr>
              <w:pStyle w:val="Tabletext"/>
              <w:rPr>
                <w:lang w:val="en-US"/>
              </w:rPr>
            </w:pPr>
            <w:r w:rsidRPr="00071226">
              <w:rPr>
                <w:lang w:val="en-US"/>
              </w:rPr>
              <w:t xml:space="preserve">Three cases: hypothetical complete site shielding of signals on paths having elevation angles below 0, 20, 45 degrees </w:t>
            </w:r>
          </w:p>
        </w:tc>
      </w:tr>
    </w:tbl>
    <w:p w:rsidR="00093C72" w:rsidRDefault="00093C72" w:rsidP="00093C72">
      <w:pPr>
        <w:pStyle w:val="Tablefin"/>
      </w:pPr>
    </w:p>
    <w:p w:rsidR="00071226" w:rsidRDefault="00071226" w:rsidP="00071226">
      <w:pPr>
        <w:pStyle w:val="TableNo"/>
      </w:pPr>
      <w:r>
        <w:t>TABLE 5</w:t>
      </w:r>
    </w:p>
    <w:p w:rsidR="00071226" w:rsidRDefault="00071226" w:rsidP="00071226">
      <w:pPr>
        <w:pStyle w:val="Tabletitle"/>
      </w:pPr>
      <w:r>
        <w:t>LTE base-station deployment model</w:t>
      </w:r>
    </w:p>
    <w:tbl>
      <w:tblPr>
        <w:tblW w:w="9638" w:type="dxa"/>
        <w:jc w:val="center"/>
        <w:tblLook w:val="04A0" w:firstRow="1" w:lastRow="0" w:firstColumn="1" w:lastColumn="0" w:noHBand="0" w:noVBand="1"/>
      </w:tblPr>
      <w:tblGrid>
        <w:gridCol w:w="2381"/>
        <w:gridCol w:w="7257"/>
      </w:tblGrid>
      <w:tr w:rsidR="00071226" w:rsidTr="0049745D">
        <w:trPr>
          <w:jc w:val="center"/>
        </w:trPr>
        <w:tc>
          <w:tcPr>
            <w:tcW w:w="2381" w:type="dxa"/>
            <w:tcBorders>
              <w:top w:val="single" w:sz="4" w:space="0" w:color="auto"/>
              <w:left w:val="single" w:sz="4" w:space="0" w:color="auto"/>
              <w:bottom w:val="single" w:sz="4" w:space="0" w:color="auto"/>
              <w:right w:val="single" w:sz="4" w:space="0" w:color="auto"/>
            </w:tcBorders>
            <w:hideMark/>
          </w:tcPr>
          <w:p w:rsidR="00071226" w:rsidRDefault="00071226" w:rsidP="006C09C0">
            <w:pPr>
              <w:pStyle w:val="Tablehead"/>
            </w:pPr>
            <w:r>
              <w:t>Deployment scenario</w:t>
            </w:r>
          </w:p>
        </w:tc>
        <w:tc>
          <w:tcPr>
            <w:tcW w:w="7257" w:type="dxa"/>
            <w:tcBorders>
              <w:top w:val="single" w:sz="4" w:space="0" w:color="auto"/>
              <w:left w:val="single" w:sz="4" w:space="0" w:color="auto"/>
              <w:bottom w:val="single" w:sz="4" w:space="0" w:color="auto"/>
              <w:right w:val="single" w:sz="4" w:space="0" w:color="auto"/>
            </w:tcBorders>
            <w:hideMark/>
          </w:tcPr>
          <w:p w:rsidR="00071226" w:rsidRDefault="00071226" w:rsidP="006C09C0">
            <w:pPr>
              <w:pStyle w:val="Tablehead"/>
            </w:pPr>
            <w:r>
              <w:t>Value</w:t>
            </w:r>
          </w:p>
        </w:tc>
      </w:tr>
      <w:tr w:rsidR="00071226" w:rsidRPr="00F90CAF" w:rsidTr="0049745D">
        <w:trPr>
          <w:jc w:val="center"/>
        </w:trPr>
        <w:tc>
          <w:tcPr>
            <w:tcW w:w="2381" w:type="dxa"/>
            <w:tcBorders>
              <w:top w:val="single" w:sz="4" w:space="0" w:color="auto"/>
              <w:left w:val="single" w:sz="4" w:space="0" w:color="auto"/>
              <w:bottom w:val="single" w:sz="4" w:space="0" w:color="auto"/>
              <w:right w:val="single" w:sz="4" w:space="0" w:color="auto"/>
            </w:tcBorders>
            <w:hideMark/>
          </w:tcPr>
          <w:p w:rsidR="00071226" w:rsidRDefault="00071226" w:rsidP="006C09C0">
            <w:pPr>
              <w:spacing w:before="40" w:after="40"/>
              <w:rPr>
                <w:sz w:val="20"/>
              </w:rPr>
            </w:pPr>
            <w:r>
              <w:rPr>
                <w:sz w:val="20"/>
              </w:rPr>
              <w:t>Analyses city deployment</w:t>
            </w:r>
          </w:p>
        </w:tc>
        <w:tc>
          <w:tcPr>
            <w:tcW w:w="7257" w:type="dxa"/>
            <w:tcBorders>
              <w:top w:val="single" w:sz="4" w:space="0" w:color="auto"/>
              <w:left w:val="single" w:sz="4" w:space="0" w:color="auto"/>
              <w:bottom w:val="single" w:sz="4" w:space="0" w:color="auto"/>
              <w:right w:val="single" w:sz="4" w:space="0" w:color="auto"/>
            </w:tcBorders>
            <w:hideMark/>
          </w:tcPr>
          <w:p w:rsidR="00071226" w:rsidRPr="00071226" w:rsidRDefault="00071226" w:rsidP="006C09C0">
            <w:pPr>
              <w:spacing w:before="40" w:after="40"/>
              <w:rPr>
                <w:sz w:val="20"/>
                <w:lang w:val="en-US"/>
              </w:rPr>
            </w:pPr>
            <w:r w:rsidRPr="00A90780">
              <w:rPr>
                <w:sz w:val="20"/>
                <w:lang w:val="en-US"/>
              </w:rPr>
              <w:t>160 large cities with population greater than 250</w:t>
            </w:r>
            <w:r>
              <w:rPr>
                <w:sz w:val="20"/>
                <w:lang w:val="en-US"/>
              </w:rPr>
              <w:t> </w:t>
            </w:r>
            <w:r w:rsidRPr="00A90780">
              <w:rPr>
                <w:sz w:val="20"/>
                <w:lang w:val="en-US"/>
              </w:rPr>
              <w:t>000 (see Appendix E)</w:t>
            </w:r>
          </w:p>
        </w:tc>
      </w:tr>
      <w:tr w:rsidR="00071226" w:rsidRPr="00F90CAF" w:rsidTr="0049745D">
        <w:trPr>
          <w:jc w:val="center"/>
        </w:trPr>
        <w:tc>
          <w:tcPr>
            <w:tcW w:w="2381" w:type="dxa"/>
            <w:tcBorders>
              <w:top w:val="single" w:sz="4" w:space="0" w:color="auto"/>
              <w:left w:val="single" w:sz="4" w:space="0" w:color="auto"/>
              <w:bottom w:val="single" w:sz="4" w:space="0" w:color="auto"/>
              <w:right w:val="single" w:sz="4" w:space="0" w:color="auto"/>
            </w:tcBorders>
            <w:hideMark/>
          </w:tcPr>
          <w:p w:rsidR="00071226" w:rsidRDefault="00071226" w:rsidP="00C309C4">
            <w:pPr>
              <w:spacing w:before="40" w:after="40"/>
              <w:jc w:val="left"/>
              <w:rPr>
                <w:sz w:val="20"/>
              </w:rPr>
            </w:pPr>
            <w:r>
              <w:rPr>
                <w:sz w:val="20"/>
              </w:rPr>
              <w:t>LTE base-station deployment)</w:t>
            </w:r>
          </w:p>
        </w:tc>
        <w:tc>
          <w:tcPr>
            <w:tcW w:w="7257" w:type="dxa"/>
            <w:tcBorders>
              <w:top w:val="single" w:sz="4" w:space="0" w:color="auto"/>
              <w:left w:val="single" w:sz="4" w:space="0" w:color="auto"/>
              <w:bottom w:val="single" w:sz="4" w:space="0" w:color="auto"/>
              <w:right w:val="single" w:sz="4" w:space="0" w:color="auto"/>
            </w:tcBorders>
            <w:hideMark/>
          </w:tcPr>
          <w:p w:rsidR="00071226" w:rsidRPr="00071226" w:rsidRDefault="00093C72" w:rsidP="00093C72">
            <w:pPr>
              <w:pStyle w:val="Tabletext"/>
              <w:ind w:left="284" w:hanging="284"/>
              <w:rPr>
                <w:lang w:val="en-US"/>
              </w:rPr>
            </w:pPr>
            <w:r w:rsidRPr="00093C72">
              <w:rPr>
                <w:lang w:val="en-US"/>
              </w:rPr>
              <w:t>–</w:t>
            </w:r>
            <w:r>
              <w:rPr>
                <w:lang w:val="en-US"/>
              </w:rPr>
              <w:tab/>
            </w:r>
            <w:r w:rsidR="00071226" w:rsidRPr="00071226">
              <w:rPr>
                <w:lang w:val="en-US"/>
              </w:rPr>
              <w:t xml:space="preserve">Urban zone extends out 0-3 </w:t>
            </w:r>
            <w:r w:rsidR="00BA78CB">
              <w:rPr>
                <w:lang w:val="en-US"/>
              </w:rPr>
              <w:t xml:space="preserve">km </w:t>
            </w:r>
            <w:r>
              <w:rPr>
                <w:lang w:val="en-US"/>
              </w:rPr>
              <w:t xml:space="preserve">from city centre and contains </w:t>
            </w:r>
            <w:r w:rsidR="00071226" w:rsidRPr="00071226">
              <w:rPr>
                <w:lang w:val="en-US"/>
              </w:rPr>
              <w:t xml:space="preserve">89 base-station sites (0.6 </w:t>
            </w:r>
            <w:r w:rsidR="00BA78CB">
              <w:rPr>
                <w:lang w:val="en-US"/>
              </w:rPr>
              <w:t xml:space="preserve">km </w:t>
            </w:r>
            <w:r w:rsidR="00071226" w:rsidRPr="00071226">
              <w:rPr>
                <w:lang w:val="en-US"/>
              </w:rPr>
              <w:t>ISD)</w:t>
            </w:r>
          </w:p>
          <w:p w:rsidR="00071226" w:rsidRPr="00071226" w:rsidRDefault="00093C72" w:rsidP="00093C72">
            <w:pPr>
              <w:pStyle w:val="Tabletext"/>
              <w:ind w:left="284" w:hanging="284"/>
              <w:rPr>
                <w:lang w:val="en-US"/>
              </w:rPr>
            </w:pPr>
            <w:r w:rsidRPr="00093C72">
              <w:rPr>
                <w:lang w:val="en-US"/>
              </w:rPr>
              <w:t>–</w:t>
            </w:r>
            <w:r>
              <w:rPr>
                <w:lang w:val="en-US"/>
              </w:rPr>
              <w:tab/>
            </w:r>
            <w:r w:rsidR="00071226" w:rsidRPr="00071226">
              <w:rPr>
                <w:lang w:val="en-US"/>
              </w:rPr>
              <w:t xml:space="preserve">Suburban zone extends 3-20 </w:t>
            </w:r>
            <w:r w:rsidR="00BA78CB">
              <w:rPr>
                <w:lang w:val="en-US"/>
              </w:rPr>
              <w:t xml:space="preserve">km </w:t>
            </w:r>
            <w:r w:rsidR="00071226" w:rsidRPr="00071226">
              <w:rPr>
                <w:lang w:val="en-US"/>
              </w:rPr>
              <w:t xml:space="preserve">from city centre and contains 996 base-station sites (1.2 </w:t>
            </w:r>
            <w:r w:rsidR="00BA78CB">
              <w:rPr>
                <w:lang w:val="en-US"/>
              </w:rPr>
              <w:t xml:space="preserve">km </w:t>
            </w:r>
            <w:r w:rsidR="00071226" w:rsidRPr="00071226">
              <w:rPr>
                <w:lang w:val="en-US"/>
              </w:rPr>
              <w:t>ISD)</w:t>
            </w:r>
          </w:p>
          <w:p w:rsidR="00071226" w:rsidRPr="00071226" w:rsidRDefault="00093C72" w:rsidP="00093C72">
            <w:pPr>
              <w:pStyle w:val="Tabletext"/>
              <w:ind w:left="284" w:hanging="284"/>
              <w:rPr>
                <w:lang w:val="en-US"/>
              </w:rPr>
            </w:pPr>
            <w:r w:rsidRPr="00093C72">
              <w:rPr>
                <w:lang w:val="en-US"/>
              </w:rPr>
              <w:t>–</w:t>
            </w:r>
            <w:r>
              <w:rPr>
                <w:lang w:val="en-US"/>
              </w:rPr>
              <w:tab/>
            </w:r>
            <w:r w:rsidR="00071226" w:rsidRPr="00071226">
              <w:rPr>
                <w:lang w:val="en-US"/>
              </w:rPr>
              <w:t xml:space="preserve">Rural zone extends from 20-50 </w:t>
            </w:r>
            <w:r w:rsidR="00BA78CB">
              <w:rPr>
                <w:lang w:val="en-US"/>
              </w:rPr>
              <w:t xml:space="preserve">km </w:t>
            </w:r>
            <w:r w:rsidR="00071226" w:rsidRPr="00071226">
              <w:rPr>
                <w:lang w:val="en-US"/>
              </w:rPr>
              <w:t>from city centre and contains 216 base-station sites</w:t>
            </w:r>
            <w:r w:rsidR="00BF1B1C">
              <w:rPr>
                <w:lang w:val="en-US"/>
              </w:rPr>
              <w:t xml:space="preserve"> </w:t>
            </w:r>
            <w:r w:rsidR="00A9529A">
              <w:rPr>
                <w:lang w:val="en-US"/>
              </w:rPr>
              <w:t>(6</w:t>
            </w:r>
            <w:r w:rsidR="00BA78CB" w:rsidRPr="00071226">
              <w:rPr>
                <w:lang w:val="en-US"/>
              </w:rPr>
              <w:t xml:space="preserve"> </w:t>
            </w:r>
            <w:r w:rsidR="00BA78CB">
              <w:rPr>
                <w:lang w:val="en-US"/>
              </w:rPr>
              <w:t xml:space="preserve">km </w:t>
            </w:r>
            <w:r w:rsidR="00071226" w:rsidRPr="00071226">
              <w:rPr>
                <w:lang w:val="en-US"/>
              </w:rPr>
              <w:t>SD)</w:t>
            </w:r>
          </w:p>
        </w:tc>
      </w:tr>
    </w:tbl>
    <w:p w:rsidR="00093C72" w:rsidRDefault="00093C72" w:rsidP="00093C72">
      <w:pPr>
        <w:pStyle w:val="Tablefin"/>
      </w:pPr>
    </w:p>
    <w:p w:rsidR="00071226" w:rsidRDefault="00071226" w:rsidP="00071226">
      <w:pPr>
        <w:pStyle w:val="FigureNo"/>
      </w:pPr>
      <w:r>
        <w:t>Figure 3</w:t>
      </w:r>
    </w:p>
    <w:p w:rsidR="00071226" w:rsidRDefault="00071226" w:rsidP="00071226">
      <w:pPr>
        <w:pStyle w:val="Figuretitle"/>
      </w:pPr>
      <w:r>
        <w:t>LTE base-station deployment for 160 large cities</w:t>
      </w:r>
    </w:p>
    <w:p w:rsidR="00071226" w:rsidRPr="00AB672F" w:rsidRDefault="00071226" w:rsidP="00071226">
      <w:r w:rsidRPr="00E4573A">
        <w:rPr>
          <w:noProof/>
          <w:lang w:val="en-US" w:eastAsia="zh-CN"/>
        </w:rPr>
        <w:drawing>
          <wp:inline distT="0" distB="0" distL="0" distR="0" wp14:anchorId="58FAA250" wp14:editId="2231C895">
            <wp:extent cx="5962573" cy="2854518"/>
            <wp:effectExtent l="0" t="0" r="63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63880" cy="2855144"/>
                    </a:xfrm>
                    <a:prstGeom prst="rect">
                      <a:avLst/>
                    </a:prstGeom>
                  </pic:spPr>
                </pic:pic>
              </a:graphicData>
            </a:graphic>
          </wp:inline>
        </w:drawing>
      </w:r>
    </w:p>
    <w:p w:rsidR="00071226" w:rsidRPr="00071226" w:rsidRDefault="00071226" w:rsidP="00071226">
      <w:pPr>
        <w:pStyle w:val="Heading3"/>
        <w:rPr>
          <w:rFonts w:asciiTheme="majorBidi" w:hAnsiTheme="majorBidi"/>
          <w:lang w:val="en-US"/>
        </w:rPr>
      </w:pPr>
      <w:bookmarkStart w:id="12" w:name="_Toc362524737"/>
      <w:r w:rsidRPr="00071226">
        <w:rPr>
          <w:rFonts w:asciiTheme="majorBidi" w:hAnsiTheme="majorBidi"/>
          <w:lang w:val="en-US"/>
        </w:rPr>
        <w:t>3.2.2</w:t>
      </w:r>
      <w:r w:rsidRPr="00071226">
        <w:rPr>
          <w:rFonts w:asciiTheme="majorBidi" w:hAnsiTheme="majorBidi"/>
          <w:lang w:val="en-US"/>
        </w:rPr>
        <w:tab/>
        <w:t>Overview of LTE user equipment (UE) technical parameters</w:t>
      </w:r>
      <w:bookmarkEnd w:id="12"/>
    </w:p>
    <w:p w:rsidR="00071226" w:rsidRPr="008839C1" w:rsidRDefault="00071226" w:rsidP="0049745D">
      <w:pPr>
        <w:rPr>
          <w:lang w:val="en-US"/>
        </w:rPr>
      </w:pPr>
      <w:r w:rsidRPr="00071226">
        <w:rPr>
          <w:lang w:val="en-US"/>
        </w:rPr>
        <w:t>The UE technical characteristics are presented in Table 6.</w:t>
      </w:r>
      <w:r w:rsidR="00BF1B1C">
        <w:rPr>
          <w:lang w:val="en-US"/>
        </w:rPr>
        <w:t xml:space="preserve"> </w:t>
      </w:r>
      <w:r w:rsidRPr="00071226">
        <w:rPr>
          <w:lang w:val="en-US"/>
        </w:rPr>
        <w:t>Please refer to A</w:t>
      </w:r>
      <w:r w:rsidR="0049745D">
        <w:rPr>
          <w:lang w:val="en-US"/>
        </w:rPr>
        <w:t xml:space="preserve">nnex </w:t>
      </w:r>
      <w:r w:rsidRPr="00071226">
        <w:rPr>
          <w:lang w:val="en-US"/>
        </w:rPr>
        <w:t>A for the derivations of the aggregate total e.i.r.p. levels for cities.</w:t>
      </w:r>
      <w:r w:rsidR="00BF1B1C">
        <w:rPr>
          <w:lang w:val="en-US"/>
        </w:rPr>
        <w:t xml:space="preserve"> </w:t>
      </w:r>
      <w:r w:rsidRPr="008839C1">
        <w:rPr>
          <w:lang w:val="en-US"/>
        </w:rPr>
        <w:t>The aggregate, per-city e.i.r.p. level is the total e.i.r.p. from all UE located in the city (</w:t>
      </w:r>
      <w:r w:rsidR="0049745D" w:rsidRPr="0049745D">
        <w:rPr>
          <w:lang w:val="en-US"/>
        </w:rPr>
        <w:t>Fig.</w:t>
      </w:r>
      <w:r w:rsidRPr="008839C1">
        <w:rPr>
          <w:lang w:val="en-US"/>
        </w:rPr>
        <w:t xml:space="preserve"> 3 or 4) which is assumed to be emanating from the centre of the city, as further explained in section 4 and </w:t>
      </w:r>
      <w:r w:rsidR="0049745D" w:rsidRPr="0049745D">
        <w:rPr>
          <w:lang w:val="en-US"/>
        </w:rPr>
        <w:t>Annex</w:t>
      </w:r>
      <w:r w:rsidRPr="008839C1">
        <w:rPr>
          <w:lang w:val="en-US"/>
        </w:rPr>
        <w:t xml:space="preserve"> A.</w:t>
      </w:r>
    </w:p>
    <w:p w:rsidR="00071226" w:rsidRDefault="00071226" w:rsidP="00071226">
      <w:pPr>
        <w:pStyle w:val="TableNo"/>
      </w:pPr>
      <w:r>
        <w:lastRenderedPageBreak/>
        <w:t>TABLE 6</w:t>
      </w:r>
    </w:p>
    <w:p w:rsidR="00071226" w:rsidRDefault="00071226" w:rsidP="00071226">
      <w:pPr>
        <w:pStyle w:val="Tabletitle"/>
      </w:pPr>
      <w:r>
        <w:t>LTE user terminal technical characteristic</w:t>
      </w:r>
    </w:p>
    <w:tbl>
      <w:tblPr>
        <w:tblW w:w="4416" w:type="pct"/>
        <w:jc w:val="center"/>
        <w:tblLook w:val="04A0" w:firstRow="1" w:lastRow="0" w:firstColumn="1" w:lastColumn="0" w:noHBand="0" w:noVBand="1"/>
      </w:tblPr>
      <w:tblGrid>
        <w:gridCol w:w="3968"/>
        <w:gridCol w:w="4536"/>
      </w:tblGrid>
      <w:tr w:rsidR="00071226" w:rsidTr="00BA78CB">
        <w:trPr>
          <w:jc w:val="center"/>
        </w:trPr>
        <w:tc>
          <w:tcPr>
            <w:tcW w:w="2333" w:type="pct"/>
            <w:tcBorders>
              <w:top w:val="single" w:sz="4" w:space="0" w:color="auto"/>
              <w:left w:val="single" w:sz="4" w:space="0" w:color="auto"/>
              <w:bottom w:val="single" w:sz="4" w:space="0" w:color="auto"/>
              <w:right w:val="single" w:sz="4" w:space="0" w:color="auto"/>
            </w:tcBorders>
            <w:hideMark/>
          </w:tcPr>
          <w:p w:rsidR="00071226" w:rsidRPr="005B526E" w:rsidRDefault="00071226" w:rsidP="006C09C0">
            <w:pPr>
              <w:pStyle w:val="Tabletext"/>
              <w:jc w:val="center"/>
              <w:rPr>
                <w:b/>
                <w:bCs/>
              </w:rPr>
            </w:pPr>
            <w:r w:rsidRPr="005B526E">
              <w:rPr>
                <w:b/>
                <w:bCs/>
              </w:rPr>
              <w:t>Technical characteristic</w:t>
            </w:r>
          </w:p>
        </w:tc>
        <w:tc>
          <w:tcPr>
            <w:tcW w:w="2667" w:type="pct"/>
            <w:tcBorders>
              <w:top w:val="single" w:sz="4" w:space="0" w:color="auto"/>
              <w:left w:val="single" w:sz="4" w:space="0" w:color="auto"/>
              <w:bottom w:val="single" w:sz="4" w:space="0" w:color="auto"/>
              <w:right w:val="single" w:sz="4" w:space="0" w:color="auto"/>
            </w:tcBorders>
            <w:hideMark/>
          </w:tcPr>
          <w:p w:rsidR="00071226" w:rsidRPr="005B526E" w:rsidRDefault="00071226" w:rsidP="006C09C0">
            <w:pPr>
              <w:pStyle w:val="Tabletext"/>
              <w:jc w:val="center"/>
              <w:rPr>
                <w:b/>
                <w:bCs/>
              </w:rPr>
            </w:pPr>
            <w:r w:rsidRPr="005B526E">
              <w:rPr>
                <w:b/>
                <w:bCs/>
              </w:rPr>
              <w:t>Value</w:t>
            </w:r>
          </w:p>
        </w:tc>
      </w:tr>
      <w:tr w:rsidR="00071226" w:rsidTr="00BA78CB">
        <w:trPr>
          <w:jc w:val="center"/>
        </w:trPr>
        <w:tc>
          <w:tcPr>
            <w:tcW w:w="2333" w:type="pct"/>
            <w:tcBorders>
              <w:top w:val="single" w:sz="4" w:space="0" w:color="auto"/>
              <w:left w:val="single" w:sz="4" w:space="0" w:color="auto"/>
              <w:bottom w:val="single" w:sz="4" w:space="0" w:color="auto"/>
              <w:right w:val="single" w:sz="4" w:space="0" w:color="auto"/>
            </w:tcBorders>
            <w:hideMark/>
          </w:tcPr>
          <w:p w:rsidR="00071226" w:rsidRPr="008839C1" w:rsidRDefault="00071226" w:rsidP="00BA78CB">
            <w:pPr>
              <w:pStyle w:val="Tabletext"/>
              <w:keepLines/>
              <w:tabs>
                <w:tab w:val="left" w:leader="dot" w:pos="7938"/>
                <w:tab w:val="center" w:pos="9526"/>
              </w:tabs>
              <w:ind w:left="567" w:hanging="567"/>
              <w:rPr>
                <w:lang w:val="en-US" w:eastAsia="fr-FR"/>
              </w:rPr>
            </w:pPr>
            <w:r w:rsidRPr="008755CA">
              <w:rPr>
                <w:lang w:val="en-US"/>
              </w:rPr>
              <w:t>Net Aggregate Power per UE city zone</w:t>
            </w:r>
          </w:p>
        </w:tc>
        <w:tc>
          <w:tcPr>
            <w:tcW w:w="2667" w:type="pct"/>
            <w:tcBorders>
              <w:top w:val="single" w:sz="4" w:space="0" w:color="auto"/>
              <w:left w:val="single" w:sz="4" w:space="0" w:color="auto"/>
              <w:bottom w:val="single" w:sz="4" w:space="0" w:color="auto"/>
              <w:right w:val="single" w:sz="4" w:space="0" w:color="auto"/>
            </w:tcBorders>
            <w:hideMark/>
          </w:tcPr>
          <w:p w:rsidR="00071226" w:rsidRPr="008755CA" w:rsidRDefault="00071226" w:rsidP="006C09C0">
            <w:pPr>
              <w:pStyle w:val="Tabletext"/>
              <w:keepLines/>
              <w:tabs>
                <w:tab w:val="left" w:leader="dot" w:pos="7938"/>
                <w:tab w:val="center" w:pos="9526"/>
              </w:tabs>
              <w:ind w:left="567" w:hanging="567"/>
              <w:rPr>
                <w:lang w:eastAsia="fr-FR"/>
              </w:rPr>
            </w:pPr>
            <w:r w:rsidRPr="008755CA">
              <w:rPr>
                <w:lang w:val="fr-CH"/>
              </w:rPr>
              <w:t xml:space="preserve">Urban Zone : 39.96 </w:t>
            </w:r>
            <w:r>
              <w:rPr>
                <w:lang w:val="fr-CH"/>
              </w:rPr>
              <w:t>dB</w:t>
            </w:r>
            <w:r w:rsidRPr="008755CA">
              <w:rPr>
                <w:lang w:val="fr-CH"/>
              </w:rPr>
              <w:t>m</w:t>
            </w:r>
          </w:p>
          <w:p w:rsidR="00071226" w:rsidRPr="008755CA" w:rsidRDefault="00071226" w:rsidP="006C09C0">
            <w:pPr>
              <w:pStyle w:val="Tabletext"/>
              <w:rPr>
                <w:lang w:eastAsia="fr-FR"/>
              </w:rPr>
            </w:pPr>
            <w:r w:rsidRPr="008755CA">
              <w:rPr>
                <w:lang w:val="fr-CH"/>
              </w:rPr>
              <w:t xml:space="preserve">Suburban Zone : 51.48 </w:t>
            </w:r>
            <w:r>
              <w:rPr>
                <w:lang w:val="fr-CH"/>
              </w:rPr>
              <w:t>dB</w:t>
            </w:r>
            <w:r w:rsidRPr="008755CA">
              <w:rPr>
                <w:lang w:val="fr-CH"/>
              </w:rPr>
              <w:t>m</w:t>
            </w:r>
          </w:p>
          <w:p w:rsidR="00071226" w:rsidRPr="004D09C9" w:rsidRDefault="00071226" w:rsidP="006C09C0">
            <w:pPr>
              <w:pStyle w:val="Tabletext"/>
            </w:pPr>
            <w:r w:rsidRPr="008755CA">
              <w:t xml:space="preserve">Rural Zone : 48.71 </w:t>
            </w:r>
            <w:r>
              <w:t>dB</w:t>
            </w:r>
            <w:r w:rsidRPr="008755CA">
              <w:t>m</w:t>
            </w:r>
          </w:p>
        </w:tc>
      </w:tr>
      <w:tr w:rsidR="00071226" w:rsidTr="00BA78CB">
        <w:trPr>
          <w:jc w:val="center"/>
        </w:trPr>
        <w:tc>
          <w:tcPr>
            <w:tcW w:w="2333" w:type="pct"/>
            <w:tcBorders>
              <w:top w:val="single" w:sz="4" w:space="0" w:color="auto"/>
              <w:left w:val="single" w:sz="4" w:space="0" w:color="auto"/>
              <w:bottom w:val="single" w:sz="4" w:space="0" w:color="auto"/>
              <w:right w:val="single" w:sz="4" w:space="0" w:color="auto"/>
            </w:tcBorders>
            <w:hideMark/>
          </w:tcPr>
          <w:p w:rsidR="00071226" w:rsidRDefault="00071226" w:rsidP="006C09C0">
            <w:pPr>
              <w:pStyle w:val="Tabletext"/>
            </w:pPr>
            <w:r>
              <w:t>Antenna Pattern</w:t>
            </w:r>
          </w:p>
        </w:tc>
        <w:tc>
          <w:tcPr>
            <w:tcW w:w="2667" w:type="pct"/>
            <w:tcBorders>
              <w:top w:val="single" w:sz="4" w:space="0" w:color="auto"/>
              <w:left w:val="single" w:sz="4" w:space="0" w:color="auto"/>
              <w:bottom w:val="single" w:sz="4" w:space="0" w:color="auto"/>
              <w:right w:val="single" w:sz="4" w:space="0" w:color="auto"/>
            </w:tcBorders>
            <w:hideMark/>
          </w:tcPr>
          <w:p w:rsidR="00071226" w:rsidRDefault="00071226" w:rsidP="006C09C0">
            <w:pPr>
              <w:pStyle w:val="Tabletext"/>
            </w:pPr>
            <w:r>
              <w:t>Omni Directional</w:t>
            </w:r>
          </w:p>
        </w:tc>
      </w:tr>
      <w:tr w:rsidR="00071226" w:rsidRPr="00F90CAF" w:rsidTr="00BA78CB">
        <w:trPr>
          <w:jc w:val="center"/>
        </w:trPr>
        <w:tc>
          <w:tcPr>
            <w:tcW w:w="2333" w:type="pct"/>
            <w:tcBorders>
              <w:top w:val="single" w:sz="4" w:space="0" w:color="auto"/>
              <w:left w:val="single" w:sz="4" w:space="0" w:color="auto"/>
              <w:bottom w:val="single" w:sz="4" w:space="0" w:color="auto"/>
              <w:right w:val="single" w:sz="4" w:space="0" w:color="auto"/>
            </w:tcBorders>
            <w:hideMark/>
          </w:tcPr>
          <w:p w:rsidR="00071226" w:rsidRDefault="00071226" w:rsidP="006C09C0">
            <w:pPr>
              <w:pStyle w:val="Tabletext"/>
            </w:pPr>
            <w:r>
              <w:t>Cellular Deployment Scenario</w:t>
            </w:r>
          </w:p>
        </w:tc>
        <w:tc>
          <w:tcPr>
            <w:tcW w:w="2667" w:type="pct"/>
            <w:tcBorders>
              <w:top w:val="single" w:sz="4" w:space="0" w:color="auto"/>
              <w:left w:val="single" w:sz="4" w:space="0" w:color="auto"/>
              <w:bottom w:val="single" w:sz="4" w:space="0" w:color="auto"/>
              <w:right w:val="single" w:sz="4" w:space="0" w:color="auto"/>
            </w:tcBorders>
            <w:hideMark/>
          </w:tcPr>
          <w:p w:rsidR="00071226" w:rsidRPr="008839C1" w:rsidRDefault="00071226" w:rsidP="006C09C0">
            <w:pPr>
              <w:pStyle w:val="Tabletext"/>
              <w:rPr>
                <w:lang w:val="en-US"/>
              </w:rPr>
            </w:pPr>
            <w:r w:rsidRPr="00A90780">
              <w:rPr>
                <w:lang w:val="en-US"/>
              </w:rPr>
              <w:t xml:space="preserve">Same as LTE </w:t>
            </w:r>
            <w:r>
              <w:rPr>
                <w:lang w:val="en-US"/>
              </w:rPr>
              <w:t>base-station</w:t>
            </w:r>
            <w:r w:rsidRPr="00A90780">
              <w:rPr>
                <w:lang w:val="en-US"/>
              </w:rPr>
              <w:t xml:space="preserve">s presented in </w:t>
            </w:r>
            <w:r w:rsidR="00BA78CB" w:rsidRPr="00BA78CB">
              <w:rPr>
                <w:lang w:val="en-US"/>
              </w:rPr>
              <w:t>§</w:t>
            </w:r>
            <w:r w:rsidRPr="00A90780">
              <w:rPr>
                <w:lang w:val="en-US"/>
              </w:rPr>
              <w:t xml:space="preserve"> 3.2.1</w:t>
            </w:r>
          </w:p>
        </w:tc>
      </w:tr>
    </w:tbl>
    <w:p w:rsidR="0049745D" w:rsidRDefault="0049745D" w:rsidP="0049745D">
      <w:pPr>
        <w:pStyle w:val="Tablefin"/>
      </w:pPr>
    </w:p>
    <w:p w:rsidR="00071226" w:rsidRPr="008839C1" w:rsidRDefault="00071226" w:rsidP="00071226">
      <w:pPr>
        <w:pStyle w:val="Heading1"/>
        <w:rPr>
          <w:lang w:val="en-US"/>
        </w:rPr>
      </w:pPr>
      <w:r w:rsidRPr="008839C1">
        <w:rPr>
          <w:lang w:val="en-US"/>
        </w:rPr>
        <w:t>4</w:t>
      </w:r>
      <w:r w:rsidRPr="008839C1">
        <w:rPr>
          <w:lang w:val="en-US"/>
        </w:rPr>
        <w:tab/>
        <w:t>Analysis</w:t>
      </w:r>
    </w:p>
    <w:p w:rsidR="00071226" w:rsidRPr="008839C1" w:rsidRDefault="00071226" w:rsidP="0049745D">
      <w:pPr>
        <w:rPr>
          <w:lang w:val="en-US"/>
        </w:rPr>
      </w:pPr>
      <w:r w:rsidRPr="008839C1">
        <w:rPr>
          <w:lang w:val="en-US"/>
        </w:rPr>
        <w:t>This section presents the results of the sharing feasibility assessment conducted between the TDRSS return links and commercial broadband LTE operations in the frequency bands 2 025-2 110 MHz and 2 200-2 290 MHz.</w:t>
      </w:r>
      <w:r w:rsidR="00BF1B1C">
        <w:rPr>
          <w:lang w:val="en-US"/>
        </w:rPr>
        <w:t xml:space="preserve"> </w:t>
      </w:r>
      <w:r w:rsidRPr="008839C1">
        <w:rPr>
          <w:lang w:val="en-US"/>
        </w:rPr>
        <w:t>For these analyses of sharing feasibility, software was used to model the dynamic interference situations.</w:t>
      </w:r>
      <w:r w:rsidR="00BF1B1C">
        <w:rPr>
          <w:lang w:val="en-US"/>
        </w:rPr>
        <w:t xml:space="preserve"> </w:t>
      </w:r>
      <w:r w:rsidRPr="008839C1">
        <w:rPr>
          <w:lang w:val="en-US"/>
        </w:rPr>
        <w:t xml:space="preserve">The TDRS 41° West location was selected as a representative DRS location operating with return links of the ISS. Interference from the LTE system was simulated using a cellular distribution around selected worldwide cities using technical parameters as discussed in </w:t>
      </w:r>
      <w:r w:rsidR="0049745D">
        <w:rPr>
          <w:lang w:val="en-US"/>
        </w:rPr>
        <w:t>§ </w:t>
      </w:r>
      <w:r w:rsidRPr="008839C1">
        <w:rPr>
          <w:lang w:val="en-US"/>
        </w:rPr>
        <w:t>3.2.</w:t>
      </w:r>
      <w:r w:rsidR="00BF1B1C">
        <w:rPr>
          <w:lang w:val="en-US"/>
        </w:rPr>
        <w:t xml:space="preserve"> </w:t>
      </w:r>
      <w:r w:rsidRPr="008839C1">
        <w:rPr>
          <w:lang w:val="en-US"/>
        </w:rPr>
        <w:t xml:space="preserve">The analyses considered potential interference from base-station to UE emissions and UE to base-station emissions. </w:t>
      </w:r>
    </w:p>
    <w:p w:rsidR="00071226" w:rsidRPr="008839C1" w:rsidRDefault="00071226" w:rsidP="00C309C4">
      <w:pPr>
        <w:rPr>
          <w:lang w:val="en-US"/>
        </w:rPr>
      </w:pPr>
      <w:r w:rsidRPr="008839C1">
        <w:rPr>
          <w:lang w:val="en-US"/>
        </w:rPr>
        <w:t>In the particular case of interference analysis to the TDRS forward links in the frequency band 2 025-2 110 MHz, at each time sample, which was selected randomly, potential interference into the TDRS user is calculated from the aggregate of LTE interferers.</w:t>
      </w:r>
      <w:r w:rsidR="00BF1B1C">
        <w:rPr>
          <w:lang w:val="en-US"/>
        </w:rPr>
        <w:t xml:space="preserve"> </w:t>
      </w:r>
      <w:r w:rsidRPr="008839C1">
        <w:rPr>
          <w:lang w:val="en-US"/>
        </w:rPr>
        <w:t>In the particular case of interference analysis to the TDRS return links in the frequency band 2 200-2 290 MHz, potential interference into the TDRS was calculated from the aggregate of LTE interferers every 10 seconds as the TDRS receiver tracked the ISS for a period long enough to obtain stable results.</w:t>
      </w:r>
      <w:r w:rsidR="00BF1B1C">
        <w:rPr>
          <w:lang w:val="en-US"/>
        </w:rPr>
        <w:t xml:space="preserve"> </w:t>
      </w:r>
      <w:r w:rsidRPr="008839C1">
        <w:rPr>
          <w:lang w:val="en-US"/>
        </w:rPr>
        <w:t>This varied from 14 to 30 days.</w:t>
      </w:r>
    </w:p>
    <w:p w:rsidR="00071226" w:rsidRPr="008839C1" w:rsidRDefault="00071226" w:rsidP="00D25D4F">
      <w:pPr>
        <w:rPr>
          <w:lang w:val="en-US"/>
        </w:rPr>
      </w:pPr>
      <w:r w:rsidRPr="008839C1">
        <w:rPr>
          <w:lang w:val="en-US"/>
        </w:rPr>
        <w:t>For the purposes of reduced computational complexity, the aggregate power from each base-station distribution zone (i.e. urban, suburban, rural) was assumed at the city centre. The power for all UE transmissions was aggregated at the centre of each city in the simulation.</w:t>
      </w:r>
      <w:r w:rsidR="00BF1B1C">
        <w:rPr>
          <w:lang w:val="en-US"/>
        </w:rPr>
        <w:t xml:space="preserve"> </w:t>
      </w:r>
      <w:r w:rsidRPr="008839C1">
        <w:rPr>
          <w:lang w:val="en-US"/>
        </w:rPr>
        <w:t>The method for calculating the aggregate power per city for LTE UEs is presented in A</w:t>
      </w:r>
      <w:r w:rsidR="00D25D4F">
        <w:rPr>
          <w:lang w:val="en-US"/>
        </w:rPr>
        <w:t>nnex</w:t>
      </w:r>
      <w:r w:rsidRPr="008839C1">
        <w:rPr>
          <w:lang w:val="en-US"/>
        </w:rPr>
        <w:t xml:space="preserve"> A.</w:t>
      </w:r>
      <w:r w:rsidR="00BF1B1C">
        <w:rPr>
          <w:lang w:val="en-US"/>
        </w:rPr>
        <w:t xml:space="preserve"> </w:t>
      </w:r>
      <w:r w:rsidRPr="008839C1">
        <w:rPr>
          <w:lang w:val="en-US"/>
        </w:rPr>
        <w:t>The method for calculating aggregate LTE base-station power for cities is presented in A</w:t>
      </w:r>
      <w:r w:rsidR="00D25D4F">
        <w:rPr>
          <w:lang w:val="en-US"/>
        </w:rPr>
        <w:t>nnex</w:t>
      </w:r>
      <w:r w:rsidRPr="008839C1">
        <w:rPr>
          <w:lang w:val="en-US"/>
        </w:rPr>
        <w:t xml:space="preserve"> B.</w:t>
      </w:r>
    </w:p>
    <w:p w:rsidR="00071226" w:rsidRPr="008839C1" w:rsidRDefault="00071226" w:rsidP="00071226">
      <w:pPr>
        <w:rPr>
          <w:lang w:val="en-US"/>
        </w:rPr>
      </w:pPr>
      <w:r w:rsidRPr="008839C1">
        <w:rPr>
          <w:lang w:val="en-US"/>
        </w:rPr>
        <w:t>Figure 4 presents an overview of TDRSS operations and the potential for interference as studied in the analysis for the frequency band 2 025-2 110 MHz.</w:t>
      </w:r>
      <w:r w:rsidR="00BF1B1C">
        <w:rPr>
          <w:lang w:val="en-US"/>
        </w:rPr>
        <w:t xml:space="preserve"> </w:t>
      </w:r>
      <w:r w:rsidRPr="008839C1">
        <w:rPr>
          <w:lang w:val="en-US"/>
        </w:rPr>
        <w:t xml:space="preserve">The analysis presented in this document on these frequency bands considers interference paths to the TDRSS forward links as shown in </w:t>
      </w:r>
      <w:r w:rsidR="005D2F78" w:rsidRPr="005D2F78">
        <w:rPr>
          <w:lang w:val="en-US"/>
        </w:rPr>
        <w:t>Fig.</w:t>
      </w:r>
      <w:r w:rsidRPr="008839C1">
        <w:rPr>
          <w:lang w:val="en-US"/>
        </w:rPr>
        <w:t xml:space="preserve"> 4.</w:t>
      </w:r>
    </w:p>
    <w:p w:rsidR="00071226" w:rsidRPr="008839C1" w:rsidRDefault="00071226" w:rsidP="00071226">
      <w:pPr>
        <w:rPr>
          <w:lang w:val="en-US"/>
        </w:rPr>
      </w:pPr>
      <w:r w:rsidRPr="008839C1">
        <w:rPr>
          <w:lang w:val="en-US"/>
        </w:rPr>
        <w:t>Figure 5 presents an overview of TDRSS operations and the potential for interference as studied in the analyses for the frequency band 2 200-2 290 MHz.</w:t>
      </w:r>
      <w:r w:rsidR="00BF1B1C">
        <w:rPr>
          <w:lang w:val="en-US"/>
        </w:rPr>
        <w:t xml:space="preserve"> </w:t>
      </w:r>
      <w:r w:rsidR="00A9529A">
        <w:rPr>
          <w:lang w:val="en-US"/>
        </w:rPr>
        <w:t>As can be seen in the F</w:t>
      </w:r>
      <w:r w:rsidRPr="008839C1">
        <w:rPr>
          <w:lang w:val="en-US"/>
        </w:rPr>
        <w:t xml:space="preserve">igure, the analyses presented in this document for these frequency bands consider interference paths to the TDRSS return links while receiving a transmission from the ISS. </w:t>
      </w:r>
    </w:p>
    <w:p w:rsidR="00071226" w:rsidRPr="008839C1" w:rsidRDefault="00071226" w:rsidP="00071226">
      <w:pPr>
        <w:rPr>
          <w:lang w:val="en-US"/>
        </w:rPr>
      </w:pPr>
      <w:r w:rsidRPr="008839C1">
        <w:rPr>
          <w:lang w:val="en-US"/>
        </w:rPr>
        <w:t>Figure 6 presents an overview of the TDRS 41°W receiver antenna main beam coverage while tracking the ISS over a 24 hour period. As can be seen, the TDRS beam is wide enough to cover significant portions of continents and multiple LTE deployment cities over any instant in time.</w:t>
      </w:r>
    </w:p>
    <w:p w:rsidR="00071226" w:rsidRPr="008839C1" w:rsidRDefault="00071226" w:rsidP="005D2F78">
      <w:pPr>
        <w:rPr>
          <w:lang w:val="en-US"/>
        </w:rPr>
      </w:pPr>
      <w:r w:rsidRPr="008839C1">
        <w:rPr>
          <w:lang w:val="en-US"/>
        </w:rPr>
        <w:t xml:space="preserve">Section 4.1.1 presents results of potential interference to TDRSS return links from LTE base-stations in the frequency band 2 025-2 110 MHz and </w:t>
      </w:r>
      <w:r w:rsidR="005D2F78">
        <w:rPr>
          <w:lang w:val="en-US"/>
        </w:rPr>
        <w:t>§</w:t>
      </w:r>
      <w:r w:rsidRPr="008839C1">
        <w:rPr>
          <w:lang w:val="en-US"/>
        </w:rPr>
        <w:t xml:space="preserve"> 4.1.2 presents the results of the same analyses in the frequency band 2 200-2 290 MHz.</w:t>
      </w:r>
      <w:r w:rsidR="00BF1B1C">
        <w:rPr>
          <w:lang w:val="en-US"/>
        </w:rPr>
        <w:t xml:space="preserve"> </w:t>
      </w:r>
      <w:r w:rsidR="005D2F78" w:rsidRPr="005D2F78">
        <w:rPr>
          <w:lang w:val="en-US"/>
        </w:rPr>
        <w:t>§</w:t>
      </w:r>
      <w:r w:rsidR="005D2F78">
        <w:rPr>
          <w:lang w:val="en-US"/>
        </w:rPr>
        <w:t> </w:t>
      </w:r>
      <w:r w:rsidRPr="008839C1">
        <w:rPr>
          <w:lang w:val="en-US"/>
        </w:rPr>
        <w:t xml:space="preserve">4.2.1 presents results of potential interference to TDRSS return links from LTE user terminals in the frequency band 2 025-2 110 MHz and </w:t>
      </w:r>
      <w:r w:rsidR="005D2F78" w:rsidRPr="005D2F78">
        <w:rPr>
          <w:lang w:val="en-US"/>
        </w:rPr>
        <w:t>§</w:t>
      </w:r>
      <w:r w:rsidRPr="008839C1">
        <w:rPr>
          <w:lang w:val="en-US"/>
        </w:rPr>
        <w:t xml:space="preserve"> 4.2.2 presents the results of the same analyses in the frequency band 2 200-2 290 MHz.</w:t>
      </w:r>
    </w:p>
    <w:p w:rsidR="00071226" w:rsidRPr="008839C1" w:rsidRDefault="00071226" w:rsidP="00071226">
      <w:pPr>
        <w:pStyle w:val="FigureNo"/>
        <w:rPr>
          <w:lang w:val="en-US"/>
        </w:rPr>
      </w:pPr>
      <w:bookmarkStart w:id="13" w:name="_Ref353206402"/>
      <w:r w:rsidRPr="008839C1">
        <w:rPr>
          <w:lang w:val="en-US"/>
        </w:rPr>
        <w:lastRenderedPageBreak/>
        <w:t xml:space="preserve">Figure </w:t>
      </w:r>
      <w:bookmarkEnd w:id="13"/>
      <w:r w:rsidRPr="008839C1">
        <w:rPr>
          <w:lang w:val="en-US"/>
        </w:rPr>
        <w:t>4</w:t>
      </w:r>
    </w:p>
    <w:p w:rsidR="00071226" w:rsidRPr="008839C1" w:rsidRDefault="00071226" w:rsidP="005D2F78">
      <w:pPr>
        <w:pStyle w:val="Figuretitle"/>
        <w:spacing w:after="240"/>
        <w:rPr>
          <w:lang w:val="en-US"/>
        </w:rPr>
      </w:pPr>
      <w:r w:rsidRPr="008839C1">
        <w:rPr>
          <w:lang w:val="en-US"/>
        </w:rPr>
        <w:t>Overview of interference analysis into TDRS system</w:t>
      </w:r>
      <w:r w:rsidR="005D2F78">
        <w:rPr>
          <w:lang w:val="en-US"/>
        </w:rPr>
        <w:br/>
      </w:r>
      <w:r w:rsidRPr="008839C1">
        <w:rPr>
          <w:lang w:val="en-US"/>
        </w:rPr>
        <w:t>in the 2 025-2 110 MHz frequency band</w:t>
      </w:r>
    </w:p>
    <w:p w:rsidR="00071226" w:rsidRDefault="00071226" w:rsidP="00071226">
      <w:pPr>
        <w:overflowPunct/>
        <w:autoSpaceDE/>
        <w:adjustRightInd/>
        <w:spacing w:before="0" w:after="200" w:line="276" w:lineRule="auto"/>
        <w:ind w:left="720"/>
        <w:rPr>
          <w:bCs/>
        </w:rPr>
      </w:pPr>
      <w:r>
        <w:rPr>
          <w:noProof/>
          <w:lang w:val="en-US" w:eastAsia="zh-CN"/>
        </w:rPr>
        <w:drawing>
          <wp:inline distT="0" distB="0" distL="0" distR="0" wp14:anchorId="6AE8B6B8" wp14:editId="7CB6B2B1">
            <wp:extent cx="5648325" cy="363855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l="16931" t="19360" r="48859" b="13622"/>
                    <a:stretch>
                      <a:fillRect/>
                    </a:stretch>
                  </pic:blipFill>
                  <pic:spPr bwMode="auto">
                    <a:xfrm>
                      <a:off x="0" y="0"/>
                      <a:ext cx="5648325" cy="3638550"/>
                    </a:xfrm>
                    <a:prstGeom prst="rect">
                      <a:avLst/>
                    </a:prstGeom>
                    <a:noFill/>
                    <a:ln w="12700" cmpd="sng">
                      <a:solidFill>
                        <a:srgbClr val="000000"/>
                      </a:solidFill>
                      <a:miter lim="800000"/>
                      <a:headEnd/>
                      <a:tailEnd/>
                    </a:ln>
                    <a:effectLst/>
                  </pic:spPr>
                </pic:pic>
              </a:graphicData>
            </a:graphic>
          </wp:inline>
        </w:drawing>
      </w:r>
    </w:p>
    <w:p w:rsidR="00071226" w:rsidRPr="008839C1" w:rsidRDefault="00071226" w:rsidP="00071226">
      <w:pPr>
        <w:pStyle w:val="FigureNo"/>
        <w:rPr>
          <w:lang w:val="en-US"/>
        </w:rPr>
      </w:pPr>
      <w:r w:rsidRPr="008839C1">
        <w:rPr>
          <w:lang w:val="en-US"/>
        </w:rPr>
        <w:t>Figure 5</w:t>
      </w:r>
    </w:p>
    <w:p w:rsidR="00071226" w:rsidRPr="008839C1" w:rsidRDefault="00071226" w:rsidP="00071226">
      <w:pPr>
        <w:pStyle w:val="Figuretitle"/>
        <w:spacing w:after="240"/>
        <w:rPr>
          <w:lang w:val="en-US"/>
        </w:rPr>
      </w:pPr>
      <w:r w:rsidRPr="008839C1">
        <w:rPr>
          <w:lang w:val="en-US"/>
        </w:rPr>
        <w:t xml:space="preserve">Overview of sharing analyses conducted into TDRS operations in the 2 200-2 290 MHz </w:t>
      </w:r>
      <w:r w:rsidRPr="008839C1">
        <w:rPr>
          <w:lang w:val="en-US"/>
        </w:rPr>
        <w:br/>
        <w:t>frequency band and interference paths considered</w:t>
      </w:r>
    </w:p>
    <w:p w:rsidR="00071226" w:rsidRDefault="00071226" w:rsidP="00071226">
      <w:r>
        <w:rPr>
          <w:noProof/>
          <w:lang w:val="en-US" w:eastAsia="zh-CN"/>
        </w:rPr>
        <w:drawing>
          <wp:inline distT="0" distB="0" distL="0" distR="0" wp14:anchorId="07F22844" wp14:editId="6FFF64D5">
            <wp:extent cx="5734050" cy="3448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3448050"/>
                    </a:xfrm>
                    <a:prstGeom prst="rect">
                      <a:avLst/>
                    </a:prstGeom>
                    <a:noFill/>
                    <a:ln>
                      <a:noFill/>
                    </a:ln>
                  </pic:spPr>
                </pic:pic>
              </a:graphicData>
            </a:graphic>
          </wp:inline>
        </w:drawing>
      </w:r>
    </w:p>
    <w:p w:rsidR="00071226" w:rsidRPr="008839C1" w:rsidRDefault="00071226" w:rsidP="00071226">
      <w:pPr>
        <w:pStyle w:val="FigureNo"/>
        <w:rPr>
          <w:bCs/>
          <w:lang w:val="en-US"/>
        </w:rPr>
      </w:pPr>
      <w:r w:rsidRPr="008839C1">
        <w:rPr>
          <w:lang w:val="en-US"/>
        </w:rPr>
        <w:lastRenderedPageBreak/>
        <w:t>Figure 6</w:t>
      </w:r>
    </w:p>
    <w:p w:rsidR="00071226" w:rsidRPr="008839C1" w:rsidRDefault="00071226" w:rsidP="00071226">
      <w:pPr>
        <w:pStyle w:val="Figuretitle"/>
        <w:spacing w:after="240"/>
        <w:rPr>
          <w:lang w:val="en-US"/>
        </w:rPr>
      </w:pPr>
      <w:r w:rsidRPr="008839C1">
        <w:rPr>
          <w:lang w:val="en-US"/>
        </w:rPr>
        <w:t>Overview of TDRS 41-W beam coverage over a 24 hour period while tracking the ISS</w:t>
      </w:r>
    </w:p>
    <w:tbl>
      <w:tblPr>
        <w:tblW w:w="0" w:type="auto"/>
        <w:tblLook w:val="04A0" w:firstRow="1" w:lastRow="0" w:firstColumn="1" w:lastColumn="0" w:noHBand="0" w:noVBand="1"/>
      </w:tblPr>
      <w:tblGrid>
        <w:gridCol w:w="3213"/>
        <w:gridCol w:w="3213"/>
        <w:gridCol w:w="3213"/>
      </w:tblGrid>
      <w:tr w:rsidR="00071226" w:rsidTr="006C09C0">
        <w:tc>
          <w:tcPr>
            <w:tcW w:w="3285" w:type="dxa"/>
            <w:hideMark/>
          </w:tcPr>
          <w:p w:rsidR="00071226" w:rsidRDefault="00071226" w:rsidP="006C09C0">
            <w:r>
              <w:rPr>
                <w:noProof/>
                <w:lang w:val="en-US" w:eastAsia="zh-CN"/>
              </w:rPr>
              <w:drawing>
                <wp:inline distT="0" distB="0" distL="0" distR="0" wp14:anchorId="33CC3F0F" wp14:editId="3D9BE9B5">
                  <wp:extent cx="2133600" cy="1600200"/>
                  <wp:effectExtent l="0" t="0" r="0" b="0"/>
                  <wp:docPr id="45" name="Picture 45" descr="visualysemovieredbigge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isualysemovieredbiggerU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c>
          <w:tcPr>
            <w:tcW w:w="3285" w:type="dxa"/>
            <w:hideMark/>
          </w:tcPr>
          <w:p w:rsidR="00071226" w:rsidRDefault="00071226" w:rsidP="006C09C0">
            <w:r>
              <w:rPr>
                <w:noProof/>
                <w:lang w:val="en-US" w:eastAsia="zh-CN"/>
              </w:rPr>
              <w:drawing>
                <wp:inline distT="0" distB="0" distL="0" distR="0" wp14:anchorId="216194A1" wp14:editId="378FB017">
                  <wp:extent cx="2133600" cy="1600200"/>
                  <wp:effectExtent l="0" t="0" r="0" b="0"/>
                  <wp:docPr id="46" name="Picture 46" descr="north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rthameric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c>
          <w:tcPr>
            <w:tcW w:w="3285" w:type="dxa"/>
            <w:hideMark/>
          </w:tcPr>
          <w:p w:rsidR="00071226" w:rsidRDefault="00071226" w:rsidP="006C09C0">
            <w:r>
              <w:rPr>
                <w:noProof/>
                <w:lang w:val="en-US" w:eastAsia="zh-CN"/>
              </w:rPr>
              <w:drawing>
                <wp:inline distT="0" distB="0" distL="0" distR="0" wp14:anchorId="1E6346C3" wp14:editId="619E6999">
                  <wp:extent cx="2133600" cy="1600200"/>
                  <wp:effectExtent l="0" t="0" r="0" b="0"/>
                  <wp:docPr id="47" name="Picture 47" descr="visualysemovieredbigger_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isualysemovieredbigger_europ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r>
      <w:tr w:rsidR="00071226" w:rsidTr="006C09C0">
        <w:tc>
          <w:tcPr>
            <w:tcW w:w="3285" w:type="dxa"/>
            <w:hideMark/>
          </w:tcPr>
          <w:p w:rsidR="00071226" w:rsidRDefault="00071226" w:rsidP="006C09C0">
            <w:r>
              <w:rPr>
                <w:noProof/>
                <w:lang w:val="en-US" w:eastAsia="zh-CN"/>
              </w:rPr>
              <w:drawing>
                <wp:inline distT="0" distB="0" distL="0" distR="0" wp14:anchorId="15460CB8" wp14:editId="3B62A52B">
                  <wp:extent cx="2133600" cy="1600200"/>
                  <wp:effectExtent l="0" t="0" r="0" b="0"/>
                  <wp:docPr id="48" name="Picture 48" descr="visualysemovieredbiggereurope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isualysemovieredbiggereuropebi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c>
          <w:tcPr>
            <w:tcW w:w="3285" w:type="dxa"/>
            <w:hideMark/>
          </w:tcPr>
          <w:p w:rsidR="00071226" w:rsidRDefault="00071226" w:rsidP="006C09C0">
            <w:r>
              <w:rPr>
                <w:noProof/>
                <w:lang w:val="en-US" w:eastAsia="zh-CN"/>
              </w:rPr>
              <w:drawing>
                <wp:inline distT="0" distB="0" distL="0" distR="0" wp14:anchorId="5267308C" wp14:editId="5BBE411A">
                  <wp:extent cx="2133600" cy="1600200"/>
                  <wp:effectExtent l="0" t="0" r="0" b="0"/>
                  <wp:docPr id="53" name="Picture 53" descr="visualysemovieredbigger_southamer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isualysemovieredbigger_southamerica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c>
          <w:tcPr>
            <w:tcW w:w="3285" w:type="dxa"/>
            <w:hideMark/>
          </w:tcPr>
          <w:p w:rsidR="00071226" w:rsidRDefault="00071226" w:rsidP="006C09C0">
            <w:r>
              <w:rPr>
                <w:noProof/>
                <w:lang w:val="en-US" w:eastAsia="zh-CN"/>
              </w:rPr>
              <w:drawing>
                <wp:inline distT="0" distB="0" distL="0" distR="0" wp14:anchorId="2CD45EE9" wp14:editId="6A49C9AA">
                  <wp:extent cx="2133600" cy="1600200"/>
                  <wp:effectExtent l="0" t="0" r="0" b="0"/>
                  <wp:docPr id="54" name="Picture 54" descr="visualysemovieredbigger_southamer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isualysemovieredbigger_southamerica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r>
      <w:tr w:rsidR="00071226" w:rsidTr="006C09C0">
        <w:tc>
          <w:tcPr>
            <w:tcW w:w="3285" w:type="dxa"/>
            <w:hideMark/>
          </w:tcPr>
          <w:p w:rsidR="00071226" w:rsidRDefault="00071226" w:rsidP="006C09C0">
            <w:r>
              <w:rPr>
                <w:noProof/>
                <w:lang w:val="en-US" w:eastAsia="zh-CN"/>
              </w:rPr>
              <w:drawing>
                <wp:inline distT="0" distB="0" distL="0" distR="0" wp14:anchorId="2BCA615D" wp14:editId="0E060820">
                  <wp:extent cx="2133600" cy="1600200"/>
                  <wp:effectExtent l="0" t="0" r="0" b="0"/>
                  <wp:docPr id="64" name="Picture 64" descr="visualysemovieredbigger_southameri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sualysemovieredbigger_southamerica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c>
          <w:tcPr>
            <w:tcW w:w="3285" w:type="dxa"/>
            <w:hideMark/>
          </w:tcPr>
          <w:p w:rsidR="00071226" w:rsidRDefault="00071226" w:rsidP="006C09C0">
            <w:r>
              <w:rPr>
                <w:noProof/>
                <w:lang w:val="en-US" w:eastAsia="zh-CN"/>
              </w:rPr>
              <w:drawing>
                <wp:inline distT="0" distB="0" distL="0" distR="0" wp14:anchorId="18727737" wp14:editId="7A54264F">
                  <wp:extent cx="2057400" cy="1543050"/>
                  <wp:effectExtent l="0" t="0" r="0" b="0"/>
                  <wp:docPr id="65" name="Picture 65" descr="visualysemovieredbigger_afri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isualysemovieredbigger_africa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tc>
        <w:tc>
          <w:tcPr>
            <w:tcW w:w="3285" w:type="dxa"/>
            <w:hideMark/>
          </w:tcPr>
          <w:p w:rsidR="00071226" w:rsidRDefault="00071226" w:rsidP="006C09C0">
            <w:r>
              <w:rPr>
                <w:noProof/>
                <w:lang w:val="en-US" w:eastAsia="zh-CN"/>
              </w:rPr>
              <w:drawing>
                <wp:inline distT="0" distB="0" distL="0" distR="0" wp14:anchorId="094EA0C9" wp14:editId="287AEAB4">
                  <wp:extent cx="2133600" cy="1600200"/>
                  <wp:effectExtent l="0" t="0" r="0" b="0"/>
                  <wp:docPr id="66" name="Picture 66" descr="visualysemovieredbigger_afri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isualysemovieredbigger_africa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r>
    </w:tbl>
    <w:p w:rsidR="005D2F78" w:rsidRDefault="005D2F78" w:rsidP="00C309C4">
      <w:pPr>
        <w:rPr>
          <w:lang w:val="en-US"/>
        </w:rPr>
      </w:pPr>
    </w:p>
    <w:p w:rsidR="00071226" w:rsidRPr="008839C1" w:rsidRDefault="00071226" w:rsidP="00D25D4F">
      <w:pPr>
        <w:rPr>
          <w:lang w:val="en-US"/>
        </w:rPr>
      </w:pPr>
      <w:r w:rsidRPr="008839C1">
        <w:rPr>
          <w:lang w:val="en-US"/>
        </w:rPr>
        <w:t>The LTE deployment model considered in these analyses assumed no base-stations more than 50 k</w:t>
      </w:r>
      <w:r w:rsidR="00BA78CB">
        <w:rPr>
          <w:lang w:val="en-US"/>
        </w:rPr>
        <w:t>m</w:t>
      </w:r>
      <w:r w:rsidRPr="008839C1">
        <w:rPr>
          <w:lang w:val="en-US"/>
        </w:rPr>
        <w:t xml:space="preserve"> from the centre of each city.</w:t>
      </w:r>
      <w:r w:rsidR="00BF1B1C">
        <w:rPr>
          <w:lang w:val="en-US"/>
        </w:rPr>
        <w:t xml:space="preserve"> </w:t>
      </w:r>
      <w:r w:rsidRPr="008839C1">
        <w:rPr>
          <w:lang w:val="en-US"/>
        </w:rPr>
        <w:t>In large metropolitan areas, it is likely that there will be deployments outside of the 50</w:t>
      </w:r>
      <w:r w:rsidR="00BA78CB">
        <w:rPr>
          <w:lang w:val="en-US"/>
        </w:rPr>
        <w:t> </w:t>
      </w:r>
      <w:r w:rsidRPr="008839C1">
        <w:rPr>
          <w:lang w:val="en-US"/>
        </w:rPr>
        <w:t>k</w:t>
      </w:r>
      <w:r w:rsidR="00BA78CB">
        <w:rPr>
          <w:lang w:val="en-US"/>
        </w:rPr>
        <w:t>m</w:t>
      </w:r>
      <w:r w:rsidRPr="008839C1">
        <w:rPr>
          <w:lang w:val="en-US"/>
        </w:rPr>
        <w:t xml:space="preserve"> cut off considered in these analyses.</w:t>
      </w:r>
      <w:r w:rsidR="00BF1B1C">
        <w:rPr>
          <w:lang w:val="en-US"/>
        </w:rPr>
        <w:t xml:space="preserve"> </w:t>
      </w:r>
      <w:r w:rsidRPr="008839C1">
        <w:rPr>
          <w:lang w:val="en-US"/>
        </w:rPr>
        <w:t>The LTE base-stations in these analyses assumed a peak output power value of 40 W/10 MHz.</w:t>
      </w:r>
      <w:r w:rsidR="00BF1B1C">
        <w:rPr>
          <w:lang w:val="en-US"/>
        </w:rPr>
        <w:t xml:space="preserve"> </w:t>
      </w:r>
      <w:r w:rsidRPr="008839C1">
        <w:rPr>
          <w:lang w:val="en-US"/>
        </w:rPr>
        <w:t>However, the LTE base-station standards contain no power limits.</w:t>
      </w:r>
      <w:r w:rsidR="00BF1B1C">
        <w:rPr>
          <w:lang w:val="en-US"/>
        </w:rPr>
        <w:t xml:space="preserve"> </w:t>
      </w:r>
      <w:r w:rsidRPr="008839C1">
        <w:rPr>
          <w:lang w:val="en-US"/>
        </w:rPr>
        <w:t>Some other assumptions favouring sharing were low base-station resource loading, and complete blockage of interfering signal paths based on the elevation angle from the city to the satellite due to shielding.</w:t>
      </w:r>
      <w:r w:rsidR="00BF1B1C">
        <w:rPr>
          <w:lang w:val="en-US"/>
        </w:rPr>
        <w:t xml:space="preserve"> </w:t>
      </w:r>
      <w:r w:rsidRPr="008839C1">
        <w:rPr>
          <w:lang w:val="en-US"/>
        </w:rPr>
        <w:t>Within the urban zones, Report ITU-R M.2292 specifies that 50% of the base-stations are below building roof tops.</w:t>
      </w:r>
      <w:r w:rsidR="00BF1B1C">
        <w:rPr>
          <w:lang w:val="en-US"/>
        </w:rPr>
        <w:t xml:space="preserve"> </w:t>
      </w:r>
      <w:r w:rsidRPr="008839C1">
        <w:rPr>
          <w:lang w:val="en-US"/>
        </w:rPr>
        <w:t>It was assumed in the analysis that none of the base-stations below building roof tops contributed any interference.</w:t>
      </w:r>
      <w:r w:rsidR="00BF1B1C">
        <w:rPr>
          <w:lang w:val="en-US"/>
        </w:rPr>
        <w:t xml:space="preserve"> </w:t>
      </w:r>
      <w:r w:rsidRPr="008839C1">
        <w:rPr>
          <w:lang w:val="en-US"/>
        </w:rPr>
        <w:t>Further, for the analyses involving UE transmissions, Report ITU-R M.2292 specifies that 70% of UE’s in the urban and suburban zone and 50% of UE’s in the rural zone are to be assumed indoors. In the analyses all indoor UE’s were excluded from contributing to the interference.</w:t>
      </w:r>
      <w:r w:rsidR="00BF1B1C">
        <w:rPr>
          <w:lang w:val="en-US"/>
        </w:rPr>
        <w:t xml:space="preserve"> </w:t>
      </w:r>
      <w:r w:rsidRPr="008839C1">
        <w:rPr>
          <w:lang w:val="en-US"/>
        </w:rPr>
        <w:t>In addition to the elevation angle based shielding blockages, an additional clutter loss for the UE transmissions was considered for every city.</w:t>
      </w:r>
      <w:r w:rsidR="00BF1B1C">
        <w:rPr>
          <w:lang w:val="en-US"/>
        </w:rPr>
        <w:t xml:space="preserve"> </w:t>
      </w:r>
      <w:r w:rsidRPr="008839C1">
        <w:rPr>
          <w:lang w:val="en-US"/>
        </w:rPr>
        <w:t xml:space="preserve">This clutter loss was based on Recommendation ITU-R P.452 § 4.5.3, where the clutter attenuation was calculated using a set of clutter categories from the </w:t>
      </w:r>
      <w:r w:rsidR="00D25D4F">
        <w:rPr>
          <w:lang w:val="en-US"/>
        </w:rPr>
        <w:t>R</w:t>
      </w:r>
      <w:r w:rsidRPr="008839C1">
        <w:rPr>
          <w:lang w:val="en-US"/>
        </w:rPr>
        <w:t xml:space="preserve">ecommendation. </w:t>
      </w:r>
    </w:p>
    <w:p w:rsidR="00071226" w:rsidRPr="008839C1" w:rsidRDefault="00071226" w:rsidP="00245E64">
      <w:pPr>
        <w:keepNext/>
        <w:keepLines/>
        <w:rPr>
          <w:lang w:val="en-US"/>
        </w:rPr>
      </w:pPr>
      <w:r w:rsidRPr="008839C1">
        <w:rPr>
          <w:lang w:val="en-US"/>
        </w:rPr>
        <w:lastRenderedPageBreak/>
        <w:t xml:space="preserve">The maximum elevation angle for the interfering clutter path was then calculated for each city and the appropriate clutter loss was applied to each city (see </w:t>
      </w:r>
      <w:r w:rsidR="00BA78CB" w:rsidRPr="00BA78CB">
        <w:rPr>
          <w:lang w:val="en-US"/>
        </w:rPr>
        <w:t>Annex</w:t>
      </w:r>
      <w:r w:rsidRPr="008839C1">
        <w:rPr>
          <w:lang w:val="en-US"/>
        </w:rPr>
        <w:t xml:space="preserve"> D). Lastly, the analyses considered LTE deployment in only 160 worldwide cities within view of TDRSS at 41°W, whereas a full deployment of LTE systems will involve many more cities that will be in view of the TDRS antenna beam.</w:t>
      </w:r>
    </w:p>
    <w:p w:rsidR="00071226" w:rsidRPr="008839C1" w:rsidRDefault="00071226" w:rsidP="00D25D4F">
      <w:pPr>
        <w:rPr>
          <w:lang w:val="en-US"/>
        </w:rPr>
      </w:pPr>
      <w:r w:rsidRPr="008839C1">
        <w:rPr>
          <w:lang w:val="en-US"/>
        </w:rPr>
        <w:t>The analysis approach used herein can be generalized to consider other sharing scenarios. The cumulative probability distributions (CDFs) of aggregate interfering signal power levels presented below in this document (</w:t>
      </w:r>
      <w:r w:rsidR="00BA78CB" w:rsidRPr="00BA78CB">
        <w:rPr>
          <w:lang w:val="en-US"/>
        </w:rPr>
        <w:t>Fig</w:t>
      </w:r>
      <w:r w:rsidRPr="008839C1">
        <w:rPr>
          <w:lang w:val="en-US"/>
        </w:rPr>
        <w:t>s 8</w:t>
      </w:r>
      <w:r w:rsidR="00BA78CB">
        <w:rPr>
          <w:lang w:val="en-US"/>
        </w:rPr>
        <w:t xml:space="preserve"> to </w:t>
      </w:r>
      <w:r w:rsidRPr="008839C1">
        <w:rPr>
          <w:lang w:val="en-US"/>
        </w:rPr>
        <w:t>11) can in many cases be shifted upward or downward to estimate the effects of alternative assumptions that have not been addressed in this study. For example, the aggregate UE and base-station e.i.r.p. per-city values are key intermediate results that encompass the effects of several assumed IMT equipment operating parameters.</w:t>
      </w:r>
    </w:p>
    <w:p w:rsidR="00071226" w:rsidRPr="008839C1" w:rsidRDefault="00071226" w:rsidP="00071226">
      <w:pPr>
        <w:pStyle w:val="Heading2"/>
        <w:rPr>
          <w:lang w:val="en-US"/>
        </w:rPr>
      </w:pPr>
      <w:bookmarkStart w:id="14" w:name="_Toc362524739"/>
      <w:r w:rsidRPr="008839C1">
        <w:rPr>
          <w:lang w:val="en-US"/>
        </w:rPr>
        <w:t>4.1</w:t>
      </w:r>
      <w:r w:rsidRPr="008839C1">
        <w:rPr>
          <w:lang w:val="en-US"/>
        </w:rPr>
        <w:tab/>
        <w:t>Potential interference from LTE base-stations</w:t>
      </w:r>
      <w:bookmarkEnd w:id="14"/>
    </w:p>
    <w:p w:rsidR="00071226" w:rsidRPr="008839C1" w:rsidRDefault="00071226" w:rsidP="00C309C4">
      <w:pPr>
        <w:pStyle w:val="Heading3"/>
        <w:rPr>
          <w:rFonts w:asciiTheme="majorBidi" w:hAnsiTheme="majorBidi"/>
          <w:lang w:val="en-US"/>
        </w:rPr>
      </w:pPr>
      <w:bookmarkStart w:id="15" w:name="_Toc362524740"/>
      <w:r w:rsidRPr="008839C1">
        <w:rPr>
          <w:rFonts w:asciiTheme="majorBidi" w:hAnsiTheme="majorBidi"/>
          <w:lang w:val="en-US"/>
        </w:rPr>
        <w:t>4.1.1</w:t>
      </w:r>
      <w:r w:rsidRPr="008839C1">
        <w:rPr>
          <w:rFonts w:asciiTheme="majorBidi" w:hAnsiTheme="majorBidi"/>
          <w:lang w:val="en-US"/>
        </w:rPr>
        <w:tab/>
        <w:t>Potential interference from LTE base-stations</w:t>
      </w:r>
      <w:bookmarkEnd w:id="15"/>
      <w:r w:rsidRPr="008839C1">
        <w:rPr>
          <w:rFonts w:asciiTheme="majorBidi" w:hAnsiTheme="majorBidi"/>
          <w:lang w:val="en-US"/>
        </w:rPr>
        <w:t xml:space="preserve"> in the frequency band 2 025-2 110 MHz</w:t>
      </w:r>
    </w:p>
    <w:p w:rsidR="00071226" w:rsidRPr="008839C1" w:rsidRDefault="00071226" w:rsidP="00D25D4F">
      <w:pPr>
        <w:overflowPunct/>
        <w:autoSpaceDE/>
        <w:autoSpaceDN/>
        <w:adjustRightInd/>
        <w:textAlignment w:val="auto"/>
        <w:rPr>
          <w:caps/>
          <w:sz w:val="20"/>
          <w:lang w:val="en-US"/>
        </w:rPr>
      </w:pPr>
      <w:r w:rsidRPr="008839C1">
        <w:rPr>
          <w:lang w:val="en-US"/>
        </w:rPr>
        <w:t xml:space="preserve">Table 7 and Table 8 present the results of analysis considering the potential for sharing with LTE base-stations. This analysis considered base-station transmitters using the antenna pattern of Recommendation ITU-R F.1336, </w:t>
      </w:r>
      <w:r w:rsidRPr="008839C1">
        <w:rPr>
          <w:i/>
          <w:lang w:val="en-US"/>
        </w:rPr>
        <w:t>recommends</w:t>
      </w:r>
      <w:r w:rsidRPr="008839C1">
        <w:rPr>
          <w:lang w:val="en-US"/>
        </w:rPr>
        <w:t xml:space="preserve"> 3.1 (</w:t>
      </w:r>
      <w:r w:rsidR="00BA78CB" w:rsidRPr="008839C1">
        <w:rPr>
          <w:lang w:val="en-US"/>
        </w:rPr>
        <w:t xml:space="preserve">see </w:t>
      </w:r>
      <w:r w:rsidR="00BA78CB" w:rsidRPr="00BA78CB">
        <w:rPr>
          <w:lang w:val="en-US"/>
        </w:rPr>
        <w:t>Annex</w:t>
      </w:r>
      <w:r w:rsidR="00BA78CB">
        <w:rPr>
          <w:lang w:val="en-US"/>
        </w:rPr>
        <w:t> </w:t>
      </w:r>
      <w:r w:rsidRPr="008839C1">
        <w:rPr>
          <w:lang w:val="en-US"/>
        </w:rPr>
        <w:t>C) for the base-station sector antennas.</w:t>
      </w:r>
      <w:r w:rsidR="00BF1B1C">
        <w:rPr>
          <w:lang w:val="en-US"/>
        </w:rPr>
        <w:t xml:space="preserve"> </w:t>
      </w:r>
      <w:r w:rsidRPr="008839C1">
        <w:rPr>
          <w:lang w:val="en-US"/>
        </w:rPr>
        <w:t>In each case, several loading scenarios were modelled. The analysis considered a shielding factor, which assumed full signal blockage at elevation angles below 0°, 20°, and 45° between the base-station and the TDRS user in order to consider hypothetical best- and worst-case scenarios (e.g. a 20° elevation mask means that only LTE base-stations, which have visibility with the TDRS user satellite above 20° contribute to the aggregate interference at a given time sample).</w:t>
      </w:r>
      <w:r w:rsidR="00BF1B1C">
        <w:rPr>
          <w:lang w:val="en-US"/>
        </w:rPr>
        <w:t xml:space="preserve"> </w:t>
      </w:r>
      <w:r w:rsidRPr="008839C1">
        <w:rPr>
          <w:lang w:val="en-US"/>
        </w:rPr>
        <w:t>From each table of results, one forward link was chosen</w:t>
      </w:r>
      <w:r w:rsidR="00BF1B1C">
        <w:rPr>
          <w:lang w:val="en-US"/>
        </w:rPr>
        <w:t> –</w:t>
      </w:r>
      <w:r w:rsidRPr="008839C1">
        <w:rPr>
          <w:lang w:val="en-US"/>
        </w:rPr>
        <w:t xml:space="preserve"> GPM Forward Link</w:t>
      </w:r>
      <w:r w:rsidR="00BF1B1C">
        <w:rPr>
          <w:lang w:val="en-US"/>
        </w:rPr>
        <w:t> –</w:t>
      </w:r>
      <w:r w:rsidRPr="008839C1">
        <w:rPr>
          <w:lang w:val="en-US"/>
        </w:rPr>
        <w:t xml:space="preserve"> to show the cumulative density function (CDF) curve (</w:t>
      </w:r>
      <w:r w:rsidR="00F10668">
        <w:rPr>
          <w:lang w:val="en-US"/>
        </w:rPr>
        <w:t xml:space="preserve">see </w:t>
      </w:r>
      <w:r w:rsidR="00BA78CB" w:rsidRPr="00BA78CB">
        <w:rPr>
          <w:lang w:val="en-US"/>
        </w:rPr>
        <w:t>Fig.</w:t>
      </w:r>
      <w:r w:rsidRPr="008839C1">
        <w:rPr>
          <w:lang w:val="en-US"/>
        </w:rPr>
        <w:t xml:space="preserve"> 7) which demonstrated even at high percentage of the time (approaching or exceeding 10%) the ITU Io/No threshold criterion will not be met for all cases.</w:t>
      </w:r>
      <w:r w:rsidR="00BF1B1C">
        <w:rPr>
          <w:lang w:val="en-US"/>
        </w:rPr>
        <w:t xml:space="preserve"> </w:t>
      </w:r>
      <w:r w:rsidRPr="008839C1">
        <w:rPr>
          <w:lang w:val="en-US"/>
        </w:rPr>
        <w:t>Base-station heights are above clutter heights in suburban and rural zones. As mentioned previously all base-stations below roof tops in urban zones (50%) were completely excluded from the analysis (i.e. complete blockage was assumed for base-stations below urban rooftops).</w:t>
      </w:r>
    </w:p>
    <w:p w:rsidR="00071226" w:rsidRPr="008839C1" w:rsidRDefault="00C309C4" w:rsidP="00071226">
      <w:pPr>
        <w:pStyle w:val="TableNo"/>
        <w:rPr>
          <w:lang w:val="en-US"/>
        </w:rPr>
      </w:pPr>
      <w:r w:rsidRPr="008839C1">
        <w:rPr>
          <w:lang w:val="en-US"/>
        </w:rPr>
        <w:t>TABLE 7</w:t>
      </w:r>
    </w:p>
    <w:p w:rsidR="00071226" w:rsidRPr="008839C1" w:rsidRDefault="00071226" w:rsidP="00071226">
      <w:pPr>
        <w:pStyle w:val="Tabletitle"/>
        <w:spacing w:after="240"/>
        <w:rPr>
          <w:lang w:val="en-US"/>
        </w:rPr>
      </w:pPr>
      <w:r w:rsidRPr="008839C1">
        <w:rPr>
          <w:lang w:val="en-US"/>
        </w:rPr>
        <w:t>Potential interference from the base-stations (Recommendation ITU-R F.1336 antenna)</w:t>
      </w:r>
      <w:r w:rsidRPr="008839C1">
        <w:rPr>
          <w:lang w:val="en-US"/>
        </w:rPr>
        <w:br/>
        <w:t>into typical NASA TDRS forward links with 20% time-frequency resource loading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623"/>
        <w:gridCol w:w="1100"/>
        <w:gridCol w:w="1049"/>
        <w:gridCol w:w="688"/>
        <w:gridCol w:w="1225"/>
        <w:gridCol w:w="688"/>
        <w:gridCol w:w="1225"/>
        <w:gridCol w:w="688"/>
        <w:gridCol w:w="1216"/>
      </w:tblGrid>
      <w:tr w:rsidR="00071226" w:rsidRPr="00BA78CB" w:rsidTr="001A535F">
        <w:trPr>
          <w:jc w:val="center"/>
        </w:trPr>
        <w:tc>
          <w:tcPr>
            <w:tcW w:w="0" w:type="auto"/>
            <w:gridSpan w:val="4"/>
          </w:tcPr>
          <w:p w:rsidR="00071226" w:rsidRPr="00BA78CB" w:rsidRDefault="00071226" w:rsidP="00BA78CB">
            <w:pPr>
              <w:pStyle w:val="Tablehead"/>
              <w:rPr>
                <w:sz w:val="20"/>
              </w:rPr>
            </w:pPr>
            <w:r w:rsidRPr="00BA78CB">
              <w:rPr>
                <w:sz w:val="20"/>
              </w:rPr>
              <w:t>Visibility Elevation Mask (deg</w:t>
            </w:r>
            <w:r w:rsidR="00BA78CB" w:rsidRPr="00BA78CB">
              <w:rPr>
                <w:sz w:val="20"/>
              </w:rPr>
              <w:t>rees</w:t>
            </w:r>
            <w:r w:rsidRPr="00BA78CB">
              <w:rPr>
                <w:sz w:val="20"/>
              </w:rPr>
              <w:t>)</w:t>
            </w:r>
          </w:p>
        </w:tc>
        <w:tc>
          <w:tcPr>
            <w:tcW w:w="0" w:type="auto"/>
            <w:gridSpan w:val="2"/>
          </w:tcPr>
          <w:p w:rsidR="00071226" w:rsidRPr="00BA78CB" w:rsidRDefault="00071226" w:rsidP="00BA78CB">
            <w:pPr>
              <w:pStyle w:val="Tablehead"/>
              <w:rPr>
                <w:sz w:val="20"/>
              </w:rPr>
            </w:pPr>
            <w:r w:rsidRPr="00BA78CB">
              <w:rPr>
                <w:sz w:val="20"/>
              </w:rPr>
              <w:t>0 degrees</w:t>
            </w:r>
          </w:p>
        </w:tc>
        <w:tc>
          <w:tcPr>
            <w:tcW w:w="0" w:type="auto"/>
            <w:gridSpan w:val="2"/>
          </w:tcPr>
          <w:p w:rsidR="00071226" w:rsidRPr="00BA78CB" w:rsidRDefault="00071226" w:rsidP="00BA78CB">
            <w:pPr>
              <w:pStyle w:val="Tablehead"/>
              <w:rPr>
                <w:sz w:val="20"/>
              </w:rPr>
            </w:pPr>
            <w:r w:rsidRPr="00BA78CB">
              <w:rPr>
                <w:sz w:val="20"/>
              </w:rPr>
              <w:t>20 degrees</w:t>
            </w:r>
          </w:p>
        </w:tc>
        <w:tc>
          <w:tcPr>
            <w:tcW w:w="0" w:type="auto"/>
            <w:gridSpan w:val="2"/>
          </w:tcPr>
          <w:p w:rsidR="00071226" w:rsidRPr="00BA78CB" w:rsidRDefault="00071226" w:rsidP="00BA78CB">
            <w:pPr>
              <w:pStyle w:val="Tablehead"/>
              <w:rPr>
                <w:sz w:val="20"/>
              </w:rPr>
            </w:pPr>
            <w:r w:rsidRPr="00BA78CB">
              <w:rPr>
                <w:sz w:val="20"/>
              </w:rPr>
              <w:t>45 degrees</w:t>
            </w:r>
          </w:p>
        </w:tc>
      </w:tr>
      <w:tr w:rsidR="00071226" w:rsidRPr="00BA78CB" w:rsidTr="001A535F">
        <w:trPr>
          <w:jc w:val="center"/>
        </w:trPr>
        <w:tc>
          <w:tcPr>
            <w:tcW w:w="0" w:type="auto"/>
          </w:tcPr>
          <w:p w:rsidR="00071226" w:rsidRPr="00BA78CB" w:rsidRDefault="00071226" w:rsidP="00BA78CB">
            <w:pPr>
              <w:pStyle w:val="Tablehead"/>
              <w:rPr>
                <w:sz w:val="20"/>
              </w:rPr>
            </w:pPr>
            <w:r w:rsidRPr="00BA78CB">
              <w:rPr>
                <w:sz w:val="20"/>
              </w:rPr>
              <w:t>User Spacecraft</w:t>
            </w:r>
          </w:p>
        </w:tc>
        <w:tc>
          <w:tcPr>
            <w:tcW w:w="0" w:type="auto"/>
          </w:tcPr>
          <w:p w:rsidR="00071226" w:rsidRPr="00BA78CB" w:rsidRDefault="00071226" w:rsidP="00BA78CB">
            <w:pPr>
              <w:pStyle w:val="Tablehead"/>
              <w:rPr>
                <w:sz w:val="20"/>
              </w:rPr>
            </w:pPr>
            <w:r w:rsidRPr="00BA78CB">
              <w:rPr>
                <w:sz w:val="20"/>
              </w:rPr>
              <w:t>SNT (K)</w:t>
            </w:r>
          </w:p>
        </w:tc>
        <w:tc>
          <w:tcPr>
            <w:tcW w:w="0" w:type="auto"/>
          </w:tcPr>
          <w:p w:rsidR="00071226" w:rsidRPr="00BA78CB" w:rsidRDefault="00071226" w:rsidP="00BA78CB">
            <w:pPr>
              <w:pStyle w:val="Tablehead"/>
              <w:rPr>
                <w:sz w:val="20"/>
              </w:rPr>
            </w:pPr>
            <w:r w:rsidRPr="00BA78CB">
              <w:rPr>
                <w:sz w:val="20"/>
              </w:rPr>
              <w:t>No (dBW/Hz)</w:t>
            </w:r>
          </w:p>
        </w:tc>
        <w:tc>
          <w:tcPr>
            <w:tcW w:w="0" w:type="auto"/>
          </w:tcPr>
          <w:p w:rsidR="00071226" w:rsidRPr="00BA78CB" w:rsidRDefault="00071226" w:rsidP="00BA78CB">
            <w:pPr>
              <w:pStyle w:val="Tablehead"/>
              <w:rPr>
                <w:sz w:val="20"/>
              </w:rPr>
            </w:pPr>
            <w:r w:rsidRPr="00BA78CB">
              <w:rPr>
                <w:sz w:val="20"/>
              </w:rPr>
              <w:t>Io/No threshold (dB)</w:t>
            </w:r>
          </w:p>
        </w:tc>
        <w:tc>
          <w:tcPr>
            <w:tcW w:w="0" w:type="auto"/>
          </w:tcPr>
          <w:p w:rsidR="00071226" w:rsidRPr="00BA78CB" w:rsidRDefault="00071226" w:rsidP="00BA78CB">
            <w:pPr>
              <w:pStyle w:val="Tablehead"/>
              <w:rPr>
                <w:sz w:val="20"/>
              </w:rPr>
            </w:pPr>
            <w:r w:rsidRPr="00BA78CB">
              <w:rPr>
                <w:sz w:val="20"/>
              </w:rPr>
              <w:t>I/N (dB) @ 0.1%</w:t>
            </w:r>
          </w:p>
        </w:tc>
        <w:tc>
          <w:tcPr>
            <w:tcW w:w="0" w:type="auto"/>
          </w:tcPr>
          <w:p w:rsidR="00071226" w:rsidRPr="00BA78CB" w:rsidRDefault="00071226" w:rsidP="00BA78CB">
            <w:pPr>
              <w:pStyle w:val="Tablehead"/>
              <w:rPr>
                <w:sz w:val="20"/>
              </w:rPr>
            </w:pPr>
            <w:r w:rsidRPr="00BA78CB">
              <w:rPr>
                <w:sz w:val="20"/>
              </w:rPr>
              <w:t>Exceedance (dB)</w:t>
            </w:r>
          </w:p>
        </w:tc>
        <w:tc>
          <w:tcPr>
            <w:tcW w:w="0" w:type="auto"/>
          </w:tcPr>
          <w:p w:rsidR="00071226" w:rsidRPr="00BA78CB" w:rsidRDefault="00071226" w:rsidP="00BA78CB">
            <w:pPr>
              <w:pStyle w:val="Tablehead"/>
              <w:rPr>
                <w:sz w:val="20"/>
              </w:rPr>
            </w:pPr>
            <w:r w:rsidRPr="00BA78CB">
              <w:rPr>
                <w:sz w:val="20"/>
              </w:rPr>
              <w:t>I/N (dB) @ 0.1%</w:t>
            </w:r>
          </w:p>
        </w:tc>
        <w:tc>
          <w:tcPr>
            <w:tcW w:w="0" w:type="auto"/>
          </w:tcPr>
          <w:p w:rsidR="00071226" w:rsidRPr="00BA78CB" w:rsidRDefault="00071226" w:rsidP="00BA78CB">
            <w:pPr>
              <w:pStyle w:val="Tablehead"/>
              <w:rPr>
                <w:sz w:val="20"/>
              </w:rPr>
            </w:pPr>
            <w:r w:rsidRPr="00BA78CB">
              <w:rPr>
                <w:sz w:val="20"/>
              </w:rPr>
              <w:t>Exceedance (dB)</w:t>
            </w:r>
          </w:p>
        </w:tc>
        <w:tc>
          <w:tcPr>
            <w:tcW w:w="0" w:type="auto"/>
          </w:tcPr>
          <w:p w:rsidR="00071226" w:rsidRPr="00BA78CB" w:rsidRDefault="00071226" w:rsidP="00BA78CB">
            <w:pPr>
              <w:pStyle w:val="Tablehead"/>
              <w:rPr>
                <w:sz w:val="20"/>
              </w:rPr>
            </w:pPr>
            <w:r w:rsidRPr="00BA78CB">
              <w:rPr>
                <w:sz w:val="20"/>
              </w:rPr>
              <w:t>I/N (dB) @ 0.1%</w:t>
            </w:r>
          </w:p>
        </w:tc>
        <w:tc>
          <w:tcPr>
            <w:tcW w:w="1191" w:type="dxa"/>
          </w:tcPr>
          <w:p w:rsidR="00071226" w:rsidRPr="00BA78CB" w:rsidRDefault="00071226" w:rsidP="00BA78CB">
            <w:pPr>
              <w:pStyle w:val="Tablehead"/>
              <w:rPr>
                <w:sz w:val="20"/>
              </w:rPr>
            </w:pPr>
            <w:r w:rsidRPr="00BA78CB">
              <w:rPr>
                <w:sz w:val="20"/>
              </w:rPr>
              <w:t>Exceedance (dB)</w:t>
            </w:r>
          </w:p>
        </w:tc>
      </w:tr>
      <w:tr w:rsidR="00BA78CB" w:rsidRPr="00BA78CB" w:rsidTr="001A535F">
        <w:trPr>
          <w:jc w:val="center"/>
        </w:trPr>
        <w:tc>
          <w:tcPr>
            <w:tcW w:w="0" w:type="auto"/>
          </w:tcPr>
          <w:p w:rsidR="00071226" w:rsidRPr="00BA78CB" w:rsidRDefault="00071226" w:rsidP="00BA78CB">
            <w:pPr>
              <w:pStyle w:val="Tabletext"/>
              <w:rPr>
                <w:sz w:val="20"/>
              </w:rPr>
            </w:pPr>
            <w:r w:rsidRPr="00BA78CB">
              <w:rPr>
                <w:sz w:val="20"/>
              </w:rPr>
              <w:t>TERRA</w:t>
            </w:r>
          </w:p>
        </w:tc>
        <w:tc>
          <w:tcPr>
            <w:tcW w:w="0" w:type="auto"/>
          </w:tcPr>
          <w:p w:rsidR="00071226" w:rsidRPr="00BA78CB" w:rsidRDefault="00071226" w:rsidP="00BA78CB">
            <w:pPr>
              <w:pStyle w:val="Tabletext"/>
              <w:jc w:val="center"/>
              <w:rPr>
                <w:bCs/>
                <w:sz w:val="20"/>
              </w:rPr>
            </w:pPr>
            <w:r w:rsidRPr="00BA78CB">
              <w:rPr>
                <w:bCs/>
                <w:sz w:val="20"/>
              </w:rPr>
              <w:t>410</w:t>
            </w:r>
          </w:p>
        </w:tc>
        <w:tc>
          <w:tcPr>
            <w:tcW w:w="0" w:type="auto"/>
          </w:tcPr>
          <w:p w:rsidR="00071226" w:rsidRPr="00BA78CB" w:rsidRDefault="00071226" w:rsidP="00BA78CB">
            <w:pPr>
              <w:pStyle w:val="Tabletext"/>
              <w:jc w:val="center"/>
              <w:rPr>
                <w:bCs/>
                <w:sz w:val="20"/>
              </w:rPr>
            </w:pPr>
            <w:r w:rsidRPr="00BA78CB">
              <w:rPr>
                <w:bCs/>
                <w:sz w:val="20"/>
              </w:rPr>
              <w:t>–202.47</w:t>
            </w:r>
          </w:p>
        </w:tc>
        <w:tc>
          <w:tcPr>
            <w:tcW w:w="0" w:type="auto"/>
          </w:tcPr>
          <w:p w:rsidR="00071226" w:rsidRPr="00BA78CB" w:rsidRDefault="00071226" w:rsidP="00BA78CB">
            <w:pPr>
              <w:pStyle w:val="Tabletext"/>
              <w:jc w:val="center"/>
              <w:rPr>
                <w:bCs/>
                <w:sz w:val="20"/>
              </w:rPr>
            </w:pPr>
            <w:r w:rsidRPr="00BA78CB">
              <w:rPr>
                <w:bCs/>
                <w:sz w:val="20"/>
              </w:rPr>
              <w:t>–11.53</w:t>
            </w:r>
          </w:p>
        </w:tc>
        <w:tc>
          <w:tcPr>
            <w:tcW w:w="0" w:type="auto"/>
          </w:tcPr>
          <w:p w:rsidR="00071226" w:rsidRPr="00BA78CB" w:rsidRDefault="00071226" w:rsidP="00BA78CB">
            <w:pPr>
              <w:pStyle w:val="Tabletext"/>
              <w:jc w:val="center"/>
              <w:rPr>
                <w:bCs/>
                <w:sz w:val="20"/>
              </w:rPr>
            </w:pPr>
            <w:r w:rsidRPr="00BA78CB">
              <w:rPr>
                <w:bCs/>
                <w:sz w:val="20"/>
              </w:rPr>
              <w:t>32.5</w:t>
            </w:r>
          </w:p>
        </w:tc>
        <w:tc>
          <w:tcPr>
            <w:tcW w:w="0" w:type="auto"/>
          </w:tcPr>
          <w:p w:rsidR="00071226" w:rsidRPr="00BA78CB" w:rsidRDefault="00071226" w:rsidP="00BA78CB">
            <w:pPr>
              <w:pStyle w:val="Tabletext"/>
              <w:jc w:val="center"/>
              <w:rPr>
                <w:bCs/>
                <w:sz w:val="20"/>
              </w:rPr>
            </w:pPr>
            <w:r w:rsidRPr="00BA78CB">
              <w:rPr>
                <w:bCs/>
                <w:sz w:val="20"/>
              </w:rPr>
              <w:t>44.03</w:t>
            </w:r>
          </w:p>
        </w:tc>
        <w:tc>
          <w:tcPr>
            <w:tcW w:w="0" w:type="auto"/>
          </w:tcPr>
          <w:p w:rsidR="00071226" w:rsidRPr="00BA78CB" w:rsidRDefault="00071226" w:rsidP="00BA78CB">
            <w:pPr>
              <w:pStyle w:val="Tabletext"/>
              <w:jc w:val="center"/>
              <w:rPr>
                <w:bCs/>
                <w:sz w:val="20"/>
              </w:rPr>
            </w:pPr>
            <w:r w:rsidRPr="00BA78CB">
              <w:rPr>
                <w:bCs/>
                <w:sz w:val="20"/>
              </w:rPr>
              <w:t>21.4</w:t>
            </w:r>
          </w:p>
        </w:tc>
        <w:tc>
          <w:tcPr>
            <w:tcW w:w="0" w:type="auto"/>
          </w:tcPr>
          <w:p w:rsidR="00071226" w:rsidRPr="00BA78CB" w:rsidRDefault="00071226" w:rsidP="00BA78CB">
            <w:pPr>
              <w:pStyle w:val="Tabletext"/>
              <w:jc w:val="center"/>
              <w:rPr>
                <w:bCs/>
                <w:sz w:val="20"/>
              </w:rPr>
            </w:pPr>
            <w:r w:rsidRPr="00BA78CB">
              <w:rPr>
                <w:bCs/>
                <w:sz w:val="20"/>
              </w:rPr>
              <w:t>32.93</w:t>
            </w:r>
          </w:p>
        </w:tc>
        <w:tc>
          <w:tcPr>
            <w:tcW w:w="0" w:type="auto"/>
          </w:tcPr>
          <w:p w:rsidR="00071226" w:rsidRPr="00BA78CB" w:rsidRDefault="00071226" w:rsidP="00BA78CB">
            <w:pPr>
              <w:pStyle w:val="Tabletext"/>
              <w:jc w:val="center"/>
              <w:rPr>
                <w:bCs/>
                <w:sz w:val="20"/>
              </w:rPr>
            </w:pPr>
            <w:r w:rsidRPr="00BA78CB">
              <w:rPr>
                <w:bCs/>
                <w:sz w:val="20"/>
              </w:rPr>
              <w:t>18.1</w:t>
            </w:r>
          </w:p>
        </w:tc>
        <w:tc>
          <w:tcPr>
            <w:tcW w:w="1191" w:type="dxa"/>
          </w:tcPr>
          <w:p w:rsidR="00071226" w:rsidRPr="00BA78CB" w:rsidRDefault="00071226" w:rsidP="00BA78CB">
            <w:pPr>
              <w:pStyle w:val="Tabletext"/>
              <w:jc w:val="center"/>
              <w:rPr>
                <w:bCs/>
                <w:sz w:val="20"/>
              </w:rPr>
            </w:pPr>
            <w:r w:rsidRPr="00BA78CB">
              <w:rPr>
                <w:bCs/>
                <w:sz w:val="20"/>
              </w:rPr>
              <w:t>29.63</w:t>
            </w:r>
          </w:p>
        </w:tc>
      </w:tr>
      <w:tr w:rsidR="00BA78CB" w:rsidRPr="00BA78CB" w:rsidTr="001A535F">
        <w:trPr>
          <w:jc w:val="center"/>
        </w:trPr>
        <w:tc>
          <w:tcPr>
            <w:tcW w:w="0" w:type="auto"/>
          </w:tcPr>
          <w:p w:rsidR="00071226" w:rsidRPr="00BA78CB" w:rsidRDefault="00071226" w:rsidP="00BA78CB">
            <w:pPr>
              <w:pStyle w:val="Tabletext"/>
              <w:rPr>
                <w:sz w:val="20"/>
              </w:rPr>
            </w:pPr>
            <w:r w:rsidRPr="00BA78CB">
              <w:rPr>
                <w:sz w:val="20"/>
              </w:rPr>
              <w:t>Cygnus</w:t>
            </w:r>
          </w:p>
        </w:tc>
        <w:tc>
          <w:tcPr>
            <w:tcW w:w="0" w:type="auto"/>
          </w:tcPr>
          <w:p w:rsidR="00071226" w:rsidRPr="00BA78CB" w:rsidRDefault="00071226" w:rsidP="00BA78CB">
            <w:pPr>
              <w:pStyle w:val="Tabletext"/>
              <w:jc w:val="center"/>
              <w:rPr>
                <w:bCs/>
                <w:sz w:val="20"/>
              </w:rPr>
            </w:pPr>
            <w:r w:rsidRPr="00BA78CB">
              <w:rPr>
                <w:bCs/>
                <w:sz w:val="20"/>
              </w:rPr>
              <w:t>1849</w:t>
            </w:r>
          </w:p>
        </w:tc>
        <w:tc>
          <w:tcPr>
            <w:tcW w:w="0" w:type="auto"/>
          </w:tcPr>
          <w:p w:rsidR="00071226" w:rsidRPr="00BA78CB" w:rsidRDefault="00071226" w:rsidP="00BA78CB">
            <w:pPr>
              <w:pStyle w:val="Tabletext"/>
              <w:jc w:val="center"/>
              <w:rPr>
                <w:bCs/>
                <w:sz w:val="20"/>
              </w:rPr>
            </w:pPr>
            <w:r w:rsidRPr="00BA78CB">
              <w:rPr>
                <w:bCs/>
                <w:sz w:val="20"/>
              </w:rPr>
              <w:t>–195.93</w:t>
            </w:r>
          </w:p>
        </w:tc>
        <w:tc>
          <w:tcPr>
            <w:tcW w:w="0" w:type="auto"/>
          </w:tcPr>
          <w:p w:rsidR="00071226" w:rsidRPr="00BA78CB" w:rsidRDefault="00071226" w:rsidP="00BA78CB">
            <w:pPr>
              <w:pStyle w:val="Tabletext"/>
              <w:jc w:val="center"/>
              <w:rPr>
                <w:bCs/>
                <w:sz w:val="20"/>
              </w:rPr>
            </w:pPr>
            <w:r w:rsidRPr="00BA78CB">
              <w:rPr>
                <w:bCs/>
                <w:sz w:val="20"/>
              </w:rPr>
              <w:t>–18.07</w:t>
            </w:r>
          </w:p>
        </w:tc>
        <w:tc>
          <w:tcPr>
            <w:tcW w:w="0" w:type="auto"/>
          </w:tcPr>
          <w:p w:rsidR="00071226" w:rsidRPr="00BA78CB" w:rsidRDefault="00071226" w:rsidP="00BA78CB">
            <w:pPr>
              <w:pStyle w:val="Tabletext"/>
              <w:jc w:val="center"/>
              <w:rPr>
                <w:bCs/>
                <w:sz w:val="20"/>
              </w:rPr>
            </w:pPr>
            <w:r w:rsidRPr="00BA78CB">
              <w:rPr>
                <w:bCs/>
                <w:sz w:val="20"/>
              </w:rPr>
              <w:t>20.2</w:t>
            </w:r>
          </w:p>
        </w:tc>
        <w:tc>
          <w:tcPr>
            <w:tcW w:w="0" w:type="auto"/>
          </w:tcPr>
          <w:p w:rsidR="00071226" w:rsidRPr="00BA78CB" w:rsidRDefault="00071226" w:rsidP="00BA78CB">
            <w:pPr>
              <w:pStyle w:val="Tabletext"/>
              <w:jc w:val="center"/>
              <w:rPr>
                <w:bCs/>
                <w:sz w:val="20"/>
              </w:rPr>
            </w:pPr>
            <w:r w:rsidRPr="00BA78CB">
              <w:rPr>
                <w:bCs/>
                <w:sz w:val="20"/>
              </w:rPr>
              <w:t>38.27</w:t>
            </w:r>
          </w:p>
        </w:tc>
        <w:tc>
          <w:tcPr>
            <w:tcW w:w="0" w:type="auto"/>
          </w:tcPr>
          <w:p w:rsidR="00071226" w:rsidRPr="00BA78CB" w:rsidRDefault="00071226" w:rsidP="00BA78CB">
            <w:pPr>
              <w:pStyle w:val="Tabletext"/>
              <w:jc w:val="center"/>
              <w:rPr>
                <w:bCs/>
                <w:sz w:val="20"/>
              </w:rPr>
            </w:pPr>
            <w:r w:rsidRPr="00BA78CB">
              <w:rPr>
                <w:bCs/>
                <w:sz w:val="20"/>
              </w:rPr>
              <w:t>15.5</w:t>
            </w:r>
          </w:p>
        </w:tc>
        <w:tc>
          <w:tcPr>
            <w:tcW w:w="0" w:type="auto"/>
          </w:tcPr>
          <w:p w:rsidR="00071226" w:rsidRPr="00BA78CB" w:rsidRDefault="00071226" w:rsidP="00BA78CB">
            <w:pPr>
              <w:pStyle w:val="Tabletext"/>
              <w:jc w:val="center"/>
              <w:rPr>
                <w:bCs/>
                <w:sz w:val="20"/>
              </w:rPr>
            </w:pPr>
            <w:r w:rsidRPr="00BA78CB">
              <w:rPr>
                <w:bCs/>
                <w:sz w:val="20"/>
              </w:rPr>
              <w:t>33.57</w:t>
            </w:r>
          </w:p>
        </w:tc>
        <w:tc>
          <w:tcPr>
            <w:tcW w:w="0" w:type="auto"/>
          </w:tcPr>
          <w:p w:rsidR="00071226" w:rsidRPr="00BA78CB" w:rsidRDefault="00071226" w:rsidP="00BA78CB">
            <w:pPr>
              <w:pStyle w:val="Tabletext"/>
              <w:jc w:val="center"/>
              <w:rPr>
                <w:bCs/>
                <w:sz w:val="20"/>
              </w:rPr>
            </w:pPr>
            <w:r w:rsidRPr="00BA78CB">
              <w:rPr>
                <w:bCs/>
                <w:sz w:val="20"/>
              </w:rPr>
              <w:t>11</w:t>
            </w:r>
          </w:p>
        </w:tc>
        <w:tc>
          <w:tcPr>
            <w:tcW w:w="1191" w:type="dxa"/>
          </w:tcPr>
          <w:p w:rsidR="00071226" w:rsidRPr="00BA78CB" w:rsidRDefault="00071226" w:rsidP="00BA78CB">
            <w:pPr>
              <w:pStyle w:val="Tabletext"/>
              <w:jc w:val="center"/>
              <w:rPr>
                <w:bCs/>
                <w:sz w:val="20"/>
              </w:rPr>
            </w:pPr>
            <w:r w:rsidRPr="00BA78CB">
              <w:rPr>
                <w:bCs/>
                <w:sz w:val="20"/>
              </w:rPr>
              <w:t>29.07</w:t>
            </w:r>
          </w:p>
        </w:tc>
      </w:tr>
      <w:tr w:rsidR="00BA78CB" w:rsidRPr="00BA78CB" w:rsidTr="001A535F">
        <w:trPr>
          <w:jc w:val="center"/>
        </w:trPr>
        <w:tc>
          <w:tcPr>
            <w:tcW w:w="0" w:type="auto"/>
          </w:tcPr>
          <w:p w:rsidR="00071226" w:rsidRPr="00BA78CB" w:rsidRDefault="00071226" w:rsidP="00BA78CB">
            <w:pPr>
              <w:pStyle w:val="Tabletext"/>
              <w:rPr>
                <w:sz w:val="20"/>
              </w:rPr>
            </w:pPr>
            <w:r w:rsidRPr="00BA78CB">
              <w:rPr>
                <w:sz w:val="20"/>
              </w:rPr>
              <w:t>GPM</w:t>
            </w:r>
          </w:p>
        </w:tc>
        <w:tc>
          <w:tcPr>
            <w:tcW w:w="0" w:type="auto"/>
          </w:tcPr>
          <w:p w:rsidR="00071226" w:rsidRPr="00BA78CB" w:rsidRDefault="00071226" w:rsidP="00BA78CB">
            <w:pPr>
              <w:pStyle w:val="Tabletext"/>
              <w:jc w:val="center"/>
              <w:rPr>
                <w:bCs/>
                <w:sz w:val="20"/>
              </w:rPr>
            </w:pPr>
            <w:r w:rsidRPr="00BA78CB">
              <w:rPr>
                <w:bCs/>
                <w:sz w:val="20"/>
              </w:rPr>
              <w:t>226</w:t>
            </w:r>
          </w:p>
        </w:tc>
        <w:tc>
          <w:tcPr>
            <w:tcW w:w="0" w:type="auto"/>
          </w:tcPr>
          <w:p w:rsidR="00071226" w:rsidRPr="00BA78CB" w:rsidRDefault="00071226" w:rsidP="00BA78CB">
            <w:pPr>
              <w:pStyle w:val="Tabletext"/>
              <w:jc w:val="center"/>
              <w:rPr>
                <w:bCs/>
                <w:sz w:val="20"/>
              </w:rPr>
            </w:pPr>
            <w:r w:rsidRPr="00BA78CB">
              <w:rPr>
                <w:bCs/>
                <w:sz w:val="20"/>
              </w:rPr>
              <w:t>–205.06</w:t>
            </w:r>
          </w:p>
        </w:tc>
        <w:tc>
          <w:tcPr>
            <w:tcW w:w="0" w:type="auto"/>
          </w:tcPr>
          <w:p w:rsidR="00071226" w:rsidRPr="00BA78CB" w:rsidRDefault="00071226" w:rsidP="00BA78CB">
            <w:pPr>
              <w:pStyle w:val="Tabletext"/>
              <w:jc w:val="center"/>
              <w:rPr>
                <w:bCs/>
                <w:sz w:val="20"/>
              </w:rPr>
            </w:pPr>
            <w:r w:rsidRPr="00BA78CB">
              <w:rPr>
                <w:bCs/>
                <w:sz w:val="20"/>
              </w:rPr>
              <w:t>–8.94</w:t>
            </w:r>
          </w:p>
        </w:tc>
        <w:tc>
          <w:tcPr>
            <w:tcW w:w="0" w:type="auto"/>
          </w:tcPr>
          <w:p w:rsidR="00071226" w:rsidRPr="00BA78CB" w:rsidRDefault="00071226" w:rsidP="00BA78CB">
            <w:pPr>
              <w:pStyle w:val="Tabletext"/>
              <w:jc w:val="center"/>
              <w:rPr>
                <w:bCs/>
                <w:sz w:val="20"/>
              </w:rPr>
            </w:pPr>
            <w:r w:rsidRPr="00BA78CB">
              <w:rPr>
                <w:bCs/>
                <w:sz w:val="20"/>
              </w:rPr>
              <w:t>37.3</w:t>
            </w:r>
          </w:p>
        </w:tc>
        <w:tc>
          <w:tcPr>
            <w:tcW w:w="0" w:type="auto"/>
          </w:tcPr>
          <w:p w:rsidR="00071226" w:rsidRPr="00BA78CB" w:rsidRDefault="00071226" w:rsidP="00BA78CB">
            <w:pPr>
              <w:pStyle w:val="Tabletext"/>
              <w:jc w:val="center"/>
              <w:rPr>
                <w:bCs/>
                <w:sz w:val="20"/>
              </w:rPr>
            </w:pPr>
            <w:r w:rsidRPr="00BA78CB">
              <w:rPr>
                <w:bCs/>
                <w:sz w:val="20"/>
              </w:rPr>
              <w:t>46.24</w:t>
            </w:r>
          </w:p>
        </w:tc>
        <w:tc>
          <w:tcPr>
            <w:tcW w:w="0" w:type="auto"/>
          </w:tcPr>
          <w:p w:rsidR="00071226" w:rsidRPr="00BA78CB" w:rsidRDefault="00071226" w:rsidP="00BA78CB">
            <w:pPr>
              <w:pStyle w:val="Tabletext"/>
              <w:jc w:val="center"/>
              <w:rPr>
                <w:bCs/>
                <w:sz w:val="20"/>
              </w:rPr>
            </w:pPr>
            <w:r w:rsidRPr="00BA78CB">
              <w:rPr>
                <w:bCs/>
                <w:sz w:val="20"/>
              </w:rPr>
              <w:t>26.5</w:t>
            </w:r>
          </w:p>
        </w:tc>
        <w:tc>
          <w:tcPr>
            <w:tcW w:w="0" w:type="auto"/>
          </w:tcPr>
          <w:p w:rsidR="00071226" w:rsidRPr="00BA78CB" w:rsidRDefault="00071226" w:rsidP="00BA78CB">
            <w:pPr>
              <w:pStyle w:val="Tabletext"/>
              <w:jc w:val="center"/>
              <w:rPr>
                <w:bCs/>
                <w:sz w:val="20"/>
              </w:rPr>
            </w:pPr>
            <w:r w:rsidRPr="00BA78CB">
              <w:rPr>
                <w:bCs/>
                <w:sz w:val="20"/>
              </w:rPr>
              <w:t>35.44</w:t>
            </w:r>
          </w:p>
        </w:tc>
        <w:tc>
          <w:tcPr>
            <w:tcW w:w="0" w:type="auto"/>
          </w:tcPr>
          <w:p w:rsidR="00071226" w:rsidRPr="00BA78CB" w:rsidRDefault="00071226" w:rsidP="00BA78CB">
            <w:pPr>
              <w:pStyle w:val="Tabletext"/>
              <w:jc w:val="center"/>
              <w:rPr>
                <w:bCs/>
                <w:sz w:val="20"/>
              </w:rPr>
            </w:pPr>
            <w:r w:rsidRPr="00BA78CB">
              <w:rPr>
                <w:bCs/>
                <w:sz w:val="20"/>
              </w:rPr>
              <w:t>21.8</w:t>
            </w:r>
          </w:p>
        </w:tc>
        <w:tc>
          <w:tcPr>
            <w:tcW w:w="1191" w:type="dxa"/>
          </w:tcPr>
          <w:p w:rsidR="00071226" w:rsidRPr="00BA78CB" w:rsidRDefault="00071226" w:rsidP="00BA78CB">
            <w:pPr>
              <w:pStyle w:val="Tabletext"/>
              <w:jc w:val="center"/>
              <w:rPr>
                <w:bCs/>
                <w:sz w:val="20"/>
              </w:rPr>
            </w:pPr>
            <w:r w:rsidRPr="00BA78CB">
              <w:rPr>
                <w:bCs/>
                <w:sz w:val="20"/>
              </w:rPr>
              <w:t>30.74</w:t>
            </w:r>
          </w:p>
        </w:tc>
      </w:tr>
      <w:tr w:rsidR="00BA78CB" w:rsidRPr="00BA78CB" w:rsidTr="001A535F">
        <w:trPr>
          <w:jc w:val="center"/>
        </w:trPr>
        <w:tc>
          <w:tcPr>
            <w:tcW w:w="0" w:type="auto"/>
          </w:tcPr>
          <w:p w:rsidR="00071226" w:rsidRPr="00BA78CB" w:rsidRDefault="00071226" w:rsidP="00BA78CB">
            <w:pPr>
              <w:pStyle w:val="Tabletext"/>
              <w:rPr>
                <w:sz w:val="20"/>
              </w:rPr>
            </w:pPr>
            <w:r w:rsidRPr="00BA78CB">
              <w:rPr>
                <w:sz w:val="20"/>
              </w:rPr>
              <w:t>ISS-LGA</w:t>
            </w:r>
          </w:p>
        </w:tc>
        <w:tc>
          <w:tcPr>
            <w:tcW w:w="0" w:type="auto"/>
          </w:tcPr>
          <w:p w:rsidR="00071226" w:rsidRPr="00BA78CB" w:rsidRDefault="00071226" w:rsidP="00BA78CB">
            <w:pPr>
              <w:pStyle w:val="Tabletext"/>
              <w:jc w:val="center"/>
              <w:rPr>
                <w:bCs/>
                <w:sz w:val="20"/>
              </w:rPr>
            </w:pPr>
            <w:r w:rsidRPr="00BA78CB">
              <w:rPr>
                <w:bCs/>
                <w:sz w:val="20"/>
              </w:rPr>
              <w:t>479</w:t>
            </w:r>
          </w:p>
        </w:tc>
        <w:tc>
          <w:tcPr>
            <w:tcW w:w="0" w:type="auto"/>
          </w:tcPr>
          <w:p w:rsidR="00071226" w:rsidRPr="00BA78CB" w:rsidRDefault="00071226" w:rsidP="00BA78CB">
            <w:pPr>
              <w:pStyle w:val="Tabletext"/>
              <w:jc w:val="center"/>
              <w:rPr>
                <w:bCs/>
                <w:sz w:val="20"/>
              </w:rPr>
            </w:pPr>
            <w:r w:rsidRPr="00BA78CB">
              <w:rPr>
                <w:bCs/>
                <w:sz w:val="20"/>
              </w:rPr>
              <w:t>–201.80</w:t>
            </w:r>
          </w:p>
        </w:tc>
        <w:tc>
          <w:tcPr>
            <w:tcW w:w="0" w:type="auto"/>
          </w:tcPr>
          <w:p w:rsidR="00071226" w:rsidRPr="00BA78CB" w:rsidRDefault="00071226" w:rsidP="00BA78CB">
            <w:pPr>
              <w:pStyle w:val="Tabletext"/>
              <w:jc w:val="center"/>
              <w:rPr>
                <w:bCs/>
                <w:sz w:val="20"/>
              </w:rPr>
            </w:pPr>
            <w:r w:rsidRPr="00BA78CB">
              <w:rPr>
                <w:bCs/>
                <w:sz w:val="20"/>
              </w:rPr>
              <w:t>–12.20</w:t>
            </w:r>
          </w:p>
        </w:tc>
        <w:tc>
          <w:tcPr>
            <w:tcW w:w="0" w:type="auto"/>
          </w:tcPr>
          <w:p w:rsidR="00071226" w:rsidRPr="00BA78CB" w:rsidRDefault="00071226" w:rsidP="00BA78CB">
            <w:pPr>
              <w:pStyle w:val="Tabletext"/>
              <w:jc w:val="center"/>
              <w:rPr>
                <w:bCs/>
                <w:sz w:val="20"/>
              </w:rPr>
            </w:pPr>
            <w:r w:rsidRPr="00BA78CB">
              <w:rPr>
                <w:bCs/>
                <w:sz w:val="20"/>
              </w:rPr>
              <w:t>25.7</w:t>
            </w:r>
          </w:p>
        </w:tc>
        <w:tc>
          <w:tcPr>
            <w:tcW w:w="0" w:type="auto"/>
          </w:tcPr>
          <w:p w:rsidR="00071226" w:rsidRPr="00BA78CB" w:rsidRDefault="00071226" w:rsidP="00BA78CB">
            <w:pPr>
              <w:pStyle w:val="Tabletext"/>
              <w:jc w:val="center"/>
              <w:rPr>
                <w:bCs/>
                <w:sz w:val="20"/>
              </w:rPr>
            </w:pPr>
            <w:r w:rsidRPr="00BA78CB">
              <w:rPr>
                <w:bCs/>
                <w:sz w:val="20"/>
              </w:rPr>
              <w:t>37.90</w:t>
            </w:r>
          </w:p>
        </w:tc>
        <w:tc>
          <w:tcPr>
            <w:tcW w:w="0" w:type="auto"/>
          </w:tcPr>
          <w:p w:rsidR="00071226" w:rsidRPr="00BA78CB" w:rsidRDefault="00071226" w:rsidP="00BA78CB">
            <w:pPr>
              <w:pStyle w:val="Tabletext"/>
              <w:jc w:val="center"/>
              <w:rPr>
                <w:bCs/>
                <w:sz w:val="20"/>
              </w:rPr>
            </w:pPr>
            <w:r w:rsidRPr="00BA78CB">
              <w:rPr>
                <w:bCs/>
                <w:sz w:val="20"/>
              </w:rPr>
              <w:t>21.3</w:t>
            </w:r>
          </w:p>
        </w:tc>
        <w:tc>
          <w:tcPr>
            <w:tcW w:w="0" w:type="auto"/>
          </w:tcPr>
          <w:p w:rsidR="00071226" w:rsidRPr="00BA78CB" w:rsidRDefault="00071226" w:rsidP="00BA78CB">
            <w:pPr>
              <w:pStyle w:val="Tabletext"/>
              <w:jc w:val="center"/>
              <w:rPr>
                <w:bCs/>
                <w:sz w:val="20"/>
              </w:rPr>
            </w:pPr>
            <w:r w:rsidRPr="00BA78CB">
              <w:rPr>
                <w:bCs/>
                <w:sz w:val="20"/>
              </w:rPr>
              <w:t>33.50</w:t>
            </w:r>
          </w:p>
        </w:tc>
        <w:tc>
          <w:tcPr>
            <w:tcW w:w="0" w:type="auto"/>
          </w:tcPr>
          <w:p w:rsidR="00071226" w:rsidRPr="00BA78CB" w:rsidRDefault="00071226" w:rsidP="00BA78CB">
            <w:pPr>
              <w:pStyle w:val="Tabletext"/>
              <w:jc w:val="center"/>
              <w:rPr>
                <w:bCs/>
                <w:sz w:val="20"/>
              </w:rPr>
            </w:pPr>
            <w:r w:rsidRPr="00BA78CB">
              <w:rPr>
                <w:bCs/>
                <w:sz w:val="20"/>
              </w:rPr>
              <w:t>16.9</w:t>
            </w:r>
          </w:p>
        </w:tc>
        <w:tc>
          <w:tcPr>
            <w:tcW w:w="1191" w:type="dxa"/>
          </w:tcPr>
          <w:p w:rsidR="00071226" w:rsidRPr="00BA78CB" w:rsidRDefault="00071226" w:rsidP="00BA78CB">
            <w:pPr>
              <w:pStyle w:val="Tabletext"/>
              <w:jc w:val="center"/>
              <w:rPr>
                <w:bCs/>
                <w:sz w:val="20"/>
              </w:rPr>
            </w:pPr>
            <w:r w:rsidRPr="00BA78CB">
              <w:rPr>
                <w:bCs/>
                <w:sz w:val="20"/>
              </w:rPr>
              <w:t>29.10</w:t>
            </w:r>
          </w:p>
        </w:tc>
      </w:tr>
      <w:tr w:rsidR="00BA78CB" w:rsidRPr="00BA78CB" w:rsidTr="001A535F">
        <w:trPr>
          <w:jc w:val="center"/>
        </w:trPr>
        <w:tc>
          <w:tcPr>
            <w:tcW w:w="0" w:type="auto"/>
          </w:tcPr>
          <w:p w:rsidR="00071226" w:rsidRPr="00BA78CB" w:rsidRDefault="00071226" w:rsidP="00BA78CB">
            <w:pPr>
              <w:pStyle w:val="Tabletext"/>
              <w:rPr>
                <w:sz w:val="20"/>
              </w:rPr>
            </w:pPr>
            <w:r w:rsidRPr="00BA78CB">
              <w:rPr>
                <w:sz w:val="20"/>
              </w:rPr>
              <w:t>TRMM-HGA</w:t>
            </w:r>
          </w:p>
        </w:tc>
        <w:tc>
          <w:tcPr>
            <w:tcW w:w="0" w:type="auto"/>
          </w:tcPr>
          <w:p w:rsidR="00071226" w:rsidRPr="00BA78CB" w:rsidRDefault="00071226" w:rsidP="00BA78CB">
            <w:pPr>
              <w:pStyle w:val="Tabletext"/>
              <w:jc w:val="center"/>
              <w:rPr>
                <w:bCs/>
                <w:sz w:val="20"/>
              </w:rPr>
            </w:pPr>
            <w:r w:rsidRPr="00BA78CB">
              <w:rPr>
                <w:bCs/>
                <w:sz w:val="20"/>
              </w:rPr>
              <w:t>513</w:t>
            </w:r>
          </w:p>
        </w:tc>
        <w:tc>
          <w:tcPr>
            <w:tcW w:w="0" w:type="auto"/>
          </w:tcPr>
          <w:p w:rsidR="00071226" w:rsidRPr="00BA78CB" w:rsidRDefault="00071226" w:rsidP="00BA78CB">
            <w:pPr>
              <w:pStyle w:val="Tabletext"/>
              <w:jc w:val="center"/>
              <w:rPr>
                <w:bCs/>
                <w:sz w:val="20"/>
              </w:rPr>
            </w:pPr>
            <w:r w:rsidRPr="00BA78CB">
              <w:rPr>
                <w:bCs/>
                <w:sz w:val="20"/>
              </w:rPr>
              <w:t>–201.50</w:t>
            </w:r>
          </w:p>
        </w:tc>
        <w:tc>
          <w:tcPr>
            <w:tcW w:w="0" w:type="auto"/>
          </w:tcPr>
          <w:p w:rsidR="00071226" w:rsidRPr="00BA78CB" w:rsidRDefault="00071226" w:rsidP="00BA78CB">
            <w:pPr>
              <w:pStyle w:val="Tabletext"/>
              <w:jc w:val="center"/>
              <w:rPr>
                <w:bCs/>
                <w:sz w:val="20"/>
              </w:rPr>
            </w:pPr>
            <w:r w:rsidRPr="00BA78CB">
              <w:rPr>
                <w:bCs/>
                <w:sz w:val="20"/>
              </w:rPr>
              <w:t>–12.50</w:t>
            </w:r>
          </w:p>
        </w:tc>
        <w:tc>
          <w:tcPr>
            <w:tcW w:w="0" w:type="auto"/>
          </w:tcPr>
          <w:p w:rsidR="00071226" w:rsidRPr="00BA78CB" w:rsidRDefault="00071226" w:rsidP="00BA78CB">
            <w:pPr>
              <w:pStyle w:val="Tabletext"/>
              <w:jc w:val="center"/>
              <w:rPr>
                <w:bCs/>
                <w:sz w:val="20"/>
              </w:rPr>
            </w:pPr>
            <w:r w:rsidRPr="00BA78CB">
              <w:rPr>
                <w:bCs/>
                <w:sz w:val="20"/>
              </w:rPr>
              <w:t>37.6</w:t>
            </w:r>
          </w:p>
        </w:tc>
        <w:tc>
          <w:tcPr>
            <w:tcW w:w="0" w:type="auto"/>
          </w:tcPr>
          <w:p w:rsidR="00071226" w:rsidRPr="00BA78CB" w:rsidRDefault="00071226" w:rsidP="00BA78CB">
            <w:pPr>
              <w:pStyle w:val="Tabletext"/>
              <w:jc w:val="center"/>
              <w:rPr>
                <w:bCs/>
                <w:sz w:val="20"/>
              </w:rPr>
            </w:pPr>
            <w:r w:rsidRPr="00BA78CB">
              <w:rPr>
                <w:bCs/>
                <w:sz w:val="20"/>
              </w:rPr>
              <w:t>50.10</w:t>
            </w:r>
          </w:p>
        </w:tc>
        <w:tc>
          <w:tcPr>
            <w:tcW w:w="0" w:type="auto"/>
          </w:tcPr>
          <w:p w:rsidR="00071226" w:rsidRPr="00BA78CB" w:rsidRDefault="00071226" w:rsidP="00BA78CB">
            <w:pPr>
              <w:pStyle w:val="Tabletext"/>
              <w:jc w:val="center"/>
              <w:rPr>
                <w:bCs/>
                <w:sz w:val="20"/>
              </w:rPr>
            </w:pPr>
            <w:r w:rsidRPr="00BA78CB">
              <w:rPr>
                <w:bCs/>
                <w:sz w:val="20"/>
              </w:rPr>
              <w:t>22.1</w:t>
            </w:r>
          </w:p>
        </w:tc>
        <w:tc>
          <w:tcPr>
            <w:tcW w:w="0" w:type="auto"/>
          </w:tcPr>
          <w:p w:rsidR="00071226" w:rsidRPr="00BA78CB" w:rsidRDefault="00071226" w:rsidP="00BA78CB">
            <w:pPr>
              <w:pStyle w:val="Tabletext"/>
              <w:jc w:val="center"/>
              <w:rPr>
                <w:bCs/>
                <w:sz w:val="20"/>
              </w:rPr>
            </w:pPr>
            <w:r w:rsidRPr="00BA78CB">
              <w:rPr>
                <w:bCs/>
                <w:sz w:val="20"/>
              </w:rPr>
              <w:t>34.60</w:t>
            </w:r>
          </w:p>
        </w:tc>
        <w:tc>
          <w:tcPr>
            <w:tcW w:w="0" w:type="auto"/>
          </w:tcPr>
          <w:p w:rsidR="00071226" w:rsidRPr="00BA78CB" w:rsidRDefault="00071226" w:rsidP="00BA78CB">
            <w:pPr>
              <w:pStyle w:val="Tabletext"/>
              <w:jc w:val="center"/>
              <w:rPr>
                <w:bCs/>
                <w:sz w:val="20"/>
              </w:rPr>
            </w:pPr>
            <w:r w:rsidRPr="00BA78CB">
              <w:rPr>
                <w:bCs/>
                <w:sz w:val="20"/>
              </w:rPr>
              <w:t>18.3</w:t>
            </w:r>
          </w:p>
        </w:tc>
        <w:tc>
          <w:tcPr>
            <w:tcW w:w="1191" w:type="dxa"/>
          </w:tcPr>
          <w:p w:rsidR="00071226" w:rsidRPr="00BA78CB" w:rsidRDefault="00071226" w:rsidP="00BA78CB">
            <w:pPr>
              <w:pStyle w:val="Tabletext"/>
              <w:jc w:val="center"/>
              <w:rPr>
                <w:bCs/>
                <w:sz w:val="20"/>
              </w:rPr>
            </w:pPr>
            <w:r w:rsidRPr="00BA78CB">
              <w:rPr>
                <w:bCs/>
                <w:sz w:val="20"/>
              </w:rPr>
              <w:t>30.80</w:t>
            </w:r>
          </w:p>
        </w:tc>
      </w:tr>
    </w:tbl>
    <w:p w:rsidR="00071226" w:rsidRPr="00245E64" w:rsidRDefault="00245E64" w:rsidP="00071226">
      <w:pPr>
        <w:pStyle w:val="TableNo"/>
        <w:rPr>
          <w:lang w:val="en-US"/>
        </w:rPr>
      </w:pPr>
      <w:r w:rsidRPr="00245E64">
        <w:rPr>
          <w:lang w:val="en-US"/>
        </w:rPr>
        <w:lastRenderedPageBreak/>
        <w:t xml:space="preserve">TABLE </w:t>
      </w:r>
      <w:r w:rsidR="00071226" w:rsidRPr="00245E64">
        <w:rPr>
          <w:lang w:val="en-US"/>
        </w:rPr>
        <w:t>8</w:t>
      </w:r>
    </w:p>
    <w:p w:rsidR="00071226" w:rsidRPr="008839C1" w:rsidRDefault="00071226" w:rsidP="00245E64">
      <w:pPr>
        <w:pStyle w:val="Tabletitle"/>
        <w:rPr>
          <w:lang w:val="en-US"/>
        </w:rPr>
      </w:pPr>
      <w:r w:rsidRPr="008839C1">
        <w:rPr>
          <w:lang w:val="en-US"/>
        </w:rPr>
        <w:t>Potential interference from the base-stations</w:t>
      </w:r>
      <w:r w:rsidR="00245E64">
        <w:rPr>
          <w:lang w:val="en-US"/>
        </w:rPr>
        <w:t xml:space="preserve"> </w:t>
      </w:r>
      <w:r w:rsidRPr="008839C1">
        <w:rPr>
          <w:lang w:val="en-US"/>
        </w:rPr>
        <w:t>(Recommendation ITU-R F.1336 antenna)</w:t>
      </w:r>
      <w:r w:rsidRPr="008839C1">
        <w:rPr>
          <w:lang w:val="en-US"/>
        </w:rPr>
        <w:br/>
        <w:t>into typical NASA TDRS forward links with</w:t>
      </w:r>
      <w:r w:rsidR="00245E64">
        <w:rPr>
          <w:lang w:val="en-US"/>
        </w:rPr>
        <w:t xml:space="preserve"> </w:t>
      </w:r>
      <w:r w:rsidRPr="008839C1">
        <w:rPr>
          <w:lang w:val="en-US"/>
        </w:rPr>
        <w:t>50% time-frequency resource loading</w:t>
      </w:r>
    </w:p>
    <w:tbl>
      <w:tblPr>
        <w:tblW w:w="9639" w:type="dxa"/>
        <w:jc w:val="center"/>
        <w:tblLook w:val="04A0" w:firstRow="1" w:lastRow="0" w:firstColumn="1" w:lastColumn="0" w:noHBand="0" w:noVBand="1"/>
      </w:tblPr>
      <w:tblGrid>
        <w:gridCol w:w="1136"/>
        <w:gridCol w:w="623"/>
        <w:gridCol w:w="1100"/>
        <w:gridCol w:w="1047"/>
        <w:gridCol w:w="686"/>
        <w:gridCol w:w="1225"/>
        <w:gridCol w:w="686"/>
        <w:gridCol w:w="1225"/>
        <w:gridCol w:w="686"/>
        <w:gridCol w:w="1225"/>
      </w:tblGrid>
      <w:tr w:rsidR="00071226" w:rsidRPr="00BA78CB" w:rsidTr="001A535F">
        <w:trPr>
          <w:jc w:val="center"/>
        </w:trPr>
        <w:tc>
          <w:tcPr>
            <w:tcW w:w="0" w:type="auto"/>
            <w:gridSpan w:val="4"/>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Visibility Elevation Mask (</w:t>
            </w:r>
            <w:r w:rsidR="00546F9D" w:rsidRPr="00BA78CB">
              <w:rPr>
                <w:sz w:val="20"/>
              </w:rPr>
              <w:t>degrees</w:t>
            </w:r>
            <w:r w:rsidRPr="00BA78CB">
              <w:rPr>
                <w:sz w:val="20"/>
              </w:rPr>
              <w:t>)</w:t>
            </w:r>
          </w:p>
        </w:tc>
        <w:tc>
          <w:tcPr>
            <w:tcW w:w="0" w:type="auto"/>
            <w:gridSpan w:val="2"/>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0 degrees</w:t>
            </w:r>
          </w:p>
        </w:tc>
        <w:tc>
          <w:tcPr>
            <w:tcW w:w="0" w:type="auto"/>
            <w:gridSpan w:val="2"/>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20 degrees</w:t>
            </w:r>
          </w:p>
        </w:tc>
        <w:tc>
          <w:tcPr>
            <w:tcW w:w="0" w:type="auto"/>
            <w:gridSpan w:val="2"/>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45 degrees</w:t>
            </w:r>
          </w:p>
        </w:tc>
      </w:tr>
      <w:tr w:rsidR="00071226" w:rsidRPr="00BA78CB" w:rsidTr="001A535F">
        <w:trPr>
          <w:jc w:val="center"/>
        </w:trPr>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User Spacecraft</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SNT (K)</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No (dBW/Hz)</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Io/No threshold (dB)</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I/N (dB) @ 0.1%</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Exceedance (dB)</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I/N (dB) @ 0.1%</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Exceedance (dB)</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I/N (dB) @ 0.1%</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head"/>
              <w:rPr>
                <w:sz w:val="20"/>
              </w:rPr>
            </w:pPr>
            <w:r w:rsidRPr="00BA78CB">
              <w:rPr>
                <w:sz w:val="20"/>
              </w:rPr>
              <w:t>Exceedance (dB)</w:t>
            </w:r>
          </w:p>
        </w:tc>
      </w:tr>
      <w:tr w:rsidR="00071226" w:rsidRPr="00BA78CB" w:rsidTr="001A535F">
        <w:trPr>
          <w:jc w:val="center"/>
        </w:trPr>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rPr>
                <w:sz w:val="20"/>
              </w:rPr>
            </w:pPr>
            <w:r w:rsidRPr="00BA78CB">
              <w:rPr>
                <w:sz w:val="20"/>
              </w:rPr>
              <w:t>TERRA</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410</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–202.47</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–11.53</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36.9</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48.43</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25.4</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36.93</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22.1</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33.63</w:t>
            </w:r>
          </w:p>
        </w:tc>
      </w:tr>
      <w:tr w:rsidR="00071226" w:rsidRPr="00BA78CB" w:rsidTr="001A535F">
        <w:trPr>
          <w:jc w:val="center"/>
        </w:trPr>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rPr>
                <w:sz w:val="20"/>
              </w:rPr>
            </w:pPr>
            <w:r w:rsidRPr="00BA78CB">
              <w:rPr>
                <w:sz w:val="20"/>
              </w:rPr>
              <w:t>Cygnus</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1849</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–195.93</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–18.07</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24.2</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42.27</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19.5</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37.57</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15</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33.07</w:t>
            </w:r>
          </w:p>
        </w:tc>
      </w:tr>
      <w:tr w:rsidR="00071226" w:rsidRPr="00BA78CB" w:rsidTr="001A535F">
        <w:trPr>
          <w:jc w:val="center"/>
        </w:trPr>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rPr>
                <w:sz w:val="20"/>
              </w:rPr>
            </w:pPr>
            <w:r w:rsidRPr="00BA78CB">
              <w:rPr>
                <w:sz w:val="20"/>
              </w:rPr>
              <w:t>GPM</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226</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–205.06</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–8.94</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41.4</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50.34</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30.5</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39.44</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25.7</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34.64</w:t>
            </w:r>
          </w:p>
        </w:tc>
      </w:tr>
      <w:tr w:rsidR="00071226" w:rsidRPr="00BA78CB" w:rsidTr="001A535F">
        <w:trPr>
          <w:jc w:val="center"/>
        </w:trPr>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rPr>
                <w:sz w:val="20"/>
              </w:rPr>
            </w:pPr>
            <w:r w:rsidRPr="00BA78CB">
              <w:rPr>
                <w:sz w:val="20"/>
              </w:rPr>
              <w:t>ISS-LGA</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479</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–201.80</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–12.20</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29.6</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41.80</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25.2</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37.40</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20.9</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33.10</w:t>
            </w:r>
          </w:p>
        </w:tc>
      </w:tr>
      <w:tr w:rsidR="00071226" w:rsidRPr="00BA78CB" w:rsidTr="001A535F">
        <w:trPr>
          <w:jc w:val="center"/>
        </w:trPr>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rPr>
                <w:sz w:val="20"/>
              </w:rPr>
            </w:pPr>
            <w:r w:rsidRPr="00BA78CB">
              <w:rPr>
                <w:sz w:val="20"/>
              </w:rPr>
              <w:t>TRMM-HGA</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513</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–201.50</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–12.50</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41.8</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54.30</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26.1</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38.60</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22.3</w:t>
            </w:r>
          </w:p>
        </w:tc>
        <w:tc>
          <w:tcPr>
            <w:tcW w:w="0" w:type="auto"/>
            <w:tcBorders>
              <w:top w:val="single" w:sz="4" w:space="0" w:color="auto"/>
              <w:left w:val="single" w:sz="4" w:space="0" w:color="auto"/>
              <w:bottom w:val="single" w:sz="4" w:space="0" w:color="auto"/>
              <w:right w:val="single" w:sz="4" w:space="0" w:color="auto"/>
            </w:tcBorders>
          </w:tcPr>
          <w:p w:rsidR="00071226" w:rsidRPr="00BA78CB" w:rsidRDefault="00071226" w:rsidP="00BA78CB">
            <w:pPr>
              <w:pStyle w:val="Tabletext"/>
              <w:jc w:val="center"/>
              <w:rPr>
                <w:bCs/>
                <w:sz w:val="20"/>
              </w:rPr>
            </w:pPr>
            <w:r w:rsidRPr="00BA78CB">
              <w:rPr>
                <w:bCs/>
                <w:sz w:val="20"/>
              </w:rPr>
              <w:t>34.80</w:t>
            </w:r>
          </w:p>
        </w:tc>
      </w:tr>
    </w:tbl>
    <w:p w:rsidR="00071226" w:rsidRPr="00670132" w:rsidRDefault="00071226" w:rsidP="00071226">
      <w:pPr>
        <w:pStyle w:val="FigureNo"/>
        <w:spacing w:before="600"/>
      </w:pPr>
      <w:bookmarkStart w:id="16" w:name="_Ref353207675"/>
      <w:r w:rsidRPr="00670132">
        <w:t xml:space="preserve">Figure </w:t>
      </w:r>
      <w:bookmarkEnd w:id="16"/>
      <w:r>
        <w:t>7</w:t>
      </w:r>
    </w:p>
    <w:p w:rsidR="00071226" w:rsidRPr="008839C1" w:rsidRDefault="00071226" w:rsidP="00071226">
      <w:pPr>
        <w:pStyle w:val="Figuretitle"/>
        <w:spacing w:after="240"/>
        <w:rPr>
          <w:lang w:val="en-US"/>
        </w:rPr>
      </w:pPr>
      <w:r w:rsidRPr="008839C1">
        <w:rPr>
          <w:lang w:val="en-US"/>
        </w:rPr>
        <w:t xml:space="preserve">Potential interference from LTE base-stations into GPM forward link taking into </w:t>
      </w:r>
      <w:r w:rsidRPr="008839C1">
        <w:rPr>
          <w:lang w:val="en-US"/>
        </w:rPr>
        <w:br/>
        <w:t>accoun</w:t>
      </w:r>
      <w:r w:rsidR="00BA78CB">
        <w:rPr>
          <w:lang w:val="en-US"/>
        </w:rPr>
        <w:t>t site shielding elevation mask</w:t>
      </w:r>
    </w:p>
    <w:p w:rsidR="00071226" w:rsidRDefault="00071226" w:rsidP="00071226">
      <w:pPr>
        <w:jc w:val="center"/>
      </w:pPr>
      <w:r w:rsidRPr="008755CA">
        <w:rPr>
          <w:noProof/>
          <w:lang w:val="en-US" w:eastAsia="zh-CN"/>
        </w:rPr>
        <w:drawing>
          <wp:inline distT="0" distB="0" distL="0" distR="0" wp14:anchorId="0E8AD143" wp14:editId="7E8AB0F5">
            <wp:extent cx="6111025" cy="379581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111" cy="3798974"/>
                    </a:xfrm>
                    <a:prstGeom prst="rect">
                      <a:avLst/>
                    </a:prstGeom>
                    <a:noFill/>
                  </pic:spPr>
                </pic:pic>
              </a:graphicData>
            </a:graphic>
          </wp:inline>
        </w:drawing>
      </w:r>
    </w:p>
    <w:p w:rsidR="00546F9D" w:rsidRPr="003262DD" w:rsidRDefault="00546F9D" w:rsidP="00546F9D"/>
    <w:p w:rsidR="00071226" w:rsidRPr="008839C1" w:rsidRDefault="00071226" w:rsidP="00C309C4">
      <w:pPr>
        <w:pStyle w:val="Heading3"/>
        <w:rPr>
          <w:rFonts w:asciiTheme="majorBidi" w:hAnsiTheme="majorBidi"/>
          <w:lang w:val="en-US"/>
        </w:rPr>
      </w:pPr>
      <w:bookmarkStart w:id="17" w:name="_Toc362524741"/>
      <w:r w:rsidRPr="008839C1">
        <w:rPr>
          <w:rFonts w:asciiTheme="majorBidi" w:hAnsiTheme="majorBidi"/>
          <w:lang w:val="en-US"/>
        </w:rPr>
        <w:lastRenderedPageBreak/>
        <w:t>4.1.2</w:t>
      </w:r>
      <w:r w:rsidRPr="008839C1">
        <w:rPr>
          <w:rFonts w:asciiTheme="majorBidi" w:hAnsiTheme="majorBidi"/>
          <w:lang w:val="en-US"/>
        </w:rPr>
        <w:tab/>
        <w:t>Potential interference from LTE base-stations in the frequency band 2 200-2 290 MHz</w:t>
      </w:r>
      <w:bookmarkEnd w:id="17"/>
    </w:p>
    <w:p w:rsidR="00071226" w:rsidRPr="008839C1" w:rsidRDefault="00071226" w:rsidP="00546F9D">
      <w:pPr>
        <w:keepNext/>
        <w:keepLines/>
        <w:rPr>
          <w:lang w:val="en-US"/>
        </w:rPr>
      </w:pPr>
      <w:bookmarkStart w:id="18" w:name="_Toc362524742"/>
      <w:r w:rsidRPr="008839C1">
        <w:rPr>
          <w:lang w:val="en-US"/>
        </w:rPr>
        <w:t xml:space="preserve">Table 9, Table 10 and </w:t>
      </w:r>
      <w:r w:rsidR="00546F9D" w:rsidRPr="00546F9D">
        <w:rPr>
          <w:lang w:val="en-US"/>
        </w:rPr>
        <w:t>Fig.</w:t>
      </w:r>
      <w:r w:rsidRPr="008839C1">
        <w:rPr>
          <w:lang w:val="en-US"/>
        </w:rPr>
        <w:t xml:space="preserve"> 8 present the results of analyses considering the potential for sharing with LTE base-stations in the frequency band 2 200-2 290 MHz.</w:t>
      </w:r>
      <w:r w:rsidR="00BF1B1C">
        <w:rPr>
          <w:lang w:val="en-US"/>
        </w:rPr>
        <w:t xml:space="preserve"> </w:t>
      </w:r>
      <w:r w:rsidRPr="008839C1">
        <w:rPr>
          <w:lang w:val="en-US"/>
        </w:rPr>
        <w:t>These analyses considered base-station transmitters using the antenna pattern of Recommendation ITU</w:t>
      </w:r>
      <w:r w:rsidRPr="008839C1">
        <w:rPr>
          <w:lang w:val="en-US"/>
        </w:rPr>
        <w:noBreakHyphen/>
        <w:t xml:space="preserve">R F.1336, </w:t>
      </w:r>
      <w:r w:rsidRPr="008839C1">
        <w:rPr>
          <w:i/>
          <w:lang w:val="en-US"/>
        </w:rPr>
        <w:t>recommends</w:t>
      </w:r>
      <w:r w:rsidRPr="008839C1">
        <w:rPr>
          <w:lang w:val="en-US"/>
        </w:rPr>
        <w:t xml:space="preserve"> 3.1 (</w:t>
      </w:r>
      <w:r w:rsidR="00546F9D" w:rsidRPr="008839C1">
        <w:rPr>
          <w:lang w:val="en-US"/>
        </w:rPr>
        <w:t xml:space="preserve">see </w:t>
      </w:r>
      <w:r w:rsidR="00546F9D" w:rsidRPr="00546F9D">
        <w:rPr>
          <w:lang w:val="en-US"/>
        </w:rPr>
        <w:t>Annex</w:t>
      </w:r>
      <w:r w:rsidR="00546F9D">
        <w:rPr>
          <w:lang w:val="en-US"/>
        </w:rPr>
        <w:t> </w:t>
      </w:r>
      <w:r w:rsidRPr="008839C1">
        <w:rPr>
          <w:lang w:val="en-US"/>
        </w:rPr>
        <w:t>C) for the base-station sector antenna. In each analysis, several loading scenarios, corresponding to the peak LTE base-station transmit power was modelled. The analysis considered a shielding model assuming full signal blockage at elevation angles below 0, 20, and 45 degrees between the base-station and the TDRS 41° West satellite in order to consider hypothetical best- and worst-case scenarios (e.g. a 20 degree elevation mask means that only LTE base-stations which have visibility to the 41° West TDRS satellite above 20 degrees contribute to the aggregate interference).</w:t>
      </w:r>
      <w:r w:rsidR="00BF1B1C">
        <w:rPr>
          <w:lang w:val="en-US"/>
        </w:rPr>
        <w:t xml:space="preserve"> </w:t>
      </w:r>
      <w:r w:rsidRPr="008839C1">
        <w:rPr>
          <w:lang w:val="en-US"/>
        </w:rPr>
        <w:t>Base-station heights are above clutter heights in suburban and rural zones.</w:t>
      </w:r>
      <w:r w:rsidR="00BF1B1C">
        <w:rPr>
          <w:lang w:val="en-US"/>
        </w:rPr>
        <w:t xml:space="preserve"> </w:t>
      </w:r>
      <w:r w:rsidRPr="008839C1">
        <w:rPr>
          <w:lang w:val="en-US"/>
        </w:rPr>
        <w:t>As mentioned previously, all base-stations below roof tops in urban zones (50%) were completely excluded from the analysis (i.e. complete blockage was assumed for base-stations below urban roof tops).</w:t>
      </w:r>
    </w:p>
    <w:p w:rsidR="00071226" w:rsidRPr="008839C1" w:rsidRDefault="00245E64" w:rsidP="00245E64">
      <w:pPr>
        <w:pStyle w:val="TableNo"/>
        <w:rPr>
          <w:lang w:val="en-US"/>
        </w:rPr>
      </w:pPr>
      <w:r w:rsidRPr="008839C1">
        <w:rPr>
          <w:lang w:val="en-US"/>
        </w:rPr>
        <w:t xml:space="preserve">TABLE </w:t>
      </w:r>
      <w:r w:rsidR="00071226" w:rsidRPr="008839C1">
        <w:rPr>
          <w:lang w:val="en-US"/>
        </w:rPr>
        <w:t>9</w:t>
      </w:r>
    </w:p>
    <w:p w:rsidR="00071226" w:rsidRPr="008839C1" w:rsidRDefault="00071226" w:rsidP="00245E64">
      <w:pPr>
        <w:pStyle w:val="Tabletitle"/>
        <w:rPr>
          <w:lang w:val="en-US"/>
        </w:rPr>
      </w:pPr>
      <w:r w:rsidRPr="008839C1">
        <w:rPr>
          <w:lang w:val="en-US"/>
        </w:rPr>
        <w:t>Potential interference from base-stations (Recommendation ITU-R F.1336 antenna)</w:t>
      </w:r>
      <w:r w:rsidR="00245E64">
        <w:rPr>
          <w:lang w:val="en-US"/>
        </w:rPr>
        <w:br/>
      </w:r>
      <w:r w:rsidRPr="008839C1">
        <w:rPr>
          <w:lang w:val="en-US"/>
        </w:rPr>
        <w:t>using elevation mask clutter attenuation into typical NASA TDRS return links</w:t>
      </w:r>
      <w:r w:rsidR="00245E64">
        <w:rPr>
          <w:lang w:val="en-US"/>
        </w:rPr>
        <w:br/>
      </w:r>
      <w:r w:rsidRPr="008839C1">
        <w:rPr>
          <w:lang w:val="en-US"/>
        </w:rPr>
        <w:t>and 20% time-frequency resource loading</w:t>
      </w:r>
    </w:p>
    <w:tbl>
      <w:tblPr>
        <w:tblW w:w="9639" w:type="dxa"/>
        <w:jc w:val="center"/>
        <w:tblLook w:val="04A0" w:firstRow="1" w:lastRow="0" w:firstColumn="1" w:lastColumn="0" w:noHBand="0" w:noVBand="1"/>
      </w:tblPr>
      <w:tblGrid>
        <w:gridCol w:w="2025"/>
        <w:gridCol w:w="1092"/>
        <w:gridCol w:w="1446"/>
        <w:gridCol w:w="1092"/>
        <w:gridCol w:w="1446"/>
        <w:gridCol w:w="1092"/>
        <w:gridCol w:w="1446"/>
      </w:tblGrid>
      <w:tr w:rsidR="00071226" w:rsidRPr="003262DD" w:rsidTr="001A535F">
        <w:trPr>
          <w:jc w:val="center"/>
        </w:trPr>
        <w:tc>
          <w:tcPr>
            <w:tcW w:w="0" w:type="auto"/>
            <w:tcBorders>
              <w:top w:val="single" w:sz="4" w:space="0" w:color="auto"/>
              <w:left w:val="single" w:sz="4" w:space="0" w:color="auto"/>
              <w:bottom w:val="single" w:sz="4" w:space="0" w:color="auto"/>
              <w:right w:val="single" w:sz="4" w:space="0" w:color="auto"/>
            </w:tcBorders>
          </w:tcPr>
          <w:p w:rsidR="00071226" w:rsidRPr="003262DD" w:rsidRDefault="00071226" w:rsidP="00245E64">
            <w:pPr>
              <w:pStyle w:val="Tablehead"/>
            </w:pPr>
            <w:r w:rsidRPr="003262DD">
              <w:t>Visibility Elevation Mask (</w:t>
            </w:r>
            <w:r w:rsidR="00245E64" w:rsidRPr="00BA78CB">
              <w:rPr>
                <w:sz w:val="20"/>
              </w:rPr>
              <w:t>degrees</w:t>
            </w:r>
            <w:r w:rsidRPr="003262DD">
              <w:t>)</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071226" w:rsidRPr="003262DD" w:rsidRDefault="00071226" w:rsidP="00245E64">
            <w:pPr>
              <w:pStyle w:val="Tablehead"/>
            </w:pPr>
            <w:r w:rsidRPr="003262DD">
              <w:t>0 degrees</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071226" w:rsidRPr="003262DD" w:rsidRDefault="00071226" w:rsidP="00245E64">
            <w:pPr>
              <w:pStyle w:val="Tablehead"/>
            </w:pPr>
            <w:r w:rsidRPr="003262DD">
              <w:t>20 degrees</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071226" w:rsidRPr="003262DD" w:rsidRDefault="00071226" w:rsidP="00245E64">
            <w:pPr>
              <w:pStyle w:val="Tablehead"/>
            </w:pPr>
            <w:r w:rsidRPr="003262DD">
              <w:t>45 degrees</w:t>
            </w:r>
          </w:p>
        </w:tc>
      </w:tr>
      <w:tr w:rsidR="00071226" w:rsidRPr="003262DD" w:rsidTr="001A535F">
        <w:trPr>
          <w:jc w:val="center"/>
        </w:trPr>
        <w:tc>
          <w:tcPr>
            <w:tcW w:w="0" w:type="auto"/>
            <w:vMerge w:val="restart"/>
            <w:tcBorders>
              <w:top w:val="single" w:sz="4" w:space="0" w:color="auto"/>
              <w:left w:val="single" w:sz="4" w:space="0" w:color="auto"/>
              <w:bottom w:val="single" w:sz="4" w:space="0" w:color="auto"/>
              <w:right w:val="single" w:sz="4" w:space="0" w:color="auto"/>
            </w:tcBorders>
          </w:tcPr>
          <w:p w:rsidR="00071226" w:rsidRPr="003262DD" w:rsidRDefault="00071226" w:rsidP="00245E64">
            <w:pPr>
              <w:pStyle w:val="Tabletext"/>
            </w:pPr>
          </w:p>
        </w:tc>
        <w:tc>
          <w:tcPr>
            <w:tcW w:w="0" w:type="auto"/>
            <w:tcBorders>
              <w:top w:val="single" w:sz="4" w:space="0" w:color="auto"/>
              <w:left w:val="single" w:sz="4" w:space="0" w:color="auto"/>
              <w:bottom w:val="single" w:sz="4" w:space="0" w:color="auto"/>
              <w:right w:val="single" w:sz="4" w:space="0" w:color="auto"/>
            </w:tcBorders>
          </w:tcPr>
          <w:p w:rsidR="00071226" w:rsidRPr="00FF046D" w:rsidRDefault="00071226" w:rsidP="00245E64">
            <w:pPr>
              <w:pStyle w:val="Tabletext"/>
              <w:jc w:val="center"/>
              <w:rPr>
                <w:rFonts w:asciiTheme="majorBidi" w:hAnsiTheme="majorBidi" w:cstheme="majorBidi"/>
              </w:rPr>
            </w:pPr>
            <w:r w:rsidRPr="00FF046D">
              <w:rPr>
                <w:rFonts w:asciiTheme="majorBidi" w:hAnsiTheme="majorBidi" w:cstheme="majorBidi"/>
              </w:rPr>
              <w:t>I/N (</w:t>
            </w:r>
            <w:r>
              <w:rPr>
                <w:rFonts w:asciiTheme="majorBidi" w:hAnsiTheme="majorBidi" w:cstheme="majorBidi"/>
              </w:rPr>
              <w:t>dB</w:t>
            </w:r>
            <w:r w:rsidRPr="00FF046D">
              <w:rPr>
                <w:rFonts w:asciiTheme="majorBidi" w:hAnsiTheme="majorBidi" w:cstheme="majorBidi"/>
              </w:rPr>
              <w:t>) @ 0.1%</w:t>
            </w:r>
          </w:p>
        </w:tc>
        <w:tc>
          <w:tcPr>
            <w:tcW w:w="0" w:type="auto"/>
            <w:tcBorders>
              <w:top w:val="single" w:sz="4" w:space="0" w:color="auto"/>
              <w:left w:val="single" w:sz="4" w:space="0" w:color="auto"/>
              <w:bottom w:val="single" w:sz="4" w:space="0" w:color="auto"/>
              <w:right w:val="single" w:sz="4" w:space="0" w:color="auto"/>
            </w:tcBorders>
          </w:tcPr>
          <w:p w:rsidR="00071226" w:rsidRPr="00FF046D" w:rsidRDefault="00071226" w:rsidP="00245E64">
            <w:pPr>
              <w:pStyle w:val="Tabletext"/>
              <w:jc w:val="center"/>
              <w:rPr>
                <w:rFonts w:asciiTheme="majorBidi" w:hAnsiTheme="majorBidi" w:cstheme="majorBidi"/>
              </w:rPr>
            </w:pPr>
            <w:r w:rsidRPr="00FF046D">
              <w:rPr>
                <w:rFonts w:asciiTheme="majorBidi" w:hAnsiTheme="majorBidi" w:cstheme="majorBidi"/>
              </w:rPr>
              <w:t>Exceedance (</w:t>
            </w:r>
            <w:r>
              <w:rPr>
                <w:rFonts w:asciiTheme="majorBidi" w:hAnsiTheme="majorBidi" w:cstheme="majorBidi"/>
              </w:rPr>
              <w:t>dB</w:t>
            </w:r>
            <w:r w:rsidRPr="00FF046D">
              <w:rPr>
                <w:rFonts w:asciiTheme="majorBidi" w:hAnsiTheme="majorBidi" w:cstheme="majorBidi"/>
              </w:rPr>
              <w:t>)</w:t>
            </w:r>
          </w:p>
        </w:tc>
        <w:tc>
          <w:tcPr>
            <w:tcW w:w="0" w:type="auto"/>
            <w:tcBorders>
              <w:top w:val="single" w:sz="4" w:space="0" w:color="auto"/>
              <w:left w:val="single" w:sz="4" w:space="0" w:color="auto"/>
              <w:bottom w:val="single" w:sz="4" w:space="0" w:color="auto"/>
              <w:right w:val="single" w:sz="4" w:space="0" w:color="auto"/>
            </w:tcBorders>
          </w:tcPr>
          <w:p w:rsidR="00071226" w:rsidRPr="00FF046D" w:rsidRDefault="00071226" w:rsidP="00245E64">
            <w:pPr>
              <w:pStyle w:val="Tabletext"/>
              <w:jc w:val="center"/>
              <w:rPr>
                <w:rFonts w:asciiTheme="majorBidi" w:hAnsiTheme="majorBidi" w:cstheme="majorBidi"/>
              </w:rPr>
            </w:pPr>
            <w:r w:rsidRPr="00FF046D">
              <w:rPr>
                <w:rFonts w:asciiTheme="majorBidi" w:hAnsiTheme="majorBidi" w:cstheme="majorBidi"/>
              </w:rPr>
              <w:t>I/N (</w:t>
            </w:r>
            <w:r>
              <w:rPr>
                <w:rFonts w:asciiTheme="majorBidi" w:hAnsiTheme="majorBidi" w:cstheme="majorBidi"/>
              </w:rPr>
              <w:t>dB</w:t>
            </w:r>
            <w:r w:rsidRPr="00FF046D">
              <w:rPr>
                <w:rFonts w:asciiTheme="majorBidi" w:hAnsiTheme="majorBidi" w:cstheme="majorBidi"/>
              </w:rPr>
              <w:t>) @ 0.1%</w:t>
            </w:r>
          </w:p>
        </w:tc>
        <w:tc>
          <w:tcPr>
            <w:tcW w:w="0" w:type="auto"/>
            <w:tcBorders>
              <w:top w:val="single" w:sz="4" w:space="0" w:color="auto"/>
              <w:left w:val="single" w:sz="4" w:space="0" w:color="auto"/>
              <w:bottom w:val="single" w:sz="4" w:space="0" w:color="auto"/>
              <w:right w:val="single" w:sz="4" w:space="0" w:color="auto"/>
            </w:tcBorders>
          </w:tcPr>
          <w:p w:rsidR="00071226" w:rsidRPr="00FF046D" w:rsidRDefault="00071226" w:rsidP="00245E64">
            <w:pPr>
              <w:pStyle w:val="Tabletext"/>
              <w:jc w:val="center"/>
              <w:rPr>
                <w:rFonts w:asciiTheme="majorBidi" w:hAnsiTheme="majorBidi" w:cstheme="majorBidi"/>
              </w:rPr>
            </w:pPr>
            <w:r w:rsidRPr="00FF046D">
              <w:rPr>
                <w:rFonts w:asciiTheme="majorBidi" w:hAnsiTheme="majorBidi" w:cstheme="majorBidi"/>
              </w:rPr>
              <w:t>Exceedance (</w:t>
            </w:r>
            <w:r>
              <w:rPr>
                <w:rFonts w:asciiTheme="majorBidi" w:hAnsiTheme="majorBidi" w:cstheme="majorBidi"/>
              </w:rPr>
              <w:t>dB</w:t>
            </w:r>
            <w:r w:rsidRPr="00FF046D">
              <w:rPr>
                <w:rFonts w:asciiTheme="majorBidi" w:hAnsiTheme="majorBidi" w:cstheme="majorBidi"/>
              </w:rPr>
              <w:t>)</w:t>
            </w:r>
          </w:p>
        </w:tc>
        <w:tc>
          <w:tcPr>
            <w:tcW w:w="0" w:type="auto"/>
            <w:tcBorders>
              <w:top w:val="single" w:sz="4" w:space="0" w:color="auto"/>
              <w:left w:val="single" w:sz="4" w:space="0" w:color="auto"/>
              <w:bottom w:val="single" w:sz="4" w:space="0" w:color="auto"/>
              <w:right w:val="single" w:sz="4" w:space="0" w:color="auto"/>
            </w:tcBorders>
          </w:tcPr>
          <w:p w:rsidR="00071226" w:rsidRPr="00FF046D" w:rsidRDefault="00071226" w:rsidP="00245E64">
            <w:pPr>
              <w:pStyle w:val="Tabletext"/>
              <w:jc w:val="center"/>
              <w:rPr>
                <w:rFonts w:asciiTheme="majorBidi" w:hAnsiTheme="majorBidi" w:cstheme="majorBidi"/>
              </w:rPr>
            </w:pPr>
            <w:r w:rsidRPr="00FF046D">
              <w:rPr>
                <w:rFonts w:asciiTheme="majorBidi" w:hAnsiTheme="majorBidi" w:cstheme="majorBidi"/>
              </w:rPr>
              <w:t>I/N (</w:t>
            </w:r>
            <w:r>
              <w:rPr>
                <w:rFonts w:asciiTheme="majorBidi" w:hAnsiTheme="majorBidi" w:cstheme="majorBidi"/>
              </w:rPr>
              <w:t>dB</w:t>
            </w:r>
            <w:r w:rsidRPr="00FF046D">
              <w:rPr>
                <w:rFonts w:asciiTheme="majorBidi" w:hAnsiTheme="majorBidi" w:cstheme="majorBidi"/>
              </w:rPr>
              <w:t>) @ 0.1%</w:t>
            </w:r>
          </w:p>
        </w:tc>
        <w:tc>
          <w:tcPr>
            <w:tcW w:w="0" w:type="auto"/>
            <w:tcBorders>
              <w:top w:val="single" w:sz="4" w:space="0" w:color="auto"/>
              <w:left w:val="single" w:sz="4" w:space="0" w:color="auto"/>
              <w:bottom w:val="single" w:sz="4" w:space="0" w:color="auto"/>
              <w:right w:val="single" w:sz="4" w:space="0" w:color="auto"/>
            </w:tcBorders>
          </w:tcPr>
          <w:p w:rsidR="00071226" w:rsidRPr="00FF046D" w:rsidRDefault="00071226" w:rsidP="00245E64">
            <w:pPr>
              <w:pStyle w:val="Tabletext"/>
              <w:jc w:val="center"/>
              <w:rPr>
                <w:rFonts w:asciiTheme="majorBidi" w:hAnsiTheme="majorBidi" w:cstheme="majorBidi"/>
              </w:rPr>
            </w:pPr>
            <w:r w:rsidRPr="00FF046D">
              <w:rPr>
                <w:rFonts w:asciiTheme="majorBidi" w:hAnsiTheme="majorBidi" w:cstheme="majorBidi"/>
              </w:rPr>
              <w:t>Exceedance (</w:t>
            </w:r>
            <w:r>
              <w:rPr>
                <w:rFonts w:asciiTheme="majorBidi" w:hAnsiTheme="majorBidi" w:cstheme="majorBidi"/>
              </w:rPr>
              <w:t>dB</w:t>
            </w:r>
            <w:r w:rsidRPr="00FF046D">
              <w:rPr>
                <w:rFonts w:asciiTheme="majorBidi" w:hAnsiTheme="majorBidi" w:cstheme="majorBidi"/>
              </w:rPr>
              <w:t>)</w:t>
            </w:r>
          </w:p>
        </w:tc>
      </w:tr>
      <w:tr w:rsidR="00071226" w:rsidRPr="003262DD" w:rsidTr="001A535F">
        <w:trPr>
          <w:jc w:val="center"/>
        </w:trPr>
        <w:tc>
          <w:tcPr>
            <w:tcW w:w="0" w:type="auto"/>
            <w:vMerge/>
            <w:tcBorders>
              <w:top w:val="single" w:sz="4" w:space="0" w:color="auto"/>
              <w:left w:val="single" w:sz="4" w:space="0" w:color="auto"/>
              <w:bottom w:val="single" w:sz="4" w:space="0" w:color="auto"/>
              <w:right w:val="single" w:sz="4" w:space="0" w:color="auto"/>
            </w:tcBorders>
          </w:tcPr>
          <w:p w:rsidR="00071226" w:rsidRPr="003262DD" w:rsidRDefault="00071226" w:rsidP="00245E64">
            <w:pPr>
              <w:pStyle w:val="Tabletext"/>
              <w:rPr>
                <w:rFonts w:ascii="Calibri" w:hAnsi="Calibri"/>
                <w:bCs/>
              </w:rPr>
            </w:pPr>
          </w:p>
        </w:tc>
        <w:tc>
          <w:tcPr>
            <w:tcW w:w="0" w:type="auto"/>
            <w:tcBorders>
              <w:top w:val="single" w:sz="4" w:space="0" w:color="auto"/>
              <w:left w:val="single" w:sz="4" w:space="0" w:color="auto"/>
              <w:bottom w:val="single" w:sz="4" w:space="0" w:color="auto"/>
              <w:right w:val="single" w:sz="4" w:space="0" w:color="auto"/>
            </w:tcBorders>
            <w:vAlign w:val="center"/>
          </w:tcPr>
          <w:p w:rsidR="00071226" w:rsidRPr="00FF046D" w:rsidRDefault="00071226" w:rsidP="00245E64">
            <w:pPr>
              <w:pStyle w:val="Tabletext"/>
              <w:jc w:val="center"/>
              <w:rPr>
                <w:rFonts w:asciiTheme="majorBidi" w:hAnsiTheme="majorBidi" w:cstheme="majorBidi"/>
                <w:bCs/>
              </w:rPr>
            </w:pPr>
            <w:r w:rsidRPr="008755CA">
              <w:rPr>
                <w:rFonts w:asciiTheme="majorBidi" w:hAnsiTheme="majorBidi" w:cstheme="majorBidi"/>
                <w:bCs/>
              </w:rPr>
              <w:t>28.8</w:t>
            </w:r>
          </w:p>
        </w:tc>
        <w:tc>
          <w:tcPr>
            <w:tcW w:w="0" w:type="auto"/>
            <w:tcBorders>
              <w:top w:val="single" w:sz="4" w:space="0" w:color="auto"/>
              <w:left w:val="single" w:sz="4" w:space="0" w:color="auto"/>
              <w:bottom w:val="single" w:sz="4" w:space="0" w:color="auto"/>
              <w:right w:val="single" w:sz="4" w:space="0" w:color="auto"/>
            </w:tcBorders>
            <w:vAlign w:val="center"/>
          </w:tcPr>
          <w:p w:rsidR="00071226" w:rsidRPr="00FF046D" w:rsidRDefault="00071226" w:rsidP="00245E64">
            <w:pPr>
              <w:pStyle w:val="Tabletext"/>
              <w:jc w:val="center"/>
              <w:rPr>
                <w:rFonts w:asciiTheme="majorBidi" w:hAnsiTheme="majorBidi" w:cstheme="majorBidi"/>
                <w:bCs/>
              </w:rPr>
            </w:pPr>
            <w:r w:rsidRPr="008755CA">
              <w:rPr>
                <w:rFonts w:asciiTheme="majorBidi" w:hAnsiTheme="majorBidi" w:cstheme="majorBidi"/>
                <w:bCs/>
              </w:rPr>
              <w:t>42.1</w:t>
            </w:r>
          </w:p>
        </w:tc>
        <w:tc>
          <w:tcPr>
            <w:tcW w:w="0" w:type="auto"/>
            <w:tcBorders>
              <w:top w:val="single" w:sz="4" w:space="0" w:color="auto"/>
              <w:left w:val="single" w:sz="4" w:space="0" w:color="auto"/>
              <w:bottom w:val="single" w:sz="4" w:space="0" w:color="auto"/>
              <w:right w:val="single" w:sz="4" w:space="0" w:color="auto"/>
            </w:tcBorders>
            <w:vAlign w:val="center"/>
          </w:tcPr>
          <w:p w:rsidR="00071226" w:rsidRPr="00FF046D" w:rsidRDefault="00071226" w:rsidP="00245E64">
            <w:pPr>
              <w:pStyle w:val="Tabletext"/>
              <w:jc w:val="center"/>
              <w:rPr>
                <w:rFonts w:asciiTheme="majorBidi" w:hAnsiTheme="majorBidi" w:cstheme="majorBidi"/>
                <w:bCs/>
              </w:rPr>
            </w:pPr>
            <w:r w:rsidRPr="008755CA">
              <w:rPr>
                <w:rFonts w:asciiTheme="majorBidi" w:hAnsiTheme="majorBidi" w:cstheme="majorBidi"/>
                <w:bCs/>
              </w:rPr>
              <w:t>23.6</w:t>
            </w:r>
          </w:p>
        </w:tc>
        <w:tc>
          <w:tcPr>
            <w:tcW w:w="0" w:type="auto"/>
            <w:tcBorders>
              <w:top w:val="single" w:sz="4" w:space="0" w:color="auto"/>
              <w:left w:val="single" w:sz="4" w:space="0" w:color="auto"/>
              <w:bottom w:val="single" w:sz="4" w:space="0" w:color="auto"/>
              <w:right w:val="single" w:sz="4" w:space="0" w:color="auto"/>
            </w:tcBorders>
            <w:vAlign w:val="center"/>
          </w:tcPr>
          <w:p w:rsidR="00071226" w:rsidRPr="00FF046D" w:rsidRDefault="00071226" w:rsidP="00245E64">
            <w:pPr>
              <w:pStyle w:val="Tabletext"/>
              <w:jc w:val="center"/>
              <w:rPr>
                <w:rFonts w:asciiTheme="majorBidi" w:hAnsiTheme="majorBidi" w:cstheme="majorBidi"/>
                <w:bCs/>
              </w:rPr>
            </w:pPr>
            <w:r w:rsidRPr="008755CA">
              <w:rPr>
                <w:rFonts w:asciiTheme="majorBidi" w:hAnsiTheme="majorBidi" w:cstheme="majorBidi"/>
                <w:bCs/>
              </w:rPr>
              <w:t>36.9</w:t>
            </w:r>
          </w:p>
        </w:tc>
        <w:tc>
          <w:tcPr>
            <w:tcW w:w="0" w:type="auto"/>
            <w:tcBorders>
              <w:top w:val="single" w:sz="4" w:space="0" w:color="auto"/>
              <w:left w:val="single" w:sz="4" w:space="0" w:color="auto"/>
              <w:bottom w:val="single" w:sz="4" w:space="0" w:color="auto"/>
              <w:right w:val="single" w:sz="4" w:space="0" w:color="auto"/>
            </w:tcBorders>
            <w:vAlign w:val="center"/>
          </w:tcPr>
          <w:p w:rsidR="00071226" w:rsidRPr="00FF046D" w:rsidRDefault="00071226" w:rsidP="00245E64">
            <w:pPr>
              <w:pStyle w:val="Tabletext"/>
              <w:jc w:val="center"/>
              <w:rPr>
                <w:rFonts w:asciiTheme="majorBidi" w:hAnsiTheme="majorBidi" w:cstheme="majorBidi"/>
                <w:bCs/>
              </w:rPr>
            </w:pPr>
            <w:r w:rsidRPr="008755CA">
              <w:rPr>
                <w:rFonts w:asciiTheme="majorBidi" w:hAnsiTheme="majorBidi" w:cstheme="majorBidi"/>
                <w:bCs/>
              </w:rPr>
              <w:t>16.7</w:t>
            </w:r>
          </w:p>
        </w:tc>
        <w:tc>
          <w:tcPr>
            <w:tcW w:w="0" w:type="auto"/>
            <w:tcBorders>
              <w:top w:val="single" w:sz="4" w:space="0" w:color="auto"/>
              <w:left w:val="single" w:sz="4" w:space="0" w:color="auto"/>
              <w:bottom w:val="single" w:sz="4" w:space="0" w:color="auto"/>
              <w:right w:val="single" w:sz="4" w:space="0" w:color="auto"/>
            </w:tcBorders>
            <w:vAlign w:val="center"/>
          </w:tcPr>
          <w:p w:rsidR="00071226" w:rsidRPr="00FF046D" w:rsidRDefault="00071226" w:rsidP="00245E64">
            <w:pPr>
              <w:pStyle w:val="Tabletext"/>
              <w:jc w:val="center"/>
              <w:rPr>
                <w:rFonts w:asciiTheme="majorBidi" w:hAnsiTheme="majorBidi" w:cstheme="majorBidi"/>
                <w:bCs/>
              </w:rPr>
            </w:pPr>
            <w:r w:rsidRPr="008755CA">
              <w:rPr>
                <w:rFonts w:asciiTheme="majorBidi" w:hAnsiTheme="majorBidi" w:cstheme="majorBidi"/>
                <w:bCs/>
              </w:rPr>
              <w:t>30</w:t>
            </w:r>
          </w:p>
        </w:tc>
      </w:tr>
    </w:tbl>
    <w:p w:rsidR="00245E64" w:rsidRDefault="00245E64" w:rsidP="00245E64">
      <w:pPr>
        <w:pStyle w:val="Tablefin"/>
      </w:pPr>
    </w:p>
    <w:p w:rsidR="00071226" w:rsidRDefault="00245E64" w:rsidP="00071226">
      <w:pPr>
        <w:pStyle w:val="TableNo"/>
      </w:pPr>
      <w:r>
        <w:t xml:space="preserve">TABLE </w:t>
      </w:r>
      <w:r w:rsidR="00071226">
        <w:t>10</w:t>
      </w:r>
    </w:p>
    <w:p w:rsidR="00071226" w:rsidRPr="008839C1" w:rsidRDefault="00071226" w:rsidP="00245E64">
      <w:pPr>
        <w:pStyle w:val="Tabletitle"/>
        <w:rPr>
          <w:lang w:val="en-US"/>
        </w:rPr>
      </w:pPr>
      <w:r w:rsidRPr="008839C1">
        <w:rPr>
          <w:lang w:val="en-US"/>
        </w:rPr>
        <w:t>Potential interference from base-stations (Recommendation ITU-R F.1336 antenna)</w:t>
      </w:r>
      <w:r w:rsidR="00245E64">
        <w:rPr>
          <w:lang w:val="en-US"/>
        </w:rPr>
        <w:br/>
      </w:r>
      <w:r w:rsidRPr="008839C1">
        <w:rPr>
          <w:lang w:val="en-US"/>
        </w:rPr>
        <w:t>using elevation mask clutter attenuation into typical NASA TDRS return links</w:t>
      </w:r>
      <w:r w:rsidR="00245E64">
        <w:rPr>
          <w:lang w:val="en-US"/>
        </w:rPr>
        <w:br/>
      </w:r>
      <w:r w:rsidRPr="008839C1">
        <w:rPr>
          <w:lang w:val="en-US"/>
        </w:rPr>
        <w:t>and 50% time-frequency resource loading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091"/>
        <w:gridCol w:w="1369"/>
        <w:gridCol w:w="1092"/>
        <w:gridCol w:w="1369"/>
        <w:gridCol w:w="1092"/>
        <w:gridCol w:w="1369"/>
      </w:tblGrid>
      <w:tr w:rsidR="00071226" w:rsidRPr="003262DD" w:rsidTr="00245E64">
        <w:trPr>
          <w:jc w:val="center"/>
        </w:trPr>
        <w:tc>
          <w:tcPr>
            <w:tcW w:w="0" w:type="auto"/>
          </w:tcPr>
          <w:p w:rsidR="00071226" w:rsidRPr="003262DD" w:rsidRDefault="00071226" w:rsidP="006C09C0">
            <w:pPr>
              <w:pStyle w:val="Tablehead"/>
            </w:pPr>
            <w:r w:rsidRPr="003262DD">
              <w:t>Visibility Elevation Mask (deg</w:t>
            </w:r>
            <w:r w:rsidR="00AF0983">
              <w:t>rees</w:t>
            </w:r>
            <w:r w:rsidRPr="003262DD">
              <w:t>)</w:t>
            </w:r>
          </w:p>
        </w:tc>
        <w:tc>
          <w:tcPr>
            <w:tcW w:w="0" w:type="auto"/>
            <w:gridSpan w:val="2"/>
          </w:tcPr>
          <w:p w:rsidR="00071226" w:rsidRPr="003262DD" w:rsidRDefault="00071226" w:rsidP="006C09C0">
            <w:pPr>
              <w:pStyle w:val="Tablehead"/>
            </w:pPr>
            <w:r w:rsidRPr="003262DD">
              <w:t>0 degrees</w:t>
            </w:r>
          </w:p>
        </w:tc>
        <w:tc>
          <w:tcPr>
            <w:tcW w:w="0" w:type="auto"/>
            <w:gridSpan w:val="2"/>
          </w:tcPr>
          <w:p w:rsidR="00071226" w:rsidRPr="003262DD" w:rsidRDefault="00071226" w:rsidP="006C09C0">
            <w:pPr>
              <w:pStyle w:val="Tablehead"/>
            </w:pPr>
            <w:r w:rsidRPr="003262DD">
              <w:t>20 degrees</w:t>
            </w:r>
          </w:p>
        </w:tc>
        <w:tc>
          <w:tcPr>
            <w:tcW w:w="0" w:type="auto"/>
            <w:gridSpan w:val="2"/>
          </w:tcPr>
          <w:p w:rsidR="00071226" w:rsidRPr="003262DD" w:rsidRDefault="00071226" w:rsidP="006C09C0">
            <w:pPr>
              <w:pStyle w:val="Tablehead"/>
            </w:pPr>
            <w:r w:rsidRPr="003262DD">
              <w:t>45 degrees</w:t>
            </w:r>
          </w:p>
        </w:tc>
      </w:tr>
      <w:tr w:rsidR="00071226" w:rsidRPr="003262DD" w:rsidTr="00245E64">
        <w:trPr>
          <w:jc w:val="center"/>
        </w:trPr>
        <w:tc>
          <w:tcPr>
            <w:tcW w:w="0" w:type="auto"/>
            <w:vMerge w:val="restart"/>
          </w:tcPr>
          <w:p w:rsidR="00071226" w:rsidRPr="003262DD" w:rsidRDefault="00071226" w:rsidP="006C09C0">
            <w:pPr>
              <w:spacing w:before="40" w:after="40"/>
              <w:jc w:val="center"/>
              <w:rPr>
                <w:sz w:val="20"/>
              </w:rPr>
            </w:pPr>
          </w:p>
        </w:tc>
        <w:tc>
          <w:tcPr>
            <w:tcW w:w="0" w:type="auto"/>
          </w:tcPr>
          <w:p w:rsidR="00071226" w:rsidRPr="00FF046D" w:rsidRDefault="00071226" w:rsidP="006C09C0">
            <w:pPr>
              <w:spacing w:before="40" w:after="40"/>
              <w:jc w:val="center"/>
              <w:rPr>
                <w:rFonts w:asciiTheme="majorBidi" w:hAnsiTheme="majorBidi" w:cstheme="majorBidi"/>
                <w:sz w:val="20"/>
              </w:rPr>
            </w:pPr>
            <w:r w:rsidRPr="00FF046D">
              <w:rPr>
                <w:rFonts w:asciiTheme="majorBidi" w:hAnsiTheme="majorBidi" w:cstheme="majorBidi"/>
                <w:sz w:val="20"/>
              </w:rPr>
              <w:t>I/N (</w:t>
            </w:r>
            <w:r>
              <w:rPr>
                <w:rFonts w:asciiTheme="majorBidi" w:hAnsiTheme="majorBidi" w:cstheme="majorBidi"/>
                <w:sz w:val="20"/>
              </w:rPr>
              <w:t>dB</w:t>
            </w:r>
            <w:r w:rsidRPr="00FF046D">
              <w:rPr>
                <w:rFonts w:asciiTheme="majorBidi" w:hAnsiTheme="majorBidi" w:cstheme="majorBidi"/>
                <w:sz w:val="20"/>
              </w:rPr>
              <w:t>) @ 0.1%</w:t>
            </w:r>
          </w:p>
        </w:tc>
        <w:tc>
          <w:tcPr>
            <w:tcW w:w="0" w:type="auto"/>
          </w:tcPr>
          <w:p w:rsidR="00071226" w:rsidRPr="00FF046D" w:rsidRDefault="00071226" w:rsidP="006C09C0">
            <w:pPr>
              <w:spacing w:before="40" w:after="40"/>
              <w:jc w:val="center"/>
              <w:rPr>
                <w:rFonts w:asciiTheme="majorBidi" w:hAnsiTheme="majorBidi" w:cstheme="majorBidi"/>
                <w:sz w:val="20"/>
              </w:rPr>
            </w:pPr>
            <w:r w:rsidRPr="00FF046D">
              <w:rPr>
                <w:rFonts w:asciiTheme="majorBidi" w:hAnsiTheme="majorBidi" w:cstheme="majorBidi"/>
                <w:sz w:val="20"/>
              </w:rPr>
              <w:t>Exceedance (</w:t>
            </w:r>
            <w:r>
              <w:rPr>
                <w:rFonts w:asciiTheme="majorBidi" w:hAnsiTheme="majorBidi" w:cstheme="majorBidi"/>
                <w:sz w:val="20"/>
              </w:rPr>
              <w:t>dB</w:t>
            </w:r>
            <w:r w:rsidRPr="00FF046D">
              <w:rPr>
                <w:rFonts w:asciiTheme="majorBidi" w:hAnsiTheme="majorBidi" w:cstheme="majorBidi"/>
                <w:sz w:val="20"/>
              </w:rPr>
              <w:t>)</w:t>
            </w:r>
          </w:p>
        </w:tc>
        <w:tc>
          <w:tcPr>
            <w:tcW w:w="0" w:type="auto"/>
          </w:tcPr>
          <w:p w:rsidR="00071226" w:rsidRPr="00FF046D" w:rsidRDefault="00071226" w:rsidP="006C09C0">
            <w:pPr>
              <w:spacing w:before="40" w:after="40"/>
              <w:jc w:val="center"/>
              <w:rPr>
                <w:rFonts w:asciiTheme="majorBidi" w:hAnsiTheme="majorBidi" w:cstheme="majorBidi"/>
                <w:sz w:val="20"/>
              </w:rPr>
            </w:pPr>
            <w:r w:rsidRPr="00FF046D">
              <w:rPr>
                <w:rFonts w:asciiTheme="majorBidi" w:hAnsiTheme="majorBidi" w:cstheme="majorBidi"/>
                <w:sz w:val="20"/>
              </w:rPr>
              <w:t>I/N (</w:t>
            </w:r>
            <w:r>
              <w:rPr>
                <w:rFonts w:asciiTheme="majorBidi" w:hAnsiTheme="majorBidi" w:cstheme="majorBidi"/>
                <w:sz w:val="20"/>
              </w:rPr>
              <w:t>dB</w:t>
            </w:r>
            <w:r w:rsidRPr="00FF046D">
              <w:rPr>
                <w:rFonts w:asciiTheme="majorBidi" w:hAnsiTheme="majorBidi" w:cstheme="majorBidi"/>
                <w:sz w:val="20"/>
              </w:rPr>
              <w:t>) @ 0.1%</w:t>
            </w:r>
          </w:p>
        </w:tc>
        <w:tc>
          <w:tcPr>
            <w:tcW w:w="0" w:type="auto"/>
          </w:tcPr>
          <w:p w:rsidR="00071226" w:rsidRPr="00FF046D" w:rsidRDefault="00071226" w:rsidP="006C09C0">
            <w:pPr>
              <w:spacing w:before="40" w:after="40"/>
              <w:jc w:val="center"/>
              <w:rPr>
                <w:rFonts w:asciiTheme="majorBidi" w:hAnsiTheme="majorBidi" w:cstheme="majorBidi"/>
                <w:sz w:val="20"/>
              </w:rPr>
            </w:pPr>
            <w:r w:rsidRPr="00FF046D">
              <w:rPr>
                <w:rFonts w:asciiTheme="majorBidi" w:hAnsiTheme="majorBidi" w:cstheme="majorBidi"/>
                <w:sz w:val="20"/>
              </w:rPr>
              <w:t>Exceedance (</w:t>
            </w:r>
            <w:r>
              <w:rPr>
                <w:rFonts w:asciiTheme="majorBidi" w:hAnsiTheme="majorBidi" w:cstheme="majorBidi"/>
                <w:sz w:val="20"/>
              </w:rPr>
              <w:t>dB</w:t>
            </w:r>
            <w:r w:rsidRPr="00FF046D">
              <w:rPr>
                <w:rFonts w:asciiTheme="majorBidi" w:hAnsiTheme="majorBidi" w:cstheme="majorBidi"/>
                <w:sz w:val="20"/>
              </w:rPr>
              <w:t>)</w:t>
            </w:r>
          </w:p>
        </w:tc>
        <w:tc>
          <w:tcPr>
            <w:tcW w:w="0" w:type="auto"/>
          </w:tcPr>
          <w:p w:rsidR="00071226" w:rsidRPr="00FF046D" w:rsidRDefault="00071226" w:rsidP="006C09C0">
            <w:pPr>
              <w:spacing w:before="40" w:after="40"/>
              <w:jc w:val="center"/>
              <w:rPr>
                <w:rFonts w:asciiTheme="majorBidi" w:hAnsiTheme="majorBidi" w:cstheme="majorBidi"/>
                <w:sz w:val="20"/>
              </w:rPr>
            </w:pPr>
            <w:r w:rsidRPr="00FF046D">
              <w:rPr>
                <w:rFonts w:asciiTheme="majorBidi" w:hAnsiTheme="majorBidi" w:cstheme="majorBidi"/>
                <w:sz w:val="20"/>
              </w:rPr>
              <w:t>I/N (</w:t>
            </w:r>
            <w:r>
              <w:rPr>
                <w:rFonts w:asciiTheme="majorBidi" w:hAnsiTheme="majorBidi" w:cstheme="majorBidi"/>
                <w:sz w:val="20"/>
              </w:rPr>
              <w:t>dB</w:t>
            </w:r>
            <w:r w:rsidRPr="00FF046D">
              <w:rPr>
                <w:rFonts w:asciiTheme="majorBidi" w:hAnsiTheme="majorBidi" w:cstheme="majorBidi"/>
                <w:sz w:val="20"/>
              </w:rPr>
              <w:t>) @ 0.1%</w:t>
            </w:r>
          </w:p>
        </w:tc>
        <w:tc>
          <w:tcPr>
            <w:tcW w:w="0" w:type="auto"/>
          </w:tcPr>
          <w:p w:rsidR="00071226" w:rsidRPr="00FF046D" w:rsidRDefault="00071226" w:rsidP="006C09C0">
            <w:pPr>
              <w:spacing w:before="40" w:after="40"/>
              <w:jc w:val="center"/>
              <w:rPr>
                <w:rFonts w:asciiTheme="majorBidi" w:hAnsiTheme="majorBidi" w:cstheme="majorBidi"/>
                <w:sz w:val="20"/>
              </w:rPr>
            </w:pPr>
            <w:r w:rsidRPr="00FF046D">
              <w:rPr>
                <w:rFonts w:asciiTheme="majorBidi" w:hAnsiTheme="majorBidi" w:cstheme="majorBidi"/>
                <w:sz w:val="20"/>
              </w:rPr>
              <w:t>Exceedance (</w:t>
            </w:r>
            <w:r>
              <w:rPr>
                <w:rFonts w:asciiTheme="majorBidi" w:hAnsiTheme="majorBidi" w:cstheme="majorBidi"/>
                <w:sz w:val="20"/>
              </w:rPr>
              <w:t>dB</w:t>
            </w:r>
            <w:r w:rsidRPr="00FF046D">
              <w:rPr>
                <w:rFonts w:asciiTheme="majorBidi" w:hAnsiTheme="majorBidi" w:cstheme="majorBidi"/>
                <w:sz w:val="20"/>
              </w:rPr>
              <w:t>)</w:t>
            </w:r>
          </w:p>
        </w:tc>
      </w:tr>
      <w:tr w:rsidR="00071226" w:rsidRPr="003262DD" w:rsidTr="00245E64">
        <w:trPr>
          <w:jc w:val="center"/>
        </w:trPr>
        <w:tc>
          <w:tcPr>
            <w:tcW w:w="0" w:type="auto"/>
            <w:vMerge/>
          </w:tcPr>
          <w:p w:rsidR="00071226" w:rsidRPr="003262DD" w:rsidRDefault="00071226" w:rsidP="006C09C0">
            <w:pPr>
              <w:jc w:val="center"/>
              <w:rPr>
                <w:rFonts w:ascii="Calibri" w:hAnsi="Calibri"/>
                <w:bCs/>
                <w:sz w:val="22"/>
              </w:rPr>
            </w:pPr>
          </w:p>
        </w:tc>
        <w:tc>
          <w:tcPr>
            <w:tcW w:w="0" w:type="auto"/>
            <w:vAlign w:val="center"/>
          </w:tcPr>
          <w:p w:rsidR="00071226" w:rsidRPr="00FF046D" w:rsidRDefault="00071226" w:rsidP="006C09C0">
            <w:pPr>
              <w:jc w:val="center"/>
              <w:rPr>
                <w:rFonts w:asciiTheme="majorBidi" w:hAnsiTheme="majorBidi" w:cstheme="majorBidi"/>
                <w:bCs/>
                <w:sz w:val="22"/>
              </w:rPr>
            </w:pPr>
            <w:r w:rsidRPr="008755CA">
              <w:rPr>
                <w:rFonts w:asciiTheme="majorBidi" w:hAnsiTheme="majorBidi" w:cstheme="majorBidi"/>
                <w:bCs/>
                <w:sz w:val="22"/>
              </w:rPr>
              <w:t>32.8</w:t>
            </w:r>
          </w:p>
        </w:tc>
        <w:tc>
          <w:tcPr>
            <w:tcW w:w="0" w:type="auto"/>
            <w:vAlign w:val="center"/>
          </w:tcPr>
          <w:p w:rsidR="00071226" w:rsidRPr="00FF046D" w:rsidRDefault="00071226" w:rsidP="006C09C0">
            <w:pPr>
              <w:jc w:val="center"/>
              <w:rPr>
                <w:rFonts w:asciiTheme="majorBidi" w:hAnsiTheme="majorBidi" w:cstheme="majorBidi"/>
                <w:bCs/>
                <w:sz w:val="22"/>
              </w:rPr>
            </w:pPr>
            <w:r w:rsidRPr="008755CA">
              <w:rPr>
                <w:rFonts w:asciiTheme="majorBidi" w:hAnsiTheme="majorBidi" w:cstheme="majorBidi"/>
                <w:bCs/>
                <w:sz w:val="22"/>
              </w:rPr>
              <w:t>46.1</w:t>
            </w:r>
          </w:p>
        </w:tc>
        <w:tc>
          <w:tcPr>
            <w:tcW w:w="0" w:type="auto"/>
            <w:vAlign w:val="center"/>
          </w:tcPr>
          <w:p w:rsidR="00071226" w:rsidRPr="00FF046D" w:rsidRDefault="00071226" w:rsidP="006C09C0">
            <w:pPr>
              <w:jc w:val="center"/>
              <w:rPr>
                <w:rFonts w:asciiTheme="majorBidi" w:hAnsiTheme="majorBidi" w:cstheme="majorBidi"/>
                <w:bCs/>
                <w:sz w:val="22"/>
              </w:rPr>
            </w:pPr>
            <w:r w:rsidRPr="008755CA">
              <w:rPr>
                <w:rFonts w:asciiTheme="majorBidi" w:hAnsiTheme="majorBidi" w:cstheme="majorBidi"/>
                <w:bCs/>
                <w:sz w:val="22"/>
              </w:rPr>
              <w:t>27.6</w:t>
            </w:r>
          </w:p>
        </w:tc>
        <w:tc>
          <w:tcPr>
            <w:tcW w:w="0" w:type="auto"/>
            <w:vAlign w:val="center"/>
          </w:tcPr>
          <w:p w:rsidR="00071226" w:rsidRPr="00FF046D" w:rsidRDefault="00071226" w:rsidP="006C09C0">
            <w:pPr>
              <w:jc w:val="center"/>
              <w:rPr>
                <w:rFonts w:asciiTheme="majorBidi" w:hAnsiTheme="majorBidi" w:cstheme="majorBidi"/>
                <w:bCs/>
                <w:sz w:val="22"/>
              </w:rPr>
            </w:pPr>
            <w:r w:rsidRPr="008755CA">
              <w:rPr>
                <w:rFonts w:asciiTheme="majorBidi" w:hAnsiTheme="majorBidi" w:cstheme="majorBidi"/>
                <w:bCs/>
                <w:sz w:val="22"/>
              </w:rPr>
              <w:t>40.9</w:t>
            </w:r>
          </w:p>
        </w:tc>
        <w:tc>
          <w:tcPr>
            <w:tcW w:w="0" w:type="auto"/>
            <w:vAlign w:val="center"/>
          </w:tcPr>
          <w:p w:rsidR="00071226" w:rsidRPr="00FF046D" w:rsidRDefault="00071226" w:rsidP="006C09C0">
            <w:pPr>
              <w:jc w:val="center"/>
              <w:rPr>
                <w:rFonts w:asciiTheme="majorBidi" w:hAnsiTheme="majorBidi" w:cstheme="majorBidi"/>
                <w:bCs/>
                <w:sz w:val="22"/>
              </w:rPr>
            </w:pPr>
            <w:r w:rsidRPr="008755CA">
              <w:rPr>
                <w:rFonts w:asciiTheme="majorBidi" w:hAnsiTheme="majorBidi" w:cstheme="majorBidi"/>
                <w:bCs/>
                <w:sz w:val="22"/>
              </w:rPr>
              <w:t>20.7</w:t>
            </w:r>
          </w:p>
        </w:tc>
        <w:tc>
          <w:tcPr>
            <w:tcW w:w="0" w:type="auto"/>
            <w:vAlign w:val="center"/>
          </w:tcPr>
          <w:p w:rsidR="00071226" w:rsidRPr="00FF046D" w:rsidRDefault="00071226" w:rsidP="006C09C0">
            <w:pPr>
              <w:jc w:val="center"/>
              <w:rPr>
                <w:rFonts w:asciiTheme="majorBidi" w:hAnsiTheme="majorBidi" w:cstheme="majorBidi"/>
                <w:bCs/>
                <w:sz w:val="22"/>
              </w:rPr>
            </w:pPr>
            <w:r w:rsidRPr="008755CA">
              <w:rPr>
                <w:rFonts w:asciiTheme="majorBidi" w:hAnsiTheme="majorBidi" w:cstheme="majorBidi"/>
                <w:bCs/>
                <w:sz w:val="22"/>
              </w:rPr>
              <w:t>34</w:t>
            </w:r>
          </w:p>
        </w:tc>
      </w:tr>
    </w:tbl>
    <w:p w:rsidR="00245E64" w:rsidRDefault="00245E64" w:rsidP="00245E64">
      <w:pPr>
        <w:pStyle w:val="Tablefin"/>
      </w:pPr>
    </w:p>
    <w:p w:rsidR="00071226" w:rsidRPr="00D32E81" w:rsidRDefault="00071226" w:rsidP="00071226">
      <w:pPr>
        <w:pStyle w:val="FigureNo"/>
        <w:rPr>
          <w:bCs/>
        </w:rPr>
      </w:pPr>
      <w:r>
        <w:lastRenderedPageBreak/>
        <w:t>Figure 8</w:t>
      </w:r>
    </w:p>
    <w:p w:rsidR="00071226" w:rsidRPr="008839C1" w:rsidRDefault="00071226" w:rsidP="00071226">
      <w:pPr>
        <w:pStyle w:val="Figuretitle"/>
        <w:spacing w:after="240"/>
        <w:rPr>
          <w:lang w:val="en-US"/>
        </w:rPr>
      </w:pPr>
      <w:r w:rsidRPr="008839C1">
        <w:rPr>
          <w:lang w:val="en-US"/>
        </w:rPr>
        <w:t xml:space="preserve">Potential interference from LTE base-stations into TDRS return link taking </w:t>
      </w:r>
      <w:r w:rsidRPr="008839C1">
        <w:rPr>
          <w:lang w:val="en-US"/>
        </w:rPr>
        <w:br/>
        <w:t xml:space="preserve">into account site shielding elevation mask </w:t>
      </w:r>
    </w:p>
    <w:p w:rsidR="00071226" w:rsidRPr="0098370B" w:rsidRDefault="00071226" w:rsidP="00071226">
      <w:r w:rsidRPr="008755CA">
        <w:rPr>
          <w:noProof/>
          <w:lang w:val="en-US" w:eastAsia="zh-CN"/>
        </w:rPr>
        <w:drawing>
          <wp:inline distT="0" distB="0" distL="0" distR="0" wp14:anchorId="3668D1F5" wp14:editId="6E4B6AA9">
            <wp:extent cx="6381482" cy="3959476"/>
            <wp:effectExtent l="0" t="0" r="63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9321" cy="3958135"/>
                    </a:xfrm>
                    <a:prstGeom prst="rect">
                      <a:avLst/>
                    </a:prstGeom>
                    <a:noFill/>
                  </pic:spPr>
                </pic:pic>
              </a:graphicData>
            </a:graphic>
          </wp:inline>
        </w:drawing>
      </w:r>
    </w:p>
    <w:p w:rsidR="00071226" w:rsidRPr="008839C1" w:rsidRDefault="00071226" w:rsidP="00071226">
      <w:pPr>
        <w:pStyle w:val="Heading2"/>
        <w:rPr>
          <w:lang w:val="en-US"/>
        </w:rPr>
      </w:pPr>
      <w:r w:rsidRPr="008839C1">
        <w:rPr>
          <w:lang w:val="en-US"/>
        </w:rPr>
        <w:t>4.2</w:t>
      </w:r>
      <w:r w:rsidRPr="008839C1">
        <w:rPr>
          <w:lang w:val="en-US"/>
        </w:rPr>
        <w:tab/>
        <w:t>Potential interference from LTE user equipment</w:t>
      </w:r>
      <w:bookmarkEnd w:id="18"/>
    </w:p>
    <w:p w:rsidR="00071226" w:rsidRPr="008839C1" w:rsidRDefault="00071226" w:rsidP="00C309C4">
      <w:pPr>
        <w:pStyle w:val="Heading3"/>
        <w:rPr>
          <w:lang w:val="en-US"/>
        </w:rPr>
      </w:pPr>
      <w:bookmarkStart w:id="19" w:name="_Toc362524743"/>
      <w:r w:rsidRPr="008839C1">
        <w:rPr>
          <w:lang w:val="en-US"/>
        </w:rPr>
        <w:t>4</w:t>
      </w:r>
      <w:r w:rsidRPr="008839C1">
        <w:rPr>
          <w:rFonts w:asciiTheme="majorBidi" w:hAnsiTheme="majorBidi"/>
          <w:lang w:val="en-US"/>
        </w:rPr>
        <w:t>.2.1</w:t>
      </w:r>
      <w:r w:rsidRPr="008839C1">
        <w:rPr>
          <w:rFonts w:asciiTheme="majorBidi" w:hAnsiTheme="majorBidi"/>
          <w:lang w:val="en-US"/>
        </w:rPr>
        <w:tab/>
        <w:t>Potential interference from LTE user equipment</w:t>
      </w:r>
      <w:bookmarkEnd w:id="19"/>
      <w:r w:rsidRPr="008839C1">
        <w:rPr>
          <w:rFonts w:asciiTheme="majorBidi" w:hAnsiTheme="majorBidi"/>
          <w:lang w:val="en-US"/>
        </w:rPr>
        <w:t xml:space="preserve"> in the frequency band 2 025-2 110 MHz</w:t>
      </w:r>
    </w:p>
    <w:p w:rsidR="00071226" w:rsidRPr="008839C1" w:rsidRDefault="00071226" w:rsidP="00245E64">
      <w:pPr>
        <w:rPr>
          <w:lang w:val="en-US"/>
        </w:rPr>
      </w:pPr>
      <w:r w:rsidRPr="008839C1">
        <w:rPr>
          <w:lang w:val="en-US"/>
        </w:rPr>
        <w:t>Table 11 presents the results of analysis considering the potential of sharing LTE user equipment distributed over cities worldwide with TDRS 41° West forward link transmissions to some typical NASA TDRS users in the frequency band 2 025-2 110 MHz.</w:t>
      </w:r>
      <w:r w:rsidR="00BF1B1C">
        <w:rPr>
          <w:lang w:val="en-US"/>
        </w:rPr>
        <w:t xml:space="preserve"> </w:t>
      </w:r>
      <w:r w:rsidRPr="008839C1">
        <w:rPr>
          <w:lang w:val="en-US"/>
        </w:rPr>
        <w:t>For this case, a hypothetical shielding mask was analysed for angles below 0°, 20°, and 45° in relation to the TDRS users (e.g. a 20° elevation mask means that only LTE UE location which have visibility to the TDRS user satellite above 20° contribute to the aggregate interference at a given time sample).</w:t>
      </w:r>
      <w:r w:rsidR="00BF1B1C">
        <w:rPr>
          <w:lang w:val="en-US"/>
        </w:rPr>
        <w:t xml:space="preserve"> </w:t>
      </w:r>
      <w:r w:rsidRPr="008839C1">
        <w:rPr>
          <w:lang w:val="en-US"/>
        </w:rPr>
        <w:t>Further, an additional clutter factor based on Recommendation ITU-R P.452 was considered in the analysis. Again, for illustrative purposes, one forward link was chosen (GPM) to show the CDF curve (</w:t>
      </w:r>
      <w:r w:rsidR="00245E64">
        <w:rPr>
          <w:lang w:val="en-US"/>
        </w:rPr>
        <w:t>see Fig. </w:t>
      </w:r>
      <w:r w:rsidRPr="008839C1">
        <w:rPr>
          <w:lang w:val="en-US"/>
        </w:rPr>
        <w:t>9).</w:t>
      </w:r>
    </w:p>
    <w:p w:rsidR="00220A09" w:rsidRDefault="00220A09">
      <w:pPr>
        <w:tabs>
          <w:tab w:val="clear" w:pos="794"/>
          <w:tab w:val="clear" w:pos="1191"/>
          <w:tab w:val="clear" w:pos="1588"/>
          <w:tab w:val="clear" w:pos="1985"/>
        </w:tabs>
        <w:overflowPunct/>
        <w:autoSpaceDE/>
        <w:autoSpaceDN/>
        <w:adjustRightInd/>
        <w:spacing w:before="0"/>
        <w:jc w:val="left"/>
        <w:textAlignment w:val="auto"/>
        <w:rPr>
          <w:lang w:val="en-US"/>
        </w:rPr>
      </w:pPr>
      <w:bookmarkStart w:id="20" w:name="_Ref353282292"/>
      <w:r>
        <w:rPr>
          <w:lang w:val="en-US"/>
        </w:rPr>
        <w:br w:type="page"/>
      </w:r>
    </w:p>
    <w:p w:rsidR="00071226" w:rsidRPr="008839C1" w:rsidRDefault="00245E64" w:rsidP="00245E64">
      <w:pPr>
        <w:pStyle w:val="TableNo"/>
        <w:rPr>
          <w:lang w:val="en-US"/>
        </w:rPr>
      </w:pPr>
      <w:r w:rsidRPr="008839C1">
        <w:rPr>
          <w:lang w:val="en-US"/>
        </w:rPr>
        <w:lastRenderedPageBreak/>
        <w:t xml:space="preserve">TABLE </w:t>
      </w:r>
      <w:r w:rsidR="00071226" w:rsidRPr="008839C1">
        <w:rPr>
          <w:lang w:val="en-US"/>
        </w:rPr>
        <w:t>11</w:t>
      </w:r>
    </w:p>
    <w:p w:rsidR="00071226" w:rsidRPr="008839C1" w:rsidRDefault="00071226" w:rsidP="00245E64">
      <w:pPr>
        <w:pStyle w:val="Tabletitle"/>
        <w:rPr>
          <w:lang w:val="en-US"/>
        </w:rPr>
      </w:pPr>
      <w:r w:rsidRPr="008839C1">
        <w:rPr>
          <w:lang w:val="en-US"/>
        </w:rPr>
        <w:t>Potential interference from LTE user equipment including elevation angle</w:t>
      </w:r>
      <w:r w:rsidR="00245E64">
        <w:rPr>
          <w:lang w:val="en-US"/>
        </w:rPr>
        <w:t xml:space="preserve"> </w:t>
      </w:r>
      <w:r w:rsidRPr="008839C1">
        <w:rPr>
          <w:lang w:val="en-US"/>
        </w:rPr>
        <w:t>based shielding blockage and additional clutter loss based</w:t>
      </w:r>
      <w:r w:rsidR="00245E64">
        <w:rPr>
          <w:lang w:val="en-US"/>
        </w:rPr>
        <w:t xml:space="preserve"> </w:t>
      </w:r>
      <w:r w:rsidRPr="008839C1">
        <w:rPr>
          <w:lang w:val="en-US"/>
        </w:rPr>
        <w:t>on Recommendation ITU-R P.452</w:t>
      </w:r>
      <w:r w:rsidR="00245E64">
        <w:rPr>
          <w:lang w:val="en-US"/>
        </w:rPr>
        <w:br/>
      </w:r>
      <w:r w:rsidRPr="008839C1">
        <w:rPr>
          <w:lang w:val="en-US"/>
        </w:rPr>
        <w:t>into typical NASA TDRS forward links</w:t>
      </w:r>
    </w:p>
    <w:tbl>
      <w:tblPr>
        <w:tblW w:w="9639" w:type="dxa"/>
        <w:jc w:val="center"/>
        <w:tblLayout w:type="fixed"/>
        <w:tblLook w:val="04A0" w:firstRow="1" w:lastRow="0" w:firstColumn="1" w:lastColumn="0" w:noHBand="0" w:noVBand="1"/>
      </w:tblPr>
      <w:tblGrid>
        <w:gridCol w:w="1116"/>
        <w:gridCol w:w="617"/>
        <w:gridCol w:w="1117"/>
        <w:gridCol w:w="1057"/>
        <w:gridCol w:w="701"/>
        <w:gridCol w:w="1257"/>
        <w:gridCol w:w="563"/>
        <w:gridCol w:w="1200"/>
        <w:gridCol w:w="754"/>
        <w:gridCol w:w="1257"/>
      </w:tblGrid>
      <w:tr w:rsidR="00071226" w:rsidRPr="003552F3" w:rsidTr="000F3E3B">
        <w:trPr>
          <w:trHeight w:val="20"/>
          <w:jc w:val="center"/>
        </w:trPr>
        <w:tc>
          <w:tcPr>
            <w:tcW w:w="3963" w:type="dxa"/>
            <w:gridSpan w:val="4"/>
            <w:tcBorders>
              <w:top w:val="single" w:sz="4" w:space="0" w:color="auto"/>
              <w:left w:val="single" w:sz="4" w:space="0" w:color="auto"/>
              <w:bottom w:val="single" w:sz="4" w:space="0" w:color="auto"/>
              <w:right w:val="single" w:sz="4" w:space="0" w:color="auto"/>
            </w:tcBorders>
            <w:noWrap/>
            <w:hideMark/>
          </w:tcPr>
          <w:p w:rsidR="00071226" w:rsidRPr="000F3E3B" w:rsidRDefault="00071226" w:rsidP="00245E64">
            <w:pPr>
              <w:pStyle w:val="Tablehead"/>
              <w:rPr>
                <w:sz w:val="18"/>
                <w:szCs w:val="18"/>
              </w:rPr>
            </w:pPr>
            <w:r w:rsidRPr="000F3E3B">
              <w:rPr>
                <w:sz w:val="18"/>
                <w:szCs w:val="18"/>
              </w:rPr>
              <w:t>Visibility Elevation Mask (deg</w:t>
            </w:r>
            <w:r w:rsidR="00220A09" w:rsidRPr="000F3E3B">
              <w:rPr>
                <w:sz w:val="18"/>
                <w:szCs w:val="18"/>
              </w:rPr>
              <w:t>rees</w:t>
            </w:r>
            <w:r w:rsidRPr="000F3E3B">
              <w:rPr>
                <w:sz w:val="18"/>
                <w:szCs w:val="18"/>
              </w:rPr>
              <w:t>)</w:t>
            </w:r>
          </w:p>
        </w:tc>
        <w:tc>
          <w:tcPr>
            <w:tcW w:w="2555" w:type="dxa"/>
            <w:gridSpan w:val="3"/>
            <w:tcBorders>
              <w:top w:val="single" w:sz="4" w:space="0" w:color="auto"/>
              <w:left w:val="single" w:sz="4" w:space="0" w:color="auto"/>
              <w:bottom w:val="single" w:sz="4" w:space="0" w:color="auto"/>
              <w:right w:val="single" w:sz="4" w:space="0" w:color="auto"/>
            </w:tcBorders>
            <w:noWrap/>
            <w:hideMark/>
          </w:tcPr>
          <w:p w:rsidR="00071226" w:rsidRPr="000F3E3B" w:rsidRDefault="00071226" w:rsidP="006C09C0">
            <w:pPr>
              <w:pStyle w:val="Tablehead"/>
              <w:rPr>
                <w:sz w:val="18"/>
                <w:szCs w:val="18"/>
              </w:rPr>
            </w:pPr>
            <w:r w:rsidRPr="000F3E3B">
              <w:rPr>
                <w:sz w:val="18"/>
                <w:szCs w:val="18"/>
              </w:rPr>
              <w:t>0 deg</w:t>
            </w:r>
            <w:r w:rsidR="00220A09" w:rsidRPr="000F3E3B">
              <w:rPr>
                <w:sz w:val="18"/>
                <w:szCs w:val="18"/>
              </w:rPr>
              <w:t>rees</w:t>
            </w:r>
          </w:p>
        </w:tc>
        <w:tc>
          <w:tcPr>
            <w:tcW w:w="1982" w:type="dxa"/>
            <w:gridSpan w:val="2"/>
            <w:tcBorders>
              <w:top w:val="single" w:sz="4" w:space="0" w:color="auto"/>
              <w:left w:val="single" w:sz="4" w:space="0" w:color="auto"/>
              <w:bottom w:val="single" w:sz="4" w:space="0" w:color="auto"/>
              <w:right w:val="single" w:sz="4" w:space="0" w:color="auto"/>
            </w:tcBorders>
            <w:noWrap/>
            <w:hideMark/>
          </w:tcPr>
          <w:p w:rsidR="00071226" w:rsidRPr="000F3E3B" w:rsidRDefault="00071226" w:rsidP="006C09C0">
            <w:pPr>
              <w:pStyle w:val="Tablehead"/>
              <w:rPr>
                <w:sz w:val="18"/>
                <w:szCs w:val="18"/>
              </w:rPr>
            </w:pPr>
            <w:r w:rsidRPr="000F3E3B">
              <w:rPr>
                <w:sz w:val="18"/>
                <w:szCs w:val="18"/>
              </w:rPr>
              <w:t>20 deg</w:t>
            </w:r>
            <w:r w:rsidR="00220A09" w:rsidRPr="000F3E3B">
              <w:rPr>
                <w:sz w:val="18"/>
                <w:szCs w:val="18"/>
              </w:rPr>
              <w:t>rees</w:t>
            </w:r>
          </w:p>
        </w:tc>
        <w:tc>
          <w:tcPr>
            <w:tcW w:w="1276"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6C09C0">
            <w:pPr>
              <w:pStyle w:val="Tablehead"/>
              <w:rPr>
                <w:sz w:val="18"/>
                <w:szCs w:val="18"/>
              </w:rPr>
            </w:pPr>
            <w:r w:rsidRPr="000F3E3B">
              <w:rPr>
                <w:sz w:val="18"/>
                <w:szCs w:val="18"/>
              </w:rPr>
              <w:t>45 deg</w:t>
            </w:r>
            <w:r w:rsidR="00220A09" w:rsidRPr="000F3E3B">
              <w:rPr>
                <w:sz w:val="18"/>
                <w:szCs w:val="18"/>
              </w:rPr>
              <w:t>rees</w:t>
            </w:r>
          </w:p>
        </w:tc>
      </w:tr>
      <w:tr w:rsidR="002A31A2" w:rsidRPr="003552F3" w:rsidTr="000F3E3B">
        <w:trPr>
          <w:trHeight w:val="20"/>
          <w:jc w:val="center"/>
        </w:trPr>
        <w:tc>
          <w:tcPr>
            <w:tcW w:w="1133"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245E64">
            <w:pPr>
              <w:pStyle w:val="Tablehead"/>
              <w:rPr>
                <w:sz w:val="18"/>
                <w:szCs w:val="18"/>
              </w:rPr>
            </w:pPr>
            <w:r w:rsidRPr="000F3E3B">
              <w:rPr>
                <w:sz w:val="18"/>
                <w:szCs w:val="18"/>
              </w:rPr>
              <w:t>User Spacecraft</w:t>
            </w:r>
          </w:p>
        </w:tc>
        <w:tc>
          <w:tcPr>
            <w:tcW w:w="624"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245E64">
            <w:pPr>
              <w:pStyle w:val="Tablehead"/>
              <w:rPr>
                <w:sz w:val="18"/>
                <w:szCs w:val="18"/>
              </w:rPr>
            </w:pPr>
            <w:r w:rsidRPr="000F3E3B">
              <w:rPr>
                <w:sz w:val="18"/>
                <w:szCs w:val="18"/>
              </w:rPr>
              <w:t>SNT (K)</w:t>
            </w:r>
          </w:p>
        </w:tc>
        <w:tc>
          <w:tcPr>
            <w:tcW w:w="1134"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245E64">
            <w:pPr>
              <w:pStyle w:val="Tablehead"/>
              <w:rPr>
                <w:sz w:val="18"/>
                <w:szCs w:val="18"/>
              </w:rPr>
            </w:pPr>
            <w:r w:rsidRPr="000F3E3B">
              <w:rPr>
                <w:sz w:val="18"/>
                <w:szCs w:val="18"/>
              </w:rPr>
              <w:t>No (dBW/Hz)</w:t>
            </w:r>
          </w:p>
        </w:tc>
        <w:tc>
          <w:tcPr>
            <w:tcW w:w="1072" w:type="dxa"/>
            <w:tcBorders>
              <w:top w:val="single" w:sz="4" w:space="0" w:color="auto"/>
              <w:left w:val="single" w:sz="4" w:space="0" w:color="auto"/>
              <w:bottom w:val="single" w:sz="4" w:space="0" w:color="auto"/>
              <w:right w:val="single" w:sz="4" w:space="0" w:color="auto"/>
            </w:tcBorders>
            <w:hideMark/>
          </w:tcPr>
          <w:p w:rsidR="00071226" w:rsidRPr="000F3E3B" w:rsidRDefault="00071226" w:rsidP="00245E64">
            <w:pPr>
              <w:pStyle w:val="Tablehead"/>
              <w:rPr>
                <w:sz w:val="18"/>
                <w:szCs w:val="18"/>
              </w:rPr>
            </w:pPr>
            <w:r w:rsidRPr="000F3E3B">
              <w:rPr>
                <w:sz w:val="18"/>
                <w:szCs w:val="18"/>
              </w:rPr>
              <w:t>Io/No threshold (dB)</w:t>
            </w:r>
          </w:p>
        </w:tc>
        <w:tc>
          <w:tcPr>
            <w:tcW w:w="710" w:type="dxa"/>
            <w:tcBorders>
              <w:top w:val="single" w:sz="4" w:space="0" w:color="auto"/>
              <w:left w:val="single" w:sz="4" w:space="0" w:color="auto"/>
              <w:bottom w:val="single" w:sz="4" w:space="0" w:color="auto"/>
              <w:right w:val="single" w:sz="4" w:space="0" w:color="auto"/>
            </w:tcBorders>
            <w:hideMark/>
          </w:tcPr>
          <w:p w:rsidR="00071226" w:rsidRPr="000F3E3B" w:rsidRDefault="00071226" w:rsidP="00245E64">
            <w:pPr>
              <w:pStyle w:val="Tablehead"/>
              <w:rPr>
                <w:sz w:val="18"/>
                <w:szCs w:val="18"/>
              </w:rPr>
            </w:pPr>
            <w:r w:rsidRPr="000F3E3B">
              <w:rPr>
                <w:sz w:val="18"/>
                <w:szCs w:val="18"/>
              </w:rPr>
              <w:t>I/N (dB) @ 0.1%</w:t>
            </w:r>
          </w:p>
        </w:tc>
        <w:tc>
          <w:tcPr>
            <w:tcW w:w="1276" w:type="dxa"/>
            <w:tcBorders>
              <w:top w:val="single" w:sz="4" w:space="0" w:color="auto"/>
              <w:left w:val="single" w:sz="4" w:space="0" w:color="auto"/>
              <w:bottom w:val="single" w:sz="4" w:space="0" w:color="auto"/>
              <w:right w:val="single" w:sz="4" w:space="0" w:color="auto"/>
            </w:tcBorders>
            <w:hideMark/>
          </w:tcPr>
          <w:p w:rsidR="00071226" w:rsidRPr="000F3E3B" w:rsidRDefault="00071226" w:rsidP="00245E64">
            <w:pPr>
              <w:pStyle w:val="Tablehead"/>
              <w:rPr>
                <w:sz w:val="18"/>
                <w:szCs w:val="18"/>
              </w:rPr>
            </w:pPr>
            <w:r w:rsidRPr="000F3E3B">
              <w:rPr>
                <w:sz w:val="18"/>
                <w:szCs w:val="18"/>
              </w:rPr>
              <w:t>Exceedance (dB)</w:t>
            </w:r>
          </w:p>
        </w:tc>
        <w:tc>
          <w:tcPr>
            <w:tcW w:w="569" w:type="dxa"/>
            <w:tcBorders>
              <w:top w:val="single" w:sz="4" w:space="0" w:color="auto"/>
              <w:left w:val="single" w:sz="4" w:space="0" w:color="auto"/>
              <w:bottom w:val="single" w:sz="4" w:space="0" w:color="auto"/>
              <w:right w:val="single" w:sz="4" w:space="0" w:color="auto"/>
            </w:tcBorders>
            <w:hideMark/>
          </w:tcPr>
          <w:p w:rsidR="00071226" w:rsidRPr="000F3E3B" w:rsidRDefault="00071226" w:rsidP="00245E64">
            <w:pPr>
              <w:pStyle w:val="Tablehead"/>
              <w:rPr>
                <w:sz w:val="18"/>
                <w:szCs w:val="18"/>
              </w:rPr>
            </w:pPr>
            <w:r w:rsidRPr="000F3E3B">
              <w:rPr>
                <w:sz w:val="18"/>
                <w:szCs w:val="18"/>
              </w:rPr>
              <w:t>I/N (dB) @ 0.1%</w:t>
            </w:r>
          </w:p>
        </w:tc>
        <w:tc>
          <w:tcPr>
            <w:tcW w:w="1218" w:type="dxa"/>
            <w:tcBorders>
              <w:top w:val="single" w:sz="4" w:space="0" w:color="auto"/>
              <w:left w:val="single" w:sz="4" w:space="0" w:color="auto"/>
              <w:bottom w:val="single" w:sz="4" w:space="0" w:color="auto"/>
              <w:right w:val="single" w:sz="4" w:space="0" w:color="auto"/>
            </w:tcBorders>
            <w:hideMark/>
          </w:tcPr>
          <w:p w:rsidR="00071226" w:rsidRPr="000F3E3B" w:rsidRDefault="00071226" w:rsidP="00245E64">
            <w:pPr>
              <w:pStyle w:val="Tablehead"/>
              <w:rPr>
                <w:sz w:val="18"/>
                <w:szCs w:val="18"/>
              </w:rPr>
            </w:pPr>
            <w:r w:rsidRPr="000F3E3B">
              <w:rPr>
                <w:sz w:val="18"/>
                <w:szCs w:val="18"/>
              </w:rPr>
              <w:t>Exceedance (dB)</w:t>
            </w:r>
          </w:p>
        </w:tc>
        <w:tc>
          <w:tcPr>
            <w:tcW w:w="764" w:type="dxa"/>
            <w:tcBorders>
              <w:top w:val="single" w:sz="4" w:space="0" w:color="auto"/>
              <w:left w:val="single" w:sz="4" w:space="0" w:color="auto"/>
              <w:bottom w:val="single" w:sz="4" w:space="0" w:color="auto"/>
              <w:right w:val="single" w:sz="4" w:space="0" w:color="auto"/>
            </w:tcBorders>
            <w:hideMark/>
          </w:tcPr>
          <w:p w:rsidR="00071226" w:rsidRPr="000F3E3B" w:rsidRDefault="00071226" w:rsidP="00245E64">
            <w:pPr>
              <w:pStyle w:val="Tablehead"/>
              <w:rPr>
                <w:sz w:val="18"/>
                <w:szCs w:val="18"/>
              </w:rPr>
            </w:pPr>
            <w:r w:rsidRPr="000F3E3B">
              <w:rPr>
                <w:sz w:val="18"/>
                <w:szCs w:val="18"/>
              </w:rPr>
              <w:t>I/N (dB) @ 0.1%</w:t>
            </w:r>
          </w:p>
        </w:tc>
        <w:tc>
          <w:tcPr>
            <w:tcW w:w="1276" w:type="dxa"/>
            <w:tcBorders>
              <w:top w:val="single" w:sz="4" w:space="0" w:color="auto"/>
              <w:left w:val="single" w:sz="4" w:space="0" w:color="auto"/>
              <w:bottom w:val="single" w:sz="4" w:space="0" w:color="auto"/>
              <w:right w:val="single" w:sz="4" w:space="0" w:color="auto"/>
            </w:tcBorders>
            <w:hideMark/>
          </w:tcPr>
          <w:p w:rsidR="00071226" w:rsidRPr="000F3E3B" w:rsidRDefault="00071226" w:rsidP="00245E64">
            <w:pPr>
              <w:pStyle w:val="Tablehead"/>
              <w:rPr>
                <w:sz w:val="18"/>
                <w:szCs w:val="18"/>
              </w:rPr>
            </w:pPr>
            <w:r w:rsidRPr="000F3E3B">
              <w:rPr>
                <w:sz w:val="18"/>
                <w:szCs w:val="18"/>
              </w:rPr>
              <w:t>Exceedance (dB)</w:t>
            </w:r>
          </w:p>
        </w:tc>
      </w:tr>
      <w:tr w:rsidR="002A31A2" w:rsidRPr="003552F3" w:rsidTr="000F3E3B">
        <w:trPr>
          <w:trHeight w:val="20"/>
          <w:jc w:val="center"/>
        </w:trPr>
        <w:tc>
          <w:tcPr>
            <w:tcW w:w="1133"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rPr>
                <w:sz w:val="18"/>
                <w:szCs w:val="18"/>
              </w:rPr>
            </w:pPr>
            <w:r w:rsidRPr="000F3E3B">
              <w:rPr>
                <w:sz w:val="18"/>
                <w:szCs w:val="18"/>
              </w:rPr>
              <w:t>TERRA</w:t>
            </w:r>
          </w:p>
        </w:tc>
        <w:tc>
          <w:tcPr>
            <w:tcW w:w="624"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jc w:val="center"/>
              <w:rPr>
                <w:sz w:val="18"/>
                <w:szCs w:val="18"/>
              </w:rPr>
            </w:pPr>
            <w:r w:rsidRPr="000F3E3B">
              <w:rPr>
                <w:sz w:val="18"/>
                <w:szCs w:val="18"/>
              </w:rPr>
              <w:t>410</w:t>
            </w:r>
          </w:p>
        </w:tc>
        <w:tc>
          <w:tcPr>
            <w:tcW w:w="1134"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jc w:val="center"/>
              <w:rPr>
                <w:sz w:val="18"/>
                <w:szCs w:val="18"/>
              </w:rPr>
            </w:pPr>
            <w:r w:rsidRPr="000F3E3B">
              <w:rPr>
                <w:sz w:val="18"/>
                <w:szCs w:val="18"/>
              </w:rPr>
              <w:t>–202.47</w:t>
            </w:r>
          </w:p>
        </w:tc>
        <w:tc>
          <w:tcPr>
            <w:tcW w:w="1072"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–11.53</w:t>
            </w:r>
          </w:p>
        </w:tc>
        <w:tc>
          <w:tcPr>
            <w:tcW w:w="710"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6.7</w:t>
            </w:r>
          </w:p>
        </w:tc>
        <w:tc>
          <w:tcPr>
            <w:tcW w:w="1276"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18.23</w:t>
            </w:r>
          </w:p>
        </w:tc>
        <w:tc>
          <w:tcPr>
            <w:tcW w:w="569"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6.4</w:t>
            </w:r>
          </w:p>
        </w:tc>
        <w:tc>
          <w:tcPr>
            <w:tcW w:w="1218"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17.93</w:t>
            </w:r>
          </w:p>
        </w:tc>
        <w:tc>
          <w:tcPr>
            <w:tcW w:w="764"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4.2</w:t>
            </w:r>
          </w:p>
        </w:tc>
        <w:tc>
          <w:tcPr>
            <w:tcW w:w="1276"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15.73</w:t>
            </w:r>
          </w:p>
        </w:tc>
      </w:tr>
      <w:tr w:rsidR="002A31A2" w:rsidRPr="003552F3" w:rsidTr="000F3E3B">
        <w:trPr>
          <w:trHeight w:val="20"/>
          <w:jc w:val="center"/>
        </w:trPr>
        <w:tc>
          <w:tcPr>
            <w:tcW w:w="1133"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rPr>
                <w:sz w:val="18"/>
                <w:szCs w:val="18"/>
              </w:rPr>
            </w:pPr>
            <w:r w:rsidRPr="000F3E3B">
              <w:rPr>
                <w:sz w:val="18"/>
                <w:szCs w:val="18"/>
              </w:rPr>
              <w:t>Cygnus</w:t>
            </w:r>
          </w:p>
        </w:tc>
        <w:tc>
          <w:tcPr>
            <w:tcW w:w="624"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jc w:val="center"/>
              <w:rPr>
                <w:sz w:val="18"/>
                <w:szCs w:val="18"/>
              </w:rPr>
            </w:pPr>
            <w:r w:rsidRPr="000F3E3B">
              <w:rPr>
                <w:sz w:val="18"/>
                <w:szCs w:val="18"/>
              </w:rPr>
              <w:t>1849</w:t>
            </w:r>
          </w:p>
        </w:tc>
        <w:tc>
          <w:tcPr>
            <w:tcW w:w="1134"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jc w:val="center"/>
              <w:rPr>
                <w:sz w:val="18"/>
                <w:szCs w:val="18"/>
              </w:rPr>
            </w:pPr>
            <w:r w:rsidRPr="000F3E3B">
              <w:rPr>
                <w:sz w:val="18"/>
                <w:szCs w:val="18"/>
              </w:rPr>
              <w:t>–195.93</w:t>
            </w:r>
          </w:p>
        </w:tc>
        <w:tc>
          <w:tcPr>
            <w:tcW w:w="1072"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–18.07</w:t>
            </w:r>
          </w:p>
        </w:tc>
        <w:tc>
          <w:tcPr>
            <w:tcW w:w="710"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0.5</w:t>
            </w:r>
          </w:p>
        </w:tc>
        <w:tc>
          <w:tcPr>
            <w:tcW w:w="1276"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18.57</w:t>
            </w:r>
          </w:p>
        </w:tc>
        <w:tc>
          <w:tcPr>
            <w:tcW w:w="569"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–0.2</w:t>
            </w:r>
          </w:p>
        </w:tc>
        <w:tc>
          <w:tcPr>
            <w:tcW w:w="1218"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17.87</w:t>
            </w:r>
          </w:p>
        </w:tc>
        <w:tc>
          <w:tcPr>
            <w:tcW w:w="764"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–3.1</w:t>
            </w:r>
          </w:p>
        </w:tc>
        <w:tc>
          <w:tcPr>
            <w:tcW w:w="1276"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14.97</w:t>
            </w:r>
          </w:p>
        </w:tc>
      </w:tr>
      <w:tr w:rsidR="002A31A2" w:rsidRPr="003552F3" w:rsidTr="000F3E3B">
        <w:trPr>
          <w:trHeight w:val="20"/>
          <w:jc w:val="center"/>
        </w:trPr>
        <w:tc>
          <w:tcPr>
            <w:tcW w:w="1133"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rPr>
                <w:sz w:val="18"/>
                <w:szCs w:val="18"/>
              </w:rPr>
            </w:pPr>
            <w:r w:rsidRPr="000F3E3B">
              <w:rPr>
                <w:sz w:val="18"/>
                <w:szCs w:val="18"/>
              </w:rPr>
              <w:t>GPM</w:t>
            </w:r>
          </w:p>
        </w:tc>
        <w:tc>
          <w:tcPr>
            <w:tcW w:w="624"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jc w:val="center"/>
              <w:rPr>
                <w:sz w:val="18"/>
                <w:szCs w:val="18"/>
              </w:rPr>
            </w:pPr>
            <w:r w:rsidRPr="000F3E3B">
              <w:rPr>
                <w:sz w:val="18"/>
                <w:szCs w:val="18"/>
              </w:rPr>
              <w:t>226</w:t>
            </w:r>
          </w:p>
        </w:tc>
        <w:tc>
          <w:tcPr>
            <w:tcW w:w="1134"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jc w:val="center"/>
              <w:rPr>
                <w:sz w:val="18"/>
                <w:szCs w:val="18"/>
              </w:rPr>
            </w:pPr>
            <w:r w:rsidRPr="000F3E3B">
              <w:rPr>
                <w:sz w:val="18"/>
                <w:szCs w:val="18"/>
              </w:rPr>
              <w:t>–205.06</w:t>
            </w:r>
          </w:p>
        </w:tc>
        <w:tc>
          <w:tcPr>
            <w:tcW w:w="1072"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–8.94</w:t>
            </w:r>
          </w:p>
        </w:tc>
        <w:tc>
          <w:tcPr>
            <w:tcW w:w="710"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11.6</w:t>
            </w:r>
          </w:p>
        </w:tc>
        <w:tc>
          <w:tcPr>
            <w:tcW w:w="1276"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20.54</w:t>
            </w:r>
          </w:p>
        </w:tc>
        <w:tc>
          <w:tcPr>
            <w:tcW w:w="569"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11.3</w:t>
            </w:r>
          </w:p>
        </w:tc>
        <w:tc>
          <w:tcPr>
            <w:tcW w:w="1218"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20.24</w:t>
            </w:r>
          </w:p>
        </w:tc>
        <w:tc>
          <w:tcPr>
            <w:tcW w:w="764"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8</w:t>
            </w:r>
          </w:p>
        </w:tc>
        <w:tc>
          <w:tcPr>
            <w:tcW w:w="1276"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16.94</w:t>
            </w:r>
          </w:p>
        </w:tc>
      </w:tr>
      <w:tr w:rsidR="002A31A2" w:rsidRPr="003552F3" w:rsidTr="000F3E3B">
        <w:trPr>
          <w:trHeight w:val="20"/>
          <w:jc w:val="center"/>
        </w:trPr>
        <w:tc>
          <w:tcPr>
            <w:tcW w:w="1133"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rPr>
                <w:sz w:val="18"/>
                <w:szCs w:val="18"/>
              </w:rPr>
            </w:pPr>
            <w:r w:rsidRPr="000F3E3B">
              <w:rPr>
                <w:sz w:val="18"/>
                <w:szCs w:val="18"/>
              </w:rPr>
              <w:t>ISS-LGA</w:t>
            </w:r>
          </w:p>
        </w:tc>
        <w:tc>
          <w:tcPr>
            <w:tcW w:w="624"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jc w:val="center"/>
              <w:rPr>
                <w:sz w:val="18"/>
                <w:szCs w:val="18"/>
              </w:rPr>
            </w:pPr>
            <w:r w:rsidRPr="000F3E3B">
              <w:rPr>
                <w:sz w:val="18"/>
                <w:szCs w:val="18"/>
              </w:rPr>
              <w:t>479</w:t>
            </w:r>
          </w:p>
        </w:tc>
        <w:tc>
          <w:tcPr>
            <w:tcW w:w="1134"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jc w:val="center"/>
              <w:rPr>
                <w:sz w:val="18"/>
                <w:szCs w:val="18"/>
              </w:rPr>
            </w:pPr>
            <w:r w:rsidRPr="000F3E3B">
              <w:rPr>
                <w:sz w:val="18"/>
                <w:szCs w:val="18"/>
              </w:rPr>
              <w:t>–201.80</w:t>
            </w:r>
          </w:p>
        </w:tc>
        <w:tc>
          <w:tcPr>
            <w:tcW w:w="1072"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–12.20</w:t>
            </w:r>
          </w:p>
        </w:tc>
        <w:tc>
          <w:tcPr>
            <w:tcW w:w="710"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6.3</w:t>
            </w:r>
          </w:p>
        </w:tc>
        <w:tc>
          <w:tcPr>
            <w:tcW w:w="1276"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18.50</w:t>
            </w:r>
          </w:p>
        </w:tc>
        <w:tc>
          <w:tcPr>
            <w:tcW w:w="569"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5.7</w:t>
            </w:r>
          </w:p>
        </w:tc>
        <w:tc>
          <w:tcPr>
            <w:tcW w:w="1218"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17.90</w:t>
            </w:r>
          </w:p>
        </w:tc>
        <w:tc>
          <w:tcPr>
            <w:tcW w:w="764"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2.7</w:t>
            </w:r>
          </w:p>
        </w:tc>
        <w:tc>
          <w:tcPr>
            <w:tcW w:w="1276"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14.90</w:t>
            </w:r>
          </w:p>
        </w:tc>
      </w:tr>
      <w:tr w:rsidR="002A31A2" w:rsidRPr="003552F3" w:rsidTr="000F3E3B">
        <w:trPr>
          <w:trHeight w:val="20"/>
          <w:jc w:val="center"/>
        </w:trPr>
        <w:tc>
          <w:tcPr>
            <w:tcW w:w="1133"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rPr>
                <w:sz w:val="18"/>
                <w:szCs w:val="18"/>
              </w:rPr>
            </w:pPr>
            <w:r w:rsidRPr="000F3E3B">
              <w:rPr>
                <w:sz w:val="18"/>
                <w:szCs w:val="18"/>
              </w:rPr>
              <w:t>TRMM-HGA</w:t>
            </w:r>
          </w:p>
        </w:tc>
        <w:tc>
          <w:tcPr>
            <w:tcW w:w="624"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jc w:val="center"/>
              <w:rPr>
                <w:sz w:val="18"/>
                <w:szCs w:val="18"/>
              </w:rPr>
            </w:pPr>
            <w:r w:rsidRPr="000F3E3B">
              <w:rPr>
                <w:sz w:val="18"/>
                <w:szCs w:val="18"/>
              </w:rPr>
              <w:t>513</w:t>
            </w:r>
          </w:p>
        </w:tc>
        <w:tc>
          <w:tcPr>
            <w:tcW w:w="1134" w:type="dxa"/>
            <w:tcBorders>
              <w:top w:val="single" w:sz="4" w:space="0" w:color="auto"/>
              <w:left w:val="single" w:sz="4" w:space="0" w:color="auto"/>
              <w:bottom w:val="single" w:sz="4" w:space="0" w:color="auto"/>
              <w:right w:val="single" w:sz="4" w:space="0" w:color="auto"/>
            </w:tcBorders>
            <w:noWrap/>
            <w:hideMark/>
          </w:tcPr>
          <w:p w:rsidR="00071226" w:rsidRPr="000F3E3B" w:rsidRDefault="00071226" w:rsidP="003552F3">
            <w:pPr>
              <w:pStyle w:val="Tabletext"/>
              <w:jc w:val="center"/>
              <w:rPr>
                <w:sz w:val="18"/>
                <w:szCs w:val="18"/>
              </w:rPr>
            </w:pPr>
            <w:r w:rsidRPr="000F3E3B">
              <w:rPr>
                <w:sz w:val="18"/>
                <w:szCs w:val="18"/>
              </w:rPr>
              <w:t>–201.50</w:t>
            </w:r>
          </w:p>
        </w:tc>
        <w:tc>
          <w:tcPr>
            <w:tcW w:w="1072"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–12.50</w:t>
            </w:r>
          </w:p>
        </w:tc>
        <w:tc>
          <w:tcPr>
            <w:tcW w:w="710"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7.2</w:t>
            </w:r>
          </w:p>
        </w:tc>
        <w:tc>
          <w:tcPr>
            <w:tcW w:w="1276"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19.70</w:t>
            </w:r>
          </w:p>
        </w:tc>
        <w:tc>
          <w:tcPr>
            <w:tcW w:w="569"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6.5</w:t>
            </w:r>
          </w:p>
        </w:tc>
        <w:tc>
          <w:tcPr>
            <w:tcW w:w="1218"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19.00</w:t>
            </w:r>
          </w:p>
        </w:tc>
        <w:tc>
          <w:tcPr>
            <w:tcW w:w="764"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4.1</w:t>
            </w:r>
          </w:p>
        </w:tc>
        <w:tc>
          <w:tcPr>
            <w:tcW w:w="1276" w:type="dxa"/>
            <w:tcBorders>
              <w:top w:val="single" w:sz="4" w:space="0" w:color="auto"/>
              <w:left w:val="single" w:sz="4" w:space="0" w:color="auto"/>
              <w:bottom w:val="single" w:sz="4" w:space="0" w:color="auto"/>
              <w:right w:val="single" w:sz="4" w:space="0" w:color="auto"/>
            </w:tcBorders>
            <w:hideMark/>
          </w:tcPr>
          <w:p w:rsidR="00071226" w:rsidRPr="000F3E3B" w:rsidRDefault="00071226" w:rsidP="003552F3">
            <w:pPr>
              <w:pStyle w:val="Tabletext"/>
              <w:jc w:val="center"/>
              <w:rPr>
                <w:sz w:val="18"/>
                <w:szCs w:val="18"/>
              </w:rPr>
            </w:pPr>
            <w:r w:rsidRPr="000F3E3B">
              <w:rPr>
                <w:sz w:val="18"/>
                <w:szCs w:val="18"/>
              </w:rPr>
              <w:t>16.60</w:t>
            </w:r>
          </w:p>
        </w:tc>
      </w:tr>
    </w:tbl>
    <w:p w:rsidR="002A31A2" w:rsidRDefault="002A31A2" w:rsidP="002A31A2">
      <w:pPr>
        <w:pStyle w:val="Tablefin"/>
      </w:pPr>
      <w:bookmarkStart w:id="21" w:name="_Ref353282814"/>
      <w:bookmarkEnd w:id="20"/>
    </w:p>
    <w:p w:rsidR="00071226" w:rsidRDefault="00071226" w:rsidP="00071226">
      <w:pPr>
        <w:pStyle w:val="FigureNo"/>
      </w:pPr>
      <w:r w:rsidRPr="004B71B0">
        <w:t xml:space="preserve">Figure </w:t>
      </w:r>
      <w:bookmarkEnd w:id="21"/>
      <w:r>
        <w:t>9</w:t>
      </w:r>
    </w:p>
    <w:p w:rsidR="00071226" w:rsidRPr="008839C1" w:rsidRDefault="00071226" w:rsidP="002A31A2">
      <w:pPr>
        <w:pStyle w:val="Figuretitle"/>
        <w:spacing w:after="240"/>
        <w:rPr>
          <w:lang w:val="en-US"/>
        </w:rPr>
      </w:pPr>
      <w:r w:rsidRPr="008839C1">
        <w:rPr>
          <w:lang w:val="en-US"/>
        </w:rPr>
        <w:t>Potential Interference from the LTE user equipment terminals into GPM Forward Link taking</w:t>
      </w:r>
      <w:r w:rsidR="002A31A2">
        <w:rPr>
          <w:lang w:val="en-US"/>
        </w:rPr>
        <w:br/>
      </w:r>
      <w:r w:rsidRPr="008839C1">
        <w:rPr>
          <w:lang w:val="en-US"/>
        </w:rPr>
        <w:t>into account site shielding mask and additional clutter based on</w:t>
      </w:r>
      <w:r w:rsidR="002A31A2">
        <w:rPr>
          <w:lang w:val="en-US"/>
        </w:rPr>
        <w:br/>
      </w:r>
      <w:r w:rsidRPr="008839C1">
        <w:rPr>
          <w:lang w:val="en-US"/>
        </w:rPr>
        <w:t>Recommendation ITU-R P.452</w:t>
      </w:r>
    </w:p>
    <w:p w:rsidR="00071226" w:rsidRPr="00C933E7" w:rsidRDefault="00071226" w:rsidP="002A31A2">
      <w:pPr>
        <w:pStyle w:val="Figure"/>
      </w:pPr>
      <w:r w:rsidRPr="008755CA">
        <w:rPr>
          <w:noProof/>
          <w:lang w:val="en-US" w:eastAsia="zh-CN"/>
        </w:rPr>
        <w:drawing>
          <wp:inline distT="0" distB="0" distL="0" distR="0" wp14:anchorId="490A8A4F" wp14:editId="3468D696">
            <wp:extent cx="5397690" cy="402454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4497" cy="4029618"/>
                    </a:xfrm>
                    <a:prstGeom prst="rect">
                      <a:avLst/>
                    </a:prstGeom>
                    <a:noFill/>
                  </pic:spPr>
                </pic:pic>
              </a:graphicData>
            </a:graphic>
          </wp:inline>
        </w:drawing>
      </w:r>
    </w:p>
    <w:p w:rsidR="00071226" w:rsidRPr="003C30DE" w:rsidRDefault="00071226" w:rsidP="002A31A2"/>
    <w:p w:rsidR="00071226" w:rsidRPr="008839C1" w:rsidRDefault="00071226" w:rsidP="00C309C4">
      <w:pPr>
        <w:pStyle w:val="Heading3"/>
        <w:rPr>
          <w:rFonts w:asciiTheme="majorBidi" w:hAnsiTheme="majorBidi" w:cstheme="majorBidi"/>
          <w:lang w:val="en-US"/>
        </w:rPr>
      </w:pPr>
      <w:bookmarkStart w:id="22" w:name="_Toc362524744"/>
      <w:r w:rsidRPr="008839C1">
        <w:rPr>
          <w:rFonts w:asciiTheme="majorBidi" w:hAnsiTheme="majorBidi" w:cstheme="majorBidi"/>
          <w:lang w:val="en-US"/>
        </w:rPr>
        <w:lastRenderedPageBreak/>
        <w:t>4.2.2</w:t>
      </w:r>
      <w:r w:rsidRPr="008839C1">
        <w:rPr>
          <w:rFonts w:asciiTheme="majorBidi" w:hAnsiTheme="majorBidi" w:cstheme="majorBidi"/>
          <w:lang w:val="en-US"/>
        </w:rPr>
        <w:tab/>
        <w:t>Potential interference from LTE user equipment in the frequency band 2 200-2 290 MHz</w:t>
      </w:r>
      <w:bookmarkEnd w:id="22"/>
    </w:p>
    <w:p w:rsidR="00071226" w:rsidRDefault="00071226" w:rsidP="00071226">
      <w:pPr>
        <w:rPr>
          <w:lang w:val="en-US"/>
        </w:rPr>
      </w:pPr>
      <w:r w:rsidRPr="008839C1">
        <w:rPr>
          <w:lang w:val="en-US"/>
        </w:rPr>
        <w:t xml:space="preserve">Table 12 and </w:t>
      </w:r>
      <w:r w:rsidR="002A31A2" w:rsidRPr="002A31A2">
        <w:rPr>
          <w:lang w:val="en-US"/>
        </w:rPr>
        <w:t>Fig.</w:t>
      </w:r>
      <w:r w:rsidRPr="008839C1">
        <w:rPr>
          <w:lang w:val="en-US"/>
        </w:rPr>
        <w:t xml:space="preserve"> 10 pre</w:t>
      </w:r>
      <w:r w:rsidR="002A31A2">
        <w:rPr>
          <w:lang w:val="en-US"/>
        </w:rPr>
        <w:t>sent</w:t>
      </w:r>
      <w:r w:rsidRPr="008839C1">
        <w:rPr>
          <w:lang w:val="en-US"/>
        </w:rPr>
        <w:t xml:space="preserve"> the results of analyses considering the potential of sharing LTE user equipment distributed over worldwide cities with TDRS 41° West return links receiving a transmission from the ISS. For these analyses, a hypothetical full blockage shielding mask was analysed for those cities having elevation angles below 0 degrees, 20 degrees, and 45 degrees in relation to the TDRS 41° West (e.g. a 20 degree elevation mask means that only LTE user equipment which have visibility to the 41° West TDRS satellite above 20 degrees contribute to the aggregate interference).</w:t>
      </w:r>
      <w:r w:rsidR="00BF1B1C">
        <w:rPr>
          <w:lang w:val="en-US"/>
        </w:rPr>
        <w:t xml:space="preserve"> </w:t>
      </w:r>
      <w:r w:rsidRPr="008839C1">
        <w:rPr>
          <w:lang w:val="en-US"/>
        </w:rPr>
        <w:t>Further, an additional clutter factor based on Recommendation ITU-R P.452 was considered in the analysis.</w:t>
      </w:r>
    </w:p>
    <w:p w:rsidR="00A6211D" w:rsidRDefault="00A6211D" w:rsidP="00071226">
      <w:pPr>
        <w:rPr>
          <w:lang w:val="en-US"/>
        </w:rPr>
      </w:pPr>
    </w:p>
    <w:p w:rsidR="00A6211D" w:rsidRPr="008839C1" w:rsidRDefault="00A6211D" w:rsidP="00071226">
      <w:pPr>
        <w:rPr>
          <w:lang w:val="en-US"/>
        </w:rPr>
      </w:pPr>
    </w:p>
    <w:p w:rsidR="00071226" w:rsidRPr="008839C1" w:rsidRDefault="00071226" w:rsidP="0019464F">
      <w:pPr>
        <w:pStyle w:val="TableNo"/>
        <w:rPr>
          <w:lang w:val="en-US"/>
        </w:rPr>
      </w:pPr>
      <w:r w:rsidRPr="008839C1">
        <w:rPr>
          <w:lang w:val="en-US"/>
        </w:rPr>
        <w:t>T</w:t>
      </w:r>
      <w:r w:rsidR="0019464F">
        <w:rPr>
          <w:lang w:val="en-US"/>
        </w:rPr>
        <w:t>ABLE</w:t>
      </w:r>
      <w:r w:rsidRPr="008839C1">
        <w:rPr>
          <w:lang w:val="en-US"/>
        </w:rPr>
        <w:t xml:space="preserve"> 12</w:t>
      </w:r>
    </w:p>
    <w:p w:rsidR="00071226" w:rsidRPr="008839C1" w:rsidRDefault="00071226" w:rsidP="002A31A2">
      <w:pPr>
        <w:pStyle w:val="Tabletitle"/>
        <w:rPr>
          <w:lang w:val="en-US"/>
        </w:rPr>
      </w:pPr>
      <w:r w:rsidRPr="008839C1">
        <w:rPr>
          <w:lang w:val="en-US"/>
        </w:rPr>
        <w:t>Potential interference from the LTE user equipment terminals using elevation</w:t>
      </w:r>
      <w:r w:rsidR="002A31A2">
        <w:rPr>
          <w:lang w:val="en-US"/>
        </w:rPr>
        <w:br/>
      </w:r>
      <w:r w:rsidRPr="008839C1">
        <w:rPr>
          <w:lang w:val="en-US"/>
        </w:rPr>
        <w:t>mask shielding and additional clutter attenuation based</w:t>
      </w:r>
      <w:r w:rsidR="002A31A2">
        <w:rPr>
          <w:lang w:val="en-US"/>
        </w:rPr>
        <w:br/>
      </w:r>
      <w:r w:rsidRPr="008839C1">
        <w:rPr>
          <w:lang w:val="en-US"/>
        </w:rPr>
        <w:t>on Recommendation ITU-R P.452 into</w:t>
      </w:r>
      <w:r w:rsidR="002A31A2">
        <w:rPr>
          <w:lang w:val="en-US"/>
        </w:rPr>
        <w:br/>
      </w:r>
      <w:r w:rsidRPr="008839C1">
        <w:rPr>
          <w:lang w:val="en-US"/>
        </w:rPr>
        <w:t>typical NASA TDRS return links</w:t>
      </w:r>
    </w:p>
    <w:tbl>
      <w:tblPr>
        <w:tblW w:w="9639" w:type="dxa"/>
        <w:jc w:val="center"/>
        <w:tblLook w:val="04A0" w:firstRow="1" w:lastRow="0" w:firstColumn="1" w:lastColumn="0" w:noHBand="0" w:noVBand="1"/>
      </w:tblPr>
      <w:tblGrid>
        <w:gridCol w:w="1848"/>
        <w:gridCol w:w="1109"/>
        <w:gridCol w:w="1488"/>
        <w:gridCol w:w="1109"/>
        <w:gridCol w:w="1488"/>
        <w:gridCol w:w="1109"/>
        <w:gridCol w:w="1488"/>
      </w:tblGrid>
      <w:tr w:rsidR="00071226" w:rsidRPr="003262DD" w:rsidTr="001A535F">
        <w:trPr>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071226" w:rsidRPr="003262DD" w:rsidRDefault="00071226" w:rsidP="002A31A2">
            <w:pPr>
              <w:pStyle w:val="Tablehead"/>
            </w:pPr>
            <w:r w:rsidRPr="003262DD">
              <w:t>Visibility Elevation Mask (deg)</w:t>
            </w:r>
          </w:p>
        </w:tc>
        <w:tc>
          <w:tcPr>
            <w:tcW w:w="0" w:type="auto"/>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071226" w:rsidRPr="003262DD" w:rsidRDefault="00071226" w:rsidP="002A31A2">
            <w:pPr>
              <w:pStyle w:val="Tablehead"/>
            </w:pPr>
            <w:r w:rsidRPr="003262DD">
              <w:t>0 degrees</w:t>
            </w:r>
          </w:p>
        </w:tc>
        <w:tc>
          <w:tcPr>
            <w:tcW w:w="0" w:type="auto"/>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071226" w:rsidRPr="003262DD" w:rsidRDefault="00071226" w:rsidP="002A31A2">
            <w:pPr>
              <w:pStyle w:val="Tablehead"/>
            </w:pPr>
            <w:r w:rsidRPr="003262DD">
              <w:t>20 degrees</w:t>
            </w:r>
          </w:p>
        </w:tc>
        <w:tc>
          <w:tcPr>
            <w:tcW w:w="0" w:type="auto"/>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071226" w:rsidRPr="003262DD" w:rsidRDefault="00071226" w:rsidP="002A31A2">
            <w:pPr>
              <w:pStyle w:val="Tablehead"/>
            </w:pPr>
            <w:r w:rsidRPr="003262DD">
              <w:t>45 degrees</w:t>
            </w:r>
          </w:p>
        </w:tc>
      </w:tr>
      <w:tr w:rsidR="00071226" w:rsidRPr="003262DD" w:rsidTr="001A535F">
        <w:trPr>
          <w:jc w:val="center"/>
        </w:trPr>
        <w:tc>
          <w:tcPr>
            <w:tcW w:w="0" w:type="auto"/>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071226" w:rsidRPr="003262DD" w:rsidRDefault="00071226" w:rsidP="002A31A2">
            <w:pPr>
              <w:pStyle w:val="Tablehead"/>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071226" w:rsidRPr="003262DD" w:rsidRDefault="00071226" w:rsidP="002A31A2">
            <w:pPr>
              <w:pStyle w:val="Tablehead"/>
            </w:pPr>
            <w:r w:rsidRPr="003262DD">
              <w:t>I/N (</w:t>
            </w:r>
            <w:r>
              <w:t>dB</w:t>
            </w:r>
            <w:r w:rsidRPr="003262DD">
              <w:t>) @ 0.1%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071226" w:rsidRPr="003262DD" w:rsidRDefault="00071226" w:rsidP="002A31A2">
            <w:pPr>
              <w:pStyle w:val="Tablehead"/>
            </w:pPr>
            <w:r w:rsidRPr="003262DD">
              <w:t>Exceedance (</w:t>
            </w:r>
            <w:r>
              <w:t>dB</w:t>
            </w:r>
            <w:r w:rsidRPr="003262DD">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071226" w:rsidRPr="003262DD" w:rsidRDefault="00071226" w:rsidP="002A31A2">
            <w:pPr>
              <w:pStyle w:val="Tablehead"/>
            </w:pPr>
            <w:r w:rsidRPr="003262DD">
              <w:t>I/N (</w:t>
            </w:r>
            <w:r>
              <w:t>dB</w:t>
            </w:r>
            <w:r w:rsidRPr="003262DD">
              <w:t>) @ 0.1%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071226" w:rsidRPr="003262DD" w:rsidRDefault="00071226" w:rsidP="002A31A2">
            <w:pPr>
              <w:pStyle w:val="Tablehead"/>
            </w:pPr>
            <w:r w:rsidRPr="003262DD">
              <w:t>Exceedance (</w:t>
            </w:r>
            <w:r>
              <w:t>dB</w:t>
            </w:r>
            <w:r w:rsidRPr="003262DD">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071226" w:rsidRPr="003262DD" w:rsidRDefault="00071226" w:rsidP="002A31A2">
            <w:pPr>
              <w:pStyle w:val="Tablehead"/>
            </w:pPr>
            <w:r w:rsidRPr="003262DD">
              <w:t>I/N (</w:t>
            </w:r>
            <w:r>
              <w:t>dB</w:t>
            </w:r>
            <w:r w:rsidRPr="003262DD">
              <w:t>) @ 0.1%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071226" w:rsidRPr="003262DD" w:rsidRDefault="00071226" w:rsidP="002A31A2">
            <w:pPr>
              <w:pStyle w:val="Tablehead"/>
            </w:pPr>
            <w:r w:rsidRPr="003262DD">
              <w:t>Exceedance (</w:t>
            </w:r>
            <w:r>
              <w:t>dB</w:t>
            </w:r>
            <w:r w:rsidRPr="003262DD">
              <w:t>)</w:t>
            </w:r>
          </w:p>
        </w:tc>
      </w:tr>
      <w:tr w:rsidR="00071226" w:rsidRPr="003262DD" w:rsidTr="001A535F">
        <w:trPr>
          <w:jc w:val="center"/>
        </w:trPr>
        <w:tc>
          <w:tcPr>
            <w:tcW w:w="0" w:type="auto"/>
            <w:vMerge/>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071226" w:rsidRPr="003262DD" w:rsidRDefault="00071226" w:rsidP="002A31A2">
            <w:pPr>
              <w:pStyle w:val="Tablehead"/>
              <w:rPr>
                <w:rFonts w:ascii="Calibri" w:hAnsi="Calibri"/>
                <w:bCs/>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071226" w:rsidRPr="003262DD" w:rsidRDefault="00071226" w:rsidP="002A31A2">
            <w:pPr>
              <w:pStyle w:val="Tabletext"/>
              <w:jc w:val="center"/>
              <w:rPr>
                <w:bCs/>
              </w:rPr>
            </w:pPr>
            <w:r>
              <w:t>8.1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071226" w:rsidRPr="003262DD" w:rsidRDefault="00071226" w:rsidP="002A31A2">
            <w:pPr>
              <w:pStyle w:val="Tabletext"/>
              <w:jc w:val="center"/>
              <w:rPr>
                <w:bCs/>
              </w:rPr>
            </w:pPr>
            <w:r>
              <w:t>21.4</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071226" w:rsidRPr="003262DD" w:rsidRDefault="00071226" w:rsidP="002A31A2">
            <w:pPr>
              <w:pStyle w:val="Tabletext"/>
              <w:jc w:val="center"/>
              <w:rPr>
                <w:bCs/>
              </w:rPr>
            </w:pPr>
            <w:r>
              <w:t>7.3</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071226" w:rsidRPr="003262DD" w:rsidRDefault="00071226" w:rsidP="002A31A2">
            <w:pPr>
              <w:pStyle w:val="Tabletext"/>
              <w:jc w:val="center"/>
              <w:rPr>
                <w:bCs/>
              </w:rPr>
            </w:pPr>
            <w:r>
              <w:t>20.6</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071226" w:rsidRPr="003262DD" w:rsidRDefault="00071226" w:rsidP="002A31A2">
            <w:pPr>
              <w:pStyle w:val="Tabletext"/>
              <w:jc w:val="center"/>
              <w:rPr>
                <w:bCs/>
              </w:rPr>
            </w:pPr>
            <w:r>
              <w:t>2.1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071226" w:rsidRPr="003262DD" w:rsidRDefault="00071226" w:rsidP="002A31A2">
            <w:pPr>
              <w:pStyle w:val="Tabletext"/>
              <w:jc w:val="center"/>
              <w:rPr>
                <w:bCs/>
              </w:rPr>
            </w:pPr>
            <w:r>
              <w:t>15.4</w:t>
            </w:r>
          </w:p>
        </w:tc>
      </w:tr>
    </w:tbl>
    <w:p w:rsidR="00871566" w:rsidRDefault="00871566" w:rsidP="00871566">
      <w:pPr>
        <w:pStyle w:val="Tablefin"/>
      </w:pPr>
    </w:p>
    <w:p w:rsidR="00071226" w:rsidRPr="00D32E81" w:rsidRDefault="00071226" w:rsidP="00071226">
      <w:pPr>
        <w:pStyle w:val="FigureNo"/>
        <w:rPr>
          <w:bCs/>
        </w:rPr>
      </w:pPr>
      <w:r>
        <w:lastRenderedPageBreak/>
        <w:t>Figure 10</w:t>
      </w:r>
    </w:p>
    <w:p w:rsidR="00071226" w:rsidRPr="008839C1" w:rsidRDefault="00071226" w:rsidP="002A31A2">
      <w:pPr>
        <w:pStyle w:val="Figuretitle"/>
        <w:rPr>
          <w:lang w:val="en-US"/>
        </w:rPr>
      </w:pPr>
      <w:r w:rsidRPr="008839C1">
        <w:rPr>
          <w:lang w:val="en-US"/>
        </w:rPr>
        <w:t>Potential interference from LTE user terminals into TDRS return links taking into account elevation angle</w:t>
      </w:r>
      <w:r w:rsidR="002A31A2">
        <w:rPr>
          <w:lang w:val="en-US"/>
        </w:rPr>
        <w:br/>
      </w:r>
      <w:r w:rsidRPr="008839C1">
        <w:rPr>
          <w:lang w:val="en-US"/>
        </w:rPr>
        <w:t>based site shielding and additional clutter loss based on Recommendation ITU-R P.452</w:t>
      </w:r>
    </w:p>
    <w:p w:rsidR="00071226" w:rsidRPr="00BF721E" w:rsidRDefault="00071226" w:rsidP="00871566">
      <w:pPr>
        <w:pStyle w:val="Figure"/>
      </w:pPr>
      <w:r w:rsidRPr="008755CA">
        <w:rPr>
          <w:noProof/>
          <w:lang w:val="en-US" w:eastAsia="zh-CN"/>
        </w:rPr>
        <w:drawing>
          <wp:inline distT="0" distB="0" distL="0" distR="0" wp14:anchorId="34FD02D2" wp14:editId="69621352">
            <wp:extent cx="6293667" cy="3882788"/>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4940" cy="3883574"/>
                    </a:xfrm>
                    <a:prstGeom prst="rect">
                      <a:avLst/>
                    </a:prstGeom>
                    <a:noFill/>
                  </pic:spPr>
                </pic:pic>
              </a:graphicData>
            </a:graphic>
          </wp:inline>
        </w:drawing>
      </w:r>
    </w:p>
    <w:p w:rsidR="00071226" w:rsidRPr="008839C1" w:rsidRDefault="00071226" w:rsidP="002A31A2">
      <w:pPr>
        <w:pStyle w:val="Heading1"/>
        <w:rPr>
          <w:lang w:val="en-US"/>
        </w:rPr>
      </w:pPr>
      <w:r w:rsidRPr="008839C1">
        <w:rPr>
          <w:lang w:val="en-US"/>
        </w:rPr>
        <w:t>5</w:t>
      </w:r>
      <w:r w:rsidRPr="008839C1">
        <w:rPr>
          <w:lang w:val="en-US"/>
        </w:rPr>
        <w:tab/>
        <w:t>Summary</w:t>
      </w:r>
    </w:p>
    <w:p w:rsidR="00071226" w:rsidRPr="008839C1" w:rsidRDefault="00071226" w:rsidP="00871566">
      <w:pPr>
        <w:keepNext/>
        <w:keepLines/>
        <w:rPr>
          <w:lang w:val="en-US"/>
        </w:rPr>
      </w:pPr>
      <w:r w:rsidRPr="008839C1">
        <w:rPr>
          <w:lang w:val="en-US"/>
        </w:rPr>
        <w:t xml:space="preserve">This </w:t>
      </w:r>
      <w:r w:rsidR="002A31A2">
        <w:rPr>
          <w:lang w:val="en-US"/>
        </w:rPr>
        <w:t>Report</w:t>
      </w:r>
      <w:r w:rsidRPr="008839C1">
        <w:rPr>
          <w:lang w:val="en-US"/>
        </w:rPr>
        <w:t xml:space="preserve"> presents study results on the feasibility of sharing with DRS (space-to-space) forward link and return link operations between typical TDRSS users and the TDRSS in the frequency bands 2 025-2 110 MHz and 2 200-2 290 MHz. </w:t>
      </w:r>
    </w:p>
    <w:p w:rsidR="00071226" w:rsidRPr="008839C1" w:rsidRDefault="00071226" w:rsidP="00D25D4F">
      <w:pPr>
        <w:rPr>
          <w:lang w:val="en-US"/>
        </w:rPr>
      </w:pPr>
      <w:r w:rsidRPr="008839C1">
        <w:rPr>
          <w:lang w:val="en-US"/>
        </w:rPr>
        <w:t>Interference scenarios were considered between the DRS return link operations and a worldwide LTE deployment in 160 highly populated world cities (see A</w:t>
      </w:r>
      <w:r w:rsidR="00D25D4F">
        <w:rPr>
          <w:lang w:val="en-US"/>
        </w:rPr>
        <w:t>nnex</w:t>
      </w:r>
      <w:r w:rsidRPr="008839C1">
        <w:rPr>
          <w:lang w:val="en-US"/>
        </w:rPr>
        <w:t xml:space="preserve"> E for a list of cities).</w:t>
      </w:r>
      <w:r w:rsidR="00BF1B1C">
        <w:rPr>
          <w:lang w:val="en-US"/>
        </w:rPr>
        <w:t xml:space="preserve"> </w:t>
      </w:r>
      <w:r w:rsidRPr="008839C1">
        <w:rPr>
          <w:lang w:val="en-US"/>
        </w:rPr>
        <w:t>LTE uplink and downlink operations that were considered included either transmitting base-station or transmitting user equipment, but not both simultaneously.</w:t>
      </w:r>
      <w:r w:rsidR="00BF1B1C">
        <w:rPr>
          <w:lang w:val="en-US"/>
        </w:rPr>
        <w:t xml:space="preserve"> </w:t>
      </w:r>
      <w:r w:rsidRPr="008839C1">
        <w:rPr>
          <w:lang w:val="en-US"/>
        </w:rPr>
        <w:t xml:space="preserve">LTE base-station and user equipment parameters used in these analyses were provided in Report ITU-R M.2292 and the base-station sector antenna pattern was provided in </w:t>
      </w:r>
      <w:r w:rsidRPr="008839C1">
        <w:rPr>
          <w:szCs w:val="24"/>
          <w:lang w:val="en-US"/>
        </w:rPr>
        <w:t>Recommendation ITU-R F.1336 Annex C</w:t>
      </w:r>
      <w:r w:rsidRPr="008839C1">
        <w:rPr>
          <w:lang w:val="en-US"/>
        </w:rPr>
        <w:t>.</w:t>
      </w:r>
      <w:r w:rsidR="00BF1B1C">
        <w:rPr>
          <w:lang w:val="en-US"/>
        </w:rPr>
        <w:t xml:space="preserve"> </w:t>
      </w:r>
      <w:r w:rsidRPr="008839C1">
        <w:rPr>
          <w:lang w:val="en-US"/>
        </w:rPr>
        <w:t>The assumptions and parameters used in the analyses such as LTE deployment models transmit power, shielding, clutter loss, and propagation conditions were varied in order to analyse a range of scenarios.</w:t>
      </w:r>
      <w:r w:rsidR="00BF1B1C">
        <w:rPr>
          <w:lang w:val="en-US"/>
        </w:rPr>
        <w:t xml:space="preserve"> </w:t>
      </w:r>
      <w:r>
        <w:rPr>
          <w:szCs w:val="24"/>
          <w:lang w:val="en-US"/>
        </w:rPr>
        <w:t>Although this analysis assumes wireless broadband characteristics based on the LTE technology standard, the results would also apply to other types of wireless broadband technology with similar characteristics.</w:t>
      </w:r>
    </w:p>
    <w:p w:rsidR="00071226" w:rsidRPr="008839C1" w:rsidRDefault="00071226" w:rsidP="00071226">
      <w:pPr>
        <w:rPr>
          <w:lang w:val="en-US"/>
        </w:rPr>
      </w:pPr>
      <w:r w:rsidRPr="008839C1">
        <w:rPr>
          <w:lang w:val="en-US"/>
        </w:rPr>
        <w:t>The parameters used in the analyses were varied to test a range of assumptions.</w:t>
      </w:r>
      <w:r w:rsidR="00BF1B1C">
        <w:rPr>
          <w:lang w:val="en-US"/>
        </w:rPr>
        <w:t xml:space="preserve"> </w:t>
      </w:r>
      <w:r w:rsidRPr="008839C1">
        <w:rPr>
          <w:lang w:val="en-US"/>
        </w:rPr>
        <w:t>However, even with the wide range of parameters and very favourable sharing assumptions used for the analyses in this report, it can be seen that the level of interference exceeds the permissible criteria by so much that additional interference mitigations cannot sufficiently reduce interfering signal levels to enable sharing.</w:t>
      </w:r>
    </w:p>
    <w:p w:rsidR="00071226" w:rsidRPr="008839C1" w:rsidRDefault="00071226" w:rsidP="00071226">
      <w:pPr>
        <w:pStyle w:val="Heading1"/>
        <w:rPr>
          <w:szCs w:val="28"/>
          <w:lang w:val="en-US"/>
        </w:rPr>
      </w:pPr>
      <w:r w:rsidRPr="008839C1">
        <w:rPr>
          <w:szCs w:val="28"/>
          <w:lang w:val="en-US"/>
        </w:rPr>
        <w:lastRenderedPageBreak/>
        <w:t>6</w:t>
      </w:r>
      <w:r w:rsidRPr="008839C1">
        <w:rPr>
          <w:szCs w:val="28"/>
          <w:lang w:val="en-US"/>
        </w:rPr>
        <w:tab/>
        <w:t>Conclusion</w:t>
      </w:r>
    </w:p>
    <w:p w:rsidR="00071226" w:rsidRPr="008839C1" w:rsidRDefault="00071226" w:rsidP="00C309C4">
      <w:pPr>
        <w:rPr>
          <w:lang w:val="en-US"/>
        </w:rPr>
      </w:pPr>
      <w:r w:rsidRPr="008839C1">
        <w:rPr>
          <w:lang w:val="en-US"/>
        </w:rPr>
        <w:t>As can be seen from the analysis results it is found that sharing is not feasible between LTE systems and incumbent DRS forward and return links operating in the 2 025-2 110 MHz and 2 200-2 290 MHz frequency bands in the space research (space-to-space), Earth exploration-satellite (space-to-space) and space operat</w:t>
      </w:r>
      <w:r w:rsidR="00871566">
        <w:rPr>
          <w:lang w:val="en-US"/>
        </w:rPr>
        <w:t>ions (space-to-space) services.</w:t>
      </w:r>
    </w:p>
    <w:p w:rsidR="00071226" w:rsidRPr="008839C1" w:rsidRDefault="00071226" w:rsidP="00071226">
      <w:pPr>
        <w:rPr>
          <w:lang w:val="en-US"/>
        </w:rPr>
      </w:pPr>
    </w:p>
    <w:p w:rsidR="00845CC9" w:rsidRDefault="00845CC9">
      <w:pPr>
        <w:tabs>
          <w:tab w:val="clear" w:pos="794"/>
          <w:tab w:val="clear" w:pos="1191"/>
          <w:tab w:val="clear" w:pos="1588"/>
          <w:tab w:val="clear" w:pos="1985"/>
        </w:tabs>
        <w:overflowPunct/>
        <w:autoSpaceDE/>
        <w:autoSpaceDN/>
        <w:adjustRightInd/>
        <w:spacing w:before="0"/>
        <w:jc w:val="left"/>
        <w:textAlignment w:val="auto"/>
        <w:rPr>
          <w:b/>
          <w:sz w:val="28"/>
          <w:lang w:val="en-US"/>
        </w:rPr>
      </w:pPr>
    </w:p>
    <w:p w:rsidR="00071226" w:rsidRPr="00C309C4" w:rsidRDefault="00845CC9" w:rsidP="00C01F9D">
      <w:pPr>
        <w:pStyle w:val="AnnexNoTitle"/>
        <w:rPr>
          <w:lang w:val="en-US"/>
        </w:rPr>
      </w:pPr>
      <w:r w:rsidRPr="00845CC9">
        <w:rPr>
          <w:lang w:val="en-US"/>
        </w:rPr>
        <w:t>Annex</w:t>
      </w:r>
      <w:r w:rsidR="00071226" w:rsidRPr="00C309C4">
        <w:rPr>
          <w:lang w:val="en-US"/>
        </w:rPr>
        <w:t xml:space="preserve"> A</w:t>
      </w:r>
      <w:r w:rsidR="00D86C62">
        <w:rPr>
          <w:lang w:val="en-US"/>
        </w:rPr>
        <w:br/>
      </w:r>
      <w:r w:rsidR="00D86C62">
        <w:rPr>
          <w:lang w:val="en-US"/>
        </w:rPr>
        <w:br/>
      </w:r>
      <w:r w:rsidR="00071226" w:rsidRPr="00C309C4">
        <w:rPr>
          <w:lang w:val="en-US"/>
        </w:rPr>
        <w:t>Method for calculating aggregate power per city zone for LTE UEs</w:t>
      </w:r>
    </w:p>
    <w:p w:rsidR="00071226" w:rsidRPr="008839C1" w:rsidRDefault="00071226" w:rsidP="00071226">
      <w:pPr>
        <w:rPr>
          <w:lang w:val="en-US"/>
        </w:rPr>
      </w:pPr>
      <w:r w:rsidRPr="008839C1">
        <w:rPr>
          <w:lang w:val="en-US"/>
        </w:rPr>
        <w:t xml:space="preserve">This </w:t>
      </w:r>
      <w:r w:rsidR="00845CC9" w:rsidRPr="00845CC9">
        <w:rPr>
          <w:lang w:val="en-US"/>
        </w:rPr>
        <w:t>Annex</w:t>
      </w:r>
      <w:r w:rsidRPr="008839C1">
        <w:rPr>
          <w:lang w:val="en-US"/>
        </w:rPr>
        <w:t xml:space="preserve"> describes the methodology used to compute aggregate UE power for the urban/suburban/rural zones used in the simulations.</w:t>
      </w:r>
      <w:r w:rsidR="00BF1B1C">
        <w:rPr>
          <w:lang w:val="en-US"/>
        </w:rPr>
        <w:t xml:space="preserve"> </w:t>
      </w:r>
      <w:r w:rsidRPr="008839C1">
        <w:rPr>
          <w:lang w:val="en-US"/>
        </w:rPr>
        <w:t>It is based in part on the Monte Carlo simulation algorithm as presented below.</w:t>
      </w:r>
    </w:p>
    <w:p w:rsidR="00071226" w:rsidRPr="008839C1" w:rsidRDefault="00071226" w:rsidP="00071226">
      <w:pPr>
        <w:rPr>
          <w:lang w:val="en-US"/>
        </w:rPr>
      </w:pPr>
      <w:r w:rsidRPr="008839C1">
        <w:rPr>
          <w:lang w:val="en-US"/>
        </w:rPr>
        <w:t>Figure A1 shows the (large) city LTE cell pattern layout assumed in the analysis.</w:t>
      </w:r>
      <w:r w:rsidR="00BF1B1C">
        <w:rPr>
          <w:lang w:val="en-US"/>
        </w:rPr>
        <w:t xml:space="preserve"> </w:t>
      </w:r>
      <w:r w:rsidRPr="008839C1">
        <w:rPr>
          <w:lang w:val="en-US"/>
        </w:rPr>
        <w:t>This cell pattern is deployed around each of the 160 cities used in the simulations.</w:t>
      </w:r>
    </w:p>
    <w:p w:rsidR="00071226" w:rsidRDefault="00071226" w:rsidP="00071226">
      <w:pPr>
        <w:pStyle w:val="FigureNo"/>
      </w:pPr>
      <w:r>
        <w:t>Figure A1</w:t>
      </w:r>
    </w:p>
    <w:p w:rsidR="00071226" w:rsidRDefault="00071226" w:rsidP="00071226">
      <w:pPr>
        <w:pStyle w:val="Figuretitle"/>
      </w:pPr>
      <w:r>
        <w:t>LTE Cell Deployment Pattern</w:t>
      </w:r>
    </w:p>
    <w:p w:rsidR="00071226" w:rsidRDefault="00071226" w:rsidP="00071226">
      <w:pPr>
        <w:ind w:left="720"/>
        <w:jc w:val="center"/>
        <w:rPr>
          <w:szCs w:val="24"/>
        </w:rPr>
      </w:pPr>
      <w:r>
        <w:rPr>
          <w:noProof/>
          <w:lang w:val="en-US" w:eastAsia="zh-CN"/>
        </w:rPr>
        <w:drawing>
          <wp:inline distT="0" distB="0" distL="0" distR="0" wp14:anchorId="728C133E" wp14:editId="02CB254B">
            <wp:extent cx="5716905" cy="4946015"/>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6905" cy="4946015"/>
                    </a:xfrm>
                    <a:prstGeom prst="rect">
                      <a:avLst/>
                    </a:prstGeom>
                    <a:noFill/>
                    <a:ln>
                      <a:noFill/>
                    </a:ln>
                  </pic:spPr>
                </pic:pic>
              </a:graphicData>
            </a:graphic>
          </wp:inline>
        </w:drawing>
      </w:r>
    </w:p>
    <w:p w:rsidR="00071226" w:rsidRPr="008839C1" w:rsidRDefault="00071226" w:rsidP="00071226">
      <w:pPr>
        <w:rPr>
          <w:lang w:val="en-US"/>
        </w:rPr>
      </w:pPr>
      <w:r w:rsidRPr="008839C1">
        <w:rPr>
          <w:lang w:val="en-US"/>
        </w:rPr>
        <w:lastRenderedPageBreak/>
        <w:t>Figure A2 shows a close-up of the cell pattern and the definitions of cell radius and inter-site distance.</w:t>
      </w:r>
    </w:p>
    <w:p w:rsidR="00071226" w:rsidRPr="008839C1" w:rsidRDefault="00071226" w:rsidP="00071226">
      <w:pPr>
        <w:pStyle w:val="FigureNo"/>
        <w:rPr>
          <w:lang w:val="en-US"/>
        </w:rPr>
      </w:pPr>
      <w:r w:rsidRPr="008839C1">
        <w:rPr>
          <w:lang w:val="en-US"/>
        </w:rPr>
        <w:t>Figure A2</w:t>
      </w:r>
    </w:p>
    <w:p w:rsidR="00071226" w:rsidRPr="008839C1" w:rsidRDefault="00071226" w:rsidP="00071226">
      <w:pPr>
        <w:pStyle w:val="Figuretitle"/>
        <w:rPr>
          <w:lang w:val="en-US"/>
        </w:rPr>
      </w:pPr>
      <w:r w:rsidRPr="008839C1">
        <w:rPr>
          <w:lang w:val="en-US"/>
        </w:rPr>
        <w:t xml:space="preserve">Close-up of LTE </w:t>
      </w:r>
      <w:r w:rsidR="00845CC9" w:rsidRPr="008839C1">
        <w:rPr>
          <w:lang w:val="en-US"/>
        </w:rPr>
        <w:t>cell deployment pattern</w:t>
      </w:r>
    </w:p>
    <w:p w:rsidR="00071226" w:rsidRDefault="00071226" w:rsidP="00845CC9">
      <w:pPr>
        <w:pStyle w:val="Figure"/>
      </w:pPr>
      <w:r>
        <w:rPr>
          <w:noProof/>
          <w:lang w:val="en-US" w:eastAsia="zh-CN"/>
        </w:rPr>
        <w:drawing>
          <wp:inline distT="0" distB="0" distL="0" distR="0" wp14:anchorId="466253C9" wp14:editId="45351FF0">
            <wp:extent cx="5947410" cy="3363595"/>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3363595"/>
                    </a:xfrm>
                    <a:prstGeom prst="rect">
                      <a:avLst/>
                    </a:prstGeom>
                    <a:noFill/>
                    <a:ln>
                      <a:noFill/>
                    </a:ln>
                  </pic:spPr>
                </pic:pic>
              </a:graphicData>
            </a:graphic>
          </wp:inline>
        </w:drawing>
      </w:r>
    </w:p>
    <w:p w:rsidR="00845CC9" w:rsidRPr="00845CC9" w:rsidRDefault="00845CC9" w:rsidP="00845CC9"/>
    <w:p w:rsidR="00071226" w:rsidRPr="008839C1" w:rsidRDefault="00071226" w:rsidP="00D86C62">
      <w:pPr>
        <w:rPr>
          <w:szCs w:val="24"/>
          <w:lang w:val="en-US"/>
        </w:rPr>
      </w:pPr>
      <w:r w:rsidRPr="008839C1">
        <w:rPr>
          <w:szCs w:val="24"/>
          <w:lang w:val="en-US"/>
        </w:rPr>
        <w:t>Note there are a total of 1</w:t>
      </w:r>
      <w:r w:rsidR="00F90CAF">
        <w:rPr>
          <w:szCs w:val="24"/>
          <w:lang w:val="en-US"/>
        </w:rPr>
        <w:t> </w:t>
      </w:r>
      <w:r w:rsidRPr="008839C1">
        <w:rPr>
          <w:szCs w:val="24"/>
          <w:lang w:val="en-US"/>
        </w:rPr>
        <w:t>301</w:t>
      </w:r>
      <w:r w:rsidR="00F90CAF">
        <w:rPr>
          <w:szCs w:val="24"/>
          <w:lang w:val="en-US"/>
        </w:rPr>
        <w:t> </w:t>
      </w:r>
      <w:bookmarkStart w:id="23" w:name="_GoBack"/>
      <w:bookmarkEnd w:id="23"/>
      <w:r w:rsidRPr="008839C1">
        <w:rPr>
          <w:szCs w:val="24"/>
          <w:lang w:val="en-US"/>
        </w:rPr>
        <w:t>base-station sites in the pattern (89 urban + 996 suburban + 216 rural) and a total of 3</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1 301 = 3 903 cells.</w:t>
      </w:r>
      <w:r w:rsidR="00BF1B1C">
        <w:rPr>
          <w:szCs w:val="24"/>
          <w:lang w:val="en-US"/>
        </w:rPr>
        <w:t xml:space="preserve"> </w:t>
      </w:r>
      <w:r w:rsidRPr="008839C1">
        <w:rPr>
          <w:szCs w:val="24"/>
          <w:lang w:val="en-US"/>
        </w:rPr>
        <w:t>Assuming a world-wide city deployment of 160 major cities (i.e. cities with population &gt; 250,000), the total number of cells in the scenario is then 160</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3 903 = 624 480.</w:t>
      </w:r>
      <w:r w:rsidR="00BF1B1C">
        <w:rPr>
          <w:szCs w:val="24"/>
          <w:lang w:val="en-US"/>
        </w:rPr>
        <w:t xml:space="preserve"> </w:t>
      </w:r>
      <w:r w:rsidRPr="008839C1">
        <w:rPr>
          <w:szCs w:val="24"/>
          <w:lang w:val="en-US"/>
        </w:rPr>
        <w:t>The simulations involve calculating the aggregate interference from these LTE cells over a 10-day simulation period at 1-sec time steps (i.e. 864 000 time samples).</w:t>
      </w:r>
      <w:r w:rsidR="00BF1B1C">
        <w:rPr>
          <w:szCs w:val="24"/>
          <w:lang w:val="en-US"/>
        </w:rPr>
        <w:t xml:space="preserve"> </w:t>
      </w:r>
      <w:r w:rsidRPr="008839C1">
        <w:rPr>
          <w:szCs w:val="24"/>
          <w:lang w:val="en-US"/>
        </w:rPr>
        <w:t>Therefore, assuming 6 active UEs per cell, this represents a total of 624 480</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864 000</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6 = 3.24 trillion UE calculations.</w:t>
      </w:r>
      <w:r w:rsidR="00BF1B1C">
        <w:rPr>
          <w:szCs w:val="24"/>
          <w:lang w:val="en-US"/>
        </w:rPr>
        <w:t xml:space="preserve"> </w:t>
      </w:r>
      <w:r w:rsidRPr="008839C1">
        <w:rPr>
          <w:szCs w:val="24"/>
          <w:lang w:val="en-US"/>
        </w:rPr>
        <w:t>Sample MATLAB simulations with these parameters required approximately 15 hours of run-time.</w:t>
      </w:r>
      <w:r w:rsidR="00BF1B1C">
        <w:rPr>
          <w:szCs w:val="24"/>
          <w:lang w:val="en-US"/>
        </w:rPr>
        <w:t xml:space="preserve"> </w:t>
      </w:r>
      <w:r w:rsidRPr="008839C1">
        <w:rPr>
          <w:szCs w:val="24"/>
          <w:lang w:val="en-US"/>
        </w:rPr>
        <w:t>To reduce simulation time, the aggregate UE interference was modelled by assuming (3) “effective” UEs per city – one for urban zone, one for suburban zone, and one for rural zone with all (3) effective UEs co-located at the city centre.</w:t>
      </w:r>
      <w:r w:rsidR="00BF1B1C">
        <w:rPr>
          <w:szCs w:val="24"/>
          <w:lang w:val="en-US"/>
        </w:rPr>
        <w:t xml:space="preserve"> </w:t>
      </w:r>
      <w:r w:rsidRPr="008839C1">
        <w:rPr>
          <w:szCs w:val="24"/>
          <w:lang w:val="en-US"/>
        </w:rPr>
        <w:t>Comparison of simulation results using this effective UE approach vs the full cell approach has demonstrated that this is a valid simplifying assumption since the results of the aggregate interference at the satellite in both cases are virtually identical (even for the lower altitude satellites assumed in the TDRSS forward link analysis).</w:t>
      </w:r>
      <w:r w:rsidR="00BF1B1C">
        <w:rPr>
          <w:szCs w:val="24"/>
          <w:lang w:val="en-US"/>
        </w:rPr>
        <w:t xml:space="preserve"> </w:t>
      </w:r>
      <w:r w:rsidRPr="008839C1">
        <w:rPr>
          <w:szCs w:val="24"/>
          <w:lang w:val="en-US"/>
        </w:rPr>
        <w:t>Therefore, the remainder of this Appendix will describe the calculation steps of the aggregate UE transmit power of the effective UEs in the urban, suburban, and rural zones.</w:t>
      </w:r>
      <w:r w:rsidR="00BF1B1C">
        <w:rPr>
          <w:szCs w:val="24"/>
          <w:lang w:val="en-US"/>
        </w:rPr>
        <w:t xml:space="preserve"> </w:t>
      </w:r>
      <w:r w:rsidRPr="008839C1">
        <w:rPr>
          <w:szCs w:val="24"/>
          <w:lang w:val="en-US"/>
        </w:rPr>
        <w:t xml:space="preserve">The same steps are used to find the aggregate power of the effective UE in each of the </w:t>
      </w:r>
      <w:r w:rsidR="00A508A0">
        <w:rPr>
          <w:szCs w:val="24"/>
          <w:lang w:val="en-US"/>
        </w:rPr>
        <w:t>t</w:t>
      </w:r>
      <w:r w:rsidR="00845CC9">
        <w:rPr>
          <w:szCs w:val="24"/>
          <w:lang w:val="en-US"/>
        </w:rPr>
        <w:t>hree</w:t>
      </w:r>
      <w:r w:rsidRPr="008839C1">
        <w:rPr>
          <w:szCs w:val="24"/>
          <w:lang w:val="en-US"/>
        </w:rPr>
        <w:t xml:space="preserve"> zones.</w:t>
      </w:r>
    </w:p>
    <w:p w:rsidR="00071226" w:rsidRPr="008839C1" w:rsidRDefault="00071226" w:rsidP="00071226">
      <w:pPr>
        <w:pStyle w:val="Headingb"/>
        <w:rPr>
          <w:lang w:val="en-US"/>
        </w:rPr>
      </w:pPr>
      <w:r w:rsidRPr="008839C1">
        <w:rPr>
          <w:lang w:val="en-US"/>
        </w:rPr>
        <w:t>Step 1</w:t>
      </w:r>
    </w:p>
    <w:p w:rsidR="00071226" w:rsidRPr="008839C1" w:rsidRDefault="00071226" w:rsidP="00D25D4F">
      <w:pPr>
        <w:rPr>
          <w:szCs w:val="24"/>
          <w:lang w:val="en-US"/>
        </w:rPr>
      </w:pPr>
      <w:r w:rsidRPr="008839C1">
        <w:rPr>
          <w:szCs w:val="24"/>
          <w:lang w:val="en-US"/>
        </w:rPr>
        <w:t>Fill up a large circular region with LTE cells of the specified cell radius and find the number of base-station sites in the region.</w:t>
      </w:r>
      <w:r w:rsidR="00BF1B1C">
        <w:rPr>
          <w:szCs w:val="24"/>
          <w:lang w:val="en-US"/>
        </w:rPr>
        <w:t xml:space="preserve"> </w:t>
      </w:r>
      <w:r w:rsidRPr="008839C1">
        <w:rPr>
          <w:szCs w:val="24"/>
          <w:lang w:val="en-US"/>
        </w:rPr>
        <w:t>For example, for the rural zone with a 4 k</w:t>
      </w:r>
      <w:r w:rsidR="00845CC9">
        <w:rPr>
          <w:szCs w:val="24"/>
          <w:lang w:val="en-US"/>
        </w:rPr>
        <w:t xml:space="preserve">m </w:t>
      </w:r>
      <w:r w:rsidRPr="008839C1">
        <w:rPr>
          <w:szCs w:val="24"/>
          <w:lang w:val="en-US"/>
        </w:rPr>
        <w:t>cell radius, we fill up a 100 </w:t>
      </w:r>
      <w:r w:rsidR="006416AB" w:rsidRPr="008839C1">
        <w:rPr>
          <w:szCs w:val="24"/>
          <w:lang w:val="en-US"/>
        </w:rPr>
        <w:t>k</w:t>
      </w:r>
      <w:r w:rsidR="006416AB">
        <w:rPr>
          <w:szCs w:val="24"/>
          <w:lang w:val="en-US"/>
        </w:rPr>
        <w:t>m</w:t>
      </w:r>
      <w:r w:rsidRPr="008839C1">
        <w:rPr>
          <w:szCs w:val="24"/>
          <w:lang w:val="en-US"/>
        </w:rPr>
        <w:t xml:space="preserve"> radius circular region with 4 </w:t>
      </w:r>
      <w:r w:rsidR="006416AB" w:rsidRPr="008839C1">
        <w:rPr>
          <w:szCs w:val="24"/>
          <w:lang w:val="en-US"/>
        </w:rPr>
        <w:t>k</w:t>
      </w:r>
      <w:r w:rsidR="006416AB">
        <w:rPr>
          <w:szCs w:val="24"/>
          <w:lang w:val="en-US"/>
        </w:rPr>
        <w:t>m</w:t>
      </w:r>
      <w:r w:rsidRPr="008839C1">
        <w:rPr>
          <w:szCs w:val="24"/>
          <w:lang w:val="en-US"/>
        </w:rPr>
        <w:t xml:space="preserve"> cells as shown in </w:t>
      </w:r>
      <w:r w:rsidR="00845CC9" w:rsidRPr="00845CC9">
        <w:rPr>
          <w:szCs w:val="24"/>
          <w:lang w:val="en-US"/>
        </w:rPr>
        <w:t>Fig.</w:t>
      </w:r>
      <w:r w:rsidRPr="008839C1">
        <w:rPr>
          <w:szCs w:val="24"/>
          <w:lang w:val="en-US"/>
        </w:rPr>
        <w:t xml:space="preserve"> A3.</w:t>
      </w:r>
      <w:r w:rsidR="00BF1B1C">
        <w:rPr>
          <w:szCs w:val="24"/>
          <w:lang w:val="en-US"/>
        </w:rPr>
        <w:t xml:space="preserve"> </w:t>
      </w:r>
      <w:r w:rsidRPr="008839C1">
        <w:rPr>
          <w:szCs w:val="24"/>
          <w:lang w:val="en-US"/>
        </w:rPr>
        <w:t>In this case there are a total of 1 015</w:t>
      </w:r>
      <w:r w:rsidR="00D25D4F">
        <w:rPr>
          <w:szCs w:val="24"/>
          <w:lang w:val="en-US"/>
        </w:rPr>
        <w:t xml:space="preserve"> </w:t>
      </w:r>
      <w:r w:rsidRPr="008839C1">
        <w:rPr>
          <w:szCs w:val="24"/>
          <w:lang w:val="en-US"/>
        </w:rPr>
        <w:t>base-station sites</w:t>
      </w:r>
      <w:r w:rsidR="00D25D4F">
        <w:rPr>
          <w:szCs w:val="24"/>
          <w:lang w:val="en-US"/>
        </w:rPr>
        <w:t> </w:t>
      </w:r>
      <w:r w:rsidRPr="008839C1">
        <w:rPr>
          <w:szCs w:val="24"/>
          <w:lang w:val="en-US"/>
        </w:rPr>
        <w:t>/</w:t>
      </w:r>
      <w:r w:rsidR="00D25D4F">
        <w:rPr>
          <w:szCs w:val="24"/>
          <w:lang w:val="en-US"/>
        </w:rPr>
        <w:t> </w:t>
      </w:r>
      <w:r w:rsidRPr="008839C1">
        <w:rPr>
          <w:szCs w:val="24"/>
          <w:lang w:val="en-US"/>
        </w:rPr>
        <w:t>3 045 cells.</w:t>
      </w:r>
    </w:p>
    <w:p w:rsidR="00071226" w:rsidRPr="008839C1" w:rsidRDefault="00071226" w:rsidP="00071226">
      <w:pPr>
        <w:pStyle w:val="FigureNo"/>
        <w:rPr>
          <w:lang w:val="en-US"/>
        </w:rPr>
      </w:pPr>
      <w:r w:rsidRPr="008839C1">
        <w:rPr>
          <w:lang w:val="en-US"/>
        </w:rPr>
        <w:lastRenderedPageBreak/>
        <w:t>Figure A3</w:t>
      </w:r>
    </w:p>
    <w:p w:rsidR="00071226" w:rsidRPr="008839C1" w:rsidRDefault="00071226" w:rsidP="00071226">
      <w:pPr>
        <w:pStyle w:val="Figuretitle"/>
        <w:rPr>
          <w:lang w:val="en-US"/>
        </w:rPr>
      </w:pPr>
      <w:r w:rsidRPr="008839C1">
        <w:rPr>
          <w:lang w:val="en-US"/>
        </w:rPr>
        <w:t>100-k</w:t>
      </w:r>
      <w:r w:rsidRPr="008839C1">
        <w:rPr>
          <w:szCs w:val="24"/>
          <w:lang w:val="en-US"/>
        </w:rPr>
        <w:t>ilometres</w:t>
      </w:r>
      <w:r w:rsidRPr="008839C1">
        <w:rPr>
          <w:lang w:val="en-US"/>
        </w:rPr>
        <w:t xml:space="preserve"> radius circular region filled with 4-km radius LTE cells</w:t>
      </w:r>
    </w:p>
    <w:p w:rsidR="00071226" w:rsidRPr="005947F7" w:rsidRDefault="00071226" w:rsidP="00071226">
      <w:pPr>
        <w:jc w:val="center"/>
      </w:pPr>
      <w:r>
        <w:rPr>
          <w:noProof/>
          <w:u w:color="FFFFFF" w:themeColor="background1"/>
          <w:lang w:val="en-US" w:eastAsia="zh-CN"/>
        </w:rPr>
        <w:drawing>
          <wp:inline distT="0" distB="0" distL="0" distR="0" wp14:anchorId="22170378" wp14:editId="67ECDECB">
            <wp:extent cx="5308873" cy="3880049"/>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544B2.tmp"/>
                    <pic:cNvPicPr/>
                  </pic:nvPicPr>
                  <pic:blipFill>
                    <a:blip r:embed="rId31">
                      <a:extLst>
                        <a:ext uri="{28A0092B-C50C-407E-A947-70E740481C1C}">
                          <a14:useLocalDpi xmlns:a14="http://schemas.microsoft.com/office/drawing/2010/main" val="0"/>
                        </a:ext>
                      </a:extLst>
                    </a:blip>
                    <a:stretch>
                      <a:fillRect/>
                    </a:stretch>
                  </pic:blipFill>
                  <pic:spPr>
                    <a:xfrm>
                      <a:off x="0" y="0"/>
                      <a:ext cx="5308873" cy="3880049"/>
                    </a:xfrm>
                    <a:prstGeom prst="rect">
                      <a:avLst/>
                    </a:prstGeom>
                  </pic:spPr>
                </pic:pic>
              </a:graphicData>
            </a:graphic>
          </wp:inline>
        </w:drawing>
      </w:r>
    </w:p>
    <w:p w:rsidR="00071226" w:rsidRPr="008839C1" w:rsidRDefault="00071226" w:rsidP="00071226">
      <w:pPr>
        <w:pStyle w:val="Headingb"/>
        <w:rPr>
          <w:lang w:val="en-US"/>
        </w:rPr>
      </w:pPr>
      <w:r w:rsidRPr="008839C1">
        <w:rPr>
          <w:lang w:val="en-US"/>
        </w:rPr>
        <w:t>Step 2</w:t>
      </w:r>
    </w:p>
    <w:p w:rsidR="00071226" w:rsidRPr="008839C1" w:rsidRDefault="00071226" w:rsidP="000A2778">
      <w:pPr>
        <w:rPr>
          <w:szCs w:val="24"/>
          <w:lang w:val="en-US"/>
        </w:rPr>
      </w:pPr>
      <w:r w:rsidRPr="008839C1">
        <w:rPr>
          <w:szCs w:val="24"/>
          <w:lang w:val="en-US"/>
        </w:rPr>
        <w:t>For a large number of trials, perform the following procedure.</w:t>
      </w:r>
      <w:r w:rsidR="00BF1B1C">
        <w:rPr>
          <w:szCs w:val="24"/>
          <w:lang w:val="en-US"/>
        </w:rPr>
        <w:t xml:space="preserve"> </w:t>
      </w:r>
      <w:r w:rsidRPr="008839C1">
        <w:rPr>
          <w:szCs w:val="24"/>
          <w:lang w:val="en-US"/>
        </w:rPr>
        <w:t>For the ith trial, uniformly distribute a large number of UEs over a smaller region inside the larger region of cells.</w:t>
      </w:r>
      <w:r w:rsidR="00BF1B1C">
        <w:rPr>
          <w:szCs w:val="24"/>
          <w:lang w:val="en-US"/>
        </w:rPr>
        <w:t xml:space="preserve"> </w:t>
      </w:r>
      <w:r w:rsidRPr="008839C1">
        <w:rPr>
          <w:szCs w:val="24"/>
          <w:lang w:val="en-US"/>
        </w:rPr>
        <w:t>This is to allow UEs on the boundary of the smaller region to possibly be assigned to a base-station outside the boundary of the smaller region so as not to skew the path loss (PL) distribution.</w:t>
      </w:r>
      <w:r w:rsidR="00BF1B1C">
        <w:rPr>
          <w:szCs w:val="24"/>
          <w:lang w:val="en-US"/>
        </w:rPr>
        <w:t xml:space="preserve"> </w:t>
      </w:r>
      <w:r w:rsidRPr="008839C1">
        <w:rPr>
          <w:szCs w:val="24"/>
          <w:lang w:val="en-US"/>
        </w:rPr>
        <w:t xml:space="preserve">For example, </w:t>
      </w:r>
      <w:r w:rsidR="006E74E0" w:rsidRPr="006E74E0">
        <w:rPr>
          <w:szCs w:val="24"/>
          <w:lang w:val="en-US"/>
        </w:rPr>
        <w:t>Fig.</w:t>
      </w:r>
      <w:r w:rsidRPr="008839C1">
        <w:rPr>
          <w:szCs w:val="24"/>
          <w:lang w:val="en-US"/>
        </w:rPr>
        <w:t xml:space="preserve"> A4 shows 1 000 UEs randomly uniformly distributed over a 50 </w:t>
      </w:r>
      <w:r w:rsidR="006E74E0" w:rsidRPr="008839C1">
        <w:rPr>
          <w:szCs w:val="24"/>
          <w:lang w:val="en-US"/>
        </w:rPr>
        <w:t>k</w:t>
      </w:r>
      <w:r w:rsidR="006E74E0">
        <w:rPr>
          <w:szCs w:val="24"/>
          <w:lang w:val="en-US"/>
        </w:rPr>
        <w:t>m</w:t>
      </w:r>
      <w:r w:rsidRPr="008839C1">
        <w:rPr>
          <w:szCs w:val="24"/>
          <w:lang w:val="en-US"/>
        </w:rPr>
        <w:t xml:space="preserve"> radius region inside the 100 </w:t>
      </w:r>
      <w:r w:rsidR="006E74E0">
        <w:rPr>
          <w:szCs w:val="24"/>
          <w:lang w:val="en-US"/>
        </w:rPr>
        <w:t>km</w:t>
      </w:r>
      <w:r w:rsidRPr="008839C1">
        <w:rPr>
          <w:szCs w:val="24"/>
          <w:lang w:val="en-US"/>
        </w:rPr>
        <w:t xml:space="preserve"> radius region of </w:t>
      </w:r>
      <w:r w:rsidR="000A2778" w:rsidRPr="000A2778">
        <w:rPr>
          <w:szCs w:val="24"/>
          <w:lang w:val="en-US"/>
        </w:rPr>
        <w:t>Fig.</w:t>
      </w:r>
      <w:r w:rsidR="000A2778">
        <w:rPr>
          <w:szCs w:val="24"/>
          <w:lang w:val="en-US"/>
        </w:rPr>
        <w:t> </w:t>
      </w:r>
      <w:r w:rsidRPr="008839C1">
        <w:rPr>
          <w:szCs w:val="24"/>
          <w:lang w:val="en-US"/>
        </w:rPr>
        <w:t>A3.</w:t>
      </w:r>
    </w:p>
    <w:p w:rsidR="00071226" w:rsidRPr="008839C1" w:rsidRDefault="00071226" w:rsidP="00071226">
      <w:pPr>
        <w:pStyle w:val="FigureNo"/>
        <w:rPr>
          <w:lang w:val="en-US"/>
        </w:rPr>
      </w:pPr>
      <w:r w:rsidRPr="008839C1">
        <w:rPr>
          <w:lang w:val="en-US"/>
        </w:rPr>
        <w:lastRenderedPageBreak/>
        <w:t>Figure A4</w:t>
      </w:r>
    </w:p>
    <w:p w:rsidR="00071226" w:rsidRPr="008839C1" w:rsidRDefault="00071226" w:rsidP="00620217">
      <w:pPr>
        <w:pStyle w:val="Figuretitle"/>
        <w:rPr>
          <w:lang w:val="en-US"/>
        </w:rPr>
      </w:pPr>
      <w:r w:rsidRPr="008839C1">
        <w:rPr>
          <w:lang w:val="en-US"/>
        </w:rPr>
        <w:t xml:space="preserve">Uniform distribution of 1000 UEs within 50 </w:t>
      </w:r>
      <w:r w:rsidR="00620217">
        <w:rPr>
          <w:lang w:val="en-US"/>
        </w:rPr>
        <w:t>km</w:t>
      </w:r>
      <w:r w:rsidRPr="008839C1">
        <w:rPr>
          <w:lang w:val="en-US"/>
        </w:rPr>
        <w:t xml:space="preserve"> region inside 100 </w:t>
      </w:r>
      <w:r w:rsidR="00620217">
        <w:rPr>
          <w:lang w:val="en-US"/>
        </w:rPr>
        <w:t>km</w:t>
      </w:r>
      <w:r w:rsidRPr="008839C1">
        <w:rPr>
          <w:lang w:val="en-US"/>
        </w:rPr>
        <w:t xml:space="preserve"> region</w:t>
      </w:r>
    </w:p>
    <w:p w:rsidR="00071226" w:rsidRDefault="00071226" w:rsidP="00620217">
      <w:pPr>
        <w:pStyle w:val="Figure"/>
      </w:pPr>
      <w:r>
        <w:rPr>
          <w:noProof/>
          <w:lang w:val="en-US" w:eastAsia="zh-CN"/>
        </w:rPr>
        <w:drawing>
          <wp:inline distT="0" distB="0" distL="0" distR="0" wp14:anchorId="052C078A" wp14:editId="0529DAEE">
            <wp:extent cx="6084000" cy="510922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4000" cy="5109223"/>
                    </a:xfrm>
                    <a:prstGeom prst="rect">
                      <a:avLst/>
                    </a:prstGeom>
                    <a:noFill/>
                    <a:ln>
                      <a:noFill/>
                    </a:ln>
                  </pic:spPr>
                </pic:pic>
              </a:graphicData>
            </a:graphic>
          </wp:inline>
        </w:drawing>
      </w:r>
    </w:p>
    <w:p w:rsidR="00071226" w:rsidRPr="008839C1" w:rsidRDefault="00071226" w:rsidP="00071226">
      <w:pPr>
        <w:pStyle w:val="Headingb"/>
        <w:rPr>
          <w:lang w:val="en-US"/>
        </w:rPr>
      </w:pPr>
      <w:r w:rsidRPr="008839C1">
        <w:rPr>
          <w:lang w:val="en-US"/>
        </w:rPr>
        <w:t>Step 3</w:t>
      </w:r>
    </w:p>
    <w:p w:rsidR="00071226" w:rsidRPr="008839C1" w:rsidRDefault="00071226" w:rsidP="00620217">
      <w:pPr>
        <w:rPr>
          <w:szCs w:val="24"/>
          <w:lang w:val="en-US"/>
        </w:rPr>
      </w:pPr>
      <w:r w:rsidRPr="008839C1">
        <w:rPr>
          <w:szCs w:val="24"/>
          <w:lang w:val="en-US"/>
        </w:rPr>
        <w:t>Compute distance and PL between each UE and base-station site (using modified Hata propagation model in Report ITU-R SM.2028-1, Appendix 1 to Annex 2).</w:t>
      </w:r>
      <w:r w:rsidR="00BF1B1C">
        <w:rPr>
          <w:szCs w:val="24"/>
          <w:lang w:val="en-US"/>
        </w:rPr>
        <w:t xml:space="preserve"> </w:t>
      </w:r>
      <w:r w:rsidRPr="008839C1">
        <w:rPr>
          <w:szCs w:val="24"/>
          <w:lang w:val="en-US"/>
        </w:rPr>
        <w:t>For example, for 1 015</w:t>
      </w:r>
      <w:r w:rsidR="00BF1B1C">
        <w:rPr>
          <w:szCs w:val="24"/>
          <w:lang w:val="en-US"/>
        </w:rPr>
        <w:t xml:space="preserve"> </w:t>
      </w:r>
      <w:r w:rsidRPr="008839C1">
        <w:rPr>
          <w:szCs w:val="24"/>
          <w:lang w:val="en-US"/>
        </w:rPr>
        <w:t xml:space="preserve">base-station sites and 1 000 UEs, this results in a PL matrix of size 1 000 </w:t>
      </w:r>
      <w:r w:rsidR="00620217">
        <w:rPr>
          <w:szCs w:val="24"/>
          <w:lang w:val="en-US"/>
        </w:rPr>
        <w:sym w:font="Symbol" w:char="F0B4"/>
      </w:r>
      <w:r w:rsidRPr="008839C1">
        <w:rPr>
          <w:szCs w:val="24"/>
          <w:lang w:val="en-US"/>
        </w:rPr>
        <w:t xml:space="preserve"> 1 015.</w:t>
      </w:r>
    </w:p>
    <w:p w:rsidR="00071226" w:rsidRPr="008839C1" w:rsidRDefault="00071226" w:rsidP="00071226">
      <w:pPr>
        <w:rPr>
          <w:rStyle w:val="HeadingbChar"/>
          <w:lang w:val="en-US"/>
        </w:rPr>
      </w:pPr>
      <w:r w:rsidRPr="008839C1">
        <w:rPr>
          <w:rStyle w:val="HeadingbChar"/>
          <w:lang w:val="en-US"/>
        </w:rPr>
        <w:t>Step 4</w:t>
      </w:r>
    </w:p>
    <w:p w:rsidR="00071226" w:rsidRPr="008839C1" w:rsidRDefault="00071226" w:rsidP="00C309C4">
      <w:pPr>
        <w:rPr>
          <w:szCs w:val="24"/>
          <w:lang w:val="en-US"/>
        </w:rPr>
      </w:pPr>
      <w:r w:rsidRPr="008839C1">
        <w:rPr>
          <w:szCs w:val="24"/>
          <w:lang w:val="en-US"/>
        </w:rPr>
        <w:t>For each UE find the minimum PL (PL</w:t>
      </w:r>
      <w:r w:rsidRPr="008839C1">
        <w:rPr>
          <w:szCs w:val="24"/>
          <w:vertAlign w:val="subscript"/>
          <w:lang w:val="en-US"/>
        </w:rPr>
        <w:t>min</w:t>
      </w:r>
      <w:r w:rsidRPr="008839C1">
        <w:rPr>
          <w:szCs w:val="24"/>
          <w:lang w:val="en-US"/>
        </w:rPr>
        <w:t>) and the base-station site associated with PL</w:t>
      </w:r>
      <w:r w:rsidRPr="008839C1">
        <w:rPr>
          <w:szCs w:val="24"/>
          <w:vertAlign w:val="subscript"/>
          <w:lang w:val="en-US"/>
        </w:rPr>
        <w:t>min</w:t>
      </w:r>
      <w:r w:rsidRPr="008839C1">
        <w:rPr>
          <w:szCs w:val="24"/>
          <w:lang w:val="en-US"/>
        </w:rPr>
        <w:t xml:space="preserve"> . For example, for 1 000 UEs and 1 015</w:t>
      </w:r>
      <w:r w:rsidR="00D25D4F">
        <w:rPr>
          <w:szCs w:val="24"/>
          <w:lang w:val="en-US"/>
        </w:rPr>
        <w:t xml:space="preserve"> </w:t>
      </w:r>
      <w:r w:rsidRPr="008839C1">
        <w:rPr>
          <w:szCs w:val="24"/>
          <w:lang w:val="en-US"/>
        </w:rPr>
        <w:t>base-station sites, we generate a vector of 1 000 elements whose values are in the range 1-1015, indicating that for the i</w:t>
      </w:r>
      <w:r w:rsidRPr="008839C1">
        <w:rPr>
          <w:szCs w:val="24"/>
          <w:vertAlign w:val="superscript"/>
          <w:lang w:val="en-US"/>
        </w:rPr>
        <w:t>th</w:t>
      </w:r>
      <w:r w:rsidRPr="008839C1">
        <w:rPr>
          <w:szCs w:val="24"/>
          <w:lang w:val="en-US"/>
        </w:rPr>
        <w:t xml:space="preserve"> UE (i = 1 to 1 000), the min PL is to the n</w:t>
      </w:r>
      <w:r w:rsidRPr="008839C1">
        <w:rPr>
          <w:szCs w:val="24"/>
          <w:vertAlign w:val="superscript"/>
          <w:lang w:val="en-US"/>
        </w:rPr>
        <w:t>th</w:t>
      </w:r>
      <w:r w:rsidRPr="008839C1">
        <w:rPr>
          <w:szCs w:val="24"/>
          <w:lang w:val="en-US"/>
        </w:rPr>
        <w:t xml:space="preserve"> base-station site (n = 1 to 1 015).</w:t>
      </w:r>
    </w:p>
    <w:p w:rsidR="00071226" w:rsidRPr="008839C1" w:rsidRDefault="00071226" w:rsidP="00071226">
      <w:pPr>
        <w:pStyle w:val="Headingb"/>
        <w:rPr>
          <w:lang w:val="en-US"/>
        </w:rPr>
      </w:pPr>
      <w:r w:rsidRPr="008839C1">
        <w:rPr>
          <w:lang w:val="en-US"/>
        </w:rPr>
        <w:t>Step 5</w:t>
      </w:r>
    </w:p>
    <w:p w:rsidR="00071226" w:rsidRPr="008839C1" w:rsidRDefault="00071226" w:rsidP="00071226">
      <w:pPr>
        <w:rPr>
          <w:szCs w:val="24"/>
          <w:lang w:val="en-US"/>
        </w:rPr>
      </w:pPr>
      <w:r w:rsidRPr="008839C1">
        <w:rPr>
          <w:szCs w:val="24"/>
          <w:lang w:val="en-US"/>
        </w:rPr>
        <w:t xml:space="preserve">Now for each UE find the </w:t>
      </w:r>
      <w:r w:rsidRPr="008839C1">
        <w:rPr>
          <w:i/>
          <w:szCs w:val="24"/>
          <w:lang w:val="en-US"/>
        </w:rPr>
        <w:t>subset</w:t>
      </w:r>
      <w:r w:rsidRPr="008839C1">
        <w:rPr>
          <w:szCs w:val="24"/>
          <w:lang w:val="en-US"/>
        </w:rPr>
        <w:t xml:space="preserve"> of base-station sites for which the PL &lt;= (PL</w:t>
      </w:r>
      <w:r w:rsidRPr="008839C1">
        <w:rPr>
          <w:szCs w:val="24"/>
          <w:vertAlign w:val="subscript"/>
          <w:lang w:val="en-US"/>
        </w:rPr>
        <w:t>min</w:t>
      </w:r>
      <w:r w:rsidRPr="008839C1">
        <w:rPr>
          <w:szCs w:val="24"/>
          <w:lang w:val="en-US"/>
        </w:rPr>
        <w:t xml:space="preserve"> + HO margin) where HO margin is the HandOver margin (here assumed to be 3 dB). The HO margin is a predetermined value used to establish for each UE the set of LTE cells which that UE can connect to, besides the one with the strongest downlink received pilot power. Therefore, the UE (particularly those at the cell edges) may not always connect to the physically nearest base-station site.</w:t>
      </w:r>
    </w:p>
    <w:p w:rsidR="00071226" w:rsidRPr="008839C1" w:rsidRDefault="00071226" w:rsidP="00071226">
      <w:pPr>
        <w:pStyle w:val="Headingb"/>
        <w:rPr>
          <w:lang w:val="en-US"/>
        </w:rPr>
      </w:pPr>
      <w:r w:rsidRPr="008839C1">
        <w:rPr>
          <w:lang w:val="en-US"/>
        </w:rPr>
        <w:lastRenderedPageBreak/>
        <w:t>Step 6</w:t>
      </w:r>
    </w:p>
    <w:p w:rsidR="00071226" w:rsidRPr="008839C1" w:rsidRDefault="00071226" w:rsidP="00071226">
      <w:pPr>
        <w:rPr>
          <w:szCs w:val="24"/>
          <w:lang w:val="en-US"/>
        </w:rPr>
      </w:pPr>
      <w:r w:rsidRPr="008839C1">
        <w:rPr>
          <w:szCs w:val="24"/>
          <w:lang w:val="en-US"/>
        </w:rPr>
        <w:t>For each UE, randomly link it to one of the base-station sites from its corresponding subset of base-station sites (i.e. those base-station sites for which PL &lt;= PL</w:t>
      </w:r>
      <w:r w:rsidRPr="008839C1">
        <w:rPr>
          <w:szCs w:val="24"/>
          <w:vertAlign w:val="subscript"/>
          <w:lang w:val="en-US"/>
        </w:rPr>
        <w:t>min</w:t>
      </w:r>
      <w:r w:rsidRPr="008839C1">
        <w:rPr>
          <w:szCs w:val="24"/>
          <w:lang w:val="en-US"/>
        </w:rPr>
        <w:t xml:space="preserve"> + HO margin).</w:t>
      </w:r>
      <w:r w:rsidR="00BF1B1C">
        <w:rPr>
          <w:szCs w:val="24"/>
          <w:lang w:val="en-US"/>
        </w:rPr>
        <w:t xml:space="preserve"> </w:t>
      </w:r>
      <w:r w:rsidRPr="008839C1">
        <w:rPr>
          <w:szCs w:val="24"/>
          <w:lang w:val="en-US"/>
        </w:rPr>
        <w:t xml:space="preserve">This will be its assigned base-station site. </w:t>
      </w:r>
    </w:p>
    <w:p w:rsidR="00071226" w:rsidRPr="008839C1" w:rsidRDefault="00071226" w:rsidP="00071226">
      <w:pPr>
        <w:rPr>
          <w:szCs w:val="24"/>
          <w:lang w:val="en-US"/>
        </w:rPr>
      </w:pPr>
      <w:r w:rsidRPr="008839C1">
        <w:rPr>
          <w:szCs w:val="24"/>
          <w:lang w:val="en-US"/>
        </w:rPr>
        <w:t xml:space="preserve">For example, see </w:t>
      </w:r>
      <w:r w:rsidR="00620217" w:rsidRPr="00620217">
        <w:rPr>
          <w:szCs w:val="24"/>
          <w:lang w:val="en-US"/>
        </w:rPr>
        <w:t>Fig.</w:t>
      </w:r>
      <w:r w:rsidR="00620217">
        <w:rPr>
          <w:szCs w:val="24"/>
          <w:lang w:val="en-US"/>
        </w:rPr>
        <w:t xml:space="preserve"> A5.</w:t>
      </w:r>
    </w:p>
    <w:p w:rsidR="00071226" w:rsidRPr="008839C1" w:rsidRDefault="00071226" w:rsidP="00071226">
      <w:pPr>
        <w:pStyle w:val="FigureNo"/>
        <w:rPr>
          <w:lang w:val="en-US"/>
        </w:rPr>
      </w:pPr>
      <w:r w:rsidRPr="008839C1">
        <w:rPr>
          <w:lang w:val="en-US"/>
        </w:rPr>
        <w:t>Figure A5</w:t>
      </w:r>
    </w:p>
    <w:p w:rsidR="00071226" w:rsidRPr="008839C1" w:rsidRDefault="00071226" w:rsidP="00071226">
      <w:pPr>
        <w:pStyle w:val="Figuretitle"/>
        <w:spacing w:after="0"/>
        <w:rPr>
          <w:lang w:val="en-US"/>
        </w:rPr>
      </w:pPr>
      <w:r w:rsidRPr="008839C1">
        <w:rPr>
          <w:lang w:val="en-US"/>
        </w:rPr>
        <w:t>UEs linked to assigned base-stations</w:t>
      </w:r>
    </w:p>
    <w:p w:rsidR="00071226" w:rsidRDefault="00071226" w:rsidP="00620217">
      <w:pPr>
        <w:pStyle w:val="Figure"/>
      </w:pPr>
      <w:r>
        <w:rPr>
          <w:noProof/>
          <w:lang w:val="en-US" w:eastAsia="zh-CN"/>
        </w:rPr>
        <w:drawing>
          <wp:inline distT="0" distB="0" distL="0" distR="0" wp14:anchorId="31C08CDE" wp14:editId="42E8E129">
            <wp:extent cx="5422900" cy="4380865"/>
            <wp:effectExtent l="0" t="0" r="635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2900" cy="4380865"/>
                    </a:xfrm>
                    <a:prstGeom prst="rect">
                      <a:avLst/>
                    </a:prstGeom>
                    <a:noFill/>
                    <a:ln>
                      <a:noFill/>
                    </a:ln>
                  </pic:spPr>
                </pic:pic>
              </a:graphicData>
            </a:graphic>
          </wp:inline>
        </w:drawing>
      </w:r>
    </w:p>
    <w:p w:rsidR="00071226" w:rsidRPr="008839C1" w:rsidRDefault="00071226" w:rsidP="00071226">
      <w:pPr>
        <w:pStyle w:val="Headingb"/>
        <w:rPr>
          <w:lang w:val="en-US"/>
        </w:rPr>
      </w:pPr>
      <w:r w:rsidRPr="008839C1">
        <w:rPr>
          <w:lang w:val="en-US"/>
        </w:rPr>
        <w:t>Step 7</w:t>
      </w:r>
    </w:p>
    <w:p w:rsidR="00071226" w:rsidRPr="008839C1" w:rsidRDefault="00071226" w:rsidP="00071226">
      <w:pPr>
        <w:rPr>
          <w:szCs w:val="24"/>
          <w:lang w:val="en-US"/>
        </w:rPr>
      </w:pPr>
      <w:r w:rsidRPr="008839C1">
        <w:rPr>
          <w:szCs w:val="24"/>
          <w:lang w:val="en-US"/>
        </w:rPr>
        <w:t xml:space="preserve">For each UE, compute the PL (again using modified Hata) between it and its assigned base-station and add PL value to sample PL vector. </w:t>
      </w:r>
    </w:p>
    <w:p w:rsidR="00071226" w:rsidRPr="008839C1" w:rsidRDefault="00071226" w:rsidP="00071226">
      <w:pPr>
        <w:pStyle w:val="Headingb"/>
        <w:rPr>
          <w:lang w:val="en-US"/>
        </w:rPr>
      </w:pPr>
      <w:r w:rsidRPr="008839C1">
        <w:rPr>
          <w:lang w:val="en-US"/>
        </w:rPr>
        <w:t>Step 8</w:t>
      </w:r>
    </w:p>
    <w:p w:rsidR="00071226" w:rsidRPr="008839C1" w:rsidRDefault="00620217" w:rsidP="00C309C4">
      <w:pPr>
        <w:rPr>
          <w:szCs w:val="24"/>
          <w:lang w:val="en-US"/>
        </w:rPr>
      </w:pPr>
      <w:r>
        <w:rPr>
          <w:szCs w:val="24"/>
          <w:lang w:val="en-US"/>
        </w:rPr>
        <w:t xml:space="preserve">Repeat steps 2 to </w:t>
      </w:r>
      <w:r w:rsidR="00071226" w:rsidRPr="008839C1">
        <w:rPr>
          <w:szCs w:val="24"/>
          <w:lang w:val="en-US"/>
        </w:rPr>
        <w:t>7 for a large number of trials in order to obtain a large PL sample vector (e.g. 1 million PL samples).</w:t>
      </w:r>
    </w:p>
    <w:p w:rsidR="00071226" w:rsidRPr="008839C1" w:rsidRDefault="00071226" w:rsidP="00071226">
      <w:pPr>
        <w:pStyle w:val="Headingb"/>
        <w:rPr>
          <w:lang w:val="en-US"/>
        </w:rPr>
      </w:pPr>
      <w:r w:rsidRPr="008839C1">
        <w:rPr>
          <w:lang w:val="en-US"/>
        </w:rPr>
        <w:t>Step 9</w:t>
      </w:r>
    </w:p>
    <w:p w:rsidR="00071226" w:rsidRPr="008839C1" w:rsidRDefault="00071226" w:rsidP="00A508A0">
      <w:pPr>
        <w:rPr>
          <w:szCs w:val="24"/>
          <w:lang w:val="en-US"/>
        </w:rPr>
      </w:pPr>
      <w:r w:rsidRPr="008839C1">
        <w:rPr>
          <w:szCs w:val="24"/>
          <w:lang w:val="en-US"/>
        </w:rPr>
        <w:t>Use the PL sample vector to generate the CDF (Cumulative Distribution Function) of the PL.</w:t>
      </w:r>
      <w:r w:rsidR="00BF1B1C">
        <w:rPr>
          <w:szCs w:val="24"/>
          <w:lang w:val="en-US"/>
        </w:rPr>
        <w:t xml:space="preserve"> </w:t>
      </w:r>
      <w:r w:rsidRPr="008839C1">
        <w:rPr>
          <w:szCs w:val="24"/>
          <w:lang w:val="en-US"/>
        </w:rPr>
        <w:t>Figures</w:t>
      </w:r>
      <w:r w:rsidR="000836E4">
        <w:rPr>
          <w:szCs w:val="24"/>
          <w:lang w:val="en-US"/>
        </w:rPr>
        <w:t> </w:t>
      </w:r>
      <w:r w:rsidRPr="008839C1">
        <w:rPr>
          <w:szCs w:val="24"/>
          <w:lang w:val="en-US"/>
        </w:rPr>
        <w:t>A6, A7 and A8 are plots of the PL CDF for the urban, suburban, and rural zones, respectively.</w:t>
      </w:r>
    </w:p>
    <w:p w:rsidR="00023377" w:rsidRDefault="00023377">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071226" w:rsidRDefault="00071226" w:rsidP="00071226">
      <w:pPr>
        <w:pStyle w:val="FigureNo"/>
        <w:rPr>
          <w:lang w:val="en-US"/>
        </w:rPr>
      </w:pPr>
      <w:r w:rsidRPr="008839C1">
        <w:rPr>
          <w:lang w:val="en-US"/>
        </w:rPr>
        <w:lastRenderedPageBreak/>
        <w:t>Figure A6</w:t>
      </w:r>
    </w:p>
    <w:p w:rsidR="00E222C8" w:rsidRPr="00E222C8" w:rsidRDefault="00E222C8" w:rsidP="00E222C8">
      <w:pPr>
        <w:pStyle w:val="Figuretitle"/>
        <w:rPr>
          <w:lang w:val="en-US"/>
        </w:rPr>
      </w:pPr>
      <w:r w:rsidRPr="008839C1">
        <w:rPr>
          <w:lang w:val="en-US"/>
        </w:rPr>
        <w:t>PL CDF for Urban Cells</w:t>
      </w:r>
    </w:p>
    <w:p w:rsidR="00E222C8" w:rsidRDefault="00224971" w:rsidP="00224971">
      <w:pPr>
        <w:pStyle w:val="Figure"/>
        <w:rPr>
          <w:lang w:val="en-US"/>
        </w:rPr>
      </w:pPr>
      <w:r>
        <w:rPr>
          <w:noProof/>
          <w:lang w:val="en-US" w:eastAsia="zh-CN"/>
        </w:rPr>
        <w:drawing>
          <wp:anchor distT="0" distB="0" distL="114300" distR="114300" simplePos="0" relativeHeight="251659264" behindDoc="0" locked="0" layoutInCell="1" allowOverlap="1" wp14:anchorId="29D16711" wp14:editId="616BB870">
            <wp:simplePos x="0" y="0"/>
            <wp:positionH relativeFrom="column">
              <wp:posOffset>1040130</wp:posOffset>
            </wp:positionH>
            <wp:positionV relativeFrom="paragraph">
              <wp:posOffset>40005</wp:posOffset>
            </wp:positionV>
            <wp:extent cx="3999230" cy="3124835"/>
            <wp:effectExtent l="0" t="0" r="127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9230" cy="3124835"/>
                    </a:xfrm>
                    <a:prstGeom prst="rect">
                      <a:avLst/>
                    </a:prstGeom>
                    <a:noFill/>
                    <a:ln>
                      <a:noFill/>
                    </a:ln>
                  </pic:spPr>
                </pic:pic>
              </a:graphicData>
            </a:graphic>
          </wp:anchor>
        </w:drawing>
      </w:r>
    </w:p>
    <w:p w:rsidR="00E222C8" w:rsidRDefault="00E222C8" w:rsidP="000836E4">
      <w:pPr>
        <w:rPr>
          <w:lang w:val="en-US"/>
        </w:rPr>
      </w:pPr>
    </w:p>
    <w:p w:rsidR="00E222C8" w:rsidRDefault="00E222C8" w:rsidP="000836E4">
      <w:pPr>
        <w:rPr>
          <w:lang w:val="en-US"/>
        </w:rPr>
      </w:pPr>
    </w:p>
    <w:p w:rsidR="00E222C8" w:rsidRDefault="00E222C8" w:rsidP="000836E4">
      <w:pPr>
        <w:rPr>
          <w:lang w:val="en-US"/>
        </w:rPr>
      </w:pPr>
    </w:p>
    <w:p w:rsidR="00E222C8" w:rsidRDefault="00E222C8" w:rsidP="000836E4">
      <w:pPr>
        <w:rPr>
          <w:lang w:val="en-US"/>
        </w:rPr>
      </w:pPr>
    </w:p>
    <w:p w:rsidR="000836E4" w:rsidRDefault="000836E4" w:rsidP="000836E4">
      <w:pPr>
        <w:rPr>
          <w:lang w:val="en-US"/>
        </w:rPr>
      </w:pPr>
    </w:p>
    <w:p w:rsidR="00F71DD3" w:rsidRDefault="00F71DD3">
      <w:pPr>
        <w:tabs>
          <w:tab w:val="clear" w:pos="794"/>
          <w:tab w:val="clear" w:pos="1191"/>
          <w:tab w:val="clear" w:pos="1588"/>
          <w:tab w:val="clear" w:pos="1985"/>
        </w:tabs>
        <w:overflowPunct/>
        <w:autoSpaceDE/>
        <w:autoSpaceDN/>
        <w:adjustRightInd/>
        <w:spacing w:before="0"/>
        <w:jc w:val="left"/>
        <w:textAlignment w:val="auto"/>
        <w:rPr>
          <w:lang w:val="en-US"/>
        </w:rPr>
      </w:pPr>
    </w:p>
    <w:p w:rsidR="00F71DD3" w:rsidRDefault="00F71DD3">
      <w:pPr>
        <w:tabs>
          <w:tab w:val="clear" w:pos="794"/>
          <w:tab w:val="clear" w:pos="1191"/>
          <w:tab w:val="clear" w:pos="1588"/>
          <w:tab w:val="clear" w:pos="1985"/>
        </w:tabs>
        <w:overflowPunct/>
        <w:autoSpaceDE/>
        <w:autoSpaceDN/>
        <w:adjustRightInd/>
        <w:spacing w:before="0"/>
        <w:jc w:val="left"/>
        <w:textAlignment w:val="auto"/>
        <w:rPr>
          <w:lang w:val="en-US"/>
        </w:rPr>
      </w:pPr>
    </w:p>
    <w:p w:rsidR="00F71DD3" w:rsidRDefault="00F71DD3">
      <w:pPr>
        <w:tabs>
          <w:tab w:val="clear" w:pos="794"/>
          <w:tab w:val="clear" w:pos="1191"/>
          <w:tab w:val="clear" w:pos="1588"/>
          <w:tab w:val="clear" w:pos="1985"/>
        </w:tabs>
        <w:overflowPunct/>
        <w:autoSpaceDE/>
        <w:autoSpaceDN/>
        <w:adjustRightInd/>
        <w:spacing w:before="0"/>
        <w:jc w:val="left"/>
        <w:textAlignment w:val="auto"/>
        <w:rPr>
          <w:lang w:val="en-US"/>
        </w:rPr>
      </w:pPr>
    </w:p>
    <w:p w:rsidR="00F71DD3" w:rsidRDefault="00F71DD3">
      <w:pPr>
        <w:tabs>
          <w:tab w:val="clear" w:pos="794"/>
          <w:tab w:val="clear" w:pos="1191"/>
          <w:tab w:val="clear" w:pos="1588"/>
          <w:tab w:val="clear" w:pos="1985"/>
        </w:tabs>
        <w:overflowPunct/>
        <w:autoSpaceDE/>
        <w:autoSpaceDN/>
        <w:adjustRightInd/>
        <w:spacing w:before="0"/>
        <w:jc w:val="left"/>
        <w:textAlignment w:val="auto"/>
        <w:rPr>
          <w:lang w:val="en-US"/>
        </w:rPr>
      </w:pPr>
    </w:p>
    <w:p w:rsidR="00F71DD3" w:rsidRDefault="00F71DD3">
      <w:pPr>
        <w:tabs>
          <w:tab w:val="clear" w:pos="794"/>
          <w:tab w:val="clear" w:pos="1191"/>
          <w:tab w:val="clear" w:pos="1588"/>
          <w:tab w:val="clear" w:pos="1985"/>
        </w:tabs>
        <w:overflowPunct/>
        <w:autoSpaceDE/>
        <w:autoSpaceDN/>
        <w:adjustRightInd/>
        <w:spacing w:before="0"/>
        <w:jc w:val="left"/>
        <w:textAlignment w:val="auto"/>
        <w:rPr>
          <w:lang w:val="en-US"/>
        </w:rPr>
      </w:pPr>
    </w:p>
    <w:p w:rsidR="00F71DD3" w:rsidRDefault="00F71DD3">
      <w:pPr>
        <w:tabs>
          <w:tab w:val="clear" w:pos="794"/>
          <w:tab w:val="clear" w:pos="1191"/>
          <w:tab w:val="clear" w:pos="1588"/>
          <w:tab w:val="clear" w:pos="1985"/>
        </w:tabs>
        <w:overflowPunct/>
        <w:autoSpaceDE/>
        <w:autoSpaceDN/>
        <w:adjustRightInd/>
        <w:spacing w:before="0"/>
        <w:jc w:val="left"/>
        <w:textAlignment w:val="auto"/>
        <w:rPr>
          <w:lang w:val="en-US"/>
        </w:rPr>
      </w:pPr>
    </w:p>
    <w:p w:rsidR="00F71DD3" w:rsidRDefault="00F71DD3">
      <w:pPr>
        <w:tabs>
          <w:tab w:val="clear" w:pos="794"/>
          <w:tab w:val="clear" w:pos="1191"/>
          <w:tab w:val="clear" w:pos="1588"/>
          <w:tab w:val="clear" w:pos="1985"/>
        </w:tabs>
        <w:overflowPunct/>
        <w:autoSpaceDE/>
        <w:autoSpaceDN/>
        <w:adjustRightInd/>
        <w:spacing w:before="0"/>
        <w:jc w:val="left"/>
        <w:textAlignment w:val="auto"/>
        <w:rPr>
          <w:lang w:val="en-US"/>
        </w:rPr>
      </w:pPr>
    </w:p>
    <w:p w:rsidR="00F71DD3" w:rsidRDefault="00F71DD3">
      <w:pPr>
        <w:tabs>
          <w:tab w:val="clear" w:pos="794"/>
          <w:tab w:val="clear" w:pos="1191"/>
          <w:tab w:val="clear" w:pos="1588"/>
          <w:tab w:val="clear" w:pos="1985"/>
        </w:tabs>
        <w:overflowPunct/>
        <w:autoSpaceDE/>
        <w:autoSpaceDN/>
        <w:adjustRightInd/>
        <w:spacing w:before="0"/>
        <w:jc w:val="left"/>
        <w:textAlignment w:val="auto"/>
        <w:rPr>
          <w:lang w:val="en-US"/>
        </w:rPr>
      </w:pPr>
    </w:p>
    <w:p w:rsidR="00F71DD3" w:rsidRDefault="00F71DD3">
      <w:pPr>
        <w:tabs>
          <w:tab w:val="clear" w:pos="794"/>
          <w:tab w:val="clear" w:pos="1191"/>
          <w:tab w:val="clear" w:pos="1588"/>
          <w:tab w:val="clear" w:pos="1985"/>
        </w:tabs>
        <w:overflowPunct/>
        <w:autoSpaceDE/>
        <w:autoSpaceDN/>
        <w:adjustRightInd/>
        <w:spacing w:before="0"/>
        <w:jc w:val="left"/>
        <w:textAlignment w:val="auto"/>
        <w:rPr>
          <w:lang w:val="en-US"/>
        </w:rPr>
      </w:pPr>
    </w:p>
    <w:p w:rsidR="00F71DD3" w:rsidRDefault="00F71DD3">
      <w:pPr>
        <w:tabs>
          <w:tab w:val="clear" w:pos="794"/>
          <w:tab w:val="clear" w:pos="1191"/>
          <w:tab w:val="clear" w:pos="1588"/>
          <w:tab w:val="clear" w:pos="1985"/>
        </w:tabs>
        <w:overflowPunct/>
        <w:autoSpaceDE/>
        <w:autoSpaceDN/>
        <w:adjustRightInd/>
        <w:spacing w:before="0"/>
        <w:jc w:val="left"/>
        <w:textAlignment w:val="auto"/>
        <w:rPr>
          <w:lang w:val="en-US"/>
        </w:rPr>
      </w:pPr>
    </w:p>
    <w:p w:rsidR="00F71DD3" w:rsidRDefault="00F71DD3">
      <w:pPr>
        <w:tabs>
          <w:tab w:val="clear" w:pos="794"/>
          <w:tab w:val="clear" w:pos="1191"/>
          <w:tab w:val="clear" w:pos="1588"/>
          <w:tab w:val="clear" w:pos="1985"/>
        </w:tabs>
        <w:overflowPunct/>
        <w:autoSpaceDE/>
        <w:autoSpaceDN/>
        <w:adjustRightInd/>
        <w:spacing w:before="0"/>
        <w:jc w:val="left"/>
        <w:textAlignment w:val="auto"/>
        <w:rPr>
          <w:lang w:val="en-US"/>
        </w:rPr>
      </w:pPr>
    </w:p>
    <w:p w:rsidR="00F71DD3" w:rsidRDefault="00F71DD3">
      <w:pPr>
        <w:tabs>
          <w:tab w:val="clear" w:pos="794"/>
          <w:tab w:val="clear" w:pos="1191"/>
          <w:tab w:val="clear" w:pos="1588"/>
          <w:tab w:val="clear" w:pos="1985"/>
        </w:tabs>
        <w:overflowPunct/>
        <w:autoSpaceDE/>
        <w:autoSpaceDN/>
        <w:adjustRightInd/>
        <w:spacing w:before="0"/>
        <w:jc w:val="left"/>
        <w:textAlignment w:val="auto"/>
        <w:rPr>
          <w:lang w:val="en-US"/>
        </w:rPr>
      </w:pPr>
    </w:p>
    <w:p w:rsidR="00071226" w:rsidRPr="008839C1" w:rsidRDefault="00071226" w:rsidP="00023377">
      <w:pPr>
        <w:pStyle w:val="FigureNo"/>
        <w:rPr>
          <w:lang w:val="en-US"/>
        </w:rPr>
      </w:pPr>
      <w:r w:rsidRPr="008839C1">
        <w:rPr>
          <w:lang w:val="en-US"/>
        </w:rPr>
        <w:t>Figure A7</w:t>
      </w:r>
    </w:p>
    <w:p w:rsidR="00071226" w:rsidRPr="008839C1" w:rsidRDefault="00071226" w:rsidP="00071226">
      <w:pPr>
        <w:pStyle w:val="Figuretitle"/>
        <w:rPr>
          <w:lang w:val="en-US"/>
        </w:rPr>
      </w:pPr>
      <w:r w:rsidRPr="008839C1">
        <w:rPr>
          <w:lang w:val="en-US"/>
        </w:rPr>
        <w:t>PL CDF for Suburban Cells</w:t>
      </w:r>
    </w:p>
    <w:p w:rsidR="00071226" w:rsidRDefault="00023377" w:rsidP="00071226">
      <w:pPr>
        <w:jc w:val="center"/>
        <w:rPr>
          <w:szCs w:val="24"/>
        </w:rPr>
      </w:pPr>
      <w:r>
        <w:rPr>
          <w:noProof/>
          <w:lang w:val="en-US" w:eastAsia="zh-CN"/>
        </w:rPr>
        <w:drawing>
          <wp:inline distT="0" distB="0" distL="0" distR="0" wp14:anchorId="4EB0439D" wp14:editId="5B1EB09B">
            <wp:extent cx="4079240" cy="337121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9240" cy="3371215"/>
                    </a:xfrm>
                    <a:prstGeom prst="rect">
                      <a:avLst/>
                    </a:prstGeom>
                    <a:noFill/>
                    <a:ln>
                      <a:noFill/>
                    </a:ln>
                  </pic:spPr>
                </pic:pic>
              </a:graphicData>
            </a:graphic>
          </wp:inline>
        </w:drawing>
      </w:r>
    </w:p>
    <w:p w:rsidR="00071226" w:rsidRDefault="00071226" w:rsidP="009563CB"/>
    <w:p w:rsidR="00071226" w:rsidRPr="008839C1" w:rsidRDefault="00071226" w:rsidP="00071226">
      <w:pPr>
        <w:pStyle w:val="FigureNo"/>
        <w:rPr>
          <w:lang w:val="en-US"/>
        </w:rPr>
      </w:pPr>
      <w:r w:rsidRPr="008839C1">
        <w:rPr>
          <w:lang w:val="en-US"/>
        </w:rPr>
        <w:lastRenderedPageBreak/>
        <w:t>Figure A8</w:t>
      </w:r>
    </w:p>
    <w:p w:rsidR="00071226" w:rsidRPr="008839C1" w:rsidRDefault="00071226" w:rsidP="00071226">
      <w:pPr>
        <w:pStyle w:val="Figuretitle"/>
        <w:rPr>
          <w:lang w:val="en-US"/>
        </w:rPr>
      </w:pPr>
      <w:r w:rsidRPr="008839C1">
        <w:rPr>
          <w:lang w:val="en-US"/>
        </w:rPr>
        <w:t>PL CDF for Rural Cells</w:t>
      </w:r>
    </w:p>
    <w:p w:rsidR="00071226" w:rsidRDefault="00071226" w:rsidP="009563CB">
      <w:pPr>
        <w:pStyle w:val="Figure"/>
      </w:pPr>
      <w:r>
        <w:rPr>
          <w:noProof/>
          <w:lang w:val="en-US" w:eastAsia="zh-CN"/>
        </w:rPr>
        <w:drawing>
          <wp:inline distT="0" distB="0" distL="0" distR="0" wp14:anchorId="3C37BA3E" wp14:editId="40F0AA74">
            <wp:extent cx="4492625" cy="3291840"/>
            <wp:effectExtent l="0" t="0" r="3175"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2625" cy="3291840"/>
                    </a:xfrm>
                    <a:prstGeom prst="rect">
                      <a:avLst/>
                    </a:prstGeom>
                    <a:noFill/>
                    <a:ln>
                      <a:noFill/>
                    </a:ln>
                  </pic:spPr>
                </pic:pic>
              </a:graphicData>
            </a:graphic>
          </wp:inline>
        </w:drawing>
      </w:r>
    </w:p>
    <w:p w:rsidR="00646B3C" w:rsidRPr="00646B3C" w:rsidRDefault="00646B3C" w:rsidP="00646B3C"/>
    <w:p w:rsidR="00071226" w:rsidRPr="008839C1" w:rsidRDefault="00071226" w:rsidP="00071226">
      <w:pPr>
        <w:pStyle w:val="Headingb"/>
        <w:rPr>
          <w:lang w:val="en-US"/>
        </w:rPr>
      </w:pPr>
      <w:r w:rsidRPr="008839C1">
        <w:rPr>
          <w:lang w:val="en-US"/>
        </w:rPr>
        <w:t>Step 10</w:t>
      </w:r>
    </w:p>
    <w:p w:rsidR="00071226" w:rsidRPr="008839C1" w:rsidRDefault="00071226" w:rsidP="00C01F9D">
      <w:pPr>
        <w:rPr>
          <w:szCs w:val="24"/>
          <w:lang w:val="en-US"/>
        </w:rPr>
      </w:pPr>
      <w:r w:rsidRPr="008839C1">
        <w:rPr>
          <w:szCs w:val="24"/>
          <w:lang w:val="en-US"/>
        </w:rPr>
        <w:t>From the CDFs, select a PL percentile value based on the % of UEs assumed to operate at max transmit power.</w:t>
      </w:r>
      <w:r w:rsidR="00BF1B1C">
        <w:rPr>
          <w:szCs w:val="24"/>
          <w:lang w:val="en-US"/>
        </w:rPr>
        <w:t xml:space="preserve"> </w:t>
      </w:r>
      <w:r w:rsidRPr="008839C1">
        <w:rPr>
          <w:szCs w:val="24"/>
          <w:lang w:val="en-US"/>
        </w:rPr>
        <w:t>Section 2.3 of Annex 2 discusses proper assumptions for UE uplink power control (UPC) and notes that LTE UPC has both open loop and closed loop components, but that for Monte</w:t>
      </w:r>
      <w:r w:rsidR="00C309C4">
        <w:rPr>
          <w:szCs w:val="24"/>
          <w:lang w:val="en-US"/>
        </w:rPr>
        <w:noBreakHyphen/>
      </w:r>
      <w:r w:rsidRPr="008839C1">
        <w:rPr>
          <w:szCs w:val="24"/>
          <w:lang w:val="en-US"/>
        </w:rPr>
        <w:t>Carlo simulations, the open loop model is mainly used.</w:t>
      </w:r>
      <w:r w:rsidR="00BF1B1C">
        <w:rPr>
          <w:szCs w:val="24"/>
          <w:lang w:val="en-US"/>
        </w:rPr>
        <w:t xml:space="preserve"> </w:t>
      </w:r>
      <w:r w:rsidRPr="008839C1">
        <w:rPr>
          <w:szCs w:val="24"/>
          <w:lang w:val="en-US"/>
        </w:rPr>
        <w:t>This model sets the UE transmit power based on the PL between the UE and its serving base-station along with other parameters, including one which corresponds to the % of active users transmitting at maximum power (P</w:t>
      </w:r>
      <w:r w:rsidRPr="008839C1">
        <w:rPr>
          <w:szCs w:val="24"/>
          <w:vertAlign w:val="subscript"/>
          <w:lang w:val="en-US"/>
        </w:rPr>
        <w:t>max</w:t>
      </w:r>
      <w:r w:rsidR="00C309C4">
        <w:rPr>
          <w:szCs w:val="24"/>
          <w:lang w:val="en-US"/>
        </w:rPr>
        <w:t xml:space="preserve">). </w:t>
      </w:r>
      <w:r w:rsidRPr="008839C1">
        <w:rPr>
          <w:szCs w:val="24"/>
          <w:lang w:val="en-US"/>
        </w:rPr>
        <w:t>Annex</w:t>
      </w:r>
      <w:r w:rsidR="00C01F9D">
        <w:rPr>
          <w:szCs w:val="24"/>
          <w:lang w:val="en-US"/>
        </w:rPr>
        <w:t> </w:t>
      </w:r>
      <w:r w:rsidRPr="008839C1">
        <w:rPr>
          <w:szCs w:val="24"/>
          <w:lang w:val="en-US"/>
        </w:rPr>
        <w:t>2 suggests that the % of UEs in macro-cells transmitting at P</w:t>
      </w:r>
      <w:r w:rsidRPr="008839C1">
        <w:rPr>
          <w:szCs w:val="24"/>
          <w:vertAlign w:val="subscript"/>
          <w:lang w:val="en-US"/>
        </w:rPr>
        <w:t>max</w:t>
      </w:r>
      <w:r w:rsidRPr="008839C1">
        <w:rPr>
          <w:szCs w:val="24"/>
          <w:lang w:val="en-US"/>
        </w:rPr>
        <w:t xml:space="preserve"> be in the 2%-5% range.</w:t>
      </w:r>
      <w:r w:rsidR="00BF1B1C">
        <w:rPr>
          <w:szCs w:val="24"/>
          <w:lang w:val="en-US"/>
        </w:rPr>
        <w:t xml:space="preserve"> </w:t>
      </w:r>
      <w:r w:rsidRPr="008839C1">
        <w:rPr>
          <w:szCs w:val="24"/>
          <w:lang w:val="en-US"/>
        </w:rPr>
        <w:t>This analysis assumes 2%.</w:t>
      </w:r>
      <w:r w:rsidR="00BF1B1C">
        <w:rPr>
          <w:szCs w:val="24"/>
          <w:lang w:val="en-US"/>
        </w:rPr>
        <w:t xml:space="preserve"> </w:t>
      </w:r>
      <w:r w:rsidRPr="008839C1">
        <w:rPr>
          <w:szCs w:val="24"/>
          <w:lang w:val="en-US"/>
        </w:rPr>
        <w:t>Therefore, according to the UE UPC formula in Step 2 of section 2.2.2 of Annex 2, UEs whose PL exceed the 98%-percentile PL value will transmit at P</w:t>
      </w:r>
      <w:r w:rsidRPr="008839C1">
        <w:rPr>
          <w:szCs w:val="24"/>
          <w:vertAlign w:val="subscript"/>
          <w:lang w:val="en-US"/>
        </w:rPr>
        <w:t>max</w:t>
      </w:r>
      <w:r w:rsidRPr="008839C1">
        <w:rPr>
          <w:szCs w:val="24"/>
          <w:lang w:val="en-US"/>
        </w:rPr>
        <w:t>.</w:t>
      </w:r>
      <w:r w:rsidR="00BF1B1C">
        <w:rPr>
          <w:szCs w:val="24"/>
          <w:lang w:val="en-US"/>
        </w:rPr>
        <w:t xml:space="preserve"> </w:t>
      </w:r>
      <w:r w:rsidRPr="008839C1">
        <w:rPr>
          <w:szCs w:val="24"/>
          <w:lang w:val="en-US"/>
        </w:rPr>
        <w:t>Conversely, UEs whose PL &lt;= the 98%-percentile PL value will transmit at a power level less than P</w:t>
      </w:r>
      <w:r w:rsidRPr="008839C1">
        <w:rPr>
          <w:szCs w:val="24"/>
          <w:vertAlign w:val="subscript"/>
          <w:lang w:val="en-US"/>
        </w:rPr>
        <w:t>max</w:t>
      </w:r>
      <w:r w:rsidRPr="008839C1">
        <w:rPr>
          <w:szCs w:val="24"/>
          <w:lang w:val="en-US"/>
        </w:rPr>
        <w:t>.</w:t>
      </w:r>
      <w:r w:rsidR="00BF1B1C">
        <w:rPr>
          <w:szCs w:val="24"/>
          <w:lang w:val="en-US"/>
        </w:rPr>
        <w:t xml:space="preserve"> </w:t>
      </w:r>
      <w:r w:rsidRPr="008839C1">
        <w:rPr>
          <w:szCs w:val="24"/>
          <w:lang w:val="en-US"/>
        </w:rPr>
        <w:t xml:space="preserve">The 98% PL values for the urban/suburban/rural cells are indicated in </w:t>
      </w:r>
      <w:r w:rsidR="00C01F9D" w:rsidRPr="00C01F9D">
        <w:rPr>
          <w:szCs w:val="24"/>
          <w:lang w:val="en-US"/>
        </w:rPr>
        <w:t>Fig</w:t>
      </w:r>
      <w:r w:rsidRPr="008839C1">
        <w:rPr>
          <w:szCs w:val="24"/>
          <w:lang w:val="en-US"/>
        </w:rPr>
        <w:t>s</w:t>
      </w:r>
      <w:r w:rsidR="00C01F9D">
        <w:rPr>
          <w:szCs w:val="24"/>
          <w:lang w:val="en-US"/>
        </w:rPr>
        <w:t>.</w:t>
      </w:r>
      <w:r w:rsidRPr="008839C1">
        <w:rPr>
          <w:szCs w:val="24"/>
          <w:lang w:val="en-US"/>
        </w:rPr>
        <w:t xml:space="preserve"> A6, A7, and A8.</w:t>
      </w:r>
    </w:p>
    <w:p w:rsidR="00071226" w:rsidRPr="008839C1" w:rsidRDefault="00071226" w:rsidP="00071226">
      <w:pPr>
        <w:rPr>
          <w:szCs w:val="24"/>
          <w:lang w:val="en-US"/>
        </w:rPr>
      </w:pPr>
      <w:r w:rsidRPr="008839C1">
        <w:rPr>
          <w:szCs w:val="24"/>
          <w:lang w:val="en-US"/>
        </w:rPr>
        <w:t>These values are PL</w:t>
      </w:r>
      <w:r w:rsidRPr="008839C1">
        <w:rPr>
          <w:szCs w:val="24"/>
          <w:vertAlign w:val="subscript"/>
          <w:lang w:val="en-US"/>
        </w:rPr>
        <w:t xml:space="preserve">x-ile </w:t>
      </w:r>
      <w:r w:rsidRPr="008839C1">
        <w:rPr>
          <w:szCs w:val="24"/>
          <w:lang w:val="en-US"/>
        </w:rPr>
        <w:t>= 128.1 dB (urban); 124.3 dB (suburban); 121.9 dB (rural).</w:t>
      </w:r>
    </w:p>
    <w:p w:rsidR="00071226" w:rsidRPr="008839C1" w:rsidRDefault="00071226" w:rsidP="00071226">
      <w:pPr>
        <w:rPr>
          <w:szCs w:val="24"/>
          <w:lang w:val="en-US"/>
        </w:rPr>
      </w:pPr>
      <w:r w:rsidRPr="008839C1">
        <w:rPr>
          <w:szCs w:val="24"/>
          <w:lang w:val="en-US"/>
        </w:rPr>
        <w:t xml:space="preserve">Thus, for example for the rural cells, the CDF in </w:t>
      </w:r>
      <w:r w:rsidR="00C01F9D" w:rsidRPr="00C01F9D">
        <w:rPr>
          <w:szCs w:val="24"/>
          <w:lang w:val="en-US"/>
        </w:rPr>
        <w:t>Fig.</w:t>
      </w:r>
      <w:r w:rsidRPr="008839C1">
        <w:rPr>
          <w:szCs w:val="24"/>
          <w:lang w:val="en-US"/>
        </w:rPr>
        <w:t xml:space="preserve"> A8 indicates that 98% of the UEs have PL less than or equal to 121.9 dB while 2% of the UEs have PL exceeding 121.9 dB. Therefore, that 2% of UEs is assumed to transmit at maximum power (e.g P</w:t>
      </w:r>
      <w:r w:rsidRPr="008839C1">
        <w:rPr>
          <w:szCs w:val="24"/>
          <w:vertAlign w:val="subscript"/>
          <w:lang w:val="en-US"/>
        </w:rPr>
        <w:t>max</w:t>
      </w:r>
      <w:r w:rsidRPr="008839C1">
        <w:rPr>
          <w:szCs w:val="24"/>
          <w:lang w:val="en-US"/>
        </w:rPr>
        <w:t xml:space="preserve"> = +23 dBm/200 mW). </w:t>
      </w:r>
    </w:p>
    <w:p w:rsidR="00071226" w:rsidRPr="008839C1" w:rsidRDefault="00071226" w:rsidP="00071226">
      <w:pPr>
        <w:pStyle w:val="Headingb"/>
        <w:rPr>
          <w:lang w:val="en-US"/>
        </w:rPr>
      </w:pPr>
      <w:r w:rsidRPr="008839C1">
        <w:rPr>
          <w:lang w:val="en-US"/>
        </w:rPr>
        <w:t>Step 11</w:t>
      </w:r>
    </w:p>
    <w:p w:rsidR="00071226" w:rsidRPr="008839C1" w:rsidRDefault="00071226" w:rsidP="00C01F9D">
      <w:pPr>
        <w:rPr>
          <w:szCs w:val="24"/>
          <w:lang w:val="en-US"/>
        </w:rPr>
      </w:pPr>
      <w:r w:rsidRPr="008839C1">
        <w:rPr>
          <w:szCs w:val="24"/>
          <w:lang w:val="en-US"/>
        </w:rPr>
        <w:t>Specify other UE uplink power control parameters used in the Annex 2 UPC formula. In this analysis we assume P</w:t>
      </w:r>
      <w:r w:rsidRPr="008839C1">
        <w:rPr>
          <w:szCs w:val="24"/>
          <w:vertAlign w:val="subscript"/>
          <w:lang w:val="en-US"/>
        </w:rPr>
        <w:t>max</w:t>
      </w:r>
      <w:r w:rsidRPr="008839C1">
        <w:rPr>
          <w:szCs w:val="24"/>
          <w:lang w:val="en-US"/>
        </w:rPr>
        <w:t xml:space="preserve"> = +23 dBm; P</w:t>
      </w:r>
      <w:r w:rsidRPr="008839C1">
        <w:rPr>
          <w:szCs w:val="24"/>
          <w:vertAlign w:val="subscript"/>
          <w:lang w:val="en-US"/>
        </w:rPr>
        <w:t>min</w:t>
      </w:r>
      <w:r w:rsidRPr="008839C1">
        <w:rPr>
          <w:szCs w:val="24"/>
          <w:lang w:val="en-US"/>
        </w:rPr>
        <w:t xml:space="preserve"> = </w:t>
      </w:r>
      <w:r w:rsidR="00C01F9D">
        <w:rPr>
          <w:szCs w:val="24"/>
          <w:lang w:val="en-US"/>
        </w:rPr>
        <w:t>–</w:t>
      </w:r>
      <w:r w:rsidRPr="008839C1">
        <w:rPr>
          <w:szCs w:val="24"/>
          <w:lang w:val="en-US"/>
        </w:rPr>
        <w:t xml:space="preserve">40 dBm (min UE tx power); </w:t>
      </w:r>
      <w:r>
        <w:rPr>
          <w:szCs w:val="24"/>
        </w:rPr>
        <w:sym w:font="Symbol" w:char="F067"/>
      </w:r>
      <w:r w:rsidRPr="008839C1">
        <w:rPr>
          <w:szCs w:val="24"/>
          <w:lang w:val="en-US"/>
        </w:rPr>
        <w:t xml:space="preserve"> = 1 (gamma is a value between 0 and 1 called the balancing factor); and R</w:t>
      </w:r>
      <w:r w:rsidRPr="008839C1">
        <w:rPr>
          <w:szCs w:val="24"/>
          <w:vertAlign w:val="subscript"/>
          <w:lang w:val="en-US"/>
        </w:rPr>
        <w:t>min</w:t>
      </w:r>
      <w:r w:rsidRPr="008839C1">
        <w:rPr>
          <w:szCs w:val="24"/>
          <w:lang w:val="en-US"/>
        </w:rPr>
        <w:t xml:space="preserve"> = P</w:t>
      </w:r>
      <w:r w:rsidRPr="008839C1">
        <w:rPr>
          <w:szCs w:val="24"/>
          <w:vertAlign w:val="subscript"/>
          <w:lang w:val="en-US"/>
        </w:rPr>
        <w:t>min</w:t>
      </w:r>
      <w:r w:rsidRPr="008839C1">
        <w:rPr>
          <w:szCs w:val="24"/>
          <w:lang w:val="en-US"/>
        </w:rPr>
        <w:t>/P</w:t>
      </w:r>
      <w:r w:rsidRPr="008839C1">
        <w:rPr>
          <w:szCs w:val="24"/>
          <w:vertAlign w:val="subscript"/>
          <w:lang w:val="en-US"/>
        </w:rPr>
        <w:t>max</w:t>
      </w:r>
      <w:r w:rsidRPr="008839C1">
        <w:rPr>
          <w:szCs w:val="24"/>
          <w:lang w:val="en-US"/>
        </w:rPr>
        <w:t>.</w:t>
      </w:r>
    </w:p>
    <w:p w:rsidR="00071226" w:rsidRPr="008839C1" w:rsidRDefault="00071226" w:rsidP="00071226">
      <w:pPr>
        <w:pStyle w:val="Headingb"/>
        <w:rPr>
          <w:lang w:val="en-US"/>
        </w:rPr>
      </w:pPr>
      <w:r w:rsidRPr="008839C1">
        <w:rPr>
          <w:lang w:val="en-US"/>
        </w:rPr>
        <w:lastRenderedPageBreak/>
        <w:t>Step 12</w:t>
      </w:r>
    </w:p>
    <w:p w:rsidR="00071226" w:rsidRPr="008839C1" w:rsidRDefault="00071226" w:rsidP="00C01F9D">
      <w:pPr>
        <w:keepNext/>
        <w:keepLines/>
        <w:rPr>
          <w:szCs w:val="24"/>
          <w:lang w:val="en-US"/>
        </w:rPr>
      </w:pPr>
      <w:r w:rsidRPr="008839C1">
        <w:rPr>
          <w:szCs w:val="24"/>
          <w:lang w:val="en-US"/>
        </w:rPr>
        <w:t>Now apply the UPC formula to the PL values from Step 8 to get the corresponding UE transmit power values and from these we can generate the UE transmit power CDFs.</w:t>
      </w:r>
      <w:r w:rsidR="00BF1B1C">
        <w:rPr>
          <w:szCs w:val="24"/>
          <w:lang w:val="en-US"/>
        </w:rPr>
        <w:t xml:space="preserve"> </w:t>
      </w:r>
      <w:r w:rsidRPr="008839C1">
        <w:rPr>
          <w:szCs w:val="24"/>
          <w:lang w:val="en-US"/>
        </w:rPr>
        <w:t xml:space="preserve">From </w:t>
      </w:r>
      <w:r w:rsidR="006D0576" w:rsidRPr="006D0576">
        <w:rPr>
          <w:szCs w:val="24"/>
          <w:lang w:val="en-US"/>
        </w:rPr>
        <w:t>§</w:t>
      </w:r>
      <w:r w:rsidRPr="008839C1">
        <w:rPr>
          <w:szCs w:val="24"/>
          <w:lang w:val="en-US"/>
        </w:rPr>
        <w:t xml:space="preserve"> 2.2.2 of Annex</w:t>
      </w:r>
      <w:r w:rsidR="00C01F9D">
        <w:rPr>
          <w:szCs w:val="24"/>
          <w:lang w:val="en-US"/>
        </w:rPr>
        <w:t> </w:t>
      </w:r>
      <w:r w:rsidRPr="008839C1">
        <w:rPr>
          <w:szCs w:val="24"/>
          <w:lang w:val="en-US"/>
        </w:rPr>
        <w:t>2, the</w:t>
      </w:r>
      <w:r w:rsidR="006D0576">
        <w:rPr>
          <w:szCs w:val="24"/>
          <w:lang w:val="en-US"/>
        </w:rPr>
        <w:t> </w:t>
      </w:r>
      <w:r w:rsidRPr="008839C1">
        <w:rPr>
          <w:szCs w:val="24"/>
          <w:lang w:val="en-US"/>
        </w:rPr>
        <w:t>UPC formula for the UE transmit power (P</w:t>
      </w:r>
      <w:r w:rsidRPr="008839C1">
        <w:rPr>
          <w:szCs w:val="24"/>
          <w:vertAlign w:val="subscript"/>
          <w:lang w:val="en-US"/>
        </w:rPr>
        <w:t>t</w:t>
      </w:r>
      <w:r w:rsidRPr="008839C1">
        <w:rPr>
          <w:szCs w:val="24"/>
          <w:lang w:val="en-US"/>
        </w:rPr>
        <w:t>) (in dBm) in terms of the above parameters is given by:</w:t>
      </w:r>
    </w:p>
    <w:p w:rsidR="00071226" w:rsidRDefault="006D0576" w:rsidP="006D0576">
      <w:pPr>
        <w:pStyle w:val="Equation"/>
        <w:rPr>
          <w:szCs w:val="24"/>
        </w:rPr>
      </w:pPr>
      <w:r w:rsidRPr="006D0576">
        <w:rPr>
          <w:rFonts w:eastAsiaTheme="minorHAnsi"/>
          <w:lang w:val="en-US"/>
        </w:rPr>
        <w:tab/>
      </w:r>
      <w:r w:rsidRPr="006D0576">
        <w:rPr>
          <w:rFonts w:eastAsiaTheme="minorHAnsi"/>
          <w:lang w:val="en-US"/>
        </w:rPr>
        <w:tab/>
      </w:r>
      <w:r w:rsidRPr="006D0576">
        <w:rPr>
          <w:rFonts w:eastAsiaTheme="minorHAnsi"/>
          <w:position w:val="-40"/>
          <w:lang w:val="en-US"/>
        </w:rPr>
        <w:object w:dxaOrig="40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5pt;height:46.2pt" o:ole="" fillcolor="#0c9">
            <v:imagedata r:id="rId37" o:title=""/>
          </v:shape>
          <o:OLEObject Type="Embed" ProgID="Equation.3" ShapeID="_x0000_i1025" DrawAspect="Content" ObjectID="_1487679602" r:id="rId38"/>
        </w:object>
      </w:r>
    </w:p>
    <w:p w:rsidR="00071226" w:rsidRPr="008839C1" w:rsidRDefault="00071226" w:rsidP="00D25D4F">
      <w:pPr>
        <w:rPr>
          <w:szCs w:val="24"/>
          <w:lang w:val="en-US"/>
        </w:rPr>
      </w:pPr>
      <w:r w:rsidRPr="008839C1">
        <w:rPr>
          <w:szCs w:val="24"/>
          <w:lang w:val="en-US"/>
        </w:rPr>
        <w:t>The resulting (single) UE transmit power CDFs are shown in Fig</w:t>
      </w:r>
      <w:r w:rsidR="00D25D4F">
        <w:rPr>
          <w:szCs w:val="24"/>
          <w:lang w:val="en-US"/>
        </w:rPr>
        <w:t>.</w:t>
      </w:r>
      <w:r w:rsidRPr="008839C1">
        <w:rPr>
          <w:szCs w:val="24"/>
          <w:lang w:val="en-US"/>
        </w:rPr>
        <w:t xml:space="preserve"> A9.</w:t>
      </w:r>
    </w:p>
    <w:p w:rsidR="00071226" w:rsidRPr="008839C1" w:rsidRDefault="00071226" w:rsidP="00071226">
      <w:pPr>
        <w:pStyle w:val="FigureNo"/>
        <w:rPr>
          <w:lang w:val="en-US"/>
        </w:rPr>
      </w:pPr>
      <w:r w:rsidRPr="008839C1">
        <w:rPr>
          <w:lang w:val="en-US"/>
        </w:rPr>
        <w:t>Figure A9</w:t>
      </w:r>
    </w:p>
    <w:p w:rsidR="00071226" w:rsidRPr="008839C1" w:rsidRDefault="00071226" w:rsidP="00071226">
      <w:pPr>
        <w:pStyle w:val="Figuretitle"/>
        <w:rPr>
          <w:lang w:val="en-US"/>
        </w:rPr>
      </w:pPr>
      <w:r w:rsidRPr="008839C1">
        <w:rPr>
          <w:lang w:val="en-US"/>
        </w:rPr>
        <w:t>UE transmit power CDFs for urban/suburban/rural zones</w:t>
      </w:r>
    </w:p>
    <w:p w:rsidR="00071226" w:rsidRDefault="00071226" w:rsidP="006D0576">
      <w:pPr>
        <w:pStyle w:val="Figure"/>
      </w:pPr>
      <w:r>
        <w:rPr>
          <w:noProof/>
          <w:lang w:val="en-US" w:eastAsia="zh-CN"/>
        </w:rPr>
        <w:drawing>
          <wp:inline distT="0" distB="0" distL="0" distR="0" wp14:anchorId="6BC7EB05" wp14:editId="6F901893">
            <wp:extent cx="5812155" cy="37052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2155" cy="3705225"/>
                    </a:xfrm>
                    <a:prstGeom prst="rect">
                      <a:avLst/>
                    </a:prstGeom>
                    <a:noFill/>
                    <a:ln>
                      <a:noFill/>
                    </a:ln>
                  </pic:spPr>
                </pic:pic>
              </a:graphicData>
            </a:graphic>
          </wp:inline>
        </w:drawing>
      </w:r>
    </w:p>
    <w:p w:rsidR="00071226" w:rsidRDefault="00071226" w:rsidP="006D0576"/>
    <w:p w:rsidR="00071226" w:rsidRPr="008839C1" w:rsidRDefault="00071226" w:rsidP="00071226">
      <w:pPr>
        <w:pStyle w:val="Headingb"/>
        <w:rPr>
          <w:lang w:val="en-US"/>
        </w:rPr>
      </w:pPr>
      <w:r w:rsidRPr="008839C1">
        <w:rPr>
          <w:lang w:val="en-US"/>
        </w:rPr>
        <w:t>Step 13</w:t>
      </w:r>
    </w:p>
    <w:p w:rsidR="00071226" w:rsidRPr="008839C1" w:rsidRDefault="00071226" w:rsidP="00071226">
      <w:pPr>
        <w:rPr>
          <w:szCs w:val="24"/>
          <w:lang w:val="en-US"/>
        </w:rPr>
      </w:pPr>
      <w:r w:rsidRPr="008839C1">
        <w:rPr>
          <w:szCs w:val="24"/>
          <w:lang w:val="en-US"/>
        </w:rPr>
        <w:t xml:space="preserve">From the LTE cell layout pattern in </w:t>
      </w:r>
      <w:r w:rsidR="006D0576" w:rsidRPr="006D0576">
        <w:rPr>
          <w:szCs w:val="24"/>
          <w:lang w:val="en-US"/>
        </w:rPr>
        <w:t>Fig.</w:t>
      </w:r>
      <w:r w:rsidRPr="008839C1">
        <w:rPr>
          <w:szCs w:val="24"/>
          <w:lang w:val="en-US"/>
        </w:rPr>
        <w:t xml:space="preserve"> A1 determine the number of simultaneously transmitting UEs in the urban/suburban/rural zones.</w:t>
      </w:r>
    </w:p>
    <w:p w:rsidR="00071226" w:rsidRPr="008839C1" w:rsidRDefault="00071226" w:rsidP="00D86C62">
      <w:pPr>
        <w:rPr>
          <w:szCs w:val="24"/>
          <w:lang w:val="en-US"/>
        </w:rPr>
      </w:pPr>
      <w:r w:rsidRPr="008839C1">
        <w:rPr>
          <w:szCs w:val="24"/>
          <w:lang w:val="en-US"/>
        </w:rPr>
        <w:t xml:space="preserve">Referring to </w:t>
      </w:r>
      <w:r w:rsidR="006D0576" w:rsidRPr="006D0576">
        <w:rPr>
          <w:szCs w:val="24"/>
          <w:lang w:val="en-US"/>
        </w:rPr>
        <w:t>Fig.</w:t>
      </w:r>
      <w:r w:rsidRPr="008839C1">
        <w:rPr>
          <w:szCs w:val="24"/>
          <w:lang w:val="en-US"/>
        </w:rPr>
        <w:t xml:space="preserve"> A1, there are 89 base-station sites/267 cells in the urban zone.</w:t>
      </w:r>
      <w:r w:rsidR="00BF1B1C">
        <w:rPr>
          <w:szCs w:val="24"/>
          <w:lang w:val="en-US"/>
        </w:rPr>
        <w:t xml:space="preserve"> </w:t>
      </w:r>
      <w:r w:rsidRPr="008839C1">
        <w:rPr>
          <w:szCs w:val="24"/>
          <w:lang w:val="en-US"/>
        </w:rPr>
        <w:t>Assuming 6 active UEs per cell (per Annex 2), this results in a total of 267</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6 = 1 602 UEs.</w:t>
      </w:r>
      <w:r w:rsidR="00BF1B1C">
        <w:rPr>
          <w:szCs w:val="24"/>
          <w:lang w:val="en-US"/>
        </w:rPr>
        <w:t xml:space="preserve"> </w:t>
      </w:r>
      <w:r w:rsidRPr="008839C1">
        <w:rPr>
          <w:szCs w:val="24"/>
          <w:lang w:val="en-US"/>
        </w:rPr>
        <w:t>However, it is assumed in the analysis that 70% of these UEs are indoors and not contributing any interference.</w:t>
      </w:r>
      <w:r w:rsidR="00BF1B1C">
        <w:rPr>
          <w:szCs w:val="24"/>
          <w:lang w:val="en-US"/>
        </w:rPr>
        <w:t xml:space="preserve"> </w:t>
      </w:r>
      <w:r w:rsidRPr="008839C1">
        <w:rPr>
          <w:szCs w:val="24"/>
          <w:lang w:val="en-US"/>
        </w:rPr>
        <w:t>Therefore, only 30% of these UEs are assumed to be interfering UEs so that N</w:t>
      </w:r>
      <w:r w:rsidRPr="008839C1">
        <w:rPr>
          <w:szCs w:val="24"/>
          <w:vertAlign w:val="subscript"/>
          <w:lang w:val="en-US"/>
        </w:rPr>
        <w:t>UE</w:t>
      </w:r>
      <w:r w:rsidRPr="008839C1">
        <w:rPr>
          <w:szCs w:val="24"/>
          <w:lang w:val="en-US"/>
        </w:rPr>
        <w:t xml:space="preserve"> = 0.3 </w:t>
      </w:r>
      <w:r w:rsidR="006D0576">
        <w:rPr>
          <w:szCs w:val="24"/>
          <w:lang w:val="en-US"/>
        </w:rPr>
        <w:sym w:font="Symbol" w:char="F0B4"/>
      </w:r>
      <w:r w:rsidRPr="008839C1">
        <w:rPr>
          <w:szCs w:val="24"/>
          <w:lang w:val="en-US"/>
        </w:rPr>
        <w:t xml:space="preserve"> 1 602 = 480.</w:t>
      </w:r>
    </w:p>
    <w:p w:rsidR="00071226" w:rsidRPr="008839C1" w:rsidRDefault="00071226" w:rsidP="006D0576">
      <w:pPr>
        <w:rPr>
          <w:szCs w:val="24"/>
          <w:lang w:val="en-US"/>
        </w:rPr>
      </w:pPr>
      <w:r w:rsidRPr="008839C1">
        <w:rPr>
          <w:szCs w:val="24"/>
          <w:lang w:val="en-US"/>
        </w:rPr>
        <w:t>For the suburban zone there are 996 base-station sites/2 988 cells so that total number of UEs is 6 </w:t>
      </w:r>
      <w:r w:rsidR="006D0576">
        <w:rPr>
          <w:szCs w:val="24"/>
          <w:lang w:val="en-US"/>
        </w:rPr>
        <w:sym w:font="Symbol" w:char="F0B4"/>
      </w:r>
      <w:r w:rsidR="006D0576">
        <w:rPr>
          <w:szCs w:val="24"/>
          <w:lang w:val="en-US"/>
        </w:rPr>
        <w:t> </w:t>
      </w:r>
      <w:r w:rsidRPr="008839C1">
        <w:rPr>
          <w:szCs w:val="24"/>
          <w:lang w:val="en-US"/>
        </w:rPr>
        <w:t>2 988 = 17 928. Again, however, 70% of these are assumed to be indoors contributing no interference. So in this case the number of interfering UEs is N</w:t>
      </w:r>
      <w:r w:rsidRPr="008839C1">
        <w:rPr>
          <w:szCs w:val="24"/>
          <w:vertAlign w:val="subscript"/>
          <w:lang w:val="en-US"/>
        </w:rPr>
        <w:t>UE</w:t>
      </w:r>
      <w:r w:rsidRPr="008839C1">
        <w:rPr>
          <w:szCs w:val="24"/>
          <w:lang w:val="en-US"/>
        </w:rPr>
        <w:t xml:space="preserve"> = 0.3 </w:t>
      </w:r>
      <w:r w:rsidR="006D0576">
        <w:rPr>
          <w:szCs w:val="24"/>
          <w:lang w:val="en-US"/>
        </w:rPr>
        <w:sym w:font="Symbol" w:char="F0B4"/>
      </w:r>
      <w:r w:rsidRPr="008839C1">
        <w:rPr>
          <w:szCs w:val="24"/>
          <w:lang w:val="en-US"/>
        </w:rPr>
        <w:t xml:space="preserve"> 17 928 = 5 378.</w:t>
      </w:r>
    </w:p>
    <w:p w:rsidR="00071226" w:rsidRDefault="00071226" w:rsidP="00D86C62">
      <w:pPr>
        <w:rPr>
          <w:szCs w:val="24"/>
          <w:lang w:val="en-US"/>
        </w:rPr>
      </w:pPr>
      <w:r w:rsidRPr="008839C1">
        <w:rPr>
          <w:szCs w:val="24"/>
          <w:lang w:val="en-US"/>
        </w:rPr>
        <w:lastRenderedPageBreak/>
        <w:t>For rural zone there are 216 base-station sites/648 cells so that total number of UEs is 6</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648 = 3 888.</w:t>
      </w:r>
      <w:r w:rsidR="00BF1B1C">
        <w:rPr>
          <w:szCs w:val="24"/>
          <w:lang w:val="en-US"/>
        </w:rPr>
        <w:t xml:space="preserve"> </w:t>
      </w:r>
      <w:r w:rsidRPr="008839C1">
        <w:rPr>
          <w:szCs w:val="24"/>
          <w:lang w:val="en-US"/>
        </w:rPr>
        <w:t>However, 50% of these are assumed to be indoors contributing no interference.</w:t>
      </w:r>
      <w:r w:rsidR="00BF1B1C">
        <w:rPr>
          <w:szCs w:val="24"/>
          <w:lang w:val="en-US"/>
        </w:rPr>
        <w:t xml:space="preserve"> </w:t>
      </w:r>
      <w:r w:rsidRPr="008839C1">
        <w:rPr>
          <w:szCs w:val="24"/>
          <w:lang w:val="en-US"/>
        </w:rPr>
        <w:t>So in this case the number of interfering UEs is N</w:t>
      </w:r>
      <w:r w:rsidRPr="008839C1">
        <w:rPr>
          <w:szCs w:val="24"/>
          <w:vertAlign w:val="subscript"/>
          <w:lang w:val="en-US"/>
        </w:rPr>
        <w:t>UE</w:t>
      </w:r>
      <w:r w:rsidRPr="008839C1">
        <w:rPr>
          <w:szCs w:val="24"/>
          <w:lang w:val="en-US"/>
        </w:rPr>
        <w:t xml:space="preserve"> = 0.5 </w:t>
      </w:r>
      <w:r w:rsidR="00D86C62">
        <w:rPr>
          <w:szCs w:val="24"/>
          <w:lang w:val="en-US"/>
        </w:rPr>
        <w:sym w:font="Symbol" w:char="F0B4"/>
      </w:r>
      <w:r w:rsidRPr="008839C1">
        <w:rPr>
          <w:szCs w:val="24"/>
          <w:lang w:val="en-US"/>
        </w:rPr>
        <w:t xml:space="preserve"> 3 888 = 1 944.</w:t>
      </w:r>
    </w:p>
    <w:p w:rsidR="00D86C62" w:rsidRPr="008839C1" w:rsidRDefault="00D86C62" w:rsidP="00D86C62">
      <w:pPr>
        <w:pStyle w:val="Headingb"/>
        <w:rPr>
          <w:lang w:val="en-US"/>
        </w:rPr>
      </w:pPr>
      <w:r w:rsidRPr="008839C1">
        <w:rPr>
          <w:lang w:val="en-US"/>
        </w:rPr>
        <w:t>Step 1</w:t>
      </w:r>
      <w:r>
        <w:rPr>
          <w:lang w:val="en-US"/>
        </w:rPr>
        <w:t>4</w:t>
      </w:r>
    </w:p>
    <w:p w:rsidR="00071226" w:rsidRPr="008839C1" w:rsidRDefault="00071226" w:rsidP="00C309C4">
      <w:pPr>
        <w:rPr>
          <w:szCs w:val="24"/>
          <w:lang w:val="en-US"/>
        </w:rPr>
      </w:pPr>
      <w:r w:rsidRPr="008839C1">
        <w:rPr>
          <w:szCs w:val="24"/>
          <w:lang w:val="en-US"/>
        </w:rPr>
        <w:t xml:space="preserve">Using the urban/suburban/rural (single) UE transmit power CDFs from Step 12 and the number of simultaneously interfering UEs per zone from Step 13, perform another set of Monte Carlo trials to get the distribution and mean values of the </w:t>
      </w:r>
      <w:r w:rsidRPr="00D25D4F">
        <w:rPr>
          <w:iCs/>
          <w:szCs w:val="24"/>
          <w:lang w:val="en-US"/>
        </w:rPr>
        <w:t>aggregate</w:t>
      </w:r>
      <w:r w:rsidRPr="008839C1">
        <w:rPr>
          <w:szCs w:val="24"/>
          <w:lang w:val="en-US"/>
        </w:rPr>
        <w:t xml:space="preserve"> UE power per zone. This involves performing a large number of trials (N trials) for each zone and for the nth trial:</w:t>
      </w:r>
    </w:p>
    <w:p w:rsidR="00071226" w:rsidRPr="008839C1" w:rsidRDefault="00071226" w:rsidP="00D86C62">
      <w:pPr>
        <w:pStyle w:val="enumlev1"/>
        <w:rPr>
          <w:lang w:val="en-US"/>
        </w:rPr>
      </w:pPr>
      <w:r w:rsidRPr="008839C1">
        <w:rPr>
          <w:lang w:val="en-US"/>
        </w:rPr>
        <w:t>a)</w:t>
      </w:r>
      <w:r w:rsidRPr="008839C1">
        <w:rPr>
          <w:lang w:val="en-US"/>
        </w:rPr>
        <w:tab/>
        <w:t>generate N</w:t>
      </w:r>
      <w:r w:rsidRPr="008839C1">
        <w:rPr>
          <w:vertAlign w:val="subscript"/>
          <w:lang w:val="en-US"/>
        </w:rPr>
        <w:t>UE</w:t>
      </w:r>
      <w:r w:rsidRPr="008839C1">
        <w:rPr>
          <w:lang w:val="en-US"/>
        </w:rPr>
        <w:t xml:space="preserve"> random samples of UE transmit power using the appropriate CDF from Step</w:t>
      </w:r>
      <w:r w:rsidR="00D86C62">
        <w:rPr>
          <w:lang w:val="en-US"/>
        </w:rPr>
        <w:t> </w:t>
      </w:r>
      <w:r w:rsidRPr="008839C1">
        <w:rPr>
          <w:lang w:val="en-US"/>
        </w:rPr>
        <w:t xml:space="preserve">12 (e.g. for urban zone, generate 480 samples of random UE transmit power using the urban CDF in </w:t>
      </w:r>
      <w:r w:rsidR="00D86C62" w:rsidRPr="00D86C62">
        <w:rPr>
          <w:lang w:val="en-US"/>
        </w:rPr>
        <w:t>Fig.</w:t>
      </w:r>
      <w:r w:rsidRPr="008839C1">
        <w:rPr>
          <w:lang w:val="en-US"/>
        </w:rPr>
        <w:t xml:space="preserve"> A9);</w:t>
      </w:r>
    </w:p>
    <w:p w:rsidR="00071226" w:rsidRPr="008839C1" w:rsidRDefault="00071226" w:rsidP="00071226">
      <w:pPr>
        <w:pStyle w:val="enumlev1"/>
        <w:rPr>
          <w:lang w:val="en-US"/>
        </w:rPr>
      </w:pPr>
      <w:r w:rsidRPr="008839C1">
        <w:rPr>
          <w:lang w:val="en-US"/>
        </w:rPr>
        <w:t>b)</w:t>
      </w:r>
      <w:r w:rsidRPr="008839C1">
        <w:rPr>
          <w:lang w:val="en-US"/>
        </w:rPr>
        <w:tab/>
        <w:t>convert the sample UE transmit power values from dBm to mW; sum them to get the aggregate power (in mW); then convert back to dBm to get the aggregate power in dBm;</w:t>
      </w:r>
    </w:p>
    <w:p w:rsidR="00071226" w:rsidRPr="008839C1" w:rsidRDefault="00071226" w:rsidP="00071226">
      <w:pPr>
        <w:pStyle w:val="enumlev1"/>
        <w:rPr>
          <w:lang w:val="en-US"/>
        </w:rPr>
      </w:pPr>
      <w:r w:rsidRPr="008839C1">
        <w:rPr>
          <w:lang w:val="en-US"/>
        </w:rPr>
        <w:t>c)</w:t>
      </w:r>
      <w:r w:rsidRPr="008839C1">
        <w:rPr>
          <w:lang w:val="en-US"/>
        </w:rPr>
        <w:tab/>
        <w:t>repeat steps a and b a large number of times (e.g. N = 100 000 trials) to get N sample values of the aggregate power (i.e. a vector V containing N sample values of aggregate power);</w:t>
      </w:r>
    </w:p>
    <w:p w:rsidR="00071226" w:rsidRPr="008839C1" w:rsidRDefault="00071226" w:rsidP="00071226">
      <w:pPr>
        <w:pStyle w:val="enumlev1"/>
        <w:rPr>
          <w:lang w:val="en-US"/>
        </w:rPr>
      </w:pPr>
      <w:r w:rsidRPr="008839C1">
        <w:rPr>
          <w:lang w:val="en-US"/>
        </w:rPr>
        <w:t>d)</w:t>
      </w:r>
      <w:r w:rsidRPr="008839C1">
        <w:rPr>
          <w:lang w:val="en-US"/>
        </w:rPr>
        <w:tab/>
        <w:t>determine the aggregate power statistics using the above agg power vector (V).</w:t>
      </w:r>
    </w:p>
    <w:p w:rsidR="00071226" w:rsidRPr="008839C1" w:rsidRDefault="00071226" w:rsidP="00D86C62">
      <w:pPr>
        <w:rPr>
          <w:szCs w:val="24"/>
          <w:lang w:val="en-US"/>
        </w:rPr>
      </w:pPr>
      <w:r w:rsidRPr="008839C1">
        <w:rPr>
          <w:szCs w:val="24"/>
          <w:lang w:val="en-US"/>
        </w:rPr>
        <w:t xml:space="preserve">This results in the following statistics for the </w:t>
      </w:r>
      <w:r w:rsidR="00D86C62">
        <w:rPr>
          <w:szCs w:val="24"/>
          <w:lang w:val="en-US"/>
        </w:rPr>
        <w:t>three</w:t>
      </w:r>
      <w:r w:rsidRPr="008839C1">
        <w:rPr>
          <w:szCs w:val="24"/>
          <w:lang w:val="en-US"/>
        </w:rPr>
        <w:t xml:space="preserve"> zones:</w:t>
      </w:r>
    </w:p>
    <w:p w:rsidR="00071226" w:rsidRDefault="00071226" w:rsidP="00071226">
      <w:pPr>
        <w:rPr>
          <w:szCs w:val="24"/>
        </w:rPr>
      </w:pPr>
      <w:r>
        <w:rPr>
          <w:noProof/>
          <w:lang w:val="en-US" w:eastAsia="zh-CN"/>
        </w:rPr>
        <w:drawing>
          <wp:inline distT="0" distB="0" distL="0" distR="0" wp14:anchorId="060B9FB0" wp14:editId="06F9E627">
            <wp:extent cx="6124575" cy="1381995"/>
            <wp:effectExtent l="19050" t="19050" r="9525" b="279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3413" cy="1381733"/>
                    </a:xfrm>
                    <a:prstGeom prst="rect">
                      <a:avLst/>
                    </a:prstGeom>
                    <a:noFill/>
                    <a:ln w="9525" cmpd="sng">
                      <a:solidFill>
                        <a:srgbClr val="000000"/>
                      </a:solidFill>
                      <a:miter lim="800000"/>
                      <a:headEnd/>
                      <a:tailEnd/>
                    </a:ln>
                    <a:effectLst/>
                  </pic:spPr>
                </pic:pic>
              </a:graphicData>
            </a:graphic>
          </wp:inline>
        </w:drawing>
      </w:r>
    </w:p>
    <w:p w:rsidR="00071226" w:rsidRPr="008839C1" w:rsidRDefault="00071226" w:rsidP="00071226">
      <w:pPr>
        <w:spacing w:before="240"/>
        <w:rPr>
          <w:szCs w:val="24"/>
          <w:lang w:val="en-US"/>
        </w:rPr>
      </w:pPr>
      <w:r w:rsidRPr="008839C1">
        <w:rPr>
          <w:szCs w:val="24"/>
          <w:lang w:val="en-US"/>
        </w:rPr>
        <w:t xml:space="preserve">Note that the aggregate power distribution is very narrow (looking at standard deviation values and min/max values). This is due to the “law of large numbers” effect. Even though the power distribution of a single UE can have a large variance (i.e. –40 to +23 dBm), the aggregate power distribution of a large number of UEs has a relatively small variance. So in the simulations, we assume the mean aggregate power values above as the effective UE power per zone values. </w:t>
      </w:r>
    </w:p>
    <w:p w:rsidR="00071226" w:rsidRPr="008839C1" w:rsidRDefault="00071226" w:rsidP="00071226">
      <w:pPr>
        <w:rPr>
          <w:lang w:val="en-US"/>
        </w:rPr>
      </w:pPr>
    </w:p>
    <w:p w:rsidR="00071226" w:rsidRPr="008839C1" w:rsidRDefault="00071226" w:rsidP="00071226">
      <w:pPr>
        <w:overflowPunct/>
        <w:autoSpaceDE/>
        <w:autoSpaceDN/>
        <w:adjustRightInd/>
        <w:spacing w:before="0" w:after="200" w:line="276" w:lineRule="auto"/>
        <w:textAlignment w:val="auto"/>
        <w:rPr>
          <w:lang w:val="en-US"/>
        </w:rPr>
      </w:pPr>
      <w:r w:rsidRPr="008839C1">
        <w:rPr>
          <w:lang w:val="en-US"/>
        </w:rPr>
        <w:br w:type="page"/>
      </w:r>
    </w:p>
    <w:p w:rsidR="00071226" w:rsidRPr="00C309C4" w:rsidRDefault="00D86C62" w:rsidP="00C01F9D">
      <w:pPr>
        <w:pStyle w:val="AnnexNoTitle"/>
        <w:rPr>
          <w:lang w:val="en-US"/>
        </w:rPr>
      </w:pPr>
      <w:r w:rsidRPr="00D86C62">
        <w:rPr>
          <w:lang w:val="en-US"/>
        </w:rPr>
        <w:lastRenderedPageBreak/>
        <w:t>Annex</w:t>
      </w:r>
      <w:r w:rsidR="00071226" w:rsidRPr="00C309C4">
        <w:rPr>
          <w:lang w:val="en-US"/>
        </w:rPr>
        <w:t xml:space="preserve"> B</w:t>
      </w:r>
      <w:r>
        <w:rPr>
          <w:lang w:val="en-US"/>
        </w:rPr>
        <w:br/>
      </w:r>
      <w:r>
        <w:rPr>
          <w:lang w:val="en-US"/>
        </w:rPr>
        <w:br/>
      </w:r>
      <w:r w:rsidR="00071226" w:rsidRPr="00C309C4">
        <w:rPr>
          <w:lang w:val="en-US"/>
        </w:rPr>
        <w:t>Aggregate LTE base-station power for cities</w:t>
      </w:r>
      <w:r w:rsidR="00C01F9D">
        <w:rPr>
          <w:lang w:val="en-US"/>
        </w:rPr>
        <w:br/>
      </w:r>
      <w:r w:rsidR="00C01F9D">
        <w:rPr>
          <w:lang w:val="en-US"/>
        </w:rPr>
        <w:br/>
      </w:r>
      <w:bookmarkStart w:id="24" w:name="_Toc362524747"/>
      <w:r w:rsidR="00C01F9D" w:rsidRPr="00C309C4">
        <w:rPr>
          <w:lang w:val="en-US"/>
        </w:rPr>
        <w:t>Method for calculating aggregate LTE base-station</w:t>
      </w:r>
      <w:r w:rsidR="00C01F9D" w:rsidRPr="00C309C4" w:rsidDel="003A784E">
        <w:rPr>
          <w:lang w:val="en-US"/>
        </w:rPr>
        <w:t xml:space="preserve"> </w:t>
      </w:r>
      <w:r w:rsidR="00C01F9D" w:rsidRPr="00C309C4">
        <w:rPr>
          <w:lang w:val="en-US"/>
        </w:rPr>
        <w:t>power</w:t>
      </w:r>
      <w:r w:rsidR="00C01F9D">
        <w:rPr>
          <w:lang w:val="en-US"/>
        </w:rPr>
        <w:br/>
      </w:r>
      <w:r w:rsidR="00C01F9D" w:rsidRPr="00C309C4">
        <w:rPr>
          <w:lang w:val="en-US"/>
        </w:rPr>
        <w:t>for worldwide cities</w:t>
      </w:r>
      <w:bookmarkEnd w:id="24"/>
    </w:p>
    <w:p w:rsidR="00071226" w:rsidRPr="008839C1" w:rsidRDefault="00071226" w:rsidP="00D25D4F">
      <w:pPr>
        <w:rPr>
          <w:szCs w:val="24"/>
          <w:lang w:val="en-US"/>
        </w:rPr>
      </w:pPr>
      <w:r w:rsidRPr="008839C1">
        <w:rPr>
          <w:szCs w:val="24"/>
          <w:lang w:val="en-US"/>
        </w:rPr>
        <w:t xml:space="preserve">This </w:t>
      </w:r>
      <w:r w:rsidR="00C01F9D" w:rsidRPr="00C01F9D">
        <w:rPr>
          <w:szCs w:val="24"/>
          <w:lang w:val="en-US"/>
        </w:rPr>
        <w:t>Annex</w:t>
      </w:r>
      <w:r w:rsidRPr="008839C1">
        <w:rPr>
          <w:szCs w:val="24"/>
          <w:lang w:val="en-US"/>
        </w:rPr>
        <w:t xml:space="preserve"> describes the methodology used to compute aggregate LTE base-station power for the urban/suburban/rural zones used in the simulations.</w:t>
      </w:r>
      <w:r w:rsidR="00BF1B1C">
        <w:rPr>
          <w:szCs w:val="24"/>
          <w:lang w:val="en-US"/>
        </w:rPr>
        <w:t xml:space="preserve"> </w:t>
      </w:r>
      <w:r w:rsidRPr="008839C1">
        <w:rPr>
          <w:szCs w:val="24"/>
          <w:lang w:val="en-US"/>
        </w:rPr>
        <w:t xml:space="preserve">For each city, </w:t>
      </w:r>
      <w:r w:rsidR="00D25D4F">
        <w:rPr>
          <w:szCs w:val="24"/>
          <w:lang w:val="en-US"/>
        </w:rPr>
        <w:t>three</w:t>
      </w:r>
      <w:r w:rsidRPr="008839C1">
        <w:rPr>
          <w:szCs w:val="24"/>
          <w:lang w:val="en-US"/>
        </w:rPr>
        <w:t xml:space="preserve"> “effective” base-stations are modelled in the simulation – representing the </w:t>
      </w:r>
      <w:r w:rsidR="00C01F9D">
        <w:rPr>
          <w:szCs w:val="24"/>
          <w:lang w:val="en-US"/>
        </w:rPr>
        <w:t>three</w:t>
      </w:r>
      <w:r w:rsidRPr="008839C1">
        <w:rPr>
          <w:szCs w:val="24"/>
          <w:lang w:val="en-US"/>
        </w:rPr>
        <w:t xml:space="preserve"> city zones (urban/suburban/rural) – and are assumed to be co-located at the city centre. It is necessary to model </w:t>
      </w:r>
      <w:r w:rsidR="00C01F9D">
        <w:rPr>
          <w:szCs w:val="24"/>
          <w:lang w:val="en-US"/>
        </w:rPr>
        <w:t>three</w:t>
      </w:r>
      <w:r w:rsidRPr="008839C1">
        <w:rPr>
          <w:szCs w:val="24"/>
          <w:lang w:val="en-US"/>
        </w:rPr>
        <w:t xml:space="preserve"> effective base-stations per city since the base-stations in each zone have different sector antenna gains and downtilt angles.</w:t>
      </w:r>
      <w:r w:rsidR="00BF1B1C">
        <w:rPr>
          <w:szCs w:val="24"/>
          <w:lang w:val="en-US"/>
        </w:rPr>
        <w:t xml:space="preserve"> </w:t>
      </w:r>
      <w:r w:rsidRPr="008839C1">
        <w:rPr>
          <w:szCs w:val="24"/>
          <w:lang w:val="en-US"/>
        </w:rPr>
        <w:t>Specifically, urban base-stations are assumed to have a sector antenna gain of 16 dBi with a 10°</w:t>
      </w:r>
      <w:r w:rsidR="00C01F9D">
        <w:rPr>
          <w:szCs w:val="24"/>
          <w:lang w:val="en-US"/>
        </w:rPr>
        <w:t> </w:t>
      </w:r>
      <w:r w:rsidRPr="008839C1">
        <w:rPr>
          <w:szCs w:val="24"/>
          <w:lang w:val="en-US"/>
        </w:rPr>
        <w:t>downtilt; suburban base-stations are assumed to have a sector antenna gain of 16 dBi with a 6°</w:t>
      </w:r>
      <w:r w:rsidR="00C01F9D">
        <w:rPr>
          <w:szCs w:val="24"/>
          <w:lang w:val="en-US"/>
        </w:rPr>
        <w:t> </w:t>
      </w:r>
      <w:r w:rsidRPr="008839C1">
        <w:rPr>
          <w:szCs w:val="24"/>
          <w:lang w:val="en-US"/>
        </w:rPr>
        <w:t>downtilt; and rural base-stations are assumed to have a sector antenna gain of 18 dBi with a 3°</w:t>
      </w:r>
      <w:r w:rsidR="00C01F9D">
        <w:rPr>
          <w:szCs w:val="24"/>
          <w:lang w:val="en-US"/>
        </w:rPr>
        <w:t> </w:t>
      </w:r>
      <w:r w:rsidRPr="008839C1">
        <w:rPr>
          <w:szCs w:val="24"/>
          <w:lang w:val="en-US"/>
        </w:rPr>
        <w:t xml:space="preserve">downtilt. </w:t>
      </w:r>
    </w:p>
    <w:p w:rsidR="00071226" w:rsidRPr="008839C1" w:rsidRDefault="00071226" w:rsidP="00071226">
      <w:pPr>
        <w:rPr>
          <w:szCs w:val="24"/>
          <w:lang w:val="en-US"/>
        </w:rPr>
      </w:pPr>
      <w:r w:rsidRPr="008839C1">
        <w:rPr>
          <w:szCs w:val="24"/>
          <w:lang w:val="en-US"/>
        </w:rPr>
        <w:t>Therefore, for each zone, it is necessary to determine the net effective power of the effective base-station representing that zone.</w:t>
      </w:r>
      <w:r w:rsidR="00BF1B1C">
        <w:rPr>
          <w:szCs w:val="24"/>
          <w:lang w:val="en-US"/>
        </w:rPr>
        <w:t xml:space="preserve"> </w:t>
      </w:r>
      <w:r w:rsidRPr="008839C1">
        <w:rPr>
          <w:szCs w:val="24"/>
          <w:lang w:val="en-US"/>
        </w:rPr>
        <w:t>As in the case of the UEs, simulations have been performed that demonstrate that using this effective base-station approach yields essentially the same interference results into the satellite receiver as modelling each individual base-station site in the LTE deployment pattern.</w:t>
      </w:r>
      <w:r w:rsidR="00BF1B1C">
        <w:rPr>
          <w:szCs w:val="24"/>
          <w:lang w:val="en-US"/>
        </w:rPr>
        <w:t xml:space="preserve"> </w:t>
      </w:r>
      <w:r w:rsidRPr="008839C1">
        <w:rPr>
          <w:szCs w:val="24"/>
          <w:lang w:val="en-US"/>
        </w:rPr>
        <w:t xml:space="preserve">Thus, using this effective base-station approach is a valid assumption for the purpose of calculating aggregate interference into satellite receivers while having the advantage of significantly reducing simulation time. </w:t>
      </w:r>
    </w:p>
    <w:p w:rsidR="00071226" w:rsidRPr="008839C1" w:rsidRDefault="00071226" w:rsidP="00071226">
      <w:pPr>
        <w:rPr>
          <w:szCs w:val="24"/>
          <w:lang w:val="en-US"/>
        </w:rPr>
      </w:pPr>
      <w:r w:rsidRPr="008839C1">
        <w:rPr>
          <w:szCs w:val="24"/>
          <w:lang w:val="en-US"/>
        </w:rPr>
        <w:t xml:space="preserve">To determine the net power for the effective base-station, we again refer to the LTE deployment pattern shown in </w:t>
      </w:r>
      <w:r w:rsidR="00C01F9D" w:rsidRPr="00C01F9D">
        <w:rPr>
          <w:szCs w:val="24"/>
          <w:lang w:val="en-US"/>
        </w:rPr>
        <w:t>Fig.</w:t>
      </w:r>
      <w:r w:rsidRPr="008839C1">
        <w:rPr>
          <w:szCs w:val="24"/>
          <w:lang w:val="en-US"/>
        </w:rPr>
        <w:t xml:space="preserve"> A1 and perform the following steps for each zone.</w:t>
      </w:r>
    </w:p>
    <w:p w:rsidR="00071226" w:rsidRPr="008839C1" w:rsidRDefault="00071226" w:rsidP="00071226">
      <w:pPr>
        <w:pStyle w:val="Headingb"/>
        <w:rPr>
          <w:lang w:val="en-US"/>
        </w:rPr>
      </w:pPr>
      <w:r w:rsidRPr="008839C1">
        <w:rPr>
          <w:lang w:val="en-US"/>
        </w:rPr>
        <w:t>Step 1</w:t>
      </w:r>
    </w:p>
    <w:p w:rsidR="00071226" w:rsidRPr="008839C1" w:rsidRDefault="00071226" w:rsidP="00071226">
      <w:pPr>
        <w:rPr>
          <w:szCs w:val="24"/>
          <w:lang w:val="en-US"/>
        </w:rPr>
      </w:pPr>
      <w:r w:rsidRPr="008839C1">
        <w:rPr>
          <w:szCs w:val="24"/>
          <w:lang w:val="en-US"/>
        </w:rPr>
        <w:t>Determine the number of interfering base-station sites per zone.</w:t>
      </w:r>
    </w:p>
    <w:p w:rsidR="00071226" w:rsidRPr="008839C1" w:rsidRDefault="00071226" w:rsidP="00D86C62">
      <w:pPr>
        <w:rPr>
          <w:szCs w:val="24"/>
          <w:lang w:val="en-US"/>
        </w:rPr>
      </w:pPr>
      <w:r w:rsidRPr="008839C1">
        <w:rPr>
          <w:szCs w:val="24"/>
          <w:lang w:val="en-US"/>
        </w:rPr>
        <w:t xml:space="preserve">Referring to </w:t>
      </w:r>
      <w:r w:rsidR="00C01F9D" w:rsidRPr="00C01F9D">
        <w:rPr>
          <w:szCs w:val="24"/>
          <w:lang w:val="en-US"/>
        </w:rPr>
        <w:t>Fig.</w:t>
      </w:r>
      <w:r w:rsidRPr="008839C1">
        <w:rPr>
          <w:szCs w:val="24"/>
          <w:lang w:val="en-US"/>
        </w:rPr>
        <w:t xml:space="preserve"> A1, there are 89 base-station sites in the urban zone.</w:t>
      </w:r>
      <w:r w:rsidR="00BF1B1C">
        <w:rPr>
          <w:szCs w:val="24"/>
          <w:lang w:val="en-US"/>
        </w:rPr>
        <w:t xml:space="preserve"> </w:t>
      </w:r>
      <w:r w:rsidRPr="008839C1">
        <w:rPr>
          <w:szCs w:val="24"/>
          <w:lang w:val="en-US"/>
        </w:rPr>
        <w:t xml:space="preserve">However, it is assumed in the analysis that 50% of the base-station site antennas (20 metres height) are below the urban rooftop level and we make the conservative assumption that </w:t>
      </w:r>
      <w:r w:rsidRPr="008839C1">
        <w:rPr>
          <w:i/>
          <w:szCs w:val="24"/>
          <w:lang w:val="en-US"/>
        </w:rPr>
        <w:t>none</w:t>
      </w:r>
      <w:r w:rsidRPr="008839C1">
        <w:rPr>
          <w:szCs w:val="24"/>
          <w:lang w:val="en-US"/>
        </w:rPr>
        <w:t xml:space="preserve"> of the base-station sites below rooftop level contribute to the interference.</w:t>
      </w:r>
      <w:r w:rsidR="00BF1B1C">
        <w:rPr>
          <w:szCs w:val="24"/>
          <w:lang w:val="en-US"/>
        </w:rPr>
        <w:t xml:space="preserve"> </w:t>
      </w:r>
      <w:r w:rsidRPr="008839C1">
        <w:rPr>
          <w:szCs w:val="24"/>
          <w:lang w:val="en-US"/>
        </w:rPr>
        <w:t>Therefore, for the urban zone, we assume the number of interfering base-station sites is N</w:t>
      </w:r>
      <w:r w:rsidRPr="008839C1">
        <w:rPr>
          <w:szCs w:val="24"/>
          <w:vertAlign w:val="subscript"/>
          <w:lang w:val="en-US"/>
        </w:rPr>
        <w:t>BS</w:t>
      </w:r>
      <w:r w:rsidRPr="008839C1">
        <w:rPr>
          <w:szCs w:val="24"/>
          <w:lang w:val="en-US"/>
        </w:rPr>
        <w:t xml:space="preserve"> = 0.5 </w:t>
      </w:r>
      <w:r w:rsidR="00D86C62">
        <w:rPr>
          <w:szCs w:val="24"/>
          <w:lang w:val="en-US"/>
        </w:rPr>
        <w:sym w:font="Symbol" w:char="F0B4"/>
      </w:r>
      <w:r w:rsidRPr="008839C1">
        <w:rPr>
          <w:szCs w:val="24"/>
          <w:lang w:val="en-US"/>
        </w:rPr>
        <w:t xml:space="preserve"> 89 = 44 base-station sites.</w:t>
      </w:r>
    </w:p>
    <w:p w:rsidR="00071226" w:rsidRPr="008839C1" w:rsidRDefault="00071226" w:rsidP="00071226">
      <w:pPr>
        <w:rPr>
          <w:szCs w:val="24"/>
          <w:lang w:val="en-US"/>
        </w:rPr>
      </w:pPr>
      <w:r w:rsidRPr="008839C1">
        <w:rPr>
          <w:szCs w:val="24"/>
          <w:lang w:val="en-US"/>
        </w:rPr>
        <w:t>There are 996 base-station sites in the suburban zone and the antennas of all these sites (25 metres height) are assumed to be above suburban rooftop level, so the number of interfering base-station sites in this case is N</w:t>
      </w:r>
      <w:r w:rsidRPr="008839C1">
        <w:rPr>
          <w:szCs w:val="24"/>
          <w:vertAlign w:val="subscript"/>
          <w:lang w:val="en-US"/>
        </w:rPr>
        <w:t>BS</w:t>
      </w:r>
      <w:r w:rsidRPr="008839C1">
        <w:rPr>
          <w:szCs w:val="24"/>
          <w:lang w:val="en-US"/>
        </w:rPr>
        <w:t xml:space="preserve"> = 996 base-station sites.</w:t>
      </w:r>
    </w:p>
    <w:p w:rsidR="00071226" w:rsidRPr="008839C1" w:rsidRDefault="00071226" w:rsidP="00071226">
      <w:pPr>
        <w:rPr>
          <w:szCs w:val="24"/>
          <w:lang w:val="en-US"/>
        </w:rPr>
      </w:pPr>
      <w:r w:rsidRPr="008839C1">
        <w:rPr>
          <w:szCs w:val="24"/>
          <w:lang w:val="en-US"/>
        </w:rPr>
        <w:t>There are 216 base-station sites in the rural zone and the antennas of all these sites (30 metres height) are assumed to be above rooftop level, so the number of interfering base-station sites for rural case is N</w:t>
      </w:r>
      <w:r w:rsidRPr="008839C1">
        <w:rPr>
          <w:szCs w:val="24"/>
          <w:vertAlign w:val="subscript"/>
          <w:lang w:val="en-US"/>
        </w:rPr>
        <w:t>BS</w:t>
      </w:r>
      <w:r w:rsidRPr="008839C1">
        <w:rPr>
          <w:szCs w:val="24"/>
          <w:lang w:val="en-US"/>
        </w:rPr>
        <w:t xml:space="preserve"> = 216 base-station sites.</w:t>
      </w:r>
    </w:p>
    <w:p w:rsidR="00071226" w:rsidRPr="008839C1" w:rsidRDefault="00071226" w:rsidP="00071226">
      <w:pPr>
        <w:pStyle w:val="Headingb"/>
        <w:rPr>
          <w:lang w:val="en-US"/>
        </w:rPr>
      </w:pPr>
      <w:r w:rsidRPr="008839C1">
        <w:rPr>
          <w:lang w:val="en-US"/>
        </w:rPr>
        <w:t>Step 2</w:t>
      </w:r>
    </w:p>
    <w:p w:rsidR="00071226" w:rsidRPr="008839C1" w:rsidRDefault="00071226" w:rsidP="00C01F9D">
      <w:pPr>
        <w:rPr>
          <w:szCs w:val="24"/>
          <w:lang w:val="en-US"/>
        </w:rPr>
      </w:pPr>
      <w:r w:rsidRPr="008839C1">
        <w:rPr>
          <w:szCs w:val="24"/>
          <w:lang w:val="en-US"/>
        </w:rPr>
        <w:t>Define the probability distribution function (PDF) for base-station transmit power.</w:t>
      </w:r>
      <w:r w:rsidR="00BF1B1C">
        <w:rPr>
          <w:szCs w:val="24"/>
          <w:lang w:val="en-US"/>
        </w:rPr>
        <w:t xml:space="preserve"> </w:t>
      </w:r>
      <w:r w:rsidRPr="008839C1">
        <w:rPr>
          <w:szCs w:val="24"/>
          <w:lang w:val="en-US"/>
        </w:rPr>
        <w:t>It is recognized that LTE base-stations do not operate at maximum power all the time. In the analysis, it is assumed that base-station transmit power is proportional to resource block (RB) loading on the downlink (i.e. if only half of the RBs are active, then the base-station is only operating at half max power).</w:t>
      </w:r>
      <w:r w:rsidR="00BF1B1C">
        <w:rPr>
          <w:szCs w:val="24"/>
          <w:lang w:val="en-US"/>
        </w:rPr>
        <w:t xml:space="preserve"> </w:t>
      </w:r>
      <w:r w:rsidRPr="008839C1">
        <w:rPr>
          <w:szCs w:val="24"/>
          <w:lang w:val="en-US"/>
        </w:rPr>
        <w:t xml:space="preserve">The PDF for the RB loading is shown in </w:t>
      </w:r>
      <w:r w:rsidR="00C01F9D" w:rsidRPr="00C01F9D">
        <w:rPr>
          <w:szCs w:val="24"/>
          <w:lang w:val="en-US"/>
        </w:rPr>
        <w:t>Fig.</w:t>
      </w:r>
      <w:r w:rsidRPr="008839C1">
        <w:rPr>
          <w:szCs w:val="24"/>
          <w:lang w:val="en-US"/>
        </w:rPr>
        <w:t xml:space="preserve"> B1 and is a truncated Gaussian PDF with a mean value of 50% corresponding to base-station transmit power equal to 50% of maximum power. In the simulation, a 10</w:t>
      </w:r>
      <w:r w:rsidR="00C01F9D">
        <w:rPr>
          <w:szCs w:val="24"/>
          <w:lang w:val="en-US"/>
        </w:rPr>
        <w:t> </w:t>
      </w:r>
      <w:r w:rsidRPr="008839C1">
        <w:rPr>
          <w:szCs w:val="24"/>
          <w:lang w:val="en-US"/>
        </w:rPr>
        <w:t>MHz LTE channel bandwidth (50 RBs) with a maximum transmit power of P</w:t>
      </w:r>
      <w:r w:rsidRPr="008839C1">
        <w:rPr>
          <w:szCs w:val="24"/>
          <w:vertAlign w:val="subscript"/>
          <w:lang w:val="en-US"/>
        </w:rPr>
        <w:t>max</w:t>
      </w:r>
      <w:r w:rsidR="00C309C4">
        <w:rPr>
          <w:szCs w:val="24"/>
          <w:lang w:val="en-US"/>
        </w:rPr>
        <w:t> </w:t>
      </w:r>
      <w:r w:rsidRPr="008839C1">
        <w:rPr>
          <w:szCs w:val="24"/>
          <w:lang w:val="en-US"/>
        </w:rPr>
        <w:t>=</w:t>
      </w:r>
      <w:r w:rsidR="00C309C4">
        <w:rPr>
          <w:szCs w:val="24"/>
          <w:lang w:val="en-US"/>
        </w:rPr>
        <w:t> </w:t>
      </w:r>
      <w:r w:rsidRPr="008839C1">
        <w:rPr>
          <w:szCs w:val="24"/>
          <w:lang w:val="en-US"/>
        </w:rPr>
        <w:t>46</w:t>
      </w:r>
      <w:r w:rsidR="00C309C4">
        <w:rPr>
          <w:szCs w:val="24"/>
          <w:lang w:val="en-US"/>
        </w:rPr>
        <w:t> </w:t>
      </w:r>
      <w:r w:rsidRPr="008839C1">
        <w:rPr>
          <w:szCs w:val="24"/>
          <w:lang w:val="en-US"/>
        </w:rPr>
        <w:t xml:space="preserve">dBm (40W) </w:t>
      </w:r>
      <w:r w:rsidRPr="008839C1">
        <w:rPr>
          <w:szCs w:val="24"/>
          <w:lang w:val="en-US"/>
        </w:rPr>
        <w:lastRenderedPageBreak/>
        <w:t xml:space="preserve">is assumed. (Note: this is the power output from the base-station transmitter prior to 3 dB feeder/line loss and prior to the sector antenna input.) </w:t>
      </w:r>
    </w:p>
    <w:p w:rsidR="00071226" w:rsidRPr="008839C1" w:rsidRDefault="00071226" w:rsidP="00C309C4">
      <w:pPr>
        <w:rPr>
          <w:szCs w:val="24"/>
          <w:lang w:val="en-US"/>
        </w:rPr>
      </w:pPr>
      <w:r w:rsidRPr="008839C1">
        <w:rPr>
          <w:szCs w:val="24"/>
          <w:lang w:val="en-US"/>
        </w:rPr>
        <w:t>The PDF is truncated to ensure the RB loading is always between 0 (no loading with 0 W transmit power) and 1 (100% loading with transmit power = max power = 40 W).</w:t>
      </w:r>
      <w:r w:rsidR="00BF1B1C">
        <w:rPr>
          <w:szCs w:val="24"/>
          <w:lang w:val="en-US"/>
        </w:rPr>
        <w:t xml:space="preserve"> </w:t>
      </w:r>
      <w:r w:rsidRPr="008839C1">
        <w:rPr>
          <w:szCs w:val="24"/>
          <w:lang w:val="en-US"/>
        </w:rPr>
        <w:t>Further, the standard deviation of the PDF is chosen equal to 0.266 corresponding to a call blocking probability of 3% (i.e.</w:t>
      </w:r>
      <w:r w:rsidR="00C309C4">
        <w:rPr>
          <w:szCs w:val="24"/>
          <w:lang w:val="en-US"/>
        </w:rPr>
        <w:t> </w:t>
      </w:r>
      <w:r w:rsidRPr="008839C1">
        <w:rPr>
          <w:szCs w:val="24"/>
          <w:lang w:val="en-US"/>
        </w:rPr>
        <w:t>the area under the Gaussian curve above x = 1 is 0.03 implying that there is a 3% chance that a new UE cannot connect to the network because all RBs are already active and base-station is at maximum transmit power).</w:t>
      </w:r>
    </w:p>
    <w:p w:rsidR="00071226" w:rsidRPr="008839C1" w:rsidRDefault="00071226" w:rsidP="00071226">
      <w:pPr>
        <w:pStyle w:val="FigureNo"/>
        <w:rPr>
          <w:lang w:val="en-US"/>
        </w:rPr>
      </w:pPr>
      <w:r w:rsidRPr="008839C1">
        <w:rPr>
          <w:lang w:val="en-US"/>
        </w:rPr>
        <w:t>Figure B1</w:t>
      </w:r>
    </w:p>
    <w:p w:rsidR="00071226" w:rsidRPr="008839C1" w:rsidRDefault="00071226" w:rsidP="00071226">
      <w:pPr>
        <w:pStyle w:val="Figuretitle"/>
        <w:rPr>
          <w:lang w:val="en-US"/>
        </w:rPr>
      </w:pPr>
      <w:r w:rsidRPr="008839C1">
        <w:rPr>
          <w:lang w:val="en-US"/>
        </w:rPr>
        <w:t>Assumed probability distribution of base-station resource block loading/TX power</w:t>
      </w:r>
    </w:p>
    <w:p w:rsidR="00071226" w:rsidRDefault="00071226" w:rsidP="008D3EBE">
      <w:pPr>
        <w:pStyle w:val="Figure"/>
      </w:pPr>
      <w:r>
        <w:rPr>
          <w:noProof/>
          <w:lang w:val="en-US" w:eastAsia="zh-CN"/>
        </w:rPr>
        <w:drawing>
          <wp:inline distT="0" distB="0" distL="0" distR="0" wp14:anchorId="1BC0F4EA" wp14:editId="54806BB4">
            <wp:extent cx="5732780" cy="3077210"/>
            <wp:effectExtent l="0" t="0" r="127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2780" cy="3077210"/>
                    </a:xfrm>
                    <a:prstGeom prst="rect">
                      <a:avLst/>
                    </a:prstGeom>
                    <a:noFill/>
                    <a:ln>
                      <a:noFill/>
                    </a:ln>
                  </pic:spPr>
                </pic:pic>
              </a:graphicData>
            </a:graphic>
          </wp:inline>
        </w:drawing>
      </w:r>
    </w:p>
    <w:p w:rsidR="008D3EBE" w:rsidRDefault="008D3EBE" w:rsidP="008D3EBE">
      <w:pPr>
        <w:spacing w:before="0"/>
      </w:pPr>
    </w:p>
    <w:p w:rsidR="00071226" w:rsidRPr="008839C1" w:rsidRDefault="00071226" w:rsidP="00071226">
      <w:pPr>
        <w:pStyle w:val="Headingb"/>
        <w:rPr>
          <w:lang w:val="en-US"/>
        </w:rPr>
      </w:pPr>
      <w:r w:rsidRPr="008839C1">
        <w:rPr>
          <w:lang w:val="en-US"/>
        </w:rPr>
        <w:t>Step 3</w:t>
      </w:r>
    </w:p>
    <w:p w:rsidR="00071226" w:rsidRPr="008839C1" w:rsidRDefault="00071226" w:rsidP="00071226">
      <w:pPr>
        <w:rPr>
          <w:szCs w:val="24"/>
          <w:lang w:val="en-US"/>
        </w:rPr>
      </w:pPr>
      <w:r w:rsidRPr="008839C1">
        <w:rPr>
          <w:szCs w:val="24"/>
          <w:lang w:val="en-US"/>
        </w:rPr>
        <w:t>Using the PDF in Step 2 and the number of interfering base-station (N</w:t>
      </w:r>
      <w:r w:rsidRPr="008839C1">
        <w:rPr>
          <w:szCs w:val="24"/>
          <w:vertAlign w:val="subscript"/>
          <w:lang w:val="en-US"/>
        </w:rPr>
        <w:t>BS</w:t>
      </w:r>
      <w:r w:rsidRPr="008839C1">
        <w:rPr>
          <w:szCs w:val="24"/>
          <w:lang w:val="en-US"/>
        </w:rPr>
        <w:t>) in Step 1, perform a large number of Monte-Carlo trials (N) to determine the aggregate power for the effective base-station for each zone. Therefore, for the nth trial, perform the following steps:</w:t>
      </w:r>
    </w:p>
    <w:p w:rsidR="00071226" w:rsidRPr="008839C1" w:rsidRDefault="00071226" w:rsidP="00071226">
      <w:pPr>
        <w:pStyle w:val="enumlev1"/>
        <w:rPr>
          <w:lang w:val="en-US"/>
        </w:rPr>
      </w:pPr>
      <w:r w:rsidRPr="008839C1">
        <w:rPr>
          <w:lang w:val="en-US"/>
        </w:rPr>
        <w:t>a)</w:t>
      </w:r>
      <w:r w:rsidRPr="008839C1">
        <w:rPr>
          <w:lang w:val="en-US"/>
        </w:rPr>
        <w:tab/>
        <w:t>generate N</w:t>
      </w:r>
      <w:r w:rsidRPr="008839C1">
        <w:rPr>
          <w:vertAlign w:val="subscript"/>
          <w:lang w:val="en-US"/>
        </w:rPr>
        <w:t>BS</w:t>
      </w:r>
      <w:r w:rsidRPr="008839C1">
        <w:rPr>
          <w:lang w:val="en-US"/>
        </w:rPr>
        <w:t xml:space="preserve"> random samples of RB loading (</w:t>
      </w:r>
      <w:r>
        <w:t>α</w:t>
      </w:r>
      <w:r w:rsidRPr="008839C1">
        <w:rPr>
          <w:lang w:val="en-US"/>
        </w:rPr>
        <w:t>) according to the above truncated Gaussian PDF;</w:t>
      </w:r>
    </w:p>
    <w:p w:rsidR="00071226" w:rsidRPr="008839C1" w:rsidRDefault="00071226" w:rsidP="00071226">
      <w:pPr>
        <w:pStyle w:val="enumlev1"/>
        <w:rPr>
          <w:lang w:val="en-US"/>
        </w:rPr>
      </w:pPr>
      <w:r w:rsidRPr="008839C1">
        <w:rPr>
          <w:lang w:val="en-US"/>
        </w:rPr>
        <w:t>b)</w:t>
      </w:r>
      <w:r w:rsidRPr="008839C1">
        <w:rPr>
          <w:lang w:val="en-US"/>
        </w:rPr>
        <w:tab/>
        <w:t>compute the corresponding values of transmit power (in watts) based on the RB loading values (</w:t>
      </w:r>
      <w:r>
        <w:t>α</w:t>
      </w:r>
      <w:r w:rsidRPr="008839C1">
        <w:rPr>
          <w:lang w:val="en-US"/>
        </w:rPr>
        <w:t>) and the max power (p</w:t>
      </w:r>
      <w:r w:rsidRPr="008839C1">
        <w:rPr>
          <w:vertAlign w:val="subscript"/>
          <w:lang w:val="en-US"/>
        </w:rPr>
        <w:t>max</w:t>
      </w:r>
      <w:r w:rsidRPr="008839C1">
        <w:rPr>
          <w:lang w:val="en-US"/>
        </w:rPr>
        <w:t xml:space="preserve"> = 40W) (i.e. p</w:t>
      </w:r>
      <w:r w:rsidRPr="008839C1">
        <w:rPr>
          <w:vertAlign w:val="subscript"/>
          <w:lang w:val="en-US"/>
        </w:rPr>
        <w:t>t</w:t>
      </w:r>
      <w:r w:rsidRPr="008839C1">
        <w:rPr>
          <w:lang w:val="en-US"/>
        </w:rPr>
        <w:t xml:space="preserve"> = </w:t>
      </w:r>
      <w:r>
        <w:t>α</w:t>
      </w:r>
      <w:r w:rsidRPr="008839C1">
        <w:rPr>
          <w:lang w:val="en-US"/>
        </w:rPr>
        <w:t xml:space="preserve"> p</w:t>
      </w:r>
      <w:r w:rsidRPr="008839C1">
        <w:rPr>
          <w:vertAlign w:val="subscript"/>
          <w:lang w:val="en-US"/>
        </w:rPr>
        <w:t>max</w:t>
      </w:r>
      <w:r w:rsidRPr="008839C1">
        <w:rPr>
          <w:lang w:val="en-US"/>
        </w:rPr>
        <w:t>);</w:t>
      </w:r>
    </w:p>
    <w:p w:rsidR="00071226" w:rsidRPr="008839C1" w:rsidRDefault="00071226" w:rsidP="00071226">
      <w:pPr>
        <w:pStyle w:val="enumlev1"/>
        <w:rPr>
          <w:lang w:val="en-US"/>
        </w:rPr>
      </w:pPr>
      <w:r w:rsidRPr="008839C1">
        <w:rPr>
          <w:lang w:val="en-US"/>
        </w:rPr>
        <w:t>c)</w:t>
      </w:r>
      <w:r w:rsidRPr="008839C1">
        <w:rPr>
          <w:lang w:val="en-US"/>
        </w:rPr>
        <w:tab/>
        <w:t>sum up all the transmit power values in step b (sum in watts); then convert to dBm to get the aggregate transmit power value for the nth trial;</w:t>
      </w:r>
    </w:p>
    <w:p w:rsidR="00071226" w:rsidRPr="008839C1" w:rsidRDefault="00071226" w:rsidP="00C309C4">
      <w:pPr>
        <w:pStyle w:val="enumlev1"/>
        <w:rPr>
          <w:lang w:val="en-US"/>
        </w:rPr>
      </w:pPr>
      <w:r w:rsidRPr="008839C1">
        <w:rPr>
          <w:lang w:val="en-US"/>
        </w:rPr>
        <w:t>d)</w:t>
      </w:r>
      <w:r w:rsidRPr="008839C1">
        <w:rPr>
          <w:lang w:val="en-US"/>
        </w:rPr>
        <w:tab/>
        <w:t>repeat steps a-c for N trials to get an N-element vector (V) of aggregate power values (in dBm).</w:t>
      </w:r>
    </w:p>
    <w:p w:rsidR="00071226" w:rsidRPr="008839C1" w:rsidRDefault="00071226" w:rsidP="008D3EBE">
      <w:pPr>
        <w:pStyle w:val="Headingb"/>
        <w:rPr>
          <w:lang w:val="en-US"/>
        </w:rPr>
      </w:pPr>
      <w:r w:rsidRPr="008839C1">
        <w:rPr>
          <w:lang w:val="en-US"/>
        </w:rPr>
        <w:lastRenderedPageBreak/>
        <w:t>Step 4</w:t>
      </w:r>
    </w:p>
    <w:p w:rsidR="00071226" w:rsidRDefault="00071226" w:rsidP="008D3EBE">
      <w:pPr>
        <w:keepNext/>
        <w:keepLines/>
        <w:rPr>
          <w:szCs w:val="24"/>
          <w:lang w:val="en-US"/>
        </w:rPr>
      </w:pPr>
      <w:r w:rsidRPr="008839C1">
        <w:rPr>
          <w:szCs w:val="24"/>
          <w:lang w:val="en-US"/>
        </w:rPr>
        <w:t>Compute statistics of the aggregate power distribution from vector V.</w:t>
      </w:r>
      <w:r w:rsidR="00BF1B1C">
        <w:rPr>
          <w:szCs w:val="24"/>
          <w:lang w:val="en-US"/>
        </w:rPr>
        <w:t xml:space="preserve"> </w:t>
      </w:r>
      <w:r w:rsidRPr="008839C1">
        <w:rPr>
          <w:szCs w:val="24"/>
          <w:lang w:val="en-US"/>
        </w:rPr>
        <w:t>The results of doing this</w:t>
      </w:r>
      <w:r w:rsidR="008D3EBE">
        <w:rPr>
          <w:szCs w:val="24"/>
          <w:lang w:val="en-US"/>
        </w:rPr>
        <w:t xml:space="preserve"> Monte-Carlo procedure for the three</w:t>
      </w:r>
      <w:r w:rsidRPr="008839C1">
        <w:rPr>
          <w:szCs w:val="24"/>
          <w:lang w:val="en-US"/>
        </w:rPr>
        <w:t xml:space="preserve"> zones are shown below.</w:t>
      </w:r>
    </w:p>
    <w:p w:rsidR="008D3EBE" w:rsidRPr="008839C1" w:rsidRDefault="008D3EBE" w:rsidP="008D3EBE">
      <w:pPr>
        <w:pStyle w:val="Blanc"/>
      </w:pPr>
    </w:p>
    <w:p w:rsidR="00071226" w:rsidRDefault="00071226" w:rsidP="008D3EBE">
      <w:pPr>
        <w:pStyle w:val="Figure"/>
      </w:pPr>
      <w:r>
        <w:rPr>
          <w:noProof/>
          <w:lang w:val="en-US" w:eastAsia="zh-CN"/>
        </w:rPr>
        <w:drawing>
          <wp:inline distT="0" distB="0" distL="0" distR="0" wp14:anchorId="5DB0C928" wp14:editId="6221EB88">
            <wp:extent cx="5947410" cy="1478915"/>
            <wp:effectExtent l="19050" t="19050" r="15240" b="260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7410" cy="1478915"/>
                    </a:xfrm>
                    <a:prstGeom prst="rect">
                      <a:avLst/>
                    </a:prstGeom>
                    <a:noFill/>
                    <a:ln w="9525" cmpd="sng">
                      <a:solidFill>
                        <a:srgbClr val="000000"/>
                      </a:solidFill>
                      <a:miter lim="800000"/>
                      <a:headEnd/>
                      <a:tailEnd/>
                    </a:ln>
                    <a:effectLst/>
                  </pic:spPr>
                </pic:pic>
              </a:graphicData>
            </a:graphic>
          </wp:inline>
        </w:drawing>
      </w:r>
    </w:p>
    <w:p w:rsidR="008D3EBE" w:rsidRDefault="008D3EBE" w:rsidP="008D3EBE">
      <w:pPr>
        <w:rPr>
          <w:lang w:val="en-US"/>
        </w:rPr>
      </w:pPr>
    </w:p>
    <w:p w:rsidR="00071226" w:rsidRPr="008839C1" w:rsidRDefault="00071226" w:rsidP="00071226">
      <w:pPr>
        <w:rPr>
          <w:szCs w:val="24"/>
          <w:lang w:val="en-US"/>
        </w:rPr>
      </w:pPr>
      <w:r w:rsidRPr="008839C1">
        <w:rPr>
          <w:szCs w:val="24"/>
          <w:lang w:val="en-US"/>
        </w:rPr>
        <w:t>Note again that the aggregate power distribution is very narrow (looking at standard deviation values and min/max values).</w:t>
      </w:r>
      <w:r w:rsidR="00BF1B1C">
        <w:rPr>
          <w:szCs w:val="24"/>
          <w:lang w:val="en-US"/>
        </w:rPr>
        <w:t xml:space="preserve"> </w:t>
      </w:r>
      <w:r w:rsidRPr="008839C1">
        <w:rPr>
          <w:szCs w:val="24"/>
          <w:lang w:val="en-US"/>
        </w:rPr>
        <w:t>This is due to the “law of large numbers” effect. Even though the power distribution of a single base-station can have a large variance, the aggregate power distribution of a large number of BSs has a relatively small variance.</w:t>
      </w:r>
      <w:r w:rsidR="00BF1B1C">
        <w:rPr>
          <w:szCs w:val="24"/>
          <w:lang w:val="en-US"/>
        </w:rPr>
        <w:t xml:space="preserve"> </w:t>
      </w:r>
      <w:r w:rsidRPr="008839C1">
        <w:rPr>
          <w:szCs w:val="24"/>
          <w:lang w:val="en-US"/>
        </w:rPr>
        <w:t xml:space="preserve">So in the simulations, we assume the mean aggregate power values above as the effective base-station power per zone values. </w:t>
      </w:r>
    </w:p>
    <w:p w:rsidR="00071226" w:rsidRPr="008839C1" w:rsidRDefault="00071226" w:rsidP="00071226">
      <w:pPr>
        <w:rPr>
          <w:szCs w:val="24"/>
          <w:lang w:val="en-US"/>
        </w:rPr>
      </w:pPr>
      <w:r w:rsidRPr="008839C1">
        <w:rPr>
          <w:szCs w:val="24"/>
          <w:lang w:val="en-US"/>
        </w:rPr>
        <w:t>Also, note that because the mean loading is assumed to be 50%, the aggregate mean values above can be very nearly reproduced using just the mean base-station power (i.e. 20 W) and the number of interfering base-station (N</w:t>
      </w:r>
      <w:r w:rsidRPr="008839C1">
        <w:rPr>
          <w:szCs w:val="24"/>
          <w:vertAlign w:val="subscript"/>
          <w:lang w:val="en-US"/>
        </w:rPr>
        <w:t>BS</w:t>
      </w:r>
      <w:r w:rsidRPr="008839C1">
        <w:rPr>
          <w:szCs w:val="24"/>
          <w:lang w:val="en-US"/>
        </w:rPr>
        <w:t>):</w:t>
      </w:r>
    </w:p>
    <w:p w:rsidR="00071226" w:rsidRPr="008839C1" w:rsidRDefault="00071226" w:rsidP="008D3EBE">
      <w:pPr>
        <w:rPr>
          <w:szCs w:val="24"/>
          <w:lang w:val="en-US"/>
        </w:rPr>
      </w:pPr>
      <w:r w:rsidRPr="008839C1">
        <w:rPr>
          <w:szCs w:val="24"/>
          <w:lang w:val="en-US"/>
        </w:rPr>
        <w:t>For urban:</w:t>
      </w:r>
      <w:r w:rsidR="008D3EBE">
        <w:rPr>
          <w:szCs w:val="24"/>
          <w:lang w:val="en-US"/>
        </w:rPr>
        <w:tab/>
      </w:r>
      <w:r w:rsidR="008D3EBE">
        <w:rPr>
          <w:szCs w:val="24"/>
          <w:lang w:val="en-US"/>
        </w:rPr>
        <w:tab/>
      </w:r>
      <w:r w:rsidRPr="008839C1">
        <w:rPr>
          <w:szCs w:val="24"/>
          <w:lang w:val="en-US"/>
        </w:rPr>
        <w:t>10log(20</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44) + 30 = 59.44 dBm</w:t>
      </w:r>
    </w:p>
    <w:p w:rsidR="00071226" w:rsidRPr="008839C1" w:rsidRDefault="00071226" w:rsidP="008D3EBE">
      <w:pPr>
        <w:rPr>
          <w:szCs w:val="24"/>
          <w:lang w:val="en-US"/>
        </w:rPr>
      </w:pPr>
      <w:r w:rsidRPr="008839C1">
        <w:rPr>
          <w:szCs w:val="24"/>
          <w:lang w:val="en-US"/>
        </w:rPr>
        <w:t>For suburban:</w:t>
      </w:r>
      <w:r w:rsidR="008D3EBE">
        <w:rPr>
          <w:szCs w:val="24"/>
          <w:lang w:val="en-US"/>
        </w:rPr>
        <w:tab/>
      </w:r>
      <w:r w:rsidRPr="008839C1">
        <w:rPr>
          <w:szCs w:val="24"/>
          <w:lang w:val="en-US"/>
        </w:rPr>
        <w:t>10log(20</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996) + 30 = 72.99 dBm</w:t>
      </w:r>
    </w:p>
    <w:p w:rsidR="00071226" w:rsidRPr="008839C1" w:rsidRDefault="00071226" w:rsidP="008D3EBE">
      <w:pPr>
        <w:rPr>
          <w:szCs w:val="24"/>
          <w:lang w:val="en-US"/>
        </w:rPr>
      </w:pPr>
      <w:r w:rsidRPr="008839C1">
        <w:rPr>
          <w:szCs w:val="24"/>
          <w:lang w:val="en-US"/>
        </w:rPr>
        <w:t>For rural</w:t>
      </w:r>
      <w:r w:rsidR="008D3EBE" w:rsidRPr="008839C1">
        <w:rPr>
          <w:szCs w:val="24"/>
          <w:lang w:val="en-US"/>
        </w:rPr>
        <w:t>:</w:t>
      </w:r>
      <w:r w:rsidR="008D3EBE">
        <w:rPr>
          <w:szCs w:val="24"/>
          <w:lang w:val="en-US"/>
        </w:rPr>
        <w:tab/>
      </w:r>
      <w:r w:rsidR="008D3EBE">
        <w:rPr>
          <w:szCs w:val="24"/>
          <w:lang w:val="en-US"/>
        </w:rPr>
        <w:tab/>
      </w:r>
      <w:r w:rsidRPr="008839C1">
        <w:rPr>
          <w:szCs w:val="24"/>
          <w:lang w:val="en-US"/>
        </w:rPr>
        <w:t>10log(20</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216) + 30 = 66.35 dBm</w:t>
      </w:r>
    </w:p>
    <w:p w:rsidR="00071226" w:rsidRPr="008839C1" w:rsidRDefault="00071226" w:rsidP="00D86C62">
      <w:pPr>
        <w:rPr>
          <w:szCs w:val="24"/>
          <w:lang w:val="en-US"/>
        </w:rPr>
      </w:pPr>
      <w:r w:rsidRPr="008839C1">
        <w:rPr>
          <w:szCs w:val="24"/>
          <w:lang w:val="en-US"/>
        </w:rPr>
        <w:t>For the 20% base-station loading case (mean base-station power = 0.2</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40W = 8 W), the aggregate values are:</w:t>
      </w:r>
    </w:p>
    <w:p w:rsidR="00071226" w:rsidRPr="008839C1" w:rsidRDefault="00071226" w:rsidP="008D3EBE">
      <w:pPr>
        <w:rPr>
          <w:szCs w:val="24"/>
          <w:lang w:val="en-US"/>
        </w:rPr>
      </w:pPr>
      <w:r w:rsidRPr="008839C1">
        <w:rPr>
          <w:szCs w:val="24"/>
          <w:lang w:val="en-US"/>
        </w:rPr>
        <w:t>For urban:</w:t>
      </w:r>
      <w:r w:rsidR="008D3EBE">
        <w:rPr>
          <w:szCs w:val="24"/>
          <w:lang w:val="en-US"/>
        </w:rPr>
        <w:tab/>
      </w:r>
      <w:r w:rsidR="008D3EBE">
        <w:rPr>
          <w:szCs w:val="24"/>
          <w:lang w:val="en-US"/>
        </w:rPr>
        <w:tab/>
      </w:r>
      <w:r w:rsidRPr="008839C1">
        <w:rPr>
          <w:szCs w:val="24"/>
          <w:lang w:val="en-US"/>
        </w:rPr>
        <w:t>10log(8</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44) + 30 = 55.46 dBm</w:t>
      </w:r>
    </w:p>
    <w:p w:rsidR="00071226" w:rsidRPr="008839C1" w:rsidRDefault="00071226" w:rsidP="008D3EBE">
      <w:pPr>
        <w:rPr>
          <w:szCs w:val="24"/>
          <w:lang w:val="en-US"/>
        </w:rPr>
      </w:pPr>
      <w:r w:rsidRPr="008839C1">
        <w:rPr>
          <w:szCs w:val="24"/>
          <w:lang w:val="en-US"/>
        </w:rPr>
        <w:t>For suburban:</w:t>
      </w:r>
      <w:r w:rsidR="008D3EBE">
        <w:rPr>
          <w:szCs w:val="24"/>
          <w:lang w:val="en-US"/>
        </w:rPr>
        <w:tab/>
      </w:r>
      <w:r w:rsidRPr="008839C1">
        <w:rPr>
          <w:szCs w:val="24"/>
          <w:lang w:val="en-US"/>
        </w:rPr>
        <w:t>10log(8</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996) + 30 = 69.01 dBm</w:t>
      </w:r>
    </w:p>
    <w:p w:rsidR="00071226" w:rsidRPr="008839C1" w:rsidRDefault="00071226" w:rsidP="008D3EBE">
      <w:pPr>
        <w:rPr>
          <w:szCs w:val="24"/>
          <w:lang w:val="en-US"/>
        </w:rPr>
      </w:pPr>
      <w:r w:rsidRPr="008839C1">
        <w:rPr>
          <w:szCs w:val="24"/>
          <w:lang w:val="en-US"/>
        </w:rPr>
        <w:t>For rural:</w:t>
      </w:r>
      <w:r w:rsidR="008D3EBE">
        <w:rPr>
          <w:szCs w:val="24"/>
          <w:lang w:val="en-US"/>
        </w:rPr>
        <w:tab/>
      </w:r>
      <w:r w:rsidR="008D3EBE">
        <w:rPr>
          <w:szCs w:val="24"/>
          <w:lang w:val="en-US"/>
        </w:rPr>
        <w:tab/>
      </w:r>
      <w:r w:rsidRPr="008839C1">
        <w:rPr>
          <w:szCs w:val="24"/>
          <w:lang w:val="en-US"/>
        </w:rPr>
        <w:t>10log(8</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216) + 30 = 62.37 dBm</w:t>
      </w:r>
    </w:p>
    <w:p w:rsidR="00071226" w:rsidRPr="008839C1" w:rsidRDefault="00071226" w:rsidP="008D3EBE">
      <w:pPr>
        <w:rPr>
          <w:b/>
          <w:lang w:val="en-US"/>
        </w:rPr>
      </w:pPr>
      <w:r w:rsidRPr="008839C1">
        <w:rPr>
          <w:lang w:val="en-US"/>
        </w:rPr>
        <w:t xml:space="preserve">These power levels are then applied to the input of the sector antenna in </w:t>
      </w:r>
      <w:r w:rsidR="008D3EBE" w:rsidRPr="008D3EBE">
        <w:rPr>
          <w:lang w:val="en-US"/>
        </w:rPr>
        <w:t>Annex</w:t>
      </w:r>
      <w:r w:rsidRPr="008839C1">
        <w:rPr>
          <w:lang w:val="en-US"/>
        </w:rPr>
        <w:t xml:space="preserve"> C (after subtracting 3</w:t>
      </w:r>
      <w:r w:rsidR="008D3EBE">
        <w:rPr>
          <w:lang w:val="en-US"/>
        </w:rPr>
        <w:t> </w:t>
      </w:r>
      <w:r w:rsidRPr="008839C1">
        <w:rPr>
          <w:lang w:val="en-US"/>
        </w:rPr>
        <w:t>dB feeder/line loss) and using the appropriate gain and downtilt for the particular zone.</w:t>
      </w:r>
    </w:p>
    <w:p w:rsidR="008D3EBE" w:rsidRDefault="008D3EBE">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071226" w:rsidRDefault="00071226" w:rsidP="00A508A0">
      <w:pPr>
        <w:pStyle w:val="AppendixNoTitle"/>
        <w:rPr>
          <w:szCs w:val="24"/>
          <w:lang w:val="en-US"/>
        </w:rPr>
      </w:pPr>
      <w:r w:rsidRPr="00C309C4">
        <w:rPr>
          <w:lang w:val="en-US"/>
        </w:rPr>
        <w:lastRenderedPageBreak/>
        <w:t>A</w:t>
      </w:r>
      <w:r w:rsidR="00A508A0">
        <w:rPr>
          <w:lang w:val="en-US"/>
        </w:rPr>
        <w:t>nnex</w:t>
      </w:r>
      <w:r w:rsidRPr="00C309C4">
        <w:rPr>
          <w:lang w:val="en-US"/>
        </w:rPr>
        <w:t xml:space="preserve"> C</w:t>
      </w:r>
      <w:r w:rsidR="008D3EBE">
        <w:rPr>
          <w:lang w:val="en-US"/>
        </w:rPr>
        <w:br/>
      </w:r>
      <w:r w:rsidR="008D3EBE">
        <w:rPr>
          <w:lang w:val="en-US"/>
        </w:rPr>
        <w:br/>
      </w:r>
      <w:r w:rsidR="008D3EBE" w:rsidRPr="00C309C4">
        <w:rPr>
          <w:szCs w:val="24"/>
          <w:lang w:val="en-US"/>
        </w:rPr>
        <w:t>LTE base-station sector antenna pattern</w:t>
      </w:r>
    </w:p>
    <w:p w:rsidR="008D3EBE" w:rsidRPr="008D3EBE" w:rsidRDefault="008D3EBE" w:rsidP="008D3EBE">
      <w:pPr>
        <w:pStyle w:val="Normalaftertitle"/>
        <w:rPr>
          <w:lang w:val="en-US"/>
        </w:rPr>
      </w:pPr>
      <w:r w:rsidRPr="008839C1">
        <w:rPr>
          <w:szCs w:val="24"/>
          <w:lang w:val="en-US"/>
        </w:rPr>
        <w:t>The LTE base-station sector antenna pattern is based on the sector antenna pattern in Recommendation ITU-R F.1336.</w:t>
      </w:r>
      <w:r>
        <w:rPr>
          <w:szCs w:val="24"/>
          <w:lang w:val="en-US"/>
        </w:rPr>
        <w:t xml:space="preserve"> </w:t>
      </w:r>
      <w:r w:rsidRPr="008839C1">
        <w:rPr>
          <w:szCs w:val="24"/>
          <w:lang w:val="en-US"/>
        </w:rPr>
        <w:t xml:space="preserve">The average sidelobe pattern in </w:t>
      </w:r>
      <w:r w:rsidRPr="008839C1">
        <w:rPr>
          <w:i/>
          <w:iCs/>
          <w:szCs w:val="24"/>
          <w:lang w:val="en-US"/>
        </w:rPr>
        <w:t>recommends</w:t>
      </w:r>
      <w:r w:rsidRPr="008839C1">
        <w:rPr>
          <w:szCs w:val="24"/>
          <w:lang w:val="en-US"/>
        </w:rPr>
        <w:t xml:space="preserve"> 3.1.2 of Recommendation ITU-R F.1336 is assumed.</w:t>
      </w:r>
    </w:p>
    <w:p w:rsidR="00071226" w:rsidRPr="008839C1" w:rsidRDefault="00071226" w:rsidP="00071226">
      <w:pPr>
        <w:rPr>
          <w:szCs w:val="24"/>
          <w:lang w:val="en-US"/>
        </w:rPr>
      </w:pPr>
      <w:r w:rsidRPr="008839C1">
        <w:rPr>
          <w:szCs w:val="24"/>
          <w:lang w:val="en-US"/>
        </w:rPr>
        <w:t xml:space="preserve">The </w:t>
      </w:r>
      <w:r w:rsidRPr="008D3EBE">
        <w:rPr>
          <w:i/>
          <w:iCs/>
          <w:szCs w:val="24"/>
          <w:lang w:val="en-US"/>
        </w:rPr>
        <w:t>G</w:t>
      </w:r>
      <w:r w:rsidRPr="008D3EBE">
        <w:rPr>
          <w:i/>
          <w:iCs/>
          <w:szCs w:val="24"/>
          <w:vertAlign w:val="subscript"/>
          <w:lang w:val="en-US"/>
        </w:rPr>
        <w:t>hr</w:t>
      </w:r>
      <w:r w:rsidRPr="008839C1">
        <w:rPr>
          <w:szCs w:val="24"/>
          <w:lang w:val="en-US"/>
        </w:rPr>
        <w:t xml:space="preserve"> and </w:t>
      </w:r>
      <w:r w:rsidRPr="008D3EBE">
        <w:rPr>
          <w:i/>
          <w:iCs/>
          <w:szCs w:val="24"/>
          <w:lang w:val="en-US"/>
        </w:rPr>
        <w:t>G</w:t>
      </w:r>
      <w:r w:rsidRPr="008D3EBE">
        <w:rPr>
          <w:i/>
          <w:iCs/>
          <w:szCs w:val="24"/>
          <w:vertAlign w:val="subscript"/>
          <w:lang w:val="en-US"/>
        </w:rPr>
        <w:t>vr</w:t>
      </w:r>
      <w:r w:rsidRPr="008839C1">
        <w:rPr>
          <w:szCs w:val="24"/>
          <w:lang w:val="en-US"/>
        </w:rPr>
        <w:t xml:space="preserve"> equations are exactly the same as shown in Recommendation ITU-R F.1336:</w:t>
      </w:r>
    </w:p>
    <w:p w:rsidR="00071226" w:rsidRPr="008839C1" w:rsidRDefault="00071226" w:rsidP="00071226">
      <w:pPr>
        <w:pStyle w:val="enumlev1"/>
        <w:rPr>
          <w:lang w:val="en-US"/>
        </w:rPr>
      </w:pPr>
      <w:r w:rsidRPr="008839C1">
        <w:rPr>
          <w:lang w:val="en-US"/>
        </w:rPr>
        <w:t>–</w:t>
      </w:r>
      <w:r w:rsidRPr="008839C1">
        <w:rPr>
          <w:lang w:val="en-US"/>
        </w:rPr>
        <w:tab/>
        <w:t>the normalized elevation angle x</w:t>
      </w:r>
      <w:r w:rsidRPr="008839C1">
        <w:rPr>
          <w:vertAlign w:val="subscript"/>
          <w:lang w:val="en-US"/>
        </w:rPr>
        <w:t>v</w:t>
      </w:r>
      <w:r w:rsidRPr="008839C1">
        <w:rPr>
          <w:lang w:val="en-US"/>
        </w:rPr>
        <w:t xml:space="preserve"> = </w:t>
      </w:r>
      <w:r>
        <w:sym w:font="Symbol" w:char="F071"/>
      </w:r>
      <w:r w:rsidRPr="008839C1">
        <w:rPr>
          <w:lang w:val="en-US"/>
        </w:rPr>
        <w:t>/</w:t>
      </w:r>
      <w:r>
        <w:sym w:font="Symbol" w:char="F071"/>
      </w:r>
      <w:r w:rsidRPr="008839C1">
        <w:rPr>
          <w:vertAlign w:val="subscript"/>
          <w:lang w:val="en-US"/>
        </w:rPr>
        <w:t>3</w:t>
      </w:r>
    </w:p>
    <w:p w:rsidR="00071226" w:rsidRDefault="00071226" w:rsidP="00071226">
      <w:pPr>
        <w:pStyle w:val="enumlev1"/>
      </w:pPr>
      <w:r w:rsidRPr="008839C1">
        <w:rPr>
          <w:lang w:val="en-US"/>
        </w:rPr>
        <w:t>–</w:t>
      </w:r>
      <w:r w:rsidRPr="008839C1">
        <w:rPr>
          <w:lang w:val="en-US"/>
        </w:rPr>
        <w:tab/>
        <w:t>the relative vertical pattern G</w:t>
      </w:r>
      <w:r w:rsidRPr="008839C1">
        <w:rPr>
          <w:vertAlign w:val="subscript"/>
          <w:lang w:val="en-US"/>
        </w:rPr>
        <w:t>vr</w:t>
      </w:r>
      <w:r w:rsidRPr="008839C1">
        <w:rPr>
          <w:lang w:val="en-US"/>
        </w:rPr>
        <w:t>(x</w:t>
      </w:r>
      <w:r w:rsidRPr="008839C1">
        <w:rPr>
          <w:vertAlign w:val="subscript"/>
          <w:lang w:val="en-US"/>
        </w:rPr>
        <w:t>v</w:t>
      </w:r>
      <w:r w:rsidRPr="008839C1">
        <w:rPr>
          <w:lang w:val="en-US"/>
        </w:rPr>
        <w:t xml:space="preserve">) is multiplied by a compression ratio, R, which weights the vertical gain as the azimuth angle varies from 0 to </w:t>
      </w:r>
      <w:r>
        <w:sym w:font="Symbol" w:char="F06A"/>
      </w:r>
      <w:r w:rsidRPr="008839C1">
        <w:rPr>
          <w:lang w:val="en-US"/>
        </w:rPr>
        <w:t>.</w:t>
      </w:r>
      <w:r w:rsidR="00BF1B1C">
        <w:rPr>
          <w:lang w:val="en-US"/>
        </w:rPr>
        <w:t xml:space="preserve"> </w:t>
      </w:r>
      <w:r>
        <w:t>Therefore, the composite relative gain pattern is given by:</w:t>
      </w:r>
    </w:p>
    <w:p w:rsidR="00EB73A7" w:rsidRDefault="00EB73A7" w:rsidP="00EB73A7">
      <w:pPr>
        <w:pStyle w:val="Equation"/>
      </w:pPr>
      <w:r>
        <w:tab/>
      </w:r>
      <w:r>
        <w:tab/>
      </w:r>
      <w:r w:rsidRPr="00EB73A7">
        <w:rPr>
          <w:rFonts w:eastAsiaTheme="minorHAnsi"/>
          <w:position w:val="-32"/>
          <w:lang w:val="en-US"/>
        </w:rPr>
        <w:object w:dxaOrig="4420" w:dyaOrig="760">
          <v:shape id="_x0000_i1026" type="#_x0000_t75" style="width:223.5pt;height:37.6pt" o:ole="" fillcolor="#0c9">
            <v:imagedata r:id="rId43" o:title=""/>
          </v:shape>
          <o:OLEObject Type="Embed" ProgID="Equation.3" ShapeID="_x0000_i1026" DrawAspect="Content" ObjectID="_1487679603" r:id="rId44"/>
        </w:object>
      </w:r>
    </w:p>
    <w:p w:rsidR="00071226" w:rsidRDefault="00071226" w:rsidP="00071226">
      <w:pPr>
        <w:rPr>
          <w:szCs w:val="24"/>
          <w:lang w:val="en-US"/>
        </w:rPr>
      </w:pPr>
      <w:r w:rsidRPr="008839C1">
        <w:rPr>
          <w:szCs w:val="24"/>
          <w:lang w:val="en-US"/>
        </w:rPr>
        <w:t>where the compression factor R is defined as:</w:t>
      </w:r>
    </w:p>
    <w:p w:rsidR="00EB73A7" w:rsidRDefault="00EB73A7" w:rsidP="00071226">
      <w:pPr>
        <w:rPr>
          <w:szCs w:val="24"/>
          <w:lang w:val="en-US"/>
        </w:rPr>
      </w:pPr>
    </w:p>
    <w:p w:rsidR="00EB73A7" w:rsidRDefault="00EB73A7" w:rsidP="00EB73A7">
      <w:pPr>
        <w:pStyle w:val="Equation"/>
      </w:pPr>
      <w:r w:rsidRPr="00920F6A">
        <w:rPr>
          <w:lang w:val="en-US"/>
        </w:rPr>
        <w:tab/>
      </w:r>
      <w:r w:rsidRPr="00920F6A">
        <w:rPr>
          <w:lang w:val="en-US"/>
        </w:rPr>
        <w:tab/>
      </w:r>
      <w:r w:rsidRPr="00EB73A7">
        <w:rPr>
          <w:rFonts w:eastAsiaTheme="minorHAnsi"/>
          <w:position w:val="-66"/>
          <w:lang w:val="en-US"/>
        </w:rPr>
        <w:object w:dxaOrig="3700" w:dyaOrig="1440">
          <v:shape id="_x0000_i1027" type="#_x0000_t75" style="width:187pt;height:1in" o:ole="" fillcolor="#0c9">
            <v:imagedata r:id="rId45" o:title=""/>
          </v:shape>
          <o:OLEObject Type="Embed" ProgID="Equation.3" ShapeID="_x0000_i1027" DrawAspect="Content" ObjectID="_1487679604" r:id="rId46"/>
        </w:object>
      </w:r>
    </w:p>
    <w:p w:rsidR="00071226" w:rsidRPr="008839C1" w:rsidRDefault="00071226" w:rsidP="00743694">
      <w:pPr>
        <w:rPr>
          <w:szCs w:val="24"/>
          <w:lang w:val="en-US"/>
        </w:rPr>
      </w:pPr>
      <w:r w:rsidRPr="008839C1">
        <w:rPr>
          <w:szCs w:val="24"/>
          <w:lang w:val="en-US"/>
        </w:rPr>
        <w:t xml:space="preserve">In these equations the azimuth angle </w:t>
      </w:r>
      <w:r>
        <w:rPr>
          <w:szCs w:val="24"/>
        </w:rPr>
        <w:sym w:font="Symbol" w:char="F06A"/>
      </w:r>
      <w:r w:rsidRPr="008839C1">
        <w:rPr>
          <w:szCs w:val="24"/>
          <w:lang w:val="en-US"/>
        </w:rPr>
        <w:t xml:space="preserve"> varies from -180 to 180 degrees and the elevation angle </w:t>
      </w:r>
      <w:r>
        <w:rPr>
          <w:szCs w:val="24"/>
        </w:rPr>
        <w:sym w:font="Symbol" w:char="F071"/>
      </w:r>
      <w:r w:rsidRPr="008839C1">
        <w:rPr>
          <w:szCs w:val="24"/>
          <w:lang w:val="en-US"/>
        </w:rPr>
        <w:t xml:space="preserve"> varies from </w:t>
      </w:r>
      <w:r w:rsidR="00BF703A" w:rsidRPr="00BF703A">
        <w:rPr>
          <w:szCs w:val="24"/>
          <w:lang w:val="en-US"/>
        </w:rPr>
        <w:t>–</w:t>
      </w:r>
      <w:r w:rsidRPr="008839C1">
        <w:rPr>
          <w:szCs w:val="24"/>
          <w:lang w:val="en-US"/>
        </w:rPr>
        <w:t>90 to 90 degrees.</w:t>
      </w:r>
      <w:r w:rsidR="00BF1B1C">
        <w:rPr>
          <w:szCs w:val="24"/>
          <w:lang w:val="en-US"/>
        </w:rPr>
        <w:t xml:space="preserve"> </w:t>
      </w:r>
      <w:r w:rsidRPr="008839C1">
        <w:rPr>
          <w:szCs w:val="24"/>
          <w:lang w:val="en-US"/>
        </w:rPr>
        <w:t>The main beam gain is in the direction of (</w:t>
      </w:r>
      <w:r>
        <w:rPr>
          <w:szCs w:val="24"/>
        </w:rPr>
        <w:sym w:font="Symbol" w:char="F06A"/>
      </w:r>
      <w:r w:rsidR="00F248FF" w:rsidRPr="00F248FF">
        <w:rPr>
          <w:szCs w:val="24"/>
          <w:lang w:val="en-US"/>
        </w:rPr>
        <w:t xml:space="preserve"> </w:t>
      </w:r>
      <w:r w:rsidRPr="008839C1">
        <w:rPr>
          <w:szCs w:val="24"/>
          <w:lang w:val="en-US"/>
        </w:rPr>
        <w:t>=</w:t>
      </w:r>
      <w:r w:rsidR="00F248FF">
        <w:rPr>
          <w:szCs w:val="24"/>
          <w:lang w:val="en-US"/>
        </w:rPr>
        <w:t xml:space="preserve"> </w:t>
      </w:r>
      <w:r w:rsidRPr="008839C1">
        <w:rPr>
          <w:szCs w:val="24"/>
          <w:lang w:val="en-US"/>
        </w:rPr>
        <w:t xml:space="preserve">0, </w:t>
      </w:r>
      <w:r>
        <w:rPr>
          <w:szCs w:val="24"/>
        </w:rPr>
        <w:sym w:font="Symbol" w:char="F071"/>
      </w:r>
      <w:r w:rsidR="00F248FF" w:rsidRPr="00F248FF">
        <w:rPr>
          <w:szCs w:val="24"/>
          <w:lang w:val="en-US"/>
        </w:rPr>
        <w:t xml:space="preserve"> </w:t>
      </w:r>
      <w:r w:rsidRPr="008839C1">
        <w:rPr>
          <w:szCs w:val="24"/>
          <w:lang w:val="en-US"/>
        </w:rPr>
        <w:t>=</w:t>
      </w:r>
      <w:r w:rsidR="00F248FF">
        <w:rPr>
          <w:szCs w:val="24"/>
          <w:lang w:val="en-US"/>
        </w:rPr>
        <w:t xml:space="preserve"> </w:t>
      </w:r>
      <w:r w:rsidRPr="008839C1">
        <w:rPr>
          <w:szCs w:val="24"/>
          <w:lang w:val="en-US"/>
        </w:rPr>
        <w:t>0); the principal EL plane is defined by (</w:t>
      </w:r>
      <w:r>
        <w:rPr>
          <w:szCs w:val="24"/>
        </w:rPr>
        <w:sym w:font="Symbol" w:char="F06A"/>
      </w:r>
      <w:r w:rsidR="00743694" w:rsidRPr="00743694">
        <w:rPr>
          <w:szCs w:val="24"/>
          <w:lang w:val="en-US"/>
        </w:rPr>
        <w:t xml:space="preserve"> </w:t>
      </w:r>
      <w:r w:rsidRPr="008839C1">
        <w:rPr>
          <w:szCs w:val="24"/>
          <w:lang w:val="en-US"/>
        </w:rPr>
        <w:t>=</w:t>
      </w:r>
      <w:r w:rsidR="00743694">
        <w:rPr>
          <w:szCs w:val="24"/>
          <w:lang w:val="en-US"/>
        </w:rPr>
        <w:t xml:space="preserve"> </w:t>
      </w:r>
      <w:r w:rsidRPr="008839C1">
        <w:rPr>
          <w:szCs w:val="24"/>
          <w:lang w:val="en-US"/>
        </w:rPr>
        <w:t>0,</w:t>
      </w:r>
      <w:r w:rsidR="00F248FF">
        <w:rPr>
          <w:szCs w:val="24"/>
          <w:lang w:val="en-US"/>
        </w:rPr>
        <w:t xml:space="preserve"> </w:t>
      </w:r>
      <w:r>
        <w:rPr>
          <w:szCs w:val="24"/>
        </w:rPr>
        <w:sym w:font="Symbol" w:char="F071"/>
      </w:r>
      <w:r w:rsidRPr="008839C1">
        <w:rPr>
          <w:szCs w:val="24"/>
          <w:lang w:val="en-US"/>
        </w:rPr>
        <w:t xml:space="preserve"> = </w:t>
      </w:r>
      <w:r w:rsidR="00743694" w:rsidRPr="00BF703A">
        <w:rPr>
          <w:szCs w:val="24"/>
          <w:lang w:val="en-US"/>
        </w:rPr>
        <w:t>–</w:t>
      </w:r>
      <w:r w:rsidRPr="008839C1">
        <w:rPr>
          <w:szCs w:val="24"/>
          <w:lang w:val="en-US"/>
        </w:rPr>
        <w:t>90 to 90); and the principal AZ plane is defined by (</w:t>
      </w:r>
      <w:r>
        <w:rPr>
          <w:szCs w:val="24"/>
        </w:rPr>
        <w:sym w:font="Symbol" w:char="F06A"/>
      </w:r>
      <w:r w:rsidR="00F248FF" w:rsidRPr="00F248FF">
        <w:rPr>
          <w:szCs w:val="24"/>
          <w:lang w:val="en-US"/>
        </w:rPr>
        <w:t xml:space="preserve"> </w:t>
      </w:r>
      <w:r w:rsidRPr="008839C1">
        <w:rPr>
          <w:szCs w:val="24"/>
          <w:lang w:val="en-US"/>
        </w:rPr>
        <w:t>=</w:t>
      </w:r>
      <w:r w:rsidR="00F248FF">
        <w:rPr>
          <w:szCs w:val="24"/>
          <w:lang w:val="en-US"/>
        </w:rPr>
        <w:t xml:space="preserve"> </w:t>
      </w:r>
      <w:r w:rsidR="00743694" w:rsidRPr="00BF703A">
        <w:rPr>
          <w:szCs w:val="24"/>
          <w:lang w:val="en-US"/>
        </w:rPr>
        <w:t>–</w:t>
      </w:r>
      <w:r w:rsidRPr="008839C1">
        <w:rPr>
          <w:szCs w:val="24"/>
          <w:lang w:val="en-US"/>
        </w:rPr>
        <w:t xml:space="preserve">180 to 180, </w:t>
      </w:r>
      <w:r>
        <w:rPr>
          <w:szCs w:val="24"/>
        </w:rPr>
        <w:sym w:font="Symbol" w:char="F071"/>
      </w:r>
      <w:r w:rsidR="00C309C4">
        <w:rPr>
          <w:szCs w:val="24"/>
          <w:lang w:val="en-US"/>
        </w:rPr>
        <w:t> </w:t>
      </w:r>
      <w:r w:rsidRPr="008839C1">
        <w:rPr>
          <w:szCs w:val="24"/>
          <w:lang w:val="en-US"/>
        </w:rPr>
        <w:t>= 0).</w:t>
      </w:r>
    </w:p>
    <w:p w:rsidR="00071226" w:rsidRPr="008839C1" w:rsidRDefault="00071226" w:rsidP="00071226">
      <w:pPr>
        <w:rPr>
          <w:szCs w:val="24"/>
          <w:lang w:val="en-US"/>
        </w:rPr>
      </w:pPr>
      <w:r w:rsidRPr="008839C1">
        <w:rPr>
          <w:szCs w:val="24"/>
          <w:lang w:val="en-US"/>
        </w:rPr>
        <w:t xml:space="preserve">Sample plots of this sector antenna pattern are shown below assuming the following additional parameters that define the pattern: </w:t>
      </w:r>
    </w:p>
    <w:p w:rsidR="00071226" w:rsidRPr="008839C1" w:rsidRDefault="00071226" w:rsidP="00071226">
      <w:pPr>
        <w:rPr>
          <w:szCs w:val="24"/>
          <w:lang w:val="en-US"/>
        </w:rPr>
      </w:pPr>
      <w:r w:rsidRPr="008839C1">
        <w:rPr>
          <w:szCs w:val="24"/>
          <w:lang w:val="en-US"/>
        </w:rPr>
        <w:t>Main beam gain = G</w:t>
      </w:r>
      <w:r w:rsidRPr="008839C1">
        <w:rPr>
          <w:szCs w:val="24"/>
          <w:vertAlign w:val="subscript"/>
          <w:lang w:val="en-US"/>
        </w:rPr>
        <w:t>o</w:t>
      </w:r>
      <w:r w:rsidRPr="008839C1">
        <w:rPr>
          <w:szCs w:val="24"/>
          <w:lang w:val="en-US"/>
        </w:rPr>
        <w:t xml:space="preserve"> = 16 dBi</w:t>
      </w:r>
    </w:p>
    <w:p w:rsidR="00071226" w:rsidRPr="008839C1" w:rsidRDefault="00071226" w:rsidP="00071226">
      <w:pPr>
        <w:rPr>
          <w:szCs w:val="24"/>
          <w:lang w:val="en-US"/>
        </w:rPr>
      </w:pPr>
      <w:r w:rsidRPr="008839C1">
        <w:rPr>
          <w:szCs w:val="24"/>
          <w:lang w:val="en-US"/>
        </w:rPr>
        <w:t xml:space="preserve">Azimuth plane HPBW (full-angle) = </w:t>
      </w:r>
      <w:r>
        <w:rPr>
          <w:szCs w:val="24"/>
        </w:rPr>
        <w:sym w:font="Symbol" w:char="F06A"/>
      </w:r>
      <w:r w:rsidRPr="008839C1">
        <w:rPr>
          <w:szCs w:val="24"/>
          <w:vertAlign w:val="subscript"/>
          <w:lang w:val="en-US"/>
        </w:rPr>
        <w:t>3</w:t>
      </w:r>
      <w:r w:rsidRPr="008839C1">
        <w:rPr>
          <w:szCs w:val="24"/>
          <w:lang w:val="en-US"/>
        </w:rPr>
        <w:t xml:space="preserve"> = 65 degrees</w:t>
      </w:r>
    </w:p>
    <w:p w:rsidR="00071226" w:rsidRPr="008839C1" w:rsidRDefault="00071226" w:rsidP="00071226">
      <w:pPr>
        <w:rPr>
          <w:szCs w:val="24"/>
          <w:lang w:val="en-US"/>
        </w:rPr>
      </w:pPr>
      <w:r w:rsidRPr="008839C1">
        <w:rPr>
          <w:szCs w:val="24"/>
          <w:lang w:val="en-US"/>
        </w:rPr>
        <w:t xml:space="preserve">Elevation plane HPBW (full-angle) = </w:t>
      </w:r>
      <w:r>
        <w:rPr>
          <w:szCs w:val="24"/>
        </w:rPr>
        <w:sym w:font="Symbol" w:char="F071"/>
      </w:r>
      <w:r w:rsidRPr="008839C1">
        <w:rPr>
          <w:szCs w:val="24"/>
          <w:vertAlign w:val="subscript"/>
          <w:lang w:val="en-US"/>
        </w:rPr>
        <w:t>3</w:t>
      </w:r>
      <w:r w:rsidRPr="008839C1">
        <w:rPr>
          <w:szCs w:val="24"/>
          <w:lang w:val="en-US"/>
        </w:rPr>
        <w:t xml:space="preserve"> = 11.98 degrees </w:t>
      </w:r>
    </w:p>
    <w:p w:rsidR="00071226" w:rsidRPr="008839C1" w:rsidRDefault="00071226" w:rsidP="00743694">
      <w:pPr>
        <w:rPr>
          <w:szCs w:val="24"/>
          <w:lang w:val="en-US"/>
        </w:rPr>
      </w:pPr>
      <w:r w:rsidRPr="008839C1">
        <w:rPr>
          <w:szCs w:val="24"/>
          <w:lang w:val="en-US"/>
        </w:rPr>
        <w:t xml:space="preserve">Note: </w:t>
      </w:r>
      <w:r>
        <w:rPr>
          <w:szCs w:val="24"/>
        </w:rPr>
        <w:sym w:font="Symbol" w:char="F071"/>
      </w:r>
      <w:r w:rsidRPr="008839C1">
        <w:rPr>
          <w:szCs w:val="24"/>
          <w:vertAlign w:val="subscript"/>
          <w:lang w:val="en-US"/>
        </w:rPr>
        <w:t>3</w:t>
      </w:r>
      <w:r w:rsidRPr="008839C1">
        <w:rPr>
          <w:szCs w:val="24"/>
          <w:lang w:val="en-US"/>
        </w:rPr>
        <w:t xml:space="preserve"> is calculated as a function of G</w:t>
      </w:r>
      <w:r w:rsidRPr="008839C1">
        <w:rPr>
          <w:szCs w:val="24"/>
          <w:vertAlign w:val="subscript"/>
          <w:lang w:val="en-US"/>
        </w:rPr>
        <w:t>o</w:t>
      </w:r>
      <w:r w:rsidRPr="008839C1">
        <w:rPr>
          <w:szCs w:val="24"/>
          <w:lang w:val="en-US"/>
        </w:rPr>
        <w:t xml:space="preserve"> and </w:t>
      </w:r>
      <w:r>
        <w:rPr>
          <w:szCs w:val="24"/>
        </w:rPr>
        <w:sym w:font="Symbol" w:char="F06A"/>
      </w:r>
      <w:r w:rsidRPr="008839C1">
        <w:rPr>
          <w:szCs w:val="24"/>
          <w:vertAlign w:val="subscript"/>
          <w:lang w:val="en-US"/>
        </w:rPr>
        <w:t>3</w:t>
      </w:r>
      <w:r w:rsidRPr="008839C1">
        <w:rPr>
          <w:szCs w:val="24"/>
          <w:lang w:val="en-US"/>
        </w:rPr>
        <w:t xml:space="preserve"> using equation (3) of section 3.3 of Recommendation ITU-R F.1336 which is: </w:t>
      </w:r>
      <w:r>
        <w:rPr>
          <w:szCs w:val="24"/>
        </w:rPr>
        <w:sym w:font="Symbol" w:char="F071"/>
      </w:r>
      <w:r w:rsidRPr="008839C1">
        <w:rPr>
          <w:szCs w:val="24"/>
          <w:vertAlign w:val="subscript"/>
          <w:lang w:val="en-US"/>
        </w:rPr>
        <w:t>3</w:t>
      </w:r>
      <w:r w:rsidRPr="008839C1">
        <w:rPr>
          <w:szCs w:val="24"/>
          <w:lang w:val="en-US"/>
        </w:rPr>
        <w:t xml:space="preserve"> = 31000</w:t>
      </w:r>
      <w:r w:rsidR="00D86C62" w:rsidRPr="008839C1">
        <w:rPr>
          <w:szCs w:val="24"/>
          <w:lang w:val="en-US"/>
        </w:rPr>
        <w:t xml:space="preserve"> </w:t>
      </w:r>
      <w:r w:rsidR="00D86C62">
        <w:rPr>
          <w:szCs w:val="24"/>
          <w:lang w:val="en-US"/>
        </w:rPr>
        <w:sym w:font="Symbol" w:char="F0B4"/>
      </w:r>
      <w:r w:rsidR="00D86C62" w:rsidRPr="008839C1">
        <w:rPr>
          <w:szCs w:val="24"/>
          <w:lang w:val="en-US"/>
        </w:rPr>
        <w:t xml:space="preserve"> </w:t>
      </w:r>
      <w:r w:rsidRPr="008839C1">
        <w:rPr>
          <w:szCs w:val="24"/>
          <w:lang w:val="en-US"/>
        </w:rPr>
        <w:t>10</w:t>
      </w:r>
      <w:r w:rsidRPr="008839C1">
        <w:rPr>
          <w:szCs w:val="24"/>
          <w:vertAlign w:val="superscript"/>
          <w:lang w:val="en-US"/>
        </w:rPr>
        <w:t>(</w:t>
      </w:r>
      <w:r w:rsidR="00743694">
        <w:rPr>
          <w:szCs w:val="24"/>
          <w:vertAlign w:val="superscript"/>
          <w:lang w:val="en-US"/>
        </w:rPr>
        <w:t>–</w:t>
      </w:r>
      <w:r w:rsidRPr="008839C1">
        <w:rPr>
          <w:szCs w:val="24"/>
          <w:vertAlign w:val="superscript"/>
          <w:lang w:val="en-US"/>
        </w:rPr>
        <w:t>0.1Go)</w:t>
      </w:r>
      <w:r w:rsidRPr="008839C1">
        <w:rPr>
          <w:szCs w:val="24"/>
          <w:lang w:val="en-US"/>
        </w:rPr>
        <w:t>/</w:t>
      </w:r>
      <w:r>
        <w:rPr>
          <w:szCs w:val="24"/>
        </w:rPr>
        <w:sym w:font="Symbol" w:char="F06A"/>
      </w:r>
      <w:r w:rsidRPr="008839C1">
        <w:rPr>
          <w:szCs w:val="24"/>
          <w:vertAlign w:val="subscript"/>
          <w:lang w:val="en-US"/>
        </w:rPr>
        <w:t>3</w:t>
      </w:r>
    </w:p>
    <w:p w:rsidR="00071226" w:rsidRPr="008839C1" w:rsidRDefault="00071226" w:rsidP="00071226">
      <w:pPr>
        <w:rPr>
          <w:szCs w:val="24"/>
          <w:lang w:val="en-US"/>
        </w:rPr>
      </w:pPr>
      <w:r w:rsidRPr="008839C1">
        <w:rPr>
          <w:szCs w:val="24"/>
          <w:lang w:val="en-US"/>
        </w:rPr>
        <w:t>k-parameters: k</w:t>
      </w:r>
      <w:r w:rsidRPr="008839C1">
        <w:rPr>
          <w:szCs w:val="24"/>
          <w:vertAlign w:val="subscript"/>
          <w:lang w:val="en-US"/>
        </w:rPr>
        <w:t>a</w:t>
      </w:r>
      <w:r w:rsidRPr="008839C1">
        <w:rPr>
          <w:szCs w:val="24"/>
          <w:lang w:val="en-US"/>
        </w:rPr>
        <w:t xml:space="preserve"> = 0.7; k</w:t>
      </w:r>
      <w:r w:rsidRPr="008839C1">
        <w:rPr>
          <w:szCs w:val="24"/>
          <w:vertAlign w:val="subscript"/>
          <w:lang w:val="en-US"/>
        </w:rPr>
        <w:t>h</w:t>
      </w:r>
      <w:r w:rsidRPr="008839C1">
        <w:rPr>
          <w:szCs w:val="24"/>
          <w:lang w:val="en-US"/>
        </w:rPr>
        <w:t xml:space="preserve"> = 0.7; k</w:t>
      </w:r>
      <w:r w:rsidRPr="008839C1">
        <w:rPr>
          <w:szCs w:val="24"/>
          <w:vertAlign w:val="subscript"/>
          <w:lang w:val="en-US"/>
        </w:rPr>
        <w:t>v</w:t>
      </w:r>
      <w:r w:rsidRPr="008839C1">
        <w:rPr>
          <w:szCs w:val="24"/>
          <w:lang w:val="en-US"/>
        </w:rPr>
        <w:t xml:space="preserve"> = 0.3</w:t>
      </w:r>
    </w:p>
    <w:p w:rsidR="00071226" w:rsidRPr="008839C1" w:rsidRDefault="00071226" w:rsidP="00D25D4F">
      <w:pPr>
        <w:rPr>
          <w:szCs w:val="24"/>
          <w:lang w:val="en-US"/>
        </w:rPr>
      </w:pPr>
      <w:r w:rsidRPr="008839C1">
        <w:rPr>
          <w:szCs w:val="24"/>
          <w:lang w:val="en-US"/>
        </w:rPr>
        <w:t>The principal EL plane pattern in both rectangular and polar coordinates is shown in Fig</w:t>
      </w:r>
      <w:r w:rsidR="00743694">
        <w:rPr>
          <w:szCs w:val="24"/>
          <w:lang w:val="en-US"/>
        </w:rPr>
        <w:t xml:space="preserve">s </w:t>
      </w:r>
      <w:r w:rsidRPr="008839C1">
        <w:rPr>
          <w:szCs w:val="24"/>
          <w:lang w:val="en-US"/>
        </w:rPr>
        <w:t>C1 and</w:t>
      </w:r>
      <w:r w:rsidR="00C309C4">
        <w:rPr>
          <w:szCs w:val="24"/>
          <w:lang w:val="en-US"/>
        </w:rPr>
        <w:t> </w:t>
      </w:r>
      <w:r w:rsidRPr="008839C1">
        <w:rPr>
          <w:szCs w:val="24"/>
          <w:lang w:val="en-US"/>
        </w:rPr>
        <w:t>C2.</w:t>
      </w:r>
    </w:p>
    <w:p w:rsidR="00071226" w:rsidRPr="008839C1" w:rsidRDefault="00071226" w:rsidP="00071226">
      <w:pPr>
        <w:pStyle w:val="FigureNo"/>
        <w:rPr>
          <w:lang w:val="en-US"/>
        </w:rPr>
      </w:pPr>
      <w:r w:rsidRPr="008839C1">
        <w:rPr>
          <w:lang w:val="en-US"/>
        </w:rPr>
        <w:lastRenderedPageBreak/>
        <w:t>Figure C1</w:t>
      </w:r>
    </w:p>
    <w:p w:rsidR="00071226" w:rsidRPr="008839C1" w:rsidRDefault="00071226" w:rsidP="00071226">
      <w:pPr>
        <w:pStyle w:val="Figuretitle"/>
        <w:spacing w:after="240"/>
        <w:rPr>
          <w:lang w:val="en-US"/>
        </w:rPr>
      </w:pPr>
      <w:r w:rsidRPr="008839C1">
        <w:rPr>
          <w:lang w:val="en-US"/>
        </w:rPr>
        <w:t>Principal EL plane pattern in rectangular coordinates</w:t>
      </w:r>
    </w:p>
    <w:p w:rsidR="00071226" w:rsidRDefault="00071226" w:rsidP="00EF49EF">
      <w:pPr>
        <w:pStyle w:val="Figure"/>
      </w:pPr>
      <w:r w:rsidRPr="008755CA">
        <w:rPr>
          <w:noProof/>
          <w:lang w:val="en-US" w:eastAsia="zh-CN"/>
        </w:rPr>
        <w:drawing>
          <wp:inline distT="0" distB="0" distL="0" distR="0" wp14:anchorId="1E590F46" wp14:editId="59ABB3B7">
            <wp:extent cx="4946015" cy="3800475"/>
            <wp:effectExtent l="0" t="0" r="698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6015" cy="3800475"/>
                    </a:xfrm>
                    <a:prstGeom prst="rect">
                      <a:avLst/>
                    </a:prstGeom>
                    <a:noFill/>
                    <a:ln>
                      <a:noFill/>
                    </a:ln>
                  </pic:spPr>
                </pic:pic>
              </a:graphicData>
            </a:graphic>
          </wp:inline>
        </w:drawing>
      </w:r>
    </w:p>
    <w:p w:rsidR="00071226" w:rsidRPr="008839C1" w:rsidRDefault="00071226" w:rsidP="00071226">
      <w:pPr>
        <w:pStyle w:val="FigureNo"/>
        <w:rPr>
          <w:lang w:val="en-US"/>
        </w:rPr>
      </w:pPr>
      <w:r w:rsidRPr="008839C1">
        <w:rPr>
          <w:lang w:val="en-US"/>
        </w:rPr>
        <w:lastRenderedPageBreak/>
        <w:t>Figure C2</w:t>
      </w:r>
    </w:p>
    <w:p w:rsidR="00071226" w:rsidRPr="008839C1" w:rsidRDefault="00071226" w:rsidP="00071226">
      <w:pPr>
        <w:pStyle w:val="Figuretitle"/>
        <w:rPr>
          <w:lang w:val="en-US"/>
        </w:rPr>
      </w:pPr>
      <w:r w:rsidRPr="008839C1">
        <w:rPr>
          <w:lang w:val="en-US"/>
        </w:rPr>
        <w:t>Principal EL plane pattern in polar coordinates</w:t>
      </w:r>
    </w:p>
    <w:p w:rsidR="00071226" w:rsidRDefault="00071226" w:rsidP="00EF49EF">
      <w:pPr>
        <w:pStyle w:val="Figure"/>
      </w:pPr>
      <w:r w:rsidRPr="008755CA">
        <w:rPr>
          <w:noProof/>
          <w:lang w:val="en-US" w:eastAsia="zh-CN"/>
        </w:rPr>
        <w:drawing>
          <wp:inline distT="0" distB="0" distL="0" distR="0" wp14:anchorId="2B1A51AB" wp14:editId="2BBBCCF6">
            <wp:extent cx="4866005" cy="44767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6005" cy="4476750"/>
                    </a:xfrm>
                    <a:prstGeom prst="rect">
                      <a:avLst/>
                    </a:prstGeom>
                    <a:noFill/>
                    <a:ln>
                      <a:noFill/>
                    </a:ln>
                  </pic:spPr>
                </pic:pic>
              </a:graphicData>
            </a:graphic>
          </wp:inline>
        </w:drawing>
      </w:r>
    </w:p>
    <w:p w:rsidR="00071226" w:rsidRDefault="00071226" w:rsidP="00071226">
      <w:pPr>
        <w:rPr>
          <w:szCs w:val="24"/>
        </w:rPr>
      </w:pPr>
      <w:r>
        <w:rPr>
          <w:szCs w:val="24"/>
        </w:rPr>
        <w:br w:type="page"/>
      </w:r>
    </w:p>
    <w:p w:rsidR="00071226" w:rsidRPr="008839C1" w:rsidRDefault="00071226" w:rsidP="00EF49EF">
      <w:pPr>
        <w:rPr>
          <w:szCs w:val="24"/>
          <w:lang w:val="en-US"/>
        </w:rPr>
      </w:pPr>
      <w:r w:rsidRPr="008839C1">
        <w:rPr>
          <w:szCs w:val="24"/>
          <w:lang w:val="en-US"/>
        </w:rPr>
        <w:lastRenderedPageBreak/>
        <w:t>The principal AZ plane pattern in both rectangular and polar coordinates is shown in Figs</w:t>
      </w:r>
      <w:r w:rsidR="00EF49EF">
        <w:rPr>
          <w:szCs w:val="24"/>
          <w:lang w:val="en-US"/>
        </w:rPr>
        <w:t>.</w:t>
      </w:r>
      <w:r w:rsidRPr="008839C1">
        <w:rPr>
          <w:szCs w:val="24"/>
          <w:lang w:val="en-US"/>
        </w:rPr>
        <w:t xml:space="preserve"> C3 and</w:t>
      </w:r>
      <w:r w:rsidR="00C309C4">
        <w:rPr>
          <w:szCs w:val="24"/>
          <w:lang w:val="en-US"/>
        </w:rPr>
        <w:t> </w:t>
      </w:r>
      <w:r w:rsidRPr="008839C1">
        <w:rPr>
          <w:szCs w:val="24"/>
          <w:lang w:val="en-US"/>
        </w:rPr>
        <w:t>C4.</w:t>
      </w:r>
    </w:p>
    <w:p w:rsidR="00071226" w:rsidRPr="008839C1" w:rsidRDefault="00071226" w:rsidP="00071226">
      <w:pPr>
        <w:pStyle w:val="FigureNo"/>
        <w:rPr>
          <w:lang w:val="en-US"/>
        </w:rPr>
      </w:pPr>
      <w:r w:rsidRPr="008839C1">
        <w:rPr>
          <w:lang w:val="en-US"/>
        </w:rPr>
        <w:t>Figure C3</w:t>
      </w:r>
    </w:p>
    <w:p w:rsidR="00071226" w:rsidRPr="008839C1" w:rsidRDefault="00071226" w:rsidP="00071226">
      <w:pPr>
        <w:pStyle w:val="Figuretitle"/>
        <w:rPr>
          <w:lang w:val="en-US"/>
        </w:rPr>
      </w:pPr>
      <w:r w:rsidRPr="008839C1">
        <w:rPr>
          <w:lang w:val="en-US"/>
        </w:rPr>
        <w:t>Principal AZ plane pattern in rectangular coordinates</w:t>
      </w:r>
    </w:p>
    <w:p w:rsidR="00071226" w:rsidRDefault="00071226" w:rsidP="00EF49EF">
      <w:pPr>
        <w:pStyle w:val="Figure"/>
      </w:pPr>
      <w:r w:rsidRPr="008755CA">
        <w:rPr>
          <w:noProof/>
          <w:lang w:val="en-US" w:eastAsia="zh-CN"/>
        </w:rPr>
        <w:drawing>
          <wp:inline distT="0" distB="0" distL="0" distR="0" wp14:anchorId="5EB2C9EA" wp14:editId="0BF8F9F7">
            <wp:extent cx="4993640" cy="38004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3640" cy="3800475"/>
                    </a:xfrm>
                    <a:prstGeom prst="rect">
                      <a:avLst/>
                    </a:prstGeom>
                    <a:noFill/>
                    <a:ln>
                      <a:noFill/>
                    </a:ln>
                  </pic:spPr>
                </pic:pic>
              </a:graphicData>
            </a:graphic>
          </wp:inline>
        </w:drawing>
      </w:r>
    </w:p>
    <w:p w:rsidR="00071226" w:rsidRPr="008839C1" w:rsidRDefault="00071226" w:rsidP="00071226">
      <w:pPr>
        <w:pStyle w:val="FigureNo"/>
        <w:rPr>
          <w:lang w:val="en-US"/>
        </w:rPr>
      </w:pPr>
      <w:r w:rsidRPr="008839C1">
        <w:rPr>
          <w:lang w:val="en-US"/>
        </w:rPr>
        <w:lastRenderedPageBreak/>
        <w:t>Figure C4</w:t>
      </w:r>
    </w:p>
    <w:p w:rsidR="00071226" w:rsidRPr="008839C1" w:rsidRDefault="00071226" w:rsidP="00071226">
      <w:pPr>
        <w:pStyle w:val="Figuretitle"/>
        <w:rPr>
          <w:lang w:val="en-US"/>
        </w:rPr>
      </w:pPr>
      <w:r w:rsidRPr="008839C1">
        <w:rPr>
          <w:lang w:val="en-US"/>
        </w:rPr>
        <w:t>Principal AZ plane pattern in polar coordinates</w:t>
      </w:r>
    </w:p>
    <w:p w:rsidR="00071226" w:rsidRDefault="00071226" w:rsidP="00EF49EF">
      <w:pPr>
        <w:pStyle w:val="Figure"/>
      </w:pPr>
      <w:r w:rsidRPr="008755CA">
        <w:rPr>
          <w:noProof/>
          <w:lang w:val="en-US" w:eastAsia="zh-CN"/>
        </w:rPr>
        <w:drawing>
          <wp:inline distT="0" distB="0" distL="0" distR="0" wp14:anchorId="699A380B" wp14:editId="5C64EA7E">
            <wp:extent cx="4874260" cy="4476750"/>
            <wp:effectExtent l="0" t="0" r="254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4260" cy="4476750"/>
                    </a:xfrm>
                    <a:prstGeom prst="rect">
                      <a:avLst/>
                    </a:prstGeom>
                    <a:noFill/>
                    <a:ln>
                      <a:noFill/>
                    </a:ln>
                  </pic:spPr>
                </pic:pic>
              </a:graphicData>
            </a:graphic>
          </wp:inline>
        </w:drawing>
      </w:r>
    </w:p>
    <w:p w:rsidR="00071226" w:rsidRPr="008839C1" w:rsidRDefault="00071226" w:rsidP="00D25D4F">
      <w:pPr>
        <w:rPr>
          <w:szCs w:val="24"/>
          <w:lang w:val="en-US"/>
        </w:rPr>
      </w:pPr>
      <w:r w:rsidRPr="008839C1">
        <w:rPr>
          <w:szCs w:val="24"/>
          <w:lang w:val="en-US"/>
        </w:rPr>
        <w:t>Figures C5</w:t>
      </w:r>
      <w:r w:rsidR="00D25D4F">
        <w:rPr>
          <w:szCs w:val="24"/>
          <w:lang w:val="en-US"/>
        </w:rPr>
        <w:t> to </w:t>
      </w:r>
      <w:r w:rsidRPr="008839C1">
        <w:rPr>
          <w:szCs w:val="24"/>
          <w:lang w:val="en-US"/>
        </w:rPr>
        <w:t>C7 show the 3D pattern from oblique, top-down, and side views. It should be noted that in these 3D plots, the actual minimum gain value of the pattern is G</w:t>
      </w:r>
      <w:r w:rsidRPr="008839C1">
        <w:rPr>
          <w:szCs w:val="24"/>
          <w:vertAlign w:val="subscript"/>
          <w:lang w:val="en-US"/>
        </w:rPr>
        <w:t>180</w:t>
      </w:r>
      <w:r w:rsidRPr="008839C1">
        <w:rPr>
          <w:szCs w:val="24"/>
          <w:lang w:val="en-US"/>
        </w:rPr>
        <w:t xml:space="preserve"> = –24.5 dB and the maximum gain value is 0 dB.</w:t>
      </w:r>
      <w:r w:rsidR="00BF1B1C">
        <w:rPr>
          <w:szCs w:val="24"/>
          <w:lang w:val="en-US"/>
        </w:rPr>
        <w:t xml:space="preserve"> </w:t>
      </w:r>
      <w:r w:rsidRPr="008839C1">
        <w:rPr>
          <w:szCs w:val="24"/>
          <w:lang w:val="en-US"/>
        </w:rPr>
        <w:t>But in order to plot the pattern as a 3D surface the gains must be treated as non</w:t>
      </w:r>
      <w:r w:rsidR="00C309C4">
        <w:rPr>
          <w:szCs w:val="24"/>
          <w:lang w:val="en-US"/>
        </w:rPr>
        <w:noBreakHyphen/>
      </w:r>
      <w:r w:rsidRPr="008839C1">
        <w:rPr>
          <w:szCs w:val="24"/>
          <w:lang w:val="en-US"/>
        </w:rPr>
        <w:t>negative radii.</w:t>
      </w:r>
      <w:r w:rsidR="00BF1B1C">
        <w:rPr>
          <w:szCs w:val="24"/>
          <w:lang w:val="en-US"/>
        </w:rPr>
        <w:t xml:space="preserve"> </w:t>
      </w:r>
      <w:r w:rsidRPr="008839C1">
        <w:rPr>
          <w:szCs w:val="24"/>
          <w:lang w:val="en-US"/>
        </w:rPr>
        <w:t>Therefore a constant gain adjustment factor of K =</w:t>
      </w:r>
      <w:r w:rsidR="00BF1B1C">
        <w:rPr>
          <w:szCs w:val="24"/>
          <w:lang w:val="en-US"/>
        </w:rPr>
        <w:t xml:space="preserve"> </w:t>
      </w:r>
      <w:r w:rsidRPr="008839C1">
        <w:rPr>
          <w:szCs w:val="24"/>
          <w:lang w:val="en-US"/>
        </w:rPr>
        <w:t>|G</w:t>
      </w:r>
      <w:r w:rsidRPr="008839C1">
        <w:rPr>
          <w:szCs w:val="24"/>
          <w:vertAlign w:val="subscript"/>
          <w:lang w:val="en-US"/>
        </w:rPr>
        <w:t>180</w:t>
      </w:r>
      <w:r w:rsidRPr="008839C1">
        <w:rPr>
          <w:szCs w:val="24"/>
          <w:lang w:val="en-US"/>
        </w:rPr>
        <w:t>| = +24.5 dB is added to all the gain values (i.e. the min gain value of –24.5 dB is assumed to have 0 radius).</w:t>
      </w:r>
      <w:r w:rsidR="00BF1B1C">
        <w:rPr>
          <w:szCs w:val="24"/>
          <w:lang w:val="en-US"/>
        </w:rPr>
        <w:t xml:space="preserve"> </w:t>
      </w:r>
      <w:r w:rsidRPr="008839C1">
        <w:rPr>
          <w:szCs w:val="24"/>
          <w:lang w:val="en-US"/>
        </w:rPr>
        <w:t xml:space="preserve">Therefore the actual relative gain value from the 3D pattern is the radius measured from the origin minus K. </w:t>
      </w:r>
    </w:p>
    <w:p w:rsidR="00071226" w:rsidRPr="008839C1" w:rsidRDefault="00071226" w:rsidP="00071226">
      <w:pPr>
        <w:pStyle w:val="FigureNo"/>
        <w:rPr>
          <w:lang w:val="en-US"/>
        </w:rPr>
      </w:pPr>
      <w:r w:rsidRPr="008839C1">
        <w:rPr>
          <w:lang w:val="en-US"/>
        </w:rPr>
        <w:lastRenderedPageBreak/>
        <w:t>Figure C5</w:t>
      </w:r>
    </w:p>
    <w:p w:rsidR="00071226" w:rsidRPr="008839C1" w:rsidRDefault="00071226" w:rsidP="00071226">
      <w:pPr>
        <w:pStyle w:val="Figuretitle"/>
        <w:rPr>
          <w:lang w:val="en-US"/>
        </w:rPr>
      </w:pPr>
      <w:r w:rsidRPr="008839C1">
        <w:rPr>
          <w:lang w:val="en-US"/>
        </w:rPr>
        <w:t>Oblique view of 3D pattern</w:t>
      </w:r>
    </w:p>
    <w:p w:rsidR="00071226" w:rsidRDefault="00071226" w:rsidP="00EF49EF">
      <w:pPr>
        <w:pStyle w:val="Figure"/>
      </w:pPr>
      <w:r>
        <w:rPr>
          <w:noProof/>
          <w:lang w:val="en-US" w:eastAsia="zh-CN"/>
        </w:rPr>
        <w:drawing>
          <wp:inline distT="0" distB="0" distL="0" distR="0" wp14:anchorId="2684BE37" wp14:editId="4D8200AC">
            <wp:extent cx="5947410" cy="2854325"/>
            <wp:effectExtent l="0" t="0" r="0" b="317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7410" cy="2854325"/>
                    </a:xfrm>
                    <a:prstGeom prst="rect">
                      <a:avLst/>
                    </a:prstGeom>
                    <a:noFill/>
                    <a:ln>
                      <a:noFill/>
                    </a:ln>
                  </pic:spPr>
                </pic:pic>
              </a:graphicData>
            </a:graphic>
          </wp:inline>
        </w:drawing>
      </w:r>
    </w:p>
    <w:p w:rsidR="00EF49EF" w:rsidRPr="00EF49EF" w:rsidRDefault="00EF49EF" w:rsidP="00EF49EF"/>
    <w:p w:rsidR="00071226" w:rsidRPr="008839C1" w:rsidRDefault="00071226" w:rsidP="00071226">
      <w:pPr>
        <w:pStyle w:val="FigureNo"/>
        <w:rPr>
          <w:lang w:val="en-US"/>
        </w:rPr>
      </w:pPr>
      <w:r w:rsidRPr="008839C1">
        <w:rPr>
          <w:lang w:val="en-US"/>
        </w:rPr>
        <w:t>Figure C6</w:t>
      </w:r>
    </w:p>
    <w:p w:rsidR="00071226" w:rsidRPr="008839C1" w:rsidRDefault="00071226" w:rsidP="00071226">
      <w:pPr>
        <w:pStyle w:val="Figuretitle"/>
        <w:rPr>
          <w:lang w:val="en-US"/>
        </w:rPr>
      </w:pPr>
      <w:r w:rsidRPr="008839C1">
        <w:rPr>
          <w:lang w:val="en-US"/>
        </w:rPr>
        <w:t>Top down view of 3D pattern</w:t>
      </w:r>
    </w:p>
    <w:p w:rsidR="00071226" w:rsidRDefault="00071226" w:rsidP="00EF49EF">
      <w:pPr>
        <w:pStyle w:val="Figure"/>
      </w:pPr>
      <w:r>
        <w:rPr>
          <w:noProof/>
          <w:lang w:val="en-US" w:eastAsia="zh-CN"/>
        </w:rPr>
        <w:drawing>
          <wp:inline distT="0" distB="0" distL="0" distR="0" wp14:anchorId="0F60A546" wp14:editId="09B1194B">
            <wp:extent cx="5947410" cy="2854325"/>
            <wp:effectExtent l="0" t="0" r="0" b="317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7410" cy="2854325"/>
                    </a:xfrm>
                    <a:prstGeom prst="rect">
                      <a:avLst/>
                    </a:prstGeom>
                    <a:noFill/>
                    <a:ln>
                      <a:noFill/>
                    </a:ln>
                  </pic:spPr>
                </pic:pic>
              </a:graphicData>
            </a:graphic>
          </wp:inline>
        </w:drawing>
      </w:r>
    </w:p>
    <w:p w:rsidR="00071226" w:rsidRDefault="00071226" w:rsidP="00EF49EF"/>
    <w:p w:rsidR="00071226" w:rsidRDefault="00071226" w:rsidP="00071226">
      <w:pPr>
        <w:overflowPunct/>
        <w:autoSpaceDE/>
        <w:autoSpaceDN/>
        <w:adjustRightInd/>
        <w:spacing w:before="0"/>
        <w:textAlignment w:val="auto"/>
        <w:rPr>
          <w:caps/>
          <w:sz w:val="20"/>
        </w:rPr>
      </w:pPr>
      <w:r>
        <w:br w:type="page"/>
      </w:r>
    </w:p>
    <w:p w:rsidR="00071226" w:rsidRPr="008839C1" w:rsidRDefault="00071226" w:rsidP="00071226">
      <w:pPr>
        <w:pStyle w:val="FigureNo"/>
        <w:rPr>
          <w:lang w:val="en-US"/>
        </w:rPr>
      </w:pPr>
      <w:r w:rsidRPr="008839C1">
        <w:rPr>
          <w:lang w:val="en-US"/>
        </w:rPr>
        <w:lastRenderedPageBreak/>
        <w:t>Figure C7</w:t>
      </w:r>
    </w:p>
    <w:p w:rsidR="00071226" w:rsidRPr="008839C1" w:rsidRDefault="00071226" w:rsidP="00071226">
      <w:pPr>
        <w:pStyle w:val="Figuretitle"/>
        <w:rPr>
          <w:lang w:val="en-US"/>
        </w:rPr>
      </w:pPr>
      <w:r w:rsidRPr="008839C1">
        <w:rPr>
          <w:lang w:val="en-US"/>
        </w:rPr>
        <w:t>Side view of 3D pattern</w:t>
      </w:r>
    </w:p>
    <w:p w:rsidR="00071226" w:rsidRDefault="00071226" w:rsidP="00EF49EF">
      <w:pPr>
        <w:pStyle w:val="Figure"/>
      </w:pPr>
      <w:r>
        <w:rPr>
          <w:noProof/>
          <w:lang w:val="en-US" w:eastAsia="zh-CN"/>
        </w:rPr>
        <w:drawing>
          <wp:inline distT="0" distB="0" distL="0" distR="0" wp14:anchorId="6A2401D3" wp14:editId="0266E29C">
            <wp:extent cx="5947410" cy="283845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7410" cy="2838450"/>
                    </a:xfrm>
                    <a:prstGeom prst="rect">
                      <a:avLst/>
                    </a:prstGeom>
                    <a:noFill/>
                    <a:ln>
                      <a:noFill/>
                    </a:ln>
                  </pic:spPr>
                </pic:pic>
              </a:graphicData>
            </a:graphic>
          </wp:inline>
        </w:drawing>
      </w:r>
    </w:p>
    <w:p w:rsidR="00071226" w:rsidRDefault="00071226" w:rsidP="00C741F6"/>
    <w:p w:rsidR="00EF49EF" w:rsidRDefault="00EF49EF" w:rsidP="00C741F6"/>
    <w:p w:rsidR="00071226" w:rsidRPr="00C309C4" w:rsidRDefault="00EF49EF" w:rsidP="00EF49EF">
      <w:pPr>
        <w:pStyle w:val="AnnexNoTitle"/>
        <w:rPr>
          <w:lang w:val="en-US"/>
        </w:rPr>
      </w:pPr>
      <w:r w:rsidRPr="00EF49EF">
        <w:rPr>
          <w:lang w:val="en-US"/>
        </w:rPr>
        <w:t>Annex</w:t>
      </w:r>
      <w:r w:rsidR="00071226" w:rsidRPr="00C309C4">
        <w:rPr>
          <w:lang w:val="en-US"/>
        </w:rPr>
        <w:t xml:space="preserve"> D</w:t>
      </w:r>
      <w:r>
        <w:rPr>
          <w:lang w:val="en-US"/>
        </w:rPr>
        <w:br/>
      </w:r>
      <w:r>
        <w:rPr>
          <w:lang w:val="en-US"/>
        </w:rPr>
        <w:br/>
      </w:r>
      <w:r w:rsidRPr="00C309C4">
        <w:rPr>
          <w:lang w:val="en-US"/>
        </w:rPr>
        <w:t>Method for applying Recommendation ITU-R P.452 clutter model</w:t>
      </w:r>
    </w:p>
    <w:p w:rsidR="00071226" w:rsidRPr="00C309C4" w:rsidRDefault="00071226" w:rsidP="00EF49EF">
      <w:pPr>
        <w:pStyle w:val="Normalaftertitle"/>
        <w:rPr>
          <w:lang w:val="en-US"/>
        </w:rPr>
      </w:pPr>
      <w:r w:rsidRPr="00C309C4">
        <w:rPr>
          <w:lang w:val="en-US"/>
        </w:rPr>
        <w:t xml:space="preserve">This </w:t>
      </w:r>
      <w:r w:rsidR="00EF49EF" w:rsidRPr="00EF49EF">
        <w:rPr>
          <w:lang w:val="en-US"/>
        </w:rPr>
        <w:t>Annex</w:t>
      </w:r>
      <w:r w:rsidRPr="00C309C4">
        <w:rPr>
          <w:lang w:val="en-US"/>
        </w:rPr>
        <w:t xml:space="preserve"> describes the methodology used to apply the clutter model of </w:t>
      </w:r>
      <w:r w:rsidRPr="00C309C4">
        <w:rPr>
          <w:rFonts w:asciiTheme="majorBidi" w:hAnsiTheme="majorBidi" w:cstheme="majorBidi"/>
          <w:lang w:val="en-US"/>
        </w:rPr>
        <w:t>Recommendation I</w:t>
      </w:r>
      <w:r w:rsidRPr="00C309C4">
        <w:rPr>
          <w:lang w:val="en-US"/>
        </w:rPr>
        <w:t>TU</w:t>
      </w:r>
      <w:r w:rsidR="00C309C4">
        <w:rPr>
          <w:lang w:val="en-US"/>
        </w:rPr>
        <w:noBreakHyphen/>
      </w:r>
      <w:r w:rsidRPr="00C309C4">
        <w:rPr>
          <w:lang w:val="en-US"/>
        </w:rPr>
        <w:t>R</w:t>
      </w:r>
      <w:r w:rsidR="00EF49EF">
        <w:rPr>
          <w:lang w:val="en-US"/>
        </w:rPr>
        <w:t> </w:t>
      </w:r>
      <w:r w:rsidRPr="00C309C4">
        <w:rPr>
          <w:lang w:val="en-US"/>
        </w:rPr>
        <w:t>P.452 § 4.5.3. The model, which is intended to be used for interference from one point on the Earth to another point on the Earth, has a clu</w:t>
      </w:r>
      <w:r w:rsidR="00EF49EF">
        <w:rPr>
          <w:lang w:val="en-US"/>
        </w:rPr>
        <w:t>tter model which is applied by:</w:t>
      </w:r>
    </w:p>
    <w:p w:rsidR="00071226" w:rsidRPr="008839C1" w:rsidRDefault="00071226" w:rsidP="00071226">
      <w:pPr>
        <w:pStyle w:val="enumlev1"/>
        <w:rPr>
          <w:lang w:val="en-US"/>
        </w:rPr>
      </w:pPr>
      <w:r w:rsidRPr="008839C1">
        <w:rPr>
          <w:lang w:val="en-US"/>
        </w:rPr>
        <w:t>1</w:t>
      </w:r>
      <w:r w:rsidRPr="008839C1">
        <w:rPr>
          <w:lang w:val="en-US"/>
        </w:rPr>
        <w:tab/>
        <w:t>calculate the clutter losses at either one or both ends of the link using a set of clutter categories and nominal values of clutter height and distance;</w:t>
      </w:r>
    </w:p>
    <w:p w:rsidR="00071226" w:rsidRPr="008839C1" w:rsidRDefault="00071226" w:rsidP="00EF49EF">
      <w:pPr>
        <w:pStyle w:val="enumlev1"/>
        <w:rPr>
          <w:lang w:val="en-US"/>
        </w:rPr>
      </w:pPr>
      <w:r w:rsidRPr="008839C1">
        <w:rPr>
          <w:lang w:val="en-US"/>
        </w:rPr>
        <w:t>2</w:t>
      </w:r>
      <w:r w:rsidRPr="008839C1">
        <w:rPr>
          <w:lang w:val="en-US"/>
        </w:rPr>
        <w:tab/>
        <w:t>assume the transmitter or receiver or both, which is imbedded in the clutter, is moved to the opposite side of the clutter.</w:t>
      </w:r>
      <w:r w:rsidR="00BF1B1C">
        <w:rPr>
          <w:lang w:val="en-US"/>
        </w:rPr>
        <w:t xml:space="preserve"> </w:t>
      </w:r>
      <w:r w:rsidRPr="008839C1">
        <w:rPr>
          <w:lang w:val="en-US"/>
        </w:rPr>
        <w:t>(i.e. Place the antenna(s) imbedded in clutter at the nominal clutter height);</w:t>
      </w:r>
    </w:p>
    <w:p w:rsidR="00071226" w:rsidRPr="008839C1" w:rsidRDefault="00071226" w:rsidP="00071226">
      <w:pPr>
        <w:pStyle w:val="enumlev1"/>
        <w:rPr>
          <w:lang w:val="en-US"/>
        </w:rPr>
      </w:pPr>
      <w:r w:rsidRPr="008839C1">
        <w:rPr>
          <w:lang w:val="en-US"/>
        </w:rPr>
        <w:t>3</w:t>
      </w:r>
      <w:r w:rsidRPr="008839C1">
        <w:rPr>
          <w:lang w:val="en-US"/>
        </w:rPr>
        <w:tab/>
        <w:t>calculate the rest of the losses as though there was no clutter using the new antenna placement(s) and add the clutter losses from step 1 at the end.</w:t>
      </w:r>
    </w:p>
    <w:p w:rsidR="00071226" w:rsidRPr="008839C1" w:rsidRDefault="00071226" w:rsidP="00071226">
      <w:pPr>
        <w:rPr>
          <w:lang w:val="en-US"/>
        </w:rPr>
      </w:pPr>
      <w:r w:rsidRPr="008839C1">
        <w:rPr>
          <w:lang w:val="en-US"/>
        </w:rPr>
        <w:t>Since the application of Recommendation ITU-R P.452, as a terrestrial point-to-point model, assumes the propagation paths will be relatively horizontal than most cases as compared to signals going up to an aircraft or spacecraft (as considered in this analysis).</w:t>
      </w:r>
      <w:r w:rsidR="00BF1B1C">
        <w:rPr>
          <w:lang w:val="en-US"/>
        </w:rPr>
        <w:t xml:space="preserve"> </w:t>
      </w:r>
      <w:r w:rsidRPr="008839C1">
        <w:rPr>
          <w:lang w:val="en-US"/>
        </w:rPr>
        <w:t>This would generally make the propagation path through the clutter longer and, consequentially, clutter losses greater.</w:t>
      </w:r>
      <w:r w:rsidR="00BF1B1C">
        <w:rPr>
          <w:lang w:val="en-US"/>
        </w:rPr>
        <w:t xml:space="preserve"> </w:t>
      </w:r>
      <w:r w:rsidRPr="008839C1">
        <w:rPr>
          <w:lang w:val="en-US"/>
        </w:rPr>
        <w:t>Thus, this clutter model can be used as a worst case (i.e. maximum attenuation) for a scenario of a transmitter imbedded in clutter and receiver on a spacecraft.</w:t>
      </w:r>
      <w:r w:rsidR="00BF1B1C">
        <w:rPr>
          <w:lang w:val="en-US"/>
        </w:rPr>
        <w:t xml:space="preserve"> </w:t>
      </w:r>
      <w:r w:rsidRPr="008839C1">
        <w:rPr>
          <w:lang w:val="en-US"/>
        </w:rPr>
        <w:t>The application of this model as used in this analysis is described below:</w:t>
      </w:r>
    </w:p>
    <w:p w:rsidR="00071226" w:rsidRPr="008839C1" w:rsidRDefault="00071226" w:rsidP="00071226">
      <w:pPr>
        <w:pStyle w:val="enumlev1"/>
        <w:rPr>
          <w:lang w:val="en-US"/>
        </w:rPr>
      </w:pPr>
      <w:r w:rsidRPr="008839C1">
        <w:rPr>
          <w:lang w:val="en-US"/>
        </w:rPr>
        <w:t>–</w:t>
      </w:r>
      <w:r w:rsidRPr="008839C1">
        <w:rPr>
          <w:lang w:val="en-US"/>
        </w:rPr>
        <w:tab/>
      </w:r>
      <w:r w:rsidRPr="008839C1">
        <w:rPr>
          <w:b/>
          <w:bCs/>
          <w:lang w:val="en-US"/>
        </w:rPr>
        <w:t xml:space="preserve">Step 1: </w:t>
      </w:r>
      <w:r w:rsidRPr="008839C1">
        <w:rPr>
          <w:lang w:val="en-US"/>
        </w:rPr>
        <w:t>Apply clutter categories, heights and distances as provided in Table 4 of Recommendation ITU-R P.452.</w:t>
      </w:r>
      <w:r w:rsidR="00BF1B1C">
        <w:rPr>
          <w:lang w:val="en-US"/>
        </w:rPr>
        <w:t xml:space="preserve"> </w:t>
      </w:r>
      <w:r w:rsidRPr="008839C1">
        <w:rPr>
          <w:lang w:val="en-US"/>
        </w:rPr>
        <w:t>The representative clutter categories as applied to the Recommendation ITU-R P.452 clutter categories with the rural, suburban, and urban categories used in the analysis is presented in Table D1, below.</w:t>
      </w:r>
    </w:p>
    <w:p w:rsidR="00071226" w:rsidRPr="008839C1" w:rsidRDefault="00071226" w:rsidP="00071226">
      <w:pPr>
        <w:pStyle w:val="TableNo"/>
        <w:rPr>
          <w:lang w:val="en-US"/>
        </w:rPr>
      </w:pPr>
      <w:r w:rsidRPr="008839C1">
        <w:rPr>
          <w:lang w:val="en-US"/>
        </w:rPr>
        <w:lastRenderedPageBreak/>
        <w:t>Table D1</w:t>
      </w:r>
    </w:p>
    <w:p w:rsidR="00071226" w:rsidRPr="008839C1" w:rsidRDefault="00071226" w:rsidP="00071226">
      <w:pPr>
        <w:pStyle w:val="Tabletitle"/>
        <w:rPr>
          <w:lang w:val="en-US"/>
        </w:rPr>
      </w:pPr>
      <w:r w:rsidRPr="008839C1">
        <w:rPr>
          <w:lang w:val="en-US"/>
        </w:rPr>
        <w:t>Listing of Recommendation ITU-R P.452 clutter categories</w:t>
      </w:r>
    </w:p>
    <w:tbl>
      <w:tblPr>
        <w:tblW w:w="0" w:type="auto"/>
        <w:jc w:val="center"/>
        <w:tblLayout w:type="fixed"/>
        <w:tblLook w:val="04A0" w:firstRow="1" w:lastRow="0" w:firstColumn="1" w:lastColumn="0" w:noHBand="0" w:noVBand="1"/>
      </w:tblPr>
      <w:tblGrid>
        <w:gridCol w:w="1247"/>
        <w:gridCol w:w="3111"/>
        <w:gridCol w:w="1701"/>
        <w:gridCol w:w="1815"/>
      </w:tblGrid>
      <w:tr w:rsidR="00071226" w:rsidRPr="00F90CAF" w:rsidTr="005B7C81">
        <w:trPr>
          <w:trHeight w:val="20"/>
          <w:jc w:val="center"/>
        </w:trPr>
        <w:tc>
          <w:tcPr>
            <w:tcW w:w="1247" w:type="dxa"/>
            <w:tcBorders>
              <w:top w:val="nil"/>
              <w:left w:val="nil"/>
              <w:bottom w:val="nil"/>
              <w:right w:val="single" w:sz="4" w:space="0" w:color="auto"/>
            </w:tcBorders>
            <w:shd w:val="clear" w:color="auto" w:fill="auto"/>
            <w:noWrap/>
            <w:vAlign w:val="bottom"/>
            <w:hideMark/>
          </w:tcPr>
          <w:p w:rsidR="00071226" w:rsidRPr="00F62386" w:rsidRDefault="00071226" w:rsidP="00EF49EF">
            <w:pPr>
              <w:pStyle w:val="Tablehead"/>
              <w:rPr>
                <w:lang w:val="en-US"/>
              </w:rPr>
            </w:pPr>
          </w:p>
        </w:tc>
        <w:tc>
          <w:tcPr>
            <w:tcW w:w="66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71226" w:rsidRPr="00F62386" w:rsidRDefault="00071226" w:rsidP="00EF49EF">
            <w:pPr>
              <w:pStyle w:val="Tablehead"/>
              <w:rPr>
                <w:bCs/>
                <w:lang w:val="en-US"/>
              </w:rPr>
            </w:pPr>
            <w:r w:rsidRPr="00F62386">
              <w:rPr>
                <w:bCs/>
                <w:lang w:val="en-US"/>
              </w:rPr>
              <w:t>Nominal clutter heights and distances</w:t>
            </w:r>
          </w:p>
        </w:tc>
      </w:tr>
      <w:tr w:rsidR="00071226" w:rsidRPr="00F62386" w:rsidTr="005B7C81">
        <w:trPr>
          <w:trHeight w:val="20"/>
          <w:jc w:val="center"/>
        </w:trPr>
        <w:tc>
          <w:tcPr>
            <w:tcW w:w="1247" w:type="dxa"/>
            <w:tcBorders>
              <w:top w:val="nil"/>
              <w:left w:val="nil"/>
              <w:bottom w:val="nil"/>
              <w:right w:val="single" w:sz="4" w:space="0" w:color="auto"/>
            </w:tcBorders>
            <w:shd w:val="clear" w:color="auto" w:fill="auto"/>
            <w:noWrap/>
            <w:vAlign w:val="bottom"/>
            <w:hideMark/>
          </w:tcPr>
          <w:p w:rsidR="00071226" w:rsidRPr="00F62386" w:rsidRDefault="00071226" w:rsidP="00EF49EF">
            <w:pPr>
              <w:pStyle w:val="Tablehead"/>
              <w:rPr>
                <w:lang w:val="en-US"/>
              </w:rPr>
            </w:pPr>
          </w:p>
        </w:tc>
        <w:tc>
          <w:tcPr>
            <w:tcW w:w="3111" w:type="dxa"/>
            <w:vMerge w:val="restart"/>
            <w:tcBorders>
              <w:top w:val="single" w:sz="4" w:space="0" w:color="auto"/>
              <w:left w:val="single" w:sz="4" w:space="0" w:color="auto"/>
              <w:bottom w:val="single" w:sz="4" w:space="0" w:color="auto"/>
              <w:right w:val="single" w:sz="4" w:space="0" w:color="auto"/>
            </w:tcBorders>
            <w:shd w:val="clear" w:color="000000" w:fill="EEECE1"/>
            <w:vAlign w:val="bottom"/>
            <w:hideMark/>
          </w:tcPr>
          <w:p w:rsidR="00071226" w:rsidRPr="00F62386" w:rsidRDefault="00071226" w:rsidP="00EF49EF">
            <w:pPr>
              <w:pStyle w:val="Tablehead"/>
              <w:rPr>
                <w:bCs/>
                <w:sz w:val="20"/>
                <w:lang w:val="en-US"/>
              </w:rPr>
            </w:pPr>
            <w:r w:rsidRPr="00F62386">
              <w:rPr>
                <w:bCs/>
                <w:sz w:val="20"/>
                <w:lang w:val="en-US"/>
              </w:rPr>
              <w:t>Clutter (ground-cover) category</w:t>
            </w:r>
          </w:p>
        </w:tc>
        <w:tc>
          <w:tcPr>
            <w:tcW w:w="1701"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071226" w:rsidRPr="00F62386" w:rsidRDefault="00071226" w:rsidP="00EF49EF">
            <w:pPr>
              <w:pStyle w:val="Tablehead"/>
              <w:rPr>
                <w:bCs/>
                <w:sz w:val="20"/>
                <w:lang w:val="en-US"/>
              </w:rPr>
            </w:pPr>
            <w:r w:rsidRPr="00F62386">
              <w:rPr>
                <w:bCs/>
                <w:sz w:val="20"/>
                <w:lang w:val="en-US"/>
              </w:rPr>
              <w:t xml:space="preserve">Nominal height, </w:t>
            </w:r>
            <w:r w:rsidRPr="00F62386">
              <w:rPr>
                <w:bCs/>
                <w:i/>
                <w:iCs/>
                <w:sz w:val="20"/>
                <w:lang w:val="en-US"/>
              </w:rPr>
              <w:t>h</w:t>
            </w:r>
            <w:r w:rsidRPr="00F62386">
              <w:rPr>
                <w:bCs/>
                <w:i/>
                <w:iCs/>
                <w:sz w:val="20"/>
                <w:vertAlign w:val="subscript"/>
                <w:lang w:val="en-US"/>
              </w:rPr>
              <w:t>a</w:t>
            </w:r>
          </w:p>
        </w:tc>
        <w:tc>
          <w:tcPr>
            <w:tcW w:w="1814"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071226" w:rsidRPr="00F62386" w:rsidRDefault="00071226" w:rsidP="00EF49EF">
            <w:pPr>
              <w:pStyle w:val="Tablehead"/>
              <w:rPr>
                <w:bCs/>
                <w:sz w:val="20"/>
                <w:lang w:val="en-US"/>
              </w:rPr>
            </w:pPr>
            <w:r w:rsidRPr="00F62386">
              <w:rPr>
                <w:bCs/>
                <w:sz w:val="20"/>
                <w:lang w:val="en-US"/>
              </w:rPr>
              <w:t xml:space="preserve">Nominal distance, </w:t>
            </w:r>
            <w:r w:rsidRPr="00F62386">
              <w:rPr>
                <w:bCs/>
                <w:i/>
                <w:iCs/>
                <w:sz w:val="20"/>
                <w:lang w:val="en-US"/>
              </w:rPr>
              <w:t>d</w:t>
            </w:r>
            <w:r w:rsidRPr="00F62386">
              <w:rPr>
                <w:bCs/>
                <w:i/>
                <w:iCs/>
                <w:sz w:val="20"/>
                <w:vertAlign w:val="subscript"/>
                <w:lang w:val="en-US"/>
              </w:rPr>
              <w:t>k</w:t>
            </w:r>
          </w:p>
        </w:tc>
      </w:tr>
      <w:tr w:rsidR="00071226" w:rsidRPr="00F62386" w:rsidTr="005B7C81">
        <w:trPr>
          <w:trHeight w:val="20"/>
          <w:jc w:val="center"/>
        </w:trPr>
        <w:tc>
          <w:tcPr>
            <w:tcW w:w="1247" w:type="dxa"/>
            <w:tcBorders>
              <w:top w:val="nil"/>
              <w:left w:val="nil"/>
              <w:bottom w:val="nil"/>
              <w:right w:val="single" w:sz="4" w:space="0" w:color="auto"/>
            </w:tcBorders>
            <w:shd w:val="clear" w:color="auto" w:fill="auto"/>
            <w:noWrap/>
            <w:vAlign w:val="bottom"/>
            <w:hideMark/>
          </w:tcPr>
          <w:p w:rsidR="00071226" w:rsidRPr="00F62386" w:rsidRDefault="00071226" w:rsidP="00EF49EF">
            <w:pPr>
              <w:pStyle w:val="Tablehead"/>
              <w:rPr>
                <w:lang w:val="en-US"/>
              </w:rPr>
            </w:pPr>
          </w:p>
        </w:tc>
        <w:tc>
          <w:tcPr>
            <w:tcW w:w="3111" w:type="dxa"/>
            <w:vMerge/>
            <w:tcBorders>
              <w:top w:val="single" w:sz="4" w:space="0" w:color="auto"/>
              <w:left w:val="single" w:sz="4" w:space="0" w:color="auto"/>
              <w:bottom w:val="single" w:sz="4" w:space="0" w:color="auto"/>
              <w:right w:val="single" w:sz="4" w:space="0" w:color="auto"/>
            </w:tcBorders>
            <w:vAlign w:val="center"/>
            <w:hideMark/>
          </w:tcPr>
          <w:p w:rsidR="00071226" w:rsidRPr="00F62386" w:rsidRDefault="00071226" w:rsidP="00EF49EF">
            <w:pPr>
              <w:pStyle w:val="Tablehead"/>
              <w:rPr>
                <w:bCs/>
                <w:sz w:val="20"/>
                <w:lang w:val="en-US"/>
              </w:rPr>
            </w:pPr>
          </w:p>
        </w:tc>
        <w:tc>
          <w:tcPr>
            <w:tcW w:w="1701"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071226" w:rsidRPr="00F62386" w:rsidRDefault="00071226" w:rsidP="00EF49EF">
            <w:pPr>
              <w:pStyle w:val="Tablehead"/>
              <w:rPr>
                <w:bCs/>
                <w:sz w:val="20"/>
                <w:lang w:val="en-US"/>
              </w:rPr>
            </w:pPr>
            <w:r w:rsidRPr="00F62386">
              <w:rPr>
                <w:bCs/>
                <w:sz w:val="20"/>
                <w:lang w:val="en-US"/>
              </w:rPr>
              <w:t>(m)</w:t>
            </w:r>
          </w:p>
        </w:tc>
        <w:tc>
          <w:tcPr>
            <w:tcW w:w="1814"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071226" w:rsidRPr="00F62386" w:rsidRDefault="00071226" w:rsidP="00EF49EF">
            <w:pPr>
              <w:pStyle w:val="Tablehead"/>
              <w:rPr>
                <w:bCs/>
                <w:sz w:val="20"/>
                <w:lang w:val="en-US"/>
              </w:rPr>
            </w:pPr>
            <w:r w:rsidRPr="00F62386">
              <w:rPr>
                <w:bCs/>
                <w:sz w:val="20"/>
                <w:lang w:val="en-US"/>
              </w:rPr>
              <w:t>(km)</w:t>
            </w:r>
          </w:p>
        </w:tc>
      </w:tr>
      <w:tr w:rsidR="00071226" w:rsidRPr="00F62386" w:rsidTr="005B7C81">
        <w:trPr>
          <w:trHeight w:val="20"/>
          <w:jc w:val="center"/>
        </w:trPr>
        <w:tc>
          <w:tcPr>
            <w:tcW w:w="1247" w:type="dxa"/>
            <w:vMerge w:val="restar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71226" w:rsidRPr="00F62386" w:rsidRDefault="00071226" w:rsidP="00EF49EF">
            <w:pPr>
              <w:pStyle w:val="Tabletext"/>
              <w:rPr>
                <w:lang w:val="en-US"/>
              </w:rPr>
            </w:pPr>
            <w:r w:rsidRPr="00F62386">
              <w:rPr>
                <w:lang w:val="en-US"/>
              </w:rPr>
              <w:t>Rural</w:t>
            </w:r>
          </w:p>
        </w:tc>
        <w:tc>
          <w:tcPr>
            <w:tcW w:w="311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rPr>
                <w:sz w:val="20"/>
                <w:lang w:val="en-US"/>
              </w:rPr>
            </w:pPr>
            <w:r w:rsidRPr="00F62386">
              <w:rPr>
                <w:sz w:val="20"/>
                <w:lang w:val="en-US"/>
              </w:rPr>
              <w:t>High crop fields</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071226" w:rsidRPr="00F62386" w:rsidRDefault="00071226" w:rsidP="00EF49EF">
            <w:pPr>
              <w:pStyle w:val="Tabletext"/>
              <w:jc w:val="center"/>
              <w:rPr>
                <w:sz w:val="20"/>
                <w:lang w:val="en-US"/>
              </w:rPr>
            </w:pPr>
            <w:r w:rsidRPr="00F62386">
              <w:rPr>
                <w:sz w:val="20"/>
                <w:lang w:val="en-US"/>
              </w:rPr>
              <w:t>4</w:t>
            </w:r>
          </w:p>
        </w:tc>
        <w:tc>
          <w:tcPr>
            <w:tcW w:w="1814" w:type="dxa"/>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rsidR="00071226" w:rsidRPr="00F62386" w:rsidRDefault="00071226" w:rsidP="00EF49EF">
            <w:pPr>
              <w:pStyle w:val="Tabletext"/>
              <w:jc w:val="center"/>
              <w:rPr>
                <w:sz w:val="20"/>
                <w:lang w:val="en-US"/>
              </w:rPr>
            </w:pPr>
            <w:r w:rsidRPr="00F62386">
              <w:rPr>
                <w:sz w:val="20"/>
                <w:lang w:val="en-US"/>
              </w:rPr>
              <w:t>0.1</w:t>
            </w:r>
          </w:p>
        </w:tc>
      </w:tr>
      <w:tr w:rsidR="00071226" w:rsidRPr="00F62386" w:rsidTr="005B7C81">
        <w:trPr>
          <w:trHeight w:val="20"/>
          <w:jc w:val="center"/>
        </w:trPr>
        <w:tc>
          <w:tcPr>
            <w:tcW w:w="1247" w:type="dxa"/>
            <w:vMerge/>
            <w:tcBorders>
              <w:top w:val="single" w:sz="8" w:space="0" w:color="auto"/>
              <w:left w:val="single" w:sz="8" w:space="0" w:color="auto"/>
              <w:bottom w:val="single" w:sz="8" w:space="0" w:color="auto"/>
              <w:right w:val="single" w:sz="4" w:space="0" w:color="auto"/>
            </w:tcBorders>
            <w:vAlign w:val="center"/>
            <w:hideMark/>
          </w:tcPr>
          <w:p w:rsidR="00071226" w:rsidRPr="00F62386" w:rsidRDefault="00071226" w:rsidP="00EF49EF">
            <w:pPr>
              <w:pStyle w:val="Tabletext"/>
              <w:rPr>
                <w:lang w:val="en-US"/>
              </w:rPr>
            </w:pPr>
          </w:p>
        </w:tc>
        <w:tc>
          <w:tcPr>
            <w:tcW w:w="311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rPr>
                <w:sz w:val="20"/>
                <w:lang w:val="en-US"/>
              </w:rPr>
            </w:pPr>
            <w:r w:rsidRPr="00F62386">
              <w:rPr>
                <w:sz w:val="20"/>
                <w:lang w:val="en-US"/>
              </w:rPr>
              <w:t>Park land</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71226" w:rsidRPr="00F62386" w:rsidRDefault="00071226" w:rsidP="00EF49EF">
            <w:pPr>
              <w:pStyle w:val="Tabletext"/>
              <w:jc w:val="center"/>
              <w:rPr>
                <w:sz w:val="20"/>
                <w:lang w:val="en-US"/>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rsidR="00071226" w:rsidRPr="00F62386" w:rsidRDefault="00071226" w:rsidP="00EF49EF">
            <w:pPr>
              <w:pStyle w:val="Tabletext"/>
              <w:jc w:val="center"/>
              <w:rPr>
                <w:sz w:val="20"/>
                <w:lang w:val="en-US"/>
              </w:rPr>
            </w:pPr>
          </w:p>
        </w:tc>
      </w:tr>
      <w:tr w:rsidR="00071226" w:rsidRPr="00F62386" w:rsidTr="005B7C81">
        <w:trPr>
          <w:trHeight w:val="20"/>
          <w:jc w:val="center"/>
        </w:trPr>
        <w:tc>
          <w:tcPr>
            <w:tcW w:w="1247" w:type="dxa"/>
            <w:vMerge/>
            <w:tcBorders>
              <w:top w:val="single" w:sz="8" w:space="0" w:color="auto"/>
              <w:left w:val="single" w:sz="8" w:space="0" w:color="auto"/>
              <w:bottom w:val="single" w:sz="8" w:space="0" w:color="auto"/>
              <w:right w:val="single" w:sz="4" w:space="0" w:color="auto"/>
            </w:tcBorders>
            <w:vAlign w:val="center"/>
            <w:hideMark/>
          </w:tcPr>
          <w:p w:rsidR="00071226" w:rsidRPr="00F62386" w:rsidRDefault="00071226" w:rsidP="00EF49EF">
            <w:pPr>
              <w:pStyle w:val="Tabletext"/>
              <w:rPr>
                <w:lang w:val="en-US"/>
              </w:rPr>
            </w:pPr>
          </w:p>
        </w:tc>
        <w:tc>
          <w:tcPr>
            <w:tcW w:w="311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rPr>
                <w:sz w:val="20"/>
                <w:lang w:val="en-US"/>
              </w:rPr>
            </w:pPr>
            <w:r w:rsidRPr="00F62386">
              <w:rPr>
                <w:sz w:val="20"/>
                <w:lang w:val="en-US"/>
              </w:rPr>
              <w:t>Irregularly spaced sparse trees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71226" w:rsidRPr="00F62386" w:rsidRDefault="00071226" w:rsidP="00EF49EF">
            <w:pPr>
              <w:pStyle w:val="Tabletext"/>
              <w:jc w:val="center"/>
              <w:rPr>
                <w:sz w:val="20"/>
                <w:lang w:val="en-US"/>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rsidR="00071226" w:rsidRPr="00F62386" w:rsidRDefault="00071226" w:rsidP="00EF49EF">
            <w:pPr>
              <w:pStyle w:val="Tabletext"/>
              <w:jc w:val="center"/>
              <w:rPr>
                <w:sz w:val="20"/>
                <w:lang w:val="en-US"/>
              </w:rPr>
            </w:pPr>
          </w:p>
        </w:tc>
      </w:tr>
      <w:tr w:rsidR="00071226" w:rsidRPr="00F62386" w:rsidTr="005B7C81">
        <w:trPr>
          <w:trHeight w:val="20"/>
          <w:jc w:val="center"/>
        </w:trPr>
        <w:tc>
          <w:tcPr>
            <w:tcW w:w="1247" w:type="dxa"/>
            <w:vMerge/>
            <w:tcBorders>
              <w:top w:val="single" w:sz="8" w:space="0" w:color="auto"/>
              <w:left w:val="single" w:sz="8" w:space="0" w:color="auto"/>
              <w:bottom w:val="single" w:sz="8" w:space="0" w:color="auto"/>
              <w:right w:val="single" w:sz="4" w:space="0" w:color="auto"/>
            </w:tcBorders>
            <w:vAlign w:val="center"/>
            <w:hideMark/>
          </w:tcPr>
          <w:p w:rsidR="00071226" w:rsidRPr="00F62386" w:rsidRDefault="00071226" w:rsidP="00EF49EF">
            <w:pPr>
              <w:pStyle w:val="Tabletext"/>
              <w:rPr>
                <w:lang w:val="en-US"/>
              </w:rPr>
            </w:pPr>
          </w:p>
        </w:tc>
        <w:tc>
          <w:tcPr>
            <w:tcW w:w="311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rPr>
                <w:sz w:val="20"/>
                <w:lang w:val="en-US"/>
              </w:rPr>
            </w:pPr>
            <w:r w:rsidRPr="00F62386">
              <w:rPr>
                <w:sz w:val="20"/>
                <w:lang w:val="en-US"/>
              </w:rPr>
              <w:t>Orchard (regularly spaced)</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71226" w:rsidRPr="00F62386" w:rsidRDefault="00071226" w:rsidP="00EF49EF">
            <w:pPr>
              <w:pStyle w:val="Tabletext"/>
              <w:jc w:val="center"/>
              <w:rPr>
                <w:sz w:val="20"/>
                <w:lang w:val="en-US"/>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rsidR="00071226" w:rsidRPr="00F62386" w:rsidRDefault="00071226" w:rsidP="00EF49EF">
            <w:pPr>
              <w:pStyle w:val="Tabletext"/>
              <w:jc w:val="center"/>
              <w:rPr>
                <w:sz w:val="20"/>
                <w:lang w:val="en-US"/>
              </w:rPr>
            </w:pPr>
          </w:p>
        </w:tc>
      </w:tr>
      <w:tr w:rsidR="00071226" w:rsidRPr="00F62386" w:rsidTr="005B7C81">
        <w:trPr>
          <w:trHeight w:val="20"/>
          <w:jc w:val="center"/>
        </w:trPr>
        <w:tc>
          <w:tcPr>
            <w:tcW w:w="1247" w:type="dxa"/>
            <w:vMerge/>
            <w:tcBorders>
              <w:top w:val="single" w:sz="8" w:space="0" w:color="auto"/>
              <w:left w:val="single" w:sz="8" w:space="0" w:color="auto"/>
              <w:bottom w:val="single" w:sz="8" w:space="0" w:color="auto"/>
              <w:right w:val="single" w:sz="4" w:space="0" w:color="auto"/>
            </w:tcBorders>
            <w:vAlign w:val="center"/>
            <w:hideMark/>
          </w:tcPr>
          <w:p w:rsidR="00071226" w:rsidRPr="00F62386" w:rsidRDefault="00071226" w:rsidP="00EF49EF">
            <w:pPr>
              <w:pStyle w:val="Tabletext"/>
              <w:rPr>
                <w:lang w:val="en-US"/>
              </w:rPr>
            </w:pPr>
          </w:p>
        </w:tc>
        <w:tc>
          <w:tcPr>
            <w:tcW w:w="311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rPr>
                <w:sz w:val="20"/>
                <w:lang w:val="en-US"/>
              </w:rPr>
            </w:pPr>
            <w:r w:rsidRPr="00F62386">
              <w:rPr>
                <w:sz w:val="20"/>
                <w:lang w:val="en-US"/>
              </w:rPr>
              <w:t>Sparse houses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71226" w:rsidRPr="00F62386" w:rsidRDefault="00071226" w:rsidP="00EF49EF">
            <w:pPr>
              <w:pStyle w:val="Tabletext"/>
              <w:jc w:val="center"/>
              <w:rPr>
                <w:sz w:val="20"/>
                <w:lang w:val="en-US"/>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rsidR="00071226" w:rsidRPr="00F62386" w:rsidRDefault="00071226" w:rsidP="00EF49EF">
            <w:pPr>
              <w:pStyle w:val="Tabletext"/>
              <w:jc w:val="center"/>
              <w:rPr>
                <w:sz w:val="20"/>
                <w:lang w:val="en-US"/>
              </w:rPr>
            </w:pPr>
          </w:p>
        </w:tc>
      </w:tr>
      <w:tr w:rsidR="00071226" w:rsidRPr="00F62386" w:rsidTr="005B7C81">
        <w:trPr>
          <w:trHeight w:val="20"/>
          <w:jc w:val="center"/>
        </w:trPr>
        <w:tc>
          <w:tcPr>
            <w:tcW w:w="1247" w:type="dxa"/>
            <w:vMerge w:val="restart"/>
            <w:tcBorders>
              <w:top w:val="nil"/>
              <w:left w:val="single" w:sz="8" w:space="0" w:color="auto"/>
              <w:bottom w:val="single" w:sz="8" w:space="0" w:color="auto"/>
              <w:right w:val="single" w:sz="4" w:space="0" w:color="auto"/>
            </w:tcBorders>
            <w:shd w:val="clear" w:color="auto" w:fill="auto"/>
            <w:noWrap/>
            <w:vAlign w:val="center"/>
            <w:hideMark/>
          </w:tcPr>
          <w:p w:rsidR="00071226" w:rsidRPr="00F62386" w:rsidRDefault="00071226" w:rsidP="00EF49EF">
            <w:pPr>
              <w:pStyle w:val="Tabletext"/>
              <w:rPr>
                <w:lang w:val="en-US"/>
              </w:rPr>
            </w:pPr>
            <w:r w:rsidRPr="00F62386">
              <w:rPr>
                <w:lang w:val="en-US"/>
              </w:rPr>
              <w:t>Suburban</w:t>
            </w:r>
          </w:p>
        </w:tc>
        <w:tc>
          <w:tcPr>
            <w:tcW w:w="311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rPr>
                <w:sz w:val="20"/>
                <w:lang w:val="en-US"/>
              </w:rPr>
            </w:pPr>
            <w:r w:rsidRPr="00F62386">
              <w:rPr>
                <w:sz w:val="20"/>
                <w:lang w:val="en-US"/>
              </w:rPr>
              <w:t>Suburban</w:t>
            </w:r>
          </w:p>
        </w:tc>
        <w:tc>
          <w:tcPr>
            <w:tcW w:w="170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jc w:val="center"/>
              <w:rPr>
                <w:sz w:val="20"/>
                <w:lang w:val="en-US"/>
              </w:rPr>
            </w:pPr>
            <w:r w:rsidRPr="00F62386">
              <w:rPr>
                <w:sz w:val="20"/>
                <w:lang w:val="en-US"/>
              </w:rPr>
              <w:t>9</w:t>
            </w:r>
          </w:p>
        </w:tc>
        <w:tc>
          <w:tcPr>
            <w:tcW w:w="1814"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jc w:val="center"/>
              <w:rPr>
                <w:sz w:val="20"/>
                <w:lang w:val="en-US"/>
              </w:rPr>
            </w:pPr>
            <w:r w:rsidRPr="00F62386">
              <w:rPr>
                <w:sz w:val="20"/>
                <w:lang w:val="en-US"/>
              </w:rPr>
              <w:t>0.025</w:t>
            </w:r>
          </w:p>
        </w:tc>
      </w:tr>
      <w:tr w:rsidR="00071226" w:rsidRPr="00F62386" w:rsidTr="005B7C81">
        <w:trPr>
          <w:trHeight w:val="20"/>
          <w:jc w:val="center"/>
        </w:trPr>
        <w:tc>
          <w:tcPr>
            <w:tcW w:w="1247" w:type="dxa"/>
            <w:vMerge/>
            <w:tcBorders>
              <w:top w:val="nil"/>
              <w:left w:val="single" w:sz="8" w:space="0" w:color="auto"/>
              <w:bottom w:val="single" w:sz="8" w:space="0" w:color="auto"/>
              <w:right w:val="single" w:sz="4" w:space="0" w:color="auto"/>
            </w:tcBorders>
            <w:vAlign w:val="center"/>
            <w:hideMark/>
          </w:tcPr>
          <w:p w:rsidR="00071226" w:rsidRPr="00F62386" w:rsidRDefault="00071226" w:rsidP="00EF49EF">
            <w:pPr>
              <w:pStyle w:val="Tabletext"/>
              <w:rPr>
                <w:lang w:val="en-US"/>
              </w:rPr>
            </w:pPr>
          </w:p>
        </w:tc>
        <w:tc>
          <w:tcPr>
            <w:tcW w:w="311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rPr>
                <w:sz w:val="20"/>
                <w:lang w:val="en-US"/>
              </w:rPr>
            </w:pPr>
            <w:r w:rsidRPr="00F62386">
              <w:rPr>
                <w:sz w:val="20"/>
                <w:lang w:val="en-US"/>
              </w:rPr>
              <w:t>Dense suburban</w:t>
            </w:r>
          </w:p>
        </w:tc>
        <w:tc>
          <w:tcPr>
            <w:tcW w:w="170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jc w:val="center"/>
              <w:rPr>
                <w:sz w:val="20"/>
                <w:lang w:val="en-US"/>
              </w:rPr>
            </w:pPr>
            <w:r w:rsidRPr="00F62386">
              <w:rPr>
                <w:sz w:val="20"/>
                <w:lang w:val="en-US"/>
              </w:rPr>
              <w:t>12</w:t>
            </w:r>
          </w:p>
        </w:tc>
        <w:tc>
          <w:tcPr>
            <w:tcW w:w="1814"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jc w:val="center"/>
              <w:rPr>
                <w:sz w:val="20"/>
                <w:lang w:val="en-US"/>
              </w:rPr>
            </w:pPr>
            <w:r w:rsidRPr="00F62386">
              <w:rPr>
                <w:sz w:val="20"/>
                <w:lang w:val="en-US"/>
              </w:rPr>
              <w:t>0.02</w:t>
            </w:r>
          </w:p>
        </w:tc>
      </w:tr>
      <w:tr w:rsidR="00071226" w:rsidRPr="00F62386" w:rsidTr="005B7C81">
        <w:trPr>
          <w:trHeight w:val="20"/>
          <w:jc w:val="center"/>
        </w:trPr>
        <w:tc>
          <w:tcPr>
            <w:tcW w:w="1247" w:type="dxa"/>
            <w:vMerge w:val="restart"/>
            <w:tcBorders>
              <w:top w:val="nil"/>
              <w:left w:val="single" w:sz="8" w:space="0" w:color="auto"/>
              <w:bottom w:val="single" w:sz="8" w:space="0" w:color="auto"/>
              <w:right w:val="single" w:sz="4" w:space="0" w:color="auto"/>
            </w:tcBorders>
            <w:shd w:val="clear" w:color="auto" w:fill="auto"/>
            <w:noWrap/>
            <w:vAlign w:val="center"/>
            <w:hideMark/>
          </w:tcPr>
          <w:p w:rsidR="00071226" w:rsidRPr="00F62386" w:rsidRDefault="00071226" w:rsidP="00EF49EF">
            <w:pPr>
              <w:pStyle w:val="Tabletext"/>
              <w:rPr>
                <w:lang w:val="en-US"/>
              </w:rPr>
            </w:pPr>
            <w:r w:rsidRPr="00F62386">
              <w:rPr>
                <w:lang w:val="en-US"/>
              </w:rPr>
              <w:t>Urban</w:t>
            </w:r>
          </w:p>
        </w:tc>
        <w:tc>
          <w:tcPr>
            <w:tcW w:w="311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rPr>
                <w:sz w:val="20"/>
                <w:lang w:val="en-US"/>
              </w:rPr>
            </w:pPr>
            <w:r w:rsidRPr="00F62386">
              <w:rPr>
                <w:sz w:val="20"/>
                <w:lang w:val="en-US"/>
              </w:rPr>
              <w:t>Urban</w:t>
            </w:r>
          </w:p>
        </w:tc>
        <w:tc>
          <w:tcPr>
            <w:tcW w:w="170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jc w:val="center"/>
              <w:rPr>
                <w:sz w:val="20"/>
                <w:lang w:val="en-US"/>
              </w:rPr>
            </w:pPr>
            <w:r w:rsidRPr="00F62386">
              <w:rPr>
                <w:sz w:val="20"/>
                <w:lang w:val="en-US"/>
              </w:rPr>
              <w:t>20</w:t>
            </w:r>
          </w:p>
        </w:tc>
        <w:tc>
          <w:tcPr>
            <w:tcW w:w="1814"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jc w:val="center"/>
              <w:rPr>
                <w:sz w:val="20"/>
                <w:lang w:val="en-US"/>
              </w:rPr>
            </w:pPr>
            <w:r w:rsidRPr="00F62386">
              <w:rPr>
                <w:sz w:val="20"/>
                <w:lang w:val="en-US"/>
              </w:rPr>
              <w:t>0.02</w:t>
            </w:r>
          </w:p>
        </w:tc>
      </w:tr>
      <w:tr w:rsidR="00071226" w:rsidRPr="00F62386" w:rsidTr="005B7C81">
        <w:trPr>
          <w:trHeight w:val="20"/>
          <w:jc w:val="center"/>
        </w:trPr>
        <w:tc>
          <w:tcPr>
            <w:tcW w:w="1247" w:type="dxa"/>
            <w:vMerge/>
            <w:tcBorders>
              <w:top w:val="nil"/>
              <w:left w:val="single" w:sz="8" w:space="0" w:color="auto"/>
              <w:bottom w:val="single" w:sz="8" w:space="0" w:color="auto"/>
              <w:right w:val="single" w:sz="4" w:space="0" w:color="auto"/>
            </w:tcBorders>
            <w:vAlign w:val="center"/>
            <w:hideMark/>
          </w:tcPr>
          <w:p w:rsidR="00071226" w:rsidRPr="00F62386" w:rsidRDefault="00071226" w:rsidP="00EF49EF">
            <w:pPr>
              <w:pStyle w:val="Tabletext"/>
              <w:rPr>
                <w:lang w:val="en-US"/>
              </w:rPr>
            </w:pPr>
          </w:p>
        </w:tc>
        <w:tc>
          <w:tcPr>
            <w:tcW w:w="311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rPr>
                <w:sz w:val="20"/>
                <w:lang w:val="en-US"/>
              </w:rPr>
            </w:pPr>
            <w:r w:rsidRPr="00F62386">
              <w:rPr>
                <w:sz w:val="20"/>
                <w:lang w:val="en-US"/>
              </w:rPr>
              <w:t>Dense urban</w:t>
            </w:r>
          </w:p>
        </w:tc>
        <w:tc>
          <w:tcPr>
            <w:tcW w:w="170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jc w:val="center"/>
              <w:rPr>
                <w:sz w:val="20"/>
                <w:lang w:val="en-US"/>
              </w:rPr>
            </w:pPr>
            <w:r w:rsidRPr="00F62386">
              <w:rPr>
                <w:sz w:val="20"/>
                <w:lang w:val="en-US"/>
              </w:rPr>
              <w:t>25</w:t>
            </w:r>
          </w:p>
        </w:tc>
        <w:tc>
          <w:tcPr>
            <w:tcW w:w="1814"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jc w:val="center"/>
              <w:rPr>
                <w:sz w:val="20"/>
                <w:lang w:val="en-US"/>
              </w:rPr>
            </w:pPr>
            <w:r w:rsidRPr="00F62386">
              <w:rPr>
                <w:sz w:val="20"/>
                <w:lang w:val="en-US"/>
              </w:rPr>
              <w:t>0.02</w:t>
            </w:r>
          </w:p>
        </w:tc>
      </w:tr>
      <w:tr w:rsidR="00071226" w:rsidRPr="00F62386" w:rsidTr="005B7C81">
        <w:trPr>
          <w:trHeight w:val="20"/>
          <w:jc w:val="center"/>
        </w:trPr>
        <w:tc>
          <w:tcPr>
            <w:tcW w:w="1247" w:type="dxa"/>
            <w:vMerge/>
            <w:tcBorders>
              <w:top w:val="nil"/>
              <w:left w:val="single" w:sz="8" w:space="0" w:color="auto"/>
              <w:bottom w:val="single" w:sz="8" w:space="0" w:color="auto"/>
              <w:right w:val="single" w:sz="4" w:space="0" w:color="auto"/>
            </w:tcBorders>
            <w:vAlign w:val="center"/>
            <w:hideMark/>
          </w:tcPr>
          <w:p w:rsidR="00071226" w:rsidRPr="00F62386" w:rsidRDefault="00071226" w:rsidP="00EF49EF">
            <w:pPr>
              <w:pStyle w:val="Tabletext"/>
              <w:rPr>
                <w:lang w:val="en-US"/>
              </w:rPr>
            </w:pPr>
          </w:p>
        </w:tc>
        <w:tc>
          <w:tcPr>
            <w:tcW w:w="311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rPr>
                <w:sz w:val="20"/>
                <w:lang w:val="en-US"/>
              </w:rPr>
            </w:pPr>
            <w:r w:rsidRPr="00F62386">
              <w:rPr>
                <w:sz w:val="20"/>
                <w:lang w:val="en-US"/>
              </w:rPr>
              <w:t>High-rise urban</w:t>
            </w:r>
          </w:p>
        </w:tc>
        <w:tc>
          <w:tcPr>
            <w:tcW w:w="1701"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jc w:val="center"/>
              <w:rPr>
                <w:sz w:val="20"/>
                <w:lang w:val="en-US"/>
              </w:rPr>
            </w:pPr>
            <w:r w:rsidRPr="00F62386">
              <w:rPr>
                <w:sz w:val="20"/>
                <w:lang w:val="en-US"/>
              </w:rPr>
              <w:t>35</w:t>
            </w:r>
          </w:p>
        </w:tc>
        <w:tc>
          <w:tcPr>
            <w:tcW w:w="1814" w:type="dxa"/>
            <w:tcBorders>
              <w:top w:val="single" w:sz="4" w:space="0" w:color="auto"/>
              <w:left w:val="single" w:sz="4" w:space="0" w:color="auto"/>
              <w:bottom w:val="single" w:sz="4" w:space="0" w:color="auto"/>
              <w:right w:val="single" w:sz="4" w:space="0" w:color="auto"/>
            </w:tcBorders>
            <w:shd w:val="clear" w:color="000000" w:fill="EEECE1"/>
            <w:hideMark/>
          </w:tcPr>
          <w:p w:rsidR="00071226" w:rsidRPr="00F62386" w:rsidRDefault="00071226" w:rsidP="00EF49EF">
            <w:pPr>
              <w:pStyle w:val="Tabletext"/>
              <w:jc w:val="center"/>
              <w:rPr>
                <w:sz w:val="20"/>
                <w:lang w:val="en-US"/>
              </w:rPr>
            </w:pPr>
            <w:r w:rsidRPr="00F62386">
              <w:rPr>
                <w:sz w:val="20"/>
                <w:lang w:val="en-US"/>
              </w:rPr>
              <w:t>0.02</w:t>
            </w:r>
          </w:p>
        </w:tc>
      </w:tr>
    </w:tbl>
    <w:p w:rsidR="00071226" w:rsidRDefault="00071226" w:rsidP="005B7C81">
      <w:pPr>
        <w:pStyle w:val="Tablefin"/>
        <w:rPr>
          <w:rFonts w:eastAsiaTheme="minorHAnsi"/>
        </w:rPr>
      </w:pPr>
    </w:p>
    <w:p w:rsidR="002B2406" w:rsidRPr="002B2406" w:rsidRDefault="002B2406" w:rsidP="002B2406">
      <w:pPr>
        <w:rPr>
          <w:rFonts w:eastAsiaTheme="minorHAnsi"/>
          <w:lang w:val="en-GB"/>
        </w:rPr>
      </w:pPr>
    </w:p>
    <w:p w:rsidR="00071226" w:rsidRPr="008839C1" w:rsidRDefault="00071226" w:rsidP="005B7C81">
      <w:pPr>
        <w:pStyle w:val="enumlev1"/>
        <w:rPr>
          <w:rFonts w:eastAsiaTheme="minorHAnsi"/>
          <w:lang w:val="en-US"/>
        </w:rPr>
      </w:pPr>
      <w:r w:rsidRPr="008839C1">
        <w:rPr>
          <w:rFonts w:eastAsiaTheme="minorHAnsi"/>
          <w:lang w:val="en-US"/>
        </w:rPr>
        <w:t>–</w:t>
      </w:r>
      <w:r w:rsidRPr="008839C1">
        <w:rPr>
          <w:rFonts w:eastAsiaTheme="minorHAnsi"/>
          <w:lang w:val="en-US"/>
        </w:rPr>
        <w:tab/>
      </w:r>
      <w:r w:rsidRPr="008839C1">
        <w:rPr>
          <w:rFonts w:eastAsiaTheme="minorHAnsi"/>
          <w:b/>
          <w:bCs/>
          <w:lang w:val="en-US"/>
        </w:rPr>
        <w:t>Step 2</w:t>
      </w:r>
      <w:r w:rsidRPr="008839C1">
        <w:rPr>
          <w:rFonts w:eastAsiaTheme="minorHAnsi"/>
          <w:lang w:val="en-US"/>
        </w:rPr>
        <w:t>: Calculate clutter attenuation using equations (47) and (47a) of Recommendation ITU-R P.452.</w:t>
      </w:r>
    </w:p>
    <w:p w:rsidR="00071226" w:rsidRPr="008839C1" w:rsidRDefault="00071226" w:rsidP="005B7C81">
      <w:pPr>
        <w:pStyle w:val="enumlev1"/>
        <w:rPr>
          <w:lang w:val="en-US"/>
        </w:rPr>
      </w:pPr>
      <w:r w:rsidRPr="008839C1">
        <w:rPr>
          <w:rFonts w:eastAsiaTheme="minorHAnsi"/>
          <w:lang w:val="en-US"/>
        </w:rPr>
        <w:t>–</w:t>
      </w:r>
      <w:r w:rsidRPr="008839C1">
        <w:rPr>
          <w:rFonts w:eastAsiaTheme="minorHAnsi"/>
          <w:lang w:val="en-US"/>
        </w:rPr>
        <w:tab/>
      </w:r>
      <w:r w:rsidRPr="008839C1">
        <w:rPr>
          <w:rFonts w:eastAsiaTheme="minorHAnsi"/>
          <w:b/>
          <w:bCs/>
          <w:lang w:val="en-US"/>
        </w:rPr>
        <w:t>Step 3:</w:t>
      </w:r>
      <w:r w:rsidRPr="008839C1">
        <w:rPr>
          <w:rFonts w:eastAsiaTheme="minorHAnsi"/>
          <w:lang w:val="en-US"/>
        </w:rPr>
        <w:t xml:space="preserve"> Use equation atan((h-ha)/dk) to calculate</w:t>
      </w:r>
      <w:r w:rsidRPr="008839C1">
        <w:rPr>
          <w:rFonts w:eastAsiaTheme="minorHAnsi"/>
          <w:b/>
          <w:lang w:val="en-US"/>
        </w:rPr>
        <w:t xml:space="preserve"> </w:t>
      </w:r>
      <w:r w:rsidRPr="008839C1">
        <w:rPr>
          <w:lang w:val="en-US"/>
        </w:rPr>
        <w:t>the maximum elevation angle for the interfering clutter path for each city and apply the appropriate clutter loss for that city, where h is the height of the UE terminal, ha is the nominal clutter height, and dk is the nominal distance.</w:t>
      </w:r>
    </w:p>
    <w:p w:rsidR="00071226" w:rsidRPr="008839C1" w:rsidRDefault="00071226" w:rsidP="005B7C81">
      <w:pPr>
        <w:rPr>
          <w:lang w:val="en-US"/>
        </w:rPr>
      </w:pPr>
      <w:r w:rsidRPr="008839C1">
        <w:rPr>
          <w:lang w:val="en-US"/>
        </w:rPr>
        <w:t>The attached Excel spreadsheet presents a sample calculation utilizing the methods described above. This sample calculation assumes a macro cell in an urban area, where the height of the LTE station (L10) is 20 meters.</w:t>
      </w:r>
      <w:r w:rsidR="00BF1B1C">
        <w:rPr>
          <w:lang w:val="en-US"/>
        </w:rPr>
        <w:t xml:space="preserve"> </w:t>
      </w:r>
      <w:r w:rsidRPr="008839C1">
        <w:rPr>
          <w:lang w:val="en-US"/>
        </w:rPr>
        <w:t>The nominal clutter height (D27) is 35 meters and the horizontal clutter distance (E27)</w:t>
      </w:r>
      <w:r w:rsidRPr="008839C1">
        <w:rPr>
          <w:color w:val="1F497D"/>
          <w:lang w:val="en-US"/>
        </w:rPr>
        <w:t xml:space="preserve"> </w:t>
      </w:r>
      <w:r w:rsidRPr="008839C1">
        <w:rPr>
          <w:lang w:val="en-US"/>
        </w:rPr>
        <w:t>is 20 meters.</w:t>
      </w:r>
      <w:r w:rsidR="00BF1B1C">
        <w:rPr>
          <w:lang w:val="en-US"/>
        </w:rPr>
        <w:t xml:space="preserve"> </w:t>
      </w:r>
      <w:r w:rsidRPr="008839C1">
        <w:rPr>
          <w:lang w:val="en-US"/>
        </w:rPr>
        <w:t>Using equations (47) and (47a) of Recommendation ITU-R P.452, the clutter loss (L27) is 12.8 dB and the angle from the transmitter to the top of the clutter height (M27)</w:t>
      </w:r>
      <w:r w:rsidRPr="008839C1">
        <w:rPr>
          <w:color w:val="1F497D"/>
          <w:lang w:val="en-US"/>
        </w:rPr>
        <w:t xml:space="preserve"> </w:t>
      </w:r>
      <w:r w:rsidRPr="008839C1">
        <w:rPr>
          <w:lang w:val="en-US"/>
        </w:rPr>
        <w:t>is atan((35</w:t>
      </w:r>
      <w:r w:rsidRPr="008839C1">
        <w:rPr>
          <w:lang w:val="en-US"/>
        </w:rPr>
        <w:noBreakHyphen/>
        <w:t>20)/20)=36.9 degrees.</w:t>
      </w:r>
      <w:r w:rsidR="00BF1B1C">
        <w:rPr>
          <w:lang w:val="en-US"/>
        </w:rPr>
        <w:t xml:space="preserve"> </w:t>
      </w:r>
      <w:r w:rsidRPr="008839C1">
        <w:rPr>
          <w:lang w:val="en-US"/>
        </w:rPr>
        <w:t>Therefore, if the aircraft/spacecraft is at an elevation angle at or below 36.9</w:t>
      </w:r>
      <w:r w:rsidR="005B7C81">
        <w:rPr>
          <w:lang w:val="en-US"/>
        </w:rPr>
        <w:t> </w:t>
      </w:r>
      <w:r w:rsidRPr="008839C1">
        <w:rPr>
          <w:lang w:val="en-US"/>
        </w:rPr>
        <w:t>degrees, 12.8 dB of clutter loss should be added.</w:t>
      </w:r>
      <w:r w:rsidR="00BF1B1C">
        <w:rPr>
          <w:lang w:val="en-US"/>
        </w:rPr>
        <w:t xml:space="preserve"> </w:t>
      </w:r>
      <w:r w:rsidRPr="008839C1">
        <w:rPr>
          <w:lang w:val="en-US"/>
        </w:rPr>
        <w:t>If the spacecraft is above 36.9 degrees, there is no clutter loss.</w:t>
      </w:r>
    </w:p>
    <w:p w:rsidR="00071226" w:rsidRPr="008755CA" w:rsidRDefault="00071226" w:rsidP="00071226">
      <w:pPr>
        <w:jc w:val="center"/>
      </w:pPr>
      <w:r>
        <w:object w:dxaOrig="1531" w:dyaOrig="990">
          <v:shape id="_x0000_i1028" type="#_x0000_t75" style="width:77.35pt;height:51.6pt" o:ole="">
            <v:imagedata r:id="rId54" o:title=""/>
          </v:shape>
          <o:OLEObject Type="Embed" ProgID="Excel.Sheet.12" ShapeID="_x0000_i1028" DrawAspect="Icon" ObjectID="_1487679605" r:id="rId55"/>
        </w:object>
      </w:r>
    </w:p>
    <w:p w:rsidR="00071226" w:rsidRDefault="002B2406" w:rsidP="002B2406">
      <w:pPr>
        <w:pStyle w:val="AnnexNoTitle"/>
        <w:rPr>
          <w:lang w:val="en-US"/>
        </w:rPr>
      </w:pPr>
      <w:r w:rsidRPr="002B2406">
        <w:rPr>
          <w:lang w:val="en-US"/>
        </w:rPr>
        <w:lastRenderedPageBreak/>
        <w:t>Annex</w:t>
      </w:r>
      <w:r w:rsidR="00071226" w:rsidRPr="00C309C4">
        <w:rPr>
          <w:lang w:val="en-US"/>
        </w:rPr>
        <w:t xml:space="preserve"> E</w:t>
      </w:r>
      <w:r>
        <w:rPr>
          <w:lang w:val="en-US"/>
        </w:rPr>
        <w:br/>
      </w:r>
      <w:r>
        <w:rPr>
          <w:lang w:val="en-US"/>
        </w:rPr>
        <w:br/>
      </w:r>
      <w:r w:rsidRPr="00C309C4">
        <w:rPr>
          <w:lang w:val="en-US"/>
        </w:rPr>
        <w:t>List of worldwide cities used in analyses</w:t>
      </w:r>
    </w:p>
    <w:p w:rsidR="009433DC" w:rsidRPr="009433DC" w:rsidRDefault="009433DC" w:rsidP="009433DC">
      <w:pPr>
        <w:pStyle w:val="Blanc"/>
      </w:pPr>
    </w:p>
    <w:p w:rsidR="00071226" w:rsidRPr="008839C1" w:rsidRDefault="002B2406" w:rsidP="00071226">
      <w:pPr>
        <w:pStyle w:val="TableNo"/>
        <w:rPr>
          <w:lang w:val="en-US"/>
        </w:rPr>
      </w:pPr>
      <w:r w:rsidRPr="008839C1">
        <w:rPr>
          <w:lang w:val="en-US"/>
        </w:rPr>
        <w:t xml:space="preserve">TABLE </w:t>
      </w:r>
      <w:r w:rsidR="00071226" w:rsidRPr="008839C1">
        <w:rPr>
          <w:lang w:val="en-US"/>
        </w:rPr>
        <w:t>E1</w:t>
      </w:r>
    </w:p>
    <w:p w:rsidR="00071226" w:rsidRDefault="00071226" w:rsidP="00071226">
      <w:pPr>
        <w:pStyle w:val="Tabletitle"/>
        <w:rPr>
          <w:lang w:val="en-US"/>
        </w:rPr>
      </w:pPr>
      <w:r w:rsidRPr="008839C1">
        <w:rPr>
          <w:lang w:val="en-US"/>
        </w:rPr>
        <w:t>List of 160 major cities used in LTE-TDRSS interference simulations</w:t>
      </w:r>
    </w:p>
    <w:p w:rsidR="002B2406" w:rsidRPr="002B2406" w:rsidRDefault="002B2406" w:rsidP="002B2406">
      <w:pPr>
        <w:pStyle w:val="Blanc"/>
        <w:rPr>
          <w:rFonts w:eastAsiaTheme="minorHAnsi"/>
        </w:rPr>
      </w:pPr>
    </w:p>
    <w:p w:rsidR="00071226" w:rsidRDefault="00071226" w:rsidP="00C741F6">
      <w:r>
        <w:rPr>
          <w:noProof/>
          <w:lang w:val="en-US" w:eastAsia="zh-CN"/>
        </w:rPr>
        <w:drawing>
          <wp:inline distT="0" distB="0" distL="0" distR="0" wp14:anchorId="40101DD0" wp14:editId="455495AC">
            <wp:extent cx="5731510" cy="7033959"/>
            <wp:effectExtent l="0" t="0" r="2540" b="0"/>
            <wp:docPr id="96" name="Picture 9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6"/>
                    <a:stretch>
                      <a:fillRect/>
                    </a:stretch>
                  </pic:blipFill>
                  <pic:spPr>
                    <a:xfrm>
                      <a:off x="0" y="0"/>
                      <a:ext cx="5731510" cy="7033959"/>
                    </a:xfrm>
                    <a:prstGeom prst="rect">
                      <a:avLst/>
                    </a:prstGeom>
                  </pic:spPr>
                </pic:pic>
              </a:graphicData>
            </a:graphic>
          </wp:inline>
        </w:drawing>
      </w:r>
    </w:p>
    <w:p w:rsidR="00071226" w:rsidRDefault="00071226" w:rsidP="00C741F6"/>
    <w:p w:rsidR="002B2406" w:rsidRPr="008839C1" w:rsidRDefault="002B2406" w:rsidP="002B2406">
      <w:pPr>
        <w:pStyle w:val="TableNo"/>
        <w:rPr>
          <w:lang w:val="en-US"/>
        </w:rPr>
      </w:pPr>
      <w:r w:rsidRPr="008839C1">
        <w:rPr>
          <w:lang w:val="en-US"/>
        </w:rPr>
        <w:lastRenderedPageBreak/>
        <w:t>TABLE E1</w:t>
      </w:r>
      <w:r w:rsidR="000B1083">
        <w:rPr>
          <w:lang w:val="en-US"/>
        </w:rPr>
        <w:t xml:space="preserve"> </w:t>
      </w:r>
      <w:r w:rsidR="000B1083" w:rsidRPr="000B1083">
        <w:rPr>
          <w:i/>
          <w:iCs/>
          <w:lang w:val="en-US"/>
        </w:rPr>
        <w:t>(continued)</w:t>
      </w:r>
    </w:p>
    <w:p w:rsidR="002B2406" w:rsidRDefault="002B2406" w:rsidP="002B2406">
      <w:pPr>
        <w:pStyle w:val="Blanc"/>
      </w:pPr>
    </w:p>
    <w:p w:rsidR="00071226" w:rsidRDefault="00071226" w:rsidP="00071226">
      <w:pPr>
        <w:jc w:val="center"/>
        <w:rPr>
          <w:szCs w:val="24"/>
        </w:rPr>
      </w:pPr>
      <w:r>
        <w:rPr>
          <w:noProof/>
          <w:lang w:val="en-US" w:eastAsia="zh-CN"/>
        </w:rPr>
        <w:drawing>
          <wp:inline distT="0" distB="0" distL="0" distR="0" wp14:anchorId="58FEC18C" wp14:editId="4053FE70">
            <wp:extent cx="5947410" cy="72993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7410" cy="7299325"/>
                    </a:xfrm>
                    <a:prstGeom prst="rect">
                      <a:avLst/>
                    </a:prstGeom>
                    <a:noFill/>
                    <a:ln>
                      <a:noFill/>
                    </a:ln>
                  </pic:spPr>
                </pic:pic>
              </a:graphicData>
            </a:graphic>
          </wp:inline>
        </w:drawing>
      </w:r>
    </w:p>
    <w:p w:rsidR="002B2406" w:rsidRDefault="002B2406" w:rsidP="002B2406"/>
    <w:p w:rsidR="00AE578D" w:rsidRPr="008839C1" w:rsidRDefault="00AE578D" w:rsidP="00AE578D">
      <w:pPr>
        <w:pStyle w:val="TableNo"/>
        <w:rPr>
          <w:lang w:val="en-US"/>
        </w:rPr>
      </w:pPr>
      <w:r w:rsidRPr="008839C1">
        <w:rPr>
          <w:lang w:val="en-US"/>
        </w:rPr>
        <w:lastRenderedPageBreak/>
        <w:t>TABLE E1</w:t>
      </w:r>
      <w:r>
        <w:rPr>
          <w:lang w:val="en-US"/>
        </w:rPr>
        <w:t xml:space="preserve"> </w:t>
      </w:r>
      <w:r w:rsidRPr="000B1083">
        <w:rPr>
          <w:i/>
          <w:iCs/>
          <w:lang w:val="en-US"/>
        </w:rPr>
        <w:t>(continued)</w:t>
      </w:r>
    </w:p>
    <w:p w:rsidR="002B2406" w:rsidRDefault="002B2406" w:rsidP="002B2406">
      <w:pPr>
        <w:pStyle w:val="Blanc"/>
      </w:pPr>
    </w:p>
    <w:p w:rsidR="00071226" w:rsidRDefault="00071226" w:rsidP="00071226">
      <w:pPr>
        <w:jc w:val="center"/>
        <w:rPr>
          <w:szCs w:val="24"/>
        </w:rPr>
      </w:pPr>
      <w:r>
        <w:rPr>
          <w:noProof/>
          <w:lang w:val="en-US" w:eastAsia="zh-CN"/>
        </w:rPr>
        <w:drawing>
          <wp:inline distT="0" distB="0" distL="0" distR="0" wp14:anchorId="7154DBB6" wp14:editId="5F7DCAD4">
            <wp:extent cx="5947410" cy="72993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7299325"/>
                    </a:xfrm>
                    <a:prstGeom prst="rect">
                      <a:avLst/>
                    </a:prstGeom>
                    <a:noFill/>
                    <a:ln>
                      <a:noFill/>
                    </a:ln>
                  </pic:spPr>
                </pic:pic>
              </a:graphicData>
            </a:graphic>
          </wp:inline>
        </w:drawing>
      </w:r>
    </w:p>
    <w:p w:rsidR="002B2406" w:rsidRDefault="002B2406" w:rsidP="002B2406"/>
    <w:p w:rsidR="002B2406" w:rsidRPr="008839C1" w:rsidRDefault="002B2406" w:rsidP="00AE578D">
      <w:pPr>
        <w:pStyle w:val="TableNo"/>
        <w:rPr>
          <w:lang w:val="en-US"/>
        </w:rPr>
      </w:pPr>
      <w:r w:rsidRPr="008839C1">
        <w:rPr>
          <w:lang w:val="en-US"/>
        </w:rPr>
        <w:lastRenderedPageBreak/>
        <w:t>TABLE E1</w:t>
      </w:r>
      <w:r w:rsidR="00AE578D">
        <w:rPr>
          <w:lang w:val="en-US"/>
        </w:rPr>
        <w:t xml:space="preserve"> </w:t>
      </w:r>
      <w:r w:rsidR="00AE578D" w:rsidRPr="00AE578D">
        <w:rPr>
          <w:i/>
          <w:iCs/>
          <w:lang w:val="en-US"/>
        </w:rPr>
        <w:t>(end)</w:t>
      </w:r>
    </w:p>
    <w:p w:rsidR="002B2406" w:rsidRDefault="002B2406" w:rsidP="002B2406">
      <w:pPr>
        <w:pStyle w:val="Blanc"/>
      </w:pPr>
    </w:p>
    <w:p w:rsidR="00071226" w:rsidRDefault="00071226" w:rsidP="00071226">
      <w:pPr>
        <w:overflowPunct/>
        <w:autoSpaceDE/>
        <w:autoSpaceDN/>
        <w:adjustRightInd/>
        <w:spacing w:before="0" w:after="200" w:line="276" w:lineRule="auto"/>
        <w:textAlignment w:val="auto"/>
      </w:pPr>
      <w:r>
        <w:rPr>
          <w:noProof/>
          <w:lang w:val="en-US" w:eastAsia="zh-CN"/>
        </w:rPr>
        <w:drawing>
          <wp:inline distT="0" distB="0" distL="0" distR="0" wp14:anchorId="77DB0EA3" wp14:editId="29CD8B70">
            <wp:extent cx="5731510" cy="7033959"/>
            <wp:effectExtent l="0" t="0" r="2540" b="0"/>
            <wp:docPr id="100" name="Picture 10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9"/>
                    <a:stretch>
                      <a:fillRect/>
                    </a:stretch>
                  </pic:blipFill>
                  <pic:spPr>
                    <a:xfrm>
                      <a:off x="0" y="0"/>
                      <a:ext cx="5731510" cy="7033959"/>
                    </a:xfrm>
                    <a:prstGeom prst="rect">
                      <a:avLst/>
                    </a:prstGeom>
                  </pic:spPr>
                </pic:pic>
              </a:graphicData>
            </a:graphic>
          </wp:inline>
        </w:drawing>
      </w:r>
    </w:p>
    <w:p w:rsidR="00071226" w:rsidRDefault="00071226" w:rsidP="00C741F6"/>
    <w:p w:rsidR="00C309C4" w:rsidRDefault="00C309C4" w:rsidP="00C741F6"/>
    <w:p w:rsidR="00071226" w:rsidRDefault="00071226">
      <w:pPr>
        <w:jc w:val="center"/>
      </w:pPr>
      <w:r>
        <w:t>______________</w:t>
      </w:r>
    </w:p>
    <w:p w:rsidR="003E1768" w:rsidRPr="003E1768" w:rsidRDefault="003E1768" w:rsidP="00CC1C23">
      <w:pPr>
        <w:rPr>
          <w:lang w:val="en-US"/>
        </w:rPr>
      </w:pPr>
    </w:p>
    <w:sectPr w:rsidR="003E1768" w:rsidRPr="003E1768" w:rsidSect="0038583D">
      <w:headerReference w:type="even" r:id="rId60"/>
      <w:headerReference w:type="default" r:id="rId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B1C" w:rsidRDefault="00BF1B1C">
      <w:r>
        <w:separator/>
      </w:r>
    </w:p>
  </w:endnote>
  <w:endnote w:type="continuationSeparator" w:id="0">
    <w:p w:rsidR="00BF1B1C" w:rsidRDefault="00BF1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59"/>
    <w:family w:val="auto"/>
    <w:notTrueType/>
    <w:pitch w:val="variable"/>
    <w:sig w:usb0="00000001"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B1C" w:rsidRDefault="00BF1B1C">
      <w:r>
        <w:separator/>
      </w:r>
    </w:p>
  </w:footnote>
  <w:footnote w:type="continuationSeparator" w:id="0">
    <w:p w:rsidR="00BF1B1C" w:rsidRDefault="00BF1B1C">
      <w:r>
        <w:continuationSeparator/>
      </w:r>
    </w:p>
  </w:footnote>
  <w:footnote w:id="1">
    <w:p w:rsidR="00BF1B1C" w:rsidRPr="00C309C4" w:rsidRDefault="00BF1B1C">
      <w:pPr>
        <w:pStyle w:val="FootnoteText"/>
        <w:rPr>
          <w:lang w:val="en-US"/>
        </w:rPr>
      </w:pPr>
      <w:r>
        <w:rPr>
          <w:rStyle w:val="FootnoteReference"/>
        </w:rPr>
        <w:footnoteRef/>
      </w:r>
      <w:r w:rsidRPr="00C309C4">
        <w:rPr>
          <w:lang w:val="en-US"/>
        </w:rPr>
        <w:t xml:space="preserve"> </w:t>
      </w:r>
      <w:r w:rsidRPr="00C309C4">
        <w:rPr>
          <w:lang w:val="en-US"/>
        </w:rPr>
        <w:tab/>
      </w:r>
      <w:r w:rsidRPr="00180AE5">
        <w:rPr>
          <w:lang w:val="en-US"/>
        </w:rPr>
        <w:t>This Report was approved jointly by Radiocommunication Study Groups 5 and 7, and any future revision should also be undertaken jointly.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B1C" w:rsidRPr="003A4856" w:rsidRDefault="00BF1B1C" w:rsidP="00C309C4">
    <w:pPr>
      <w:pStyle w:val="Header"/>
      <w:rPr>
        <w:lang w:val="en-US"/>
      </w:rPr>
    </w:pPr>
    <w:r w:rsidRPr="009770E7">
      <w:fldChar w:fldCharType="begin"/>
    </w:r>
    <w:r w:rsidRPr="009770E7">
      <w:rPr>
        <w:lang w:val="en-US"/>
      </w:rPr>
      <w:instrText xml:space="preserve"> PAGE </w:instrText>
    </w:r>
    <w:r w:rsidRPr="009770E7">
      <w:fldChar w:fldCharType="separate"/>
    </w:r>
    <w:r w:rsidR="004B4197">
      <w:rPr>
        <w:noProof/>
        <w:lang w:val="en-US"/>
      </w:rPr>
      <w:t>ii</w:t>
    </w:r>
    <w:r w:rsidRPr="009770E7">
      <w:fldChar w:fldCharType="end"/>
    </w:r>
    <w:r w:rsidRPr="009770E7">
      <w:rPr>
        <w:lang w:val="en-US"/>
      </w:rPr>
      <w:tab/>
    </w:r>
    <w:r w:rsidRPr="00C309C4">
      <w:rPr>
        <w:b/>
        <w:bCs/>
      </w:rPr>
      <w:fldChar w:fldCharType="begin"/>
    </w:r>
    <w:r w:rsidRPr="00C309C4">
      <w:rPr>
        <w:b/>
        <w:bCs/>
        <w:lang w:val="en-US"/>
      </w:rPr>
      <w:instrText xml:space="preserve"> DOCPROPERTY "Header 2" \* MERGEFORMAT </w:instrText>
    </w:r>
    <w:r w:rsidRPr="00C309C4">
      <w:rPr>
        <w:b/>
        <w:bCs/>
      </w:rPr>
      <w:fldChar w:fldCharType="separate"/>
    </w:r>
    <w:r w:rsidR="004B4197">
      <w:rPr>
        <w:b/>
        <w:bCs/>
        <w:lang w:val="en-US"/>
      </w:rPr>
      <w:t xml:space="preserve">Rep. </w:t>
    </w:r>
    <w:r w:rsidRPr="00C309C4">
      <w:rPr>
        <w:b/>
        <w:bCs/>
        <w:lang w:val="en-US"/>
      </w:rPr>
      <w:fldChar w:fldCharType="end"/>
    </w:r>
    <w:r w:rsidRPr="00C309C4">
      <w:rPr>
        <w:b/>
        <w:bCs/>
        <w:lang w:val="en-US"/>
      </w:rPr>
      <w:t xml:space="preserve"> </w:t>
    </w:r>
    <w:r w:rsidRPr="00C309C4">
      <w:rPr>
        <w:b/>
        <w:bCs/>
      </w:rPr>
      <w:fldChar w:fldCharType="begin"/>
    </w:r>
    <w:r w:rsidRPr="00C309C4">
      <w:rPr>
        <w:b/>
        <w:bCs/>
        <w:lang w:val="en-US"/>
      </w:rPr>
      <w:instrText>styleref href</w:instrText>
    </w:r>
    <w:r w:rsidRPr="00C309C4">
      <w:rPr>
        <w:b/>
        <w:bCs/>
      </w:rPr>
      <w:fldChar w:fldCharType="separate"/>
    </w:r>
    <w:r w:rsidR="004B4197">
      <w:rPr>
        <w:b/>
        <w:bCs/>
        <w:noProof/>
      </w:rPr>
      <w:t>ITU-R  SA.2325-0</w:t>
    </w:r>
    <w:r w:rsidRPr="00C309C4">
      <w:rPr>
        <w:b/>
        <w:bCs/>
      </w:rPr>
      <w:fldChar w:fldCharType="end"/>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B1C" w:rsidRDefault="00BF1B1C" w:rsidP="006C09C0">
    <w:pPr>
      <w:ind w:right="360" w:firstLine="360"/>
    </w:pPr>
    <w:r>
      <w:rPr>
        <w:noProof/>
        <w:lang w:val="en-US" w:eastAsia="zh-CN"/>
      </w:rPr>
      <w:drawing>
        <wp:anchor distT="0" distB="0" distL="114300" distR="114300" simplePos="0" relativeHeight="251660288" behindDoc="0" locked="0" layoutInCell="1" allowOverlap="1" wp14:anchorId="746855E1" wp14:editId="61B39651">
          <wp:simplePos x="0" y="0"/>
          <wp:positionH relativeFrom="margin">
            <wp:posOffset>0</wp:posOffset>
          </wp:positionH>
          <wp:positionV relativeFrom="margin">
            <wp:posOffset>8754745</wp:posOffset>
          </wp:positionV>
          <wp:extent cx="1247775" cy="9358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60F014EC" wp14:editId="755F8935">
          <wp:simplePos x="0" y="0"/>
          <wp:positionH relativeFrom="page">
            <wp:posOffset>0</wp:posOffset>
          </wp:positionH>
          <wp:positionV relativeFrom="page">
            <wp:posOffset>0</wp:posOffset>
          </wp:positionV>
          <wp:extent cx="7592060" cy="10753725"/>
          <wp:effectExtent l="19050" t="0" r="8890" b="0"/>
          <wp:wrapNone/>
          <wp:docPr id="2" name="Picture 2"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B1C" w:rsidRPr="003A4856" w:rsidRDefault="00BF1B1C" w:rsidP="00C309C4">
    <w:pPr>
      <w:pStyle w:val="Header"/>
      <w:rPr>
        <w:lang w:val="en-US"/>
      </w:rPr>
    </w:pPr>
    <w:r w:rsidRPr="00C309C4">
      <w:rPr>
        <w:b/>
        <w:bCs/>
      </w:rPr>
      <w:fldChar w:fldCharType="begin"/>
    </w:r>
    <w:r w:rsidRPr="00C309C4">
      <w:rPr>
        <w:b/>
        <w:bCs/>
        <w:lang w:val="en-US"/>
      </w:rPr>
      <w:instrText xml:space="preserve"> PAGE </w:instrText>
    </w:r>
    <w:r w:rsidRPr="00C309C4">
      <w:rPr>
        <w:b/>
        <w:bCs/>
      </w:rPr>
      <w:fldChar w:fldCharType="separate"/>
    </w:r>
    <w:r w:rsidR="004B4197">
      <w:rPr>
        <w:b/>
        <w:bCs/>
        <w:noProof/>
        <w:lang w:val="en-US"/>
      </w:rPr>
      <w:t>28</w:t>
    </w:r>
    <w:r w:rsidRPr="00C309C4">
      <w:rPr>
        <w:b/>
        <w:bCs/>
      </w:rPr>
      <w:fldChar w:fldCharType="end"/>
    </w:r>
    <w:r w:rsidRPr="009770E7">
      <w:rPr>
        <w:lang w:val="en-US"/>
      </w:rPr>
      <w:tab/>
    </w:r>
    <w:r w:rsidRPr="00C309C4">
      <w:rPr>
        <w:b/>
        <w:bCs/>
      </w:rPr>
      <w:fldChar w:fldCharType="begin"/>
    </w:r>
    <w:r w:rsidRPr="00C309C4">
      <w:rPr>
        <w:b/>
        <w:bCs/>
        <w:lang w:val="en-US"/>
      </w:rPr>
      <w:instrText xml:space="preserve"> DOCPROPERTY "Header 2" \* MERGEFORMAT </w:instrText>
    </w:r>
    <w:r w:rsidRPr="00C309C4">
      <w:rPr>
        <w:b/>
        <w:bCs/>
      </w:rPr>
      <w:fldChar w:fldCharType="separate"/>
    </w:r>
    <w:r w:rsidR="004B4197">
      <w:rPr>
        <w:b/>
        <w:bCs/>
        <w:lang w:val="en-US"/>
      </w:rPr>
      <w:t xml:space="preserve">Rep. </w:t>
    </w:r>
    <w:r w:rsidRPr="00C309C4">
      <w:rPr>
        <w:b/>
        <w:bCs/>
        <w:lang w:val="en-US"/>
      </w:rPr>
      <w:fldChar w:fldCharType="end"/>
    </w:r>
    <w:r w:rsidRPr="00C309C4">
      <w:rPr>
        <w:b/>
        <w:bCs/>
        <w:lang w:val="en-US"/>
      </w:rPr>
      <w:t xml:space="preserve"> </w:t>
    </w:r>
    <w:r w:rsidRPr="00C309C4">
      <w:rPr>
        <w:b/>
        <w:bCs/>
      </w:rPr>
      <w:fldChar w:fldCharType="begin"/>
    </w:r>
    <w:r w:rsidRPr="00C309C4">
      <w:rPr>
        <w:b/>
        <w:bCs/>
        <w:lang w:val="en-US"/>
      </w:rPr>
      <w:instrText>styleref href</w:instrText>
    </w:r>
    <w:r w:rsidRPr="00C309C4">
      <w:rPr>
        <w:b/>
        <w:bCs/>
      </w:rPr>
      <w:fldChar w:fldCharType="separate"/>
    </w:r>
    <w:r w:rsidR="004B4197">
      <w:rPr>
        <w:b/>
        <w:bCs/>
        <w:noProof/>
      </w:rPr>
      <w:t>ITU-R  SA.2325-0</w:t>
    </w:r>
    <w:r w:rsidRPr="00C309C4">
      <w:rPr>
        <w:b/>
        <w:bCs/>
      </w:rPr>
      <w:fldChar w:fldCharType="end"/>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B1C" w:rsidRDefault="00BF1B1C" w:rsidP="00C309C4">
    <w:pPr>
      <w:pStyle w:val="Header"/>
    </w:pPr>
    <w:r w:rsidRPr="00936BC7">
      <w:tab/>
    </w:r>
    <w:r w:rsidRPr="00C309C4">
      <w:rPr>
        <w:b/>
        <w:bCs/>
      </w:rPr>
      <w:fldChar w:fldCharType="begin"/>
    </w:r>
    <w:r w:rsidRPr="00C309C4">
      <w:rPr>
        <w:b/>
        <w:bCs/>
      </w:rPr>
      <w:instrText xml:space="preserve"> DOCPROPERTY  "Header 2"  \* MERGEFORMAT </w:instrText>
    </w:r>
    <w:r w:rsidRPr="00C309C4">
      <w:rPr>
        <w:b/>
        <w:bCs/>
      </w:rPr>
      <w:fldChar w:fldCharType="separate"/>
    </w:r>
    <w:r w:rsidR="004B4197">
      <w:rPr>
        <w:b/>
        <w:bCs/>
      </w:rPr>
      <w:t xml:space="preserve">Rep. </w:t>
    </w:r>
    <w:r w:rsidRPr="00C309C4">
      <w:rPr>
        <w:b/>
        <w:bCs/>
      </w:rPr>
      <w:fldChar w:fldCharType="end"/>
    </w:r>
    <w:r w:rsidRPr="00C309C4">
      <w:rPr>
        <w:b/>
        <w:bCs/>
      </w:rPr>
      <w:t xml:space="preserve"> </w:t>
    </w:r>
    <w:r w:rsidRPr="00C309C4">
      <w:rPr>
        <w:b/>
        <w:bCs/>
      </w:rPr>
      <w:fldChar w:fldCharType="begin"/>
    </w:r>
    <w:r w:rsidRPr="00C309C4">
      <w:rPr>
        <w:b/>
        <w:bCs/>
      </w:rPr>
      <w:instrText>styleref href</w:instrText>
    </w:r>
    <w:r w:rsidRPr="00C309C4">
      <w:rPr>
        <w:b/>
        <w:bCs/>
      </w:rPr>
      <w:fldChar w:fldCharType="separate"/>
    </w:r>
    <w:r w:rsidR="004B4197">
      <w:rPr>
        <w:b/>
        <w:bCs/>
        <w:noProof/>
      </w:rPr>
      <w:t>ITU-R  SA.2325-0</w:t>
    </w:r>
    <w:r w:rsidRPr="00C309C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B4197">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FAEA98"/>
    <w:lvl w:ilvl="0">
      <w:start w:val="1"/>
      <w:numFmt w:val="decimal"/>
      <w:lvlText w:val="%1."/>
      <w:lvlJc w:val="left"/>
      <w:pPr>
        <w:tabs>
          <w:tab w:val="num" w:pos="1492"/>
        </w:tabs>
        <w:ind w:left="1492" w:hanging="360"/>
      </w:pPr>
    </w:lvl>
  </w:abstractNum>
  <w:abstractNum w:abstractNumId="1">
    <w:nsid w:val="FFFFFF7D"/>
    <w:multiLevelType w:val="singleLevel"/>
    <w:tmpl w:val="D668F864"/>
    <w:lvl w:ilvl="0">
      <w:start w:val="1"/>
      <w:numFmt w:val="decimal"/>
      <w:lvlText w:val="%1."/>
      <w:lvlJc w:val="left"/>
      <w:pPr>
        <w:tabs>
          <w:tab w:val="num" w:pos="1209"/>
        </w:tabs>
        <w:ind w:left="1209" w:hanging="360"/>
      </w:pPr>
    </w:lvl>
  </w:abstractNum>
  <w:abstractNum w:abstractNumId="2">
    <w:nsid w:val="FFFFFF7E"/>
    <w:multiLevelType w:val="singleLevel"/>
    <w:tmpl w:val="D090A2E0"/>
    <w:lvl w:ilvl="0">
      <w:start w:val="1"/>
      <w:numFmt w:val="decimal"/>
      <w:lvlText w:val="%1."/>
      <w:lvlJc w:val="left"/>
      <w:pPr>
        <w:tabs>
          <w:tab w:val="num" w:pos="926"/>
        </w:tabs>
        <w:ind w:left="926" w:hanging="360"/>
      </w:pPr>
    </w:lvl>
  </w:abstractNum>
  <w:abstractNum w:abstractNumId="3">
    <w:nsid w:val="FFFFFF7F"/>
    <w:multiLevelType w:val="singleLevel"/>
    <w:tmpl w:val="1E0E6890"/>
    <w:lvl w:ilvl="0">
      <w:start w:val="1"/>
      <w:numFmt w:val="decimal"/>
      <w:lvlText w:val="%1."/>
      <w:lvlJc w:val="left"/>
      <w:pPr>
        <w:tabs>
          <w:tab w:val="num" w:pos="643"/>
        </w:tabs>
        <w:ind w:left="643" w:hanging="360"/>
      </w:pPr>
    </w:lvl>
  </w:abstractNum>
  <w:abstractNum w:abstractNumId="4">
    <w:nsid w:val="FFFFFF80"/>
    <w:multiLevelType w:val="singleLevel"/>
    <w:tmpl w:val="E4E81B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9289C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69E36C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2B023D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05A753C"/>
    <w:lvl w:ilvl="0">
      <w:start w:val="1"/>
      <w:numFmt w:val="decimal"/>
      <w:lvlText w:val="%1."/>
      <w:lvlJc w:val="left"/>
      <w:pPr>
        <w:tabs>
          <w:tab w:val="num" w:pos="360"/>
        </w:tabs>
        <w:ind w:left="360" w:hanging="360"/>
      </w:pPr>
    </w:lvl>
  </w:abstractNum>
  <w:abstractNum w:abstractNumId="9">
    <w:nsid w:val="FFFFFF89"/>
    <w:multiLevelType w:val="singleLevel"/>
    <w:tmpl w:val="AC027898"/>
    <w:lvl w:ilvl="0">
      <w:start w:val="1"/>
      <w:numFmt w:val="bullet"/>
      <w:lvlText w:val=""/>
      <w:lvlJc w:val="left"/>
      <w:pPr>
        <w:tabs>
          <w:tab w:val="num" w:pos="360"/>
        </w:tabs>
        <w:ind w:left="360" w:hanging="360"/>
      </w:pPr>
      <w:rPr>
        <w:rFonts w:ascii="Symbol" w:hAnsi="Symbol" w:hint="default"/>
      </w:rPr>
    </w:lvl>
  </w:abstractNum>
  <w:abstractNum w:abstractNumId="10">
    <w:nsid w:val="00E87BB6"/>
    <w:multiLevelType w:val="multilevel"/>
    <w:tmpl w:val="2C7CE8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60" w:hanging="720"/>
      </w:pPr>
      <w:rPr>
        <w:rFonts w:asciiTheme="majorHAnsi" w:hAnsiTheme="majorHAnsi" w:hint="default"/>
        <w:color w:val="auto"/>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02F77028"/>
    <w:multiLevelType w:val="hybridMultilevel"/>
    <w:tmpl w:val="1188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46435F"/>
    <w:multiLevelType w:val="singleLevel"/>
    <w:tmpl w:val="CA60528C"/>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3">
    <w:nsid w:val="0EBD137D"/>
    <w:multiLevelType w:val="hybridMultilevel"/>
    <w:tmpl w:val="F3F23A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A2376C"/>
    <w:multiLevelType w:val="multilevel"/>
    <w:tmpl w:val="9D02E2AC"/>
    <w:lvl w:ilvl="0">
      <w:start w:val="1"/>
      <w:numFmt w:val="decimal"/>
      <w:lvlText w:val="%1."/>
      <w:lvlJc w:val="left"/>
      <w:pPr>
        <w:ind w:left="928"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5">
    <w:nsid w:val="12CE2243"/>
    <w:multiLevelType w:val="multilevel"/>
    <w:tmpl w:val="758E42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6B260DF"/>
    <w:multiLevelType w:val="hybridMultilevel"/>
    <w:tmpl w:val="4D9CB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18163D09"/>
    <w:multiLevelType w:val="hybridMultilevel"/>
    <w:tmpl w:val="B216A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1F425D58"/>
    <w:multiLevelType w:val="hybridMultilevel"/>
    <w:tmpl w:val="3214AADA"/>
    <w:lvl w:ilvl="0" w:tplc="5FC09C6A">
      <w:start w:val="4"/>
      <w:numFmt w:val="decimal"/>
      <w:lvlText w:val="%1"/>
      <w:lvlJc w:val="left"/>
      <w:pPr>
        <w:tabs>
          <w:tab w:val="num" w:pos="1140"/>
        </w:tabs>
        <w:ind w:left="1140" w:hanging="11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20A87A02"/>
    <w:multiLevelType w:val="hybridMultilevel"/>
    <w:tmpl w:val="3962F2D4"/>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0">
    <w:nsid w:val="212F4188"/>
    <w:multiLevelType w:val="multilevel"/>
    <w:tmpl w:val="861A2B26"/>
    <w:lvl w:ilvl="0">
      <w:start w:val="1"/>
      <w:numFmt w:val="decimal"/>
      <w:suff w:val="space"/>
      <w:lvlText w:val="ANNEX %1:"/>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5115"/>
        </w:tabs>
        <w:ind w:left="5115"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A%1.%2.%3.%4"/>
      <w:lvlJc w:val="left"/>
      <w:pPr>
        <w:tabs>
          <w:tab w:val="num" w:pos="1290"/>
        </w:tabs>
        <w:ind w:left="1290" w:hanging="864"/>
      </w:pPr>
      <w:rPr>
        <w:rFonts w:hint="default"/>
      </w:rPr>
    </w:lvl>
    <w:lvl w:ilvl="4">
      <w:start w:val="1"/>
      <w:numFmt w:val="decimal"/>
      <w:lvlText w:val="%1.%2.%3.%4.%5"/>
      <w:lvlJc w:val="left"/>
      <w:pPr>
        <w:tabs>
          <w:tab w:val="num" w:pos="5403"/>
        </w:tabs>
        <w:ind w:left="5403" w:hanging="1008"/>
      </w:pPr>
      <w:rPr>
        <w:rFonts w:hint="default"/>
      </w:rPr>
    </w:lvl>
    <w:lvl w:ilvl="5">
      <w:start w:val="1"/>
      <w:numFmt w:val="decimal"/>
      <w:lvlText w:val="%1.%2.%3.%4.%5.%6"/>
      <w:lvlJc w:val="left"/>
      <w:pPr>
        <w:tabs>
          <w:tab w:val="num" w:pos="5547"/>
        </w:tabs>
        <w:ind w:left="5547" w:hanging="1152"/>
      </w:pPr>
      <w:rPr>
        <w:rFonts w:hint="default"/>
      </w:rPr>
    </w:lvl>
    <w:lvl w:ilvl="6">
      <w:start w:val="1"/>
      <w:numFmt w:val="decimal"/>
      <w:lvlText w:val="%1.%2.%3.%4.%5.%6.%7"/>
      <w:lvlJc w:val="left"/>
      <w:pPr>
        <w:tabs>
          <w:tab w:val="num" w:pos="5691"/>
        </w:tabs>
        <w:ind w:left="5691" w:hanging="1296"/>
      </w:pPr>
      <w:rPr>
        <w:rFonts w:hint="default"/>
      </w:rPr>
    </w:lvl>
    <w:lvl w:ilvl="7">
      <w:start w:val="1"/>
      <w:numFmt w:val="decimal"/>
      <w:lvlText w:val="%1.%2.%3.%4.%5.%6.%7.%8"/>
      <w:lvlJc w:val="left"/>
      <w:pPr>
        <w:tabs>
          <w:tab w:val="num" w:pos="5835"/>
        </w:tabs>
        <w:ind w:left="5835" w:hanging="1440"/>
      </w:pPr>
      <w:rPr>
        <w:rFonts w:hint="default"/>
      </w:rPr>
    </w:lvl>
    <w:lvl w:ilvl="8">
      <w:start w:val="1"/>
      <w:numFmt w:val="decimal"/>
      <w:lvlText w:val="%1.%2.%3.%4.%5.%6.%7.%8.%9"/>
      <w:lvlJc w:val="left"/>
      <w:pPr>
        <w:tabs>
          <w:tab w:val="num" w:pos="5979"/>
        </w:tabs>
        <w:ind w:left="5979" w:hanging="1584"/>
      </w:pPr>
      <w:rPr>
        <w:rFonts w:hint="default"/>
      </w:rPr>
    </w:lvl>
  </w:abstractNum>
  <w:abstractNum w:abstractNumId="21">
    <w:nsid w:val="22DE6816"/>
    <w:multiLevelType w:val="hybridMultilevel"/>
    <w:tmpl w:val="A308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545779"/>
    <w:multiLevelType w:val="hybridMultilevel"/>
    <w:tmpl w:val="CA943B72"/>
    <w:lvl w:ilvl="0" w:tplc="8766DAF0">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31E26A70"/>
    <w:multiLevelType w:val="multilevel"/>
    <w:tmpl w:val="80FEF120"/>
    <w:lvl w:ilvl="0">
      <w:start w:val="1"/>
      <w:numFmt w:val="decimal"/>
      <w:suff w:val="space"/>
      <w:lvlText w:val="(%1)"/>
      <w:lvlJc w:val="right"/>
      <w:pPr>
        <w:ind w:left="0" w:firstLine="714"/>
      </w:pPr>
      <w:rPr>
        <w:rFonts w:hint="eastAsia"/>
      </w:rPr>
    </w:lvl>
    <w:lvl w:ilvl="1">
      <w:start w:val="1"/>
      <w:numFmt w:val="decimal"/>
      <w:lvlText w:val="2.%2 "/>
      <w:lvlJc w:val="left"/>
      <w:pPr>
        <w:ind w:left="1260" w:hanging="420"/>
      </w:pPr>
      <w:rPr>
        <w:rFonts w:hint="eastAsia"/>
        <w:i w:val="0"/>
        <w:iCs w:val="0"/>
        <w:caps w:val="0"/>
        <w:smallCaps w:val="0"/>
        <w:strike w:val="0"/>
        <w:dstrike w:val="0"/>
        <w:vanish w:val="0"/>
        <w:spacing w:val="0"/>
        <w:position w:val="0"/>
        <w:u w:val="none"/>
        <w:vertAlign w:val="baseline"/>
        <w:em w:val="none"/>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4">
    <w:nsid w:val="3D8F6368"/>
    <w:multiLevelType w:val="multilevel"/>
    <w:tmpl w:val="1B8C46A6"/>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17A3501"/>
    <w:multiLevelType w:val="hybridMultilevel"/>
    <w:tmpl w:val="0F685D22"/>
    <w:lvl w:ilvl="0" w:tplc="F0463380">
      <w:start w:val="4"/>
      <w:numFmt w:val="bullet"/>
      <w:lvlText w:val="-"/>
      <w:lvlJc w:val="left"/>
      <w:pPr>
        <w:ind w:left="1500" w:hanging="360"/>
      </w:pPr>
      <w:rPr>
        <w:rFonts w:ascii="Times New Roman" w:eastAsia="Times New Roman" w:hAnsi="Times New Roman" w:cs="Times New Roman" w:hint="default"/>
        <w:i w:val="0"/>
      </w:rPr>
    </w:lvl>
    <w:lvl w:ilvl="1" w:tplc="040C0003" w:tentative="1">
      <w:start w:val="1"/>
      <w:numFmt w:val="bullet"/>
      <w:lvlText w:val="o"/>
      <w:lvlJc w:val="left"/>
      <w:pPr>
        <w:ind w:left="2220" w:hanging="360"/>
      </w:pPr>
      <w:rPr>
        <w:rFonts w:ascii="Courier New" w:hAnsi="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6">
    <w:nsid w:val="41A178DE"/>
    <w:multiLevelType w:val="hybridMultilevel"/>
    <w:tmpl w:val="5E3EF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图%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28">
    <w:nsid w:val="44FC380C"/>
    <w:multiLevelType w:val="hybridMultilevel"/>
    <w:tmpl w:val="A300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6E6242A"/>
    <w:multiLevelType w:val="hybridMultilevel"/>
    <w:tmpl w:val="9146C086"/>
    <w:lvl w:ilvl="0" w:tplc="AA284A92">
      <w:start w:val="1"/>
      <w:numFmt w:val="decimal"/>
      <w:lvlText w:val="[%1]"/>
      <w:lvlJc w:val="left"/>
      <w:pPr>
        <w:tabs>
          <w:tab w:val="num" w:pos="397"/>
        </w:tabs>
        <w:ind w:left="397" w:hanging="397"/>
      </w:pPr>
      <w:rPr>
        <w:rFonts w:ascii="Arial" w:hAnsi="Arial" w:hint="default"/>
        <w:b w:val="0"/>
        <w:i w:val="0"/>
        <w:color w:val="D2232A"/>
        <w:sz w:val="18"/>
      </w:rPr>
    </w:lvl>
    <w:lvl w:ilvl="1" w:tplc="3F70168E" w:tentative="1">
      <w:start w:val="1"/>
      <w:numFmt w:val="lowerLetter"/>
      <w:lvlText w:val="%2."/>
      <w:lvlJc w:val="left"/>
      <w:pPr>
        <w:tabs>
          <w:tab w:val="num" w:pos="1440"/>
        </w:tabs>
        <w:ind w:left="1440" w:hanging="360"/>
      </w:pPr>
    </w:lvl>
    <w:lvl w:ilvl="2" w:tplc="92509BA2" w:tentative="1">
      <w:start w:val="1"/>
      <w:numFmt w:val="lowerRoman"/>
      <w:lvlText w:val="%3."/>
      <w:lvlJc w:val="right"/>
      <w:pPr>
        <w:tabs>
          <w:tab w:val="num" w:pos="2160"/>
        </w:tabs>
        <w:ind w:left="2160" w:hanging="180"/>
      </w:pPr>
    </w:lvl>
    <w:lvl w:ilvl="3" w:tplc="22AA176E" w:tentative="1">
      <w:start w:val="1"/>
      <w:numFmt w:val="decimal"/>
      <w:lvlText w:val="%4."/>
      <w:lvlJc w:val="left"/>
      <w:pPr>
        <w:tabs>
          <w:tab w:val="num" w:pos="2880"/>
        </w:tabs>
        <w:ind w:left="2880" w:hanging="360"/>
      </w:pPr>
    </w:lvl>
    <w:lvl w:ilvl="4" w:tplc="28B898D0" w:tentative="1">
      <w:start w:val="1"/>
      <w:numFmt w:val="lowerLetter"/>
      <w:lvlText w:val="%5."/>
      <w:lvlJc w:val="left"/>
      <w:pPr>
        <w:tabs>
          <w:tab w:val="num" w:pos="3600"/>
        </w:tabs>
        <w:ind w:left="3600" w:hanging="360"/>
      </w:pPr>
    </w:lvl>
    <w:lvl w:ilvl="5" w:tplc="C7848E22" w:tentative="1">
      <w:start w:val="1"/>
      <w:numFmt w:val="lowerRoman"/>
      <w:lvlText w:val="%6."/>
      <w:lvlJc w:val="right"/>
      <w:pPr>
        <w:tabs>
          <w:tab w:val="num" w:pos="4320"/>
        </w:tabs>
        <w:ind w:left="4320" w:hanging="180"/>
      </w:pPr>
    </w:lvl>
    <w:lvl w:ilvl="6" w:tplc="0FFA63AC" w:tentative="1">
      <w:start w:val="1"/>
      <w:numFmt w:val="decimal"/>
      <w:lvlText w:val="%7."/>
      <w:lvlJc w:val="left"/>
      <w:pPr>
        <w:tabs>
          <w:tab w:val="num" w:pos="5040"/>
        </w:tabs>
        <w:ind w:left="5040" w:hanging="360"/>
      </w:pPr>
    </w:lvl>
    <w:lvl w:ilvl="7" w:tplc="28D029A6" w:tentative="1">
      <w:start w:val="1"/>
      <w:numFmt w:val="lowerLetter"/>
      <w:lvlText w:val="%8."/>
      <w:lvlJc w:val="left"/>
      <w:pPr>
        <w:tabs>
          <w:tab w:val="num" w:pos="5760"/>
        </w:tabs>
        <w:ind w:left="5760" w:hanging="360"/>
      </w:pPr>
    </w:lvl>
    <w:lvl w:ilvl="8" w:tplc="3C0848C2" w:tentative="1">
      <w:start w:val="1"/>
      <w:numFmt w:val="lowerRoman"/>
      <w:lvlText w:val="%9."/>
      <w:lvlJc w:val="right"/>
      <w:pPr>
        <w:tabs>
          <w:tab w:val="num" w:pos="6480"/>
        </w:tabs>
        <w:ind w:left="6480" w:hanging="180"/>
      </w:pPr>
    </w:lvl>
  </w:abstractNum>
  <w:abstractNum w:abstractNumId="30">
    <w:nsid w:val="48954381"/>
    <w:multiLevelType w:val="multilevel"/>
    <w:tmpl w:val="7BAE55DE"/>
    <w:lvl w:ilvl="0">
      <w:start w:val="1"/>
      <w:numFmt w:val="decimal"/>
      <w:lvlText w:val="SECTION %1."/>
      <w:lvlJc w:val="right"/>
      <w:pPr>
        <w:ind w:left="1260" w:hanging="360"/>
      </w:pPr>
      <w:rPr>
        <w:rFonts w:ascii="Times New Roman" w:hAnsi="Times New Roman"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8EA0AB7"/>
    <w:multiLevelType w:val="hybridMultilevel"/>
    <w:tmpl w:val="9FA2A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753C6E"/>
    <w:multiLevelType w:val="hybridMultilevel"/>
    <w:tmpl w:val="349EE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529D24AA"/>
    <w:multiLevelType w:val="hybridMultilevel"/>
    <w:tmpl w:val="17D6D68C"/>
    <w:lvl w:ilvl="0" w:tplc="0409000F">
      <w:start w:val="1"/>
      <w:numFmt w:val="decimal"/>
      <w:lvlText w:val="%1."/>
      <w:lvlJc w:val="left"/>
      <w:pPr>
        <w:ind w:left="720" w:hanging="360"/>
      </w:pPr>
      <w:rPr>
        <w:rFonts w:hint="default"/>
        <w:b/>
      </w:rPr>
    </w:lvl>
    <w:lvl w:ilvl="1" w:tplc="5AA60608">
      <w:start w:val="1"/>
      <w:numFmt w:val="lowerLetter"/>
      <w:lvlText w:val="%2."/>
      <w:lvlJc w:val="left"/>
      <w:pPr>
        <w:ind w:left="1440" w:hanging="360"/>
      </w:pPr>
      <w:rPr>
        <w:rFonts w:ascii="Times New Roman" w:eastAsia="MS Mincho"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D66C1"/>
    <w:multiLevelType w:val="hybridMultilevel"/>
    <w:tmpl w:val="B8C056BC"/>
    <w:lvl w:ilvl="0" w:tplc="826E22A6">
      <w:start w:val="3"/>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6A4A5BC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6">
    <w:nsid w:val="75E64D83"/>
    <w:multiLevelType w:val="hybridMultilevel"/>
    <w:tmpl w:val="CB8C5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7A5C6EB5"/>
    <w:multiLevelType w:val="hybridMultilevel"/>
    <w:tmpl w:val="D8B667B2"/>
    <w:lvl w:ilvl="0" w:tplc="73C4B67C">
      <w:start w:val="1"/>
      <w:numFmt w:val="decimal"/>
      <w:lvlText w:val="APPENDIX %1: "/>
      <w:lvlJc w:val="left"/>
      <w:pPr>
        <w:ind w:left="4614" w:hanging="360"/>
      </w:pPr>
      <w:rPr>
        <w:rFonts w:hint="default"/>
      </w:rPr>
    </w:lvl>
    <w:lvl w:ilvl="1" w:tplc="04060003" w:tentative="1">
      <w:start w:val="1"/>
      <w:numFmt w:val="lowerLetter"/>
      <w:lvlText w:val="%2."/>
      <w:lvlJc w:val="left"/>
      <w:pPr>
        <w:ind w:left="5334" w:hanging="360"/>
      </w:pPr>
    </w:lvl>
    <w:lvl w:ilvl="2" w:tplc="04060005" w:tentative="1">
      <w:start w:val="1"/>
      <w:numFmt w:val="lowerRoman"/>
      <w:lvlText w:val="%3."/>
      <w:lvlJc w:val="right"/>
      <w:pPr>
        <w:ind w:left="6054" w:hanging="180"/>
      </w:pPr>
    </w:lvl>
    <w:lvl w:ilvl="3" w:tplc="04060001">
      <w:start w:val="1"/>
      <w:numFmt w:val="decimal"/>
      <w:lvlText w:val="%4."/>
      <w:lvlJc w:val="left"/>
      <w:pPr>
        <w:ind w:left="6774" w:hanging="360"/>
      </w:pPr>
    </w:lvl>
    <w:lvl w:ilvl="4" w:tplc="04060003" w:tentative="1">
      <w:start w:val="1"/>
      <w:numFmt w:val="lowerLetter"/>
      <w:lvlText w:val="%5."/>
      <w:lvlJc w:val="left"/>
      <w:pPr>
        <w:ind w:left="7494" w:hanging="360"/>
      </w:pPr>
    </w:lvl>
    <w:lvl w:ilvl="5" w:tplc="04060005" w:tentative="1">
      <w:start w:val="1"/>
      <w:numFmt w:val="lowerRoman"/>
      <w:lvlText w:val="%6."/>
      <w:lvlJc w:val="right"/>
      <w:pPr>
        <w:ind w:left="8214" w:hanging="180"/>
      </w:pPr>
    </w:lvl>
    <w:lvl w:ilvl="6" w:tplc="04060001" w:tentative="1">
      <w:start w:val="1"/>
      <w:numFmt w:val="decimal"/>
      <w:lvlText w:val="%7."/>
      <w:lvlJc w:val="left"/>
      <w:pPr>
        <w:ind w:left="8934" w:hanging="360"/>
      </w:pPr>
    </w:lvl>
    <w:lvl w:ilvl="7" w:tplc="04060003" w:tentative="1">
      <w:start w:val="1"/>
      <w:numFmt w:val="lowerLetter"/>
      <w:lvlText w:val="%8."/>
      <w:lvlJc w:val="left"/>
      <w:pPr>
        <w:ind w:left="9654" w:hanging="360"/>
      </w:pPr>
    </w:lvl>
    <w:lvl w:ilvl="8" w:tplc="04060005" w:tentative="1">
      <w:start w:val="1"/>
      <w:numFmt w:val="lowerRoman"/>
      <w:lvlText w:val="%9."/>
      <w:lvlJc w:val="right"/>
      <w:pPr>
        <w:ind w:left="10374" w:hanging="180"/>
      </w:pPr>
    </w:lvl>
  </w:abstractNum>
  <w:abstractNum w:abstractNumId="38">
    <w:nsid w:val="7AE73490"/>
    <w:multiLevelType w:val="hybridMultilevel"/>
    <w:tmpl w:val="DDF479C2"/>
    <w:lvl w:ilvl="0" w:tplc="7A1A97D2">
      <w:start w:val="1"/>
      <w:numFmt w:val="decimal"/>
      <w:lvlText w:val="Ap 1.%1: "/>
      <w:lvlJc w:val="left"/>
      <w:pPr>
        <w:ind w:left="1212" w:hanging="360"/>
      </w:pPr>
      <w:rPr>
        <w:rFonts w:hint="default"/>
      </w:rPr>
    </w:lvl>
    <w:lvl w:ilvl="1" w:tplc="D1ECD6CA" w:tentative="1">
      <w:start w:val="1"/>
      <w:numFmt w:val="lowerLetter"/>
      <w:lvlText w:val="%2."/>
      <w:lvlJc w:val="left"/>
      <w:pPr>
        <w:ind w:left="1932" w:hanging="360"/>
      </w:pPr>
    </w:lvl>
    <w:lvl w:ilvl="2" w:tplc="B91C175A" w:tentative="1">
      <w:start w:val="1"/>
      <w:numFmt w:val="lowerRoman"/>
      <w:lvlText w:val="%3."/>
      <w:lvlJc w:val="right"/>
      <w:pPr>
        <w:ind w:left="2652" w:hanging="180"/>
      </w:pPr>
    </w:lvl>
    <w:lvl w:ilvl="3" w:tplc="5178D372" w:tentative="1">
      <w:start w:val="1"/>
      <w:numFmt w:val="decimal"/>
      <w:lvlText w:val="%4."/>
      <w:lvlJc w:val="left"/>
      <w:pPr>
        <w:ind w:left="3372" w:hanging="360"/>
      </w:pPr>
    </w:lvl>
    <w:lvl w:ilvl="4" w:tplc="64080132" w:tentative="1">
      <w:start w:val="1"/>
      <w:numFmt w:val="lowerLetter"/>
      <w:lvlText w:val="%5."/>
      <w:lvlJc w:val="left"/>
      <w:pPr>
        <w:ind w:left="4092" w:hanging="360"/>
      </w:pPr>
    </w:lvl>
    <w:lvl w:ilvl="5" w:tplc="4A306406" w:tentative="1">
      <w:start w:val="1"/>
      <w:numFmt w:val="lowerRoman"/>
      <w:lvlText w:val="%6."/>
      <w:lvlJc w:val="right"/>
      <w:pPr>
        <w:ind w:left="4812" w:hanging="180"/>
      </w:pPr>
    </w:lvl>
    <w:lvl w:ilvl="6" w:tplc="99B89F44" w:tentative="1">
      <w:start w:val="1"/>
      <w:numFmt w:val="decimal"/>
      <w:lvlText w:val="%7."/>
      <w:lvlJc w:val="left"/>
      <w:pPr>
        <w:ind w:left="5532" w:hanging="360"/>
      </w:pPr>
    </w:lvl>
    <w:lvl w:ilvl="7" w:tplc="5BCE4A96" w:tentative="1">
      <w:start w:val="1"/>
      <w:numFmt w:val="lowerLetter"/>
      <w:lvlText w:val="%8."/>
      <w:lvlJc w:val="left"/>
      <w:pPr>
        <w:ind w:left="6252" w:hanging="360"/>
      </w:pPr>
    </w:lvl>
    <w:lvl w:ilvl="8" w:tplc="F25C3326" w:tentative="1">
      <w:start w:val="1"/>
      <w:numFmt w:val="lowerRoman"/>
      <w:lvlText w:val="%9."/>
      <w:lvlJc w:val="right"/>
      <w:pPr>
        <w:ind w:left="6972" w:hanging="180"/>
      </w:pPr>
    </w:lvl>
  </w:abstractNum>
  <w:abstractNum w:abstractNumId="39">
    <w:nsid w:val="7B762D45"/>
    <w:multiLevelType w:val="hybridMultilevel"/>
    <w:tmpl w:val="F6ACC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D864ECA"/>
    <w:multiLevelType w:val="hybridMultilevel"/>
    <w:tmpl w:val="68F4C290"/>
    <w:lvl w:ilvl="0" w:tplc="49DE2400">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26"/>
  </w:num>
  <w:num w:numId="13">
    <w:abstractNumId w:val="19"/>
  </w:num>
  <w:num w:numId="14">
    <w:abstractNumId w:val="35"/>
  </w:num>
  <w:num w:numId="15">
    <w:abstractNumId w:val="20"/>
  </w:num>
  <w:num w:numId="16">
    <w:abstractNumId w:val="37"/>
  </w:num>
  <w:num w:numId="17">
    <w:abstractNumId w:val="29"/>
  </w:num>
  <w:num w:numId="18">
    <w:abstractNumId w:val="38"/>
  </w:num>
  <w:num w:numId="19">
    <w:abstractNumId w:val="24"/>
  </w:num>
  <w:num w:numId="20">
    <w:abstractNumId w:val="28"/>
  </w:num>
  <w:num w:numId="21">
    <w:abstractNumId w:val="18"/>
  </w:num>
  <w:num w:numId="22">
    <w:abstractNumId w:val="23"/>
  </w:num>
  <w:num w:numId="23">
    <w:abstractNumId w:val="10"/>
  </w:num>
  <w:num w:numId="24">
    <w:abstractNumId w:val="22"/>
  </w:num>
  <w:num w:numId="25">
    <w:abstractNumId w:val="12"/>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1"/>
  </w:num>
  <w:num w:numId="29">
    <w:abstractNumId w:val="11"/>
  </w:num>
  <w:num w:numId="30">
    <w:abstractNumId w:val="32"/>
  </w:num>
  <w:num w:numId="31">
    <w:abstractNumId w:val="39"/>
  </w:num>
  <w:num w:numId="32">
    <w:abstractNumId w:val="17"/>
  </w:num>
  <w:num w:numId="33">
    <w:abstractNumId w:val="36"/>
  </w:num>
  <w:num w:numId="34">
    <w:abstractNumId w:val="34"/>
  </w:num>
  <w:num w:numId="35">
    <w:abstractNumId w:val="16"/>
  </w:num>
  <w:num w:numId="36">
    <w:abstractNumId w:val="40"/>
  </w:num>
  <w:num w:numId="37">
    <w:abstractNumId w:val="14"/>
  </w:num>
  <w:num w:numId="38">
    <w:abstractNumId w:val="13"/>
  </w:num>
  <w:num w:numId="39">
    <w:abstractNumId w:val="25"/>
  </w:num>
  <w:num w:numId="40">
    <w:abstractNumId w:val="33"/>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C23"/>
    <w:rsid w:val="00023377"/>
    <w:rsid w:val="00044F43"/>
    <w:rsid w:val="00071226"/>
    <w:rsid w:val="000836E4"/>
    <w:rsid w:val="00093C72"/>
    <w:rsid w:val="000A2778"/>
    <w:rsid w:val="000B1083"/>
    <w:rsid w:val="000B3995"/>
    <w:rsid w:val="000F3E3B"/>
    <w:rsid w:val="00144F6D"/>
    <w:rsid w:val="00152BE1"/>
    <w:rsid w:val="0017413B"/>
    <w:rsid w:val="00180AE5"/>
    <w:rsid w:val="0019464F"/>
    <w:rsid w:val="001A535F"/>
    <w:rsid w:val="002177C5"/>
    <w:rsid w:val="00217EBF"/>
    <w:rsid w:val="00220A09"/>
    <w:rsid w:val="00224971"/>
    <w:rsid w:val="00242AEE"/>
    <w:rsid w:val="00245E64"/>
    <w:rsid w:val="002A31A2"/>
    <w:rsid w:val="002B2406"/>
    <w:rsid w:val="002D76C4"/>
    <w:rsid w:val="002E172F"/>
    <w:rsid w:val="00315D20"/>
    <w:rsid w:val="003552F3"/>
    <w:rsid w:val="0038583D"/>
    <w:rsid w:val="003D24A7"/>
    <w:rsid w:val="003E1768"/>
    <w:rsid w:val="00447619"/>
    <w:rsid w:val="0049745D"/>
    <w:rsid w:val="004A6E4B"/>
    <w:rsid w:val="004B4197"/>
    <w:rsid w:val="004C4D95"/>
    <w:rsid w:val="0052529D"/>
    <w:rsid w:val="00546F9D"/>
    <w:rsid w:val="005B7C81"/>
    <w:rsid w:val="005D2F78"/>
    <w:rsid w:val="00607D68"/>
    <w:rsid w:val="00620217"/>
    <w:rsid w:val="006416AB"/>
    <w:rsid w:val="00646B3C"/>
    <w:rsid w:val="006C09C0"/>
    <w:rsid w:val="006D0576"/>
    <w:rsid w:val="006E74E0"/>
    <w:rsid w:val="00743694"/>
    <w:rsid w:val="007468DA"/>
    <w:rsid w:val="00806E06"/>
    <w:rsid w:val="00845CC9"/>
    <w:rsid w:val="00871566"/>
    <w:rsid w:val="008839C1"/>
    <w:rsid w:val="008D3EBE"/>
    <w:rsid w:val="00920F6A"/>
    <w:rsid w:val="00936BC7"/>
    <w:rsid w:val="009433DC"/>
    <w:rsid w:val="009563CB"/>
    <w:rsid w:val="00965C95"/>
    <w:rsid w:val="009C3796"/>
    <w:rsid w:val="009E00A8"/>
    <w:rsid w:val="009E08A9"/>
    <w:rsid w:val="00A508A0"/>
    <w:rsid w:val="00A6211D"/>
    <w:rsid w:val="00A6617B"/>
    <w:rsid w:val="00A9529A"/>
    <w:rsid w:val="00AB0DC8"/>
    <w:rsid w:val="00AE578D"/>
    <w:rsid w:val="00AF0983"/>
    <w:rsid w:val="00B313D8"/>
    <w:rsid w:val="00B44E24"/>
    <w:rsid w:val="00BA56C5"/>
    <w:rsid w:val="00BA78CB"/>
    <w:rsid w:val="00BF1B1C"/>
    <w:rsid w:val="00BF703A"/>
    <w:rsid w:val="00C01F9D"/>
    <w:rsid w:val="00C309C4"/>
    <w:rsid w:val="00C741F6"/>
    <w:rsid w:val="00CC1C23"/>
    <w:rsid w:val="00CF2D02"/>
    <w:rsid w:val="00D25D4F"/>
    <w:rsid w:val="00D86C62"/>
    <w:rsid w:val="00DB220D"/>
    <w:rsid w:val="00DB58C2"/>
    <w:rsid w:val="00DE4CBA"/>
    <w:rsid w:val="00DF3CF4"/>
    <w:rsid w:val="00DF4176"/>
    <w:rsid w:val="00E222C8"/>
    <w:rsid w:val="00E72FDE"/>
    <w:rsid w:val="00EB5624"/>
    <w:rsid w:val="00EB73A7"/>
    <w:rsid w:val="00EF49EF"/>
    <w:rsid w:val="00F10668"/>
    <w:rsid w:val="00F248FF"/>
    <w:rsid w:val="00F64969"/>
    <w:rsid w:val="00F71DD3"/>
    <w:rsid w:val="00F90CAF"/>
    <w:rsid w:val="00FE70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2289"/>
    <o:shapelayout v:ext="edit">
      <o:idmap v:ext="edit" data="1"/>
    </o:shapelayout>
  </w:shapeDefaults>
  <w:decimalSymbol w:val="."/>
  <w:listSeparator w:val=";"/>
  <w15:docId w15:val="{2C1EE371-D0B6-484F-9BB6-ACD0633A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1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741F6"/>
    <w:pPr>
      <w:keepNext/>
      <w:keepLines/>
      <w:spacing w:before="480"/>
      <w:ind w:left="794" w:hanging="794"/>
      <w:outlineLvl w:val="0"/>
    </w:pPr>
    <w:rPr>
      <w:b/>
    </w:rPr>
  </w:style>
  <w:style w:type="paragraph" w:styleId="Heading2">
    <w:name w:val="heading 2"/>
    <w:basedOn w:val="Heading1"/>
    <w:next w:val="Normal"/>
    <w:link w:val="Heading2Char"/>
    <w:qFormat/>
    <w:rsid w:val="00C741F6"/>
    <w:pPr>
      <w:spacing w:before="320"/>
      <w:outlineLvl w:val="1"/>
    </w:pPr>
  </w:style>
  <w:style w:type="paragraph" w:styleId="Heading3">
    <w:name w:val="heading 3"/>
    <w:basedOn w:val="Heading1"/>
    <w:next w:val="Normal"/>
    <w:link w:val="Heading3Char"/>
    <w:qFormat/>
    <w:rsid w:val="00C741F6"/>
    <w:pPr>
      <w:spacing w:before="200"/>
      <w:outlineLvl w:val="2"/>
    </w:pPr>
  </w:style>
  <w:style w:type="paragraph" w:styleId="Heading4">
    <w:name w:val="heading 4"/>
    <w:aliases w:val="ECC Heading 4,h4,H4,H41,h41,H42,h42,H43,h43,H411,h411,H421,h421,H44,h44,H412,h412,H422,h422,H431,h431,H45,h45,H413,h413,H423,h423,H432,h432,H46,h46,H47,h47,Memo Heading 4,Memo Heading 5,Heading,4,Memo,5,段1.2.,heading 4,heading 41,heading 42"/>
    <w:basedOn w:val="Heading3"/>
    <w:next w:val="Normal"/>
    <w:link w:val="Heading4Char"/>
    <w:qFormat/>
    <w:rsid w:val="00C741F6"/>
    <w:pPr>
      <w:tabs>
        <w:tab w:val="clear" w:pos="794"/>
        <w:tab w:val="left" w:pos="992"/>
      </w:tabs>
      <w:ind w:left="992" w:hanging="992"/>
      <w:outlineLvl w:val="3"/>
    </w:pPr>
  </w:style>
  <w:style w:type="paragraph" w:styleId="Heading5">
    <w:name w:val="heading 5"/>
    <w:aliases w:val="h5,Heading5"/>
    <w:basedOn w:val="Heading4"/>
    <w:next w:val="Normal"/>
    <w:link w:val="Heading5Char"/>
    <w:qFormat/>
    <w:rsid w:val="00C741F6"/>
    <w:pPr>
      <w:outlineLvl w:val="4"/>
    </w:pPr>
  </w:style>
  <w:style w:type="paragraph" w:styleId="Heading6">
    <w:name w:val="heading 6"/>
    <w:basedOn w:val="Heading4"/>
    <w:next w:val="Normal"/>
    <w:link w:val="Heading6Char"/>
    <w:qFormat/>
    <w:rsid w:val="00C741F6"/>
    <w:pPr>
      <w:tabs>
        <w:tab w:val="clear" w:pos="992"/>
        <w:tab w:val="clear" w:pos="1191"/>
      </w:tabs>
      <w:ind w:left="1588" w:hanging="1588"/>
      <w:outlineLvl w:val="5"/>
    </w:pPr>
  </w:style>
  <w:style w:type="paragraph" w:styleId="Heading7">
    <w:name w:val="heading 7"/>
    <w:basedOn w:val="Heading6"/>
    <w:next w:val="Normal"/>
    <w:link w:val="Heading7Char"/>
    <w:qFormat/>
    <w:rsid w:val="00C741F6"/>
    <w:pPr>
      <w:outlineLvl w:val="6"/>
    </w:pPr>
  </w:style>
  <w:style w:type="paragraph" w:styleId="Heading8">
    <w:name w:val="heading 8"/>
    <w:basedOn w:val="Heading6"/>
    <w:next w:val="Normal"/>
    <w:link w:val="Heading8Char"/>
    <w:qFormat/>
    <w:rsid w:val="00C741F6"/>
    <w:pPr>
      <w:outlineLvl w:val="7"/>
    </w:pPr>
  </w:style>
  <w:style w:type="paragraph" w:styleId="Heading9">
    <w:name w:val="heading 9"/>
    <w:basedOn w:val="Heading6"/>
    <w:next w:val="Normal"/>
    <w:link w:val="Heading9Char"/>
    <w:qFormat/>
    <w:rsid w:val="00C741F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741F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741F6"/>
    <w:rPr>
      <w:sz w:val="24"/>
      <w:lang w:val="fr-FR" w:eastAsia="en-US"/>
    </w:rPr>
  </w:style>
  <w:style w:type="character" w:styleId="PageNumber">
    <w:name w:val="page number"/>
    <w:basedOn w:val="DefaultParagraphFont"/>
    <w:rsid w:val="00C741F6"/>
  </w:style>
  <w:style w:type="paragraph" w:customStyle="1" w:styleId="Headingb">
    <w:name w:val="Heading_b"/>
    <w:basedOn w:val="Heading3"/>
    <w:next w:val="Normal"/>
    <w:link w:val="HeadingbChar"/>
    <w:rsid w:val="00C741F6"/>
    <w:pPr>
      <w:spacing w:before="160"/>
      <w:ind w:left="0" w:firstLine="0"/>
      <w:outlineLvl w:val="9"/>
    </w:pPr>
  </w:style>
  <w:style w:type="paragraph" w:customStyle="1" w:styleId="Headingi">
    <w:name w:val="Heading_i"/>
    <w:basedOn w:val="Heading3"/>
    <w:next w:val="Normal"/>
    <w:rsid w:val="00C741F6"/>
    <w:pPr>
      <w:spacing w:before="160"/>
      <w:ind w:left="0" w:firstLine="0"/>
    </w:pPr>
    <w:rPr>
      <w:b w:val="0"/>
      <w:i/>
    </w:rPr>
  </w:style>
  <w:style w:type="character" w:customStyle="1" w:styleId="href">
    <w:name w:val="href"/>
    <w:basedOn w:val="DefaultParagraphFont"/>
    <w:rsid w:val="00C741F6"/>
  </w:style>
  <w:style w:type="paragraph" w:customStyle="1" w:styleId="enumlev1">
    <w:name w:val="enumlev1"/>
    <w:basedOn w:val="Normal"/>
    <w:link w:val="enumlev1Char"/>
    <w:rsid w:val="00C741F6"/>
    <w:pPr>
      <w:spacing w:before="80"/>
      <w:ind w:left="794" w:hanging="794"/>
    </w:pPr>
  </w:style>
  <w:style w:type="paragraph" w:customStyle="1" w:styleId="enumlev2">
    <w:name w:val="enumlev2"/>
    <w:basedOn w:val="enumlev1"/>
    <w:rsid w:val="00C741F6"/>
    <w:pPr>
      <w:ind w:left="1191" w:hanging="397"/>
    </w:pPr>
  </w:style>
  <w:style w:type="paragraph" w:customStyle="1" w:styleId="enumlev3">
    <w:name w:val="enumlev3"/>
    <w:basedOn w:val="enumlev2"/>
    <w:rsid w:val="00C741F6"/>
    <w:pPr>
      <w:ind w:left="1588"/>
    </w:pPr>
  </w:style>
  <w:style w:type="paragraph" w:customStyle="1" w:styleId="Normalaftertitle">
    <w:name w:val="Normal_after_title"/>
    <w:basedOn w:val="Normal"/>
    <w:next w:val="Normal"/>
    <w:link w:val="NormalaftertitleChar"/>
    <w:rsid w:val="00C741F6"/>
    <w:pPr>
      <w:spacing w:before="320"/>
    </w:pPr>
  </w:style>
  <w:style w:type="paragraph" w:customStyle="1" w:styleId="Note">
    <w:name w:val="Note"/>
    <w:basedOn w:val="Normal"/>
    <w:rsid w:val="00C741F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741F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741F6"/>
    <w:pPr>
      <w:spacing w:before="240"/>
    </w:pPr>
    <w:rPr>
      <w:sz w:val="22"/>
      <w:lang w:val="es-ES_tradnl"/>
    </w:rPr>
  </w:style>
  <w:style w:type="paragraph" w:customStyle="1" w:styleId="Recref">
    <w:name w:val="Rec_ref"/>
    <w:basedOn w:val="Normal"/>
    <w:next w:val="Recdate"/>
    <w:rsid w:val="00C741F6"/>
    <w:pPr>
      <w:jc w:val="center"/>
    </w:pPr>
  </w:style>
  <w:style w:type="paragraph" w:customStyle="1" w:styleId="Recdate">
    <w:name w:val="Rec_date"/>
    <w:basedOn w:val="Recref"/>
    <w:next w:val="Normalaftertitle"/>
    <w:rsid w:val="00C741F6"/>
    <w:pPr>
      <w:jc w:val="right"/>
    </w:pPr>
  </w:style>
  <w:style w:type="paragraph" w:customStyle="1" w:styleId="AnnexNoTitle">
    <w:name w:val="Annex_NoTitle"/>
    <w:basedOn w:val="Normal"/>
    <w:next w:val="Normalaftertitle"/>
    <w:rsid w:val="00C741F6"/>
    <w:pPr>
      <w:keepNext/>
      <w:keepLines/>
      <w:spacing w:before="480" w:after="80"/>
      <w:jc w:val="center"/>
    </w:pPr>
    <w:rPr>
      <w:b/>
      <w:sz w:val="28"/>
    </w:rPr>
  </w:style>
  <w:style w:type="paragraph" w:customStyle="1" w:styleId="AppendixNoTitle">
    <w:name w:val="Appendix_NoTitle"/>
    <w:basedOn w:val="AnnexNoTitle"/>
    <w:next w:val="Normal"/>
    <w:rsid w:val="00C741F6"/>
  </w:style>
  <w:style w:type="paragraph" w:customStyle="1" w:styleId="Tablefin">
    <w:name w:val="Table_fin"/>
    <w:basedOn w:val="Normal"/>
    <w:next w:val="Normal"/>
    <w:rsid w:val="00C741F6"/>
    <w:pPr>
      <w:spacing w:before="0"/>
    </w:pPr>
    <w:rPr>
      <w:sz w:val="20"/>
      <w:lang w:val="en-GB"/>
    </w:rPr>
  </w:style>
  <w:style w:type="paragraph" w:customStyle="1" w:styleId="Tablehead">
    <w:name w:val="Table_head"/>
    <w:basedOn w:val="Normal"/>
    <w:next w:val="Normal"/>
    <w:link w:val="TableheadChar"/>
    <w:rsid w:val="00C741F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741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741F6"/>
    <w:pPr>
      <w:keepNext/>
      <w:spacing w:before="360" w:after="120"/>
      <w:jc w:val="center"/>
    </w:pPr>
  </w:style>
  <w:style w:type="paragraph" w:customStyle="1" w:styleId="Tabletext">
    <w:name w:val="Table_text"/>
    <w:basedOn w:val="Normal"/>
    <w:link w:val="TabletextChar"/>
    <w:rsid w:val="00C741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Footer">
    <w:name w:val="footer"/>
    <w:basedOn w:val="Normal"/>
    <w:link w:val="FooterChar"/>
    <w:rsid w:val="00C741F6"/>
    <w:pPr>
      <w:tabs>
        <w:tab w:val="clear" w:pos="794"/>
        <w:tab w:val="clear" w:pos="1191"/>
        <w:tab w:val="clear" w:pos="1588"/>
        <w:tab w:val="clear" w:pos="1985"/>
      </w:tabs>
      <w:spacing w:before="0"/>
    </w:pPr>
    <w:rPr>
      <w:noProof/>
      <w:sz w:val="18"/>
    </w:rPr>
  </w:style>
  <w:style w:type="paragraph" w:customStyle="1" w:styleId="Equationlegend">
    <w:name w:val="Equation_legend"/>
    <w:basedOn w:val="NormalIndent"/>
    <w:link w:val="EquationlegendChar"/>
    <w:rsid w:val="00C741F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741F6"/>
    <w:pPr>
      <w:ind w:left="794"/>
    </w:pPr>
  </w:style>
  <w:style w:type="paragraph" w:customStyle="1" w:styleId="Figurelegend">
    <w:name w:val="Figure_legend"/>
    <w:basedOn w:val="Normal"/>
    <w:rsid w:val="00C741F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741F6"/>
    <w:pPr>
      <w:keepNext/>
      <w:keepLines/>
      <w:spacing w:before="480" w:after="80"/>
      <w:jc w:val="center"/>
    </w:pPr>
    <w:rPr>
      <w:caps/>
      <w:sz w:val="18"/>
    </w:rPr>
  </w:style>
  <w:style w:type="paragraph" w:customStyle="1" w:styleId="tocpart">
    <w:name w:val="tocpart"/>
    <w:basedOn w:val="Normal"/>
    <w:rsid w:val="00C741F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741F6"/>
    <w:pPr>
      <w:keepNext/>
      <w:keepLines/>
      <w:spacing w:before="480"/>
      <w:jc w:val="center"/>
    </w:pPr>
    <w:rPr>
      <w:sz w:val="28"/>
    </w:rPr>
  </w:style>
  <w:style w:type="paragraph" w:customStyle="1" w:styleId="Arttitle">
    <w:name w:val="Art_title"/>
    <w:basedOn w:val="Normal"/>
    <w:next w:val="Normalaftertitle"/>
    <w:rsid w:val="00C741F6"/>
    <w:pPr>
      <w:keepNext/>
      <w:keepLines/>
      <w:spacing w:before="240"/>
      <w:jc w:val="center"/>
    </w:pPr>
    <w:rPr>
      <w:b/>
      <w:sz w:val="28"/>
    </w:rPr>
  </w:style>
  <w:style w:type="paragraph" w:customStyle="1" w:styleId="Blanc">
    <w:name w:val="Blanc"/>
    <w:basedOn w:val="Normal"/>
    <w:next w:val="Tabletext"/>
    <w:rsid w:val="00C741F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741F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741F6"/>
    <w:pPr>
      <w:keepNext/>
      <w:keepLines/>
      <w:spacing w:before="160"/>
      <w:ind w:left="794"/>
    </w:pPr>
    <w:rPr>
      <w:i/>
    </w:rPr>
  </w:style>
  <w:style w:type="paragraph" w:customStyle="1" w:styleId="ChapNo">
    <w:name w:val="Chap_No"/>
    <w:basedOn w:val="ArtNo"/>
    <w:next w:val="Chaptitle"/>
    <w:rsid w:val="00C741F6"/>
    <w:rPr>
      <w:b/>
    </w:rPr>
  </w:style>
  <w:style w:type="paragraph" w:customStyle="1" w:styleId="Chaptitle">
    <w:name w:val="Chap_title"/>
    <w:basedOn w:val="Arttitle"/>
    <w:next w:val="Normalaftertitle"/>
    <w:rsid w:val="00C741F6"/>
  </w:style>
  <w:style w:type="character" w:customStyle="1" w:styleId="FooterChar">
    <w:name w:val="Footer Char"/>
    <w:basedOn w:val="DefaultParagraphFont"/>
    <w:link w:val="Footer"/>
    <w:rsid w:val="00C741F6"/>
    <w:rPr>
      <w:noProof/>
      <w:sz w:val="18"/>
      <w:lang w:val="fr-FR" w:eastAsia="en-US"/>
    </w:rPr>
  </w:style>
  <w:style w:type="paragraph" w:customStyle="1" w:styleId="Equation">
    <w:name w:val="Equation"/>
    <w:basedOn w:val="Normal"/>
    <w:rsid w:val="00C741F6"/>
    <w:pPr>
      <w:tabs>
        <w:tab w:val="clear" w:pos="1191"/>
        <w:tab w:val="clear" w:pos="1588"/>
        <w:tab w:val="clear" w:pos="1985"/>
        <w:tab w:val="center" w:pos="4820"/>
        <w:tab w:val="right" w:pos="9639"/>
      </w:tabs>
    </w:pPr>
  </w:style>
  <w:style w:type="paragraph" w:styleId="Index1">
    <w:name w:val="index 1"/>
    <w:basedOn w:val="Normal"/>
    <w:next w:val="Normal"/>
    <w:rsid w:val="00C741F6"/>
  </w:style>
  <w:style w:type="paragraph" w:styleId="Index2">
    <w:name w:val="index 2"/>
    <w:basedOn w:val="Normal"/>
    <w:next w:val="Normal"/>
    <w:rsid w:val="00C741F6"/>
    <w:pPr>
      <w:ind w:left="283"/>
    </w:pPr>
  </w:style>
  <w:style w:type="paragraph" w:styleId="Index3">
    <w:name w:val="index 3"/>
    <w:basedOn w:val="Normal"/>
    <w:next w:val="Normal"/>
    <w:rsid w:val="00C741F6"/>
    <w:pPr>
      <w:ind w:left="566"/>
    </w:pPr>
  </w:style>
  <w:style w:type="paragraph" w:styleId="IndexHeading">
    <w:name w:val="index heading"/>
    <w:basedOn w:val="Normal"/>
    <w:next w:val="Index1"/>
    <w:rsid w:val="00C741F6"/>
  </w:style>
  <w:style w:type="paragraph" w:customStyle="1" w:styleId="Line">
    <w:name w:val="Line"/>
    <w:basedOn w:val="Normal"/>
    <w:next w:val="Normal"/>
    <w:rsid w:val="00C741F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741F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741F6"/>
  </w:style>
  <w:style w:type="paragraph" w:customStyle="1" w:styleId="Partref">
    <w:name w:val="Part_ref"/>
    <w:basedOn w:val="Normal"/>
    <w:next w:val="Normal"/>
    <w:rsid w:val="00C741F6"/>
    <w:pPr>
      <w:keepNext/>
      <w:keepLines/>
      <w:spacing w:after="280"/>
      <w:jc w:val="center"/>
    </w:pPr>
  </w:style>
  <w:style w:type="paragraph" w:customStyle="1" w:styleId="Parttitle">
    <w:name w:val="Part_title"/>
    <w:basedOn w:val="Normal"/>
    <w:next w:val="Normalaftertitle"/>
    <w:rsid w:val="00C741F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741F6"/>
  </w:style>
  <w:style w:type="paragraph" w:customStyle="1" w:styleId="QuestionNo">
    <w:name w:val="Question_No"/>
    <w:basedOn w:val="RecNo"/>
    <w:next w:val="Normal"/>
    <w:rsid w:val="00C741F6"/>
  </w:style>
  <w:style w:type="paragraph" w:customStyle="1" w:styleId="Questionref">
    <w:name w:val="Question_ref"/>
    <w:basedOn w:val="Recref"/>
    <w:next w:val="Questiondate"/>
    <w:rsid w:val="00C741F6"/>
  </w:style>
  <w:style w:type="paragraph" w:customStyle="1" w:styleId="Questiontitle">
    <w:name w:val="Question_title"/>
    <w:basedOn w:val="Normal"/>
    <w:next w:val="Questionref"/>
    <w:rsid w:val="00C741F6"/>
  </w:style>
  <w:style w:type="paragraph" w:customStyle="1" w:styleId="Reftext">
    <w:name w:val="Ref_text"/>
    <w:basedOn w:val="Normal"/>
    <w:rsid w:val="00C741F6"/>
    <w:pPr>
      <w:ind w:left="794" w:hanging="794"/>
    </w:pPr>
    <w:rPr>
      <w:sz w:val="22"/>
    </w:rPr>
  </w:style>
  <w:style w:type="paragraph" w:customStyle="1" w:styleId="Reftitle">
    <w:name w:val="Ref_title"/>
    <w:basedOn w:val="Normal"/>
    <w:next w:val="Reftext"/>
    <w:rsid w:val="00C741F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741F6"/>
  </w:style>
  <w:style w:type="paragraph" w:customStyle="1" w:styleId="RepNo">
    <w:name w:val="Rep_No"/>
    <w:basedOn w:val="RecNo"/>
    <w:next w:val="Reptitle"/>
    <w:link w:val="RepNoCar"/>
    <w:rsid w:val="00C741F6"/>
  </w:style>
  <w:style w:type="paragraph" w:customStyle="1" w:styleId="Repref">
    <w:name w:val="Rep_ref"/>
    <w:basedOn w:val="Recref"/>
    <w:next w:val="Repdate"/>
    <w:rsid w:val="00C741F6"/>
  </w:style>
  <w:style w:type="paragraph" w:customStyle="1" w:styleId="Reptitle">
    <w:name w:val="Rep_title"/>
    <w:basedOn w:val="Rectitle"/>
    <w:next w:val="Repref"/>
    <w:link w:val="ReptitleCar"/>
    <w:rsid w:val="00C741F6"/>
  </w:style>
  <w:style w:type="paragraph" w:customStyle="1" w:styleId="Resdate">
    <w:name w:val="Res_date"/>
    <w:basedOn w:val="Recdate"/>
    <w:next w:val="Normalaftertitle"/>
    <w:rsid w:val="00C741F6"/>
  </w:style>
  <w:style w:type="paragraph" w:customStyle="1" w:styleId="ResNo">
    <w:name w:val="Res_No"/>
    <w:basedOn w:val="RecNo"/>
    <w:next w:val="Restitle"/>
    <w:rsid w:val="00C741F6"/>
  </w:style>
  <w:style w:type="paragraph" w:customStyle="1" w:styleId="Resref">
    <w:name w:val="Res_ref"/>
    <w:basedOn w:val="Recref"/>
    <w:next w:val="Resdate"/>
    <w:rsid w:val="00C741F6"/>
  </w:style>
  <w:style w:type="paragraph" w:customStyle="1" w:styleId="Restitle">
    <w:name w:val="Res_title"/>
    <w:basedOn w:val="Normal"/>
    <w:next w:val="Resref"/>
    <w:link w:val="RestitleChar"/>
    <w:rsid w:val="00C741F6"/>
    <w:pPr>
      <w:spacing w:before="240"/>
      <w:jc w:val="center"/>
    </w:pPr>
    <w:rPr>
      <w:b/>
      <w:sz w:val="28"/>
    </w:rPr>
  </w:style>
  <w:style w:type="paragraph" w:customStyle="1" w:styleId="SectionNo">
    <w:name w:val="Section_No"/>
    <w:basedOn w:val="Normal"/>
    <w:next w:val="Normal"/>
    <w:rsid w:val="00C741F6"/>
  </w:style>
  <w:style w:type="paragraph" w:customStyle="1" w:styleId="Sectiontitle">
    <w:name w:val="Section_title"/>
    <w:basedOn w:val="Normal"/>
    <w:next w:val="Normalaftertitle"/>
    <w:rsid w:val="00C741F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741F6"/>
    <w:pPr>
      <w:tabs>
        <w:tab w:val="clear" w:pos="794"/>
        <w:tab w:val="clear" w:pos="1191"/>
        <w:tab w:val="clear" w:pos="1588"/>
        <w:tab w:val="clear" w:pos="1985"/>
        <w:tab w:val="right" w:pos="9611"/>
      </w:tabs>
    </w:pPr>
    <w:rPr>
      <w:i/>
    </w:rPr>
  </w:style>
  <w:style w:type="paragraph" w:styleId="TOC1">
    <w:name w:val="toc 1"/>
    <w:basedOn w:val="Normal"/>
    <w:rsid w:val="00C741F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741F6"/>
    <w:pPr>
      <w:tabs>
        <w:tab w:val="clear" w:pos="567"/>
        <w:tab w:val="left" w:pos="1276"/>
      </w:tabs>
      <w:spacing w:before="160"/>
      <w:ind w:left="1276" w:hanging="709"/>
    </w:pPr>
  </w:style>
  <w:style w:type="paragraph" w:styleId="TOC3">
    <w:name w:val="toc 3"/>
    <w:basedOn w:val="TOC2"/>
    <w:rsid w:val="00C741F6"/>
    <w:pPr>
      <w:tabs>
        <w:tab w:val="clear" w:pos="1276"/>
        <w:tab w:val="left" w:pos="2155"/>
      </w:tabs>
      <w:ind w:left="2155" w:hanging="879"/>
    </w:pPr>
  </w:style>
  <w:style w:type="paragraph" w:styleId="TOC4">
    <w:name w:val="toc 4"/>
    <w:basedOn w:val="TOC3"/>
    <w:rsid w:val="00C741F6"/>
    <w:pPr>
      <w:tabs>
        <w:tab w:val="left" w:pos="3261"/>
      </w:tabs>
      <w:spacing w:before="80"/>
      <w:ind w:left="3261" w:hanging="993"/>
    </w:pPr>
  </w:style>
  <w:style w:type="paragraph" w:styleId="TOC5">
    <w:name w:val="toc 5"/>
    <w:basedOn w:val="TOC4"/>
    <w:rsid w:val="00C741F6"/>
  </w:style>
  <w:style w:type="paragraph" w:styleId="TOC6">
    <w:name w:val="toc 6"/>
    <w:basedOn w:val="TOC4"/>
    <w:rsid w:val="00C741F6"/>
  </w:style>
  <w:style w:type="paragraph" w:styleId="TOC7">
    <w:name w:val="toc 7"/>
    <w:basedOn w:val="TOC4"/>
    <w:rsid w:val="00C741F6"/>
  </w:style>
  <w:style w:type="paragraph" w:styleId="TOC8">
    <w:name w:val="toc 8"/>
    <w:basedOn w:val="TOC4"/>
    <w:rsid w:val="00C741F6"/>
  </w:style>
  <w:style w:type="paragraph" w:customStyle="1" w:styleId="Rectitle">
    <w:name w:val="Rec_title"/>
    <w:basedOn w:val="Normal"/>
    <w:next w:val="Recref"/>
    <w:link w:val="Rectitle0"/>
    <w:rsid w:val="00C741F6"/>
    <w:pPr>
      <w:keepNext/>
      <w:keepLines/>
      <w:spacing w:before="240"/>
      <w:jc w:val="center"/>
    </w:pPr>
    <w:rPr>
      <w:b/>
      <w:sz w:val="28"/>
    </w:rPr>
  </w:style>
  <w:style w:type="paragraph" w:customStyle="1" w:styleId="Annexref">
    <w:name w:val="Annex_ref"/>
    <w:basedOn w:val="Normal"/>
    <w:next w:val="Normalaftertitle"/>
    <w:rsid w:val="00C741F6"/>
    <w:pPr>
      <w:keepNext/>
      <w:keepLines/>
      <w:spacing w:after="280"/>
      <w:jc w:val="center"/>
    </w:pPr>
  </w:style>
  <w:style w:type="paragraph" w:customStyle="1" w:styleId="Appendixref">
    <w:name w:val="Appendix_ref"/>
    <w:basedOn w:val="Annexref"/>
    <w:next w:val="Normalaftertitle"/>
    <w:rsid w:val="00C741F6"/>
  </w:style>
  <w:style w:type="paragraph" w:customStyle="1" w:styleId="Figuretitle">
    <w:name w:val="Figure_title"/>
    <w:basedOn w:val="Normal"/>
    <w:next w:val="Figure"/>
    <w:link w:val="FiguretitleChar"/>
    <w:rsid w:val="00C741F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741F6"/>
    <w:pPr>
      <w:keepNext/>
      <w:spacing w:before="0" w:after="120"/>
      <w:jc w:val="center"/>
    </w:pPr>
    <w:rPr>
      <w:b/>
    </w:rPr>
  </w:style>
  <w:style w:type="paragraph" w:customStyle="1" w:styleId="Summary">
    <w:name w:val="Summary"/>
    <w:basedOn w:val="Normal"/>
    <w:next w:val="Normalaftertitle"/>
    <w:autoRedefine/>
    <w:rsid w:val="00C741F6"/>
    <w:pPr>
      <w:spacing w:after="480"/>
    </w:pPr>
    <w:rPr>
      <w:sz w:val="22"/>
      <w:lang w:val="es-ES_tradnl"/>
    </w:rPr>
  </w:style>
  <w:style w:type="paragraph" w:customStyle="1" w:styleId="TableLegendNote">
    <w:name w:val="Table_Legend_Note"/>
    <w:basedOn w:val="Tablelegend"/>
    <w:next w:val="Tablelegend"/>
    <w:rsid w:val="00C741F6"/>
    <w:pPr>
      <w:ind w:left="-85" w:firstLine="0"/>
    </w:pPr>
    <w:rPr>
      <w:lang w:val="en-US"/>
    </w:rPr>
  </w:style>
  <w:style w:type="paragraph" w:customStyle="1" w:styleId="Figure">
    <w:name w:val="Figure"/>
    <w:basedOn w:val="FigureNo"/>
    <w:next w:val="Normal"/>
    <w:rsid w:val="00C741F6"/>
    <w:pPr>
      <w:keepNext w:val="0"/>
      <w:spacing w:before="0" w:after="240"/>
    </w:pPr>
  </w:style>
  <w:style w:type="character" w:styleId="Hyperlink">
    <w:name w:val="Hyperlink"/>
    <w:aliases w:val="CEO_Hyperlink"/>
    <w:basedOn w:val="DefaultParagraphFont"/>
    <w:uiPriority w:val="99"/>
    <w:rsid w:val="00CC1C23"/>
    <w:rPr>
      <w:color w:val="0000FF"/>
      <w:u w:val="single"/>
    </w:rPr>
  </w:style>
  <w:style w:type="character" w:styleId="FootnoteReference">
    <w:name w:val="footnote reference"/>
    <w:basedOn w:val="DefaultParagraphFont"/>
    <w:semiHidden/>
    <w:rsid w:val="00C741F6"/>
    <w:rPr>
      <w:position w:val="6"/>
      <w:sz w:val="18"/>
    </w:rPr>
  </w:style>
  <w:style w:type="paragraph" w:styleId="FootnoteText">
    <w:name w:val="footnote text"/>
    <w:basedOn w:val="Normal"/>
    <w:link w:val="FootnoteTextChar"/>
    <w:semiHidden/>
    <w:rsid w:val="00C741F6"/>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C741F6"/>
    <w:rPr>
      <w:sz w:val="22"/>
      <w:lang w:val="fr-FR" w:eastAsia="en-US"/>
    </w:rPr>
  </w:style>
  <w:style w:type="character" w:customStyle="1" w:styleId="Heading1Char">
    <w:name w:val="Heading 1 Char"/>
    <w:basedOn w:val="DefaultParagraphFont"/>
    <w:link w:val="Heading1"/>
    <w:rsid w:val="00071226"/>
    <w:rPr>
      <w:b/>
      <w:sz w:val="24"/>
      <w:lang w:val="fr-FR" w:eastAsia="en-US"/>
    </w:rPr>
  </w:style>
  <w:style w:type="character" w:customStyle="1" w:styleId="Heading2Char">
    <w:name w:val="Heading 2 Char"/>
    <w:basedOn w:val="DefaultParagraphFont"/>
    <w:link w:val="Heading2"/>
    <w:rsid w:val="00071226"/>
    <w:rPr>
      <w:b/>
      <w:sz w:val="24"/>
      <w:lang w:val="fr-FR" w:eastAsia="en-US"/>
    </w:rPr>
  </w:style>
  <w:style w:type="character" w:customStyle="1" w:styleId="Heading3Char">
    <w:name w:val="Heading 3 Char"/>
    <w:basedOn w:val="DefaultParagraphFont"/>
    <w:link w:val="Heading3"/>
    <w:rsid w:val="00071226"/>
    <w:rPr>
      <w:b/>
      <w:sz w:val="24"/>
      <w:lang w:val="fr-FR" w:eastAsia="en-US"/>
    </w:rPr>
  </w:style>
  <w:style w:type="character" w:customStyle="1" w:styleId="enumlev1Char">
    <w:name w:val="enumlev1 Char"/>
    <w:link w:val="enumlev1"/>
    <w:locked/>
    <w:rsid w:val="00071226"/>
    <w:rPr>
      <w:sz w:val="24"/>
      <w:lang w:val="fr-FR" w:eastAsia="en-US"/>
    </w:rPr>
  </w:style>
  <w:style w:type="character" w:customStyle="1" w:styleId="FiguretitleChar">
    <w:name w:val="Figure_title Char"/>
    <w:link w:val="Figuretitle"/>
    <w:locked/>
    <w:rsid w:val="00071226"/>
    <w:rPr>
      <w:rFonts w:ascii="Times New Roman Bold" w:hAnsi="Times New Roman Bold"/>
      <w:b/>
      <w:sz w:val="18"/>
      <w:lang w:val="fr-FR" w:eastAsia="en-US"/>
    </w:rPr>
  </w:style>
  <w:style w:type="character" w:customStyle="1" w:styleId="FigureNoChar">
    <w:name w:val="Figure_No Char"/>
    <w:link w:val="FigureNo"/>
    <w:locked/>
    <w:rsid w:val="00071226"/>
    <w:rPr>
      <w:caps/>
      <w:sz w:val="18"/>
      <w:lang w:val="fr-FR" w:eastAsia="en-US"/>
    </w:rPr>
  </w:style>
  <w:style w:type="character" w:customStyle="1" w:styleId="Heading4Char">
    <w:name w:val="Heading 4 Char"/>
    <w:aliases w:val="ECC Heading 4 Char,h4 Char,H4 Char,H41 Char,h41 Char,H42 Char,h42 Char,H43 Char,h43 Char,H411 Char,h411 Char,H421 Char,h421 Char,H44 Char,h44 Char,H412 Char,h412 Char,H422 Char,h422 Char,H431 Char,h431 Char,H45 Char,h45 Char,H413 Char"/>
    <w:basedOn w:val="DefaultParagraphFont"/>
    <w:link w:val="Heading4"/>
    <w:rsid w:val="00071226"/>
    <w:rPr>
      <w:b/>
      <w:sz w:val="24"/>
      <w:lang w:val="fr-FR" w:eastAsia="en-US"/>
    </w:rPr>
  </w:style>
  <w:style w:type="character" w:customStyle="1" w:styleId="Heading5Char">
    <w:name w:val="Heading 5 Char"/>
    <w:aliases w:val="h5 Char,Heading5 Char"/>
    <w:basedOn w:val="DefaultParagraphFont"/>
    <w:link w:val="Heading5"/>
    <w:rsid w:val="00071226"/>
    <w:rPr>
      <w:b/>
      <w:sz w:val="24"/>
      <w:lang w:val="fr-FR" w:eastAsia="en-US"/>
    </w:rPr>
  </w:style>
  <w:style w:type="character" w:customStyle="1" w:styleId="Heading6Char">
    <w:name w:val="Heading 6 Char"/>
    <w:basedOn w:val="DefaultParagraphFont"/>
    <w:link w:val="Heading6"/>
    <w:rsid w:val="00071226"/>
    <w:rPr>
      <w:b/>
      <w:sz w:val="24"/>
      <w:lang w:val="fr-FR" w:eastAsia="en-US"/>
    </w:rPr>
  </w:style>
  <w:style w:type="character" w:customStyle="1" w:styleId="Heading7Char">
    <w:name w:val="Heading 7 Char"/>
    <w:basedOn w:val="DefaultParagraphFont"/>
    <w:link w:val="Heading7"/>
    <w:rsid w:val="00071226"/>
    <w:rPr>
      <w:b/>
      <w:sz w:val="24"/>
      <w:lang w:val="fr-FR" w:eastAsia="en-US"/>
    </w:rPr>
  </w:style>
  <w:style w:type="character" w:customStyle="1" w:styleId="Heading8Char">
    <w:name w:val="Heading 8 Char"/>
    <w:basedOn w:val="DefaultParagraphFont"/>
    <w:link w:val="Heading8"/>
    <w:rsid w:val="00071226"/>
    <w:rPr>
      <w:b/>
      <w:sz w:val="24"/>
      <w:lang w:val="fr-FR" w:eastAsia="en-US"/>
    </w:rPr>
  </w:style>
  <w:style w:type="character" w:customStyle="1" w:styleId="Heading9Char">
    <w:name w:val="Heading 9 Char"/>
    <w:basedOn w:val="DefaultParagraphFont"/>
    <w:link w:val="Heading9"/>
    <w:rsid w:val="00071226"/>
    <w:rPr>
      <w:b/>
      <w:sz w:val="24"/>
      <w:lang w:val="fr-FR" w:eastAsia="en-US"/>
    </w:rPr>
  </w:style>
  <w:style w:type="character" w:customStyle="1" w:styleId="NormalaftertitleChar">
    <w:name w:val="Normal_after_title Char"/>
    <w:link w:val="Normalaftertitle"/>
    <w:locked/>
    <w:rsid w:val="00071226"/>
    <w:rPr>
      <w:sz w:val="24"/>
      <w:lang w:val="fr-FR" w:eastAsia="en-US"/>
    </w:rPr>
  </w:style>
  <w:style w:type="character" w:customStyle="1" w:styleId="EquationlegendChar">
    <w:name w:val="Equation_legend Char"/>
    <w:link w:val="Equationlegend"/>
    <w:locked/>
    <w:rsid w:val="00071226"/>
    <w:rPr>
      <w:sz w:val="24"/>
      <w:lang w:eastAsia="en-US"/>
    </w:rPr>
  </w:style>
  <w:style w:type="character" w:customStyle="1" w:styleId="TabletextChar">
    <w:name w:val="Table_text Char"/>
    <w:link w:val="Tabletext"/>
    <w:locked/>
    <w:rsid w:val="00071226"/>
    <w:rPr>
      <w:sz w:val="22"/>
      <w:lang w:val="fr-FR" w:eastAsia="en-US"/>
    </w:rPr>
  </w:style>
  <w:style w:type="character" w:customStyle="1" w:styleId="TabletitleChar">
    <w:name w:val="Table_title Char"/>
    <w:link w:val="Tabletitle"/>
    <w:locked/>
    <w:rsid w:val="00071226"/>
    <w:rPr>
      <w:b/>
      <w:sz w:val="24"/>
      <w:lang w:val="fr-FR" w:eastAsia="en-US"/>
    </w:rPr>
  </w:style>
  <w:style w:type="character" w:customStyle="1" w:styleId="TablelegendChar">
    <w:name w:val="Table_legend Char"/>
    <w:link w:val="Tablelegend"/>
    <w:locked/>
    <w:rsid w:val="00071226"/>
    <w:rPr>
      <w:sz w:val="22"/>
      <w:lang w:val="fr-FR" w:eastAsia="en-US"/>
    </w:rPr>
  </w:style>
  <w:style w:type="character" w:customStyle="1" w:styleId="TableNoChar">
    <w:name w:val="Table_No Char"/>
    <w:link w:val="TableNo"/>
    <w:locked/>
    <w:rsid w:val="00071226"/>
    <w:rPr>
      <w:sz w:val="24"/>
      <w:lang w:val="fr-FR" w:eastAsia="en-US"/>
    </w:rPr>
  </w:style>
  <w:style w:type="character" w:customStyle="1" w:styleId="HeadingbChar">
    <w:name w:val="Heading_b Char"/>
    <w:link w:val="Headingb"/>
    <w:locked/>
    <w:rsid w:val="00071226"/>
    <w:rPr>
      <w:b/>
      <w:sz w:val="24"/>
      <w:lang w:val="fr-FR" w:eastAsia="en-US"/>
    </w:rPr>
  </w:style>
  <w:style w:type="character" w:customStyle="1" w:styleId="RecNoChar">
    <w:name w:val="Rec_No Char"/>
    <w:link w:val="RecNo"/>
    <w:locked/>
    <w:rsid w:val="00071226"/>
    <w:rPr>
      <w:sz w:val="28"/>
      <w:lang w:val="fr-FR" w:eastAsia="en-US"/>
    </w:rPr>
  </w:style>
  <w:style w:type="character" w:customStyle="1" w:styleId="Rectitle0">
    <w:name w:val="Rec_title Знак"/>
    <w:link w:val="Rectitle"/>
    <w:locked/>
    <w:rsid w:val="00071226"/>
    <w:rPr>
      <w:b/>
      <w:sz w:val="28"/>
      <w:lang w:val="fr-FR" w:eastAsia="en-US"/>
    </w:rPr>
  </w:style>
  <w:style w:type="character" w:customStyle="1" w:styleId="CallChar">
    <w:name w:val="Call Char"/>
    <w:link w:val="Call"/>
    <w:locked/>
    <w:rsid w:val="00071226"/>
    <w:rPr>
      <w:i/>
      <w:sz w:val="24"/>
      <w:lang w:val="fr-FR" w:eastAsia="en-US"/>
    </w:rPr>
  </w:style>
  <w:style w:type="paragraph" w:styleId="Revision">
    <w:name w:val="Revision"/>
    <w:hidden/>
    <w:uiPriority w:val="99"/>
    <w:semiHidden/>
    <w:rsid w:val="00071226"/>
    <w:rPr>
      <w:rFonts w:asciiTheme="minorHAnsi" w:eastAsiaTheme="minorHAnsi" w:hAnsiTheme="minorHAnsi" w:cstheme="minorBidi"/>
      <w:sz w:val="22"/>
      <w:szCs w:val="22"/>
      <w:lang w:eastAsia="en-US"/>
    </w:rPr>
  </w:style>
  <w:style w:type="character" w:customStyle="1" w:styleId="TableheadChar">
    <w:name w:val="Table_head Char"/>
    <w:link w:val="Tablehead"/>
    <w:locked/>
    <w:rsid w:val="00071226"/>
    <w:rPr>
      <w:b/>
      <w:sz w:val="22"/>
      <w:lang w:val="fr-FR" w:eastAsia="en-US"/>
    </w:rPr>
  </w:style>
  <w:style w:type="character" w:customStyle="1" w:styleId="RepNoCar">
    <w:name w:val="Rep_No Car"/>
    <w:basedOn w:val="DefaultParagraphFont"/>
    <w:link w:val="RepNo"/>
    <w:locked/>
    <w:rsid w:val="00071226"/>
    <w:rPr>
      <w:sz w:val="28"/>
      <w:lang w:val="fr-FR" w:eastAsia="en-US"/>
    </w:rPr>
  </w:style>
  <w:style w:type="character" w:customStyle="1" w:styleId="ReptitleCar">
    <w:name w:val="Rep_title Car"/>
    <w:basedOn w:val="DefaultParagraphFont"/>
    <w:link w:val="Reptitle"/>
    <w:locked/>
    <w:rsid w:val="00071226"/>
    <w:rPr>
      <w:b/>
      <w:sz w:val="28"/>
      <w:lang w:val="fr-FR" w:eastAsia="en-US"/>
    </w:rPr>
  </w:style>
  <w:style w:type="character" w:customStyle="1" w:styleId="RestitleChar">
    <w:name w:val="Res_title Char"/>
    <w:basedOn w:val="DefaultParagraphFont"/>
    <w:link w:val="Restitle"/>
    <w:rsid w:val="00071226"/>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package" Target="embeddings/Microsoft_Excel_Worksheet1.xlsx"/><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wmf"/><Relationship Id="rId40" Type="http://schemas.openxmlformats.org/officeDocument/2006/relationships/image" Target="media/image30.png"/><Relationship Id="rId45" Type="http://schemas.openxmlformats.org/officeDocument/2006/relationships/image" Target="media/image34.wmf"/><Relationship Id="rId53" Type="http://schemas.openxmlformats.org/officeDocument/2006/relationships/image" Target="media/image41.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header" Target="header4.xml"/><Relationship Id="rId10" Type="http://schemas.openxmlformats.org/officeDocument/2006/relationships/hyperlink" Target="http://www.itu.int/ITU-R/go/patents/en" TargetMode="External"/><Relationship Id="rId19" Type="http://schemas.openxmlformats.org/officeDocument/2006/relationships/image" Target="media/image10.jpeg"/><Relationship Id="rId31" Type="http://schemas.openxmlformats.org/officeDocument/2006/relationships/image" Target="media/image22.tmp"/><Relationship Id="rId44" Type="http://schemas.openxmlformats.org/officeDocument/2006/relationships/oleObject" Target="embeddings/oleObject2.bin"/><Relationship Id="rId52" Type="http://schemas.openxmlformats.org/officeDocument/2006/relationships/image" Target="media/image40.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wmf"/><Relationship Id="rId48" Type="http://schemas.openxmlformats.org/officeDocument/2006/relationships/image" Target="media/image36.png"/><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1.bin"/><Relationship Id="rId46" Type="http://schemas.openxmlformats.org/officeDocument/2006/relationships/oleObject" Target="embeddings/oleObject3.bin"/><Relationship Id="rId59" Type="http://schemas.openxmlformats.org/officeDocument/2006/relationships/image" Target="media/image4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91976-1C57-4797-8E37-EB3191CAB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333</TotalTime>
  <Pages>43</Pages>
  <Words>9311</Words>
  <Characters>48661</Characters>
  <Application>Microsoft Office Word</Application>
  <DocSecurity>0</DocSecurity>
  <Lines>405</Lines>
  <Paragraphs>115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Fournier, Valerie</dc:creator>
  <cp:keywords/>
  <dc:description/>
  <cp:lastModifiedBy>Al-Yammouni, Hala</cp:lastModifiedBy>
  <cp:revision>71</cp:revision>
  <cp:lastPrinted>2015-03-12T14:31:00Z</cp:lastPrinted>
  <dcterms:created xsi:type="dcterms:W3CDTF">2015-03-11T09:23:00Z</dcterms:created>
  <dcterms:modified xsi:type="dcterms:W3CDTF">2015-03-12T14:32:00Z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