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CA" w:rsidRDefault="001468CA" w:rsidP="001468CA"/>
    <w:p w:rsidR="001468CA" w:rsidRDefault="001468CA" w:rsidP="001468CA"/>
    <w:p w:rsidR="001468CA" w:rsidRDefault="001468CA" w:rsidP="001468CA"/>
    <w:p w:rsidR="001468CA" w:rsidRDefault="001468CA" w:rsidP="001468CA"/>
    <w:p w:rsidR="001468CA" w:rsidRDefault="001468CA" w:rsidP="001468CA"/>
    <w:p w:rsidR="001468CA" w:rsidRDefault="001468CA" w:rsidP="001468CA"/>
    <w:p w:rsidR="001468CA" w:rsidRDefault="001468CA" w:rsidP="001468CA"/>
    <w:p w:rsidR="001468CA" w:rsidRDefault="001468CA" w:rsidP="001468CA"/>
    <w:p w:rsidR="001468CA" w:rsidRDefault="001468CA" w:rsidP="001468CA"/>
    <w:p w:rsidR="001468CA" w:rsidRDefault="001468CA" w:rsidP="001468CA"/>
    <w:p w:rsidR="001468CA" w:rsidRDefault="001468CA" w:rsidP="001468CA"/>
    <w:p w:rsidR="001468CA" w:rsidRDefault="001468CA" w:rsidP="001468CA"/>
    <w:tbl>
      <w:tblPr>
        <w:tblW w:w="10089" w:type="dxa"/>
        <w:tblLook w:val="01E0" w:firstRow="1" w:lastRow="1" w:firstColumn="1" w:lastColumn="1" w:noHBand="0" w:noVBand="0"/>
      </w:tblPr>
      <w:tblGrid>
        <w:gridCol w:w="10089"/>
      </w:tblGrid>
      <w:tr w:rsidR="001468CA" w:rsidRPr="00EF1E72" w:rsidTr="0023117F">
        <w:tc>
          <w:tcPr>
            <w:tcW w:w="10089" w:type="dxa"/>
          </w:tcPr>
          <w:p w:rsidR="001468CA" w:rsidRPr="00EF1E72" w:rsidRDefault="001468CA" w:rsidP="0023117F">
            <w:pPr>
              <w:spacing w:before="380" w:line="280" w:lineRule="exact"/>
              <w:jc w:val="right"/>
              <w:rPr>
                <w:rFonts w:ascii="Tahoma" w:hAnsi="Tahoma" w:cs="Tahoma"/>
                <w:b/>
                <w:bCs/>
                <w:iCs/>
                <w:color w:val="509141"/>
                <w:sz w:val="32"/>
                <w:szCs w:val="32"/>
                <w:lang w:val="en-US"/>
              </w:rPr>
            </w:pPr>
            <w:r w:rsidRPr="00EF1E72">
              <w:rPr>
                <w:rFonts w:ascii="Tahoma" w:hAnsi="Tahoma" w:cs="Tahoma"/>
                <w:b/>
                <w:bCs/>
                <w:iCs/>
                <w:color w:val="509141"/>
                <w:position w:val="-10"/>
                <w:sz w:val="32"/>
                <w:szCs w:val="32"/>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7.85pt" o:ole="">
                  <v:imagedata r:id="rId7" o:title=""/>
                </v:shape>
                <o:OLEObject Type="Embed" ProgID="Equation.3" ShapeID="_x0000_i1025" DrawAspect="Content" ObjectID="_1477111701" r:id="rId8"/>
              </w:object>
            </w:r>
          </w:p>
          <w:p w:rsidR="001468CA" w:rsidRPr="001468CA" w:rsidRDefault="001468CA" w:rsidP="001468CA">
            <w:pPr>
              <w:spacing w:before="380" w:line="280" w:lineRule="exact"/>
              <w:jc w:val="right"/>
              <w:rPr>
                <w:rFonts w:ascii="Tahoma" w:hAnsi="Tahoma" w:cs="Tahoma"/>
                <w:b/>
                <w:bCs/>
                <w:iCs/>
                <w:color w:val="509141"/>
                <w:sz w:val="36"/>
                <w:szCs w:val="36"/>
                <w:lang w:val="fr-CH"/>
              </w:rPr>
            </w:pPr>
            <w:r w:rsidRPr="001468CA">
              <w:rPr>
                <w:rFonts w:ascii="Tahoma" w:hAnsi="Tahoma" w:cs="Tahoma"/>
                <w:b/>
                <w:bCs/>
                <w:iCs/>
                <w:color w:val="509141"/>
                <w:sz w:val="36"/>
                <w:szCs w:val="36"/>
                <w:lang w:val="fr-CH"/>
              </w:rPr>
              <w:t>Report  ITU-R  SA.2</w:t>
            </w:r>
            <w:r>
              <w:rPr>
                <w:rFonts w:ascii="Tahoma" w:hAnsi="Tahoma" w:cs="Tahoma"/>
                <w:b/>
                <w:bCs/>
                <w:iCs/>
                <w:color w:val="509141"/>
                <w:sz w:val="36"/>
                <w:szCs w:val="36"/>
                <w:lang w:val="fr-CH"/>
              </w:rPr>
              <w:t>312-0</w:t>
            </w:r>
          </w:p>
          <w:p w:rsidR="001468CA" w:rsidRPr="001468CA" w:rsidRDefault="001468CA" w:rsidP="001468CA">
            <w:pPr>
              <w:spacing w:before="80" w:line="280" w:lineRule="exact"/>
              <w:jc w:val="right"/>
              <w:rPr>
                <w:rFonts w:ascii="Tahoma" w:hAnsi="Tahoma" w:cs="Tahoma"/>
                <w:iCs/>
                <w:color w:val="509141"/>
                <w:szCs w:val="24"/>
                <w:lang w:val="fr-CH"/>
              </w:rPr>
            </w:pPr>
            <w:r w:rsidRPr="001468CA">
              <w:rPr>
                <w:rFonts w:ascii="Tahoma" w:hAnsi="Tahoma" w:cs="Tahoma"/>
                <w:b/>
                <w:bCs/>
                <w:iCs/>
                <w:color w:val="509141"/>
                <w:szCs w:val="24"/>
                <w:lang w:val="fr-CH"/>
              </w:rPr>
              <w:t>(0</w:t>
            </w:r>
            <w:r>
              <w:rPr>
                <w:rFonts w:ascii="Tahoma" w:hAnsi="Tahoma" w:cs="Tahoma"/>
                <w:b/>
                <w:bCs/>
                <w:iCs/>
                <w:color w:val="509141"/>
                <w:szCs w:val="24"/>
                <w:lang w:val="fr-CH"/>
              </w:rPr>
              <w:t>9</w:t>
            </w:r>
            <w:r w:rsidRPr="001468CA">
              <w:rPr>
                <w:rFonts w:ascii="Tahoma" w:hAnsi="Tahoma" w:cs="Tahoma"/>
                <w:b/>
                <w:bCs/>
                <w:iCs/>
                <w:color w:val="509141"/>
                <w:szCs w:val="24"/>
                <w:lang w:val="fr-CH"/>
              </w:rPr>
              <w:t>/</w:t>
            </w:r>
            <w:r>
              <w:rPr>
                <w:rFonts w:ascii="Tahoma" w:hAnsi="Tahoma" w:cs="Tahoma"/>
                <w:b/>
                <w:bCs/>
                <w:iCs/>
                <w:color w:val="509141"/>
                <w:szCs w:val="24"/>
                <w:lang w:val="fr-CH"/>
              </w:rPr>
              <w:t>2014</w:t>
            </w:r>
            <w:r w:rsidRPr="001468CA">
              <w:rPr>
                <w:rFonts w:ascii="Tahoma" w:hAnsi="Tahoma" w:cs="Tahoma"/>
                <w:b/>
                <w:bCs/>
                <w:iCs/>
                <w:color w:val="509141"/>
                <w:szCs w:val="24"/>
                <w:lang w:val="fr-CH"/>
              </w:rPr>
              <w:t>)</w:t>
            </w:r>
          </w:p>
        </w:tc>
      </w:tr>
      <w:tr w:rsidR="001468CA" w:rsidRPr="00A27E8D" w:rsidTr="0023117F">
        <w:tc>
          <w:tcPr>
            <w:tcW w:w="10089" w:type="dxa"/>
          </w:tcPr>
          <w:p w:rsidR="001468CA" w:rsidRPr="002D506E" w:rsidRDefault="001468CA" w:rsidP="0023117F">
            <w:pPr>
              <w:spacing w:before="80" w:line="500" w:lineRule="exact"/>
              <w:jc w:val="right"/>
              <w:rPr>
                <w:rFonts w:ascii="Tahoma" w:hAnsi="Tahoma" w:cs="Tahoma"/>
                <w:b/>
                <w:bCs/>
                <w:iCs/>
                <w:color w:val="509141"/>
                <w:sz w:val="44"/>
                <w:szCs w:val="44"/>
                <w:lang w:val="en-US"/>
              </w:rPr>
            </w:pPr>
          </w:p>
          <w:p w:rsidR="001468CA" w:rsidRPr="00EF1E72" w:rsidRDefault="0060462B" w:rsidP="002D506E">
            <w:pPr>
              <w:spacing w:before="80" w:line="500" w:lineRule="exact"/>
              <w:jc w:val="right"/>
              <w:rPr>
                <w:rFonts w:ascii="Tahoma" w:hAnsi="Tahoma" w:cs="Tahoma"/>
                <w:b/>
                <w:bCs/>
                <w:iCs/>
                <w:color w:val="509141"/>
                <w:sz w:val="44"/>
                <w:szCs w:val="44"/>
                <w:lang w:val="en-US"/>
              </w:rPr>
            </w:pPr>
            <w:r w:rsidRPr="002D506E">
              <w:rPr>
                <w:rFonts w:ascii="Tahoma" w:hAnsi="Tahoma" w:cs="Tahoma"/>
                <w:b/>
                <w:bCs/>
                <w:iCs/>
                <w:color w:val="509141"/>
                <w:sz w:val="44"/>
                <w:szCs w:val="44"/>
                <w:lang w:val="en-US"/>
              </w:rPr>
              <w:t>Characteristics, definitions and spectrum requirements of nanosatellites and</w:t>
            </w:r>
            <w:r w:rsidR="002D506E">
              <w:rPr>
                <w:rFonts w:ascii="Tahoma" w:hAnsi="Tahoma" w:cs="Tahoma"/>
                <w:b/>
                <w:bCs/>
                <w:iCs/>
                <w:color w:val="509141"/>
                <w:sz w:val="44"/>
                <w:szCs w:val="44"/>
                <w:lang w:val="en-US"/>
              </w:rPr>
              <w:t xml:space="preserve"> </w:t>
            </w:r>
            <w:r w:rsidRPr="002D506E">
              <w:rPr>
                <w:rFonts w:ascii="Tahoma" w:hAnsi="Tahoma" w:cs="Tahoma"/>
                <w:b/>
                <w:bCs/>
                <w:iCs/>
                <w:color w:val="509141"/>
                <w:sz w:val="44"/>
                <w:szCs w:val="44"/>
                <w:lang w:val="en-US"/>
              </w:rPr>
              <w:t xml:space="preserve">picosatellites, as well as systems </w:t>
            </w:r>
            <w:r w:rsidR="002D506E">
              <w:rPr>
                <w:rFonts w:ascii="Tahoma" w:hAnsi="Tahoma" w:cs="Tahoma"/>
                <w:b/>
                <w:bCs/>
                <w:iCs/>
                <w:color w:val="509141"/>
                <w:sz w:val="44"/>
                <w:szCs w:val="44"/>
                <w:lang w:val="en-US"/>
              </w:rPr>
              <w:br/>
            </w:r>
            <w:r w:rsidRPr="002D506E">
              <w:rPr>
                <w:rFonts w:ascii="Tahoma" w:hAnsi="Tahoma" w:cs="Tahoma"/>
                <w:b/>
                <w:bCs/>
                <w:iCs/>
                <w:color w:val="509141"/>
                <w:sz w:val="44"/>
                <w:szCs w:val="44"/>
                <w:lang w:val="en-US"/>
              </w:rPr>
              <w:t>composed of such satellites</w:t>
            </w:r>
          </w:p>
          <w:p w:rsidR="001468CA" w:rsidRPr="00EF1E72" w:rsidRDefault="001468CA" w:rsidP="0023117F">
            <w:pPr>
              <w:spacing w:before="80" w:line="500" w:lineRule="exact"/>
              <w:jc w:val="right"/>
              <w:rPr>
                <w:rFonts w:ascii="Tahoma" w:hAnsi="Tahoma" w:cs="Tahoma"/>
                <w:b/>
                <w:bCs/>
                <w:iCs/>
                <w:color w:val="509141"/>
                <w:sz w:val="44"/>
                <w:szCs w:val="44"/>
                <w:lang w:val="en-US"/>
              </w:rPr>
            </w:pPr>
            <w:r w:rsidRPr="00EF1E72">
              <w:rPr>
                <w:rFonts w:ascii="Tahoma" w:hAnsi="Tahoma" w:cs="Tahoma"/>
                <w:b/>
                <w:bCs/>
                <w:iCs/>
                <w:color w:val="509141"/>
                <w:sz w:val="44"/>
                <w:szCs w:val="44"/>
                <w:lang w:val="en-US"/>
              </w:rPr>
              <w:t xml:space="preserve">  </w:t>
            </w:r>
          </w:p>
        </w:tc>
      </w:tr>
      <w:tr w:rsidR="001468CA" w:rsidRPr="00EF1E72" w:rsidTr="0023117F">
        <w:tc>
          <w:tcPr>
            <w:tcW w:w="10089" w:type="dxa"/>
          </w:tcPr>
          <w:p w:rsidR="001468CA" w:rsidRPr="00EF1E72" w:rsidRDefault="001468CA" w:rsidP="0023117F">
            <w:pPr>
              <w:spacing w:before="80" w:line="280" w:lineRule="exact"/>
              <w:ind w:right="640"/>
              <w:rPr>
                <w:rFonts w:ascii="Tahoma" w:hAnsi="Tahoma" w:cs="Tahoma"/>
                <w:b/>
                <w:bCs/>
                <w:iCs/>
                <w:color w:val="243285"/>
                <w:sz w:val="32"/>
                <w:szCs w:val="32"/>
                <w:lang w:val="en-US"/>
              </w:rPr>
            </w:pPr>
          </w:p>
          <w:p w:rsidR="001468CA" w:rsidRPr="00EF1E72" w:rsidRDefault="001468CA" w:rsidP="0023117F">
            <w:pPr>
              <w:spacing w:before="80" w:line="280" w:lineRule="exact"/>
              <w:ind w:right="640"/>
              <w:rPr>
                <w:rFonts w:ascii="Tahoma" w:hAnsi="Tahoma" w:cs="Tahoma"/>
                <w:b/>
                <w:bCs/>
                <w:iCs/>
                <w:color w:val="243285"/>
                <w:sz w:val="32"/>
                <w:szCs w:val="32"/>
                <w:lang w:val="en-US"/>
              </w:rPr>
            </w:pPr>
          </w:p>
          <w:p w:rsidR="001468CA" w:rsidRPr="00EF1E72" w:rsidRDefault="001468CA" w:rsidP="0023117F">
            <w:pPr>
              <w:spacing w:before="80" w:line="280" w:lineRule="exact"/>
              <w:ind w:right="640"/>
              <w:rPr>
                <w:rFonts w:ascii="Tahoma" w:hAnsi="Tahoma" w:cs="Tahoma"/>
                <w:b/>
                <w:bCs/>
                <w:iCs/>
                <w:color w:val="243285"/>
                <w:sz w:val="32"/>
                <w:szCs w:val="32"/>
                <w:lang w:val="en-US"/>
              </w:rPr>
            </w:pPr>
          </w:p>
          <w:p w:rsidR="001468CA" w:rsidRPr="00EF1E72" w:rsidRDefault="001468CA" w:rsidP="0023117F">
            <w:pPr>
              <w:spacing w:before="80" w:after="180" w:line="360" w:lineRule="exact"/>
              <w:jc w:val="right"/>
              <w:rPr>
                <w:rFonts w:ascii="Tahoma" w:hAnsi="Tahoma" w:cs="Tahoma"/>
                <w:b/>
                <w:bCs/>
                <w:iCs/>
                <w:color w:val="243285"/>
                <w:sz w:val="36"/>
                <w:szCs w:val="36"/>
                <w:lang w:val="en-US"/>
              </w:rPr>
            </w:pPr>
          </w:p>
          <w:p w:rsidR="001468CA" w:rsidRPr="00EF1E72" w:rsidRDefault="001468CA" w:rsidP="0023117F">
            <w:pPr>
              <w:spacing w:before="80" w:after="180" w:line="360" w:lineRule="exact"/>
              <w:jc w:val="right"/>
              <w:rPr>
                <w:rFonts w:ascii="Tahoma" w:hAnsi="Tahoma" w:cs="Tahoma"/>
                <w:b/>
                <w:bCs/>
                <w:iCs/>
                <w:color w:val="509141"/>
                <w:sz w:val="36"/>
                <w:szCs w:val="36"/>
                <w:lang w:val="en-US"/>
              </w:rPr>
            </w:pPr>
            <w:r w:rsidRPr="00EF1E72">
              <w:rPr>
                <w:rFonts w:ascii="Tahoma" w:hAnsi="Tahoma" w:cs="Tahoma"/>
                <w:b/>
                <w:bCs/>
                <w:iCs/>
                <w:color w:val="509141"/>
                <w:sz w:val="36"/>
                <w:szCs w:val="36"/>
                <w:lang w:val="en-US"/>
              </w:rPr>
              <w:t>SA Series</w:t>
            </w:r>
          </w:p>
          <w:p w:rsidR="001468CA" w:rsidRPr="00EF1E72" w:rsidRDefault="001468CA" w:rsidP="0023117F">
            <w:pPr>
              <w:spacing w:before="80" w:line="420" w:lineRule="exact"/>
              <w:jc w:val="right"/>
              <w:rPr>
                <w:rFonts w:ascii="Tahoma" w:hAnsi="Tahoma" w:cs="Tahoma"/>
                <w:b/>
                <w:bCs/>
                <w:iCs/>
                <w:color w:val="509141"/>
                <w:sz w:val="36"/>
                <w:szCs w:val="36"/>
                <w:lang w:val="en-US"/>
              </w:rPr>
            </w:pPr>
            <w:r w:rsidRPr="00EF1E72">
              <w:rPr>
                <w:rFonts w:ascii="Tahoma" w:hAnsi="Tahoma" w:cs="Tahoma"/>
                <w:b/>
                <w:bCs/>
                <w:iCs/>
                <w:color w:val="509141"/>
                <w:sz w:val="36"/>
                <w:szCs w:val="36"/>
                <w:lang w:val="en-US"/>
              </w:rPr>
              <w:t>Space applications and meteorology</w:t>
            </w:r>
          </w:p>
        </w:tc>
      </w:tr>
    </w:tbl>
    <w:p w:rsidR="001468CA" w:rsidRDefault="001468CA" w:rsidP="001468CA">
      <w:pPr>
        <w:spacing w:before="80"/>
        <w:rPr>
          <w:i/>
          <w:sz w:val="22"/>
          <w:lang w:val="en-US"/>
        </w:rPr>
      </w:pPr>
    </w:p>
    <w:p w:rsidR="001468CA" w:rsidRDefault="001468CA" w:rsidP="001468CA">
      <w:pPr>
        <w:spacing w:before="80"/>
        <w:rPr>
          <w:i/>
          <w:sz w:val="22"/>
          <w:lang w:val="en-US"/>
        </w:rPr>
      </w:pPr>
    </w:p>
    <w:p w:rsidR="001468CA" w:rsidRDefault="001468CA" w:rsidP="001468CA">
      <w:pPr>
        <w:spacing w:before="80"/>
        <w:rPr>
          <w:i/>
          <w:sz w:val="22"/>
          <w:lang w:val="en-US"/>
        </w:rPr>
      </w:pPr>
    </w:p>
    <w:p w:rsidR="001468CA" w:rsidRDefault="001468CA" w:rsidP="001468CA">
      <w:pPr>
        <w:spacing w:before="80"/>
        <w:rPr>
          <w:i/>
          <w:sz w:val="22"/>
          <w:lang w:val="en-US"/>
        </w:rPr>
      </w:pPr>
    </w:p>
    <w:p w:rsidR="001468CA" w:rsidRDefault="001468CA" w:rsidP="001468CA">
      <w:pPr>
        <w:spacing w:before="80"/>
        <w:rPr>
          <w:i/>
          <w:sz w:val="22"/>
          <w:lang w:val="en-US"/>
        </w:rPr>
      </w:pPr>
    </w:p>
    <w:p w:rsidR="001468CA" w:rsidRDefault="001468CA" w:rsidP="001468CA">
      <w:pPr>
        <w:rPr>
          <w:rFonts w:ascii="Palatino Linotype" w:hAnsi="Palatino Linotype"/>
          <w:lang w:val="en-US"/>
        </w:rPr>
        <w:sectPr w:rsidR="001468CA" w:rsidSect="0023117F">
          <w:headerReference w:type="even" r:id="rId9"/>
          <w:headerReference w:type="default" r:id="rId10"/>
          <w:pgSz w:w="11907" w:h="16840" w:code="9"/>
          <w:pgMar w:top="1089" w:right="1089" w:bottom="284" w:left="1089" w:header="567" w:footer="284" w:gutter="0"/>
          <w:pgNumType w:start="1"/>
          <w:cols w:space="720"/>
        </w:sectPr>
      </w:pPr>
    </w:p>
    <w:p w:rsidR="001468CA" w:rsidRDefault="001468CA" w:rsidP="001468CA">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US"/>
        </w:rPr>
      </w:pPr>
      <w:bookmarkStart w:id="0" w:name="c2tope"/>
      <w:bookmarkEnd w:id="0"/>
      <w:r>
        <w:rPr>
          <w:bCs/>
          <w:sz w:val="24"/>
          <w:szCs w:val="24"/>
          <w:lang w:val="en-US"/>
        </w:rPr>
        <w:lastRenderedPageBreak/>
        <w:t>Foreword</w:t>
      </w:r>
    </w:p>
    <w:p w:rsidR="001468CA" w:rsidRDefault="001468CA" w:rsidP="001468CA">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rsidR="001468CA" w:rsidRDefault="001468CA" w:rsidP="001468CA">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rsidR="001468CA" w:rsidRDefault="001468CA" w:rsidP="001468CA">
      <w:pPr>
        <w:pStyle w:val="Heading1"/>
        <w:spacing w:before="400"/>
        <w:jc w:val="center"/>
        <w:rPr>
          <w:szCs w:val="24"/>
          <w:lang w:val="en-US"/>
        </w:rPr>
      </w:pPr>
    </w:p>
    <w:p w:rsidR="001468CA" w:rsidRDefault="001468CA" w:rsidP="001468CA">
      <w:pPr>
        <w:pStyle w:val="Heading1"/>
        <w:spacing w:before="540"/>
        <w:jc w:val="center"/>
        <w:rPr>
          <w:szCs w:val="24"/>
          <w:lang w:val="en-US"/>
        </w:rPr>
      </w:pPr>
      <w:bookmarkStart w:id="1" w:name="_Toc402962815"/>
      <w:r>
        <w:rPr>
          <w:szCs w:val="24"/>
          <w:lang w:val="en-US"/>
        </w:rPr>
        <w:t>Policy on Intellectual Property Right (IPR)</w:t>
      </w:r>
      <w:bookmarkEnd w:id="1"/>
    </w:p>
    <w:p w:rsidR="001468CA" w:rsidRDefault="001468CA" w:rsidP="001468CA">
      <w:pPr>
        <w:tabs>
          <w:tab w:val="left" w:pos="720"/>
        </w:tabs>
        <w:spacing w:before="240"/>
        <w:rPr>
          <w:sz w:val="20"/>
          <w:lang w:val="en-US"/>
        </w:rPr>
      </w:pPr>
      <w:r>
        <w:rPr>
          <w:sz w:val="20"/>
          <w:lang w:val="en-US"/>
        </w:rPr>
        <w:t xml:space="preserve">ITU-R policy on IPR is described in the Common Patent Policy for ITU-T/ITU-R/ISO/IEC referenced in Annex 1 of Resolution ITU-R 1. Forms to be used for the submission of patent statements and licensing declarations by patent holders are available from </w:t>
      </w:r>
      <w:hyperlink r:id="rId11" w:history="1">
        <w:r>
          <w:rPr>
            <w:rStyle w:val="Hyperlink"/>
            <w:sz w:val="20"/>
            <w:lang w:val="en-US"/>
          </w:rPr>
          <w:t>http://www.itu.int/ITU-R/go/patents/en</w:t>
        </w:r>
      </w:hyperlink>
      <w:r>
        <w:rPr>
          <w:sz w:val="20"/>
          <w:lang w:val="en-US"/>
        </w:rPr>
        <w:t xml:space="preserve"> where the Guidelines for Implementation of the Common Patent Policy for ITU</w:t>
      </w:r>
      <w:r>
        <w:rPr>
          <w:sz w:val="20"/>
          <w:lang w:val="en-US"/>
        </w:rPr>
        <w:noBreakHyphen/>
        <w:t>T/ITU</w:t>
      </w:r>
      <w:r>
        <w:rPr>
          <w:sz w:val="20"/>
          <w:lang w:val="en-US"/>
        </w:rPr>
        <w:noBreakHyphen/>
        <w:t xml:space="preserve">R/ISO/IEC and the ITU-R patent information database can also be found. </w:t>
      </w:r>
    </w:p>
    <w:p w:rsidR="001468CA" w:rsidRDefault="001468CA" w:rsidP="001468CA">
      <w:pPr>
        <w:jc w:val="center"/>
        <w:rPr>
          <w:sz w:val="22"/>
          <w:lang w:val="en-US"/>
        </w:rPr>
      </w:pPr>
    </w:p>
    <w:p w:rsidR="001468CA" w:rsidRDefault="001468CA" w:rsidP="001468CA">
      <w:pPr>
        <w:jc w:val="center"/>
        <w:rPr>
          <w:sz w:val="22"/>
          <w:lang w:val="en-US"/>
        </w:rPr>
      </w:pPr>
    </w:p>
    <w:p w:rsidR="001468CA" w:rsidRDefault="001468CA" w:rsidP="001468CA">
      <w:pPr>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40"/>
        <w:gridCol w:w="8220"/>
      </w:tblGrid>
      <w:tr w:rsidR="001468CA" w:rsidRPr="00A27E8D" w:rsidTr="0023117F">
        <w:tc>
          <w:tcPr>
            <w:tcW w:w="9360" w:type="dxa"/>
            <w:gridSpan w:val="2"/>
            <w:tcBorders>
              <w:top w:val="single" w:sz="12" w:space="0" w:color="000080"/>
              <w:left w:val="single" w:sz="12" w:space="0" w:color="000080"/>
              <w:bottom w:val="nil"/>
              <w:right w:val="single" w:sz="12" w:space="0" w:color="000080"/>
            </w:tcBorders>
          </w:tcPr>
          <w:p w:rsidR="001468CA" w:rsidRPr="00C7761D" w:rsidRDefault="001468CA" w:rsidP="0023117F">
            <w:pPr>
              <w:pStyle w:val="ChapNo"/>
              <w:spacing w:before="240"/>
              <w:rPr>
                <w:sz w:val="22"/>
                <w:szCs w:val="22"/>
                <w:lang w:val="en-US"/>
              </w:rPr>
            </w:pPr>
            <w:r w:rsidRPr="00C7761D">
              <w:rPr>
                <w:sz w:val="22"/>
                <w:szCs w:val="22"/>
                <w:lang w:val="en-US"/>
              </w:rPr>
              <w:t xml:space="preserve">Series of ITU-R Reports </w:t>
            </w:r>
          </w:p>
          <w:p w:rsidR="001468CA" w:rsidRDefault="001468CA" w:rsidP="0023117F">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US"/>
              </w:rPr>
            </w:pPr>
            <w:r w:rsidRPr="00F103A9">
              <w:rPr>
                <w:b w:val="0"/>
                <w:sz w:val="18"/>
                <w:szCs w:val="18"/>
                <w:lang w:val="en-US"/>
              </w:rPr>
              <w:t>(</w:t>
            </w:r>
            <w:r>
              <w:rPr>
                <w:b w:val="0"/>
                <w:sz w:val="18"/>
                <w:szCs w:val="18"/>
                <w:lang w:val="en-US"/>
              </w:rPr>
              <w:t xml:space="preserve">Also available online at </w:t>
            </w:r>
            <w:hyperlink r:id="rId12" w:history="1">
              <w:r>
                <w:rPr>
                  <w:rStyle w:val="Hyperlink"/>
                  <w:b w:val="0"/>
                  <w:bCs/>
                  <w:sz w:val="18"/>
                  <w:szCs w:val="18"/>
                  <w:lang w:val="en-US"/>
                </w:rPr>
                <w:t>http://www.itu.int/publ</w:t>
              </w:r>
              <w:r w:rsidRPr="00F103A9">
                <w:rPr>
                  <w:rStyle w:val="Hyperlink"/>
                  <w:b w:val="0"/>
                  <w:bCs/>
                  <w:sz w:val="18"/>
                  <w:szCs w:val="18"/>
                  <w:lang w:val="en-US"/>
                </w:rPr>
                <w:t>/R-REP/en</w:t>
              </w:r>
            </w:hyperlink>
            <w:r w:rsidRPr="00F103A9">
              <w:rPr>
                <w:b w:val="0"/>
                <w:sz w:val="18"/>
                <w:szCs w:val="18"/>
                <w:lang w:val="en-US"/>
              </w:rPr>
              <w:t>)</w:t>
            </w:r>
          </w:p>
        </w:tc>
      </w:tr>
      <w:tr w:rsidR="001468CA" w:rsidTr="0023117F">
        <w:tc>
          <w:tcPr>
            <w:tcW w:w="1140" w:type="dxa"/>
            <w:tcBorders>
              <w:top w:val="nil"/>
              <w:left w:val="single" w:sz="12" w:space="0" w:color="000080"/>
              <w:bottom w:val="nil"/>
              <w:right w:val="nil"/>
            </w:tcBorders>
          </w:tcPr>
          <w:p w:rsidR="001468CA" w:rsidRDefault="001468CA" w:rsidP="0023117F">
            <w:pPr>
              <w:spacing w:before="200" w:after="100"/>
              <w:ind w:left="57"/>
              <w:rPr>
                <w:b/>
                <w:bCs/>
                <w:sz w:val="20"/>
                <w:lang w:val="en-US"/>
              </w:rPr>
            </w:pPr>
            <w:r>
              <w:rPr>
                <w:b/>
                <w:bCs/>
                <w:sz w:val="20"/>
                <w:lang w:val="en-US"/>
              </w:rPr>
              <w:t>Series</w:t>
            </w:r>
          </w:p>
        </w:tc>
        <w:tc>
          <w:tcPr>
            <w:tcW w:w="8220" w:type="dxa"/>
            <w:tcBorders>
              <w:top w:val="nil"/>
              <w:left w:val="nil"/>
              <w:bottom w:val="nil"/>
              <w:right w:val="single" w:sz="12" w:space="0" w:color="000080"/>
            </w:tcBorders>
          </w:tcPr>
          <w:p w:rsidR="001468CA" w:rsidRDefault="001468CA" w:rsidP="0023117F">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US"/>
              </w:rPr>
            </w:pPr>
            <w:r>
              <w:rPr>
                <w:bCs/>
                <w:sz w:val="20"/>
                <w:lang w:val="en-US"/>
              </w:rPr>
              <w:t>Title</w:t>
            </w:r>
          </w:p>
        </w:tc>
      </w:tr>
      <w:tr w:rsidR="001468CA" w:rsidTr="0023117F">
        <w:tc>
          <w:tcPr>
            <w:tcW w:w="1140" w:type="dxa"/>
            <w:tcBorders>
              <w:top w:val="nil"/>
              <w:left w:val="single" w:sz="12" w:space="0" w:color="000080"/>
              <w:bottom w:val="nil"/>
              <w:right w:val="nil"/>
            </w:tcBorders>
            <w:shd w:val="clear" w:color="auto" w:fill="auto"/>
          </w:tcPr>
          <w:p w:rsidR="001468CA" w:rsidRPr="006F2B77" w:rsidRDefault="001468CA" w:rsidP="0023117F">
            <w:pPr>
              <w:spacing w:before="30" w:after="30"/>
              <w:ind w:left="57"/>
              <w:jc w:val="left"/>
              <w:rPr>
                <w:rFonts w:ascii="Times New Roman Bold" w:hAnsi="Times New Roman Bold" w:cs="Times New Roman Bold"/>
                <w:b/>
                <w:bCs/>
                <w:sz w:val="20"/>
                <w:lang w:val="en-US"/>
              </w:rPr>
            </w:pPr>
            <w:r w:rsidRPr="006F2B77">
              <w:rPr>
                <w:rFonts w:ascii="Times New Roman Bold" w:hAnsi="Times New Roman Bold" w:cs="Times New Roman Bold"/>
                <w:b/>
                <w:bCs/>
                <w:sz w:val="20"/>
                <w:lang w:val="en-US"/>
              </w:rPr>
              <w:t>BO</w:t>
            </w:r>
          </w:p>
        </w:tc>
        <w:tc>
          <w:tcPr>
            <w:tcW w:w="8220" w:type="dxa"/>
            <w:tcBorders>
              <w:top w:val="nil"/>
              <w:left w:val="nil"/>
              <w:bottom w:val="nil"/>
              <w:right w:val="single" w:sz="12" w:space="0" w:color="000080"/>
            </w:tcBorders>
            <w:shd w:val="clear" w:color="auto" w:fill="auto"/>
          </w:tcPr>
          <w:p w:rsidR="001468CA" w:rsidRPr="006F2B77" w:rsidRDefault="001468CA" w:rsidP="0023117F">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6F2B77">
              <w:rPr>
                <w:b w:val="0"/>
                <w:sz w:val="20"/>
                <w:lang w:val="en-US"/>
              </w:rPr>
              <w:t>Satellite delivery</w:t>
            </w:r>
          </w:p>
        </w:tc>
      </w:tr>
      <w:tr w:rsidR="001468CA" w:rsidRPr="00A27E8D" w:rsidTr="0023117F">
        <w:tc>
          <w:tcPr>
            <w:tcW w:w="1140" w:type="dxa"/>
            <w:tcBorders>
              <w:top w:val="nil"/>
              <w:left w:val="single" w:sz="12" w:space="0" w:color="000080"/>
              <w:bottom w:val="nil"/>
              <w:right w:val="nil"/>
            </w:tcBorders>
          </w:tcPr>
          <w:p w:rsidR="001468CA" w:rsidRDefault="001468CA" w:rsidP="0023117F">
            <w:pPr>
              <w:spacing w:before="30" w:after="30"/>
              <w:ind w:left="57"/>
              <w:jc w:val="left"/>
              <w:rPr>
                <w:b/>
                <w:bCs/>
                <w:sz w:val="20"/>
                <w:lang w:val="en-US"/>
              </w:rPr>
            </w:pPr>
            <w:r>
              <w:rPr>
                <w:b/>
                <w:bCs/>
                <w:sz w:val="20"/>
                <w:lang w:val="en-US"/>
              </w:rPr>
              <w:t>BR</w:t>
            </w:r>
          </w:p>
        </w:tc>
        <w:tc>
          <w:tcPr>
            <w:tcW w:w="8220" w:type="dxa"/>
            <w:tcBorders>
              <w:top w:val="nil"/>
              <w:left w:val="nil"/>
              <w:bottom w:val="nil"/>
              <w:right w:val="single" w:sz="12" w:space="0" w:color="000080"/>
            </w:tcBorders>
          </w:tcPr>
          <w:p w:rsidR="001468CA" w:rsidRDefault="001468CA" w:rsidP="0023117F">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Pr>
                <w:b w:val="0"/>
                <w:sz w:val="20"/>
                <w:lang w:val="en-US"/>
              </w:rPr>
              <w:t>Recording for production, archival and play-out; film for television</w:t>
            </w:r>
          </w:p>
        </w:tc>
      </w:tr>
      <w:tr w:rsidR="001468CA" w:rsidRPr="00D55B55" w:rsidTr="0023117F">
        <w:tc>
          <w:tcPr>
            <w:tcW w:w="1140" w:type="dxa"/>
            <w:tcBorders>
              <w:top w:val="nil"/>
              <w:left w:val="single" w:sz="12" w:space="0" w:color="000080"/>
              <w:bottom w:val="nil"/>
              <w:right w:val="nil"/>
            </w:tcBorders>
            <w:shd w:val="clear" w:color="auto" w:fill="auto"/>
          </w:tcPr>
          <w:p w:rsidR="001468CA" w:rsidRPr="00D55B55" w:rsidRDefault="001468CA" w:rsidP="0023117F">
            <w:pPr>
              <w:spacing w:before="30" w:after="30"/>
              <w:ind w:left="57"/>
              <w:jc w:val="left"/>
              <w:rPr>
                <w:rFonts w:ascii="Times New Roman Bold" w:hAnsi="Times New Roman Bold" w:cs="Times New Roman Bold"/>
                <w:b/>
                <w:bCs/>
                <w:sz w:val="20"/>
                <w:lang w:val="en-US"/>
              </w:rPr>
            </w:pPr>
            <w:r w:rsidRPr="00D55B55">
              <w:rPr>
                <w:rFonts w:ascii="Times New Roman Bold" w:hAnsi="Times New Roman Bold" w:cs="Times New Roman Bold"/>
                <w:b/>
                <w:bCs/>
                <w:sz w:val="20"/>
                <w:lang w:val="en-US"/>
              </w:rPr>
              <w:t>BS</w:t>
            </w:r>
          </w:p>
        </w:tc>
        <w:tc>
          <w:tcPr>
            <w:tcW w:w="8220" w:type="dxa"/>
            <w:tcBorders>
              <w:top w:val="nil"/>
              <w:left w:val="nil"/>
              <w:bottom w:val="nil"/>
              <w:right w:val="single" w:sz="12" w:space="0" w:color="000080"/>
            </w:tcBorders>
            <w:shd w:val="clear" w:color="auto" w:fill="auto"/>
          </w:tcPr>
          <w:p w:rsidR="001468CA" w:rsidRPr="00D55B55" w:rsidRDefault="001468CA" w:rsidP="0023117F">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D55B55">
              <w:rPr>
                <w:b w:val="0"/>
                <w:sz w:val="20"/>
                <w:lang w:val="en-US"/>
              </w:rPr>
              <w:t>Broadcasting service (sound)</w:t>
            </w:r>
          </w:p>
        </w:tc>
      </w:tr>
      <w:tr w:rsidR="001468CA" w:rsidRPr="00BD3F5C" w:rsidTr="0023117F">
        <w:tc>
          <w:tcPr>
            <w:tcW w:w="1140" w:type="dxa"/>
            <w:tcBorders>
              <w:top w:val="nil"/>
              <w:left w:val="single" w:sz="12" w:space="0" w:color="000080"/>
              <w:bottom w:val="nil"/>
              <w:right w:val="nil"/>
            </w:tcBorders>
            <w:shd w:val="clear" w:color="auto" w:fill="auto"/>
          </w:tcPr>
          <w:p w:rsidR="001468CA" w:rsidRPr="00BD3F5C" w:rsidRDefault="001468CA" w:rsidP="0023117F">
            <w:pPr>
              <w:spacing w:before="30" w:after="30"/>
              <w:ind w:left="57"/>
              <w:jc w:val="left"/>
              <w:rPr>
                <w:rFonts w:ascii="Times New Roman Bold" w:hAnsi="Times New Roman Bold" w:cs="Times New Roman Bold"/>
                <w:b/>
                <w:bCs/>
                <w:sz w:val="20"/>
                <w:lang w:val="en-US"/>
              </w:rPr>
            </w:pPr>
            <w:r w:rsidRPr="00BD3F5C">
              <w:rPr>
                <w:rFonts w:ascii="Times New Roman Bold" w:hAnsi="Times New Roman Bold" w:cs="Times New Roman Bold"/>
                <w:b/>
                <w:bCs/>
                <w:sz w:val="20"/>
                <w:lang w:val="en-US"/>
              </w:rPr>
              <w:t>BT</w:t>
            </w:r>
          </w:p>
        </w:tc>
        <w:tc>
          <w:tcPr>
            <w:tcW w:w="8220" w:type="dxa"/>
            <w:tcBorders>
              <w:top w:val="nil"/>
              <w:left w:val="nil"/>
              <w:bottom w:val="nil"/>
              <w:right w:val="single" w:sz="12" w:space="0" w:color="000080"/>
            </w:tcBorders>
            <w:shd w:val="clear" w:color="auto" w:fill="auto"/>
          </w:tcPr>
          <w:p w:rsidR="001468CA" w:rsidRPr="00BD3F5C" w:rsidRDefault="001468CA" w:rsidP="0023117F">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BD3F5C">
              <w:rPr>
                <w:b w:val="0"/>
                <w:sz w:val="20"/>
                <w:lang w:val="en-US"/>
              </w:rPr>
              <w:t>Broadcasting service (television)</w:t>
            </w:r>
          </w:p>
        </w:tc>
      </w:tr>
      <w:tr w:rsidR="001468CA" w:rsidRPr="00D069F2" w:rsidTr="0023117F">
        <w:tc>
          <w:tcPr>
            <w:tcW w:w="1140" w:type="dxa"/>
            <w:tcBorders>
              <w:top w:val="nil"/>
              <w:left w:val="single" w:sz="12" w:space="0" w:color="000080"/>
              <w:bottom w:val="nil"/>
              <w:right w:val="nil"/>
            </w:tcBorders>
            <w:shd w:val="clear" w:color="auto" w:fill="auto"/>
          </w:tcPr>
          <w:p w:rsidR="001468CA" w:rsidRPr="00D069F2" w:rsidRDefault="001468CA" w:rsidP="0023117F">
            <w:pPr>
              <w:spacing w:before="30" w:after="30"/>
              <w:ind w:left="57"/>
              <w:jc w:val="left"/>
              <w:rPr>
                <w:rFonts w:ascii="Times New Roman Bold" w:hAnsi="Times New Roman Bold" w:cs="Times New Roman Bold"/>
                <w:b/>
                <w:bCs/>
                <w:sz w:val="20"/>
                <w:lang w:val="fr-CH"/>
              </w:rPr>
            </w:pPr>
            <w:r w:rsidRPr="00D069F2">
              <w:rPr>
                <w:rFonts w:ascii="Times New Roman Bold" w:hAnsi="Times New Roman Bold" w:cs="Times New Roman Bold"/>
                <w:b/>
                <w:bCs/>
                <w:sz w:val="20"/>
                <w:lang w:val="fr-CH"/>
              </w:rPr>
              <w:t>F</w:t>
            </w:r>
          </w:p>
        </w:tc>
        <w:tc>
          <w:tcPr>
            <w:tcW w:w="8220" w:type="dxa"/>
            <w:tcBorders>
              <w:top w:val="nil"/>
              <w:left w:val="nil"/>
              <w:bottom w:val="nil"/>
              <w:right w:val="single" w:sz="12" w:space="0" w:color="000080"/>
            </w:tcBorders>
            <w:shd w:val="clear" w:color="auto" w:fill="auto"/>
          </w:tcPr>
          <w:p w:rsidR="001468CA" w:rsidRPr="00D069F2" w:rsidRDefault="001468CA" w:rsidP="0023117F">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D069F2">
              <w:rPr>
                <w:sz w:val="20"/>
                <w:lang w:val="fr-CH"/>
              </w:rPr>
              <w:t>Fixed service</w:t>
            </w:r>
          </w:p>
        </w:tc>
      </w:tr>
      <w:tr w:rsidR="001468CA" w:rsidRPr="008D3D8D" w:rsidTr="0023117F">
        <w:tc>
          <w:tcPr>
            <w:tcW w:w="1140" w:type="dxa"/>
            <w:tcBorders>
              <w:top w:val="nil"/>
              <w:left w:val="single" w:sz="12" w:space="0" w:color="000080"/>
              <w:bottom w:val="nil"/>
              <w:right w:val="nil"/>
            </w:tcBorders>
            <w:shd w:val="clear" w:color="auto" w:fill="auto"/>
          </w:tcPr>
          <w:p w:rsidR="001468CA" w:rsidRPr="008D3D8D" w:rsidRDefault="001468CA" w:rsidP="0023117F">
            <w:pPr>
              <w:spacing w:before="30" w:after="30"/>
              <w:ind w:left="57"/>
              <w:jc w:val="left"/>
              <w:rPr>
                <w:b/>
                <w:bCs/>
                <w:sz w:val="20"/>
                <w:lang w:val="en-US"/>
              </w:rPr>
            </w:pPr>
            <w:r w:rsidRPr="008D3D8D">
              <w:rPr>
                <w:b/>
                <w:bCs/>
                <w:sz w:val="20"/>
                <w:lang w:val="en-US"/>
              </w:rPr>
              <w:t>M</w:t>
            </w:r>
          </w:p>
        </w:tc>
        <w:tc>
          <w:tcPr>
            <w:tcW w:w="8220" w:type="dxa"/>
            <w:tcBorders>
              <w:top w:val="nil"/>
              <w:left w:val="nil"/>
              <w:bottom w:val="nil"/>
              <w:right w:val="single" w:sz="12" w:space="0" w:color="000080"/>
            </w:tcBorders>
            <w:shd w:val="clear" w:color="auto" w:fill="auto"/>
          </w:tcPr>
          <w:p w:rsidR="001468CA" w:rsidRPr="008D3D8D" w:rsidRDefault="001468CA" w:rsidP="0023117F">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8D3D8D">
              <w:rPr>
                <w:b w:val="0"/>
                <w:sz w:val="20"/>
                <w:lang w:val="en-US"/>
              </w:rPr>
              <w:t>Mobile, radiodetermination, amateur and related satellite services</w:t>
            </w:r>
          </w:p>
        </w:tc>
      </w:tr>
      <w:tr w:rsidR="001468CA" w:rsidRPr="002D77AF" w:rsidTr="0023117F">
        <w:tc>
          <w:tcPr>
            <w:tcW w:w="1140" w:type="dxa"/>
            <w:tcBorders>
              <w:top w:val="nil"/>
              <w:left w:val="single" w:sz="12" w:space="0" w:color="000080"/>
              <w:bottom w:val="nil"/>
              <w:right w:val="nil"/>
            </w:tcBorders>
            <w:shd w:val="clear" w:color="auto" w:fill="auto"/>
          </w:tcPr>
          <w:p w:rsidR="001468CA" w:rsidRPr="002D77AF" w:rsidRDefault="001468CA" w:rsidP="0023117F">
            <w:pPr>
              <w:spacing w:before="30" w:after="30"/>
              <w:ind w:left="57"/>
              <w:jc w:val="left"/>
              <w:rPr>
                <w:rFonts w:ascii="Times New Roman Bold" w:hAnsi="Times New Roman Bold" w:cs="Times New Roman Bold"/>
                <w:b/>
                <w:bCs/>
                <w:sz w:val="20"/>
                <w:lang w:val="fr-CH"/>
              </w:rPr>
            </w:pPr>
            <w:r w:rsidRPr="002D77AF">
              <w:rPr>
                <w:rFonts w:ascii="Times New Roman Bold" w:hAnsi="Times New Roman Bold" w:cs="Times New Roman Bold"/>
                <w:b/>
                <w:bCs/>
                <w:sz w:val="20"/>
                <w:lang w:val="fr-CH"/>
              </w:rPr>
              <w:t>P</w:t>
            </w:r>
          </w:p>
        </w:tc>
        <w:tc>
          <w:tcPr>
            <w:tcW w:w="8220" w:type="dxa"/>
            <w:tcBorders>
              <w:top w:val="nil"/>
              <w:left w:val="nil"/>
              <w:bottom w:val="nil"/>
              <w:right w:val="single" w:sz="12" w:space="0" w:color="000080"/>
            </w:tcBorders>
            <w:shd w:val="clear" w:color="auto" w:fill="auto"/>
          </w:tcPr>
          <w:p w:rsidR="001468CA" w:rsidRPr="002D77AF" w:rsidRDefault="001468CA" w:rsidP="0023117F">
            <w:pPr>
              <w:spacing w:before="30" w:after="30"/>
              <w:jc w:val="left"/>
              <w:rPr>
                <w:sz w:val="20"/>
                <w:lang w:val="fr-CH"/>
              </w:rPr>
            </w:pPr>
            <w:r w:rsidRPr="002D77AF">
              <w:rPr>
                <w:sz w:val="20"/>
                <w:lang w:val="fr-CH"/>
              </w:rPr>
              <w:t>Radiowave propagation</w:t>
            </w:r>
          </w:p>
        </w:tc>
      </w:tr>
      <w:tr w:rsidR="001468CA" w:rsidRPr="003B4EE8" w:rsidTr="0023117F">
        <w:tc>
          <w:tcPr>
            <w:tcW w:w="1140" w:type="dxa"/>
            <w:tcBorders>
              <w:top w:val="nil"/>
              <w:left w:val="single" w:sz="12" w:space="0" w:color="000080"/>
              <w:bottom w:val="nil"/>
              <w:right w:val="nil"/>
            </w:tcBorders>
            <w:shd w:val="clear" w:color="auto" w:fill="auto"/>
          </w:tcPr>
          <w:p w:rsidR="001468CA" w:rsidRPr="003B4EE8" w:rsidRDefault="001468CA" w:rsidP="0023117F">
            <w:pPr>
              <w:spacing w:before="30" w:after="30"/>
              <w:ind w:left="57"/>
              <w:jc w:val="left"/>
              <w:rPr>
                <w:rFonts w:ascii="Times New Roman Bold" w:hAnsi="Times New Roman Bold" w:cs="Times New Roman Bold"/>
                <w:b/>
                <w:bCs/>
                <w:sz w:val="20"/>
                <w:lang w:val="en-US"/>
              </w:rPr>
            </w:pPr>
            <w:r w:rsidRPr="003B4EE8">
              <w:rPr>
                <w:rFonts w:ascii="Times New Roman Bold" w:hAnsi="Times New Roman Bold" w:cs="Times New Roman Bold"/>
                <w:b/>
                <w:bCs/>
                <w:sz w:val="20"/>
                <w:lang w:val="en-US"/>
              </w:rPr>
              <w:t>RA</w:t>
            </w:r>
          </w:p>
        </w:tc>
        <w:tc>
          <w:tcPr>
            <w:tcW w:w="8220" w:type="dxa"/>
            <w:tcBorders>
              <w:top w:val="nil"/>
              <w:left w:val="nil"/>
              <w:bottom w:val="nil"/>
              <w:right w:val="single" w:sz="12" w:space="0" w:color="000080"/>
            </w:tcBorders>
            <w:shd w:val="clear" w:color="auto" w:fill="auto"/>
          </w:tcPr>
          <w:p w:rsidR="001468CA" w:rsidRPr="003B4EE8" w:rsidRDefault="001468CA" w:rsidP="0023117F">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3B4EE8">
              <w:rPr>
                <w:sz w:val="20"/>
                <w:lang w:val="en-US"/>
              </w:rPr>
              <w:t>Radio astronomy</w:t>
            </w:r>
          </w:p>
        </w:tc>
      </w:tr>
      <w:tr w:rsidR="001468CA" w:rsidRPr="00CB1116" w:rsidTr="0023117F">
        <w:tc>
          <w:tcPr>
            <w:tcW w:w="1140" w:type="dxa"/>
            <w:tcBorders>
              <w:top w:val="nil"/>
              <w:left w:val="single" w:sz="12" w:space="0" w:color="000080"/>
              <w:bottom w:val="nil"/>
              <w:right w:val="nil"/>
            </w:tcBorders>
            <w:shd w:val="clear" w:color="auto" w:fill="auto"/>
          </w:tcPr>
          <w:p w:rsidR="001468CA" w:rsidRPr="00CB1116" w:rsidRDefault="001468CA" w:rsidP="0023117F">
            <w:pPr>
              <w:spacing w:before="30" w:after="30"/>
              <w:ind w:left="57"/>
              <w:jc w:val="left"/>
              <w:rPr>
                <w:rFonts w:ascii="Times New Roman Bold" w:hAnsi="Times New Roman Bold" w:cs="Times New Roman Bold"/>
                <w:b/>
                <w:bCs/>
                <w:sz w:val="20"/>
                <w:lang w:val="en-US"/>
              </w:rPr>
            </w:pPr>
            <w:r w:rsidRPr="00CB1116">
              <w:rPr>
                <w:rFonts w:ascii="Times New Roman Bold" w:hAnsi="Times New Roman Bold" w:cs="Times New Roman Bold"/>
                <w:b/>
                <w:bCs/>
                <w:sz w:val="20"/>
                <w:lang w:val="en-US"/>
              </w:rPr>
              <w:t>RS</w:t>
            </w:r>
          </w:p>
        </w:tc>
        <w:tc>
          <w:tcPr>
            <w:tcW w:w="8220" w:type="dxa"/>
            <w:tcBorders>
              <w:top w:val="nil"/>
              <w:left w:val="nil"/>
              <w:bottom w:val="nil"/>
              <w:right w:val="single" w:sz="12" w:space="0" w:color="000080"/>
            </w:tcBorders>
            <w:shd w:val="clear" w:color="auto" w:fill="auto"/>
          </w:tcPr>
          <w:p w:rsidR="001468CA" w:rsidRPr="00CB1116" w:rsidRDefault="001468CA" w:rsidP="0023117F">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CB1116">
              <w:rPr>
                <w:sz w:val="20"/>
                <w:lang w:val="en-US"/>
              </w:rPr>
              <w:t>Remote sensing systems</w:t>
            </w:r>
          </w:p>
        </w:tc>
      </w:tr>
      <w:tr w:rsidR="001468CA" w:rsidRPr="00C114A7" w:rsidTr="0023117F">
        <w:tc>
          <w:tcPr>
            <w:tcW w:w="1140" w:type="dxa"/>
            <w:tcBorders>
              <w:top w:val="nil"/>
              <w:left w:val="single" w:sz="12" w:space="0" w:color="000080"/>
              <w:bottom w:val="nil"/>
              <w:right w:val="nil"/>
            </w:tcBorders>
            <w:shd w:val="clear" w:color="auto" w:fill="auto"/>
          </w:tcPr>
          <w:p w:rsidR="001468CA" w:rsidRPr="00C114A7" w:rsidRDefault="001468CA" w:rsidP="0023117F">
            <w:pPr>
              <w:spacing w:before="30" w:after="30"/>
              <w:ind w:left="57"/>
              <w:jc w:val="left"/>
              <w:rPr>
                <w:rFonts w:ascii="Times New Roman Bold" w:hAnsi="Times New Roman Bold" w:cs="Times New Roman Bold"/>
                <w:b/>
                <w:bCs/>
                <w:sz w:val="20"/>
                <w:lang w:val="en-US"/>
              </w:rPr>
            </w:pPr>
            <w:r w:rsidRPr="00C114A7">
              <w:rPr>
                <w:rFonts w:ascii="Times New Roman Bold" w:hAnsi="Times New Roman Bold" w:cs="Times New Roman Bold"/>
                <w:b/>
                <w:bCs/>
                <w:sz w:val="20"/>
                <w:lang w:val="en-US"/>
              </w:rPr>
              <w:t>S</w:t>
            </w:r>
          </w:p>
        </w:tc>
        <w:tc>
          <w:tcPr>
            <w:tcW w:w="8220" w:type="dxa"/>
            <w:tcBorders>
              <w:top w:val="nil"/>
              <w:left w:val="nil"/>
              <w:bottom w:val="nil"/>
              <w:right w:val="single" w:sz="12" w:space="0" w:color="000080"/>
            </w:tcBorders>
            <w:shd w:val="clear" w:color="auto" w:fill="auto"/>
          </w:tcPr>
          <w:p w:rsidR="001468CA" w:rsidRPr="00C114A7" w:rsidRDefault="001468CA" w:rsidP="0023117F">
            <w:pPr>
              <w:spacing w:before="30" w:after="30"/>
              <w:jc w:val="left"/>
              <w:rPr>
                <w:sz w:val="20"/>
                <w:lang w:val="en-US"/>
              </w:rPr>
            </w:pPr>
            <w:r w:rsidRPr="00C114A7">
              <w:rPr>
                <w:sz w:val="20"/>
                <w:lang w:val="en-US"/>
              </w:rPr>
              <w:t>Fixed</w:t>
            </w:r>
            <w:r>
              <w:rPr>
                <w:sz w:val="20"/>
                <w:lang w:val="en-US"/>
              </w:rPr>
              <w:t>-</w:t>
            </w:r>
            <w:r w:rsidRPr="00C114A7">
              <w:rPr>
                <w:sz w:val="20"/>
                <w:lang w:val="en-US"/>
              </w:rPr>
              <w:t>satellite service</w:t>
            </w:r>
          </w:p>
        </w:tc>
      </w:tr>
      <w:tr w:rsidR="001468CA" w:rsidRPr="00C114A7" w:rsidTr="0023117F">
        <w:tc>
          <w:tcPr>
            <w:tcW w:w="1140" w:type="dxa"/>
            <w:tcBorders>
              <w:top w:val="nil"/>
              <w:left w:val="single" w:sz="12" w:space="0" w:color="000080"/>
              <w:bottom w:val="nil"/>
              <w:right w:val="nil"/>
            </w:tcBorders>
            <w:shd w:val="clear" w:color="auto" w:fill="F3F3F3"/>
          </w:tcPr>
          <w:p w:rsidR="001468CA" w:rsidRPr="00C114A7" w:rsidRDefault="001468CA" w:rsidP="0023117F">
            <w:pPr>
              <w:spacing w:before="30" w:after="30"/>
              <w:ind w:left="57"/>
              <w:jc w:val="left"/>
              <w:rPr>
                <w:b/>
                <w:bCs/>
                <w:color w:val="000080"/>
                <w:sz w:val="20"/>
                <w:lang w:val="en-US"/>
              </w:rPr>
            </w:pPr>
            <w:r w:rsidRPr="00C114A7">
              <w:rPr>
                <w:b/>
                <w:bCs/>
                <w:color w:val="000080"/>
                <w:sz w:val="20"/>
                <w:lang w:val="en-US"/>
              </w:rPr>
              <w:t>SA</w:t>
            </w:r>
          </w:p>
        </w:tc>
        <w:tc>
          <w:tcPr>
            <w:tcW w:w="8220" w:type="dxa"/>
            <w:tcBorders>
              <w:top w:val="nil"/>
              <w:left w:val="nil"/>
              <w:bottom w:val="nil"/>
              <w:right w:val="single" w:sz="12" w:space="0" w:color="000080"/>
            </w:tcBorders>
            <w:shd w:val="clear" w:color="auto" w:fill="F3F3F3"/>
          </w:tcPr>
          <w:p w:rsidR="001468CA" w:rsidRPr="00C114A7" w:rsidRDefault="001468CA" w:rsidP="0023117F">
            <w:pPr>
              <w:spacing w:before="30" w:after="30"/>
              <w:jc w:val="left"/>
              <w:rPr>
                <w:b/>
                <w:bCs/>
                <w:color w:val="000080"/>
                <w:sz w:val="20"/>
                <w:lang w:val="en-US"/>
              </w:rPr>
            </w:pPr>
            <w:r w:rsidRPr="00C114A7">
              <w:rPr>
                <w:b/>
                <w:bCs/>
                <w:color w:val="000080"/>
                <w:sz w:val="20"/>
                <w:lang w:val="en-US"/>
              </w:rPr>
              <w:t>Space applications and meteorology</w:t>
            </w:r>
          </w:p>
        </w:tc>
      </w:tr>
      <w:tr w:rsidR="001468CA" w:rsidRPr="00A27E8D" w:rsidTr="0023117F">
        <w:tc>
          <w:tcPr>
            <w:tcW w:w="1140" w:type="dxa"/>
            <w:tcBorders>
              <w:top w:val="nil"/>
              <w:left w:val="single" w:sz="12" w:space="0" w:color="000080"/>
              <w:bottom w:val="nil"/>
              <w:right w:val="nil"/>
            </w:tcBorders>
          </w:tcPr>
          <w:p w:rsidR="001468CA" w:rsidRDefault="001468CA" w:rsidP="0023117F">
            <w:pPr>
              <w:spacing w:before="30" w:after="30"/>
              <w:ind w:left="57"/>
              <w:jc w:val="left"/>
              <w:rPr>
                <w:b/>
                <w:bCs/>
                <w:sz w:val="20"/>
                <w:lang w:val="en-US"/>
              </w:rPr>
            </w:pPr>
            <w:r>
              <w:rPr>
                <w:b/>
                <w:bCs/>
                <w:sz w:val="20"/>
                <w:lang w:val="en-US"/>
              </w:rPr>
              <w:t>SF</w:t>
            </w:r>
          </w:p>
        </w:tc>
        <w:tc>
          <w:tcPr>
            <w:tcW w:w="8220" w:type="dxa"/>
            <w:tcBorders>
              <w:top w:val="nil"/>
              <w:left w:val="nil"/>
              <w:bottom w:val="nil"/>
              <w:right w:val="single" w:sz="12" w:space="0" w:color="000080"/>
            </w:tcBorders>
          </w:tcPr>
          <w:p w:rsidR="001468CA" w:rsidRDefault="001468CA" w:rsidP="0023117F">
            <w:pPr>
              <w:spacing w:before="30" w:after="30"/>
              <w:jc w:val="left"/>
              <w:rPr>
                <w:sz w:val="20"/>
                <w:lang w:val="en-US"/>
              </w:rPr>
            </w:pPr>
            <w:r>
              <w:rPr>
                <w:sz w:val="20"/>
                <w:lang w:val="en-US"/>
              </w:rPr>
              <w:t>Frequency sharing and coordination between fixed-satellite and fixed service systems</w:t>
            </w:r>
          </w:p>
        </w:tc>
      </w:tr>
      <w:tr w:rsidR="001468CA" w:rsidTr="0023117F">
        <w:tc>
          <w:tcPr>
            <w:tcW w:w="1140" w:type="dxa"/>
            <w:tcBorders>
              <w:top w:val="nil"/>
              <w:left w:val="single" w:sz="12" w:space="0" w:color="000080"/>
              <w:bottom w:val="single" w:sz="12" w:space="0" w:color="000080"/>
              <w:right w:val="nil"/>
            </w:tcBorders>
          </w:tcPr>
          <w:p w:rsidR="001468CA" w:rsidRDefault="001468CA" w:rsidP="0023117F">
            <w:pPr>
              <w:spacing w:before="30" w:after="30"/>
              <w:ind w:left="57"/>
              <w:jc w:val="left"/>
              <w:rPr>
                <w:b/>
                <w:bCs/>
                <w:sz w:val="20"/>
                <w:lang w:val="en-US"/>
              </w:rPr>
            </w:pPr>
            <w:r>
              <w:rPr>
                <w:b/>
                <w:bCs/>
                <w:sz w:val="20"/>
                <w:lang w:val="en-US"/>
              </w:rPr>
              <w:t>SM</w:t>
            </w:r>
          </w:p>
        </w:tc>
        <w:tc>
          <w:tcPr>
            <w:tcW w:w="8220" w:type="dxa"/>
            <w:tcBorders>
              <w:top w:val="nil"/>
              <w:left w:val="nil"/>
              <w:bottom w:val="single" w:sz="12" w:space="0" w:color="000080"/>
              <w:right w:val="single" w:sz="12" w:space="0" w:color="000080"/>
            </w:tcBorders>
          </w:tcPr>
          <w:p w:rsidR="001468CA" w:rsidRDefault="001468CA" w:rsidP="0023117F">
            <w:pPr>
              <w:spacing w:before="30" w:after="180"/>
              <w:jc w:val="left"/>
              <w:rPr>
                <w:sz w:val="20"/>
                <w:lang w:val="en-US"/>
              </w:rPr>
            </w:pPr>
            <w:r>
              <w:rPr>
                <w:sz w:val="20"/>
                <w:lang w:val="en-US"/>
              </w:rPr>
              <w:t>Spectrum management</w:t>
            </w:r>
          </w:p>
        </w:tc>
      </w:tr>
    </w:tbl>
    <w:p w:rsidR="001468CA" w:rsidRDefault="001468CA" w:rsidP="001468CA">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1468CA" w:rsidTr="0023117F">
        <w:tc>
          <w:tcPr>
            <w:tcW w:w="720" w:type="dxa"/>
          </w:tcPr>
          <w:p w:rsidR="001468CA" w:rsidRDefault="001468CA" w:rsidP="0023117F">
            <w:pPr>
              <w:jc w:val="center"/>
              <w:rPr>
                <w:sz w:val="22"/>
                <w:lang w:val="en-US"/>
              </w:rPr>
            </w:pPr>
          </w:p>
        </w:tc>
      </w:tr>
    </w:tbl>
    <w:p w:rsidR="001468CA" w:rsidRDefault="001468CA" w:rsidP="001468CA">
      <w:pPr>
        <w:spacing w:before="0"/>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360"/>
      </w:tblGrid>
      <w:tr w:rsidR="001468CA" w:rsidRPr="00A27E8D" w:rsidTr="0023117F">
        <w:tc>
          <w:tcPr>
            <w:tcW w:w="9360" w:type="dxa"/>
            <w:tcBorders>
              <w:top w:val="single" w:sz="12" w:space="0" w:color="000080"/>
              <w:left w:val="single" w:sz="12" w:space="0" w:color="000080"/>
              <w:bottom w:val="single" w:sz="12" w:space="0" w:color="000080"/>
              <w:right w:val="single" w:sz="12" w:space="0" w:color="000080"/>
            </w:tcBorders>
          </w:tcPr>
          <w:p w:rsidR="001468CA" w:rsidRPr="00EF1E72" w:rsidRDefault="001468CA" w:rsidP="0023117F">
            <w:pPr>
              <w:spacing w:after="120"/>
              <w:jc w:val="left"/>
              <w:rPr>
                <w:b/>
                <w:bCs/>
                <w:sz w:val="20"/>
                <w:lang w:val="en-US"/>
              </w:rPr>
            </w:pPr>
            <w:r w:rsidRPr="00EF1E72">
              <w:rPr>
                <w:b/>
                <w:bCs/>
                <w:i/>
                <w:iCs/>
                <w:sz w:val="20"/>
                <w:lang w:val="en-US"/>
              </w:rPr>
              <w:t>Note</w:t>
            </w:r>
            <w:r w:rsidRPr="00EF1E72">
              <w:rPr>
                <w:i/>
                <w:iCs/>
                <w:sz w:val="20"/>
                <w:lang w:val="en-US"/>
              </w:rPr>
              <w:t>: This ITU-R Report was approved in English by the Study Group under the procedure detailed in Resolution</w:t>
            </w:r>
            <w:r>
              <w:rPr>
                <w:i/>
                <w:iCs/>
                <w:sz w:val="20"/>
                <w:lang w:val="en-US"/>
              </w:rPr>
              <w:t> </w:t>
            </w:r>
            <w:r w:rsidRPr="00EF1E72">
              <w:rPr>
                <w:i/>
                <w:iCs/>
                <w:sz w:val="20"/>
                <w:lang w:val="en-US"/>
              </w:rPr>
              <w:t>ITU-R 1.</w:t>
            </w:r>
          </w:p>
        </w:tc>
      </w:tr>
    </w:tbl>
    <w:p w:rsidR="001468CA" w:rsidRDefault="001468CA" w:rsidP="001468CA">
      <w:pPr>
        <w:spacing w:before="0"/>
        <w:jc w:val="center"/>
        <w:rPr>
          <w:sz w:val="22"/>
          <w:lang w:val="en-US"/>
        </w:rPr>
      </w:pPr>
    </w:p>
    <w:p w:rsidR="001468CA" w:rsidRDefault="001468CA" w:rsidP="001468CA">
      <w:pPr>
        <w:spacing w:before="0"/>
        <w:jc w:val="center"/>
        <w:rPr>
          <w:sz w:val="22"/>
          <w:lang w:val="en-US"/>
        </w:rPr>
      </w:pPr>
    </w:p>
    <w:p w:rsidR="001468CA" w:rsidRDefault="001468CA" w:rsidP="001468CA">
      <w:pPr>
        <w:spacing w:before="0"/>
        <w:jc w:val="right"/>
        <w:rPr>
          <w:i/>
          <w:iCs/>
          <w:sz w:val="20"/>
          <w:lang w:val="en-US"/>
        </w:rPr>
      </w:pPr>
      <w:r>
        <w:rPr>
          <w:i/>
          <w:iCs/>
          <w:sz w:val="20"/>
          <w:lang w:val="en-US"/>
        </w:rPr>
        <w:t>Electronic Publication</w:t>
      </w:r>
    </w:p>
    <w:p w:rsidR="001468CA" w:rsidRDefault="001468CA" w:rsidP="001468CA">
      <w:pPr>
        <w:spacing w:before="0"/>
        <w:jc w:val="right"/>
        <w:rPr>
          <w:sz w:val="20"/>
          <w:lang w:val="en-US"/>
        </w:rPr>
      </w:pPr>
      <w:smartTag w:uri="urn:schemas-microsoft-com:office:smarttags" w:element="place">
        <w:smartTag w:uri="urn:schemas-microsoft-com:office:smarttags" w:element="State">
          <w:r>
            <w:rPr>
              <w:sz w:val="20"/>
              <w:lang w:val="en-US"/>
            </w:rPr>
            <w:t>Geneva</w:t>
          </w:r>
        </w:smartTag>
      </w:smartTag>
      <w:r>
        <w:rPr>
          <w:sz w:val="20"/>
          <w:lang w:val="en-US"/>
        </w:rPr>
        <w:t>, 2014</w:t>
      </w:r>
    </w:p>
    <w:p w:rsidR="001468CA" w:rsidRDefault="001468CA" w:rsidP="001468CA">
      <w:pPr>
        <w:jc w:val="center"/>
        <w:rPr>
          <w:sz w:val="20"/>
          <w:lang w:val="en-US"/>
        </w:rPr>
      </w:pPr>
      <w:r>
        <w:rPr>
          <w:sz w:val="20"/>
          <w:lang w:val="en-US"/>
        </w:rPr>
        <w:sym w:font="Symbol" w:char="00E3"/>
      </w:r>
      <w:r>
        <w:rPr>
          <w:sz w:val="20"/>
          <w:lang w:val="en-US"/>
        </w:rPr>
        <w:t xml:space="preserve"> ITU </w:t>
      </w:r>
      <w:bookmarkStart w:id="2" w:name="iiannee"/>
      <w:bookmarkEnd w:id="2"/>
      <w:r>
        <w:rPr>
          <w:sz w:val="20"/>
          <w:lang w:val="en-US"/>
        </w:rPr>
        <w:t>2014</w:t>
      </w:r>
    </w:p>
    <w:p w:rsidR="001468CA" w:rsidRDefault="001468CA" w:rsidP="001468CA">
      <w:pPr>
        <w:rPr>
          <w:sz w:val="18"/>
          <w:szCs w:val="18"/>
          <w:lang w:val="en-US"/>
        </w:rPr>
      </w:pPr>
      <w:r>
        <w:rPr>
          <w:sz w:val="18"/>
          <w:szCs w:val="18"/>
          <w:lang w:val="en-US"/>
        </w:rPr>
        <w:t>All rights reserved. No part of this publication may be reproduced, by any means whatsoever, without written permission of ITU.</w:t>
      </w:r>
    </w:p>
    <w:p w:rsidR="001468CA" w:rsidRDefault="001468CA" w:rsidP="001468CA">
      <w:pPr>
        <w:tabs>
          <w:tab w:val="clear" w:pos="794"/>
          <w:tab w:val="clear" w:pos="1191"/>
          <w:tab w:val="clear" w:pos="1588"/>
          <w:tab w:val="clear" w:pos="1985"/>
        </w:tabs>
        <w:overflowPunct/>
        <w:autoSpaceDE/>
        <w:autoSpaceDN/>
        <w:adjustRightInd/>
        <w:spacing w:before="0"/>
        <w:jc w:val="left"/>
        <w:rPr>
          <w:i/>
          <w:sz w:val="20"/>
          <w:lang w:val="en-US"/>
        </w:rPr>
        <w:sectPr w:rsidR="001468CA">
          <w:pgSz w:w="11907" w:h="16834"/>
          <w:pgMar w:top="1418" w:right="1134" w:bottom="1134" w:left="1134" w:header="720" w:footer="482" w:gutter="0"/>
          <w:paperSrc w:first="15" w:other="15"/>
          <w:pgNumType w:fmt="lowerRoman" w:start="2"/>
          <w:cols w:space="720"/>
        </w:sectPr>
      </w:pPr>
    </w:p>
    <w:p w:rsidR="001468CA" w:rsidRPr="008D3D8D" w:rsidRDefault="001468CA" w:rsidP="0060462B">
      <w:pPr>
        <w:pStyle w:val="RepNo"/>
        <w:spacing w:before="0"/>
        <w:rPr>
          <w:lang w:val="en-US"/>
        </w:rPr>
      </w:pPr>
      <w:bookmarkStart w:id="3" w:name="irecnoe"/>
      <w:bookmarkEnd w:id="3"/>
      <w:r w:rsidRPr="008D3D8D">
        <w:rPr>
          <w:lang w:val="en-US"/>
        </w:rPr>
        <w:lastRenderedPageBreak/>
        <w:t xml:space="preserve">REPORT  </w:t>
      </w:r>
      <w:r w:rsidRPr="008D3D8D">
        <w:rPr>
          <w:rStyle w:val="href"/>
          <w:lang w:val="en-US"/>
        </w:rPr>
        <w:t xml:space="preserve">ITU-R  </w:t>
      </w:r>
      <w:r>
        <w:rPr>
          <w:rStyle w:val="href"/>
          <w:lang w:val="en-US"/>
        </w:rPr>
        <w:t>SA</w:t>
      </w:r>
      <w:r w:rsidRPr="008D3D8D">
        <w:rPr>
          <w:rStyle w:val="href"/>
          <w:lang w:val="en-US"/>
        </w:rPr>
        <w:t>.</w:t>
      </w:r>
      <w:r w:rsidR="0060462B">
        <w:rPr>
          <w:rStyle w:val="href"/>
          <w:lang w:val="en-US"/>
        </w:rPr>
        <w:t>2312-0</w:t>
      </w:r>
    </w:p>
    <w:p w:rsidR="001468CA" w:rsidRDefault="0060462B" w:rsidP="0063553E">
      <w:pPr>
        <w:pStyle w:val="Reptitle"/>
        <w:rPr>
          <w:lang w:val="en-US"/>
        </w:rPr>
      </w:pPr>
      <w:bookmarkStart w:id="4" w:name="dbreak"/>
      <w:bookmarkEnd w:id="4"/>
      <w:r>
        <w:rPr>
          <w:lang w:val="en-US"/>
        </w:rPr>
        <w:t>Characteristics</w:t>
      </w:r>
      <w:r w:rsidRPr="00AA05D4">
        <w:rPr>
          <w:lang w:val="en-US"/>
        </w:rPr>
        <w:t xml:space="preserve">, definitions and spectrum requirements of </w:t>
      </w:r>
      <w:r>
        <w:rPr>
          <w:lang w:val="en-US"/>
        </w:rPr>
        <w:t>nanosatellites and </w:t>
      </w:r>
      <w:r w:rsidRPr="00AA05D4">
        <w:rPr>
          <w:lang w:val="en-US"/>
        </w:rPr>
        <w:t>picosatellites, as well as syst</w:t>
      </w:r>
      <w:r>
        <w:rPr>
          <w:lang w:val="en-US"/>
        </w:rPr>
        <w:t>ems composed of such satellites</w:t>
      </w:r>
    </w:p>
    <w:p w:rsidR="0063553E" w:rsidRDefault="0063553E" w:rsidP="0063553E">
      <w:pPr>
        <w:pStyle w:val="Repdate"/>
        <w:rPr>
          <w:lang w:val="en-US"/>
        </w:rPr>
      </w:pPr>
      <w:r>
        <w:rPr>
          <w:lang w:val="en-US"/>
        </w:rPr>
        <w:t>(2014)</w:t>
      </w:r>
    </w:p>
    <w:p w:rsidR="0063553E" w:rsidRDefault="0063553E" w:rsidP="0063553E">
      <w:pPr>
        <w:jc w:val="center"/>
        <w:rPr>
          <w:lang w:val="en-US"/>
        </w:rPr>
      </w:pPr>
      <w:r>
        <w:rPr>
          <w:lang w:val="en-US"/>
        </w:rPr>
        <w:t>TABLE OF CONTENTS</w:t>
      </w:r>
    </w:p>
    <w:p w:rsidR="0063553E" w:rsidRDefault="0063553E" w:rsidP="0063553E">
      <w:pPr>
        <w:pStyle w:val="toc0"/>
        <w:rPr>
          <w:lang w:val="en-US"/>
        </w:rPr>
      </w:pPr>
      <w:r>
        <w:rPr>
          <w:lang w:val="en-US"/>
        </w:rPr>
        <w:tab/>
        <w:t>Page</w:t>
      </w:r>
    </w:p>
    <w:p w:rsidR="0023117F" w:rsidRDefault="0023117F" w:rsidP="003A5CB4">
      <w:pPr>
        <w:pStyle w:val="TOC1"/>
        <w:rPr>
          <w:rFonts w:asciiTheme="minorHAnsi" w:eastAsiaTheme="minorEastAsia" w:hAnsiTheme="minorHAnsi" w:cstheme="minorBidi"/>
          <w:noProof/>
          <w:sz w:val="22"/>
          <w:szCs w:val="22"/>
          <w:lang w:eastAsia="zh-CN"/>
        </w:rPr>
      </w:pPr>
      <w:r>
        <w:fldChar w:fldCharType="begin"/>
      </w:r>
      <w:r>
        <w:instrText xml:space="preserve"> TOC \o "1-3" \h \z \t "Annex_NoTitle;1" </w:instrText>
      </w:r>
      <w:r>
        <w:fldChar w:fldCharType="separate"/>
      </w:r>
      <w:hyperlink w:anchor="_Toc402962816" w:history="1">
        <w:r w:rsidRPr="005446B6">
          <w:rPr>
            <w:rStyle w:val="Hyperlink"/>
            <w:noProof/>
          </w:rPr>
          <w:t>1</w:t>
        </w:r>
        <w:r>
          <w:rPr>
            <w:rFonts w:asciiTheme="minorHAnsi" w:eastAsiaTheme="minorEastAsia" w:hAnsiTheme="minorHAnsi" w:cstheme="minorBidi"/>
            <w:noProof/>
            <w:sz w:val="22"/>
            <w:szCs w:val="22"/>
            <w:lang w:eastAsia="zh-CN"/>
          </w:rPr>
          <w:tab/>
        </w:r>
        <w:r w:rsidRPr="005446B6">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_Toc402962816 \h </w:instrText>
        </w:r>
        <w:r>
          <w:rPr>
            <w:noProof/>
            <w:webHidden/>
          </w:rPr>
        </w:r>
        <w:r>
          <w:rPr>
            <w:noProof/>
            <w:webHidden/>
          </w:rPr>
          <w:fldChar w:fldCharType="separate"/>
        </w:r>
        <w:r w:rsidR="00570A41">
          <w:rPr>
            <w:noProof/>
            <w:webHidden/>
          </w:rPr>
          <w:t>2</w:t>
        </w:r>
        <w:r>
          <w:rPr>
            <w:noProof/>
            <w:webHidden/>
          </w:rPr>
          <w:fldChar w:fldCharType="end"/>
        </w:r>
      </w:hyperlink>
    </w:p>
    <w:p w:rsidR="0023117F" w:rsidRDefault="00570A41">
      <w:pPr>
        <w:pStyle w:val="TOC1"/>
        <w:rPr>
          <w:rFonts w:asciiTheme="minorHAnsi" w:eastAsiaTheme="minorEastAsia" w:hAnsiTheme="minorHAnsi" w:cstheme="minorBidi"/>
          <w:noProof/>
          <w:sz w:val="22"/>
          <w:szCs w:val="22"/>
          <w:lang w:eastAsia="zh-CN"/>
        </w:rPr>
      </w:pPr>
      <w:hyperlink w:anchor="_Toc402962817" w:history="1">
        <w:r w:rsidR="0023117F" w:rsidRPr="005446B6">
          <w:rPr>
            <w:rStyle w:val="Hyperlink"/>
            <w:noProof/>
          </w:rPr>
          <w:t>2</w:t>
        </w:r>
        <w:r w:rsidR="0023117F">
          <w:rPr>
            <w:rFonts w:asciiTheme="minorHAnsi" w:eastAsiaTheme="minorEastAsia" w:hAnsiTheme="minorHAnsi" w:cstheme="minorBidi"/>
            <w:noProof/>
            <w:sz w:val="22"/>
            <w:szCs w:val="22"/>
            <w:lang w:eastAsia="zh-CN"/>
          </w:rPr>
          <w:tab/>
        </w:r>
        <w:r w:rsidR="0023117F" w:rsidRPr="005446B6">
          <w:rPr>
            <w:rStyle w:val="Hyperlink"/>
            <w:noProof/>
          </w:rPr>
          <w:t>Characteristics of small satellites</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_Toc402962817 \h </w:instrText>
        </w:r>
        <w:r w:rsidR="0023117F">
          <w:rPr>
            <w:noProof/>
            <w:webHidden/>
          </w:rPr>
        </w:r>
        <w:r w:rsidR="0023117F">
          <w:rPr>
            <w:noProof/>
            <w:webHidden/>
          </w:rPr>
          <w:fldChar w:fldCharType="separate"/>
        </w:r>
        <w:r>
          <w:rPr>
            <w:noProof/>
            <w:webHidden/>
          </w:rPr>
          <w:t>2</w:t>
        </w:r>
        <w:r w:rsidR="0023117F">
          <w:rPr>
            <w:noProof/>
            <w:webHidden/>
          </w:rPr>
          <w:fldChar w:fldCharType="end"/>
        </w:r>
      </w:hyperlink>
    </w:p>
    <w:p w:rsidR="0023117F" w:rsidRDefault="00570A41">
      <w:pPr>
        <w:pStyle w:val="TOC2"/>
        <w:rPr>
          <w:rFonts w:asciiTheme="minorHAnsi" w:eastAsiaTheme="minorEastAsia" w:hAnsiTheme="minorHAnsi" w:cstheme="minorBidi"/>
          <w:noProof/>
          <w:sz w:val="22"/>
          <w:szCs w:val="22"/>
          <w:lang w:eastAsia="zh-CN"/>
        </w:rPr>
      </w:pPr>
      <w:hyperlink w:anchor="_Toc402962818" w:history="1">
        <w:r w:rsidR="0023117F" w:rsidRPr="005446B6">
          <w:rPr>
            <w:rStyle w:val="Hyperlink"/>
            <w:noProof/>
          </w:rPr>
          <w:t>2.1</w:t>
        </w:r>
        <w:r w:rsidR="0023117F">
          <w:rPr>
            <w:rFonts w:asciiTheme="minorHAnsi" w:eastAsiaTheme="minorEastAsia" w:hAnsiTheme="minorHAnsi" w:cstheme="minorBidi"/>
            <w:noProof/>
            <w:sz w:val="22"/>
            <w:szCs w:val="22"/>
            <w:lang w:eastAsia="zh-CN"/>
          </w:rPr>
          <w:tab/>
        </w:r>
        <w:r w:rsidR="0023117F" w:rsidRPr="005446B6">
          <w:rPr>
            <w:rStyle w:val="Hyperlink"/>
            <w:noProof/>
          </w:rPr>
          <w:t>Mass</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_Toc402962818 \h </w:instrText>
        </w:r>
        <w:r w:rsidR="0023117F">
          <w:rPr>
            <w:noProof/>
            <w:webHidden/>
          </w:rPr>
        </w:r>
        <w:r w:rsidR="0023117F">
          <w:rPr>
            <w:noProof/>
            <w:webHidden/>
          </w:rPr>
          <w:fldChar w:fldCharType="separate"/>
        </w:r>
        <w:r>
          <w:rPr>
            <w:noProof/>
            <w:webHidden/>
          </w:rPr>
          <w:t>3</w:t>
        </w:r>
        <w:r w:rsidR="0023117F">
          <w:rPr>
            <w:noProof/>
            <w:webHidden/>
          </w:rPr>
          <w:fldChar w:fldCharType="end"/>
        </w:r>
      </w:hyperlink>
    </w:p>
    <w:p w:rsidR="0023117F" w:rsidRDefault="00570A41">
      <w:pPr>
        <w:pStyle w:val="TOC2"/>
        <w:rPr>
          <w:rFonts w:asciiTheme="minorHAnsi" w:eastAsiaTheme="minorEastAsia" w:hAnsiTheme="minorHAnsi" w:cstheme="minorBidi"/>
          <w:noProof/>
          <w:sz w:val="22"/>
          <w:szCs w:val="22"/>
          <w:lang w:eastAsia="zh-CN"/>
        </w:rPr>
      </w:pPr>
      <w:hyperlink w:anchor="_Toc402962819" w:history="1">
        <w:r w:rsidR="0023117F" w:rsidRPr="005446B6">
          <w:rPr>
            <w:rStyle w:val="Hyperlink"/>
            <w:noProof/>
          </w:rPr>
          <w:t>2.2</w:t>
        </w:r>
        <w:r w:rsidR="0023117F">
          <w:rPr>
            <w:rFonts w:asciiTheme="minorHAnsi" w:eastAsiaTheme="minorEastAsia" w:hAnsiTheme="minorHAnsi" w:cstheme="minorBidi"/>
            <w:noProof/>
            <w:sz w:val="22"/>
            <w:szCs w:val="22"/>
            <w:lang w:eastAsia="zh-CN"/>
          </w:rPr>
          <w:tab/>
        </w:r>
        <w:r w:rsidR="0023117F" w:rsidRPr="005446B6">
          <w:rPr>
            <w:rStyle w:val="Hyperlink"/>
            <w:noProof/>
          </w:rPr>
          <w:t>CubeSat design specification</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_Toc402962819 \h </w:instrText>
        </w:r>
        <w:r w:rsidR="0023117F">
          <w:rPr>
            <w:noProof/>
            <w:webHidden/>
          </w:rPr>
        </w:r>
        <w:r w:rsidR="0023117F">
          <w:rPr>
            <w:noProof/>
            <w:webHidden/>
          </w:rPr>
          <w:fldChar w:fldCharType="separate"/>
        </w:r>
        <w:r>
          <w:rPr>
            <w:noProof/>
            <w:webHidden/>
          </w:rPr>
          <w:t>3</w:t>
        </w:r>
        <w:r w:rsidR="0023117F">
          <w:rPr>
            <w:noProof/>
            <w:webHidden/>
          </w:rPr>
          <w:fldChar w:fldCharType="end"/>
        </w:r>
      </w:hyperlink>
    </w:p>
    <w:p w:rsidR="0023117F" w:rsidRDefault="00570A41">
      <w:pPr>
        <w:pStyle w:val="TOC1"/>
        <w:rPr>
          <w:rFonts w:asciiTheme="minorHAnsi" w:eastAsiaTheme="minorEastAsia" w:hAnsiTheme="minorHAnsi" w:cstheme="minorBidi"/>
          <w:noProof/>
          <w:sz w:val="22"/>
          <w:szCs w:val="22"/>
          <w:lang w:eastAsia="zh-CN"/>
        </w:rPr>
      </w:pPr>
      <w:hyperlink w:anchor="_Toc402962820" w:history="1">
        <w:r w:rsidR="0023117F" w:rsidRPr="005446B6">
          <w:rPr>
            <w:rStyle w:val="Hyperlink"/>
            <w:noProof/>
          </w:rPr>
          <w:t>3</w:t>
        </w:r>
        <w:r w:rsidR="0023117F">
          <w:rPr>
            <w:rFonts w:asciiTheme="minorHAnsi" w:eastAsiaTheme="minorEastAsia" w:hAnsiTheme="minorHAnsi" w:cstheme="minorBidi"/>
            <w:noProof/>
            <w:sz w:val="22"/>
            <w:szCs w:val="22"/>
            <w:lang w:eastAsia="zh-CN"/>
          </w:rPr>
          <w:tab/>
        </w:r>
        <w:r w:rsidR="0023117F" w:rsidRPr="005446B6">
          <w:rPr>
            <w:rStyle w:val="Hyperlink"/>
            <w:noProof/>
          </w:rPr>
          <w:t>Comparison of technical characteristics between traditional satellite systems and those of nanosatellite and picosatellite systems</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_Toc402962820 \h </w:instrText>
        </w:r>
        <w:r w:rsidR="0023117F">
          <w:rPr>
            <w:noProof/>
            <w:webHidden/>
          </w:rPr>
        </w:r>
        <w:r w:rsidR="0023117F">
          <w:rPr>
            <w:noProof/>
            <w:webHidden/>
          </w:rPr>
          <w:fldChar w:fldCharType="separate"/>
        </w:r>
        <w:r>
          <w:rPr>
            <w:noProof/>
            <w:webHidden/>
          </w:rPr>
          <w:t>4</w:t>
        </w:r>
        <w:r w:rsidR="0023117F">
          <w:rPr>
            <w:noProof/>
            <w:webHidden/>
          </w:rPr>
          <w:fldChar w:fldCharType="end"/>
        </w:r>
      </w:hyperlink>
    </w:p>
    <w:p w:rsidR="0023117F" w:rsidRDefault="00570A41">
      <w:pPr>
        <w:pStyle w:val="TOC1"/>
        <w:rPr>
          <w:rFonts w:asciiTheme="minorHAnsi" w:eastAsiaTheme="minorEastAsia" w:hAnsiTheme="minorHAnsi" w:cstheme="minorBidi"/>
          <w:noProof/>
          <w:sz w:val="22"/>
          <w:szCs w:val="22"/>
          <w:lang w:eastAsia="zh-CN"/>
        </w:rPr>
      </w:pPr>
      <w:hyperlink w:anchor="_Toc402962821" w:history="1">
        <w:r w:rsidR="0023117F" w:rsidRPr="005446B6">
          <w:rPr>
            <w:rStyle w:val="Hyperlink"/>
            <w:noProof/>
          </w:rPr>
          <w:t>4</w:t>
        </w:r>
        <w:r w:rsidR="0023117F">
          <w:rPr>
            <w:rFonts w:asciiTheme="minorHAnsi" w:eastAsiaTheme="minorEastAsia" w:hAnsiTheme="minorHAnsi" w:cstheme="minorBidi"/>
            <w:noProof/>
            <w:sz w:val="22"/>
            <w:szCs w:val="22"/>
            <w:lang w:eastAsia="zh-CN"/>
          </w:rPr>
          <w:tab/>
        </w:r>
        <w:r w:rsidR="0023117F" w:rsidRPr="005446B6">
          <w:rPr>
            <w:rStyle w:val="Hyperlink"/>
            <w:noProof/>
          </w:rPr>
          <w:t>Characteristics of nanosatellite and picosatellite systems</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_Toc402962821 \h </w:instrText>
        </w:r>
        <w:r w:rsidR="0023117F">
          <w:rPr>
            <w:noProof/>
            <w:webHidden/>
          </w:rPr>
        </w:r>
        <w:r w:rsidR="0023117F">
          <w:rPr>
            <w:noProof/>
            <w:webHidden/>
          </w:rPr>
          <w:fldChar w:fldCharType="separate"/>
        </w:r>
        <w:r>
          <w:rPr>
            <w:noProof/>
            <w:webHidden/>
          </w:rPr>
          <w:t>6</w:t>
        </w:r>
        <w:r w:rsidR="0023117F">
          <w:rPr>
            <w:noProof/>
            <w:webHidden/>
          </w:rPr>
          <w:fldChar w:fldCharType="end"/>
        </w:r>
      </w:hyperlink>
    </w:p>
    <w:p w:rsidR="0023117F" w:rsidRDefault="00570A41">
      <w:pPr>
        <w:pStyle w:val="TOC2"/>
        <w:rPr>
          <w:rFonts w:asciiTheme="minorHAnsi" w:eastAsiaTheme="minorEastAsia" w:hAnsiTheme="minorHAnsi" w:cstheme="minorBidi"/>
          <w:noProof/>
          <w:sz w:val="22"/>
          <w:szCs w:val="22"/>
          <w:lang w:eastAsia="zh-CN"/>
        </w:rPr>
      </w:pPr>
      <w:hyperlink w:anchor="_Toc402962822" w:history="1">
        <w:r w:rsidR="0023117F" w:rsidRPr="005446B6">
          <w:rPr>
            <w:rStyle w:val="Hyperlink"/>
            <w:noProof/>
          </w:rPr>
          <w:t>4.1</w:t>
        </w:r>
        <w:r w:rsidR="0023117F">
          <w:rPr>
            <w:rFonts w:asciiTheme="minorHAnsi" w:eastAsiaTheme="minorEastAsia" w:hAnsiTheme="minorHAnsi" w:cstheme="minorBidi"/>
            <w:noProof/>
            <w:sz w:val="22"/>
            <w:szCs w:val="22"/>
            <w:lang w:eastAsia="zh-CN"/>
          </w:rPr>
          <w:tab/>
        </w:r>
        <w:r w:rsidR="0023117F" w:rsidRPr="005446B6">
          <w:rPr>
            <w:rStyle w:val="Hyperlink"/>
            <w:noProof/>
          </w:rPr>
          <w:t>Programmatic timeline</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_Toc402962822 \h </w:instrText>
        </w:r>
        <w:r w:rsidR="0023117F">
          <w:rPr>
            <w:noProof/>
            <w:webHidden/>
          </w:rPr>
        </w:r>
        <w:r w:rsidR="0023117F">
          <w:rPr>
            <w:noProof/>
            <w:webHidden/>
          </w:rPr>
          <w:fldChar w:fldCharType="separate"/>
        </w:r>
        <w:r>
          <w:rPr>
            <w:noProof/>
            <w:webHidden/>
          </w:rPr>
          <w:t>6</w:t>
        </w:r>
        <w:r w:rsidR="0023117F">
          <w:rPr>
            <w:noProof/>
            <w:webHidden/>
          </w:rPr>
          <w:fldChar w:fldCharType="end"/>
        </w:r>
      </w:hyperlink>
    </w:p>
    <w:p w:rsidR="0023117F" w:rsidRDefault="00570A41">
      <w:pPr>
        <w:pStyle w:val="TOC2"/>
        <w:rPr>
          <w:rFonts w:asciiTheme="minorHAnsi" w:eastAsiaTheme="minorEastAsia" w:hAnsiTheme="minorHAnsi" w:cstheme="minorBidi"/>
          <w:noProof/>
          <w:sz w:val="22"/>
          <w:szCs w:val="22"/>
          <w:lang w:eastAsia="zh-CN"/>
        </w:rPr>
      </w:pPr>
      <w:hyperlink w:anchor="_Toc402962823" w:history="1">
        <w:r w:rsidR="0023117F" w:rsidRPr="005446B6">
          <w:rPr>
            <w:rStyle w:val="Hyperlink"/>
            <w:noProof/>
          </w:rPr>
          <w:t>4.2</w:t>
        </w:r>
        <w:r w:rsidR="0023117F">
          <w:rPr>
            <w:rFonts w:asciiTheme="minorHAnsi" w:eastAsiaTheme="minorEastAsia" w:hAnsiTheme="minorHAnsi" w:cstheme="minorBidi"/>
            <w:noProof/>
            <w:sz w:val="22"/>
            <w:szCs w:val="22"/>
            <w:lang w:eastAsia="zh-CN"/>
          </w:rPr>
          <w:tab/>
        </w:r>
        <w:r w:rsidR="0023117F" w:rsidRPr="005446B6">
          <w:rPr>
            <w:rStyle w:val="Hyperlink"/>
            <w:noProof/>
          </w:rPr>
          <w:t>Launches</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_Toc402962823 \h </w:instrText>
        </w:r>
        <w:r w:rsidR="0023117F">
          <w:rPr>
            <w:noProof/>
            <w:webHidden/>
          </w:rPr>
        </w:r>
        <w:r w:rsidR="0023117F">
          <w:rPr>
            <w:noProof/>
            <w:webHidden/>
          </w:rPr>
          <w:fldChar w:fldCharType="separate"/>
        </w:r>
        <w:r>
          <w:rPr>
            <w:noProof/>
            <w:webHidden/>
          </w:rPr>
          <w:t>6</w:t>
        </w:r>
        <w:r w:rsidR="0023117F">
          <w:rPr>
            <w:noProof/>
            <w:webHidden/>
          </w:rPr>
          <w:fldChar w:fldCharType="end"/>
        </w:r>
      </w:hyperlink>
    </w:p>
    <w:p w:rsidR="0023117F" w:rsidRDefault="00570A41">
      <w:pPr>
        <w:pStyle w:val="TOC2"/>
        <w:rPr>
          <w:rFonts w:asciiTheme="minorHAnsi" w:eastAsiaTheme="minorEastAsia" w:hAnsiTheme="minorHAnsi" w:cstheme="minorBidi"/>
          <w:noProof/>
          <w:sz w:val="22"/>
          <w:szCs w:val="22"/>
          <w:lang w:eastAsia="zh-CN"/>
        </w:rPr>
      </w:pPr>
      <w:hyperlink w:anchor="_Toc402962824" w:history="1">
        <w:r w:rsidR="0023117F" w:rsidRPr="005446B6">
          <w:rPr>
            <w:rStyle w:val="Hyperlink"/>
            <w:noProof/>
          </w:rPr>
          <w:t>4.3</w:t>
        </w:r>
        <w:r w:rsidR="0023117F">
          <w:rPr>
            <w:rFonts w:asciiTheme="minorHAnsi" w:eastAsiaTheme="minorEastAsia" w:hAnsiTheme="minorHAnsi" w:cstheme="minorBidi"/>
            <w:noProof/>
            <w:sz w:val="22"/>
            <w:szCs w:val="22"/>
            <w:lang w:eastAsia="zh-CN"/>
          </w:rPr>
          <w:tab/>
        </w:r>
        <w:r w:rsidR="0023117F" w:rsidRPr="005446B6">
          <w:rPr>
            <w:rStyle w:val="Hyperlink"/>
            <w:noProof/>
          </w:rPr>
          <w:t>Manoeuvring and propulsion</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_Toc402962824 \h </w:instrText>
        </w:r>
        <w:r w:rsidR="0023117F">
          <w:rPr>
            <w:noProof/>
            <w:webHidden/>
          </w:rPr>
        </w:r>
        <w:r w:rsidR="0023117F">
          <w:rPr>
            <w:noProof/>
            <w:webHidden/>
          </w:rPr>
          <w:fldChar w:fldCharType="separate"/>
        </w:r>
        <w:r>
          <w:rPr>
            <w:noProof/>
            <w:webHidden/>
          </w:rPr>
          <w:t>7</w:t>
        </w:r>
        <w:r w:rsidR="0023117F">
          <w:rPr>
            <w:noProof/>
            <w:webHidden/>
          </w:rPr>
          <w:fldChar w:fldCharType="end"/>
        </w:r>
      </w:hyperlink>
    </w:p>
    <w:p w:rsidR="0023117F" w:rsidRDefault="00570A41">
      <w:pPr>
        <w:pStyle w:val="TOC2"/>
        <w:rPr>
          <w:rFonts w:asciiTheme="minorHAnsi" w:eastAsiaTheme="minorEastAsia" w:hAnsiTheme="minorHAnsi" w:cstheme="minorBidi"/>
          <w:noProof/>
          <w:sz w:val="22"/>
          <w:szCs w:val="22"/>
          <w:lang w:eastAsia="zh-CN"/>
        </w:rPr>
      </w:pPr>
      <w:hyperlink w:anchor="_Toc402962825" w:history="1">
        <w:r w:rsidR="0023117F" w:rsidRPr="005446B6">
          <w:rPr>
            <w:rStyle w:val="Hyperlink"/>
            <w:noProof/>
          </w:rPr>
          <w:t>4.4</w:t>
        </w:r>
        <w:r w:rsidR="0023117F">
          <w:rPr>
            <w:rFonts w:asciiTheme="minorHAnsi" w:eastAsiaTheme="minorEastAsia" w:hAnsiTheme="minorHAnsi" w:cstheme="minorBidi"/>
            <w:noProof/>
            <w:sz w:val="22"/>
            <w:szCs w:val="22"/>
            <w:lang w:eastAsia="zh-CN"/>
          </w:rPr>
          <w:tab/>
        </w:r>
        <w:r w:rsidR="0023117F" w:rsidRPr="005446B6">
          <w:rPr>
            <w:rStyle w:val="Hyperlink"/>
            <w:noProof/>
          </w:rPr>
          <w:t>TT&amp;C and communication links</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_Toc402962825 \h </w:instrText>
        </w:r>
        <w:r w:rsidR="0023117F">
          <w:rPr>
            <w:noProof/>
            <w:webHidden/>
          </w:rPr>
        </w:r>
        <w:r w:rsidR="0023117F">
          <w:rPr>
            <w:noProof/>
            <w:webHidden/>
          </w:rPr>
          <w:fldChar w:fldCharType="separate"/>
        </w:r>
        <w:r>
          <w:rPr>
            <w:noProof/>
            <w:webHidden/>
          </w:rPr>
          <w:t>7</w:t>
        </w:r>
        <w:r w:rsidR="0023117F">
          <w:rPr>
            <w:noProof/>
            <w:webHidden/>
          </w:rPr>
          <w:fldChar w:fldCharType="end"/>
        </w:r>
      </w:hyperlink>
    </w:p>
    <w:p w:rsidR="0023117F" w:rsidRDefault="00570A41">
      <w:pPr>
        <w:pStyle w:val="TOC2"/>
        <w:rPr>
          <w:rFonts w:asciiTheme="minorHAnsi" w:eastAsiaTheme="minorEastAsia" w:hAnsiTheme="minorHAnsi" w:cstheme="minorBidi"/>
          <w:noProof/>
          <w:sz w:val="22"/>
          <w:szCs w:val="22"/>
          <w:lang w:eastAsia="zh-CN"/>
        </w:rPr>
      </w:pPr>
      <w:hyperlink w:anchor="_Toc402962826" w:history="1">
        <w:r w:rsidR="0023117F" w:rsidRPr="005446B6">
          <w:rPr>
            <w:rStyle w:val="Hyperlink"/>
            <w:noProof/>
          </w:rPr>
          <w:t>4.5</w:t>
        </w:r>
        <w:r w:rsidR="0023117F">
          <w:rPr>
            <w:rFonts w:asciiTheme="minorHAnsi" w:eastAsiaTheme="minorEastAsia" w:hAnsiTheme="minorHAnsi" w:cstheme="minorBidi"/>
            <w:noProof/>
            <w:sz w:val="22"/>
            <w:szCs w:val="22"/>
            <w:lang w:eastAsia="zh-CN"/>
          </w:rPr>
          <w:tab/>
        </w:r>
        <w:r w:rsidR="0023117F" w:rsidRPr="005446B6">
          <w:rPr>
            <w:rStyle w:val="Hyperlink"/>
            <w:noProof/>
          </w:rPr>
          <w:t>Ground segment</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_Toc402962826 \h </w:instrText>
        </w:r>
        <w:r w:rsidR="0023117F">
          <w:rPr>
            <w:noProof/>
            <w:webHidden/>
          </w:rPr>
        </w:r>
        <w:r w:rsidR="0023117F">
          <w:rPr>
            <w:noProof/>
            <w:webHidden/>
          </w:rPr>
          <w:fldChar w:fldCharType="separate"/>
        </w:r>
        <w:r>
          <w:rPr>
            <w:noProof/>
            <w:webHidden/>
          </w:rPr>
          <w:t>8</w:t>
        </w:r>
        <w:r w:rsidR="0023117F">
          <w:rPr>
            <w:noProof/>
            <w:webHidden/>
          </w:rPr>
          <w:fldChar w:fldCharType="end"/>
        </w:r>
      </w:hyperlink>
    </w:p>
    <w:p w:rsidR="0023117F" w:rsidRDefault="00570A41">
      <w:pPr>
        <w:pStyle w:val="TOC2"/>
        <w:rPr>
          <w:rFonts w:asciiTheme="minorHAnsi" w:eastAsiaTheme="minorEastAsia" w:hAnsiTheme="minorHAnsi" w:cstheme="minorBidi"/>
          <w:noProof/>
          <w:sz w:val="22"/>
          <w:szCs w:val="22"/>
          <w:lang w:eastAsia="zh-CN"/>
        </w:rPr>
      </w:pPr>
      <w:hyperlink w:anchor="_Toc402962827" w:history="1">
        <w:r w:rsidR="0023117F" w:rsidRPr="005446B6">
          <w:rPr>
            <w:rStyle w:val="Hyperlink"/>
            <w:noProof/>
          </w:rPr>
          <w:t>4.6</w:t>
        </w:r>
        <w:r w:rsidR="0023117F">
          <w:rPr>
            <w:rFonts w:asciiTheme="minorHAnsi" w:eastAsiaTheme="minorEastAsia" w:hAnsiTheme="minorHAnsi" w:cstheme="minorBidi"/>
            <w:noProof/>
            <w:sz w:val="22"/>
            <w:szCs w:val="22"/>
            <w:lang w:eastAsia="zh-CN"/>
          </w:rPr>
          <w:tab/>
        </w:r>
        <w:r w:rsidR="0023117F" w:rsidRPr="005446B6">
          <w:rPr>
            <w:rStyle w:val="Hyperlink"/>
            <w:noProof/>
          </w:rPr>
          <w:t>Radiocommunication services in which nanosatellites and picosatellites typically operate</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_Toc402962827 \h </w:instrText>
        </w:r>
        <w:r w:rsidR="0023117F">
          <w:rPr>
            <w:noProof/>
            <w:webHidden/>
          </w:rPr>
        </w:r>
        <w:r w:rsidR="0023117F">
          <w:rPr>
            <w:noProof/>
            <w:webHidden/>
          </w:rPr>
          <w:fldChar w:fldCharType="separate"/>
        </w:r>
        <w:r>
          <w:rPr>
            <w:noProof/>
            <w:webHidden/>
          </w:rPr>
          <w:t>8</w:t>
        </w:r>
        <w:r w:rsidR="0023117F">
          <w:rPr>
            <w:noProof/>
            <w:webHidden/>
          </w:rPr>
          <w:fldChar w:fldCharType="end"/>
        </w:r>
      </w:hyperlink>
    </w:p>
    <w:p w:rsidR="0023117F" w:rsidRDefault="00570A41">
      <w:pPr>
        <w:pStyle w:val="TOC2"/>
        <w:rPr>
          <w:rFonts w:asciiTheme="minorHAnsi" w:eastAsiaTheme="minorEastAsia" w:hAnsiTheme="minorHAnsi" w:cstheme="minorBidi"/>
          <w:noProof/>
          <w:sz w:val="22"/>
          <w:szCs w:val="22"/>
          <w:lang w:eastAsia="zh-CN"/>
        </w:rPr>
      </w:pPr>
      <w:hyperlink w:anchor="_Toc402962828" w:history="1">
        <w:r w:rsidR="0023117F" w:rsidRPr="005446B6">
          <w:rPr>
            <w:rStyle w:val="Hyperlink"/>
            <w:noProof/>
          </w:rPr>
          <w:t>4.7</w:t>
        </w:r>
        <w:r w:rsidR="0023117F">
          <w:rPr>
            <w:rFonts w:asciiTheme="minorHAnsi" w:eastAsiaTheme="minorEastAsia" w:hAnsiTheme="minorHAnsi" w:cstheme="minorBidi"/>
            <w:noProof/>
            <w:sz w:val="22"/>
            <w:szCs w:val="22"/>
            <w:lang w:eastAsia="zh-CN"/>
          </w:rPr>
          <w:tab/>
        </w:r>
        <w:r w:rsidR="0023117F" w:rsidRPr="005446B6">
          <w:rPr>
            <w:rStyle w:val="Hyperlink"/>
            <w:noProof/>
          </w:rPr>
          <w:t>Operational lifetime</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_Toc402962828 \h </w:instrText>
        </w:r>
        <w:r w:rsidR="0023117F">
          <w:rPr>
            <w:noProof/>
            <w:webHidden/>
          </w:rPr>
        </w:r>
        <w:r w:rsidR="0023117F">
          <w:rPr>
            <w:noProof/>
            <w:webHidden/>
          </w:rPr>
          <w:fldChar w:fldCharType="separate"/>
        </w:r>
        <w:r>
          <w:rPr>
            <w:noProof/>
            <w:webHidden/>
          </w:rPr>
          <w:t>8</w:t>
        </w:r>
        <w:r w:rsidR="0023117F">
          <w:rPr>
            <w:noProof/>
            <w:webHidden/>
          </w:rPr>
          <w:fldChar w:fldCharType="end"/>
        </w:r>
      </w:hyperlink>
    </w:p>
    <w:p w:rsidR="0023117F" w:rsidRDefault="00570A41">
      <w:pPr>
        <w:pStyle w:val="TOC2"/>
        <w:rPr>
          <w:rFonts w:asciiTheme="minorHAnsi" w:eastAsiaTheme="minorEastAsia" w:hAnsiTheme="minorHAnsi" w:cstheme="minorBidi"/>
          <w:noProof/>
          <w:sz w:val="22"/>
          <w:szCs w:val="22"/>
          <w:lang w:eastAsia="zh-CN"/>
        </w:rPr>
      </w:pPr>
      <w:hyperlink w:anchor="_Toc402962829" w:history="1">
        <w:r w:rsidR="0023117F" w:rsidRPr="005446B6">
          <w:rPr>
            <w:rStyle w:val="Hyperlink"/>
            <w:noProof/>
          </w:rPr>
          <w:t>4.8</w:t>
        </w:r>
        <w:r w:rsidR="0023117F">
          <w:rPr>
            <w:rFonts w:asciiTheme="minorHAnsi" w:eastAsiaTheme="minorEastAsia" w:hAnsiTheme="minorHAnsi" w:cstheme="minorBidi"/>
            <w:noProof/>
            <w:sz w:val="22"/>
            <w:szCs w:val="22"/>
            <w:lang w:eastAsia="zh-CN"/>
          </w:rPr>
          <w:tab/>
        </w:r>
        <w:r w:rsidR="0023117F" w:rsidRPr="005446B6">
          <w:rPr>
            <w:rStyle w:val="Hyperlink"/>
            <w:noProof/>
          </w:rPr>
          <w:t>Satellite transmission power</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_Toc402962829 \h </w:instrText>
        </w:r>
        <w:r w:rsidR="0023117F">
          <w:rPr>
            <w:noProof/>
            <w:webHidden/>
          </w:rPr>
        </w:r>
        <w:r w:rsidR="0023117F">
          <w:rPr>
            <w:noProof/>
            <w:webHidden/>
          </w:rPr>
          <w:fldChar w:fldCharType="separate"/>
        </w:r>
        <w:r>
          <w:rPr>
            <w:noProof/>
            <w:webHidden/>
          </w:rPr>
          <w:t>8</w:t>
        </w:r>
        <w:r w:rsidR="0023117F">
          <w:rPr>
            <w:noProof/>
            <w:webHidden/>
          </w:rPr>
          <w:fldChar w:fldCharType="end"/>
        </w:r>
      </w:hyperlink>
    </w:p>
    <w:p w:rsidR="0023117F" w:rsidRDefault="00570A41">
      <w:pPr>
        <w:pStyle w:val="TOC2"/>
        <w:rPr>
          <w:rFonts w:asciiTheme="minorHAnsi" w:eastAsiaTheme="minorEastAsia" w:hAnsiTheme="minorHAnsi" w:cstheme="minorBidi"/>
          <w:noProof/>
          <w:sz w:val="22"/>
          <w:szCs w:val="22"/>
          <w:lang w:eastAsia="zh-CN"/>
        </w:rPr>
      </w:pPr>
      <w:hyperlink w:anchor="_Toc402962830" w:history="1">
        <w:r w:rsidR="0023117F" w:rsidRPr="005446B6">
          <w:rPr>
            <w:rStyle w:val="Hyperlink"/>
            <w:noProof/>
          </w:rPr>
          <w:t>4.9</w:t>
        </w:r>
        <w:r w:rsidR="0023117F">
          <w:rPr>
            <w:rFonts w:asciiTheme="minorHAnsi" w:eastAsiaTheme="minorEastAsia" w:hAnsiTheme="minorHAnsi" w:cstheme="minorBidi"/>
            <w:noProof/>
            <w:sz w:val="22"/>
            <w:szCs w:val="22"/>
            <w:lang w:eastAsia="zh-CN"/>
          </w:rPr>
          <w:tab/>
        </w:r>
        <w:r w:rsidR="0023117F" w:rsidRPr="005446B6">
          <w:rPr>
            <w:rStyle w:val="Hyperlink"/>
            <w:noProof/>
          </w:rPr>
          <w:t>Orbital parameters</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_Toc402962830 \h </w:instrText>
        </w:r>
        <w:r w:rsidR="0023117F">
          <w:rPr>
            <w:noProof/>
            <w:webHidden/>
          </w:rPr>
        </w:r>
        <w:r w:rsidR="0023117F">
          <w:rPr>
            <w:noProof/>
            <w:webHidden/>
          </w:rPr>
          <w:fldChar w:fldCharType="separate"/>
        </w:r>
        <w:r>
          <w:rPr>
            <w:noProof/>
            <w:webHidden/>
          </w:rPr>
          <w:t>9</w:t>
        </w:r>
        <w:r w:rsidR="0023117F">
          <w:rPr>
            <w:noProof/>
            <w:webHidden/>
          </w:rPr>
          <w:fldChar w:fldCharType="end"/>
        </w:r>
      </w:hyperlink>
    </w:p>
    <w:p w:rsidR="0023117F" w:rsidRDefault="00570A41">
      <w:pPr>
        <w:pStyle w:val="TOC2"/>
        <w:rPr>
          <w:rFonts w:asciiTheme="minorHAnsi" w:eastAsiaTheme="minorEastAsia" w:hAnsiTheme="minorHAnsi" w:cstheme="minorBidi"/>
          <w:noProof/>
          <w:sz w:val="22"/>
          <w:szCs w:val="22"/>
          <w:lang w:eastAsia="zh-CN"/>
        </w:rPr>
      </w:pPr>
      <w:hyperlink w:anchor="_Toc402962831" w:history="1">
        <w:r w:rsidR="0023117F" w:rsidRPr="005446B6">
          <w:rPr>
            <w:rStyle w:val="Hyperlink"/>
            <w:bCs/>
            <w:noProof/>
          </w:rPr>
          <w:t>4.10</w:t>
        </w:r>
        <w:r w:rsidR="0023117F">
          <w:rPr>
            <w:rFonts w:asciiTheme="minorHAnsi" w:eastAsiaTheme="minorEastAsia" w:hAnsiTheme="minorHAnsi" w:cstheme="minorBidi"/>
            <w:noProof/>
            <w:sz w:val="22"/>
            <w:szCs w:val="22"/>
            <w:lang w:eastAsia="zh-CN"/>
          </w:rPr>
          <w:tab/>
        </w:r>
        <w:r w:rsidR="0023117F" w:rsidRPr="005446B6">
          <w:rPr>
            <w:rStyle w:val="Hyperlink"/>
            <w:noProof/>
          </w:rPr>
          <w:t>Frequency stability</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_Toc402962831 \h </w:instrText>
        </w:r>
        <w:r w:rsidR="0023117F">
          <w:rPr>
            <w:noProof/>
            <w:webHidden/>
          </w:rPr>
        </w:r>
        <w:r w:rsidR="0023117F">
          <w:rPr>
            <w:noProof/>
            <w:webHidden/>
          </w:rPr>
          <w:fldChar w:fldCharType="separate"/>
        </w:r>
        <w:r>
          <w:rPr>
            <w:noProof/>
            <w:webHidden/>
          </w:rPr>
          <w:t>9</w:t>
        </w:r>
        <w:r w:rsidR="0023117F">
          <w:rPr>
            <w:noProof/>
            <w:webHidden/>
          </w:rPr>
          <w:fldChar w:fldCharType="end"/>
        </w:r>
      </w:hyperlink>
    </w:p>
    <w:p w:rsidR="0023117F" w:rsidRDefault="00570A41">
      <w:pPr>
        <w:pStyle w:val="TOC2"/>
        <w:rPr>
          <w:rFonts w:asciiTheme="minorHAnsi" w:eastAsiaTheme="minorEastAsia" w:hAnsiTheme="minorHAnsi" w:cstheme="minorBidi"/>
          <w:noProof/>
          <w:sz w:val="22"/>
          <w:szCs w:val="22"/>
          <w:lang w:eastAsia="zh-CN"/>
        </w:rPr>
      </w:pPr>
      <w:hyperlink w:anchor="_Toc402962832" w:history="1">
        <w:r w:rsidR="0023117F" w:rsidRPr="005446B6">
          <w:rPr>
            <w:rStyle w:val="Hyperlink"/>
            <w:noProof/>
          </w:rPr>
          <w:t>4.11</w:t>
        </w:r>
        <w:r w:rsidR="0023117F">
          <w:rPr>
            <w:rFonts w:asciiTheme="minorHAnsi" w:eastAsiaTheme="minorEastAsia" w:hAnsiTheme="minorHAnsi" w:cstheme="minorBidi"/>
            <w:noProof/>
            <w:sz w:val="22"/>
            <w:szCs w:val="22"/>
            <w:lang w:eastAsia="zh-CN"/>
          </w:rPr>
          <w:tab/>
        </w:r>
        <w:r w:rsidR="0023117F" w:rsidRPr="005446B6">
          <w:rPr>
            <w:rStyle w:val="Hyperlink"/>
            <w:noProof/>
          </w:rPr>
          <w:t>Filtering (reduction of adjacent and out of band emissions)</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_Toc402962832 \h </w:instrText>
        </w:r>
        <w:r w:rsidR="0023117F">
          <w:rPr>
            <w:noProof/>
            <w:webHidden/>
          </w:rPr>
        </w:r>
        <w:r w:rsidR="0023117F">
          <w:rPr>
            <w:noProof/>
            <w:webHidden/>
          </w:rPr>
          <w:fldChar w:fldCharType="separate"/>
        </w:r>
        <w:r>
          <w:rPr>
            <w:noProof/>
            <w:webHidden/>
          </w:rPr>
          <w:t>9</w:t>
        </w:r>
        <w:r w:rsidR="0023117F">
          <w:rPr>
            <w:noProof/>
            <w:webHidden/>
          </w:rPr>
          <w:fldChar w:fldCharType="end"/>
        </w:r>
      </w:hyperlink>
    </w:p>
    <w:p w:rsidR="0023117F" w:rsidRDefault="00570A41">
      <w:pPr>
        <w:pStyle w:val="TOC1"/>
        <w:rPr>
          <w:rFonts w:asciiTheme="minorHAnsi" w:eastAsiaTheme="minorEastAsia" w:hAnsiTheme="minorHAnsi" w:cstheme="minorBidi"/>
          <w:noProof/>
          <w:sz w:val="22"/>
          <w:szCs w:val="22"/>
          <w:lang w:eastAsia="zh-CN"/>
        </w:rPr>
      </w:pPr>
      <w:hyperlink w:anchor="_Toc402962833" w:history="1">
        <w:r w:rsidR="0023117F" w:rsidRPr="005446B6">
          <w:rPr>
            <w:rStyle w:val="Hyperlink"/>
            <w:noProof/>
          </w:rPr>
          <w:t>5</w:t>
        </w:r>
        <w:r w:rsidR="0023117F">
          <w:rPr>
            <w:rFonts w:asciiTheme="minorHAnsi" w:eastAsiaTheme="minorEastAsia" w:hAnsiTheme="minorHAnsi" w:cstheme="minorBidi"/>
            <w:noProof/>
            <w:sz w:val="22"/>
            <w:szCs w:val="22"/>
            <w:lang w:eastAsia="zh-CN"/>
          </w:rPr>
          <w:tab/>
        </w:r>
        <w:r w:rsidR="0023117F" w:rsidRPr="005446B6">
          <w:rPr>
            <w:rStyle w:val="Hyperlink"/>
            <w:noProof/>
          </w:rPr>
          <w:t>Types of missions and their spectrum use</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_Toc402962833 \h </w:instrText>
        </w:r>
        <w:r w:rsidR="0023117F">
          <w:rPr>
            <w:noProof/>
            <w:webHidden/>
          </w:rPr>
        </w:r>
        <w:r w:rsidR="0023117F">
          <w:rPr>
            <w:noProof/>
            <w:webHidden/>
          </w:rPr>
          <w:fldChar w:fldCharType="separate"/>
        </w:r>
        <w:r>
          <w:rPr>
            <w:noProof/>
            <w:webHidden/>
          </w:rPr>
          <w:t>9</w:t>
        </w:r>
        <w:r w:rsidR="0023117F">
          <w:rPr>
            <w:noProof/>
            <w:webHidden/>
          </w:rPr>
          <w:fldChar w:fldCharType="end"/>
        </w:r>
      </w:hyperlink>
    </w:p>
    <w:p w:rsidR="0023117F" w:rsidRDefault="00570A41">
      <w:pPr>
        <w:pStyle w:val="TOC2"/>
        <w:rPr>
          <w:rFonts w:asciiTheme="minorHAnsi" w:eastAsiaTheme="minorEastAsia" w:hAnsiTheme="minorHAnsi" w:cstheme="minorBidi"/>
          <w:noProof/>
          <w:sz w:val="22"/>
          <w:szCs w:val="22"/>
          <w:lang w:eastAsia="zh-CN"/>
        </w:rPr>
      </w:pPr>
      <w:hyperlink w:anchor="_Toc402962834" w:history="1">
        <w:r w:rsidR="0023117F" w:rsidRPr="005446B6">
          <w:rPr>
            <w:rStyle w:val="Hyperlink"/>
            <w:noProof/>
          </w:rPr>
          <w:t>5.1</w:t>
        </w:r>
        <w:r w:rsidR="0023117F">
          <w:rPr>
            <w:rFonts w:asciiTheme="minorHAnsi" w:eastAsiaTheme="minorEastAsia" w:hAnsiTheme="minorHAnsi" w:cstheme="minorBidi"/>
            <w:noProof/>
            <w:sz w:val="22"/>
            <w:szCs w:val="22"/>
            <w:lang w:eastAsia="zh-CN"/>
          </w:rPr>
          <w:tab/>
        </w:r>
        <w:r w:rsidR="0023117F" w:rsidRPr="005446B6">
          <w:rPr>
            <w:rStyle w:val="Hyperlink"/>
            <w:noProof/>
          </w:rPr>
          <w:t>Nanosatellite and picosatellite mission categories</w:t>
        </w:r>
        <w:r w:rsidR="0023117F">
          <w:rPr>
            <w:noProof/>
            <w:webHidden/>
          </w:rPr>
          <w:tab/>
        </w:r>
        <w:r w:rsidR="0023117F">
          <w:rPr>
            <w:noProof/>
            <w:webHidden/>
          </w:rPr>
          <w:tab/>
        </w:r>
        <w:r w:rsidR="0023117F">
          <w:rPr>
            <w:noProof/>
            <w:webHidden/>
          </w:rPr>
          <w:fldChar w:fldCharType="begin"/>
        </w:r>
        <w:r w:rsidR="0023117F">
          <w:rPr>
            <w:noProof/>
            <w:webHidden/>
          </w:rPr>
          <w:instrText xml:space="preserve"> PAGEREF _Toc402962834 \h </w:instrText>
        </w:r>
        <w:r w:rsidR="0023117F">
          <w:rPr>
            <w:noProof/>
            <w:webHidden/>
          </w:rPr>
        </w:r>
        <w:r w:rsidR="0023117F">
          <w:rPr>
            <w:noProof/>
            <w:webHidden/>
          </w:rPr>
          <w:fldChar w:fldCharType="separate"/>
        </w:r>
        <w:r>
          <w:rPr>
            <w:noProof/>
            <w:webHidden/>
          </w:rPr>
          <w:t>9</w:t>
        </w:r>
        <w:r w:rsidR="0023117F">
          <w:rPr>
            <w:noProof/>
            <w:webHidden/>
          </w:rPr>
          <w:fldChar w:fldCharType="end"/>
        </w:r>
      </w:hyperlink>
    </w:p>
    <w:p w:rsidR="0023117F" w:rsidRDefault="00570A41">
      <w:pPr>
        <w:pStyle w:val="TOC2"/>
        <w:rPr>
          <w:rFonts w:asciiTheme="minorHAnsi" w:eastAsiaTheme="minorEastAsia" w:hAnsiTheme="minorHAnsi" w:cstheme="minorBidi"/>
          <w:noProof/>
          <w:sz w:val="22"/>
          <w:szCs w:val="22"/>
          <w:lang w:eastAsia="zh-CN"/>
        </w:rPr>
      </w:pPr>
      <w:hyperlink w:anchor="_Toc402962838" w:history="1">
        <w:r w:rsidR="0023117F" w:rsidRPr="005446B6">
          <w:rPr>
            <w:rStyle w:val="Hyperlink"/>
            <w:noProof/>
          </w:rPr>
          <w:t>5.2</w:t>
        </w:r>
        <w:r w:rsidR="0023117F">
          <w:rPr>
            <w:rFonts w:asciiTheme="minorHAnsi" w:eastAsiaTheme="minorEastAsia" w:hAnsiTheme="minorHAnsi" w:cstheme="minorBidi"/>
            <w:noProof/>
            <w:sz w:val="22"/>
            <w:szCs w:val="22"/>
            <w:lang w:eastAsia="zh-CN"/>
          </w:rPr>
          <w:tab/>
        </w:r>
        <w:r w:rsidR="0023117F" w:rsidRPr="005446B6">
          <w:rPr>
            <w:rStyle w:val="Hyperlink"/>
            <w:noProof/>
          </w:rPr>
          <w:t>Evolution of nanosatellite and picosatellite missions and their applicable radio services</w:t>
        </w:r>
        <w:r w:rsidR="0023117F">
          <w:rPr>
            <w:noProof/>
            <w:webHidden/>
          </w:rPr>
          <w:tab/>
        </w:r>
        <w:r w:rsidR="003A5CB4">
          <w:rPr>
            <w:noProof/>
            <w:webHidden/>
          </w:rPr>
          <w:tab/>
        </w:r>
        <w:r w:rsidR="0023117F">
          <w:rPr>
            <w:noProof/>
            <w:webHidden/>
          </w:rPr>
          <w:fldChar w:fldCharType="begin"/>
        </w:r>
        <w:r w:rsidR="0023117F">
          <w:rPr>
            <w:noProof/>
            <w:webHidden/>
          </w:rPr>
          <w:instrText xml:space="preserve"> PAGEREF _Toc402962838 \h </w:instrText>
        </w:r>
        <w:r w:rsidR="0023117F">
          <w:rPr>
            <w:noProof/>
            <w:webHidden/>
          </w:rPr>
        </w:r>
        <w:r w:rsidR="0023117F">
          <w:rPr>
            <w:noProof/>
            <w:webHidden/>
          </w:rPr>
          <w:fldChar w:fldCharType="separate"/>
        </w:r>
        <w:r>
          <w:rPr>
            <w:noProof/>
            <w:webHidden/>
          </w:rPr>
          <w:t>10</w:t>
        </w:r>
        <w:r w:rsidR="0023117F">
          <w:rPr>
            <w:noProof/>
            <w:webHidden/>
          </w:rPr>
          <w:fldChar w:fldCharType="end"/>
        </w:r>
      </w:hyperlink>
    </w:p>
    <w:p w:rsidR="0023117F" w:rsidRDefault="00570A41" w:rsidP="003A5CB4">
      <w:pPr>
        <w:pStyle w:val="TOC1"/>
        <w:keepNext/>
        <w:rPr>
          <w:rFonts w:asciiTheme="minorHAnsi" w:eastAsiaTheme="minorEastAsia" w:hAnsiTheme="minorHAnsi" w:cstheme="minorBidi"/>
          <w:noProof/>
          <w:sz w:val="22"/>
          <w:szCs w:val="22"/>
          <w:lang w:eastAsia="zh-CN"/>
        </w:rPr>
      </w:pPr>
      <w:hyperlink w:anchor="_Toc402962839" w:history="1">
        <w:r w:rsidR="0023117F" w:rsidRPr="005446B6">
          <w:rPr>
            <w:rStyle w:val="Hyperlink"/>
            <w:noProof/>
          </w:rPr>
          <w:t>6</w:t>
        </w:r>
        <w:r w:rsidR="0023117F">
          <w:rPr>
            <w:rFonts w:asciiTheme="minorHAnsi" w:eastAsiaTheme="minorEastAsia" w:hAnsiTheme="minorHAnsi" w:cstheme="minorBidi"/>
            <w:noProof/>
            <w:sz w:val="22"/>
            <w:szCs w:val="22"/>
            <w:lang w:eastAsia="zh-CN"/>
          </w:rPr>
          <w:tab/>
        </w:r>
        <w:r w:rsidR="0023117F" w:rsidRPr="005446B6">
          <w:rPr>
            <w:rStyle w:val="Hyperlink"/>
            <w:noProof/>
          </w:rPr>
          <w:t>Conclusion</w:t>
        </w:r>
        <w:r w:rsidR="0023117F">
          <w:rPr>
            <w:noProof/>
            <w:webHidden/>
          </w:rPr>
          <w:tab/>
        </w:r>
        <w:r w:rsidR="003A5CB4">
          <w:rPr>
            <w:noProof/>
            <w:webHidden/>
          </w:rPr>
          <w:tab/>
        </w:r>
        <w:r w:rsidR="0023117F">
          <w:rPr>
            <w:noProof/>
            <w:webHidden/>
          </w:rPr>
          <w:fldChar w:fldCharType="begin"/>
        </w:r>
        <w:r w:rsidR="0023117F">
          <w:rPr>
            <w:noProof/>
            <w:webHidden/>
          </w:rPr>
          <w:instrText xml:space="preserve"> PAGEREF _Toc402962839 \h </w:instrText>
        </w:r>
        <w:r w:rsidR="0023117F">
          <w:rPr>
            <w:noProof/>
            <w:webHidden/>
          </w:rPr>
        </w:r>
        <w:r w:rsidR="0023117F">
          <w:rPr>
            <w:noProof/>
            <w:webHidden/>
          </w:rPr>
          <w:fldChar w:fldCharType="separate"/>
        </w:r>
        <w:r>
          <w:rPr>
            <w:noProof/>
            <w:webHidden/>
          </w:rPr>
          <w:t>12</w:t>
        </w:r>
        <w:r w:rsidR="0023117F">
          <w:rPr>
            <w:noProof/>
            <w:webHidden/>
          </w:rPr>
          <w:fldChar w:fldCharType="end"/>
        </w:r>
      </w:hyperlink>
    </w:p>
    <w:p w:rsidR="0023117F" w:rsidRDefault="00570A41">
      <w:pPr>
        <w:pStyle w:val="TOC1"/>
        <w:rPr>
          <w:rFonts w:asciiTheme="minorHAnsi" w:eastAsiaTheme="minorEastAsia" w:hAnsiTheme="minorHAnsi" w:cstheme="minorBidi"/>
          <w:noProof/>
          <w:sz w:val="22"/>
          <w:szCs w:val="22"/>
          <w:lang w:eastAsia="zh-CN"/>
        </w:rPr>
      </w:pPr>
      <w:hyperlink w:anchor="_Toc402962840" w:history="1">
        <w:r w:rsidR="0023117F" w:rsidRPr="005446B6">
          <w:rPr>
            <w:rStyle w:val="Hyperlink"/>
            <w:noProof/>
          </w:rPr>
          <w:t xml:space="preserve">Annex 1 </w:t>
        </w:r>
        <w:r w:rsidR="003A5CB4">
          <w:rPr>
            <w:rStyle w:val="Hyperlink"/>
            <w:noProof/>
          </w:rPr>
          <w:t>–</w:t>
        </w:r>
        <w:r w:rsidR="0023117F" w:rsidRPr="005446B6">
          <w:rPr>
            <w:rStyle w:val="Hyperlink"/>
            <w:noProof/>
          </w:rPr>
          <w:t xml:space="preserve"> List of abbreviations</w:t>
        </w:r>
        <w:r w:rsidR="0023117F">
          <w:rPr>
            <w:noProof/>
            <w:webHidden/>
          </w:rPr>
          <w:tab/>
        </w:r>
        <w:r w:rsidR="003A5CB4">
          <w:rPr>
            <w:noProof/>
            <w:webHidden/>
          </w:rPr>
          <w:tab/>
        </w:r>
        <w:r w:rsidR="0023117F">
          <w:rPr>
            <w:noProof/>
            <w:webHidden/>
          </w:rPr>
          <w:fldChar w:fldCharType="begin"/>
        </w:r>
        <w:r w:rsidR="0023117F">
          <w:rPr>
            <w:noProof/>
            <w:webHidden/>
          </w:rPr>
          <w:instrText xml:space="preserve"> PAGEREF _Toc402962840 \h </w:instrText>
        </w:r>
        <w:r w:rsidR="0023117F">
          <w:rPr>
            <w:noProof/>
            <w:webHidden/>
          </w:rPr>
        </w:r>
        <w:r w:rsidR="0023117F">
          <w:rPr>
            <w:noProof/>
            <w:webHidden/>
          </w:rPr>
          <w:fldChar w:fldCharType="separate"/>
        </w:r>
        <w:r>
          <w:rPr>
            <w:noProof/>
            <w:webHidden/>
          </w:rPr>
          <w:t>13</w:t>
        </w:r>
        <w:r w:rsidR="0023117F">
          <w:rPr>
            <w:noProof/>
            <w:webHidden/>
          </w:rPr>
          <w:fldChar w:fldCharType="end"/>
        </w:r>
      </w:hyperlink>
    </w:p>
    <w:p w:rsidR="0063553E" w:rsidRPr="0063553E" w:rsidRDefault="0023117F" w:rsidP="0063553E">
      <w:pPr>
        <w:pStyle w:val="TOC1"/>
      </w:pPr>
      <w:r>
        <w:fldChar w:fldCharType="end"/>
      </w:r>
    </w:p>
    <w:p w:rsidR="001468CA" w:rsidRPr="001468CA" w:rsidRDefault="001468CA" w:rsidP="001468CA">
      <w:pPr>
        <w:pStyle w:val="Heading1"/>
        <w:rPr>
          <w:lang w:val="en-US"/>
        </w:rPr>
      </w:pPr>
      <w:bookmarkStart w:id="5" w:name="_Toc400363514"/>
      <w:bookmarkStart w:id="6" w:name="_Toc402962816"/>
      <w:r w:rsidRPr="001468CA">
        <w:rPr>
          <w:lang w:val="en-US"/>
        </w:rPr>
        <w:lastRenderedPageBreak/>
        <w:t>1</w:t>
      </w:r>
      <w:r w:rsidRPr="001468CA">
        <w:rPr>
          <w:lang w:val="en-US"/>
        </w:rPr>
        <w:tab/>
        <w:t>Introduction</w:t>
      </w:r>
      <w:bookmarkEnd w:id="5"/>
      <w:bookmarkEnd w:id="6"/>
    </w:p>
    <w:p w:rsidR="001468CA" w:rsidRPr="001468CA" w:rsidRDefault="001468CA" w:rsidP="009526F2">
      <w:pPr>
        <w:rPr>
          <w:lang w:val="en-US"/>
        </w:rPr>
      </w:pPr>
      <w:r w:rsidRPr="001468CA">
        <w:rPr>
          <w:lang w:val="en-US"/>
        </w:rPr>
        <w:t xml:space="preserve">ITU-R approved Question </w:t>
      </w:r>
      <w:r w:rsidRPr="009526F2">
        <w:rPr>
          <w:lang w:val="en-US"/>
        </w:rPr>
        <w:t>ITU-R 254/7</w:t>
      </w:r>
      <w:r w:rsidRPr="001468CA">
        <w:rPr>
          <w:lang w:val="en-US"/>
        </w:rPr>
        <w:t xml:space="preserve"> </w:t>
      </w:r>
      <w:r w:rsidR="009526F2">
        <w:rPr>
          <w:lang w:val="en-US"/>
        </w:rPr>
        <w:t xml:space="preserve">– </w:t>
      </w:r>
      <w:r w:rsidRPr="001468CA">
        <w:rPr>
          <w:lang w:val="en-US"/>
        </w:rPr>
        <w:t xml:space="preserve">Characteristics and spectrum requirements of satellite systems using nano and picosatellites. In this Question, the Radiocommunication Assembly </w:t>
      </w:r>
      <w:r w:rsidRPr="001468CA">
        <w:rPr>
          <w:i/>
          <w:lang w:val="en-US"/>
        </w:rPr>
        <w:t>decides</w:t>
      </w:r>
      <w:r w:rsidRPr="001468CA">
        <w:rPr>
          <w:lang w:val="en-US"/>
        </w:rPr>
        <w:t xml:space="preserve"> </w:t>
      </w:r>
      <w:r w:rsidRPr="001468CA">
        <w:rPr>
          <w:iCs/>
          <w:lang w:val="en-US"/>
        </w:rPr>
        <w:t>that the following Questions should be studied</w:t>
      </w:r>
      <w:r w:rsidRPr="001468CA">
        <w:rPr>
          <w:lang w:val="en-US"/>
        </w:rPr>
        <w:t>:</w:t>
      </w:r>
    </w:p>
    <w:p w:rsidR="001468CA" w:rsidRPr="001468CA" w:rsidRDefault="001468CA" w:rsidP="009526F2">
      <w:pPr>
        <w:rPr>
          <w:lang w:val="en-US"/>
        </w:rPr>
      </w:pPr>
      <w:r w:rsidRPr="001468CA">
        <w:rPr>
          <w:lang w:val="en-US"/>
        </w:rPr>
        <w:t>1</w:t>
      </w:r>
      <w:r w:rsidRPr="001468CA">
        <w:rPr>
          <w:b/>
          <w:bCs/>
          <w:lang w:val="en-US"/>
        </w:rPr>
        <w:tab/>
      </w:r>
      <w:r w:rsidRPr="001468CA">
        <w:rPr>
          <w:bCs/>
          <w:lang w:val="en-US"/>
        </w:rPr>
        <w:t>What</w:t>
      </w:r>
      <w:r w:rsidRPr="001468CA">
        <w:rPr>
          <w:b/>
          <w:bCs/>
          <w:lang w:val="en-US"/>
        </w:rPr>
        <w:t xml:space="preserve"> </w:t>
      </w:r>
      <w:r w:rsidRPr="001468CA">
        <w:rPr>
          <w:lang w:val="en-US"/>
        </w:rPr>
        <w:t>are the distinctive characteristics of nano and picosatellites and satellite systems in terms of their use of the radio spectrum as defined by data rates, transmissions time and bandwidths?</w:t>
      </w:r>
    </w:p>
    <w:p w:rsidR="001468CA" w:rsidRPr="001468CA" w:rsidRDefault="001468CA" w:rsidP="009526F2">
      <w:pPr>
        <w:rPr>
          <w:lang w:val="en-US"/>
        </w:rPr>
      </w:pPr>
      <w:r w:rsidRPr="001468CA">
        <w:rPr>
          <w:lang w:val="en-US"/>
        </w:rPr>
        <w:t>2</w:t>
      </w:r>
      <w:r w:rsidRPr="001468CA">
        <w:rPr>
          <w:lang w:val="en-US"/>
        </w:rPr>
        <w:tab/>
        <w:t>Taking into account such distinctive characteristics, what are the spectrum requirements for nano and picosatellite systems?</w:t>
      </w:r>
    </w:p>
    <w:p w:rsidR="001468CA" w:rsidRPr="001468CA" w:rsidRDefault="001468CA" w:rsidP="009526F2">
      <w:pPr>
        <w:rPr>
          <w:b/>
          <w:lang w:val="en-US"/>
        </w:rPr>
      </w:pPr>
      <w:r w:rsidRPr="001468CA">
        <w:rPr>
          <w:lang w:val="en-US"/>
        </w:rPr>
        <w:t>3</w:t>
      </w:r>
      <w:r w:rsidRPr="001468CA">
        <w:rPr>
          <w:lang w:val="en-US"/>
        </w:rPr>
        <w:tab/>
        <w:t>Under which radiocommunication services can satellite systems using nano and picosatellites operate?</w:t>
      </w:r>
    </w:p>
    <w:p w:rsidR="001468CA" w:rsidRPr="001468CA" w:rsidRDefault="001468CA" w:rsidP="009526F2">
      <w:pPr>
        <w:rPr>
          <w:lang w:val="en-US"/>
        </w:rPr>
      </w:pPr>
      <w:r w:rsidRPr="001468CA">
        <w:rPr>
          <w:lang w:val="en-US"/>
        </w:rPr>
        <w:t>The space research, Earth exploration, amateur, and educational communities, like other communities focused on leveraging space-based radiocommunication technologies, have an interest in utilizing the potential benefits offered by small satellites, including those referred to as nanosatellites or picosatellites. These technologies allow many projects to be developed quickly and deployed with lower cost than with traditional, larger satellites. While even the most advanced nanosatellites are typically no more than a few million United States Dollars (USD), the smallest missions may have a total developmental and operational budget (excluding launch and ground infrastructure) of only a few tens of thousands of USD</w:t>
      </w:r>
      <w:r w:rsidR="009526F2">
        <w:rPr>
          <w:rStyle w:val="FootnoteReference"/>
          <w:lang w:val="en-US"/>
        </w:rPr>
        <w:footnoteReference w:id="1"/>
      </w:r>
      <w:r w:rsidRPr="001468CA">
        <w:rPr>
          <w:lang w:val="en-US"/>
        </w:rPr>
        <w:t>. Nanosatellites and picosatellites also provide a means for testing emerging technologies and economical commercial off-the-shelf (COTS) components that may be useful in future space missions, including those utilizing larger satellite platforms. They offer new opportunities for existing and new satellite operators, such as universities, educational institutes, governments, and private industry that might not otherwise have considered or been able to afford the use of satellite technologies. They have been demonstrated in a variety of practical applications, including Earth observation, space astronomy, space physics, and maritime communications. Recent proposals for the use of nanosatellites and picosatellites include solar system exploration, interplanetary and even outer solar system missions.</w:t>
      </w:r>
    </w:p>
    <w:p w:rsidR="001468CA" w:rsidRPr="001468CA" w:rsidRDefault="001468CA" w:rsidP="001468CA">
      <w:pPr>
        <w:rPr>
          <w:lang w:val="en-US"/>
        </w:rPr>
      </w:pPr>
      <w:r w:rsidRPr="001468CA">
        <w:rPr>
          <w:lang w:val="en-US"/>
        </w:rPr>
        <w:t>In this Report, the distinctive characteristics of nanosatellites and picosatellites are identified, in response to Question ITU-R 254/7. Furthermore, their spectrum requirements are studied. Finally, the radiocommunication services under which these satellites could operate are identified.</w:t>
      </w:r>
    </w:p>
    <w:p w:rsidR="001468CA" w:rsidRPr="001468CA" w:rsidRDefault="001468CA" w:rsidP="001468CA">
      <w:pPr>
        <w:pStyle w:val="Heading1"/>
        <w:rPr>
          <w:lang w:val="en-US"/>
        </w:rPr>
      </w:pPr>
      <w:bookmarkStart w:id="7" w:name="_Toc400363515"/>
      <w:bookmarkStart w:id="8" w:name="_Toc402962817"/>
      <w:r w:rsidRPr="001468CA">
        <w:rPr>
          <w:lang w:val="en-US"/>
        </w:rPr>
        <w:t>2</w:t>
      </w:r>
      <w:r w:rsidRPr="001468CA">
        <w:rPr>
          <w:lang w:val="en-US"/>
        </w:rPr>
        <w:tab/>
        <w:t>Characteristics of small satellites</w:t>
      </w:r>
      <w:bookmarkEnd w:id="7"/>
      <w:bookmarkEnd w:id="8"/>
    </w:p>
    <w:p w:rsidR="001468CA" w:rsidRDefault="001468CA" w:rsidP="001468CA">
      <w:pPr>
        <w:rPr>
          <w:sz w:val="20"/>
          <w:lang w:val="en-US"/>
        </w:rPr>
      </w:pPr>
      <w:r w:rsidRPr="001468CA">
        <w:rPr>
          <w:lang w:val="en-US"/>
        </w:rPr>
        <w:t xml:space="preserve">To carry out the studies related to the Question the class of objects to which the studies apply, as opposed to all satellites, needs to be established. A convenient way to classify satellites is by their mass. </w:t>
      </w:r>
      <w:r w:rsidRPr="001468CA">
        <w:rPr>
          <w:szCs w:val="24"/>
          <w:lang w:val="en-US"/>
        </w:rPr>
        <w:t>Satellites that weigh less than ~ 500 kg are often referred to as small satellites; they can be further classified as shown in Table 1:</w:t>
      </w:r>
    </w:p>
    <w:p w:rsidR="001468CA" w:rsidRPr="00F07E29" w:rsidRDefault="001468CA" w:rsidP="001468CA">
      <w:pPr>
        <w:pStyle w:val="TableNo"/>
        <w:rPr>
          <w:caps/>
          <w:lang w:val="en-US"/>
        </w:rPr>
      </w:pPr>
      <w:r w:rsidRPr="00F07E29">
        <w:rPr>
          <w:lang w:val="en-US"/>
        </w:rPr>
        <w:lastRenderedPageBreak/>
        <w:t>TABLE 1</w:t>
      </w:r>
    </w:p>
    <w:p w:rsidR="001468CA" w:rsidRDefault="001468CA" w:rsidP="001468CA">
      <w:pPr>
        <w:pStyle w:val="Tabletitle"/>
        <w:rPr>
          <w:lang w:val="en-US"/>
        </w:rPr>
      </w:pPr>
      <w:r>
        <w:rPr>
          <w:lang w:val="en-US"/>
        </w:rPr>
        <w:t xml:space="preserve">Typical characteristics </w:t>
      </w:r>
      <w:r w:rsidRPr="00F07E29">
        <w:rPr>
          <w:lang w:val="en-US"/>
        </w:rPr>
        <w:t xml:space="preserve">of small satellites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002"/>
        <w:gridCol w:w="1164"/>
        <w:gridCol w:w="1189"/>
        <w:gridCol w:w="1270"/>
        <w:gridCol w:w="1451"/>
        <w:gridCol w:w="904"/>
        <w:gridCol w:w="1110"/>
      </w:tblGrid>
      <w:tr w:rsidR="001468CA" w:rsidRPr="009526F2" w:rsidTr="009526F2">
        <w:trPr>
          <w:jc w:val="center"/>
        </w:trPr>
        <w:tc>
          <w:tcPr>
            <w:tcW w:w="1521" w:type="dxa"/>
            <w:vAlign w:val="center"/>
          </w:tcPr>
          <w:p w:rsidR="001468CA" w:rsidRPr="00C109DC" w:rsidRDefault="001468CA" w:rsidP="009526F2">
            <w:pPr>
              <w:pStyle w:val="Tablehead"/>
            </w:pPr>
            <w:r w:rsidRPr="00C109DC">
              <w:t>Denomination</w:t>
            </w:r>
          </w:p>
        </w:tc>
        <w:tc>
          <w:tcPr>
            <w:tcW w:w="1032" w:type="dxa"/>
          </w:tcPr>
          <w:p w:rsidR="001468CA" w:rsidRPr="00C109DC" w:rsidRDefault="001468CA" w:rsidP="0023117F">
            <w:pPr>
              <w:pStyle w:val="Tablehead"/>
            </w:pPr>
            <w:r w:rsidRPr="00C109DC">
              <w:t>Mass (kg)</w:t>
            </w:r>
          </w:p>
        </w:tc>
        <w:tc>
          <w:tcPr>
            <w:tcW w:w="1200" w:type="dxa"/>
          </w:tcPr>
          <w:p w:rsidR="001468CA" w:rsidRPr="00C109DC" w:rsidRDefault="001468CA" w:rsidP="009526F2">
            <w:pPr>
              <w:pStyle w:val="Tablehead"/>
            </w:pPr>
            <w:r w:rsidRPr="00C109DC">
              <w:t xml:space="preserve">Max. </w:t>
            </w:r>
            <w:r w:rsidR="009526F2">
              <w:t>b</w:t>
            </w:r>
            <w:r w:rsidRPr="00C109DC">
              <w:t xml:space="preserve">us </w:t>
            </w:r>
            <w:r w:rsidR="009526F2">
              <w:t>p</w:t>
            </w:r>
            <w:r w:rsidRPr="00C109DC">
              <w:t>ower (W)</w:t>
            </w:r>
          </w:p>
        </w:tc>
        <w:tc>
          <w:tcPr>
            <w:tcW w:w="1216" w:type="dxa"/>
          </w:tcPr>
          <w:p w:rsidR="001468CA" w:rsidRPr="00C109DC" w:rsidRDefault="001468CA" w:rsidP="009526F2">
            <w:pPr>
              <w:pStyle w:val="Tablehead"/>
            </w:pPr>
            <w:r w:rsidRPr="00C109DC">
              <w:t xml:space="preserve">Typical </w:t>
            </w:r>
            <w:r w:rsidR="009526F2">
              <w:t>c</w:t>
            </w:r>
            <w:r w:rsidRPr="00C109DC">
              <w:t>ost (US</w:t>
            </w:r>
            <w:r>
              <w:t>D</w:t>
            </w:r>
            <w:r w:rsidRPr="00C109DC">
              <w:t>)</w:t>
            </w:r>
          </w:p>
        </w:tc>
        <w:tc>
          <w:tcPr>
            <w:tcW w:w="1270" w:type="dxa"/>
          </w:tcPr>
          <w:p w:rsidR="001468CA" w:rsidRPr="00C109DC" w:rsidRDefault="001468CA" w:rsidP="0023117F">
            <w:pPr>
              <w:pStyle w:val="Tablehead"/>
            </w:pPr>
            <w:r w:rsidRPr="00C109DC">
              <w:t>M</w:t>
            </w:r>
            <w:r w:rsidR="009526F2">
              <w:t>ax. d</w:t>
            </w:r>
            <w:r w:rsidRPr="00C109DC">
              <w:t>imensions (m)</w:t>
            </w:r>
          </w:p>
        </w:tc>
        <w:tc>
          <w:tcPr>
            <w:tcW w:w="1338" w:type="dxa"/>
          </w:tcPr>
          <w:p w:rsidR="001468CA" w:rsidRPr="009526F2" w:rsidRDefault="009526F2" w:rsidP="0023117F">
            <w:pPr>
              <w:pStyle w:val="Tablehead"/>
              <w:rPr>
                <w:lang w:val="en-US"/>
              </w:rPr>
            </w:pPr>
            <w:r w:rsidRPr="009526F2">
              <w:rPr>
                <w:lang w:val="en-US"/>
              </w:rPr>
              <w:t>Development t</w:t>
            </w:r>
            <w:r w:rsidR="001468CA" w:rsidRPr="009526F2">
              <w:rPr>
                <w:lang w:val="en-US"/>
              </w:rPr>
              <w:t xml:space="preserve">ime </w:t>
            </w:r>
            <w:r w:rsidRPr="009526F2">
              <w:rPr>
                <w:lang w:val="en-US"/>
              </w:rPr>
              <w:br/>
            </w:r>
            <w:r w:rsidR="001468CA" w:rsidRPr="009526F2">
              <w:rPr>
                <w:lang w:val="en-US"/>
              </w:rPr>
              <w:t>(years)</w:t>
            </w:r>
          </w:p>
        </w:tc>
        <w:tc>
          <w:tcPr>
            <w:tcW w:w="913" w:type="dxa"/>
          </w:tcPr>
          <w:p w:rsidR="001468CA" w:rsidRPr="009526F2" w:rsidRDefault="001468CA" w:rsidP="0023117F">
            <w:pPr>
              <w:pStyle w:val="Tablehead"/>
              <w:rPr>
                <w:lang w:val="en-US"/>
              </w:rPr>
            </w:pPr>
            <w:r w:rsidRPr="009526F2">
              <w:rPr>
                <w:lang w:val="en-US"/>
              </w:rPr>
              <w:t>Orbit</w:t>
            </w:r>
          </w:p>
        </w:tc>
        <w:tc>
          <w:tcPr>
            <w:tcW w:w="1118" w:type="dxa"/>
          </w:tcPr>
          <w:p w:rsidR="001468CA" w:rsidRPr="009526F2" w:rsidRDefault="001468CA" w:rsidP="009526F2">
            <w:pPr>
              <w:pStyle w:val="Tablehead"/>
              <w:rPr>
                <w:lang w:val="en-US"/>
              </w:rPr>
            </w:pPr>
            <w:r w:rsidRPr="009526F2">
              <w:rPr>
                <w:lang w:val="en-US"/>
              </w:rPr>
              <w:t xml:space="preserve">Mission </w:t>
            </w:r>
            <w:r w:rsidR="009526F2">
              <w:rPr>
                <w:lang w:val="en-US"/>
              </w:rPr>
              <w:t>d</w:t>
            </w:r>
            <w:r w:rsidRPr="009526F2">
              <w:rPr>
                <w:lang w:val="en-US"/>
              </w:rPr>
              <w:t>uration (years)</w:t>
            </w:r>
          </w:p>
        </w:tc>
      </w:tr>
      <w:tr w:rsidR="001468CA" w:rsidRPr="009526F2" w:rsidTr="009526F2">
        <w:trPr>
          <w:jc w:val="center"/>
        </w:trPr>
        <w:tc>
          <w:tcPr>
            <w:tcW w:w="1521" w:type="dxa"/>
          </w:tcPr>
          <w:p w:rsidR="001468CA" w:rsidRPr="009526F2" w:rsidRDefault="001468CA" w:rsidP="0023117F">
            <w:pPr>
              <w:pStyle w:val="Tabletext"/>
              <w:jc w:val="center"/>
              <w:rPr>
                <w:lang w:val="en-US"/>
              </w:rPr>
            </w:pPr>
            <w:r w:rsidRPr="009526F2">
              <w:rPr>
                <w:lang w:val="en-US"/>
              </w:rPr>
              <w:t>Minisatellite</w:t>
            </w:r>
          </w:p>
        </w:tc>
        <w:tc>
          <w:tcPr>
            <w:tcW w:w="1032" w:type="dxa"/>
          </w:tcPr>
          <w:p w:rsidR="001468CA" w:rsidRPr="009526F2" w:rsidRDefault="001468CA" w:rsidP="0023117F">
            <w:pPr>
              <w:pStyle w:val="Tabletext"/>
              <w:jc w:val="center"/>
              <w:rPr>
                <w:lang w:val="en-US"/>
              </w:rPr>
            </w:pPr>
            <w:r w:rsidRPr="009526F2">
              <w:rPr>
                <w:lang w:val="en-US"/>
              </w:rPr>
              <w:t>100-500</w:t>
            </w:r>
          </w:p>
        </w:tc>
        <w:tc>
          <w:tcPr>
            <w:tcW w:w="1200" w:type="dxa"/>
          </w:tcPr>
          <w:p w:rsidR="001468CA" w:rsidRPr="009526F2" w:rsidRDefault="001468CA" w:rsidP="0023117F">
            <w:pPr>
              <w:pStyle w:val="Tabletext"/>
              <w:jc w:val="center"/>
              <w:rPr>
                <w:lang w:val="en-US"/>
              </w:rPr>
            </w:pPr>
            <w:r w:rsidRPr="009526F2">
              <w:rPr>
                <w:lang w:val="en-US"/>
              </w:rPr>
              <w:t>1 000</w:t>
            </w:r>
          </w:p>
        </w:tc>
        <w:tc>
          <w:tcPr>
            <w:tcW w:w="1216" w:type="dxa"/>
          </w:tcPr>
          <w:p w:rsidR="001468CA" w:rsidRPr="009526F2" w:rsidRDefault="001468CA" w:rsidP="0023117F">
            <w:pPr>
              <w:pStyle w:val="Tabletext"/>
              <w:jc w:val="center"/>
              <w:rPr>
                <w:lang w:val="en-US"/>
              </w:rPr>
            </w:pPr>
            <w:r w:rsidRPr="009526F2">
              <w:rPr>
                <w:lang w:val="en-US"/>
              </w:rPr>
              <w:t>30-200 M</w:t>
            </w:r>
          </w:p>
        </w:tc>
        <w:tc>
          <w:tcPr>
            <w:tcW w:w="1270" w:type="dxa"/>
          </w:tcPr>
          <w:p w:rsidR="001468CA" w:rsidRPr="009526F2" w:rsidRDefault="001468CA" w:rsidP="0023117F">
            <w:pPr>
              <w:pStyle w:val="Tabletext"/>
              <w:jc w:val="center"/>
              <w:rPr>
                <w:lang w:val="en-US"/>
              </w:rPr>
            </w:pPr>
            <w:r w:rsidRPr="009526F2">
              <w:rPr>
                <w:lang w:val="en-US"/>
              </w:rPr>
              <w:t>3-10</w:t>
            </w:r>
          </w:p>
        </w:tc>
        <w:tc>
          <w:tcPr>
            <w:tcW w:w="1338" w:type="dxa"/>
          </w:tcPr>
          <w:p w:rsidR="001468CA" w:rsidRPr="009526F2" w:rsidRDefault="001468CA" w:rsidP="0023117F">
            <w:pPr>
              <w:pStyle w:val="Tabletext"/>
              <w:jc w:val="center"/>
              <w:rPr>
                <w:lang w:val="en-US"/>
              </w:rPr>
            </w:pPr>
            <w:r w:rsidRPr="009526F2">
              <w:rPr>
                <w:lang w:val="en-US"/>
              </w:rPr>
              <w:t>3-10</w:t>
            </w:r>
          </w:p>
        </w:tc>
        <w:tc>
          <w:tcPr>
            <w:tcW w:w="913" w:type="dxa"/>
          </w:tcPr>
          <w:p w:rsidR="001468CA" w:rsidRPr="009526F2" w:rsidRDefault="001468CA" w:rsidP="0023117F">
            <w:pPr>
              <w:pStyle w:val="Tabletext"/>
              <w:jc w:val="center"/>
              <w:rPr>
                <w:lang w:val="en-US"/>
              </w:rPr>
            </w:pPr>
            <w:r w:rsidRPr="009526F2">
              <w:rPr>
                <w:lang w:val="en-US"/>
              </w:rPr>
              <w:t>GEO</w:t>
            </w:r>
          </w:p>
          <w:p w:rsidR="001468CA" w:rsidRPr="009526F2" w:rsidRDefault="001468CA" w:rsidP="0023117F">
            <w:pPr>
              <w:pStyle w:val="Tabletext"/>
              <w:jc w:val="center"/>
              <w:rPr>
                <w:lang w:val="en-US"/>
              </w:rPr>
            </w:pPr>
            <w:r w:rsidRPr="009526F2">
              <w:rPr>
                <w:lang w:val="en-US"/>
              </w:rPr>
              <w:t>MEO</w:t>
            </w:r>
          </w:p>
          <w:p w:rsidR="001468CA" w:rsidRPr="009526F2" w:rsidRDefault="001468CA" w:rsidP="0023117F">
            <w:pPr>
              <w:pStyle w:val="Tabletext"/>
              <w:jc w:val="center"/>
              <w:rPr>
                <w:lang w:val="en-US"/>
              </w:rPr>
            </w:pPr>
            <w:r w:rsidRPr="009526F2">
              <w:rPr>
                <w:lang w:val="en-US"/>
              </w:rPr>
              <w:t>LEO</w:t>
            </w:r>
          </w:p>
          <w:p w:rsidR="001468CA" w:rsidRPr="009526F2" w:rsidRDefault="001468CA" w:rsidP="0023117F">
            <w:pPr>
              <w:pStyle w:val="Tabletext"/>
              <w:jc w:val="center"/>
              <w:rPr>
                <w:lang w:val="en-US"/>
              </w:rPr>
            </w:pPr>
            <w:r w:rsidRPr="009526F2">
              <w:rPr>
                <w:lang w:val="en-US"/>
              </w:rPr>
              <w:t>HEO</w:t>
            </w:r>
          </w:p>
        </w:tc>
        <w:tc>
          <w:tcPr>
            <w:tcW w:w="1118" w:type="dxa"/>
          </w:tcPr>
          <w:p w:rsidR="001468CA" w:rsidRPr="009526F2" w:rsidRDefault="001468CA" w:rsidP="0023117F">
            <w:pPr>
              <w:pStyle w:val="Tabletext"/>
              <w:jc w:val="center"/>
              <w:rPr>
                <w:lang w:val="en-US"/>
              </w:rPr>
            </w:pPr>
            <w:r w:rsidRPr="009526F2">
              <w:rPr>
                <w:lang w:val="en-US"/>
              </w:rPr>
              <w:t>5-10</w:t>
            </w:r>
          </w:p>
        </w:tc>
      </w:tr>
      <w:tr w:rsidR="001468CA" w:rsidRPr="00745CCF" w:rsidTr="009526F2">
        <w:trPr>
          <w:jc w:val="center"/>
        </w:trPr>
        <w:tc>
          <w:tcPr>
            <w:tcW w:w="1521" w:type="dxa"/>
          </w:tcPr>
          <w:p w:rsidR="001468CA" w:rsidRPr="009526F2" w:rsidRDefault="001468CA" w:rsidP="0023117F">
            <w:pPr>
              <w:pStyle w:val="Tabletext"/>
              <w:jc w:val="center"/>
              <w:rPr>
                <w:lang w:val="en-US"/>
              </w:rPr>
            </w:pPr>
            <w:r w:rsidRPr="009526F2">
              <w:rPr>
                <w:lang w:val="en-US"/>
              </w:rPr>
              <w:t>Microsatellite</w:t>
            </w:r>
          </w:p>
        </w:tc>
        <w:tc>
          <w:tcPr>
            <w:tcW w:w="1032" w:type="dxa"/>
          </w:tcPr>
          <w:p w:rsidR="001468CA" w:rsidRPr="009526F2" w:rsidRDefault="001468CA" w:rsidP="0023117F">
            <w:pPr>
              <w:pStyle w:val="Tabletext"/>
              <w:jc w:val="center"/>
              <w:rPr>
                <w:lang w:val="en-US"/>
              </w:rPr>
            </w:pPr>
            <w:r w:rsidRPr="009526F2">
              <w:rPr>
                <w:lang w:val="en-US"/>
              </w:rPr>
              <w:t>10-100</w:t>
            </w:r>
          </w:p>
        </w:tc>
        <w:tc>
          <w:tcPr>
            <w:tcW w:w="1200" w:type="dxa"/>
          </w:tcPr>
          <w:p w:rsidR="001468CA" w:rsidRPr="009526F2" w:rsidRDefault="001468CA" w:rsidP="0023117F">
            <w:pPr>
              <w:pStyle w:val="Tabletext"/>
              <w:jc w:val="center"/>
              <w:rPr>
                <w:lang w:val="en-US"/>
              </w:rPr>
            </w:pPr>
            <w:r w:rsidRPr="009526F2">
              <w:rPr>
                <w:lang w:val="en-US"/>
              </w:rPr>
              <w:t>150</w:t>
            </w:r>
          </w:p>
        </w:tc>
        <w:tc>
          <w:tcPr>
            <w:tcW w:w="1216" w:type="dxa"/>
          </w:tcPr>
          <w:p w:rsidR="001468CA" w:rsidRPr="00C109DC" w:rsidRDefault="001468CA" w:rsidP="0023117F">
            <w:pPr>
              <w:pStyle w:val="Tabletext"/>
              <w:jc w:val="center"/>
            </w:pPr>
            <w:r w:rsidRPr="00C109DC">
              <w:t>10-150 M</w:t>
            </w:r>
          </w:p>
        </w:tc>
        <w:tc>
          <w:tcPr>
            <w:tcW w:w="1270" w:type="dxa"/>
          </w:tcPr>
          <w:p w:rsidR="001468CA" w:rsidRPr="00C109DC" w:rsidRDefault="001468CA" w:rsidP="0023117F">
            <w:pPr>
              <w:pStyle w:val="Tabletext"/>
              <w:jc w:val="center"/>
            </w:pPr>
            <w:r w:rsidRPr="00C109DC">
              <w:t>1-5</w:t>
            </w:r>
          </w:p>
        </w:tc>
        <w:tc>
          <w:tcPr>
            <w:tcW w:w="1338" w:type="dxa"/>
          </w:tcPr>
          <w:p w:rsidR="001468CA" w:rsidRPr="00C109DC" w:rsidRDefault="001468CA" w:rsidP="0023117F">
            <w:pPr>
              <w:pStyle w:val="Tabletext"/>
              <w:jc w:val="center"/>
            </w:pPr>
            <w:r w:rsidRPr="00C109DC">
              <w:t>2-5</w:t>
            </w:r>
          </w:p>
        </w:tc>
        <w:tc>
          <w:tcPr>
            <w:tcW w:w="913" w:type="dxa"/>
            <w:vMerge w:val="restart"/>
            <w:vAlign w:val="center"/>
          </w:tcPr>
          <w:p w:rsidR="001468CA" w:rsidRPr="00C109DC" w:rsidRDefault="001468CA" w:rsidP="009526F2">
            <w:pPr>
              <w:pStyle w:val="Tabletext"/>
              <w:jc w:val="center"/>
            </w:pPr>
            <w:r w:rsidRPr="00C109DC">
              <w:t>LEO</w:t>
            </w:r>
          </w:p>
          <w:p w:rsidR="001468CA" w:rsidRPr="00C109DC" w:rsidRDefault="001468CA" w:rsidP="009526F2">
            <w:pPr>
              <w:pStyle w:val="Tabletext"/>
              <w:jc w:val="center"/>
            </w:pPr>
            <w:r w:rsidRPr="00C109DC">
              <w:t>(HEO)</w:t>
            </w:r>
          </w:p>
        </w:tc>
        <w:tc>
          <w:tcPr>
            <w:tcW w:w="1118" w:type="dxa"/>
          </w:tcPr>
          <w:p w:rsidR="001468CA" w:rsidRPr="00C109DC" w:rsidRDefault="001468CA" w:rsidP="0023117F">
            <w:pPr>
              <w:pStyle w:val="Tabletext"/>
              <w:jc w:val="center"/>
            </w:pPr>
            <w:r w:rsidRPr="00C109DC">
              <w:t>2-6</w:t>
            </w:r>
          </w:p>
        </w:tc>
      </w:tr>
      <w:tr w:rsidR="001468CA" w:rsidRPr="00745CCF" w:rsidTr="009526F2">
        <w:trPr>
          <w:jc w:val="center"/>
        </w:trPr>
        <w:tc>
          <w:tcPr>
            <w:tcW w:w="1521" w:type="dxa"/>
          </w:tcPr>
          <w:p w:rsidR="001468CA" w:rsidRPr="00C109DC" w:rsidRDefault="001468CA" w:rsidP="0023117F">
            <w:pPr>
              <w:pStyle w:val="Tabletext"/>
              <w:jc w:val="center"/>
            </w:pPr>
            <w:r w:rsidRPr="00C109DC">
              <w:t>Nanosatellite</w:t>
            </w:r>
          </w:p>
        </w:tc>
        <w:tc>
          <w:tcPr>
            <w:tcW w:w="1032" w:type="dxa"/>
          </w:tcPr>
          <w:p w:rsidR="001468CA" w:rsidRPr="00C109DC" w:rsidRDefault="001468CA" w:rsidP="0023117F">
            <w:pPr>
              <w:pStyle w:val="Tabletext"/>
              <w:jc w:val="center"/>
            </w:pPr>
            <w:r w:rsidRPr="00C109DC">
              <w:t>1-10</w:t>
            </w:r>
          </w:p>
        </w:tc>
        <w:tc>
          <w:tcPr>
            <w:tcW w:w="1200" w:type="dxa"/>
          </w:tcPr>
          <w:p w:rsidR="001468CA" w:rsidRPr="00C109DC" w:rsidRDefault="001468CA" w:rsidP="0023117F">
            <w:pPr>
              <w:pStyle w:val="Tabletext"/>
              <w:jc w:val="center"/>
            </w:pPr>
            <w:r w:rsidRPr="00C109DC">
              <w:t>20</w:t>
            </w:r>
          </w:p>
        </w:tc>
        <w:tc>
          <w:tcPr>
            <w:tcW w:w="1216" w:type="dxa"/>
          </w:tcPr>
          <w:p w:rsidR="001468CA" w:rsidRPr="00C109DC" w:rsidRDefault="001468CA" w:rsidP="0023117F">
            <w:pPr>
              <w:pStyle w:val="Tabletext"/>
              <w:jc w:val="center"/>
            </w:pPr>
            <w:r w:rsidRPr="00C109DC">
              <w:t>100 k-10 M</w:t>
            </w:r>
          </w:p>
        </w:tc>
        <w:tc>
          <w:tcPr>
            <w:tcW w:w="1270" w:type="dxa"/>
          </w:tcPr>
          <w:p w:rsidR="001468CA" w:rsidRPr="00C109DC" w:rsidRDefault="001468CA" w:rsidP="0023117F">
            <w:pPr>
              <w:pStyle w:val="Tabletext"/>
              <w:jc w:val="center"/>
            </w:pPr>
            <w:r w:rsidRPr="00C109DC">
              <w:t>0</w:t>
            </w:r>
            <w:r>
              <w:t>.</w:t>
            </w:r>
            <w:r w:rsidRPr="00C109DC">
              <w:t>1-1</w:t>
            </w:r>
          </w:p>
        </w:tc>
        <w:tc>
          <w:tcPr>
            <w:tcW w:w="1338" w:type="dxa"/>
            <w:vMerge w:val="restart"/>
            <w:vAlign w:val="center"/>
          </w:tcPr>
          <w:p w:rsidR="001468CA" w:rsidRPr="00C109DC" w:rsidRDefault="001468CA" w:rsidP="009526F2">
            <w:pPr>
              <w:pStyle w:val="Tabletext"/>
              <w:jc w:val="center"/>
            </w:pPr>
            <w:r w:rsidRPr="00C109DC">
              <w:t>1-3</w:t>
            </w:r>
          </w:p>
        </w:tc>
        <w:tc>
          <w:tcPr>
            <w:tcW w:w="913" w:type="dxa"/>
            <w:vMerge/>
          </w:tcPr>
          <w:p w:rsidR="001468CA" w:rsidRPr="00C109DC" w:rsidRDefault="001468CA" w:rsidP="0023117F">
            <w:pPr>
              <w:pStyle w:val="Tabletext"/>
              <w:jc w:val="center"/>
            </w:pPr>
          </w:p>
        </w:tc>
        <w:tc>
          <w:tcPr>
            <w:tcW w:w="1118" w:type="dxa"/>
            <w:vMerge w:val="restart"/>
          </w:tcPr>
          <w:p w:rsidR="001468CA" w:rsidRPr="00C109DC" w:rsidRDefault="001468CA" w:rsidP="0023117F">
            <w:pPr>
              <w:pStyle w:val="Tabletext"/>
              <w:jc w:val="center"/>
            </w:pPr>
            <w:r w:rsidRPr="00C109DC">
              <w:t>1-3</w:t>
            </w:r>
          </w:p>
        </w:tc>
      </w:tr>
      <w:tr w:rsidR="001468CA" w:rsidRPr="00745CCF" w:rsidTr="009526F2">
        <w:trPr>
          <w:jc w:val="center"/>
        </w:trPr>
        <w:tc>
          <w:tcPr>
            <w:tcW w:w="1521" w:type="dxa"/>
          </w:tcPr>
          <w:p w:rsidR="001468CA" w:rsidRPr="00C109DC" w:rsidRDefault="001468CA" w:rsidP="0023117F">
            <w:pPr>
              <w:pStyle w:val="Tabletext"/>
              <w:jc w:val="center"/>
            </w:pPr>
            <w:r w:rsidRPr="00C109DC">
              <w:t>Picosatellite</w:t>
            </w:r>
          </w:p>
        </w:tc>
        <w:tc>
          <w:tcPr>
            <w:tcW w:w="1032" w:type="dxa"/>
          </w:tcPr>
          <w:p w:rsidR="001468CA" w:rsidRPr="00C109DC" w:rsidRDefault="001468CA" w:rsidP="0023117F">
            <w:pPr>
              <w:pStyle w:val="Tabletext"/>
              <w:jc w:val="center"/>
            </w:pPr>
            <w:r w:rsidRPr="00C109DC">
              <w:t>0.1- 1</w:t>
            </w:r>
          </w:p>
        </w:tc>
        <w:tc>
          <w:tcPr>
            <w:tcW w:w="1200" w:type="dxa"/>
          </w:tcPr>
          <w:p w:rsidR="001468CA" w:rsidRPr="00C109DC" w:rsidRDefault="001468CA" w:rsidP="0023117F">
            <w:pPr>
              <w:pStyle w:val="Tabletext"/>
              <w:jc w:val="center"/>
            </w:pPr>
            <w:r w:rsidRPr="00C109DC">
              <w:t>5</w:t>
            </w:r>
          </w:p>
        </w:tc>
        <w:tc>
          <w:tcPr>
            <w:tcW w:w="1216" w:type="dxa"/>
          </w:tcPr>
          <w:p w:rsidR="001468CA" w:rsidRPr="00C109DC" w:rsidRDefault="001468CA" w:rsidP="0023117F">
            <w:pPr>
              <w:pStyle w:val="Tabletext"/>
              <w:jc w:val="center"/>
            </w:pPr>
            <w:r w:rsidRPr="00C109DC">
              <w:t>50 k-2 M</w:t>
            </w:r>
          </w:p>
        </w:tc>
        <w:tc>
          <w:tcPr>
            <w:tcW w:w="1270" w:type="dxa"/>
          </w:tcPr>
          <w:p w:rsidR="001468CA" w:rsidRPr="00C109DC" w:rsidRDefault="001468CA" w:rsidP="0023117F">
            <w:pPr>
              <w:pStyle w:val="Tabletext"/>
              <w:jc w:val="center"/>
            </w:pPr>
            <w:r w:rsidRPr="00C109DC">
              <w:t>0</w:t>
            </w:r>
            <w:r>
              <w:t>.</w:t>
            </w:r>
            <w:r w:rsidRPr="00C109DC">
              <w:t>05-0</w:t>
            </w:r>
            <w:r>
              <w:t>.</w:t>
            </w:r>
            <w:r w:rsidRPr="00C109DC">
              <w:t>1</w:t>
            </w:r>
          </w:p>
        </w:tc>
        <w:tc>
          <w:tcPr>
            <w:tcW w:w="1338" w:type="dxa"/>
            <w:vMerge/>
          </w:tcPr>
          <w:p w:rsidR="001468CA" w:rsidRPr="00C109DC" w:rsidRDefault="001468CA" w:rsidP="0023117F">
            <w:pPr>
              <w:pStyle w:val="Tabletext"/>
              <w:jc w:val="center"/>
            </w:pPr>
          </w:p>
        </w:tc>
        <w:tc>
          <w:tcPr>
            <w:tcW w:w="913" w:type="dxa"/>
            <w:vMerge/>
          </w:tcPr>
          <w:p w:rsidR="001468CA" w:rsidRPr="00C109DC" w:rsidRDefault="001468CA" w:rsidP="0023117F">
            <w:pPr>
              <w:pStyle w:val="Tabletext"/>
              <w:jc w:val="center"/>
            </w:pPr>
          </w:p>
        </w:tc>
        <w:tc>
          <w:tcPr>
            <w:tcW w:w="1118" w:type="dxa"/>
            <w:vMerge/>
          </w:tcPr>
          <w:p w:rsidR="001468CA" w:rsidRPr="00C109DC" w:rsidRDefault="001468CA" w:rsidP="0023117F">
            <w:pPr>
              <w:pStyle w:val="Tabletext"/>
              <w:jc w:val="center"/>
            </w:pPr>
          </w:p>
        </w:tc>
      </w:tr>
      <w:tr w:rsidR="001468CA" w:rsidRPr="00745CCF" w:rsidTr="009526F2">
        <w:trPr>
          <w:jc w:val="center"/>
        </w:trPr>
        <w:tc>
          <w:tcPr>
            <w:tcW w:w="1521" w:type="dxa"/>
          </w:tcPr>
          <w:p w:rsidR="001468CA" w:rsidRPr="00C109DC" w:rsidRDefault="001468CA" w:rsidP="0023117F">
            <w:pPr>
              <w:pStyle w:val="Tabletext"/>
              <w:jc w:val="center"/>
            </w:pPr>
            <w:r w:rsidRPr="00C109DC">
              <w:t>Femtosatellite</w:t>
            </w:r>
          </w:p>
        </w:tc>
        <w:tc>
          <w:tcPr>
            <w:tcW w:w="1032" w:type="dxa"/>
          </w:tcPr>
          <w:p w:rsidR="001468CA" w:rsidRPr="00C109DC" w:rsidRDefault="001468CA" w:rsidP="0023117F">
            <w:pPr>
              <w:pStyle w:val="Tabletext"/>
              <w:jc w:val="center"/>
            </w:pPr>
            <w:r w:rsidRPr="00C109DC">
              <w:t>&lt; 0.1</w:t>
            </w:r>
          </w:p>
        </w:tc>
        <w:tc>
          <w:tcPr>
            <w:tcW w:w="1200" w:type="dxa"/>
          </w:tcPr>
          <w:p w:rsidR="001468CA" w:rsidRPr="00C109DC" w:rsidRDefault="001468CA" w:rsidP="0023117F">
            <w:pPr>
              <w:pStyle w:val="Tabletext"/>
              <w:jc w:val="center"/>
            </w:pPr>
            <w:r w:rsidRPr="00C109DC">
              <w:t>1</w:t>
            </w:r>
          </w:p>
        </w:tc>
        <w:tc>
          <w:tcPr>
            <w:tcW w:w="1216" w:type="dxa"/>
          </w:tcPr>
          <w:p w:rsidR="001468CA" w:rsidRPr="00C109DC" w:rsidRDefault="001468CA" w:rsidP="0023117F">
            <w:pPr>
              <w:pStyle w:val="Tabletext"/>
              <w:jc w:val="center"/>
            </w:pPr>
            <w:r w:rsidRPr="00C109DC">
              <w:t>&lt; 50 k</w:t>
            </w:r>
          </w:p>
        </w:tc>
        <w:tc>
          <w:tcPr>
            <w:tcW w:w="1270" w:type="dxa"/>
          </w:tcPr>
          <w:p w:rsidR="001468CA" w:rsidRPr="00C109DC" w:rsidRDefault="001468CA" w:rsidP="0023117F">
            <w:pPr>
              <w:pStyle w:val="Tabletext"/>
              <w:jc w:val="center"/>
            </w:pPr>
            <w:r w:rsidRPr="00C109DC">
              <w:t>0</w:t>
            </w:r>
            <w:r>
              <w:t>.</w:t>
            </w:r>
            <w:r w:rsidRPr="00C109DC">
              <w:t>01-0</w:t>
            </w:r>
            <w:r>
              <w:t>.</w:t>
            </w:r>
            <w:r w:rsidRPr="00C109DC">
              <w:t>1</w:t>
            </w:r>
          </w:p>
        </w:tc>
        <w:tc>
          <w:tcPr>
            <w:tcW w:w="1338" w:type="dxa"/>
          </w:tcPr>
          <w:p w:rsidR="001468CA" w:rsidRPr="00C109DC" w:rsidRDefault="001468CA" w:rsidP="0023117F">
            <w:pPr>
              <w:pStyle w:val="Tabletext"/>
              <w:jc w:val="center"/>
            </w:pPr>
            <w:r w:rsidRPr="00C109DC">
              <w:t>1</w:t>
            </w:r>
          </w:p>
        </w:tc>
        <w:tc>
          <w:tcPr>
            <w:tcW w:w="913" w:type="dxa"/>
            <w:vMerge/>
          </w:tcPr>
          <w:p w:rsidR="001468CA" w:rsidRPr="00C109DC" w:rsidRDefault="001468CA" w:rsidP="0023117F">
            <w:pPr>
              <w:pStyle w:val="Tabletext"/>
              <w:jc w:val="center"/>
            </w:pPr>
          </w:p>
        </w:tc>
        <w:tc>
          <w:tcPr>
            <w:tcW w:w="1118" w:type="dxa"/>
          </w:tcPr>
          <w:p w:rsidR="001468CA" w:rsidRPr="00C109DC" w:rsidRDefault="001468CA" w:rsidP="0023117F">
            <w:pPr>
              <w:pStyle w:val="Tabletext"/>
              <w:jc w:val="center"/>
            </w:pPr>
            <w:r w:rsidRPr="00C109DC">
              <w:t>&lt; 1</w:t>
            </w:r>
          </w:p>
        </w:tc>
      </w:tr>
    </w:tbl>
    <w:p w:rsidR="009526F2" w:rsidRDefault="009526F2" w:rsidP="009526F2">
      <w:pPr>
        <w:pStyle w:val="Tablefin"/>
      </w:pPr>
    </w:p>
    <w:p w:rsidR="001468CA" w:rsidRDefault="001468CA" w:rsidP="009526F2">
      <w:pPr>
        <w:rPr>
          <w:lang w:val="en-US"/>
        </w:rPr>
      </w:pPr>
      <w:r w:rsidRPr="001468CA">
        <w:rPr>
          <w:lang w:val="en-US"/>
        </w:rPr>
        <w:t>Values provided here are typical for the listed satellite types when this report was prepared in 2014. They are not meant to represent fixed limits.</w:t>
      </w:r>
    </w:p>
    <w:p w:rsidR="001468CA" w:rsidRPr="001468CA" w:rsidRDefault="001468CA" w:rsidP="001468CA">
      <w:pPr>
        <w:pStyle w:val="Heading2"/>
        <w:rPr>
          <w:lang w:val="en-US"/>
        </w:rPr>
      </w:pPr>
      <w:bookmarkStart w:id="9" w:name="_Toc400363516"/>
      <w:bookmarkStart w:id="10" w:name="_Toc402962818"/>
      <w:r w:rsidRPr="001468CA">
        <w:rPr>
          <w:lang w:val="en-US"/>
        </w:rPr>
        <w:t>2.1</w:t>
      </w:r>
      <w:r w:rsidRPr="001468CA">
        <w:rPr>
          <w:lang w:val="en-US"/>
        </w:rPr>
        <w:tab/>
        <w:t>Mass</w:t>
      </w:r>
      <w:bookmarkEnd w:id="9"/>
      <w:bookmarkEnd w:id="10"/>
    </w:p>
    <w:p w:rsidR="001468CA" w:rsidRPr="001468CA" w:rsidRDefault="001468CA" w:rsidP="009526F2">
      <w:pPr>
        <w:rPr>
          <w:lang w:val="en-US"/>
        </w:rPr>
      </w:pPr>
      <w:r w:rsidRPr="001468CA">
        <w:rPr>
          <w:lang w:val="en-US"/>
        </w:rPr>
        <w:t>While mass may be a good way to easily characteri</w:t>
      </w:r>
      <w:r w:rsidR="009526F2">
        <w:rPr>
          <w:lang w:val="en-US"/>
        </w:rPr>
        <w:t>z</w:t>
      </w:r>
      <w:r w:rsidRPr="001468CA">
        <w:rPr>
          <w:lang w:val="en-US"/>
        </w:rPr>
        <w:t>e a satellite, the regulatory challenges associated with filing a picosatellite or a nanosatellite are not necessarily related to the physical characteristics of the satellite. Size and/or mass are not really the issue from a frequency management viewpoint, while factors such as mission duration, orbital uncertainty, low satellite equivalent isotropic radiated power (</w:t>
      </w:r>
      <w:r w:rsidR="00173E70" w:rsidRPr="001468CA">
        <w:rPr>
          <w:lang w:val="en-US"/>
        </w:rPr>
        <w:t>e</w:t>
      </w:r>
      <w:r w:rsidR="00173E70">
        <w:rPr>
          <w:lang w:val="en-US"/>
        </w:rPr>
        <w:t>.</w:t>
      </w:r>
      <w:r w:rsidR="00173E70" w:rsidRPr="001468CA">
        <w:rPr>
          <w:lang w:val="en-US"/>
        </w:rPr>
        <w:t>i</w:t>
      </w:r>
      <w:r w:rsidR="00173E70">
        <w:rPr>
          <w:lang w:val="en-US"/>
        </w:rPr>
        <w:t>.</w:t>
      </w:r>
      <w:r w:rsidR="00173E70" w:rsidRPr="001468CA">
        <w:rPr>
          <w:lang w:val="en-US"/>
        </w:rPr>
        <w:t>r</w:t>
      </w:r>
      <w:r w:rsidR="00173E70">
        <w:rPr>
          <w:lang w:val="en-US"/>
        </w:rPr>
        <w:t>.</w:t>
      </w:r>
      <w:r w:rsidR="00173E70" w:rsidRPr="001468CA">
        <w:rPr>
          <w:lang w:val="en-US"/>
        </w:rPr>
        <w:t>p</w:t>
      </w:r>
      <w:r w:rsidR="00173E70">
        <w:rPr>
          <w:lang w:val="en-US"/>
        </w:rPr>
        <w:t>.</w:t>
      </w:r>
      <w:r w:rsidRPr="001468CA">
        <w:rPr>
          <w:lang w:val="en-US"/>
        </w:rPr>
        <w:t>) and speed of development are rather more important factors.</w:t>
      </w:r>
    </w:p>
    <w:p w:rsidR="001468CA" w:rsidRPr="001468CA" w:rsidRDefault="001468CA" w:rsidP="001468CA">
      <w:pPr>
        <w:pStyle w:val="Heading2"/>
        <w:rPr>
          <w:lang w:val="en-US"/>
        </w:rPr>
      </w:pPr>
      <w:bookmarkStart w:id="11" w:name="_Toc400363517"/>
      <w:bookmarkStart w:id="12" w:name="_Toc402962819"/>
      <w:r w:rsidRPr="001468CA">
        <w:rPr>
          <w:lang w:val="en-US"/>
        </w:rPr>
        <w:t>2.2</w:t>
      </w:r>
      <w:r w:rsidRPr="001468CA">
        <w:rPr>
          <w:lang w:val="en-US"/>
        </w:rPr>
        <w:tab/>
        <w:t>CubeSat design specification</w:t>
      </w:r>
      <w:bookmarkEnd w:id="11"/>
      <w:bookmarkEnd w:id="12"/>
    </w:p>
    <w:p w:rsidR="001468CA" w:rsidRPr="001468CA" w:rsidRDefault="001468CA" w:rsidP="009526F2">
      <w:pPr>
        <w:rPr>
          <w:lang w:val="en-US"/>
        </w:rPr>
      </w:pPr>
      <w:r w:rsidRPr="001468CA">
        <w:rPr>
          <w:lang w:val="en-US"/>
        </w:rPr>
        <w:t>One of the most frequently cited nanosatellite and picosatellite design guidelines is the CubeSat specification, developed in 1999 by California Polytechnic State University (Cal Poly) and Stanford University engineers with the goal of easing access to space for the academic community. Since then, the specification has been widely adopted not only by the academic community but others as well, due to easy access to launch services and low cost.</w:t>
      </w:r>
    </w:p>
    <w:p w:rsidR="001468CA" w:rsidRPr="001468CA" w:rsidRDefault="001468CA" w:rsidP="00173E70">
      <w:pPr>
        <w:rPr>
          <w:rFonts w:cs="Calibri"/>
          <w:lang w:val="en-US"/>
        </w:rPr>
      </w:pPr>
      <w:r w:rsidRPr="001468CA">
        <w:rPr>
          <w:lang w:val="en-US"/>
        </w:rPr>
        <w:t xml:space="preserve">A </w:t>
      </w:r>
      <w:r w:rsidRPr="001468CA">
        <w:rPr>
          <w:bCs/>
          <w:lang w:val="en-US"/>
        </w:rPr>
        <w:t>CubeSat</w:t>
      </w:r>
      <w:r w:rsidRPr="001468CA">
        <w:rPr>
          <w:lang w:val="en-US"/>
        </w:rPr>
        <w:t xml:space="preserve"> is a miniaturized satellite in the shape of 10 cm cube, with a volume of exactly one litre, and a mass of no more than 1.33 k</w:t>
      </w:r>
      <w:r w:rsidR="00173E70">
        <w:rPr>
          <w:lang w:val="en-US"/>
        </w:rPr>
        <w:t>g</w:t>
      </w:r>
      <w:r w:rsidRPr="001468CA">
        <w:rPr>
          <w:lang w:val="en-US"/>
        </w:rPr>
        <w:t xml:space="preserve">. The design is modular; the basic unit is called a 1U CubeSat. A 0.5U module is also available. At present, up to three modules may be linked lengthwise, the base being always a 10 cm </w:t>
      </w:r>
      <w:r w:rsidR="009526F2">
        <w:rPr>
          <w:lang w:val="en-US"/>
        </w:rPr>
        <w:sym w:font="Symbol" w:char="F0B4"/>
      </w:r>
      <w:r w:rsidRPr="001468CA">
        <w:rPr>
          <w:lang w:val="en-US"/>
        </w:rPr>
        <w:t xml:space="preserve"> 10 cm square. In the future other base configurations, e.g. 2U </w:t>
      </w:r>
      <w:r w:rsidR="009526F2">
        <w:rPr>
          <w:lang w:val="en-US"/>
        </w:rPr>
        <w:sym w:font="Symbol" w:char="F0B4"/>
      </w:r>
      <w:r w:rsidRPr="001468CA">
        <w:rPr>
          <w:lang w:val="en-US"/>
        </w:rPr>
        <w:t xml:space="preserve"> 2U or 2U </w:t>
      </w:r>
      <w:r w:rsidR="009526F2">
        <w:rPr>
          <w:lang w:val="en-US"/>
        </w:rPr>
        <w:sym w:font="Symbol" w:char="F0B4"/>
      </w:r>
      <w:r w:rsidRPr="001468CA">
        <w:rPr>
          <w:lang w:val="en-US"/>
        </w:rPr>
        <w:t xml:space="preserve"> 3U, may become possible. While CubeSats are generally characterized by a physical dimension of 10 cm × 10 cm × 10 cm, ancillary equipment such as antennas, solar panels, solar sails or drag chutes to facilitate de-orbiting may extend the overall dimensions.</w:t>
      </w:r>
    </w:p>
    <w:p w:rsidR="001468CA" w:rsidRPr="001468CA" w:rsidRDefault="001468CA" w:rsidP="001468CA">
      <w:pPr>
        <w:rPr>
          <w:rFonts w:cs="Calibri"/>
          <w:lang w:val="en-US"/>
        </w:rPr>
      </w:pPr>
      <w:r w:rsidRPr="001468CA">
        <w:rPr>
          <w:lang w:val="en-US"/>
        </w:rPr>
        <w:t xml:space="preserve">Although CubeSats are in many cases synonymous with nanosatellites, they are in fact a subset. A number of organizations around the world now build and fly nanosatellite buses that do not conform to the CubeSat design </w:t>
      </w:r>
      <w:r w:rsidRPr="001468CA">
        <w:rPr>
          <w:szCs w:val="24"/>
          <w:lang w:val="en-US"/>
        </w:rPr>
        <w:t>specification</w:t>
      </w:r>
      <w:r w:rsidRPr="001468CA">
        <w:rPr>
          <w:lang w:val="en-US"/>
        </w:rPr>
        <w:t>, as designs have developed to suit specific mission requirements.</w:t>
      </w:r>
    </w:p>
    <w:p w:rsidR="001468CA" w:rsidRPr="001468CA" w:rsidRDefault="001468CA" w:rsidP="001468CA">
      <w:pPr>
        <w:pStyle w:val="Heading1"/>
        <w:rPr>
          <w:lang w:val="en-US"/>
        </w:rPr>
      </w:pPr>
      <w:bookmarkStart w:id="13" w:name="_Toc400363518"/>
      <w:bookmarkStart w:id="14" w:name="_Toc402962820"/>
      <w:r w:rsidRPr="001468CA">
        <w:rPr>
          <w:lang w:val="en-US"/>
        </w:rPr>
        <w:lastRenderedPageBreak/>
        <w:t>3</w:t>
      </w:r>
      <w:r w:rsidRPr="001468CA">
        <w:rPr>
          <w:lang w:val="en-US"/>
        </w:rPr>
        <w:tab/>
        <w:t>Comparison of technical characteristics between traditional satellite systems and those of nanosatellite and picosatellite systems</w:t>
      </w:r>
      <w:bookmarkEnd w:id="13"/>
      <w:bookmarkEnd w:id="14"/>
    </w:p>
    <w:p w:rsidR="001468CA" w:rsidRPr="001468CA" w:rsidRDefault="001468CA" w:rsidP="001468CA">
      <w:pPr>
        <w:rPr>
          <w:lang w:val="en-US"/>
        </w:rPr>
      </w:pPr>
      <w:r w:rsidRPr="001468CA">
        <w:rPr>
          <w:lang w:val="en-US"/>
        </w:rPr>
        <w:t>The technical and operational characterization of satellites in general has a number of perspectives. These include but are not limited to a specific community of operators, spectral usage including power, orbital characteristics, period of operation, and service or application type. Nanosatellite and picosatellite systems share both similarities and differences with more traditional satellites in terms of their technical and operational characteristics.</w:t>
      </w:r>
    </w:p>
    <w:p w:rsidR="001468CA" w:rsidRPr="001468CA" w:rsidRDefault="001468CA" w:rsidP="001468CA">
      <w:pPr>
        <w:rPr>
          <w:lang w:val="en-US"/>
        </w:rPr>
      </w:pPr>
      <w:r w:rsidRPr="001468CA">
        <w:rPr>
          <w:lang w:val="en-US"/>
        </w:rPr>
        <w:t>Table 2 presents a comparison of the technical and operational characteristics between traditional satellite systems and nanosatellite and picosatellite systems. For both systems, these should be considered as a characterization of the missions undertaken to date. Both traditional and nanosatellite and picosatellite systems have a wide variety of technical and operational characteristics, and there is a continuing developmental work (e.g. propulsion systems) to enhance the capabilities of nanosatellite and picosatellite systems.</w:t>
      </w:r>
    </w:p>
    <w:p w:rsidR="001468CA" w:rsidRPr="001468CA" w:rsidRDefault="001468CA" w:rsidP="001468CA">
      <w:pPr>
        <w:pStyle w:val="TableNo"/>
        <w:rPr>
          <w:lang w:val="en-US"/>
        </w:rPr>
      </w:pPr>
      <w:r w:rsidRPr="001468CA">
        <w:rPr>
          <w:lang w:val="en-US"/>
        </w:rPr>
        <w:t>TABLE 2</w:t>
      </w:r>
    </w:p>
    <w:p w:rsidR="001468CA" w:rsidRPr="001468CA" w:rsidRDefault="001468CA" w:rsidP="001468CA">
      <w:pPr>
        <w:pStyle w:val="Tabletitle"/>
        <w:rPr>
          <w:lang w:val="en-US"/>
        </w:rPr>
      </w:pPr>
      <w:r w:rsidRPr="001468CA">
        <w:rPr>
          <w:lang w:val="en-US"/>
        </w:rPr>
        <w:t>Comparison of satellite system characteristics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0"/>
        <w:gridCol w:w="1777"/>
        <w:gridCol w:w="3223"/>
        <w:gridCol w:w="3749"/>
      </w:tblGrid>
      <w:tr w:rsidR="001468CA" w:rsidRPr="00A27E8D" w:rsidTr="00F2715A">
        <w:trPr>
          <w:tblHeader/>
          <w:jc w:val="center"/>
        </w:trPr>
        <w:tc>
          <w:tcPr>
            <w:tcW w:w="890" w:type="dxa"/>
          </w:tcPr>
          <w:p w:rsidR="001468CA" w:rsidRPr="001468CA" w:rsidRDefault="001468CA" w:rsidP="00F2715A">
            <w:pPr>
              <w:pStyle w:val="Tablehead"/>
              <w:rPr>
                <w:lang w:val="en-US"/>
              </w:rPr>
            </w:pPr>
          </w:p>
        </w:tc>
        <w:tc>
          <w:tcPr>
            <w:tcW w:w="1777" w:type="dxa"/>
          </w:tcPr>
          <w:p w:rsidR="001468CA" w:rsidRPr="00D94772" w:rsidRDefault="001468CA" w:rsidP="00F2715A">
            <w:pPr>
              <w:pStyle w:val="Tablehead"/>
            </w:pPr>
            <w:r w:rsidRPr="00D94772">
              <w:t>Satellite system characteristic</w:t>
            </w:r>
          </w:p>
        </w:tc>
        <w:tc>
          <w:tcPr>
            <w:tcW w:w="3223" w:type="dxa"/>
          </w:tcPr>
          <w:p w:rsidR="001468CA" w:rsidRPr="00D94772" w:rsidRDefault="001468CA" w:rsidP="00F2715A">
            <w:pPr>
              <w:pStyle w:val="Tablehead"/>
            </w:pPr>
            <w:r w:rsidRPr="00D94772">
              <w:t>Traditional satellite systems</w:t>
            </w:r>
          </w:p>
        </w:tc>
        <w:tc>
          <w:tcPr>
            <w:tcW w:w="3749" w:type="dxa"/>
          </w:tcPr>
          <w:p w:rsidR="001468CA" w:rsidRPr="001468CA" w:rsidRDefault="001468CA" w:rsidP="00F2715A">
            <w:pPr>
              <w:pStyle w:val="Tablehead"/>
              <w:rPr>
                <w:lang w:val="en-US"/>
              </w:rPr>
            </w:pPr>
            <w:r w:rsidRPr="001468CA">
              <w:rPr>
                <w:lang w:val="en-US"/>
              </w:rPr>
              <w:t>Typical nanosatellite and</w:t>
            </w:r>
            <w:r w:rsidRPr="001468CA">
              <w:rPr>
                <w:lang w:val="en-US"/>
              </w:rPr>
              <w:br/>
              <w:t>picosatellite systems</w:t>
            </w:r>
          </w:p>
        </w:tc>
      </w:tr>
      <w:tr w:rsidR="001468CA" w:rsidRPr="00A27E8D" w:rsidTr="00F2715A">
        <w:trPr>
          <w:jc w:val="center"/>
        </w:trPr>
        <w:tc>
          <w:tcPr>
            <w:tcW w:w="890" w:type="dxa"/>
            <w:vMerge w:val="restart"/>
            <w:textDirection w:val="btLr"/>
            <w:vAlign w:val="center"/>
          </w:tcPr>
          <w:p w:rsidR="001468CA" w:rsidRPr="001468CA" w:rsidRDefault="004F0510" w:rsidP="00F2715A">
            <w:pPr>
              <w:pStyle w:val="Tabletext"/>
              <w:jc w:val="center"/>
              <w:rPr>
                <w:lang w:val="en-US"/>
              </w:rPr>
            </w:pPr>
            <w:r>
              <w:rPr>
                <w:lang w:val="en-US"/>
              </w:rPr>
              <w:t>Space-to-Earth e</w:t>
            </w:r>
            <w:r w:rsidR="001468CA" w:rsidRPr="001468CA">
              <w:rPr>
                <w:lang w:val="en-US"/>
              </w:rPr>
              <w:t>mission considerations</w:t>
            </w:r>
          </w:p>
        </w:tc>
        <w:tc>
          <w:tcPr>
            <w:tcW w:w="1777" w:type="dxa"/>
          </w:tcPr>
          <w:p w:rsidR="001468CA" w:rsidRPr="00D94772" w:rsidRDefault="001468CA" w:rsidP="00F2715A">
            <w:pPr>
              <w:pStyle w:val="Tabletext"/>
              <w:jc w:val="left"/>
            </w:pPr>
            <w:r w:rsidRPr="00D94772">
              <w:t>Spectral usage</w:t>
            </w:r>
          </w:p>
        </w:tc>
        <w:tc>
          <w:tcPr>
            <w:tcW w:w="6972" w:type="dxa"/>
            <w:gridSpan w:val="2"/>
          </w:tcPr>
          <w:p w:rsidR="001468CA" w:rsidRPr="001468CA" w:rsidRDefault="001468CA" w:rsidP="00F2715A">
            <w:pPr>
              <w:pStyle w:val="Tabletext"/>
              <w:jc w:val="left"/>
              <w:rPr>
                <w:lang w:val="en-US"/>
              </w:rPr>
            </w:pPr>
            <w:r w:rsidRPr="001468CA">
              <w:rPr>
                <w:lang w:val="en-US"/>
              </w:rPr>
              <w:t>The frequency band and transmission parameters of these systems are subject to the ITU Radio Regulations</w:t>
            </w:r>
          </w:p>
        </w:tc>
      </w:tr>
      <w:tr w:rsidR="001468CA" w:rsidRPr="00A27E8D" w:rsidTr="00F2715A">
        <w:trPr>
          <w:jc w:val="center"/>
        </w:trPr>
        <w:tc>
          <w:tcPr>
            <w:tcW w:w="890" w:type="dxa"/>
            <w:vMerge/>
            <w:textDirection w:val="btLr"/>
          </w:tcPr>
          <w:p w:rsidR="001468CA" w:rsidRPr="001468CA" w:rsidRDefault="001468CA" w:rsidP="00F2715A">
            <w:pPr>
              <w:pStyle w:val="Tabletext"/>
              <w:rPr>
                <w:lang w:val="en-US"/>
              </w:rPr>
            </w:pPr>
          </w:p>
        </w:tc>
        <w:tc>
          <w:tcPr>
            <w:tcW w:w="1777" w:type="dxa"/>
          </w:tcPr>
          <w:p w:rsidR="001468CA" w:rsidRPr="00D94772" w:rsidRDefault="001468CA" w:rsidP="00F2715A">
            <w:pPr>
              <w:pStyle w:val="Tabletext"/>
              <w:jc w:val="left"/>
            </w:pPr>
            <w:r w:rsidRPr="00D94772">
              <w:t>Transmission power</w:t>
            </w:r>
          </w:p>
        </w:tc>
        <w:tc>
          <w:tcPr>
            <w:tcW w:w="3223" w:type="dxa"/>
          </w:tcPr>
          <w:p w:rsidR="001468CA" w:rsidRPr="001468CA" w:rsidRDefault="001468CA" w:rsidP="00F2715A">
            <w:pPr>
              <w:pStyle w:val="Tabletext"/>
              <w:jc w:val="left"/>
              <w:rPr>
                <w:lang w:val="en-US"/>
              </w:rPr>
            </w:pPr>
            <w:r w:rsidRPr="001468CA">
              <w:rPr>
                <w:lang w:val="en-US"/>
              </w:rPr>
              <w:t>Low to high power systems</w:t>
            </w:r>
          </w:p>
        </w:tc>
        <w:tc>
          <w:tcPr>
            <w:tcW w:w="3749" w:type="dxa"/>
          </w:tcPr>
          <w:p w:rsidR="001468CA" w:rsidRPr="001468CA" w:rsidRDefault="001468CA" w:rsidP="00F2715A">
            <w:pPr>
              <w:pStyle w:val="Tabletext"/>
              <w:jc w:val="left"/>
              <w:rPr>
                <w:lang w:val="en-US"/>
              </w:rPr>
            </w:pPr>
            <w:r w:rsidRPr="001468CA">
              <w:rPr>
                <w:lang w:val="en-US"/>
              </w:rPr>
              <w:t>Low transmission power, but not necessarily low power spectral density (PSD)</w:t>
            </w:r>
          </w:p>
        </w:tc>
      </w:tr>
      <w:tr w:rsidR="001468CA" w:rsidRPr="00A27E8D" w:rsidTr="00F2715A">
        <w:trPr>
          <w:jc w:val="center"/>
        </w:trPr>
        <w:tc>
          <w:tcPr>
            <w:tcW w:w="890" w:type="dxa"/>
            <w:vMerge/>
            <w:textDirection w:val="btLr"/>
          </w:tcPr>
          <w:p w:rsidR="001468CA" w:rsidRPr="001468CA" w:rsidRDefault="001468CA" w:rsidP="00F2715A">
            <w:pPr>
              <w:pStyle w:val="Tabletext"/>
              <w:rPr>
                <w:lang w:val="en-US"/>
              </w:rPr>
            </w:pPr>
          </w:p>
        </w:tc>
        <w:tc>
          <w:tcPr>
            <w:tcW w:w="1777" w:type="dxa"/>
          </w:tcPr>
          <w:p w:rsidR="001468CA" w:rsidRPr="00D94772" w:rsidRDefault="001468CA" w:rsidP="00F2715A">
            <w:pPr>
              <w:pStyle w:val="Tabletext"/>
              <w:jc w:val="left"/>
            </w:pPr>
            <w:r w:rsidRPr="004A1151">
              <w:t xml:space="preserve">Transmission rates, modulation </w:t>
            </w:r>
            <w:r w:rsidRPr="00C7365F">
              <w:t xml:space="preserve">schemes </w:t>
            </w:r>
          </w:p>
        </w:tc>
        <w:tc>
          <w:tcPr>
            <w:tcW w:w="3223" w:type="dxa"/>
          </w:tcPr>
          <w:p w:rsidR="001468CA" w:rsidRPr="001468CA" w:rsidRDefault="001468CA" w:rsidP="00F2715A">
            <w:pPr>
              <w:pStyle w:val="Tabletext"/>
              <w:jc w:val="left"/>
              <w:rPr>
                <w:lang w:val="en-US"/>
              </w:rPr>
            </w:pPr>
            <w:r w:rsidRPr="001468CA">
              <w:rPr>
                <w:lang w:val="en-US"/>
              </w:rPr>
              <w:t xml:space="preserve">A few kbps to Gbps depending on the service, usually bandwidth efficient (Quaternary Phase Shift Keying or higher order) </w:t>
            </w:r>
          </w:p>
        </w:tc>
        <w:tc>
          <w:tcPr>
            <w:tcW w:w="3749" w:type="dxa"/>
          </w:tcPr>
          <w:p w:rsidR="001468CA" w:rsidRPr="001468CA" w:rsidRDefault="001468CA" w:rsidP="00F2715A">
            <w:pPr>
              <w:pStyle w:val="Tabletext"/>
              <w:jc w:val="left"/>
              <w:rPr>
                <w:lang w:val="en-US"/>
              </w:rPr>
            </w:pPr>
            <w:r w:rsidRPr="001468CA">
              <w:rPr>
                <w:lang w:val="en-US"/>
              </w:rPr>
              <w:t>A few kbps to a few Mbps, lower data rates, typically optimized for power efficiency (e.g. Frequency M</w:t>
            </w:r>
            <w:r w:rsidR="00F2715A">
              <w:rPr>
                <w:lang w:val="en-US"/>
              </w:rPr>
              <w:t>odulation</w:t>
            </w:r>
            <w:r w:rsidRPr="001468CA">
              <w:rPr>
                <w:lang w:val="en-US"/>
              </w:rPr>
              <w:t>/Frequency Shift K</w:t>
            </w:r>
            <w:r w:rsidR="00F2715A">
              <w:rPr>
                <w:lang w:val="en-US"/>
              </w:rPr>
              <w:t>eying</w:t>
            </w:r>
            <w:r w:rsidRPr="001468CA">
              <w:rPr>
                <w:lang w:val="en-US"/>
              </w:rPr>
              <w:t>) and without coding</w:t>
            </w:r>
          </w:p>
        </w:tc>
      </w:tr>
      <w:tr w:rsidR="001468CA" w:rsidRPr="00A27E8D" w:rsidTr="00F2715A">
        <w:trPr>
          <w:jc w:val="center"/>
        </w:trPr>
        <w:tc>
          <w:tcPr>
            <w:tcW w:w="890" w:type="dxa"/>
            <w:vMerge/>
            <w:textDirection w:val="btLr"/>
          </w:tcPr>
          <w:p w:rsidR="001468CA" w:rsidRPr="001468CA" w:rsidRDefault="001468CA" w:rsidP="00F2715A">
            <w:pPr>
              <w:pStyle w:val="Tabletext"/>
              <w:rPr>
                <w:lang w:val="en-US"/>
              </w:rPr>
            </w:pPr>
          </w:p>
        </w:tc>
        <w:tc>
          <w:tcPr>
            <w:tcW w:w="1777" w:type="dxa"/>
          </w:tcPr>
          <w:p w:rsidR="001468CA" w:rsidRPr="00D94772" w:rsidRDefault="001468CA" w:rsidP="00F2715A">
            <w:pPr>
              <w:pStyle w:val="Tabletext"/>
              <w:jc w:val="left"/>
            </w:pPr>
            <w:r w:rsidRPr="00D94772">
              <w:t>Antenna directionality</w:t>
            </w:r>
          </w:p>
        </w:tc>
        <w:tc>
          <w:tcPr>
            <w:tcW w:w="3223" w:type="dxa"/>
          </w:tcPr>
          <w:p w:rsidR="001468CA" w:rsidRPr="00951ABA" w:rsidRDefault="001468CA" w:rsidP="00F2715A">
            <w:pPr>
              <w:pStyle w:val="Tabletext"/>
              <w:jc w:val="left"/>
            </w:pPr>
            <w:r w:rsidRPr="001468CA">
              <w:rPr>
                <w:lang w:val="en-US"/>
              </w:rPr>
              <w:t xml:space="preserve">Many antenna types. Omni-directional antennas are often used, especially for critical operations (e.g. satellite recovery). </w:t>
            </w:r>
            <w:r w:rsidRPr="00951ABA">
              <w:t>Sometimes directional antennas are used</w:t>
            </w:r>
          </w:p>
        </w:tc>
        <w:tc>
          <w:tcPr>
            <w:tcW w:w="3749" w:type="dxa"/>
          </w:tcPr>
          <w:p w:rsidR="001468CA" w:rsidRPr="001468CA" w:rsidRDefault="001468CA" w:rsidP="00F2715A">
            <w:pPr>
              <w:pStyle w:val="Tabletext"/>
              <w:jc w:val="left"/>
              <w:rPr>
                <w:lang w:val="en-US"/>
              </w:rPr>
            </w:pPr>
            <w:r w:rsidRPr="001468CA">
              <w:rPr>
                <w:lang w:val="en-US"/>
              </w:rPr>
              <w:t>Typically only 1 or 2 active antennas per band, often omnidirectional (for example due to lack of attitude control and/or antenna pointing mechanisms)</w:t>
            </w:r>
          </w:p>
        </w:tc>
      </w:tr>
      <w:tr w:rsidR="001468CA" w:rsidRPr="00A27E8D" w:rsidTr="00F2715A">
        <w:trPr>
          <w:jc w:val="center"/>
        </w:trPr>
        <w:tc>
          <w:tcPr>
            <w:tcW w:w="890" w:type="dxa"/>
            <w:vMerge/>
            <w:textDirection w:val="btLr"/>
          </w:tcPr>
          <w:p w:rsidR="001468CA" w:rsidRPr="001468CA" w:rsidRDefault="001468CA" w:rsidP="00F2715A">
            <w:pPr>
              <w:pStyle w:val="Tabletext"/>
              <w:rPr>
                <w:lang w:val="en-US"/>
              </w:rPr>
            </w:pPr>
          </w:p>
        </w:tc>
        <w:tc>
          <w:tcPr>
            <w:tcW w:w="1777" w:type="dxa"/>
          </w:tcPr>
          <w:p w:rsidR="001468CA" w:rsidRPr="001468CA" w:rsidRDefault="001468CA" w:rsidP="00F2715A">
            <w:pPr>
              <w:pStyle w:val="Tabletext"/>
              <w:jc w:val="left"/>
              <w:rPr>
                <w:lang w:val="en-US"/>
              </w:rPr>
            </w:pPr>
            <w:r w:rsidRPr="001468CA">
              <w:rPr>
                <w:lang w:val="en-US"/>
              </w:rPr>
              <w:t>Transmission control (switching on and off)</w:t>
            </w:r>
          </w:p>
        </w:tc>
        <w:tc>
          <w:tcPr>
            <w:tcW w:w="6972" w:type="dxa"/>
            <w:gridSpan w:val="2"/>
          </w:tcPr>
          <w:p w:rsidR="001468CA" w:rsidRPr="001468CA" w:rsidRDefault="001468CA" w:rsidP="00F2715A">
            <w:pPr>
              <w:pStyle w:val="Tabletext"/>
              <w:jc w:val="left"/>
              <w:rPr>
                <w:lang w:val="en-US"/>
              </w:rPr>
            </w:pPr>
            <w:r w:rsidRPr="001468CA">
              <w:rPr>
                <w:lang w:val="en-US"/>
              </w:rPr>
              <w:t>Planned with known associated earth station(s) or service area(s)</w:t>
            </w:r>
          </w:p>
        </w:tc>
      </w:tr>
    </w:tbl>
    <w:p w:rsidR="00F2715A" w:rsidRPr="00173E70" w:rsidRDefault="00F2715A">
      <w:pPr>
        <w:rPr>
          <w:lang w:val="en-US"/>
        </w:rPr>
      </w:pPr>
      <w:r w:rsidRPr="00173E70">
        <w:rPr>
          <w:lang w:val="en-US"/>
        </w:rPr>
        <w:br w:type="page"/>
      </w:r>
    </w:p>
    <w:p w:rsidR="00F2715A" w:rsidRPr="001468CA" w:rsidRDefault="00F2715A" w:rsidP="00F2715A">
      <w:pPr>
        <w:pStyle w:val="TableNo"/>
        <w:rPr>
          <w:lang w:val="en-US"/>
        </w:rPr>
      </w:pPr>
      <w:r w:rsidRPr="001468CA">
        <w:rPr>
          <w:lang w:val="en-US"/>
        </w:rPr>
        <w:lastRenderedPageBreak/>
        <w:t>TABLE 2</w:t>
      </w:r>
      <w:r>
        <w:rPr>
          <w:lang w:val="en-US"/>
        </w:rPr>
        <w:t xml:space="preserve"> (</w:t>
      </w:r>
      <w:r w:rsidRPr="00F2715A">
        <w:rPr>
          <w:i/>
          <w:iCs/>
          <w:lang w:val="en-US"/>
        </w:rPr>
        <w:t>end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0"/>
        <w:gridCol w:w="1777"/>
        <w:gridCol w:w="3223"/>
        <w:gridCol w:w="3749"/>
      </w:tblGrid>
      <w:tr w:rsidR="00F2715A" w:rsidRPr="00A27E8D" w:rsidTr="0023117F">
        <w:trPr>
          <w:tblHeader/>
          <w:jc w:val="center"/>
        </w:trPr>
        <w:tc>
          <w:tcPr>
            <w:tcW w:w="890" w:type="dxa"/>
          </w:tcPr>
          <w:p w:rsidR="00F2715A" w:rsidRPr="001468CA" w:rsidRDefault="00F2715A" w:rsidP="0023117F">
            <w:pPr>
              <w:pStyle w:val="Tablehead"/>
              <w:rPr>
                <w:lang w:val="en-US"/>
              </w:rPr>
            </w:pPr>
          </w:p>
        </w:tc>
        <w:tc>
          <w:tcPr>
            <w:tcW w:w="1777" w:type="dxa"/>
          </w:tcPr>
          <w:p w:rsidR="00F2715A" w:rsidRPr="00D94772" w:rsidRDefault="00F2715A" w:rsidP="0023117F">
            <w:pPr>
              <w:pStyle w:val="Tablehead"/>
            </w:pPr>
            <w:r w:rsidRPr="00D94772">
              <w:t>Satellite system characteristic</w:t>
            </w:r>
          </w:p>
        </w:tc>
        <w:tc>
          <w:tcPr>
            <w:tcW w:w="3223" w:type="dxa"/>
          </w:tcPr>
          <w:p w:rsidR="00F2715A" w:rsidRPr="00D94772" w:rsidRDefault="00F2715A" w:rsidP="0023117F">
            <w:pPr>
              <w:pStyle w:val="Tablehead"/>
            </w:pPr>
            <w:r w:rsidRPr="00D94772">
              <w:t>Traditional satellite systems</w:t>
            </w:r>
          </w:p>
        </w:tc>
        <w:tc>
          <w:tcPr>
            <w:tcW w:w="3749" w:type="dxa"/>
          </w:tcPr>
          <w:p w:rsidR="00F2715A" w:rsidRPr="001468CA" w:rsidRDefault="00F2715A" w:rsidP="0023117F">
            <w:pPr>
              <w:pStyle w:val="Tablehead"/>
              <w:rPr>
                <w:lang w:val="en-US"/>
              </w:rPr>
            </w:pPr>
            <w:r w:rsidRPr="001468CA">
              <w:rPr>
                <w:lang w:val="en-US"/>
              </w:rPr>
              <w:t>Typical nanosatellite and</w:t>
            </w:r>
            <w:r w:rsidRPr="001468CA">
              <w:rPr>
                <w:lang w:val="en-US"/>
              </w:rPr>
              <w:br/>
              <w:t>picosatellite systems</w:t>
            </w:r>
          </w:p>
        </w:tc>
      </w:tr>
      <w:tr w:rsidR="001468CA" w:rsidRPr="00A27E8D" w:rsidTr="00F2715A">
        <w:trPr>
          <w:jc w:val="center"/>
        </w:trPr>
        <w:tc>
          <w:tcPr>
            <w:tcW w:w="890" w:type="dxa"/>
            <w:vMerge w:val="restart"/>
            <w:textDirection w:val="btLr"/>
            <w:vAlign w:val="center"/>
          </w:tcPr>
          <w:p w:rsidR="001468CA" w:rsidRPr="00D94772" w:rsidRDefault="001468CA" w:rsidP="00F2715A">
            <w:pPr>
              <w:pStyle w:val="Tabletext"/>
              <w:jc w:val="center"/>
            </w:pPr>
            <w:r w:rsidRPr="00D94772">
              <w:t>Orbit considerations</w:t>
            </w:r>
          </w:p>
        </w:tc>
        <w:tc>
          <w:tcPr>
            <w:tcW w:w="1777" w:type="dxa"/>
          </w:tcPr>
          <w:p w:rsidR="001468CA" w:rsidRPr="00D94772" w:rsidRDefault="001468CA" w:rsidP="00F2715A">
            <w:pPr>
              <w:pStyle w:val="Tabletext"/>
              <w:jc w:val="left"/>
            </w:pPr>
            <w:r w:rsidRPr="00D94772">
              <w:t>Type of orbit</w:t>
            </w:r>
          </w:p>
        </w:tc>
        <w:tc>
          <w:tcPr>
            <w:tcW w:w="3223" w:type="dxa"/>
          </w:tcPr>
          <w:p w:rsidR="001468CA" w:rsidRPr="00D94772" w:rsidRDefault="001468CA" w:rsidP="00F2715A">
            <w:pPr>
              <w:pStyle w:val="Tabletext"/>
              <w:jc w:val="left"/>
            </w:pPr>
            <w:r w:rsidRPr="00D94772">
              <w:t>All types</w:t>
            </w:r>
          </w:p>
        </w:tc>
        <w:tc>
          <w:tcPr>
            <w:tcW w:w="3749" w:type="dxa"/>
          </w:tcPr>
          <w:p w:rsidR="001468CA" w:rsidRPr="001468CA" w:rsidRDefault="001468CA" w:rsidP="00173E70">
            <w:pPr>
              <w:pStyle w:val="Tabletext"/>
              <w:jc w:val="left"/>
              <w:rPr>
                <w:lang w:val="en-US"/>
              </w:rPr>
            </w:pPr>
            <w:r w:rsidRPr="001468CA">
              <w:rPr>
                <w:lang w:val="en-US"/>
              </w:rPr>
              <w:t xml:space="preserve">Mainly </w:t>
            </w:r>
            <w:r w:rsidR="00173E70">
              <w:rPr>
                <w:lang w:val="en-US"/>
              </w:rPr>
              <w:t>low E</w:t>
            </w:r>
            <w:r w:rsidR="00F2715A" w:rsidRPr="001468CA">
              <w:rPr>
                <w:lang w:val="en-US"/>
              </w:rPr>
              <w:t xml:space="preserve">arth orbit </w:t>
            </w:r>
            <w:r w:rsidRPr="001468CA">
              <w:rPr>
                <w:lang w:val="en-US"/>
              </w:rPr>
              <w:t>(LEO)</w:t>
            </w:r>
          </w:p>
        </w:tc>
      </w:tr>
      <w:tr w:rsidR="001468CA" w:rsidRPr="00D94772" w:rsidTr="00F2715A">
        <w:trPr>
          <w:jc w:val="center"/>
        </w:trPr>
        <w:tc>
          <w:tcPr>
            <w:tcW w:w="890" w:type="dxa"/>
            <w:vMerge/>
            <w:textDirection w:val="btLr"/>
          </w:tcPr>
          <w:p w:rsidR="001468CA" w:rsidRPr="001468CA" w:rsidRDefault="001468CA" w:rsidP="00F2715A">
            <w:pPr>
              <w:pStyle w:val="Tabletext"/>
              <w:rPr>
                <w:lang w:val="en-US"/>
              </w:rPr>
            </w:pPr>
          </w:p>
        </w:tc>
        <w:tc>
          <w:tcPr>
            <w:tcW w:w="1777" w:type="dxa"/>
          </w:tcPr>
          <w:p w:rsidR="001468CA" w:rsidRPr="00D94772" w:rsidRDefault="001468CA" w:rsidP="00F2715A">
            <w:pPr>
              <w:pStyle w:val="Tabletext"/>
              <w:jc w:val="left"/>
            </w:pPr>
            <w:r w:rsidRPr="00D94772">
              <w:t>Launch arrangements</w:t>
            </w:r>
          </w:p>
        </w:tc>
        <w:tc>
          <w:tcPr>
            <w:tcW w:w="3223" w:type="dxa"/>
          </w:tcPr>
          <w:p w:rsidR="001468CA" w:rsidRPr="001468CA" w:rsidRDefault="000C7DFC" w:rsidP="00F2715A">
            <w:pPr>
              <w:pStyle w:val="Tabletext"/>
              <w:jc w:val="left"/>
              <w:rPr>
                <w:lang w:val="en-US"/>
              </w:rPr>
            </w:pPr>
            <w:r>
              <w:rPr>
                <w:lang w:val="en-US"/>
              </w:rPr>
              <w:t xml:space="preserve">Established </w:t>
            </w:r>
            <w:r w:rsidR="001468CA" w:rsidRPr="001468CA">
              <w:rPr>
                <w:lang w:val="en-US"/>
              </w:rPr>
              <w:t>years in advance; however, some contractual adjustments are fairly common for commercial satellites</w:t>
            </w:r>
          </w:p>
        </w:tc>
        <w:tc>
          <w:tcPr>
            <w:tcW w:w="3749" w:type="dxa"/>
          </w:tcPr>
          <w:p w:rsidR="001468CA" w:rsidRPr="00D94772" w:rsidRDefault="001468CA" w:rsidP="00F2715A">
            <w:pPr>
              <w:pStyle w:val="Tabletext"/>
              <w:jc w:val="left"/>
            </w:pPr>
            <w:r w:rsidRPr="001468CA">
              <w:rPr>
                <w:lang w:val="en-US"/>
              </w:rPr>
              <w:t xml:space="preserve">Mostly opportunistic; based on available space on scheduled launch vehicles. </w:t>
            </w:r>
            <w:r w:rsidRPr="00D94772">
              <w:t xml:space="preserve">Possibility for dedicated launches </w:t>
            </w:r>
          </w:p>
        </w:tc>
      </w:tr>
      <w:tr w:rsidR="001468CA" w:rsidRPr="00A27E8D" w:rsidTr="00F2715A">
        <w:trPr>
          <w:jc w:val="center"/>
        </w:trPr>
        <w:tc>
          <w:tcPr>
            <w:tcW w:w="890" w:type="dxa"/>
            <w:vMerge/>
            <w:textDirection w:val="btLr"/>
          </w:tcPr>
          <w:p w:rsidR="001468CA" w:rsidRPr="00D94772" w:rsidRDefault="001468CA" w:rsidP="00F2715A">
            <w:pPr>
              <w:pStyle w:val="Tabletext"/>
            </w:pPr>
          </w:p>
        </w:tc>
        <w:tc>
          <w:tcPr>
            <w:tcW w:w="1777" w:type="dxa"/>
          </w:tcPr>
          <w:p w:rsidR="001468CA" w:rsidRPr="00D94772" w:rsidRDefault="001468CA" w:rsidP="00F2715A">
            <w:pPr>
              <w:pStyle w:val="Tabletext"/>
              <w:jc w:val="left"/>
            </w:pPr>
            <w:r w:rsidRPr="00D94772">
              <w:t xml:space="preserve">Orbit </w:t>
            </w:r>
          </w:p>
        </w:tc>
        <w:tc>
          <w:tcPr>
            <w:tcW w:w="3223" w:type="dxa"/>
          </w:tcPr>
          <w:p w:rsidR="001468CA" w:rsidRPr="001468CA" w:rsidRDefault="001468CA" w:rsidP="00F2715A">
            <w:pPr>
              <w:pStyle w:val="Tabletext"/>
              <w:jc w:val="left"/>
              <w:rPr>
                <w:lang w:val="en-US"/>
              </w:rPr>
            </w:pPr>
            <w:r w:rsidRPr="001468CA">
              <w:rPr>
                <w:lang w:val="en-US"/>
              </w:rPr>
              <w:t>Dedicated launches provide greater control over the range of orbital parameters in mission planning</w:t>
            </w:r>
          </w:p>
        </w:tc>
        <w:tc>
          <w:tcPr>
            <w:tcW w:w="3749" w:type="dxa"/>
          </w:tcPr>
          <w:p w:rsidR="001468CA" w:rsidRPr="001468CA" w:rsidRDefault="001468CA" w:rsidP="00F2715A">
            <w:pPr>
              <w:pStyle w:val="Tabletext"/>
              <w:jc w:val="left"/>
              <w:rPr>
                <w:lang w:val="en-US"/>
              </w:rPr>
            </w:pPr>
            <w:r w:rsidRPr="001468CA">
              <w:rPr>
                <w:lang w:val="en-US"/>
              </w:rPr>
              <w:t>Non-dedicated launches (e.g. opportunistic secondary payloads) may require consideration of a greater range of potential orbital parameters in mission planning</w:t>
            </w:r>
          </w:p>
        </w:tc>
      </w:tr>
      <w:tr w:rsidR="001468CA" w:rsidRPr="00A27E8D" w:rsidTr="00F2715A">
        <w:trPr>
          <w:jc w:val="center"/>
        </w:trPr>
        <w:tc>
          <w:tcPr>
            <w:tcW w:w="890" w:type="dxa"/>
            <w:vMerge/>
            <w:textDirection w:val="btLr"/>
          </w:tcPr>
          <w:p w:rsidR="001468CA" w:rsidRPr="001468CA" w:rsidRDefault="001468CA" w:rsidP="00F2715A">
            <w:pPr>
              <w:pStyle w:val="Tabletext"/>
              <w:rPr>
                <w:lang w:val="en-US"/>
              </w:rPr>
            </w:pPr>
          </w:p>
        </w:tc>
        <w:tc>
          <w:tcPr>
            <w:tcW w:w="1777" w:type="dxa"/>
          </w:tcPr>
          <w:p w:rsidR="001468CA" w:rsidRPr="00D94772" w:rsidRDefault="001468CA" w:rsidP="00F2715A">
            <w:pPr>
              <w:pStyle w:val="Tabletext"/>
              <w:jc w:val="left"/>
            </w:pPr>
            <w:r w:rsidRPr="00D94772">
              <w:t>Station keeping</w:t>
            </w:r>
          </w:p>
        </w:tc>
        <w:tc>
          <w:tcPr>
            <w:tcW w:w="3223" w:type="dxa"/>
          </w:tcPr>
          <w:p w:rsidR="001468CA" w:rsidRPr="001468CA" w:rsidRDefault="001468CA" w:rsidP="00F2715A">
            <w:pPr>
              <w:pStyle w:val="Tabletext"/>
              <w:jc w:val="left"/>
              <w:rPr>
                <w:lang w:val="en-US"/>
              </w:rPr>
            </w:pPr>
            <w:r w:rsidRPr="001468CA">
              <w:rPr>
                <w:lang w:val="en-US"/>
              </w:rPr>
              <w:t>Usually, on board propulsion to maintain orbital parameters</w:t>
            </w:r>
          </w:p>
        </w:tc>
        <w:tc>
          <w:tcPr>
            <w:tcW w:w="3749" w:type="dxa"/>
          </w:tcPr>
          <w:p w:rsidR="001468CA" w:rsidRPr="001468CA" w:rsidRDefault="001468CA" w:rsidP="00F2715A">
            <w:pPr>
              <w:pStyle w:val="Tabletext"/>
              <w:jc w:val="left"/>
              <w:rPr>
                <w:lang w:val="en-US"/>
              </w:rPr>
            </w:pPr>
            <w:r w:rsidRPr="001468CA">
              <w:rPr>
                <w:lang w:val="en-US"/>
              </w:rPr>
              <w:t>Usually, no on board propulsion or limited manoeuvring capability. Some of these missions and future missions will have propulsion systems</w:t>
            </w:r>
          </w:p>
        </w:tc>
      </w:tr>
      <w:tr w:rsidR="001468CA" w:rsidRPr="00A27E8D" w:rsidTr="00F2715A">
        <w:trPr>
          <w:jc w:val="center"/>
        </w:trPr>
        <w:tc>
          <w:tcPr>
            <w:tcW w:w="890" w:type="dxa"/>
            <w:vMerge/>
            <w:textDirection w:val="btLr"/>
          </w:tcPr>
          <w:p w:rsidR="001468CA" w:rsidRPr="001468CA" w:rsidRDefault="001468CA" w:rsidP="00F2715A">
            <w:pPr>
              <w:pStyle w:val="Tabletext"/>
              <w:rPr>
                <w:lang w:val="en-US"/>
              </w:rPr>
            </w:pPr>
          </w:p>
        </w:tc>
        <w:tc>
          <w:tcPr>
            <w:tcW w:w="1777" w:type="dxa"/>
          </w:tcPr>
          <w:p w:rsidR="001468CA" w:rsidRPr="00D94772" w:rsidRDefault="001468CA" w:rsidP="00F2715A">
            <w:pPr>
              <w:pStyle w:val="Tabletext"/>
              <w:jc w:val="left"/>
            </w:pPr>
            <w:r w:rsidRPr="00D94772">
              <w:t>Operational timeline</w:t>
            </w:r>
          </w:p>
        </w:tc>
        <w:tc>
          <w:tcPr>
            <w:tcW w:w="3223" w:type="dxa"/>
          </w:tcPr>
          <w:p w:rsidR="001468CA" w:rsidRPr="001468CA" w:rsidRDefault="001468CA" w:rsidP="00F2715A">
            <w:pPr>
              <w:pStyle w:val="Tabletext"/>
              <w:jc w:val="left"/>
              <w:rPr>
                <w:lang w:val="en-US"/>
              </w:rPr>
            </w:pPr>
            <w:r w:rsidRPr="001468CA">
              <w:rPr>
                <w:lang w:val="en-US"/>
              </w:rPr>
              <w:t>Dependent on fuel capacity/consumption and/or mission timeline</w:t>
            </w:r>
          </w:p>
        </w:tc>
        <w:tc>
          <w:tcPr>
            <w:tcW w:w="3749" w:type="dxa"/>
          </w:tcPr>
          <w:p w:rsidR="001468CA" w:rsidRPr="001468CA" w:rsidRDefault="001468CA" w:rsidP="00F2715A">
            <w:pPr>
              <w:pStyle w:val="Tabletext"/>
              <w:jc w:val="left"/>
              <w:rPr>
                <w:lang w:val="en-US"/>
              </w:rPr>
            </w:pPr>
            <w:r w:rsidRPr="001468CA">
              <w:rPr>
                <w:lang w:val="en-US"/>
              </w:rPr>
              <w:t xml:space="preserve">Often dependent on battery life, orbital altitude, and other considerations  </w:t>
            </w:r>
          </w:p>
        </w:tc>
      </w:tr>
      <w:tr w:rsidR="001468CA" w:rsidRPr="00D94772" w:rsidTr="00F2715A">
        <w:trPr>
          <w:jc w:val="center"/>
        </w:trPr>
        <w:tc>
          <w:tcPr>
            <w:tcW w:w="890" w:type="dxa"/>
            <w:vMerge w:val="restart"/>
            <w:textDirection w:val="btLr"/>
            <w:vAlign w:val="center"/>
          </w:tcPr>
          <w:p w:rsidR="001468CA" w:rsidRPr="00D94772" w:rsidRDefault="001468CA" w:rsidP="00F2715A">
            <w:pPr>
              <w:pStyle w:val="Tabletext"/>
              <w:jc w:val="center"/>
            </w:pPr>
            <w:r w:rsidRPr="00D94772">
              <w:t>Physical characteristics</w:t>
            </w:r>
          </w:p>
        </w:tc>
        <w:tc>
          <w:tcPr>
            <w:tcW w:w="1777" w:type="dxa"/>
          </w:tcPr>
          <w:p w:rsidR="001468CA" w:rsidRPr="00D94772" w:rsidRDefault="001468CA" w:rsidP="00F2715A">
            <w:pPr>
              <w:pStyle w:val="Tabletext"/>
            </w:pPr>
            <w:r w:rsidRPr="00D94772">
              <w:t>Mass</w:t>
            </w:r>
          </w:p>
        </w:tc>
        <w:tc>
          <w:tcPr>
            <w:tcW w:w="3223" w:type="dxa"/>
          </w:tcPr>
          <w:p w:rsidR="001468CA" w:rsidRPr="00D94772" w:rsidRDefault="001468CA" w:rsidP="00F2715A">
            <w:pPr>
              <w:pStyle w:val="Tabletext"/>
            </w:pPr>
            <w:r w:rsidRPr="00D94772">
              <w:t>Typically &gt; 500 kg</w:t>
            </w:r>
          </w:p>
        </w:tc>
        <w:tc>
          <w:tcPr>
            <w:tcW w:w="3749" w:type="dxa"/>
          </w:tcPr>
          <w:p w:rsidR="001468CA" w:rsidRPr="00D94772" w:rsidRDefault="001468CA" w:rsidP="00F2715A">
            <w:pPr>
              <w:pStyle w:val="Tabletext"/>
            </w:pPr>
            <w:r w:rsidRPr="00D94772">
              <w:t>Typically &lt; 10 kg</w:t>
            </w:r>
          </w:p>
        </w:tc>
      </w:tr>
      <w:tr w:rsidR="001468CA" w:rsidRPr="00A27E8D" w:rsidTr="00F2715A">
        <w:trPr>
          <w:jc w:val="center"/>
        </w:trPr>
        <w:tc>
          <w:tcPr>
            <w:tcW w:w="890" w:type="dxa"/>
            <w:vMerge/>
            <w:textDirection w:val="btLr"/>
          </w:tcPr>
          <w:p w:rsidR="001468CA" w:rsidRPr="00D94772" w:rsidRDefault="001468CA" w:rsidP="00F2715A">
            <w:pPr>
              <w:pStyle w:val="Tabletext"/>
            </w:pPr>
          </w:p>
        </w:tc>
        <w:tc>
          <w:tcPr>
            <w:tcW w:w="1777" w:type="dxa"/>
          </w:tcPr>
          <w:p w:rsidR="001468CA" w:rsidRPr="00D94772" w:rsidRDefault="001468CA" w:rsidP="00F2715A">
            <w:pPr>
              <w:pStyle w:val="Tabletext"/>
              <w:jc w:val="left"/>
            </w:pPr>
            <w:r w:rsidRPr="00D94772">
              <w:t>Linear dimensions</w:t>
            </w:r>
          </w:p>
        </w:tc>
        <w:tc>
          <w:tcPr>
            <w:tcW w:w="3223" w:type="dxa"/>
          </w:tcPr>
          <w:p w:rsidR="001468CA" w:rsidRPr="001468CA" w:rsidRDefault="001468CA" w:rsidP="00F2715A">
            <w:pPr>
              <w:pStyle w:val="Tabletext"/>
              <w:jc w:val="left"/>
              <w:rPr>
                <w:lang w:val="en-US"/>
              </w:rPr>
            </w:pPr>
            <w:r w:rsidRPr="001468CA">
              <w:rPr>
                <w:lang w:val="en-US"/>
              </w:rPr>
              <w:t>Up to several m</w:t>
            </w:r>
            <w:r w:rsidR="00F2715A">
              <w:rPr>
                <w:lang w:val="en-US"/>
              </w:rPr>
              <w:t xml:space="preserve">etres in any linear dimension. </w:t>
            </w:r>
            <w:r w:rsidRPr="001468CA">
              <w:rPr>
                <w:lang w:val="en-US"/>
              </w:rPr>
              <w:t>Solar panels may increase physical size</w:t>
            </w:r>
          </w:p>
        </w:tc>
        <w:tc>
          <w:tcPr>
            <w:tcW w:w="3749" w:type="dxa"/>
          </w:tcPr>
          <w:p w:rsidR="001468CA" w:rsidRPr="001468CA" w:rsidRDefault="001468CA" w:rsidP="00F2715A">
            <w:pPr>
              <w:pStyle w:val="Tabletext"/>
              <w:jc w:val="left"/>
              <w:rPr>
                <w:lang w:val="en-US"/>
              </w:rPr>
            </w:pPr>
            <w:r w:rsidRPr="001468CA">
              <w:rPr>
                <w:lang w:val="en-US"/>
              </w:rPr>
              <w:t>As small as 10 cm. Simple antennas or other components may extend from the spacecraft bus and substantially increase the linear dimensions</w:t>
            </w:r>
          </w:p>
        </w:tc>
      </w:tr>
      <w:tr w:rsidR="001468CA" w:rsidRPr="00A27E8D" w:rsidTr="00F2715A">
        <w:trPr>
          <w:jc w:val="center"/>
        </w:trPr>
        <w:tc>
          <w:tcPr>
            <w:tcW w:w="890" w:type="dxa"/>
            <w:vMerge w:val="restart"/>
            <w:tcBorders>
              <w:top w:val="single" w:sz="4" w:space="0" w:color="auto"/>
              <w:left w:val="single" w:sz="4" w:space="0" w:color="auto"/>
              <w:right w:val="single" w:sz="4" w:space="0" w:color="auto"/>
            </w:tcBorders>
            <w:textDirection w:val="btLr"/>
            <w:vAlign w:val="center"/>
          </w:tcPr>
          <w:p w:rsidR="001468CA" w:rsidRPr="0083425B" w:rsidRDefault="001468CA" w:rsidP="00F2715A">
            <w:pPr>
              <w:pStyle w:val="Tabletext"/>
              <w:jc w:val="center"/>
            </w:pPr>
            <w:r w:rsidRPr="006926D6">
              <w:t>Other considerations</w:t>
            </w:r>
          </w:p>
        </w:tc>
        <w:tc>
          <w:tcPr>
            <w:tcW w:w="1777" w:type="dxa"/>
            <w:tcBorders>
              <w:top w:val="single" w:sz="4" w:space="0" w:color="auto"/>
              <w:left w:val="single" w:sz="4" w:space="0" w:color="auto"/>
              <w:bottom w:val="single" w:sz="4" w:space="0" w:color="auto"/>
              <w:right w:val="single" w:sz="4" w:space="0" w:color="auto"/>
            </w:tcBorders>
          </w:tcPr>
          <w:p w:rsidR="001468CA" w:rsidRPr="00C77036" w:rsidRDefault="001468CA" w:rsidP="00F2715A">
            <w:pPr>
              <w:pStyle w:val="Tabletext"/>
              <w:jc w:val="left"/>
            </w:pPr>
            <w:r w:rsidRPr="002F69D9" w:rsidDel="00DF1F38">
              <w:t>Applicable radio service</w:t>
            </w:r>
          </w:p>
        </w:tc>
        <w:tc>
          <w:tcPr>
            <w:tcW w:w="6972" w:type="dxa"/>
            <w:gridSpan w:val="2"/>
            <w:tcBorders>
              <w:top w:val="single" w:sz="4" w:space="0" w:color="auto"/>
              <w:left w:val="single" w:sz="4" w:space="0" w:color="auto"/>
              <w:bottom w:val="single" w:sz="4" w:space="0" w:color="auto"/>
              <w:right w:val="single" w:sz="4" w:space="0" w:color="auto"/>
            </w:tcBorders>
          </w:tcPr>
          <w:p w:rsidR="001468CA" w:rsidRPr="001468CA" w:rsidRDefault="001468CA" w:rsidP="00F2715A">
            <w:pPr>
              <w:pStyle w:val="Tabletext"/>
              <w:jc w:val="left"/>
              <w:rPr>
                <w:lang w:val="en-US"/>
              </w:rPr>
            </w:pPr>
            <w:r w:rsidRPr="001468CA" w:rsidDel="00DF1F38">
              <w:rPr>
                <w:lang w:val="en-US"/>
              </w:rPr>
              <w:t>Any space radio services could apply to traditional or nanosatellite or picosatellite systems depending on their mission requirements</w:t>
            </w:r>
          </w:p>
        </w:tc>
      </w:tr>
      <w:tr w:rsidR="001468CA" w:rsidRPr="00A27E8D" w:rsidTr="00F2715A">
        <w:trPr>
          <w:jc w:val="center"/>
        </w:trPr>
        <w:tc>
          <w:tcPr>
            <w:tcW w:w="890" w:type="dxa"/>
            <w:vMerge/>
            <w:tcBorders>
              <w:left w:val="single" w:sz="4" w:space="0" w:color="auto"/>
              <w:right w:val="single" w:sz="4" w:space="0" w:color="auto"/>
            </w:tcBorders>
            <w:textDirection w:val="btLr"/>
          </w:tcPr>
          <w:p w:rsidR="001468CA" w:rsidRPr="001468CA" w:rsidRDefault="001468CA" w:rsidP="00F2715A">
            <w:pPr>
              <w:pStyle w:val="Tabletext"/>
              <w:rPr>
                <w:highlight w:val="green"/>
                <w:lang w:val="en-US"/>
              </w:rPr>
            </w:pPr>
          </w:p>
        </w:tc>
        <w:tc>
          <w:tcPr>
            <w:tcW w:w="1777" w:type="dxa"/>
            <w:tcBorders>
              <w:top w:val="single" w:sz="4" w:space="0" w:color="auto"/>
              <w:left w:val="single" w:sz="4" w:space="0" w:color="auto"/>
              <w:bottom w:val="single" w:sz="4" w:space="0" w:color="auto"/>
              <w:right w:val="single" w:sz="4" w:space="0" w:color="auto"/>
            </w:tcBorders>
          </w:tcPr>
          <w:p w:rsidR="001468CA" w:rsidRPr="00C77036" w:rsidRDefault="001468CA" w:rsidP="00F2715A">
            <w:pPr>
              <w:pStyle w:val="Tabletext"/>
              <w:jc w:val="left"/>
            </w:pPr>
            <w:r w:rsidRPr="00C77036">
              <w:t>Class of Station</w:t>
            </w:r>
          </w:p>
        </w:tc>
        <w:tc>
          <w:tcPr>
            <w:tcW w:w="6972" w:type="dxa"/>
            <w:gridSpan w:val="2"/>
            <w:tcBorders>
              <w:top w:val="single" w:sz="4" w:space="0" w:color="auto"/>
              <w:left w:val="single" w:sz="4" w:space="0" w:color="auto"/>
              <w:bottom w:val="single" w:sz="4" w:space="0" w:color="auto"/>
              <w:right w:val="single" w:sz="4" w:space="0" w:color="auto"/>
            </w:tcBorders>
          </w:tcPr>
          <w:p w:rsidR="001468CA" w:rsidRPr="001468CA" w:rsidRDefault="001468CA" w:rsidP="00F2715A">
            <w:pPr>
              <w:pStyle w:val="Tabletext"/>
              <w:jc w:val="left"/>
              <w:rPr>
                <w:lang w:val="en-US"/>
              </w:rPr>
            </w:pPr>
            <w:r w:rsidRPr="001468CA">
              <w:rPr>
                <w:lang w:val="en-US"/>
              </w:rPr>
              <w:t>Any class of station could apply to traditional or nanosatellite or picosatellite systems depending on their mission requirements</w:t>
            </w:r>
          </w:p>
        </w:tc>
      </w:tr>
      <w:tr w:rsidR="001468CA" w:rsidRPr="002F69D9" w:rsidTr="00F2715A">
        <w:trPr>
          <w:jc w:val="center"/>
        </w:trPr>
        <w:tc>
          <w:tcPr>
            <w:tcW w:w="890" w:type="dxa"/>
            <w:vMerge/>
            <w:tcBorders>
              <w:left w:val="single" w:sz="4" w:space="0" w:color="auto"/>
              <w:right w:val="single" w:sz="4" w:space="0" w:color="auto"/>
            </w:tcBorders>
          </w:tcPr>
          <w:p w:rsidR="001468CA" w:rsidRPr="001468CA" w:rsidRDefault="001468CA" w:rsidP="00F2715A">
            <w:pPr>
              <w:pStyle w:val="Tabletext"/>
              <w:rPr>
                <w:highlight w:val="green"/>
                <w:lang w:val="en-US"/>
              </w:rPr>
            </w:pPr>
          </w:p>
        </w:tc>
        <w:tc>
          <w:tcPr>
            <w:tcW w:w="1777" w:type="dxa"/>
            <w:tcBorders>
              <w:left w:val="single" w:sz="4" w:space="0" w:color="auto"/>
            </w:tcBorders>
          </w:tcPr>
          <w:p w:rsidR="001468CA" w:rsidRPr="00C77036" w:rsidRDefault="001468CA" w:rsidP="00F2715A">
            <w:pPr>
              <w:pStyle w:val="Tabletext"/>
              <w:jc w:val="left"/>
            </w:pPr>
            <w:r w:rsidRPr="00C77036">
              <w:t>Development and launch timeline</w:t>
            </w:r>
          </w:p>
        </w:tc>
        <w:tc>
          <w:tcPr>
            <w:tcW w:w="3223" w:type="dxa"/>
          </w:tcPr>
          <w:p w:rsidR="001468CA" w:rsidRPr="00A470EB" w:rsidRDefault="001468CA" w:rsidP="007373C6">
            <w:pPr>
              <w:pStyle w:val="Tabletext"/>
              <w:jc w:val="left"/>
            </w:pPr>
            <w:r>
              <w:t xml:space="preserve">Typically 3-5 </w:t>
            </w:r>
            <w:r w:rsidR="007373C6">
              <w:t>y</w:t>
            </w:r>
            <w:r w:rsidRPr="00A470EB">
              <w:t>ears</w:t>
            </w:r>
          </w:p>
        </w:tc>
        <w:tc>
          <w:tcPr>
            <w:tcW w:w="3749" w:type="dxa"/>
          </w:tcPr>
          <w:p w:rsidR="001468CA" w:rsidRPr="00A470EB" w:rsidRDefault="001468CA" w:rsidP="00F2715A">
            <w:pPr>
              <w:pStyle w:val="Tabletext"/>
              <w:jc w:val="left"/>
            </w:pPr>
            <w:r w:rsidRPr="00A470EB">
              <w:t>Months to few years</w:t>
            </w:r>
          </w:p>
        </w:tc>
      </w:tr>
      <w:tr w:rsidR="001468CA" w:rsidRPr="00A27E8D" w:rsidTr="00F2715A">
        <w:trPr>
          <w:jc w:val="center"/>
        </w:trPr>
        <w:tc>
          <w:tcPr>
            <w:tcW w:w="890" w:type="dxa"/>
            <w:vMerge/>
            <w:tcBorders>
              <w:left w:val="single" w:sz="4" w:space="0" w:color="auto"/>
              <w:right w:val="single" w:sz="4" w:space="0" w:color="auto"/>
            </w:tcBorders>
          </w:tcPr>
          <w:p w:rsidR="001468CA" w:rsidRPr="006926D6" w:rsidRDefault="001468CA" w:rsidP="00F2715A">
            <w:pPr>
              <w:pStyle w:val="Tabletext"/>
              <w:rPr>
                <w:highlight w:val="green"/>
              </w:rPr>
            </w:pPr>
          </w:p>
        </w:tc>
        <w:tc>
          <w:tcPr>
            <w:tcW w:w="1777" w:type="dxa"/>
            <w:tcBorders>
              <w:left w:val="single" w:sz="4" w:space="0" w:color="auto"/>
            </w:tcBorders>
          </w:tcPr>
          <w:p w:rsidR="001468CA" w:rsidRPr="00C77036" w:rsidRDefault="001468CA" w:rsidP="00F2715A">
            <w:pPr>
              <w:pStyle w:val="Tabletext"/>
              <w:jc w:val="left"/>
            </w:pPr>
            <w:r w:rsidRPr="00C77036">
              <w:t>Authorization</w:t>
            </w:r>
          </w:p>
        </w:tc>
        <w:tc>
          <w:tcPr>
            <w:tcW w:w="6972" w:type="dxa"/>
            <w:gridSpan w:val="2"/>
          </w:tcPr>
          <w:p w:rsidR="001468CA" w:rsidRPr="001468CA" w:rsidRDefault="001468CA" w:rsidP="00F2715A">
            <w:pPr>
              <w:pStyle w:val="Tabletext"/>
              <w:jc w:val="left"/>
              <w:rPr>
                <w:lang w:val="en-US"/>
              </w:rPr>
            </w:pPr>
            <w:r w:rsidRPr="001468CA">
              <w:rPr>
                <w:lang w:val="en-US"/>
              </w:rPr>
              <w:t>Domestic and international filing and licensing requirements apply to both space systems. However, the desired development and deployment timelines for nanosatellite and picosatellite systems may be much shorter than those of the filing procedures in some space radiocommunication services</w:t>
            </w:r>
          </w:p>
        </w:tc>
      </w:tr>
      <w:tr w:rsidR="001468CA" w:rsidRPr="00A27E8D" w:rsidTr="00F2715A">
        <w:trPr>
          <w:jc w:val="center"/>
        </w:trPr>
        <w:tc>
          <w:tcPr>
            <w:tcW w:w="890" w:type="dxa"/>
            <w:vMerge/>
            <w:tcBorders>
              <w:left w:val="single" w:sz="4" w:space="0" w:color="auto"/>
              <w:right w:val="single" w:sz="4" w:space="0" w:color="auto"/>
            </w:tcBorders>
          </w:tcPr>
          <w:p w:rsidR="001468CA" w:rsidRPr="001468CA" w:rsidRDefault="001468CA" w:rsidP="00F2715A">
            <w:pPr>
              <w:pStyle w:val="Tabletext"/>
              <w:rPr>
                <w:highlight w:val="green"/>
                <w:lang w:val="en-US"/>
              </w:rPr>
            </w:pPr>
          </w:p>
        </w:tc>
        <w:tc>
          <w:tcPr>
            <w:tcW w:w="1777" w:type="dxa"/>
            <w:tcBorders>
              <w:left w:val="single" w:sz="4" w:space="0" w:color="auto"/>
            </w:tcBorders>
          </w:tcPr>
          <w:p w:rsidR="001468CA" w:rsidRPr="00C77036" w:rsidRDefault="001468CA" w:rsidP="00F2715A">
            <w:pPr>
              <w:pStyle w:val="Tabletext"/>
              <w:jc w:val="left"/>
            </w:pPr>
            <w:r w:rsidRPr="00C77036">
              <w:t>Hardware cost (excluding launch)</w:t>
            </w:r>
          </w:p>
        </w:tc>
        <w:tc>
          <w:tcPr>
            <w:tcW w:w="3223" w:type="dxa"/>
          </w:tcPr>
          <w:p w:rsidR="001468CA" w:rsidRPr="001468CA" w:rsidRDefault="001468CA" w:rsidP="00F2715A">
            <w:pPr>
              <w:pStyle w:val="Tabletext"/>
              <w:jc w:val="left"/>
              <w:rPr>
                <w:lang w:val="en-US"/>
              </w:rPr>
            </w:pPr>
            <w:r w:rsidRPr="001468CA">
              <w:rPr>
                <w:lang w:val="en-US"/>
              </w:rPr>
              <w:t>Hundreds of thousands to tens of millions of USD</w:t>
            </w:r>
          </w:p>
        </w:tc>
        <w:tc>
          <w:tcPr>
            <w:tcW w:w="3749" w:type="dxa"/>
          </w:tcPr>
          <w:p w:rsidR="001468CA" w:rsidRPr="001468CA" w:rsidRDefault="001468CA" w:rsidP="00F2715A">
            <w:pPr>
              <w:pStyle w:val="Tabletext"/>
              <w:jc w:val="left"/>
              <w:rPr>
                <w:lang w:val="en-US"/>
              </w:rPr>
            </w:pPr>
            <w:r w:rsidRPr="001468CA">
              <w:rPr>
                <w:lang w:val="en-US"/>
              </w:rPr>
              <w:t xml:space="preserve">Tens to hundreds of thousands USD </w:t>
            </w:r>
          </w:p>
        </w:tc>
      </w:tr>
      <w:tr w:rsidR="001468CA" w:rsidRPr="00A27E8D" w:rsidTr="00F2715A">
        <w:trPr>
          <w:jc w:val="center"/>
        </w:trPr>
        <w:tc>
          <w:tcPr>
            <w:tcW w:w="890" w:type="dxa"/>
            <w:vMerge/>
            <w:tcBorders>
              <w:left w:val="single" w:sz="4" w:space="0" w:color="auto"/>
              <w:right w:val="single" w:sz="4" w:space="0" w:color="auto"/>
            </w:tcBorders>
          </w:tcPr>
          <w:p w:rsidR="001468CA" w:rsidRPr="001468CA" w:rsidRDefault="001468CA" w:rsidP="00F2715A">
            <w:pPr>
              <w:pStyle w:val="Tabletext"/>
              <w:rPr>
                <w:highlight w:val="green"/>
                <w:lang w:val="en-US"/>
              </w:rPr>
            </w:pPr>
          </w:p>
        </w:tc>
        <w:tc>
          <w:tcPr>
            <w:tcW w:w="1777" w:type="dxa"/>
            <w:tcBorders>
              <w:left w:val="single" w:sz="4" w:space="0" w:color="auto"/>
            </w:tcBorders>
          </w:tcPr>
          <w:p w:rsidR="001468CA" w:rsidRPr="00C77036" w:rsidRDefault="001468CA" w:rsidP="00F2715A">
            <w:pPr>
              <w:pStyle w:val="Tabletext"/>
              <w:jc w:val="left"/>
            </w:pPr>
            <w:r w:rsidRPr="00C77036">
              <w:t>Spectrum management cost</w:t>
            </w:r>
          </w:p>
        </w:tc>
        <w:tc>
          <w:tcPr>
            <w:tcW w:w="3223" w:type="dxa"/>
          </w:tcPr>
          <w:p w:rsidR="001468CA" w:rsidRPr="001468CA" w:rsidRDefault="001468CA" w:rsidP="00F2715A">
            <w:pPr>
              <w:pStyle w:val="Tabletext"/>
              <w:jc w:val="left"/>
              <w:rPr>
                <w:lang w:val="en-US"/>
              </w:rPr>
            </w:pPr>
            <w:r w:rsidRPr="001468CA">
              <w:rPr>
                <w:lang w:val="en-US"/>
              </w:rPr>
              <w:t>Low compared to cost of satellite</w:t>
            </w:r>
          </w:p>
        </w:tc>
        <w:tc>
          <w:tcPr>
            <w:tcW w:w="3749" w:type="dxa"/>
          </w:tcPr>
          <w:p w:rsidR="001468CA" w:rsidRPr="001468CA" w:rsidRDefault="001468CA" w:rsidP="00F2715A">
            <w:pPr>
              <w:pStyle w:val="Tabletext"/>
              <w:jc w:val="left"/>
              <w:rPr>
                <w:lang w:val="en-US"/>
              </w:rPr>
            </w:pPr>
            <w:r w:rsidRPr="001468CA">
              <w:rPr>
                <w:lang w:val="en-US"/>
              </w:rPr>
              <w:t>With the exception of the amateur-satellite service, for nanosatellite and picosatellite satellite systems, the cost for the filing, coordination and notification procedure may be relatively high compared to the hardware cost</w:t>
            </w:r>
          </w:p>
        </w:tc>
      </w:tr>
      <w:tr w:rsidR="001468CA" w:rsidRPr="00A27E8D" w:rsidTr="00F2715A">
        <w:trPr>
          <w:jc w:val="center"/>
        </w:trPr>
        <w:tc>
          <w:tcPr>
            <w:tcW w:w="890" w:type="dxa"/>
            <w:vMerge/>
            <w:tcBorders>
              <w:left w:val="single" w:sz="4" w:space="0" w:color="auto"/>
              <w:right w:val="single" w:sz="4" w:space="0" w:color="auto"/>
            </w:tcBorders>
          </w:tcPr>
          <w:p w:rsidR="001468CA" w:rsidRPr="001468CA" w:rsidRDefault="001468CA" w:rsidP="00F2715A">
            <w:pPr>
              <w:pStyle w:val="Tabletext"/>
              <w:rPr>
                <w:highlight w:val="green"/>
                <w:lang w:val="en-US"/>
              </w:rPr>
            </w:pPr>
          </w:p>
        </w:tc>
        <w:tc>
          <w:tcPr>
            <w:tcW w:w="1777" w:type="dxa"/>
            <w:tcBorders>
              <w:left w:val="single" w:sz="4" w:space="0" w:color="auto"/>
            </w:tcBorders>
          </w:tcPr>
          <w:p w:rsidR="001468CA" w:rsidRPr="00305A99" w:rsidRDefault="001468CA" w:rsidP="00F2715A">
            <w:pPr>
              <w:pStyle w:val="Tabletext"/>
            </w:pPr>
            <w:r w:rsidRPr="002F69D9">
              <w:t>Interference considerations</w:t>
            </w:r>
          </w:p>
        </w:tc>
        <w:tc>
          <w:tcPr>
            <w:tcW w:w="6972" w:type="dxa"/>
            <w:gridSpan w:val="2"/>
          </w:tcPr>
          <w:p w:rsidR="001468CA" w:rsidRPr="001468CA" w:rsidRDefault="001468CA" w:rsidP="00F2715A">
            <w:pPr>
              <w:pStyle w:val="Tabletext"/>
              <w:jc w:val="left"/>
              <w:rPr>
                <w:lang w:val="en-US"/>
              </w:rPr>
            </w:pPr>
            <w:r w:rsidRPr="001468CA">
              <w:rPr>
                <w:lang w:val="en-US"/>
              </w:rPr>
              <w:t>Protection criteria and status as defined by ITU-R Recommendations and the Radio Regulations apply equally to both space systems</w:t>
            </w:r>
          </w:p>
        </w:tc>
      </w:tr>
    </w:tbl>
    <w:p w:rsidR="001468CA" w:rsidRPr="001468CA" w:rsidRDefault="001468CA" w:rsidP="001468CA">
      <w:pPr>
        <w:pStyle w:val="Heading1"/>
        <w:rPr>
          <w:lang w:val="en-US"/>
        </w:rPr>
      </w:pPr>
      <w:bookmarkStart w:id="15" w:name="_Toc400363519"/>
      <w:bookmarkStart w:id="16" w:name="_Toc402962821"/>
      <w:r w:rsidRPr="001468CA">
        <w:rPr>
          <w:lang w:val="en-US"/>
        </w:rPr>
        <w:lastRenderedPageBreak/>
        <w:t>4</w:t>
      </w:r>
      <w:r w:rsidRPr="001468CA">
        <w:rPr>
          <w:lang w:val="en-US"/>
        </w:rPr>
        <w:tab/>
        <w:t>Characteristics of nanosatellite and picosatellite systems</w:t>
      </w:r>
      <w:bookmarkEnd w:id="15"/>
      <w:bookmarkEnd w:id="16"/>
    </w:p>
    <w:p w:rsidR="001468CA" w:rsidRPr="001468CA" w:rsidRDefault="001468CA" w:rsidP="00F2715A">
      <w:pPr>
        <w:overflowPunct/>
        <w:autoSpaceDE/>
        <w:autoSpaceDN/>
        <w:adjustRightInd/>
        <w:textAlignment w:val="auto"/>
        <w:rPr>
          <w:lang w:val="en-US"/>
        </w:rPr>
      </w:pPr>
      <w:r w:rsidRPr="001468CA">
        <w:rPr>
          <w:lang w:val="en-US"/>
        </w:rPr>
        <w:t>The following sections present characteristics of nanosatellite and picosatellite systems that may differ from traditional satellite systems. These characteristics include programmatic timeline, launches, deployment mechanisms, manoeuvring and propulsion, and command and control. These characteristics do not necessarily serve as a definition from a frequency management perspective, but they show some differences between nanosatellite and picosatellite systems and traditional satellite systems which may apply.</w:t>
      </w:r>
    </w:p>
    <w:p w:rsidR="001468CA" w:rsidRPr="001468CA" w:rsidRDefault="001468CA" w:rsidP="001468CA">
      <w:pPr>
        <w:pStyle w:val="Heading2"/>
        <w:rPr>
          <w:lang w:val="en-US"/>
        </w:rPr>
      </w:pPr>
      <w:bookmarkStart w:id="17" w:name="_Toc400363520"/>
      <w:bookmarkStart w:id="18" w:name="_Toc402962822"/>
      <w:r w:rsidRPr="001468CA">
        <w:rPr>
          <w:lang w:val="en-US"/>
        </w:rPr>
        <w:t>4.1</w:t>
      </w:r>
      <w:r w:rsidRPr="001468CA">
        <w:rPr>
          <w:lang w:val="en-US"/>
        </w:rPr>
        <w:tab/>
        <w:t>Programmatic timeline</w:t>
      </w:r>
      <w:bookmarkEnd w:id="17"/>
      <w:bookmarkEnd w:id="18"/>
    </w:p>
    <w:p w:rsidR="001468CA" w:rsidRPr="001468CA" w:rsidRDefault="001468CA" w:rsidP="001468CA">
      <w:pPr>
        <w:rPr>
          <w:lang w:val="en-US"/>
        </w:rPr>
      </w:pPr>
      <w:bookmarkStart w:id="19" w:name="_Toc217095312"/>
      <w:r w:rsidRPr="001468CA">
        <w:rPr>
          <w:lang w:val="en-US"/>
        </w:rPr>
        <w:t>The technologies that have enabled the development of nanosatellites and picosatellites have the potential to facilitate satellite missions for science, education, government and industry more quickly and at lower cost than missions relying on larger and more complicated satellites that may involve more complex developmental processes.</w:t>
      </w:r>
    </w:p>
    <w:p w:rsidR="001468CA" w:rsidRPr="001468CA" w:rsidRDefault="001468CA" w:rsidP="001468CA">
      <w:pPr>
        <w:rPr>
          <w:szCs w:val="24"/>
          <w:lang w:val="en-US"/>
        </w:rPr>
      </w:pPr>
      <w:r w:rsidRPr="001468CA">
        <w:rPr>
          <w:lang w:val="en-US"/>
        </w:rPr>
        <w:t xml:space="preserve">Nanosatellites and picosatellites have been used for a number of new, innovative and unique payloads and missions. Currently, many nanosatellite and picosatellite developers are pursuing project timelines as short as 9-24 months from inception to bringing into use. </w:t>
      </w:r>
      <w:r w:rsidRPr="001468CA">
        <w:rPr>
          <w:szCs w:val="24"/>
          <w:lang w:val="en-US"/>
        </w:rPr>
        <w:t>Table 3, below, shows, for example, the time-line, in days elapsed, from the preliminary design review to de-orbit for one project.</w:t>
      </w:r>
    </w:p>
    <w:p w:rsidR="001468CA" w:rsidRDefault="001468CA" w:rsidP="001468CA">
      <w:pPr>
        <w:rPr>
          <w:szCs w:val="16"/>
          <w:lang w:val="en-US"/>
        </w:rPr>
      </w:pPr>
      <w:r w:rsidRPr="001468CA">
        <w:rPr>
          <w:lang w:val="en-US"/>
        </w:rPr>
        <w:t>A key driver for this capability is the availability of pre-qualified components on the commercial market, and the high degree of re-use of qualified or heritage designs. Entire satellite buses can be kept on the shelf and be integrated with one or more payloads in a very short time. As the satellite can thus be accepted for flight in a short timeframe, a key timeline constraint within these programs is to determine or assume frequencies of operation early.</w:t>
      </w:r>
    </w:p>
    <w:p w:rsidR="001468CA" w:rsidRPr="00F07E29" w:rsidRDefault="001468CA" w:rsidP="001468CA">
      <w:pPr>
        <w:pStyle w:val="TableNo"/>
        <w:rPr>
          <w:caps/>
          <w:szCs w:val="16"/>
          <w:lang w:val="en-US"/>
        </w:rPr>
      </w:pPr>
      <w:r w:rsidRPr="00F07E29">
        <w:rPr>
          <w:szCs w:val="16"/>
          <w:lang w:val="en-US"/>
        </w:rPr>
        <w:t xml:space="preserve">TABLE </w:t>
      </w:r>
      <w:r>
        <w:rPr>
          <w:szCs w:val="16"/>
          <w:lang w:val="en-US"/>
        </w:rPr>
        <w:t>3</w:t>
      </w:r>
    </w:p>
    <w:bookmarkEnd w:id="19"/>
    <w:p w:rsidR="001468CA" w:rsidRPr="00F07E29" w:rsidRDefault="001468CA" w:rsidP="001468CA">
      <w:pPr>
        <w:pStyle w:val="Tabletitle"/>
        <w:rPr>
          <w:szCs w:val="16"/>
          <w:lang w:val="en-US"/>
        </w:rPr>
      </w:pPr>
      <w:r w:rsidRPr="00F07E29">
        <w:rPr>
          <w:szCs w:val="16"/>
          <w:lang w:val="en-US"/>
        </w:rPr>
        <w:t>Exampl</w:t>
      </w:r>
      <w:r>
        <w:rPr>
          <w:szCs w:val="16"/>
          <w:lang w:val="en-US"/>
        </w:rPr>
        <w:t>e of a picosatellite mission lifetime</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2"/>
        <w:gridCol w:w="1292"/>
      </w:tblGrid>
      <w:tr w:rsidR="001468CA" w:rsidRPr="00801C03" w:rsidTr="00F2715A">
        <w:trPr>
          <w:jc w:val="center"/>
        </w:trPr>
        <w:tc>
          <w:tcPr>
            <w:tcW w:w="0" w:type="auto"/>
          </w:tcPr>
          <w:p w:rsidR="001468CA" w:rsidRPr="00801C03" w:rsidRDefault="001468CA" w:rsidP="0023117F">
            <w:pPr>
              <w:pStyle w:val="Tablehead"/>
            </w:pPr>
            <w:r w:rsidRPr="00801C03">
              <w:t>Milestone</w:t>
            </w:r>
          </w:p>
        </w:tc>
        <w:tc>
          <w:tcPr>
            <w:tcW w:w="0" w:type="auto"/>
          </w:tcPr>
          <w:p w:rsidR="001468CA" w:rsidRPr="00801C03" w:rsidRDefault="001468CA" w:rsidP="0023117F">
            <w:pPr>
              <w:pStyle w:val="Tablehead"/>
            </w:pPr>
            <w:r w:rsidRPr="00801C03">
              <w:t>Day</w:t>
            </w:r>
          </w:p>
        </w:tc>
      </w:tr>
      <w:tr w:rsidR="001468CA" w:rsidRPr="00801C03" w:rsidTr="00F2715A">
        <w:trPr>
          <w:jc w:val="center"/>
        </w:trPr>
        <w:tc>
          <w:tcPr>
            <w:tcW w:w="0" w:type="auto"/>
          </w:tcPr>
          <w:p w:rsidR="001468CA" w:rsidRPr="00801C03" w:rsidRDefault="001468CA" w:rsidP="0023117F">
            <w:pPr>
              <w:pStyle w:val="Tabletext"/>
            </w:pPr>
            <w:r w:rsidRPr="00801C03">
              <w:t>Preliminary design review</w:t>
            </w:r>
          </w:p>
        </w:tc>
        <w:tc>
          <w:tcPr>
            <w:tcW w:w="0" w:type="auto"/>
          </w:tcPr>
          <w:p w:rsidR="001468CA" w:rsidRPr="00801C03" w:rsidRDefault="001468CA" w:rsidP="0023117F">
            <w:pPr>
              <w:pStyle w:val="Tabletext"/>
              <w:jc w:val="center"/>
            </w:pPr>
            <w:r w:rsidRPr="00801C03">
              <w:t>0</w:t>
            </w:r>
          </w:p>
        </w:tc>
      </w:tr>
      <w:tr w:rsidR="001468CA" w:rsidRPr="00801C03" w:rsidTr="00F2715A">
        <w:trPr>
          <w:jc w:val="center"/>
        </w:trPr>
        <w:tc>
          <w:tcPr>
            <w:tcW w:w="0" w:type="auto"/>
          </w:tcPr>
          <w:p w:rsidR="001468CA" w:rsidRPr="00801C03" w:rsidRDefault="001468CA" w:rsidP="0023117F">
            <w:pPr>
              <w:pStyle w:val="Tabletext"/>
            </w:pPr>
            <w:r w:rsidRPr="00801C03">
              <w:t>Critical design review</w:t>
            </w:r>
          </w:p>
        </w:tc>
        <w:tc>
          <w:tcPr>
            <w:tcW w:w="0" w:type="auto"/>
          </w:tcPr>
          <w:p w:rsidR="001468CA" w:rsidRPr="00801C03" w:rsidRDefault="001468CA" w:rsidP="0023117F">
            <w:pPr>
              <w:pStyle w:val="Tabletext"/>
              <w:jc w:val="center"/>
            </w:pPr>
            <w:r w:rsidRPr="00801C03">
              <w:t>53</w:t>
            </w:r>
          </w:p>
        </w:tc>
      </w:tr>
      <w:tr w:rsidR="001468CA" w:rsidRPr="00801C03" w:rsidTr="00F2715A">
        <w:trPr>
          <w:jc w:val="center"/>
        </w:trPr>
        <w:tc>
          <w:tcPr>
            <w:tcW w:w="0" w:type="auto"/>
          </w:tcPr>
          <w:p w:rsidR="001468CA" w:rsidRPr="00801C03" w:rsidRDefault="001468CA" w:rsidP="0023117F">
            <w:pPr>
              <w:pStyle w:val="Tabletext"/>
            </w:pPr>
            <w:r w:rsidRPr="00801C03">
              <w:t>Launch</w:t>
            </w:r>
          </w:p>
        </w:tc>
        <w:tc>
          <w:tcPr>
            <w:tcW w:w="0" w:type="auto"/>
          </w:tcPr>
          <w:p w:rsidR="001468CA" w:rsidRPr="00801C03" w:rsidRDefault="001468CA" w:rsidP="0023117F">
            <w:pPr>
              <w:pStyle w:val="Tabletext"/>
              <w:jc w:val="center"/>
            </w:pPr>
            <w:r w:rsidRPr="00801C03">
              <w:t>206</w:t>
            </w:r>
          </w:p>
        </w:tc>
      </w:tr>
      <w:tr w:rsidR="001468CA" w:rsidRPr="00801C03" w:rsidTr="00F2715A">
        <w:trPr>
          <w:jc w:val="center"/>
        </w:trPr>
        <w:tc>
          <w:tcPr>
            <w:tcW w:w="0" w:type="auto"/>
          </w:tcPr>
          <w:p w:rsidR="001468CA" w:rsidRPr="00801C03" w:rsidRDefault="001468CA" w:rsidP="0023117F">
            <w:pPr>
              <w:pStyle w:val="Tabletext"/>
            </w:pPr>
            <w:r w:rsidRPr="00801C03">
              <w:t>Complete in orbit tests</w:t>
            </w:r>
          </w:p>
        </w:tc>
        <w:tc>
          <w:tcPr>
            <w:tcW w:w="0" w:type="auto"/>
          </w:tcPr>
          <w:p w:rsidR="001468CA" w:rsidRPr="00801C03" w:rsidRDefault="001468CA" w:rsidP="0023117F">
            <w:pPr>
              <w:pStyle w:val="Tabletext"/>
              <w:jc w:val="center"/>
            </w:pPr>
            <w:r w:rsidRPr="00801C03">
              <w:t>277</w:t>
            </w:r>
          </w:p>
        </w:tc>
      </w:tr>
      <w:tr w:rsidR="001468CA" w:rsidRPr="00801C03" w:rsidTr="00F2715A">
        <w:trPr>
          <w:jc w:val="center"/>
        </w:trPr>
        <w:tc>
          <w:tcPr>
            <w:tcW w:w="0" w:type="auto"/>
          </w:tcPr>
          <w:p w:rsidR="001468CA" w:rsidRPr="00801C03" w:rsidRDefault="001468CA" w:rsidP="0023117F">
            <w:pPr>
              <w:pStyle w:val="Tabletext"/>
            </w:pPr>
            <w:r w:rsidRPr="00801C03">
              <w:t>Begin in orbit mission</w:t>
            </w:r>
          </w:p>
        </w:tc>
        <w:tc>
          <w:tcPr>
            <w:tcW w:w="0" w:type="auto"/>
          </w:tcPr>
          <w:p w:rsidR="001468CA" w:rsidRPr="00801C03" w:rsidRDefault="001468CA" w:rsidP="0023117F">
            <w:pPr>
              <w:pStyle w:val="Tabletext"/>
              <w:jc w:val="center"/>
            </w:pPr>
            <w:r w:rsidRPr="00801C03">
              <w:t>287</w:t>
            </w:r>
          </w:p>
        </w:tc>
      </w:tr>
      <w:tr w:rsidR="001468CA" w:rsidRPr="00801C03" w:rsidTr="00F2715A">
        <w:trPr>
          <w:jc w:val="center"/>
        </w:trPr>
        <w:tc>
          <w:tcPr>
            <w:tcW w:w="0" w:type="auto"/>
          </w:tcPr>
          <w:p w:rsidR="001468CA" w:rsidRPr="00801C03" w:rsidRDefault="001468CA" w:rsidP="0023117F">
            <w:pPr>
              <w:pStyle w:val="Tabletext"/>
            </w:pPr>
            <w:r w:rsidRPr="00801C03">
              <w:t>De-orbit</w:t>
            </w:r>
          </w:p>
        </w:tc>
        <w:tc>
          <w:tcPr>
            <w:tcW w:w="0" w:type="auto"/>
          </w:tcPr>
          <w:p w:rsidR="001468CA" w:rsidRPr="00801C03" w:rsidRDefault="001468CA" w:rsidP="0023117F">
            <w:pPr>
              <w:pStyle w:val="Tabletext"/>
              <w:jc w:val="center"/>
            </w:pPr>
            <w:r w:rsidRPr="00801C03">
              <w:t>392</w:t>
            </w:r>
          </w:p>
        </w:tc>
      </w:tr>
    </w:tbl>
    <w:p w:rsidR="00F2715A" w:rsidRDefault="00F2715A" w:rsidP="00F2715A">
      <w:pPr>
        <w:pStyle w:val="Tablefin"/>
      </w:pPr>
      <w:bookmarkStart w:id="20" w:name="_Toc400363521"/>
    </w:p>
    <w:p w:rsidR="001468CA" w:rsidRPr="00276347" w:rsidRDefault="001468CA" w:rsidP="001468CA">
      <w:pPr>
        <w:pStyle w:val="Heading2"/>
      </w:pPr>
      <w:bookmarkStart w:id="21" w:name="_Toc402962823"/>
      <w:r>
        <w:t>4</w:t>
      </w:r>
      <w:r w:rsidRPr="00276347">
        <w:t>.2</w:t>
      </w:r>
      <w:r w:rsidRPr="00276347">
        <w:tab/>
        <w:t>Launches</w:t>
      </w:r>
      <w:bookmarkEnd w:id="20"/>
      <w:bookmarkEnd w:id="21"/>
    </w:p>
    <w:p w:rsidR="001468CA" w:rsidRPr="001468CA" w:rsidRDefault="001468CA" w:rsidP="001468CA">
      <w:pPr>
        <w:rPr>
          <w:lang w:val="en-US"/>
        </w:rPr>
      </w:pPr>
      <w:r w:rsidRPr="001468CA">
        <w:rPr>
          <w:lang w:val="en-US"/>
        </w:rPr>
        <w:t>Depending on specific mission objectives, nanosatellite and picosatellite missions may or may not have particular orbital requirements. Within these mission constraints, nanosatellite and picosatellite operators may have a number of potential launch opportunities available, and may thus not have knowledge of specific orbital characteristics until a launch vehicle is selected.</w:t>
      </w:r>
      <w:r w:rsidRPr="005527F6">
        <w:rPr>
          <w:lang w:val="en-US"/>
        </w:rPr>
        <w:t xml:space="preserve"> </w:t>
      </w:r>
      <w:r w:rsidRPr="001468CA">
        <w:rPr>
          <w:lang w:val="en-US"/>
        </w:rPr>
        <w:t>This can occur as little as a few months before the actual launch and well into the development timeline of the satellite.</w:t>
      </w:r>
    </w:p>
    <w:p w:rsidR="001468CA" w:rsidRPr="001468CA" w:rsidRDefault="001468CA" w:rsidP="001468CA">
      <w:pPr>
        <w:rPr>
          <w:lang w:val="en-US"/>
        </w:rPr>
      </w:pPr>
      <w:r w:rsidRPr="001468CA">
        <w:rPr>
          <w:lang w:val="en-US"/>
        </w:rPr>
        <w:t xml:space="preserve">Nanosatellites and picosatellites have, to date, been launched mostly as secondary payloads, meaning that the primary mission for the launch vehicle involves the launch of one or more larger satellites. Because the launch vehicle often has sufficient excess lift capacity to permit the addition </w:t>
      </w:r>
      <w:r w:rsidRPr="001468CA">
        <w:rPr>
          <w:lang w:val="en-US"/>
        </w:rPr>
        <w:lastRenderedPageBreak/>
        <w:t>of the lightweight nanosatellites and picosatellites to the launch mission, those satellites can “piggyback” on a primary payload, so long as the mission requirements for the nanosatellite or picosatellite are consistent with the mission profile for the launch vehicle. Because of the interest in nanosatellites and picosatellites, mission developers are now considering whether dedicated launches and/or launch vehicles would be useful.</w:t>
      </w:r>
    </w:p>
    <w:p w:rsidR="001468CA" w:rsidRPr="001468CA" w:rsidRDefault="001468CA" w:rsidP="00450903">
      <w:pPr>
        <w:rPr>
          <w:lang w:val="en-US"/>
        </w:rPr>
      </w:pPr>
      <w:r w:rsidRPr="001468CA">
        <w:rPr>
          <w:lang w:val="en-US"/>
        </w:rPr>
        <w:t>Currently, most nanosatellites and picosatellites are launched using separation systems that require minimal interfaces with the launch vehicle. Many separation systems exist with flight heritage on a variety of launch vehicles, including several different manufacturers from around the world providing CubeSat-standard compatible systems, allowing satellite developers to design to a common form factor and encouraging the use of off-the-shelf subsystems from a variety of vendors. These characteristics allow for rapid launch arrangements and accommodation on the launch vehicle, often shared with several other nanosatellites or picosatellites from different organizations.</w:t>
      </w:r>
    </w:p>
    <w:p w:rsidR="001468CA" w:rsidRPr="001468CA" w:rsidRDefault="001468CA" w:rsidP="001468CA">
      <w:pPr>
        <w:pStyle w:val="Heading2"/>
        <w:rPr>
          <w:lang w:val="en-US"/>
        </w:rPr>
      </w:pPr>
      <w:bookmarkStart w:id="22" w:name="_Toc400363522"/>
      <w:bookmarkStart w:id="23" w:name="_Toc402962824"/>
      <w:r w:rsidRPr="001468CA">
        <w:rPr>
          <w:lang w:val="en-US"/>
        </w:rPr>
        <w:t>4.3</w:t>
      </w:r>
      <w:r w:rsidRPr="001468CA">
        <w:rPr>
          <w:lang w:val="en-US"/>
        </w:rPr>
        <w:tab/>
        <w:t>Manoeuvring and propulsion</w:t>
      </w:r>
      <w:bookmarkEnd w:id="22"/>
      <w:bookmarkEnd w:id="23"/>
    </w:p>
    <w:p w:rsidR="001468CA" w:rsidRPr="001468CA" w:rsidRDefault="001468CA" w:rsidP="001468CA">
      <w:pPr>
        <w:rPr>
          <w:lang w:val="en-US"/>
        </w:rPr>
      </w:pPr>
      <w:r w:rsidRPr="001468CA">
        <w:rPr>
          <w:lang w:val="en-US"/>
        </w:rPr>
        <w:t>Due to size and weight constraints, most nanosatellites and picosatellites to date have not included propellant or manoeuvring capability, and, once injected in orbit, have limited or no autonomous manoeuvring or station keeping capabilities. However, propulsion and attitude control systems are available to be incorporated into nanosatellites and picosatellites. These propulsion systems include mono propellant systems with a stored propellant, reactive chemical systems using multiple stored chemicals, and electrical or plasma propulsion systems. Also, spacecraft attitude may be maintained using propulsion methods that supplement reaction wheel control systems or magnetic torque coils. Nanosatellites and picosatellites may also have deployable aerodynamic devices to increase drag to promote orbit decay or other orbit manoeuvring. All of these devices and systems are also available for standard satellites, just in a smaller form factor. Though constrained by small physical and mass requirements, the control provided by these manoeuvring and attitude control systems are sufficient due to the mass of the satellite to meet mission needs. However, due to particular mission needs, such attitude or orbit control systems might not be incorporated into some nanosatellites and picosatellites.</w:t>
      </w:r>
    </w:p>
    <w:p w:rsidR="001468CA" w:rsidRPr="001468CA" w:rsidRDefault="001468CA" w:rsidP="001468CA">
      <w:pPr>
        <w:rPr>
          <w:b/>
          <w:lang w:val="en-US"/>
        </w:rPr>
      </w:pPr>
      <w:r w:rsidRPr="001468CA">
        <w:rPr>
          <w:lang w:val="en-US"/>
        </w:rPr>
        <w:t>As with larger satellites, the orbits of nanosatellites and picosatellites that lack manoeuvring capabilities will decay naturally over time and cannot be intentionally changed. The time that will elapse before any satellite decays from orbit is highly dependent on orbital characteristics and spacecraft design and may be as little as a few months or as long as a few decades. Just like larger satellites, nanosatellites or picosatellites that operate for only a matter of months can present a risk of collision with operational satellites and other orbital debris for decades. Even though many nanosatellite and picosatellite systems have no autonomous manoeuvring, the decay can be determined using up-to-date orbital element data.</w:t>
      </w:r>
    </w:p>
    <w:p w:rsidR="001468CA" w:rsidRPr="001468CA" w:rsidRDefault="001468CA" w:rsidP="001468CA">
      <w:pPr>
        <w:pStyle w:val="Heading2"/>
        <w:rPr>
          <w:lang w:val="en-US"/>
        </w:rPr>
      </w:pPr>
      <w:bookmarkStart w:id="24" w:name="_Toc400363523"/>
      <w:bookmarkStart w:id="25" w:name="_Toc402962825"/>
      <w:r w:rsidRPr="001468CA">
        <w:rPr>
          <w:lang w:val="en-US"/>
        </w:rPr>
        <w:t>4.4</w:t>
      </w:r>
      <w:r w:rsidRPr="001468CA">
        <w:rPr>
          <w:lang w:val="en-US"/>
        </w:rPr>
        <w:tab/>
        <w:t>TT&amp;C and communication links</w:t>
      </w:r>
      <w:bookmarkEnd w:id="24"/>
      <w:bookmarkEnd w:id="25"/>
    </w:p>
    <w:p w:rsidR="001468CA" w:rsidRPr="001468CA" w:rsidRDefault="001468CA" w:rsidP="00173E70">
      <w:pPr>
        <w:rPr>
          <w:lang w:val="en-US"/>
        </w:rPr>
      </w:pPr>
      <w:r w:rsidRPr="001468CA">
        <w:rPr>
          <w:lang w:val="en-US"/>
        </w:rPr>
        <w:t xml:space="preserve">Under No. </w:t>
      </w:r>
      <w:r w:rsidRPr="001468CA">
        <w:rPr>
          <w:b/>
          <w:lang w:val="en-US"/>
        </w:rPr>
        <w:t>15.1</w:t>
      </w:r>
      <w:r w:rsidRPr="001468CA">
        <w:rPr>
          <w:lang w:val="en-US"/>
        </w:rPr>
        <w:t xml:space="preserve"> of the Radio Regulations</w:t>
      </w:r>
      <w:r w:rsidR="00173E70">
        <w:rPr>
          <w:lang w:val="en-US"/>
        </w:rPr>
        <w:t xml:space="preserve"> (RR)</w:t>
      </w:r>
      <w:r w:rsidRPr="001468CA">
        <w:rPr>
          <w:lang w:val="en-US"/>
        </w:rPr>
        <w:t xml:space="preserve">, transmissions, which are unnecessary or superfluous, are prohibited. Further, under No. </w:t>
      </w:r>
      <w:r w:rsidRPr="001468CA">
        <w:rPr>
          <w:b/>
          <w:lang w:val="en-US"/>
        </w:rPr>
        <w:t>22.1</w:t>
      </w:r>
      <w:r w:rsidRPr="001468CA">
        <w:rPr>
          <w:lang w:val="en-US"/>
        </w:rPr>
        <w:t xml:space="preserve"> of the R</w:t>
      </w:r>
      <w:r w:rsidR="00173E70">
        <w:rPr>
          <w:lang w:val="en-US"/>
        </w:rPr>
        <w:t>R</w:t>
      </w:r>
      <w:r w:rsidRPr="001468CA">
        <w:rPr>
          <w:lang w:val="en-US"/>
        </w:rPr>
        <w:t>, space stations shall be fitted with devices to ensure immediate cessation of their radio emissions by telecommand, whenever such cessation is required under the provisions of the Radio Regulations.</w:t>
      </w:r>
    </w:p>
    <w:p w:rsidR="001468CA" w:rsidRPr="001468CA" w:rsidRDefault="001468CA" w:rsidP="00450903">
      <w:pPr>
        <w:rPr>
          <w:lang w:val="en-US"/>
        </w:rPr>
      </w:pPr>
      <w:r w:rsidRPr="001468CA">
        <w:rPr>
          <w:lang w:val="en-US"/>
        </w:rPr>
        <w:t>In order to comply with requirements to control and have the ability to cease transmissions, some nanosatellite and picosatellite missions have implemented a passively-safe system whereby the satellite is actively commanded to transmit when in view of an associated earth station.</w:t>
      </w:r>
    </w:p>
    <w:p w:rsidR="001468CA" w:rsidRPr="001468CA" w:rsidRDefault="001468CA" w:rsidP="001468CA">
      <w:pPr>
        <w:rPr>
          <w:lang w:val="en-US"/>
        </w:rPr>
      </w:pPr>
      <w:r w:rsidRPr="001468CA">
        <w:rPr>
          <w:lang w:val="en-US"/>
        </w:rPr>
        <w:t>Some nanosatellite and picosatellites use multiple frequencies for telemetry and data downlinks, as such they are no different than traditional satellites.</w:t>
      </w:r>
    </w:p>
    <w:p w:rsidR="001468CA" w:rsidRPr="001468CA" w:rsidRDefault="001468CA" w:rsidP="00450903">
      <w:pPr>
        <w:pStyle w:val="Heading2"/>
        <w:rPr>
          <w:lang w:val="en-US"/>
        </w:rPr>
      </w:pPr>
      <w:bookmarkStart w:id="26" w:name="_Toc400363524"/>
      <w:bookmarkStart w:id="27" w:name="_Toc402962826"/>
      <w:r w:rsidRPr="001468CA">
        <w:rPr>
          <w:lang w:val="en-US"/>
        </w:rPr>
        <w:lastRenderedPageBreak/>
        <w:t>4.5</w:t>
      </w:r>
      <w:r w:rsidRPr="001468CA">
        <w:rPr>
          <w:lang w:val="en-US"/>
        </w:rPr>
        <w:tab/>
      </w:r>
      <w:r w:rsidRPr="00173E70">
        <w:rPr>
          <w:lang w:val="en-US"/>
        </w:rPr>
        <w:t>Ground</w:t>
      </w:r>
      <w:r w:rsidRPr="001468CA">
        <w:rPr>
          <w:lang w:val="en-US"/>
        </w:rPr>
        <w:t xml:space="preserve"> segment</w:t>
      </w:r>
      <w:bookmarkEnd w:id="26"/>
      <w:bookmarkEnd w:id="27"/>
    </w:p>
    <w:p w:rsidR="001468CA" w:rsidRPr="001468CA" w:rsidRDefault="001468CA" w:rsidP="00450903">
      <w:pPr>
        <w:rPr>
          <w:b/>
          <w:lang w:val="en-US"/>
        </w:rPr>
      </w:pPr>
      <w:r w:rsidRPr="001468CA">
        <w:rPr>
          <w:lang w:val="en-US"/>
        </w:rPr>
        <w:t>Historically, most nanosatellite and picosatellite missions have utilized a single earth station. These stations are typically small, comprising one or more directional antennas.</w:t>
      </w:r>
    </w:p>
    <w:p w:rsidR="001468CA" w:rsidRPr="00450903" w:rsidRDefault="001468CA" w:rsidP="00450903">
      <w:pPr>
        <w:rPr>
          <w:bCs/>
          <w:lang w:val="en-US"/>
        </w:rPr>
      </w:pPr>
      <w:r w:rsidRPr="00450903">
        <w:rPr>
          <w:rStyle w:val="Strong"/>
          <w:b w:val="0"/>
          <w:lang w:val="en-US"/>
        </w:rPr>
        <w:t>Recent developments in networks of cooperative earth stations have enabled satellite operators to receive telemetry throughout large proportions of the orbit. This means that the coverage area can be global.</w:t>
      </w:r>
      <w:r w:rsidRPr="00450903">
        <w:rPr>
          <w:b/>
          <w:lang w:val="en-US"/>
        </w:rPr>
        <w:t xml:space="preserve"> </w:t>
      </w:r>
      <w:r w:rsidRPr="00450903">
        <w:rPr>
          <w:bCs/>
          <w:lang w:val="en-US"/>
        </w:rPr>
        <w:t>Thus, many of these nanosatellite and picosatellite missions would have to notify based on near</w:t>
      </w:r>
      <w:r w:rsidRPr="00450903">
        <w:rPr>
          <w:bCs/>
          <w:lang w:val="en-US"/>
        </w:rPr>
        <w:noBreakHyphen/>
        <w:t>global coverage.</w:t>
      </w:r>
    </w:p>
    <w:p w:rsidR="001468CA" w:rsidRPr="00450903" w:rsidRDefault="001468CA" w:rsidP="001468CA">
      <w:pPr>
        <w:rPr>
          <w:bCs/>
          <w:szCs w:val="24"/>
          <w:lang w:val="en-US"/>
        </w:rPr>
      </w:pPr>
      <w:r w:rsidRPr="00450903">
        <w:rPr>
          <w:rStyle w:val="Strong"/>
          <w:b w:val="0"/>
          <w:lang w:val="en-US"/>
        </w:rPr>
        <w:t xml:space="preserve">Some nanosatellite and picosatellite operators envisage using telecommand links from the earth station to the satellite, using output powers of up to 50 W in the bands allocated to the meteorological-satellite service, Earth exploration-satellite service and mobile-satellite service frequency allocations bands below 1 GHz. Antenna having maximum gains up to 10 dBi are planned. Therefore, the corresponding </w:t>
      </w:r>
      <w:r w:rsidR="00173E70" w:rsidRPr="00450903">
        <w:rPr>
          <w:rStyle w:val="Strong"/>
          <w:b w:val="0"/>
          <w:lang w:val="en-US"/>
        </w:rPr>
        <w:t>e</w:t>
      </w:r>
      <w:r w:rsidR="00173E70">
        <w:rPr>
          <w:rStyle w:val="Strong"/>
          <w:b w:val="0"/>
          <w:lang w:val="en-US"/>
        </w:rPr>
        <w:t>.</w:t>
      </w:r>
      <w:r w:rsidR="00173E70" w:rsidRPr="00450903">
        <w:rPr>
          <w:rStyle w:val="Strong"/>
          <w:b w:val="0"/>
          <w:lang w:val="en-US"/>
        </w:rPr>
        <w:t>i</w:t>
      </w:r>
      <w:r w:rsidR="00173E70">
        <w:rPr>
          <w:rStyle w:val="Strong"/>
          <w:b w:val="0"/>
          <w:lang w:val="en-US"/>
        </w:rPr>
        <w:t>.</w:t>
      </w:r>
      <w:r w:rsidR="00173E70" w:rsidRPr="00450903">
        <w:rPr>
          <w:rStyle w:val="Strong"/>
          <w:b w:val="0"/>
          <w:lang w:val="en-US"/>
        </w:rPr>
        <w:t>r</w:t>
      </w:r>
      <w:r w:rsidR="00173E70">
        <w:rPr>
          <w:rStyle w:val="Strong"/>
          <w:b w:val="0"/>
          <w:lang w:val="en-US"/>
        </w:rPr>
        <w:t>.</w:t>
      </w:r>
      <w:r w:rsidR="00173E70" w:rsidRPr="00450903">
        <w:rPr>
          <w:rStyle w:val="Strong"/>
          <w:b w:val="0"/>
          <w:lang w:val="en-US"/>
        </w:rPr>
        <w:t>p</w:t>
      </w:r>
      <w:r w:rsidR="00173E70">
        <w:rPr>
          <w:rStyle w:val="Strong"/>
          <w:b w:val="0"/>
          <w:lang w:val="en-US"/>
        </w:rPr>
        <w:t>.</w:t>
      </w:r>
      <w:r w:rsidR="00173E70" w:rsidRPr="00450903">
        <w:rPr>
          <w:rStyle w:val="Strong"/>
          <w:b w:val="0"/>
          <w:lang w:val="en-US"/>
        </w:rPr>
        <w:t xml:space="preserve"> </w:t>
      </w:r>
      <w:r w:rsidRPr="00450903">
        <w:rPr>
          <w:rStyle w:val="Strong"/>
          <w:b w:val="0"/>
          <w:lang w:val="en-US"/>
        </w:rPr>
        <w:t>is up to 27 dBW.</w:t>
      </w:r>
      <w:r w:rsidRPr="00450903">
        <w:rPr>
          <w:b/>
          <w:szCs w:val="24"/>
          <w:lang w:val="en-US"/>
        </w:rPr>
        <w:t xml:space="preserve"> </w:t>
      </w:r>
      <w:r w:rsidRPr="00450903">
        <w:rPr>
          <w:bCs/>
          <w:szCs w:val="24"/>
          <w:lang w:val="en-US"/>
        </w:rPr>
        <w:t xml:space="preserve">This has the potential to cause harmful interference. </w:t>
      </w:r>
      <w:r w:rsidRPr="00450903">
        <w:rPr>
          <w:rStyle w:val="Strong"/>
          <w:b w:val="0"/>
          <w:lang w:val="en-US"/>
        </w:rPr>
        <w:t>Generally, the</w:t>
      </w:r>
      <w:r w:rsidRPr="00450903">
        <w:rPr>
          <w:bCs/>
          <w:szCs w:val="24"/>
          <w:lang w:val="en-US"/>
        </w:rPr>
        <w:t xml:space="preserve"> Earth-to-space transmission only occurs when the nanosatellite is in visibility of the corresponding earth station(s).</w:t>
      </w:r>
    </w:p>
    <w:p w:rsidR="001468CA" w:rsidRPr="001468CA" w:rsidRDefault="001468CA" w:rsidP="00450903">
      <w:pPr>
        <w:pStyle w:val="Heading2"/>
        <w:rPr>
          <w:lang w:val="en-US"/>
        </w:rPr>
      </w:pPr>
      <w:bookmarkStart w:id="28" w:name="_Toc400363525"/>
      <w:bookmarkStart w:id="29" w:name="_Toc402962827"/>
      <w:r w:rsidRPr="001468CA">
        <w:rPr>
          <w:lang w:val="en-US"/>
        </w:rPr>
        <w:t>4.6</w:t>
      </w:r>
      <w:r w:rsidRPr="001468CA">
        <w:rPr>
          <w:lang w:val="en-US"/>
        </w:rPr>
        <w:tab/>
      </w:r>
      <w:r w:rsidRPr="00173E70">
        <w:rPr>
          <w:lang w:val="en-US"/>
        </w:rPr>
        <w:t>Radiocommunication</w:t>
      </w:r>
      <w:r w:rsidRPr="001468CA">
        <w:rPr>
          <w:lang w:val="en-US"/>
        </w:rPr>
        <w:t xml:space="preserve"> services in which nanosatellites and picosatellites typically operate</w:t>
      </w:r>
      <w:bookmarkEnd w:id="28"/>
      <w:bookmarkEnd w:id="29"/>
    </w:p>
    <w:p w:rsidR="001468CA" w:rsidRPr="00450903" w:rsidRDefault="001468CA" w:rsidP="00450903">
      <w:pPr>
        <w:rPr>
          <w:rStyle w:val="Strong"/>
          <w:b w:val="0"/>
          <w:lang w:val="en-US"/>
        </w:rPr>
      </w:pPr>
      <w:r w:rsidRPr="001468CA">
        <w:rPr>
          <w:lang w:val="en-US"/>
        </w:rPr>
        <w:t xml:space="preserve">Based on filings received by the BR in 2013, </w:t>
      </w:r>
      <w:r w:rsidRPr="00450903">
        <w:rPr>
          <w:rStyle w:val="Strong"/>
          <w:b w:val="0"/>
          <w:lang w:val="en-US"/>
        </w:rPr>
        <w:t xml:space="preserve">most nanosatellites and picosatellites use the very high frequency (VHF) and </w:t>
      </w:r>
      <w:r w:rsidR="007373C6" w:rsidRPr="00450903">
        <w:rPr>
          <w:rStyle w:val="Strong"/>
          <w:b w:val="0"/>
          <w:lang w:val="en-US"/>
        </w:rPr>
        <w:t>ultra-high</w:t>
      </w:r>
      <w:r w:rsidRPr="00450903">
        <w:rPr>
          <w:rStyle w:val="Strong"/>
          <w:b w:val="0"/>
          <w:lang w:val="en-US"/>
        </w:rPr>
        <w:t xml:space="preserve"> frequency (UHF) amateur-satellite service bands, while especially for the higher bands, the application is often for the space research service or the Earth exploration-satellite service. The nature of service is mostly operational traffic only or public correspondence. Some operators registered their systems to be private correspondence only or at least limited public, especially for uplink transmissions.</w:t>
      </w:r>
    </w:p>
    <w:p w:rsidR="001468CA" w:rsidRPr="001468CA" w:rsidRDefault="001468CA" w:rsidP="001468CA">
      <w:pPr>
        <w:pStyle w:val="Heading2"/>
        <w:rPr>
          <w:lang w:val="en-US"/>
        </w:rPr>
      </w:pPr>
      <w:bookmarkStart w:id="30" w:name="_Toc400363526"/>
      <w:bookmarkStart w:id="31" w:name="_Toc402962828"/>
      <w:r w:rsidRPr="001468CA">
        <w:rPr>
          <w:lang w:val="en-US"/>
        </w:rPr>
        <w:t>4.7</w:t>
      </w:r>
      <w:r w:rsidRPr="001468CA">
        <w:rPr>
          <w:lang w:val="en-US"/>
        </w:rPr>
        <w:tab/>
        <w:t>Operational lifetime</w:t>
      </w:r>
      <w:bookmarkEnd w:id="30"/>
      <w:bookmarkEnd w:id="31"/>
    </w:p>
    <w:p w:rsidR="001468CA" w:rsidRPr="001468CA" w:rsidRDefault="001468CA" w:rsidP="00450903">
      <w:pPr>
        <w:rPr>
          <w:lang w:val="en-US"/>
        </w:rPr>
      </w:pPr>
      <w:r w:rsidRPr="001468CA">
        <w:rPr>
          <w:lang w:val="en-US"/>
        </w:rPr>
        <w:t xml:space="preserve">As mentioned in </w:t>
      </w:r>
      <w:r w:rsidR="00450903">
        <w:rPr>
          <w:lang w:val="en-US"/>
        </w:rPr>
        <w:t>T</w:t>
      </w:r>
      <w:r w:rsidRPr="001468CA">
        <w:rPr>
          <w:lang w:val="en-US"/>
        </w:rPr>
        <w:t>able 2, the operational lifetime of nanosatellites and picosatellites is typically much shorter than for traditional satellites. Normally it is limited to the lifetime of the batteries, the electronic components and for some low altitude orbits, the orbital decay. Since the components are mostly COTS and not developed for space applications, the limit to their survival is about 1</w:t>
      </w:r>
      <w:r w:rsidR="00450903">
        <w:rPr>
          <w:lang w:val="en-US"/>
        </w:rPr>
        <w:noBreakHyphen/>
      </w:r>
      <w:r w:rsidRPr="001468CA">
        <w:rPr>
          <w:lang w:val="en-US"/>
        </w:rPr>
        <w:t>5</w:t>
      </w:r>
      <w:r w:rsidR="00450903">
        <w:rPr>
          <w:lang w:val="en-US"/>
        </w:rPr>
        <w:t> </w:t>
      </w:r>
      <w:r w:rsidRPr="001468CA">
        <w:rPr>
          <w:lang w:val="en-US"/>
        </w:rPr>
        <w:t>years.</w:t>
      </w:r>
    </w:p>
    <w:p w:rsidR="001468CA" w:rsidRPr="001468CA" w:rsidRDefault="001468CA" w:rsidP="001468CA">
      <w:pPr>
        <w:pStyle w:val="Heading2"/>
        <w:rPr>
          <w:lang w:val="en-US"/>
        </w:rPr>
      </w:pPr>
      <w:bookmarkStart w:id="32" w:name="_Toc400363527"/>
      <w:bookmarkStart w:id="33" w:name="_Toc402962829"/>
      <w:r w:rsidRPr="001468CA">
        <w:rPr>
          <w:lang w:val="en-US"/>
        </w:rPr>
        <w:t>4.8</w:t>
      </w:r>
      <w:r w:rsidRPr="001468CA">
        <w:rPr>
          <w:lang w:val="en-US"/>
        </w:rPr>
        <w:tab/>
        <w:t>Satellite transmission power</w:t>
      </w:r>
      <w:bookmarkEnd w:id="32"/>
      <w:bookmarkEnd w:id="33"/>
    </w:p>
    <w:p w:rsidR="001468CA" w:rsidRPr="001468CA" w:rsidRDefault="001468CA" w:rsidP="00173E70">
      <w:pPr>
        <w:rPr>
          <w:lang w:val="en-US"/>
        </w:rPr>
      </w:pPr>
      <w:r w:rsidRPr="001468CA">
        <w:rPr>
          <w:lang w:val="en-US"/>
        </w:rPr>
        <w:t xml:space="preserve">Transmitters on board nanosatellites and picosatellites normally are only low power devices with small antennas. The radio frequency (RF) output power is typically around 1 Watt and typically not higher than 5 Watt. Also, the bandwidth, antenna gain and the </w:t>
      </w:r>
      <w:r w:rsidR="00173E70" w:rsidRPr="00450903">
        <w:rPr>
          <w:rStyle w:val="Strong"/>
          <w:b w:val="0"/>
          <w:lang w:val="en-US"/>
        </w:rPr>
        <w:t>e</w:t>
      </w:r>
      <w:r w:rsidR="00173E70">
        <w:rPr>
          <w:rStyle w:val="Strong"/>
          <w:b w:val="0"/>
          <w:lang w:val="en-US"/>
        </w:rPr>
        <w:t>.</w:t>
      </w:r>
      <w:r w:rsidR="00173E70" w:rsidRPr="00450903">
        <w:rPr>
          <w:rStyle w:val="Strong"/>
          <w:b w:val="0"/>
          <w:lang w:val="en-US"/>
        </w:rPr>
        <w:t>i</w:t>
      </w:r>
      <w:r w:rsidR="00173E70">
        <w:rPr>
          <w:rStyle w:val="Strong"/>
          <w:b w:val="0"/>
          <w:lang w:val="en-US"/>
        </w:rPr>
        <w:t>.</w:t>
      </w:r>
      <w:r w:rsidR="00173E70" w:rsidRPr="00450903">
        <w:rPr>
          <w:rStyle w:val="Strong"/>
          <w:b w:val="0"/>
          <w:lang w:val="en-US"/>
        </w:rPr>
        <w:t>r</w:t>
      </w:r>
      <w:r w:rsidR="00173E70">
        <w:rPr>
          <w:rStyle w:val="Strong"/>
          <w:b w:val="0"/>
          <w:lang w:val="en-US"/>
        </w:rPr>
        <w:t>.</w:t>
      </w:r>
      <w:r w:rsidR="00173E70" w:rsidRPr="00450903">
        <w:rPr>
          <w:rStyle w:val="Strong"/>
          <w:b w:val="0"/>
          <w:lang w:val="en-US"/>
        </w:rPr>
        <w:t>p</w:t>
      </w:r>
      <w:r w:rsidR="00173E70">
        <w:rPr>
          <w:rStyle w:val="Strong"/>
          <w:b w:val="0"/>
          <w:lang w:val="en-US"/>
        </w:rPr>
        <w:t xml:space="preserve">. </w:t>
      </w:r>
      <w:r w:rsidRPr="001468CA">
        <w:rPr>
          <w:lang w:val="en-US"/>
        </w:rPr>
        <w:t>highly depend on the frequency band. Table 4 shows typical values for different frequency bands. Since the occupied bandwidths involved are generally low, the resulting power spectral density can still be high. Depending on the mission, orbit and power generation capability, the transmission duty cycle of nanosatellites and picosatellites can vary from 10-15 minutes to continuous transmission over the entire orbital period. Some satellites operate a higher power transmitter for a shorter portion of the orbit. In this regard, nanosatellites and picosatellites cannot be distinguished from traditional satellites.</w:t>
      </w:r>
    </w:p>
    <w:p w:rsidR="001468CA" w:rsidRPr="00DB4C46" w:rsidRDefault="00705E9B" w:rsidP="001468CA">
      <w:pPr>
        <w:pStyle w:val="TableNo"/>
        <w:rPr>
          <w:lang w:val="en-US"/>
        </w:rPr>
      </w:pPr>
      <w:r w:rsidRPr="001468CA">
        <w:rPr>
          <w:lang w:val="en-US"/>
        </w:rPr>
        <w:lastRenderedPageBreak/>
        <w:t xml:space="preserve">TABLE </w:t>
      </w:r>
      <w:r w:rsidR="001468CA" w:rsidRPr="001468CA">
        <w:rPr>
          <w:lang w:val="en-US"/>
        </w:rPr>
        <w:t>4</w:t>
      </w:r>
    </w:p>
    <w:p w:rsidR="001468CA" w:rsidRPr="00173E70" w:rsidRDefault="001468CA" w:rsidP="00705E9B">
      <w:pPr>
        <w:pStyle w:val="Tabletitle"/>
        <w:rPr>
          <w:rStyle w:val="TabletitleChar"/>
          <w:rFonts w:ascii="Times New Roman" w:hAnsi="Times New Roman"/>
          <w:b/>
          <w:lang w:val="en-US"/>
        </w:rPr>
      </w:pPr>
      <w:r w:rsidRPr="00173E70">
        <w:rPr>
          <w:rStyle w:val="TabletitleChar"/>
          <w:rFonts w:ascii="Times New Roman" w:hAnsi="Times New Roman"/>
          <w:b/>
          <w:lang w:val="en-US"/>
        </w:rPr>
        <w:t>Typical nanosatellite and picosatellite RF characteristics for different frequency bands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2"/>
        <w:gridCol w:w="1874"/>
        <w:gridCol w:w="2187"/>
        <w:gridCol w:w="2342"/>
      </w:tblGrid>
      <w:tr w:rsidR="001468CA" w:rsidRPr="00DB4C46" w:rsidTr="005E7405">
        <w:trPr>
          <w:jc w:val="center"/>
        </w:trPr>
        <w:tc>
          <w:tcPr>
            <w:tcW w:w="1909" w:type="dxa"/>
            <w:shd w:val="clear" w:color="auto" w:fill="auto"/>
            <w:vAlign w:val="center"/>
          </w:tcPr>
          <w:p w:rsidR="001468CA" w:rsidRPr="007809DB" w:rsidRDefault="00173E70" w:rsidP="0023117F">
            <w:pPr>
              <w:pStyle w:val="Tablehead"/>
            </w:pPr>
            <w:r>
              <w:t>Frequency b</w:t>
            </w:r>
            <w:r w:rsidR="001468CA" w:rsidRPr="007809DB">
              <w:t>and</w:t>
            </w:r>
          </w:p>
        </w:tc>
        <w:tc>
          <w:tcPr>
            <w:tcW w:w="1701" w:type="dxa"/>
            <w:shd w:val="clear" w:color="auto" w:fill="auto"/>
            <w:vAlign w:val="center"/>
          </w:tcPr>
          <w:p w:rsidR="001468CA" w:rsidRPr="007809DB" w:rsidRDefault="001468CA" w:rsidP="0023117F">
            <w:pPr>
              <w:pStyle w:val="Tablehead"/>
            </w:pPr>
            <w:r>
              <w:t>RF output power (W)</w:t>
            </w:r>
          </w:p>
        </w:tc>
        <w:tc>
          <w:tcPr>
            <w:tcW w:w="1985" w:type="dxa"/>
            <w:shd w:val="clear" w:color="auto" w:fill="auto"/>
            <w:vAlign w:val="center"/>
          </w:tcPr>
          <w:p w:rsidR="001468CA" w:rsidRPr="007809DB" w:rsidRDefault="001468CA" w:rsidP="00173E70">
            <w:pPr>
              <w:pStyle w:val="Tablehead"/>
            </w:pPr>
            <w:r w:rsidRPr="007809DB">
              <w:t xml:space="preserve">Antenna </w:t>
            </w:r>
            <w:r w:rsidR="00173E70">
              <w:t>g</w:t>
            </w:r>
            <w:r w:rsidRPr="007809DB">
              <w:t xml:space="preserve">ain </w:t>
            </w:r>
            <w:r>
              <w:br/>
              <w:t>(dBi)</w:t>
            </w:r>
          </w:p>
        </w:tc>
        <w:tc>
          <w:tcPr>
            <w:tcW w:w="2126" w:type="dxa"/>
            <w:shd w:val="clear" w:color="auto" w:fill="auto"/>
            <w:vAlign w:val="center"/>
          </w:tcPr>
          <w:p w:rsidR="001468CA" w:rsidRPr="007809DB" w:rsidRDefault="001468CA" w:rsidP="0023117F">
            <w:pPr>
              <w:pStyle w:val="Tablehead"/>
            </w:pPr>
            <w:r w:rsidRPr="007809DB">
              <w:t xml:space="preserve">Bandwidth </w:t>
            </w:r>
            <w:r>
              <w:br/>
              <w:t>(MHz)</w:t>
            </w:r>
          </w:p>
        </w:tc>
      </w:tr>
      <w:tr w:rsidR="001468CA" w:rsidRPr="00DB4C46" w:rsidTr="005E7405">
        <w:trPr>
          <w:jc w:val="center"/>
        </w:trPr>
        <w:tc>
          <w:tcPr>
            <w:tcW w:w="1909" w:type="dxa"/>
            <w:vAlign w:val="center"/>
          </w:tcPr>
          <w:p w:rsidR="001468CA" w:rsidRPr="007809DB" w:rsidRDefault="001468CA" w:rsidP="0023117F">
            <w:pPr>
              <w:pStyle w:val="Tabletext"/>
              <w:jc w:val="center"/>
            </w:pPr>
            <w:r w:rsidRPr="007809DB">
              <w:t>&lt; 1 GHz</w:t>
            </w:r>
          </w:p>
        </w:tc>
        <w:tc>
          <w:tcPr>
            <w:tcW w:w="1701" w:type="dxa"/>
            <w:vAlign w:val="center"/>
          </w:tcPr>
          <w:p w:rsidR="001468CA" w:rsidRPr="007809DB" w:rsidRDefault="001468CA" w:rsidP="0023117F">
            <w:pPr>
              <w:pStyle w:val="Tabletext"/>
              <w:jc w:val="center"/>
            </w:pPr>
            <w:r w:rsidRPr="007809DB">
              <w:t>1</w:t>
            </w:r>
          </w:p>
        </w:tc>
        <w:tc>
          <w:tcPr>
            <w:tcW w:w="1985" w:type="dxa"/>
            <w:vAlign w:val="center"/>
          </w:tcPr>
          <w:p w:rsidR="001468CA" w:rsidRPr="007809DB" w:rsidRDefault="001468CA" w:rsidP="0023117F">
            <w:pPr>
              <w:pStyle w:val="Tabletext"/>
              <w:jc w:val="center"/>
            </w:pPr>
            <w:r w:rsidRPr="007809DB">
              <w:t>&lt; 3</w:t>
            </w:r>
          </w:p>
        </w:tc>
        <w:tc>
          <w:tcPr>
            <w:tcW w:w="2126" w:type="dxa"/>
          </w:tcPr>
          <w:p w:rsidR="001468CA" w:rsidRPr="007809DB" w:rsidRDefault="001468CA" w:rsidP="0023117F">
            <w:pPr>
              <w:pStyle w:val="Tabletext"/>
              <w:jc w:val="center"/>
            </w:pPr>
            <w:r>
              <w:t xml:space="preserve">&lt; </w:t>
            </w:r>
            <w:r w:rsidRPr="007809DB">
              <w:t>0.</w:t>
            </w:r>
            <w:r>
              <w:t>1</w:t>
            </w:r>
          </w:p>
        </w:tc>
      </w:tr>
      <w:tr w:rsidR="001468CA" w:rsidRPr="00DB4C46" w:rsidTr="005E7405">
        <w:trPr>
          <w:jc w:val="center"/>
        </w:trPr>
        <w:tc>
          <w:tcPr>
            <w:tcW w:w="1909" w:type="dxa"/>
            <w:vAlign w:val="center"/>
          </w:tcPr>
          <w:p w:rsidR="001468CA" w:rsidRPr="007809DB" w:rsidRDefault="001468CA" w:rsidP="0023117F">
            <w:pPr>
              <w:pStyle w:val="Tabletext"/>
              <w:jc w:val="center"/>
            </w:pPr>
            <w:r>
              <w:t>1-3</w:t>
            </w:r>
            <w:r w:rsidR="00173E70">
              <w:t xml:space="preserve"> </w:t>
            </w:r>
            <w:r>
              <w:t>GHz</w:t>
            </w:r>
          </w:p>
        </w:tc>
        <w:tc>
          <w:tcPr>
            <w:tcW w:w="1701" w:type="dxa"/>
            <w:vAlign w:val="center"/>
          </w:tcPr>
          <w:p w:rsidR="001468CA" w:rsidRPr="007809DB" w:rsidRDefault="001468CA" w:rsidP="0023117F">
            <w:pPr>
              <w:pStyle w:val="Tabletext"/>
              <w:jc w:val="center"/>
            </w:pPr>
            <w:r w:rsidRPr="007809DB">
              <w:t>&lt; 1</w:t>
            </w:r>
          </w:p>
        </w:tc>
        <w:tc>
          <w:tcPr>
            <w:tcW w:w="1985" w:type="dxa"/>
            <w:vAlign w:val="center"/>
          </w:tcPr>
          <w:p w:rsidR="001468CA" w:rsidRPr="007809DB" w:rsidRDefault="001468CA" w:rsidP="0023117F">
            <w:pPr>
              <w:pStyle w:val="Tabletext"/>
              <w:jc w:val="center"/>
            </w:pPr>
            <w:r w:rsidRPr="007809DB">
              <w:t>&lt; 10</w:t>
            </w:r>
          </w:p>
        </w:tc>
        <w:tc>
          <w:tcPr>
            <w:tcW w:w="2126" w:type="dxa"/>
          </w:tcPr>
          <w:p w:rsidR="001468CA" w:rsidRPr="007809DB" w:rsidRDefault="001468CA" w:rsidP="0023117F">
            <w:pPr>
              <w:pStyle w:val="Tabletext"/>
              <w:jc w:val="center"/>
            </w:pPr>
            <w:r w:rsidRPr="007809DB">
              <w:t>&lt; 7</w:t>
            </w:r>
            <w:r>
              <w:t>.</w:t>
            </w:r>
            <w:r w:rsidRPr="007809DB">
              <w:t>5</w:t>
            </w:r>
          </w:p>
        </w:tc>
      </w:tr>
    </w:tbl>
    <w:p w:rsidR="001468CA" w:rsidRPr="00AE46B8" w:rsidRDefault="001468CA" w:rsidP="001468CA">
      <w:pPr>
        <w:pStyle w:val="Heading2"/>
      </w:pPr>
      <w:bookmarkStart w:id="34" w:name="_Toc400363528"/>
      <w:bookmarkStart w:id="35" w:name="_Toc402962830"/>
      <w:r>
        <w:t>4.9</w:t>
      </w:r>
      <w:r w:rsidRPr="00AE46B8">
        <w:tab/>
        <w:t>Orbital parameters</w:t>
      </w:r>
      <w:bookmarkEnd w:id="34"/>
      <w:bookmarkEnd w:id="35"/>
    </w:p>
    <w:p w:rsidR="001468CA" w:rsidRPr="00173E70" w:rsidRDefault="001468CA" w:rsidP="001C4E31">
      <w:pPr>
        <w:rPr>
          <w:lang w:val="en-US"/>
        </w:rPr>
      </w:pPr>
      <w:r w:rsidRPr="00173E70">
        <w:rPr>
          <w:lang w:val="en-US"/>
        </w:rPr>
        <w:t>So far, most picosatellite and nanosatellite systems operate in NGSO, mainly LEO. The orbital parameters of nanosatellite and picosatellite systems are mostly not different from those of traditional satellites, and are typically not known with a high degree of precision until late in the satellite system design due to launch opportunities as secondary payloads.</w:t>
      </w:r>
      <w:r w:rsidRPr="00173E70">
        <w:rPr>
          <w:szCs w:val="24"/>
          <w:lang w:val="en-US"/>
        </w:rPr>
        <w:t xml:space="preserve"> Since the mission objective of many nanosatellites and picosatellites is some form of technology demonstration like attitude control, tether manoeuvers or simply on orbit verification of materials or electrical components, these satellites are not restricted to special orbits, as long as the communication between the earth station and spacecraft is ensured on a regular basis. Accordingly, small satellite operators are generally open to different launch possibilities and flexible in both orbit altitude and inclination.</w:t>
      </w:r>
      <w:bookmarkStart w:id="36" w:name="_Toc400363529"/>
    </w:p>
    <w:p w:rsidR="001468CA" w:rsidRPr="001468CA" w:rsidRDefault="001468CA" w:rsidP="002F06EA">
      <w:pPr>
        <w:pStyle w:val="Heading2"/>
        <w:rPr>
          <w:lang w:val="en-US"/>
        </w:rPr>
      </w:pPr>
      <w:bookmarkStart w:id="37" w:name="_Toc402962831"/>
      <w:r w:rsidRPr="002F06EA">
        <w:rPr>
          <w:rStyle w:val="Strong"/>
          <w:b/>
          <w:bCs/>
          <w:lang w:val="en-US"/>
        </w:rPr>
        <w:t>4.10</w:t>
      </w:r>
      <w:r w:rsidRPr="001468CA">
        <w:rPr>
          <w:rStyle w:val="Strong"/>
          <w:lang w:val="en-US"/>
        </w:rPr>
        <w:tab/>
      </w:r>
      <w:r w:rsidRPr="001468CA">
        <w:rPr>
          <w:lang w:val="en-US"/>
        </w:rPr>
        <w:t xml:space="preserve">Frequency </w:t>
      </w:r>
      <w:r w:rsidRPr="00173E70">
        <w:rPr>
          <w:lang w:val="en-US"/>
        </w:rPr>
        <w:t>stability</w:t>
      </w:r>
      <w:bookmarkEnd w:id="36"/>
      <w:bookmarkEnd w:id="37"/>
    </w:p>
    <w:p w:rsidR="001468CA" w:rsidRPr="001468CA" w:rsidRDefault="001468CA" w:rsidP="001468CA">
      <w:pPr>
        <w:rPr>
          <w:color w:val="000000"/>
          <w:lang w:val="en-US"/>
        </w:rPr>
      </w:pPr>
      <w:r w:rsidRPr="001468CA">
        <w:rPr>
          <w:color w:val="000000"/>
          <w:lang w:val="en-US"/>
        </w:rPr>
        <w:t>Doppler shift induced frequency variations occur as for traditional NGSO satellites. Frequency stability with respect to temperature and aging effects depends on the used COTS components, the low available on board power does not allow the use of highly stable oscillators, and therefore, the frequency stability is generally not as good as traditional satellites.</w:t>
      </w:r>
    </w:p>
    <w:p w:rsidR="001468CA" w:rsidRPr="001468CA" w:rsidRDefault="001468CA" w:rsidP="001468CA">
      <w:pPr>
        <w:pStyle w:val="Heading2"/>
        <w:rPr>
          <w:lang w:val="en-US"/>
        </w:rPr>
      </w:pPr>
      <w:bookmarkStart w:id="38" w:name="_Toc400363530"/>
      <w:bookmarkStart w:id="39" w:name="_Toc402962832"/>
      <w:r w:rsidRPr="001468CA">
        <w:rPr>
          <w:lang w:val="en-US"/>
        </w:rPr>
        <w:t>4.11</w:t>
      </w:r>
      <w:r w:rsidRPr="001468CA">
        <w:rPr>
          <w:lang w:val="en-US"/>
        </w:rPr>
        <w:tab/>
        <w:t>Filtering (reduction of adjacent and out of band emissions)</w:t>
      </w:r>
      <w:bookmarkEnd w:id="38"/>
      <w:bookmarkEnd w:id="39"/>
    </w:p>
    <w:p w:rsidR="001468CA" w:rsidRPr="001468CA" w:rsidRDefault="001468CA" w:rsidP="001468CA">
      <w:pPr>
        <w:rPr>
          <w:lang w:val="en-US"/>
        </w:rPr>
      </w:pPr>
      <w:r w:rsidRPr="001468CA">
        <w:rPr>
          <w:lang w:val="en-US"/>
        </w:rPr>
        <w:t>Typically, nanosatellites and picosatellites have had limited physical volume available to carry common high performance RF filters, therefore, it is harder to achieve low levels of unwanted emissions. However, advances in miniaturization may enable improved performance in the future.</w:t>
      </w:r>
    </w:p>
    <w:p w:rsidR="001468CA" w:rsidRPr="001468CA" w:rsidRDefault="001468CA" w:rsidP="001468CA">
      <w:pPr>
        <w:pStyle w:val="Heading1"/>
        <w:rPr>
          <w:lang w:val="en-US"/>
        </w:rPr>
      </w:pPr>
      <w:bookmarkStart w:id="40" w:name="_Toc400363531"/>
      <w:bookmarkStart w:id="41" w:name="_Toc402962833"/>
      <w:r w:rsidRPr="001468CA">
        <w:rPr>
          <w:lang w:val="en-US"/>
        </w:rPr>
        <w:t>5</w:t>
      </w:r>
      <w:r w:rsidRPr="001468CA">
        <w:rPr>
          <w:lang w:val="en-US"/>
        </w:rPr>
        <w:tab/>
        <w:t>Types of missions and their spectrum use</w:t>
      </w:r>
      <w:bookmarkEnd w:id="40"/>
      <w:bookmarkEnd w:id="41"/>
    </w:p>
    <w:p w:rsidR="001468CA" w:rsidRPr="001468CA" w:rsidRDefault="001468CA" w:rsidP="002F06EA">
      <w:pPr>
        <w:pStyle w:val="Heading2"/>
        <w:rPr>
          <w:lang w:val="en-US"/>
        </w:rPr>
      </w:pPr>
      <w:bookmarkStart w:id="42" w:name="_Toc400363532"/>
      <w:bookmarkStart w:id="43" w:name="_Toc402962834"/>
      <w:r w:rsidRPr="001468CA">
        <w:rPr>
          <w:lang w:val="en-US"/>
        </w:rPr>
        <w:t>5.1</w:t>
      </w:r>
      <w:r w:rsidRPr="001468CA">
        <w:rPr>
          <w:lang w:val="en-US"/>
        </w:rPr>
        <w:tab/>
      </w:r>
      <w:r w:rsidRPr="00173E70">
        <w:rPr>
          <w:lang w:val="en-US"/>
        </w:rPr>
        <w:t>Nanosatellite</w:t>
      </w:r>
      <w:r w:rsidRPr="001468CA">
        <w:rPr>
          <w:lang w:val="en-US"/>
        </w:rPr>
        <w:t xml:space="preserve"> and picosatellite mission categories</w:t>
      </w:r>
      <w:bookmarkEnd w:id="42"/>
      <w:bookmarkEnd w:id="43"/>
    </w:p>
    <w:p w:rsidR="001468CA" w:rsidRPr="001468CA" w:rsidRDefault="001468CA" w:rsidP="001468CA">
      <w:pPr>
        <w:rPr>
          <w:lang w:val="en-US"/>
        </w:rPr>
      </w:pPr>
      <w:r w:rsidRPr="001468CA">
        <w:rPr>
          <w:lang w:val="en-US"/>
        </w:rPr>
        <w:t>When examining radiocommunication service and spectrum use, nanosatellite and picosatellite missions can generally be arranged into three categories:</w:t>
      </w:r>
    </w:p>
    <w:p w:rsidR="001468CA" w:rsidRPr="001468CA" w:rsidRDefault="001468CA" w:rsidP="001468CA">
      <w:pPr>
        <w:pStyle w:val="enumlev1"/>
        <w:rPr>
          <w:lang w:val="en-US"/>
        </w:rPr>
      </w:pPr>
      <w:r w:rsidRPr="001468CA">
        <w:rPr>
          <w:lang w:val="en-US"/>
        </w:rPr>
        <w:t>•</w:t>
      </w:r>
      <w:r w:rsidRPr="001468CA">
        <w:rPr>
          <w:lang w:val="en-US"/>
        </w:rPr>
        <w:tab/>
        <w:t>Educational and amateur radio missions</w:t>
      </w:r>
    </w:p>
    <w:p w:rsidR="001468CA" w:rsidRPr="001468CA" w:rsidRDefault="001468CA" w:rsidP="001468CA">
      <w:pPr>
        <w:pStyle w:val="enumlev1"/>
        <w:rPr>
          <w:lang w:val="en-US"/>
        </w:rPr>
      </w:pPr>
      <w:r w:rsidRPr="001468CA">
        <w:rPr>
          <w:lang w:val="en-US"/>
        </w:rPr>
        <w:t>•</w:t>
      </w:r>
      <w:r w:rsidRPr="001468CA">
        <w:rPr>
          <w:lang w:val="en-US"/>
        </w:rPr>
        <w:tab/>
        <w:t>Experimental and research missions</w:t>
      </w:r>
    </w:p>
    <w:p w:rsidR="001468CA" w:rsidRPr="001468CA" w:rsidRDefault="001468CA" w:rsidP="001468CA">
      <w:pPr>
        <w:pStyle w:val="enumlev1"/>
        <w:rPr>
          <w:lang w:val="en-US"/>
        </w:rPr>
      </w:pPr>
      <w:r w:rsidRPr="001468CA">
        <w:rPr>
          <w:lang w:val="en-US"/>
        </w:rPr>
        <w:t>•</w:t>
      </w:r>
      <w:r w:rsidRPr="001468CA">
        <w:rPr>
          <w:lang w:val="en-US"/>
        </w:rPr>
        <w:tab/>
        <w:t>Commercial missions</w:t>
      </w:r>
    </w:p>
    <w:p w:rsidR="001468CA" w:rsidRPr="001468CA" w:rsidRDefault="001468CA" w:rsidP="001468CA">
      <w:pPr>
        <w:pStyle w:val="Heading3"/>
        <w:rPr>
          <w:lang w:val="en-US"/>
        </w:rPr>
      </w:pPr>
      <w:bookmarkStart w:id="44" w:name="_Toc400363533"/>
      <w:bookmarkStart w:id="45" w:name="_Toc402962835"/>
      <w:r w:rsidRPr="001468CA">
        <w:rPr>
          <w:lang w:val="en-US"/>
        </w:rPr>
        <w:t>5.1.1</w:t>
      </w:r>
      <w:r w:rsidRPr="001468CA">
        <w:rPr>
          <w:lang w:val="en-US"/>
        </w:rPr>
        <w:tab/>
        <w:t>Educational and amateur radio missions</w:t>
      </w:r>
      <w:bookmarkEnd w:id="44"/>
      <w:bookmarkEnd w:id="45"/>
    </w:p>
    <w:p w:rsidR="001468CA" w:rsidRPr="001468CA" w:rsidRDefault="001468CA" w:rsidP="00173E70">
      <w:pPr>
        <w:rPr>
          <w:lang w:val="en-US"/>
        </w:rPr>
      </w:pPr>
      <w:r w:rsidRPr="001468CA">
        <w:rPr>
          <w:lang w:val="en-US"/>
        </w:rPr>
        <w:t xml:space="preserve">These are satellite missions with the sole aim of educating people about space, electronics and all aspects of physics involved in space; as well as satellites used for amateur radio </w:t>
      </w:r>
      <w:r w:rsidR="002F06EA">
        <w:rPr>
          <w:lang w:val="en-US"/>
        </w:rPr>
        <w:t>“</w:t>
      </w:r>
      <w:r w:rsidRPr="001468CA">
        <w:rPr>
          <w:lang w:val="en-US"/>
        </w:rPr>
        <w:t>self-training and communic</w:t>
      </w:r>
      <w:r w:rsidR="002F06EA">
        <w:rPr>
          <w:shd w:val="clear" w:color="auto" w:fill="FFFFFF"/>
          <w:lang w:val="en-US"/>
        </w:rPr>
        <w:t>ation”</w:t>
      </w:r>
      <w:r w:rsidRPr="001468CA">
        <w:rPr>
          <w:shd w:val="clear" w:color="auto" w:fill="FFFFFF"/>
          <w:lang w:val="en-US"/>
        </w:rPr>
        <w:t xml:space="preserve">, with no pecuniary interest, as defined in Article </w:t>
      </w:r>
      <w:r w:rsidRPr="001468CA">
        <w:rPr>
          <w:b/>
          <w:bCs/>
          <w:shd w:val="clear" w:color="auto" w:fill="FFFFFF"/>
          <w:lang w:val="en-US"/>
        </w:rPr>
        <w:t>1</w:t>
      </w:r>
      <w:r w:rsidRPr="001468CA">
        <w:rPr>
          <w:shd w:val="clear" w:color="auto" w:fill="FFFFFF"/>
          <w:lang w:val="en-US"/>
        </w:rPr>
        <w:t xml:space="preserve"> of the </w:t>
      </w:r>
      <w:r w:rsidR="00173E70">
        <w:rPr>
          <w:shd w:val="clear" w:color="auto" w:fill="FFFFFF"/>
          <w:lang w:val="en-US"/>
        </w:rPr>
        <w:t>RR</w:t>
      </w:r>
      <w:r w:rsidRPr="001468CA">
        <w:rPr>
          <w:lang w:val="en-US"/>
        </w:rPr>
        <w:t>.</w:t>
      </w:r>
    </w:p>
    <w:p w:rsidR="001468CA" w:rsidRPr="001468CA" w:rsidRDefault="001468CA" w:rsidP="002F06EA">
      <w:pPr>
        <w:pStyle w:val="Heading3"/>
        <w:rPr>
          <w:shd w:val="clear" w:color="auto" w:fill="FFFFFF"/>
          <w:lang w:val="en-US"/>
        </w:rPr>
      </w:pPr>
      <w:bookmarkStart w:id="46" w:name="_Toc400363534"/>
      <w:bookmarkStart w:id="47" w:name="_Toc402962836"/>
      <w:r w:rsidRPr="001468CA">
        <w:rPr>
          <w:shd w:val="clear" w:color="auto" w:fill="FFFFFF"/>
          <w:lang w:val="en-US"/>
        </w:rPr>
        <w:lastRenderedPageBreak/>
        <w:t>5.1.2</w:t>
      </w:r>
      <w:r w:rsidRPr="001468CA">
        <w:rPr>
          <w:shd w:val="clear" w:color="auto" w:fill="FFFFFF"/>
          <w:lang w:val="en-US"/>
        </w:rPr>
        <w:tab/>
      </w:r>
      <w:r w:rsidRPr="00173E70">
        <w:rPr>
          <w:lang w:val="en-US"/>
        </w:rPr>
        <w:t>Experimental</w:t>
      </w:r>
      <w:r w:rsidRPr="001468CA">
        <w:rPr>
          <w:shd w:val="clear" w:color="auto" w:fill="FFFFFF"/>
          <w:lang w:val="en-US"/>
        </w:rPr>
        <w:t xml:space="preserve"> and research missions</w:t>
      </w:r>
      <w:bookmarkEnd w:id="46"/>
      <w:bookmarkEnd w:id="47"/>
    </w:p>
    <w:p w:rsidR="001468CA" w:rsidRPr="001468CA" w:rsidRDefault="001468CA" w:rsidP="002F06EA">
      <w:pPr>
        <w:rPr>
          <w:lang w:val="en-US"/>
        </w:rPr>
      </w:pPr>
      <w:r w:rsidRPr="001468CA">
        <w:rPr>
          <w:lang w:val="en-US"/>
        </w:rPr>
        <w:t>Experimental and research missions are missions with one or more of the following purposes:</w:t>
      </w:r>
    </w:p>
    <w:p w:rsidR="001468CA" w:rsidRPr="001468CA" w:rsidRDefault="001468CA" w:rsidP="001468CA">
      <w:pPr>
        <w:pStyle w:val="enumlev1"/>
        <w:rPr>
          <w:lang w:val="en-US"/>
        </w:rPr>
      </w:pPr>
      <w:r w:rsidRPr="001468CA">
        <w:rPr>
          <w:lang w:val="en-US"/>
        </w:rPr>
        <w:t>•</w:t>
      </w:r>
      <w:r w:rsidRPr="001468CA">
        <w:rPr>
          <w:lang w:val="en-US"/>
        </w:rPr>
        <w:tab/>
        <w:t>To demonstrate a novel space technology in the space environment</w:t>
      </w:r>
    </w:p>
    <w:p w:rsidR="001468CA" w:rsidRPr="001468CA" w:rsidRDefault="001468CA" w:rsidP="001468CA">
      <w:pPr>
        <w:pStyle w:val="enumlev1"/>
        <w:rPr>
          <w:lang w:val="en-US"/>
        </w:rPr>
      </w:pPr>
      <w:r w:rsidRPr="001468CA">
        <w:rPr>
          <w:lang w:val="en-US"/>
        </w:rPr>
        <w:t>•</w:t>
      </w:r>
      <w:r w:rsidRPr="001468CA">
        <w:rPr>
          <w:lang w:val="en-US"/>
        </w:rPr>
        <w:tab/>
        <w:t>To perform a proof-of-concept for a certain application involving one or more nanosatellites and picosatellites</w:t>
      </w:r>
    </w:p>
    <w:p w:rsidR="001468CA" w:rsidRPr="001468CA" w:rsidRDefault="001468CA" w:rsidP="002F06EA">
      <w:pPr>
        <w:pStyle w:val="enumlev1"/>
        <w:rPr>
          <w:lang w:val="en-US"/>
        </w:rPr>
      </w:pPr>
      <w:r w:rsidRPr="001468CA">
        <w:rPr>
          <w:lang w:val="en-US"/>
        </w:rPr>
        <w:t>•</w:t>
      </w:r>
      <w:r w:rsidRPr="001468CA">
        <w:rPr>
          <w:lang w:val="en-US"/>
        </w:rPr>
        <w:tab/>
        <w:t>To perform</w:t>
      </w:r>
      <w:r w:rsidRPr="001468CA">
        <w:rPr>
          <w:shd w:val="clear" w:color="auto" w:fill="FFFFFF"/>
          <w:lang w:val="en-US"/>
        </w:rPr>
        <w:t xml:space="preserve"> space research (primarily earth-orbiting, but also lunar and deep space applications)</w:t>
      </w:r>
      <w:r w:rsidR="002F06EA">
        <w:rPr>
          <w:shd w:val="clear" w:color="auto" w:fill="FFFFFF"/>
          <w:lang w:val="en-US"/>
        </w:rPr>
        <w:t>.</w:t>
      </w:r>
    </w:p>
    <w:p w:rsidR="001468CA" w:rsidRPr="001468CA" w:rsidRDefault="001468CA" w:rsidP="002F06EA">
      <w:pPr>
        <w:rPr>
          <w:b/>
          <w:u w:val="single"/>
          <w:shd w:val="clear" w:color="auto" w:fill="FFFFFF"/>
          <w:lang w:val="en-US"/>
        </w:rPr>
      </w:pPr>
      <w:r w:rsidRPr="001468CA">
        <w:rPr>
          <w:lang w:val="en-US"/>
        </w:rPr>
        <w:t>Given the fact that satellites performing a proof-of-concept for a certain application can be used as pre-cursors to operational satellite missions there can potentially be a pecuniary (commercial) interest in these satellites which of course is most prevalent in the commercial operational phase which typically follows after such missions.</w:t>
      </w:r>
    </w:p>
    <w:p w:rsidR="001468CA" w:rsidRPr="001468CA" w:rsidRDefault="001468CA" w:rsidP="002F06EA">
      <w:pPr>
        <w:pStyle w:val="Heading3"/>
        <w:rPr>
          <w:lang w:val="en-US"/>
        </w:rPr>
      </w:pPr>
      <w:bookmarkStart w:id="48" w:name="_Toc400363535"/>
      <w:bookmarkStart w:id="49" w:name="_Toc402962837"/>
      <w:r w:rsidRPr="001468CA">
        <w:rPr>
          <w:shd w:val="clear" w:color="auto" w:fill="FFFFFF"/>
          <w:lang w:val="en-US"/>
        </w:rPr>
        <w:t>5.1.3</w:t>
      </w:r>
      <w:r w:rsidRPr="001468CA">
        <w:rPr>
          <w:shd w:val="clear" w:color="auto" w:fill="FFFFFF"/>
          <w:lang w:val="en-US"/>
        </w:rPr>
        <w:tab/>
        <w:t>Commercial missions</w:t>
      </w:r>
      <w:bookmarkEnd w:id="48"/>
      <w:bookmarkEnd w:id="49"/>
    </w:p>
    <w:p w:rsidR="001468CA" w:rsidRPr="001468CA" w:rsidRDefault="001468CA" w:rsidP="002F06EA">
      <w:pPr>
        <w:rPr>
          <w:sz w:val="20"/>
          <w:lang w:val="en-US"/>
        </w:rPr>
      </w:pPr>
      <w:r w:rsidRPr="001468CA">
        <w:rPr>
          <w:shd w:val="clear" w:color="auto" w:fill="FFFFFF"/>
          <w:lang w:val="en-US"/>
        </w:rPr>
        <w:t xml:space="preserve">The remaining category of nanosatellites and picosatellites consists of the satellites used for commercial missions, i.e. delivering a certain service in certain areas of applications with a clear pecuniary interest. Examples include commercial nanosatellite and picosatellite missions for Earth observation and telecommunication. </w:t>
      </w:r>
      <w:r w:rsidRPr="001468CA">
        <w:rPr>
          <w:lang w:val="en-US"/>
        </w:rPr>
        <w:t>Table 5 provides an overview of the typical applicable radiocommunication services per category and their coordination requirements.</w:t>
      </w:r>
    </w:p>
    <w:p w:rsidR="001468CA" w:rsidRPr="001468CA" w:rsidRDefault="001468CA" w:rsidP="001468CA">
      <w:pPr>
        <w:pStyle w:val="TableNo"/>
        <w:rPr>
          <w:lang w:val="en-US"/>
        </w:rPr>
      </w:pPr>
      <w:r w:rsidRPr="001468CA">
        <w:rPr>
          <w:lang w:val="en-US"/>
        </w:rPr>
        <w:t>TABLE 5</w:t>
      </w:r>
    </w:p>
    <w:p w:rsidR="001468CA" w:rsidRPr="001468CA" w:rsidRDefault="001468CA" w:rsidP="001468CA">
      <w:pPr>
        <w:pStyle w:val="Tabletitle"/>
        <w:rPr>
          <w:lang w:val="en-US"/>
        </w:rPr>
      </w:pPr>
      <w:r w:rsidRPr="001468CA">
        <w:rPr>
          <w:lang w:val="en-US"/>
        </w:rPr>
        <w:t xml:space="preserve">Typical applicable radiocommunication services per category </w:t>
      </w:r>
      <w:r w:rsidR="002F06EA">
        <w:rPr>
          <w:lang w:val="en-US"/>
        </w:rPr>
        <w:br/>
      </w:r>
      <w:r w:rsidRPr="001468CA">
        <w:rPr>
          <w:lang w:val="en-US"/>
        </w:rPr>
        <w:t>and their coordination requirements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3977"/>
        <w:gridCol w:w="3626"/>
      </w:tblGrid>
      <w:tr w:rsidR="001468CA" w:rsidRPr="00A27E8D" w:rsidTr="007E579D">
        <w:trPr>
          <w:trHeight w:val="553"/>
        </w:trPr>
        <w:tc>
          <w:tcPr>
            <w:tcW w:w="2036" w:type="dxa"/>
            <w:vAlign w:val="center"/>
          </w:tcPr>
          <w:p w:rsidR="001468CA" w:rsidRPr="00364CAB" w:rsidRDefault="001468CA" w:rsidP="007E579D">
            <w:pPr>
              <w:pStyle w:val="Tablehead"/>
            </w:pPr>
            <w:r w:rsidRPr="00364CAB">
              <w:t>Mission category</w:t>
            </w:r>
          </w:p>
        </w:tc>
        <w:tc>
          <w:tcPr>
            <w:tcW w:w="3977" w:type="dxa"/>
          </w:tcPr>
          <w:p w:rsidR="001468CA" w:rsidRPr="00364CAB" w:rsidRDefault="001468CA" w:rsidP="0023117F">
            <w:pPr>
              <w:pStyle w:val="Tablehead"/>
            </w:pPr>
            <w:r w:rsidRPr="00364CAB">
              <w:t>Typical applicable radiocommunication service</w:t>
            </w:r>
          </w:p>
        </w:tc>
        <w:tc>
          <w:tcPr>
            <w:tcW w:w="3626" w:type="dxa"/>
          </w:tcPr>
          <w:p w:rsidR="001468CA" w:rsidRPr="001468CA" w:rsidRDefault="001468CA" w:rsidP="0023117F">
            <w:pPr>
              <w:pStyle w:val="Tablehead"/>
              <w:rPr>
                <w:lang w:val="en-US"/>
              </w:rPr>
            </w:pPr>
            <w:r w:rsidRPr="001468CA">
              <w:rPr>
                <w:lang w:val="en-US"/>
              </w:rPr>
              <w:t>Typical coordination requirement under Radio Regulations section II of Article 9</w:t>
            </w:r>
            <w:r w:rsidRPr="001468CA">
              <w:rPr>
                <w:vertAlign w:val="superscript"/>
                <w:lang w:val="en-US"/>
              </w:rPr>
              <w:t>*</w:t>
            </w:r>
            <w:r w:rsidRPr="001468CA">
              <w:rPr>
                <w:lang w:val="en-US"/>
              </w:rPr>
              <w:t xml:space="preserve"> (for NGSO)</w:t>
            </w:r>
          </w:p>
        </w:tc>
      </w:tr>
      <w:tr w:rsidR="001468CA" w:rsidRPr="00364CAB" w:rsidTr="007E579D">
        <w:trPr>
          <w:trHeight w:val="340"/>
        </w:trPr>
        <w:tc>
          <w:tcPr>
            <w:tcW w:w="2036" w:type="dxa"/>
          </w:tcPr>
          <w:p w:rsidR="001468CA" w:rsidRPr="00364CAB" w:rsidRDefault="001468CA" w:rsidP="0023117F">
            <w:pPr>
              <w:pStyle w:val="Tabletext"/>
              <w:jc w:val="center"/>
            </w:pPr>
            <w:r>
              <w:t>E</w:t>
            </w:r>
            <w:r w:rsidRPr="00364CAB">
              <w:t>ducational and amateur radio</w:t>
            </w:r>
          </w:p>
        </w:tc>
        <w:tc>
          <w:tcPr>
            <w:tcW w:w="3977" w:type="dxa"/>
          </w:tcPr>
          <w:p w:rsidR="001468CA" w:rsidRPr="00364CAB" w:rsidRDefault="001468CA" w:rsidP="0023117F">
            <w:pPr>
              <w:pStyle w:val="Tabletext"/>
              <w:jc w:val="center"/>
            </w:pPr>
            <w:r>
              <w:t>A</w:t>
            </w:r>
            <w:r w:rsidRPr="00364CAB">
              <w:t>mateur</w:t>
            </w:r>
            <w:r>
              <w:t>-s</w:t>
            </w:r>
            <w:r w:rsidRPr="00364CAB">
              <w:t>atellite</w:t>
            </w:r>
          </w:p>
        </w:tc>
        <w:tc>
          <w:tcPr>
            <w:tcW w:w="3626" w:type="dxa"/>
          </w:tcPr>
          <w:p w:rsidR="001468CA" w:rsidRPr="00364CAB" w:rsidRDefault="001468CA" w:rsidP="0023117F">
            <w:pPr>
              <w:pStyle w:val="Tabletext"/>
              <w:jc w:val="center"/>
            </w:pPr>
            <w:r>
              <w:t>N</w:t>
            </w:r>
            <w:r w:rsidRPr="00364CAB">
              <w:t>ot subject to coordination</w:t>
            </w:r>
          </w:p>
        </w:tc>
      </w:tr>
      <w:tr w:rsidR="001468CA" w:rsidRPr="00364CAB" w:rsidTr="007E579D">
        <w:trPr>
          <w:trHeight w:val="327"/>
        </w:trPr>
        <w:tc>
          <w:tcPr>
            <w:tcW w:w="2036" w:type="dxa"/>
          </w:tcPr>
          <w:p w:rsidR="001468CA" w:rsidRPr="00364CAB" w:rsidRDefault="001468CA" w:rsidP="0023117F">
            <w:pPr>
              <w:pStyle w:val="Tabletext"/>
              <w:jc w:val="center"/>
            </w:pPr>
            <w:r>
              <w:t>E</w:t>
            </w:r>
            <w:r w:rsidRPr="00364CAB">
              <w:t>xperimental, research</w:t>
            </w:r>
          </w:p>
        </w:tc>
        <w:tc>
          <w:tcPr>
            <w:tcW w:w="3977" w:type="dxa"/>
          </w:tcPr>
          <w:p w:rsidR="001468CA" w:rsidRPr="001468CA" w:rsidRDefault="001468CA" w:rsidP="0023117F">
            <w:pPr>
              <w:pStyle w:val="Tabletext"/>
              <w:jc w:val="center"/>
              <w:rPr>
                <w:lang w:val="en-US"/>
              </w:rPr>
            </w:pPr>
            <w:r w:rsidRPr="001468CA">
              <w:rPr>
                <w:lang w:val="en-US"/>
              </w:rPr>
              <w:t>Space operation, space research, Earth exploration-satellite</w:t>
            </w:r>
          </w:p>
        </w:tc>
        <w:tc>
          <w:tcPr>
            <w:tcW w:w="3626" w:type="dxa"/>
          </w:tcPr>
          <w:p w:rsidR="001468CA" w:rsidRPr="00364CAB" w:rsidRDefault="001468CA" w:rsidP="0023117F">
            <w:pPr>
              <w:pStyle w:val="Tabletext"/>
              <w:jc w:val="center"/>
            </w:pPr>
            <w:r>
              <w:t>N</w:t>
            </w:r>
            <w:r w:rsidRPr="00364CAB">
              <w:t>ot subject to coordination</w:t>
            </w:r>
          </w:p>
        </w:tc>
      </w:tr>
      <w:tr w:rsidR="001468CA" w:rsidRPr="00A27E8D" w:rsidTr="007E579D">
        <w:trPr>
          <w:trHeight w:val="314"/>
        </w:trPr>
        <w:tc>
          <w:tcPr>
            <w:tcW w:w="2036" w:type="dxa"/>
            <w:tcBorders>
              <w:bottom w:val="single" w:sz="4" w:space="0" w:color="auto"/>
            </w:tcBorders>
          </w:tcPr>
          <w:p w:rsidR="001468CA" w:rsidRPr="00364CAB" w:rsidRDefault="001468CA" w:rsidP="0023117F">
            <w:pPr>
              <w:pStyle w:val="Tabletext"/>
              <w:jc w:val="center"/>
            </w:pPr>
            <w:r>
              <w:t>C</w:t>
            </w:r>
            <w:r w:rsidRPr="00364CAB">
              <w:t>ommercial</w:t>
            </w:r>
          </w:p>
        </w:tc>
        <w:tc>
          <w:tcPr>
            <w:tcW w:w="3977" w:type="dxa"/>
            <w:tcBorders>
              <w:bottom w:val="single" w:sz="4" w:space="0" w:color="auto"/>
            </w:tcBorders>
          </w:tcPr>
          <w:p w:rsidR="001468CA" w:rsidRPr="00364CAB" w:rsidRDefault="001468CA" w:rsidP="0023117F">
            <w:pPr>
              <w:pStyle w:val="Tabletext"/>
              <w:jc w:val="center"/>
            </w:pPr>
            <w:r>
              <w:t>A</w:t>
            </w:r>
            <w:r w:rsidRPr="00364CAB">
              <w:t>ny radiocommunication service</w:t>
            </w:r>
          </w:p>
        </w:tc>
        <w:tc>
          <w:tcPr>
            <w:tcW w:w="3626" w:type="dxa"/>
            <w:tcBorders>
              <w:bottom w:val="single" w:sz="4" w:space="0" w:color="auto"/>
            </w:tcBorders>
          </w:tcPr>
          <w:p w:rsidR="001468CA" w:rsidRPr="001468CA" w:rsidRDefault="001468CA" w:rsidP="0023117F">
            <w:pPr>
              <w:pStyle w:val="Tabletext"/>
              <w:jc w:val="center"/>
              <w:rPr>
                <w:lang w:val="en-US"/>
              </w:rPr>
            </w:pPr>
            <w:r w:rsidRPr="001468CA">
              <w:rPr>
                <w:lang w:val="en-US"/>
              </w:rPr>
              <w:t>May be subject to coordination</w:t>
            </w:r>
          </w:p>
        </w:tc>
      </w:tr>
      <w:tr w:rsidR="007E579D" w:rsidRPr="00A27E8D" w:rsidTr="007E579D">
        <w:trPr>
          <w:trHeight w:val="314"/>
        </w:trPr>
        <w:tc>
          <w:tcPr>
            <w:tcW w:w="9639" w:type="dxa"/>
            <w:gridSpan w:val="3"/>
            <w:tcBorders>
              <w:left w:val="nil"/>
              <w:bottom w:val="nil"/>
              <w:right w:val="nil"/>
            </w:tcBorders>
          </w:tcPr>
          <w:p w:rsidR="007E579D" w:rsidRPr="001468CA" w:rsidRDefault="007E579D" w:rsidP="007E579D">
            <w:pPr>
              <w:pStyle w:val="Tabletext"/>
              <w:jc w:val="left"/>
              <w:rPr>
                <w:lang w:val="en-US"/>
              </w:rPr>
            </w:pPr>
            <w:r w:rsidRPr="001468CA">
              <w:rPr>
                <w:b/>
                <w:sz w:val="20"/>
                <w:lang w:val="en-US"/>
              </w:rPr>
              <w:t>*</w:t>
            </w:r>
            <w:r>
              <w:rPr>
                <w:b/>
                <w:sz w:val="20"/>
                <w:lang w:val="en-US"/>
              </w:rPr>
              <w:tab/>
            </w:r>
            <w:r w:rsidRPr="007E579D">
              <w:rPr>
                <w:szCs w:val="22"/>
                <w:lang w:val="en-US"/>
              </w:rPr>
              <w:t>All mission categories require advance publication and notification.</w:t>
            </w:r>
          </w:p>
        </w:tc>
      </w:tr>
    </w:tbl>
    <w:p w:rsidR="001468CA" w:rsidRPr="001468CA" w:rsidRDefault="001468CA" w:rsidP="007E579D">
      <w:pPr>
        <w:pStyle w:val="Tablefin"/>
      </w:pPr>
    </w:p>
    <w:p w:rsidR="001468CA" w:rsidRPr="001468CA" w:rsidRDefault="001468CA" w:rsidP="007E579D">
      <w:pPr>
        <w:pStyle w:val="Heading2"/>
        <w:rPr>
          <w:lang w:val="en-US"/>
        </w:rPr>
      </w:pPr>
      <w:bookmarkStart w:id="50" w:name="_Toc400363536"/>
      <w:bookmarkStart w:id="51" w:name="_Toc402962838"/>
      <w:r w:rsidRPr="001468CA">
        <w:rPr>
          <w:lang w:val="en-US"/>
        </w:rPr>
        <w:t>5.2</w:t>
      </w:r>
      <w:r w:rsidRPr="001468CA">
        <w:rPr>
          <w:lang w:val="en-US"/>
        </w:rPr>
        <w:tab/>
        <w:t>Evolution of nanosatellite and picosatellite missions and their applicable radio services</w:t>
      </w:r>
      <w:bookmarkEnd w:id="50"/>
      <w:bookmarkEnd w:id="51"/>
    </w:p>
    <w:p w:rsidR="001468CA" w:rsidRPr="001468CA" w:rsidRDefault="001468CA" w:rsidP="002D1B44">
      <w:pPr>
        <w:rPr>
          <w:lang w:val="en-US"/>
        </w:rPr>
      </w:pPr>
      <w:r w:rsidRPr="001468CA">
        <w:rPr>
          <w:lang w:val="en-US"/>
        </w:rPr>
        <w:t xml:space="preserve">Starting from around 2003, when the CubeSat concept was introduced, many nanosatellites and picosatellites have operated in the amateur-satellite service, and some have operated in the space operation, space research or Earth exploration-satellite service. More and more missions operating in frequency bands allocated to the amateur-satellite service are not strictly compliant with the definition of the amateur-satellite service as defined in the </w:t>
      </w:r>
      <w:r w:rsidR="002D1B44">
        <w:rPr>
          <w:lang w:val="en-US"/>
        </w:rPr>
        <w:t>RR</w:t>
      </w:r>
      <w:r w:rsidRPr="001468CA">
        <w:rPr>
          <w:lang w:val="en-US"/>
        </w:rPr>
        <w:t xml:space="preserve">, and it is expected that an increasing number of nanosatellite and picosatellite missions will also operate in other services. Even though these frequency bands are typically not subject to coordination, the </w:t>
      </w:r>
      <w:r w:rsidR="004A6964">
        <w:rPr>
          <w:lang w:val="en-US"/>
        </w:rPr>
        <w:t>RR</w:t>
      </w:r>
      <w:r w:rsidRPr="001468CA">
        <w:rPr>
          <w:lang w:val="en-US"/>
        </w:rPr>
        <w:t xml:space="preserve"> (Section IA of Article </w:t>
      </w:r>
      <w:r w:rsidRPr="001468CA">
        <w:rPr>
          <w:b/>
          <w:bCs/>
          <w:lang w:val="en-US"/>
        </w:rPr>
        <w:t>9</w:t>
      </w:r>
      <w:r w:rsidRPr="001468CA">
        <w:rPr>
          <w:lang w:val="en-US"/>
        </w:rPr>
        <w:t>) require that administrations do their best to resolve any difficulties in case an administration expects interference based on the published data in the API/A.</w:t>
      </w:r>
    </w:p>
    <w:p w:rsidR="001468CA" w:rsidRPr="001468CA" w:rsidRDefault="001468CA" w:rsidP="007E579D">
      <w:pPr>
        <w:rPr>
          <w:lang w:val="en-US"/>
        </w:rPr>
      </w:pPr>
      <w:r w:rsidRPr="001468CA">
        <w:rPr>
          <w:lang w:val="en-US"/>
        </w:rPr>
        <w:t xml:space="preserve">During recent years (since 2011), there has been a significant growth in the amount of commercial nanosatellite and picosatellite missions, and the first constellations of nanosatellites and picosatellites for commercial Earth observation are being put into orbit. Some developers are </w:t>
      </w:r>
      <w:r w:rsidRPr="001468CA">
        <w:rPr>
          <w:lang w:val="en-US"/>
        </w:rPr>
        <w:lastRenderedPageBreak/>
        <w:t xml:space="preserve">working on commercial telecommunications applications using nanosatellites and picosatellites as well. Typically, for these applications, bands subject to coordination (Section </w:t>
      </w:r>
      <w:r w:rsidRPr="001468CA">
        <w:rPr>
          <w:bCs/>
          <w:lang w:val="en-US"/>
        </w:rPr>
        <w:t>IIA</w:t>
      </w:r>
      <w:r w:rsidRPr="001468CA">
        <w:rPr>
          <w:lang w:val="en-US"/>
        </w:rPr>
        <w:t xml:space="preserve"> of Article </w:t>
      </w:r>
      <w:r w:rsidRPr="001468CA">
        <w:rPr>
          <w:b/>
          <w:bCs/>
          <w:lang w:val="en-US"/>
        </w:rPr>
        <w:t>9</w:t>
      </w:r>
      <w:r w:rsidRPr="001468CA">
        <w:rPr>
          <w:lang w:val="en-US"/>
        </w:rPr>
        <w:t>) have been allocated to the applicable services.</w:t>
      </w:r>
    </w:p>
    <w:p w:rsidR="001468CA" w:rsidRPr="001468CA" w:rsidRDefault="001468CA" w:rsidP="007E579D">
      <w:pPr>
        <w:rPr>
          <w:lang w:val="en-US"/>
        </w:rPr>
      </w:pPr>
      <w:r w:rsidRPr="001468CA">
        <w:rPr>
          <w:lang w:val="en-US"/>
        </w:rPr>
        <w:t xml:space="preserve">As with any traditional satellite, irrespective of the operating frequency band and service at least some form of correspondence is always necessary. This can be either full coordination under Section IIA of Article </w:t>
      </w:r>
      <w:r w:rsidRPr="001468CA">
        <w:rPr>
          <w:b/>
          <w:bCs/>
          <w:lang w:val="en-US"/>
        </w:rPr>
        <w:t>9</w:t>
      </w:r>
      <w:r w:rsidRPr="001468CA">
        <w:rPr>
          <w:lang w:val="en-US"/>
        </w:rPr>
        <w:t xml:space="preserve">, or under Section </w:t>
      </w:r>
      <w:r w:rsidRPr="00173E70">
        <w:rPr>
          <w:lang w:val="en-US"/>
        </w:rPr>
        <w:t>IA</w:t>
      </w:r>
      <w:r w:rsidRPr="001468CA">
        <w:rPr>
          <w:lang w:val="en-US"/>
        </w:rPr>
        <w:t xml:space="preserve"> of Article </w:t>
      </w:r>
      <w:r w:rsidRPr="001468CA">
        <w:rPr>
          <w:b/>
          <w:bCs/>
          <w:lang w:val="en-US"/>
        </w:rPr>
        <w:t>9</w:t>
      </w:r>
      <w:r w:rsidRPr="001468CA">
        <w:rPr>
          <w:lang w:val="en-US"/>
        </w:rPr>
        <w:t xml:space="preserve">. Both forms of correspondence require the Appendix </w:t>
      </w:r>
      <w:r w:rsidRPr="001468CA">
        <w:rPr>
          <w:b/>
          <w:lang w:val="en-US"/>
        </w:rPr>
        <w:t>4</w:t>
      </w:r>
      <w:r w:rsidRPr="001468CA">
        <w:rPr>
          <w:lang w:val="en-US"/>
        </w:rPr>
        <w:t xml:space="preserve"> data to be correct and complete, and furthermore, would require the orbital parameters to be known</w:t>
      </w:r>
      <w:r w:rsidRPr="001468CA">
        <w:rPr>
          <w:szCs w:val="24"/>
          <w:lang w:val="en-US"/>
        </w:rPr>
        <w:t xml:space="preserve"> with sufficient specificity to facilitate meaningful coordination. Since most nanosatellite and picosatellite systems operate in a limited range of orbits, the lack of knowledge of specific orbital parameters due to opportunistic launches should not be a barrier for submission of the API/A or CR/C (if applicable), although such filings may cover a range of orbits broader than necessary to operate. Submission of filings at the earliest possible date will facilitate compliance with the radio regulations, which is necessary to eliminate the potential of harmful interference to systems operating in the same frequency bands.</w:t>
      </w:r>
    </w:p>
    <w:p w:rsidR="001468CA" w:rsidRPr="001468CA" w:rsidRDefault="001468CA" w:rsidP="007E579D">
      <w:pPr>
        <w:rPr>
          <w:lang w:val="en-US"/>
        </w:rPr>
      </w:pPr>
      <w:r w:rsidRPr="001468CA">
        <w:rPr>
          <w:lang w:val="en-US"/>
        </w:rPr>
        <w:t>Communications equipment used in nanosatellites and picosatellites is generally COTS, with the ability to either set the frequency on build or set it prior to acceptance testing of the unit. The time within which this can and must be completed requires means that the frequencies for the operation of the satellite must be known quite early in the program. Changing frequencies late in the program can have significant cost and schedule impacts.</w:t>
      </w:r>
    </w:p>
    <w:p w:rsidR="001468CA" w:rsidRPr="001468CA" w:rsidRDefault="001468CA" w:rsidP="007E579D">
      <w:pPr>
        <w:rPr>
          <w:lang w:val="en-US"/>
        </w:rPr>
      </w:pPr>
      <w:r w:rsidRPr="001468CA">
        <w:rPr>
          <w:lang w:val="en-US"/>
        </w:rPr>
        <w:t>Due to limitations in the availability of low cost technologies the vast majority of nanosatellites utilize frequency bands ranging from 100 MHz to 10 GHz.</w:t>
      </w:r>
    </w:p>
    <w:p w:rsidR="001468CA" w:rsidRPr="001468CA" w:rsidRDefault="001468CA" w:rsidP="007E579D">
      <w:pPr>
        <w:rPr>
          <w:lang w:val="en-US"/>
        </w:rPr>
      </w:pPr>
      <w:r w:rsidRPr="001468CA">
        <w:rPr>
          <w:lang w:val="en-US"/>
        </w:rPr>
        <w:t xml:space="preserve">Many nanosatellite and picosatellite operations to date have been non-conforming to the Radio Regulations and were thus operating on an unprotected basis and subject to not causing harmful interference (RR No. </w:t>
      </w:r>
      <w:r w:rsidRPr="001468CA">
        <w:rPr>
          <w:b/>
          <w:lang w:val="en-US"/>
        </w:rPr>
        <w:t>4.4</w:t>
      </w:r>
      <w:r w:rsidRPr="001468CA">
        <w:rPr>
          <w:lang w:val="en-US"/>
        </w:rPr>
        <w:t xml:space="preserve">). As an example, some administrations have used frequency bands allocated to the amateur or amateur-satellite service. However, the use of amateur or amateur-satellite service spectrum, under the amateur service, is only appropriate if the definition of the amateur service (RR No. </w:t>
      </w:r>
      <w:r w:rsidRPr="001468CA">
        <w:rPr>
          <w:b/>
          <w:bCs/>
          <w:lang w:val="en-US"/>
        </w:rPr>
        <w:t>1.56</w:t>
      </w:r>
      <w:r w:rsidRPr="001468CA">
        <w:rPr>
          <w:lang w:val="en-US"/>
        </w:rPr>
        <w:t>) is met: “A radiocommunication service for the purpose of self</w:t>
      </w:r>
      <w:r w:rsidR="007E579D">
        <w:rPr>
          <w:lang w:val="en-US"/>
        </w:rPr>
        <w:noBreakHyphen/>
      </w:r>
      <w:r w:rsidRPr="001468CA">
        <w:rPr>
          <w:lang w:val="en-US"/>
        </w:rPr>
        <w:t>training, intercommunication and technical investigations carried out by amateurs, that is, duly authorized persons interested in radio technique solely with a personal aim and without pecuniary interest.” A number of applications and operations in these frequency bands may not comply with all the requirements for amateur use and have therefore been authorized only for experimental operation.</w:t>
      </w:r>
    </w:p>
    <w:p w:rsidR="001468CA" w:rsidRPr="001468CA" w:rsidRDefault="001468CA" w:rsidP="00173E70">
      <w:pPr>
        <w:rPr>
          <w:lang w:val="en-US"/>
        </w:rPr>
      </w:pPr>
      <w:r w:rsidRPr="001468CA">
        <w:rPr>
          <w:lang w:val="en-US"/>
        </w:rPr>
        <w:t xml:space="preserve">Space research and space operation service bands have also been used by </w:t>
      </w:r>
      <w:r w:rsidRPr="001468CA">
        <w:rPr>
          <w:szCs w:val="24"/>
          <w:lang w:val="en-US"/>
        </w:rPr>
        <w:t xml:space="preserve">nanosatellites and picosatellites. </w:t>
      </w:r>
      <w:r w:rsidRPr="001468CA">
        <w:rPr>
          <w:lang w:val="en-US"/>
        </w:rPr>
        <w:t>Frequency bands allocated to the Earth exploration-satellite service, meteorological-satellite service and mobile-satellite service have been used for Earth</w:t>
      </w:r>
      <w:r w:rsidR="007E579D">
        <w:rPr>
          <w:lang w:val="en-US"/>
        </w:rPr>
        <w:t>-</w:t>
      </w:r>
      <w:r w:rsidRPr="001468CA">
        <w:rPr>
          <w:lang w:val="en-US"/>
        </w:rPr>
        <w:t xml:space="preserve">to-space links for the purpose of telecommand links. </w:t>
      </w:r>
      <w:r w:rsidRPr="001468CA">
        <w:rPr>
          <w:szCs w:val="24"/>
          <w:lang w:val="en-US"/>
        </w:rPr>
        <w:t xml:space="preserve">Some nanosatellites and picosatellites </w:t>
      </w:r>
      <w:r w:rsidRPr="001468CA">
        <w:rPr>
          <w:lang w:val="en-US"/>
        </w:rPr>
        <w:t xml:space="preserve">have occasionally used bands which are designated under footnote No. </w:t>
      </w:r>
      <w:r w:rsidRPr="001468CA">
        <w:rPr>
          <w:b/>
          <w:lang w:val="en-US"/>
        </w:rPr>
        <w:t>5.150</w:t>
      </w:r>
      <w:r w:rsidRPr="001468CA">
        <w:rPr>
          <w:lang w:val="en-US"/>
        </w:rPr>
        <w:t xml:space="preserve"> of the </w:t>
      </w:r>
      <w:r w:rsidR="00173E70">
        <w:rPr>
          <w:lang w:val="en-US"/>
        </w:rPr>
        <w:t xml:space="preserve">RR </w:t>
      </w:r>
      <w:r w:rsidRPr="001468CA">
        <w:rPr>
          <w:lang w:val="en-US"/>
        </w:rPr>
        <w:t xml:space="preserve">for use by industrial, scientific and medical (ISM) applications. It should be stressed that the definition of ISM does not include radiocommunication, and developers should be aware that nanosatellites and picosatellites do not fall under the definition of ISM applications. While they cannot operate on the same unlicensed basis as ISM equipment, they may be eligible for licensing on an experimental basis, depending on the provisions of the responsible administration. No matter what service a nanosatellite or picosatellite frequency assignment operates under, the characteristics of the ground stations used with it need to be documented and the compatibility of its frequency assignments with stations in other services needs to be assessed. It should be recognized that, when frequency assignments that are not in conformance with the </w:t>
      </w:r>
      <w:r w:rsidR="00173E70">
        <w:rPr>
          <w:lang w:val="en-US"/>
        </w:rPr>
        <w:t>RR</w:t>
      </w:r>
      <w:r w:rsidRPr="001468CA">
        <w:rPr>
          <w:lang w:val="en-US"/>
        </w:rPr>
        <w:t xml:space="preserve"> are notified to the ITU, this should be done in accordance with Article </w:t>
      </w:r>
      <w:r w:rsidRPr="001468CA">
        <w:rPr>
          <w:b/>
          <w:bCs/>
          <w:lang w:val="en-US"/>
        </w:rPr>
        <w:t xml:space="preserve">8.4 </w:t>
      </w:r>
      <w:r w:rsidRPr="001468CA">
        <w:rPr>
          <w:bCs/>
          <w:lang w:val="en-US"/>
        </w:rPr>
        <w:t xml:space="preserve">of the </w:t>
      </w:r>
      <w:r w:rsidR="00173E70">
        <w:rPr>
          <w:bCs/>
          <w:lang w:val="en-US"/>
        </w:rPr>
        <w:t>RR</w:t>
      </w:r>
      <w:r w:rsidRPr="001468CA">
        <w:rPr>
          <w:lang w:val="en-US"/>
        </w:rPr>
        <w:t>.</w:t>
      </w:r>
    </w:p>
    <w:p w:rsidR="001468CA" w:rsidRPr="001468CA" w:rsidRDefault="001468CA" w:rsidP="007E579D">
      <w:pPr>
        <w:rPr>
          <w:rFonts w:cs="Calibri"/>
          <w:lang w:val="en-US"/>
        </w:rPr>
      </w:pPr>
      <w:r w:rsidRPr="001468CA">
        <w:rPr>
          <w:lang w:val="en-US"/>
        </w:rPr>
        <w:t xml:space="preserve">As use of nanosatellite and picosatellite systems expands to support other applications, developers may seek to use additional frequency bands allocated to the appropriate service of operation. </w:t>
      </w:r>
      <w:r w:rsidRPr="001468CA">
        <w:rPr>
          <w:lang w:val="en-US"/>
        </w:rPr>
        <w:lastRenderedPageBreak/>
        <w:t>Interest in other frequency bands allocated to other services may result from mission specific requirements, availability of terrestrial infrastructure to support a particular mission, or other yet to be identified factors. As the relatively short development cycle and reduced cost offers easier access to space to new communities (e.g. educational institutes), either through partnerships with civil space agencies or as independent satellite operators, the range of applications as well as spectrum requirements will undoubtedly expand.</w:t>
      </w:r>
    </w:p>
    <w:p w:rsidR="001468CA" w:rsidRPr="001468CA" w:rsidRDefault="001468CA" w:rsidP="007E579D">
      <w:pPr>
        <w:rPr>
          <w:lang w:val="en-US"/>
        </w:rPr>
      </w:pPr>
      <w:r w:rsidRPr="001468CA">
        <w:rPr>
          <w:lang w:val="en-US"/>
        </w:rPr>
        <w:t>With the continuing miniaturization of technologies and the expansion of innovative applications for nanosatellite and picosatellite systems, bandwidth and data rate requirements are also anticipated to increase over time.</w:t>
      </w:r>
    </w:p>
    <w:p w:rsidR="001468CA" w:rsidRPr="007E579D" w:rsidRDefault="001468CA" w:rsidP="007E579D">
      <w:pPr>
        <w:rPr>
          <w:rStyle w:val="Strong"/>
          <w:b w:val="0"/>
          <w:lang w:val="en-US"/>
        </w:rPr>
      </w:pPr>
      <w:r w:rsidRPr="007E579D">
        <w:rPr>
          <w:rStyle w:val="Strong"/>
          <w:b w:val="0"/>
          <w:lang w:val="en-US"/>
        </w:rPr>
        <w:t>As for any other satellite, the allocation to the relevant space radiocommunication service should reflect the actual application.</w:t>
      </w:r>
    </w:p>
    <w:p w:rsidR="001468CA" w:rsidRPr="001468CA" w:rsidRDefault="001468CA" w:rsidP="001468CA">
      <w:pPr>
        <w:pStyle w:val="Heading1"/>
        <w:rPr>
          <w:lang w:val="en-US"/>
        </w:rPr>
      </w:pPr>
      <w:bookmarkStart w:id="52" w:name="_Toc400363537"/>
      <w:bookmarkStart w:id="53" w:name="_Toc402962839"/>
      <w:r w:rsidRPr="001468CA">
        <w:rPr>
          <w:lang w:val="en-US"/>
        </w:rPr>
        <w:t>6</w:t>
      </w:r>
      <w:r w:rsidRPr="001468CA">
        <w:rPr>
          <w:lang w:val="en-US"/>
        </w:rPr>
        <w:tab/>
        <w:t>Conclusion</w:t>
      </w:r>
      <w:bookmarkEnd w:id="52"/>
      <w:bookmarkEnd w:id="53"/>
    </w:p>
    <w:p w:rsidR="001468CA" w:rsidRPr="007E579D" w:rsidRDefault="001468CA" w:rsidP="007E579D">
      <w:pPr>
        <w:rPr>
          <w:rStyle w:val="Strong"/>
          <w:b w:val="0"/>
          <w:lang w:val="en-US"/>
        </w:rPr>
      </w:pPr>
      <w:r w:rsidRPr="007E579D">
        <w:rPr>
          <w:rStyle w:val="Strong"/>
          <w:b w:val="0"/>
          <w:lang w:val="en-US"/>
        </w:rPr>
        <w:t xml:space="preserve">This </w:t>
      </w:r>
      <w:r w:rsidR="007E579D">
        <w:rPr>
          <w:rStyle w:val="Strong"/>
          <w:b w:val="0"/>
          <w:lang w:val="en-US"/>
        </w:rPr>
        <w:t>R</w:t>
      </w:r>
      <w:r w:rsidRPr="007E579D">
        <w:rPr>
          <w:rStyle w:val="Strong"/>
          <w:b w:val="0"/>
          <w:lang w:val="en-US"/>
        </w:rPr>
        <w:t>eport has been produced in response to Question ITU-R 254/7 by presenting a study of the distinctive characteristics of nanosatellites and picosatellites as opposed to traditional satellites, spectrum requirements, and services under which these satellites can operate.</w:t>
      </w:r>
    </w:p>
    <w:p w:rsidR="001468CA" w:rsidRPr="007E579D" w:rsidRDefault="001468CA" w:rsidP="007E579D">
      <w:pPr>
        <w:rPr>
          <w:rStyle w:val="Strong"/>
          <w:b w:val="0"/>
          <w:lang w:val="en-US"/>
        </w:rPr>
      </w:pPr>
      <w:r w:rsidRPr="007E579D">
        <w:rPr>
          <w:rStyle w:val="Strong"/>
          <w:b w:val="0"/>
          <w:lang w:val="en-US"/>
        </w:rPr>
        <w:t>Nanosatellite and picosatellite systems have provided unprecedented access to space by way of their reduced deployment timelines and costs. Further, standardization of certain physical aspects allows increased flexibility for their deployment as secondary payloads.</w:t>
      </w:r>
    </w:p>
    <w:p w:rsidR="001468CA" w:rsidRPr="007E579D" w:rsidRDefault="001468CA" w:rsidP="00A27E8D">
      <w:pPr>
        <w:rPr>
          <w:rStyle w:val="Strong"/>
          <w:b w:val="0"/>
          <w:lang w:val="en-US"/>
        </w:rPr>
      </w:pPr>
      <w:r w:rsidRPr="007E579D">
        <w:rPr>
          <w:rStyle w:val="Strong"/>
          <w:b w:val="0"/>
          <w:lang w:val="en-US"/>
        </w:rPr>
        <w:t xml:space="preserve">While nanosatellites and picosatellites are most often recognized by their small physical dimensions and mass, there are several other programmatic and technical aspects which make them different from more traditional satellite systems. These may include short development times and short operational life. It should be noted that most of these characteristics, as well as physical dimensions and mass, are not part of the information to be submitted under Appendix </w:t>
      </w:r>
      <w:r w:rsidRPr="00A27E8D">
        <w:rPr>
          <w:rStyle w:val="Strong"/>
          <w:bCs/>
          <w:lang w:val="en-US"/>
        </w:rPr>
        <w:t>4</w:t>
      </w:r>
      <w:r w:rsidRPr="007E579D">
        <w:rPr>
          <w:rStyle w:val="Strong"/>
          <w:b w:val="0"/>
          <w:lang w:val="en-US"/>
        </w:rPr>
        <w:t xml:space="preserve"> of the </w:t>
      </w:r>
      <w:r w:rsidR="00A27E8D">
        <w:rPr>
          <w:rStyle w:val="Strong"/>
          <w:b w:val="0"/>
          <w:lang w:val="en-US"/>
        </w:rPr>
        <w:t>RR</w:t>
      </w:r>
      <w:bookmarkStart w:id="54" w:name="_GoBack"/>
      <w:bookmarkEnd w:id="54"/>
      <w:r w:rsidR="007E579D">
        <w:rPr>
          <w:rStyle w:val="Strong"/>
          <w:b w:val="0"/>
          <w:lang w:val="en-US"/>
        </w:rPr>
        <w:t xml:space="preserve">. </w:t>
      </w:r>
      <w:r w:rsidRPr="007E579D">
        <w:rPr>
          <w:rStyle w:val="Strong"/>
          <w:b w:val="0"/>
          <w:lang w:val="en-US"/>
        </w:rPr>
        <w:t xml:space="preserve">It is difficult under Appendix </w:t>
      </w:r>
      <w:r w:rsidRPr="00173E70">
        <w:rPr>
          <w:rStyle w:val="Strong"/>
          <w:bCs/>
          <w:lang w:val="en-US"/>
        </w:rPr>
        <w:t>4</w:t>
      </w:r>
      <w:r w:rsidRPr="007E579D">
        <w:rPr>
          <w:rStyle w:val="Strong"/>
          <w:b w:val="0"/>
          <w:lang w:val="en-US"/>
        </w:rPr>
        <w:t xml:space="preserve"> of </w:t>
      </w:r>
      <w:r w:rsidR="00173E70">
        <w:rPr>
          <w:rStyle w:val="Strong"/>
          <w:b w:val="0"/>
          <w:lang w:val="en-US"/>
        </w:rPr>
        <w:t xml:space="preserve">RR </w:t>
      </w:r>
      <w:r w:rsidRPr="007E579D">
        <w:rPr>
          <w:rStyle w:val="Strong"/>
          <w:b w:val="0"/>
          <w:lang w:val="en-US"/>
        </w:rPr>
        <w:t>(edition 2012) to distinguish nanosatellites and picosatellites from others. Nevertheless, nanosatellites and picosatellites may be used for a variety of applications in a number of different satellite services. Currently, these applications are often, but not always, experiments, tests or technology demonstrations. As new concepts are continually being developed for nanosatellite and picosatellite applications, the differences between these satellites and traditional satellites may become less distinct.</w:t>
      </w:r>
    </w:p>
    <w:p w:rsidR="001468CA" w:rsidRDefault="001468CA" w:rsidP="001468CA">
      <w:pPr>
        <w:rPr>
          <w:rStyle w:val="Strong"/>
          <w:b w:val="0"/>
          <w:bCs/>
          <w:lang w:val="en-US"/>
        </w:rPr>
      </w:pPr>
    </w:p>
    <w:p w:rsidR="007E579D" w:rsidRPr="001468CA" w:rsidRDefault="007E579D" w:rsidP="001468CA">
      <w:pPr>
        <w:rPr>
          <w:rStyle w:val="Strong"/>
          <w:b w:val="0"/>
          <w:bCs/>
          <w:lang w:val="en-US"/>
        </w:rPr>
      </w:pPr>
    </w:p>
    <w:p w:rsidR="007E579D" w:rsidRPr="00173E70" w:rsidRDefault="007E579D" w:rsidP="007E579D">
      <w:pPr>
        <w:pStyle w:val="AnnexNoTitle"/>
        <w:rPr>
          <w:lang w:val="en-US"/>
        </w:rPr>
      </w:pPr>
      <w:r w:rsidRPr="00173E70">
        <w:rPr>
          <w:lang w:val="en-US"/>
        </w:rPr>
        <w:br w:type="page"/>
      </w:r>
    </w:p>
    <w:p w:rsidR="001468CA" w:rsidRPr="00173E70" w:rsidRDefault="001468CA" w:rsidP="007E579D">
      <w:pPr>
        <w:pStyle w:val="AnnexNoTitle"/>
        <w:rPr>
          <w:lang w:val="en-US"/>
        </w:rPr>
      </w:pPr>
      <w:bookmarkStart w:id="55" w:name="_Toc402962840"/>
      <w:r w:rsidRPr="00173E70">
        <w:rPr>
          <w:lang w:val="en-US"/>
        </w:rPr>
        <w:lastRenderedPageBreak/>
        <w:t>A</w:t>
      </w:r>
      <w:r w:rsidR="007E579D" w:rsidRPr="00173E70">
        <w:rPr>
          <w:lang w:val="en-US"/>
        </w:rPr>
        <w:t xml:space="preserve">nnex </w:t>
      </w:r>
      <w:r w:rsidRPr="00173E70">
        <w:rPr>
          <w:lang w:val="en-US"/>
        </w:rPr>
        <w:t>1</w:t>
      </w:r>
      <w:r w:rsidR="007E579D" w:rsidRPr="00173E70">
        <w:rPr>
          <w:lang w:val="en-US"/>
        </w:rPr>
        <w:br/>
      </w:r>
      <w:r w:rsidR="007E579D" w:rsidRPr="00173E70">
        <w:rPr>
          <w:lang w:val="en-US"/>
        </w:rPr>
        <w:br/>
      </w:r>
      <w:r w:rsidRPr="00173E70">
        <w:rPr>
          <w:lang w:val="en-US"/>
        </w:rPr>
        <w:t>List of abbreviations</w:t>
      </w:r>
      <w:bookmarkEnd w:id="55"/>
    </w:p>
    <w:p w:rsidR="001468CA" w:rsidRPr="007E579D" w:rsidRDefault="001468CA" w:rsidP="007E579D">
      <w:pPr>
        <w:tabs>
          <w:tab w:val="clear" w:pos="794"/>
        </w:tabs>
        <w:rPr>
          <w:bCs/>
          <w:lang w:val="en-US"/>
        </w:rPr>
      </w:pPr>
      <w:r w:rsidRPr="007E579D">
        <w:rPr>
          <w:bCs/>
          <w:lang w:val="en-US"/>
        </w:rPr>
        <w:t>API – Advance publication information</w:t>
      </w:r>
    </w:p>
    <w:p w:rsidR="001468CA" w:rsidRPr="007E579D" w:rsidRDefault="001468CA" w:rsidP="007E579D">
      <w:pPr>
        <w:tabs>
          <w:tab w:val="clear" w:pos="794"/>
        </w:tabs>
        <w:rPr>
          <w:bCs/>
          <w:lang w:val="en-US"/>
        </w:rPr>
      </w:pPr>
      <w:r w:rsidRPr="007E579D">
        <w:rPr>
          <w:bCs/>
          <w:lang w:val="en-US"/>
        </w:rPr>
        <w:t>COTS – Commercial-off-the-shelf</w:t>
      </w:r>
    </w:p>
    <w:p w:rsidR="001468CA" w:rsidRPr="007E579D" w:rsidRDefault="001468CA" w:rsidP="00552D9D">
      <w:pPr>
        <w:tabs>
          <w:tab w:val="clear" w:pos="794"/>
        </w:tabs>
        <w:rPr>
          <w:bCs/>
          <w:lang w:val="en-US"/>
        </w:rPr>
      </w:pPr>
      <w:r w:rsidRPr="007E579D">
        <w:rPr>
          <w:bCs/>
          <w:lang w:val="en-US"/>
        </w:rPr>
        <w:t xml:space="preserve">GEO – Geostationary </w:t>
      </w:r>
      <w:r w:rsidR="00552D9D">
        <w:rPr>
          <w:bCs/>
          <w:lang w:val="en-US"/>
        </w:rPr>
        <w:t>E</w:t>
      </w:r>
      <w:r w:rsidRPr="007E579D">
        <w:rPr>
          <w:bCs/>
          <w:lang w:val="en-US"/>
        </w:rPr>
        <w:t>arth orbit</w:t>
      </w:r>
    </w:p>
    <w:p w:rsidR="001468CA" w:rsidRPr="007E579D" w:rsidRDefault="001468CA" w:rsidP="00552D9D">
      <w:pPr>
        <w:tabs>
          <w:tab w:val="clear" w:pos="794"/>
        </w:tabs>
        <w:rPr>
          <w:bCs/>
          <w:lang w:val="en-US"/>
        </w:rPr>
      </w:pPr>
      <w:r w:rsidRPr="007E579D">
        <w:rPr>
          <w:bCs/>
          <w:lang w:val="en-US"/>
        </w:rPr>
        <w:t xml:space="preserve">HEO – High </w:t>
      </w:r>
      <w:r w:rsidR="00552D9D">
        <w:rPr>
          <w:bCs/>
          <w:lang w:val="en-US"/>
        </w:rPr>
        <w:t>E</w:t>
      </w:r>
      <w:r w:rsidRPr="007E579D">
        <w:rPr>
          <w:bCs/>
          <w:lang w:val="en-US"/>
        </w:rPr>
        <w:t>arth orbit</w:t>
      </w:r>
    </w:p>
    <w:p w:rsidR="001468CA" w:rsidRPr="007E579D" w:rsidRDefault="001468CA" w:rsidP="007E579D">
      <w:pPr>
        <w:tabs>
          <w:tab w:val="clear" w:pos="794"/>
        </w:tabs>
        <w:rPr>
          <w:bCs/>
          <w:lang w:val="en-US"/>
        </w:rPr>
      </w:pPr>
      <w:r w:rsidRPr="007E579D">
        <w:rPr>
          <w:bCs/>
          <w:lang w:val="en-US"/>
        </w:rPr>
        <w:t>ISM – Industrial, scientific and medical</w:t>
      </w:r>
    </w:p>
    <w:p w:rsidR="001468CA" w:rsidRPr="007E579D" w:rsidRDefault="001468CA" w:rsidP="00552D9D">
      <w:pPr>
        <w:tabs>
          <w:tab w:val="clear" w:pos="794"/>
        </w:tabs>
        <w:rPr>
          <w:bCs/>
          <w:lang w:val="en-US"/>
        </w:rPr>
      </w:pPr>
      <w:r w:rsidRPr="007E579D">
        <w:rPr>
          <w:bCs/>
          <w:lang w:val="en-US"/>
        </w:rPr>
        <w:t xml:space="preserve">LEO – Low </w:t>
      </w:r>
      <w:r w:rsidR="00552D9D">
        <w:rPr>
          <w:bCs/>
          <w:lang w:val="en-US"/>
        </w:rPr>
        <w:t>E</w:t>
      </w:r>
      <w:r w:rsidRPr="007E579D">
        <w:rPr>
          <w:bCs/>
          <w:lang w:val="en-US"/>
        </w:rPr>
        <w:t>arth orbit</w:t>
      </w:r>
    </w:p>
    <w:p w:rsidR="001468CA" w:rsidRPr="007E579D" w:rsidRDefault="001468CA" w:rsidP="00552D9D">
      <w:pPr>
        <w:tabs>
          <w:tab w:val="clear" w:pos="794"/>
        </w:tabs>
        <w:rPr>
          <w:bCs/>
          <w:lang w:val="en-US"/>
        </w:rPr>
      </w:pPr>
      <w:r w:rsidRPr="007E579D">
        <w:rPr>
          <w:bCs/>
          <w:lang w:val="en-US"/>
        </w:rPr>
        <w:t xml:space="preserve">MEO – Medium </w:t>
      </w:r>
      <w:r w:rsidR="00552D9D">
        <w:rPr>
          <w:bCs/>
          <w:lang w:val="en-US"/>
        </w:rPr>
        <w:t>E</w:t>
      </w:r>
      <w:r w:rsidRPr="007E579D">
        <w:rPr>
          <w:bCs/>
          <w:lang w:val="en-US"/>
        </w:rPr>
        <w:t>arth orbit</w:t>
      </w:r>
    </w:p>
    <w:p w:rsidR="001468CA" w:rsidRPr="007E579D" w:rsidRDefault="001468CA" w:rsidP="007E579D">
      <w:pPr>
        <w:tabs>
          <w:tab w:val="clear" w:pos="794"/>
        </w:tabs>
        <w:rPr>
          <w:bCs/>
          <w:lang w:val="en-US"/>
        </w:rPr>
      </w:pPr>
      <w:r w:rsidRPr="007E579D">
        <w:rPr>
          <w:bCs/>
          <w:lang w:val="en-US"/>
        </w:rPr>
        <w:t>NGSO – Non-geostationary satellite orbit</w:t>
      </w:r>
    </w:p>
    <w:p w:rsidR="001468CA" w:rsidRPr="007E579D" w:rsidRDefault="001468CA" w:rsidP="007E579D">
      <w:pPr>
        <w:tabs>
          <w:tab w:val="clear" w:pos="794"/>
        </w:tabs>
        <w:rPr>
          <w:bCs/>
          <w:lang w:val="en-US"/>
        </w:rPr>
      </w:pPr>
      <w:r w:rsidRPr="007E579D">
        <w:rPr>
          <w:bCs/>
          <w:lang w:val="en-US"/>
        </w:rPr>
        <w:t>PSD – Power spectral density</w:t>
      </w:r>
    </w:p>
    <w:p w:rsidR="001468CA" w:rsidRPr="007E579D" w:rsidRDefault="001468CA" w:rsidP="007E579D">
      <w:pPr>
        <w:tabs>
          <w:tab w:val="clear" w:pos="794"/>
        </w:tabs>
        <w:rPr>
          <w:bCs/>
          <w:lang w:val="en-US"/>
        </w:rPr>
      </w:pPr>
      <w:r w:rsidRPr="007E579D">
        <w:rPr>
          <w:bCs/>
          <w:lang w:val="en-US"/>
        </w:rPr>
        <w:t>TT&amp;C – Telemetry, tracking and telecommand</w:t>
      </w:r>
    </w:p>
    <w:p w:rsidR="001468CA" w:rsidRPr="007E579D" w:rsidRDefault="001468CA" w:rsidP="007E579D">
      <w:pPr>
        <w:tabs>
          <w:tab w:val="clear" w:pos="794"/>
        </w:tabs>
        <w:rPr>
          <w:bCs/>
          <w:lang w:val="en-US"/>
        </w:rPr>
      </w:pPr>
      <w:r w:rsidRPr="007E579D">
        <w:rPr>
          <w:bCs/>
          <w:lang w:val="en-US"/>
        </w:rPr>
        <w:t>UHF – Ultra high frequency</w:t>
      </w:r>
    </w:p>
    <w:p w:rsidR="001468CA" w:rsidRPr="00173E70" w:rsidRDefault="001468CA" w:rsidP="007E579D">
      <w:pPr>
        <w:tabs>
          <w:tab w:val="clear" w:pos="794"/>
        </w:tabs>
        <w:rPr>
          <w:bCs/>
          <w:lang w:val="en-US"/>
        </w:rPr>
      </w:pPr>
      <w:r w:rsidRPr="00173E70">
        <w:rPr>
          <w:bCs/>
          <w:lang w:val="en-US"/>
        </w:rPr>
        <w:t>VHF – Very high frequency</w:t>
      </w:r>
    </w:p>
    <w:p w:rsidR="00A6617B" w:rsidRPr="00173E70" w:rsidRDefault="00A6617B" w:rsidP="001468CA">
      <w:pPr>
        <w:rPr>
          <w:lang w:val="en-US"/>
        </w:rPr>
      </w:pPr>
    </w:p>
    <w:p w:rsidR="007E579D" w:rsidRPr="00173E70" w:rsidRDefault="007E579D" w:rsidP="001468CA">
      <w:pPr>
        <w:rPr>
          <w:lang w:val="en-US"/>
        </w:rPr>
      </w:pPr>
    </w:p>
    <w:p w:rsidR="001468CA" w:rsidRPr="00A6617B" w:rsidRDefault="001468CA" w:rsidP="001468CA">
      <w:pPr>
        <w:pStyle w:val="Line"/>
      </w:pPr>
    </w:p>
    <w:sectPr w:rsidR="001468CA" w:rsidRPr="00A6617B" w:rsidSect="009C42AD">
      <w:headerReference w:type="even" r:id="rId13"/>
      <w:headerReference w:type="default" r:id="rId14"/>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17F" w:rsidRDefault="0023117F">
      <w:r>
        <w:separator/>
      </w:r>
    </w:p>
  </w:endnote>
  <w:endnote w:type="continuationSeparator" w:id="0">
    <w:p w:rsidR="0023117F" w:rsidRDefault="0023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17F" w:rsidRDefault="0023117F">
      <w:r>
        <w:separator/>
      </w:r>
    </w:p>
  </w:footnote>
  <w:footnote w:type="continuationSeparator" w:id="0">
    <w:p w:rsidR="0023117F" w:rsidRDefault="0023117F">
      <w:r>
        <w:continuationSeparator/>
      </w:r>
    </w:p>
  </w:footnote>
  <w:footnote w:id="1">
    <w:p w:rsidR="0023117F" w:rsidRPr="009526F2" w:rsidRDefault="0023117F">
      <w:pPr>
        <w:pStyle w:val="FootnoteText"/>
        <w:rPr>
          <w:lang w:val="en-US"/>
        </w:rPr>
      </w:pPr>
      <w:r>
        <w:rPr>
          <w:rStyle w:val="FootnoteReference"/>
        </w:rPr>
        <w:footnoteRef/>
      </w:r>
      <w:r w:rsidRPr="009526F2">
        <w:rPr>
          <w:lang w:val="en-US"/>
        </w:rPr>
        <w:t xml:space="preserve"> </w:t>
      </w:r>
      <w:r w:rsidRPr="009526F2">
        <w:rPr>
          <w:lang w:val="en-US"/>
        </w:rPr>
        <w:tab/>
      </w:r>
      <w:r>
        <w:rPr>
          <w:lang w:val="en-US"/>
        </w:rPr>
        <w:t>Plus additional budgetary items for coordination of frequency assignments, ITU filing (cost recovery if applicable) and related expenses.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17F" w:rsidRPr="003A4856" w:rsidRDefault="0023117F" w:rsidP="0023117F">
    <w:pPr>
      <w:pStyle w:val="Header"/>
      <w:jc w:val="both"/>
      <w:rPr>
        <w:lang w:val="en-US"/>
      </w:rPr>
    </w:pPr>
    <w:r w:rsidRPr="009770E7">
      <w:rPr>
        <w:b/>
        <w:bCs/>
      </w:rPr>
      <w:fldChar w:fldCharType="begin"/>
    </w:r>
    <w:r w:rsidRPr="009770E7">
      <w:rPr>
        <w:b/>
        <w:bCs/>
        <w:lang w:val="en-US"/>
      </w:rPr>
      <w:instrText xml:space="preserve"> PAGE </w:instrText>
    </w:r>
    <w:r w:rsidRPr="009770E7">
      <w:rPr>
        <w:b/>
        <w:bCs/>
      </w:rPr>
      <w:fldChar w:fldCharType="separate"/>
    </w:r>
    <w:r w:rsidR="00570A41">
      <w:rPr>
        <w:b/>
        <w:bCs/>
        <w:noProof/>
        <w:lang w:val="en-US"/>
      </w:rPr>
      <w:t>ii</w:t>
    </w:r>
    <w:r w:rsidRPr="009770E7">
      <w:fldChar w:fldCharType="end"/>
    </w:r>
    <w:r w:rsidRPr="009770E7">
      <w:rPr>
        <w:lang w:val="en-US"/>
      </w:rPr>
      <w:tab/>
    </w:r>
    <w:r>
      <w:fldChar w:fldCharType="begin"/>
    </w:r>
    <w:r w:rsidRPr="003A4856">
      <w:rPr>
        <w:lang w:val="en-US"/>
      </w:rPr>
      <w:instrText xml:space="preserve"> DOCPROPERTY "Header 2" \* MERGEFORMAT </w:instrText>
    </w:r>
    <w:r>
      <w:fldChar w:fldCharType="separate"/>
    </w:r>
    <w:r w:rsidR="00570A41" w:rsidRPr="00570A41">
      <w:rPr>
        <w:b/>
        <w:bCs/>
        <w:lang w:val="en-US"/>
      </w:rPr>
      <w:t xml:space="preserve">Rep. </w:t>
    </w:r>
    <w:r>
      <w:rPr>
        <w:b/>
        <w:bCs/>
        <w:lang w:val="en-US"/>
      </w:rPr>
      <w:fldChar w:fldCharType="end"/>
    </w:r>
    <w:r w:rsidRPr="003A4856">
      <w:rPr>
        <w:b/>
        <w:bCs/>
        <w:lang w:val="en-US"/>
      </w:rPr>
      <w:t xml:space="preserve"> </w:t>
    </w:r>
    <w:r w:rsidRPr="009770E7">
      <w:rPr>
        <w:b/>
        <w:bCs/>
      </w:rPr>
      <w:fldChar w:fldCharType="begin"/>
    </w:r>
    <w:r w:rsidRPr="009770E7">
      <w:rPr>
        <w:b/>
        <w:bCs/>
        <w:lang w:val="en-US"/>
      </w:rPr>
      <w:instrText>styleref href</w:instrText>
    </w:r>
    <w:r w:rsidRPr="009770E7">
      <w:rPr>
        <w:b/>
        <w:bCs/>
      </w:rPr>
      <w:fldChar w:fldCharType="separate"/>
    </w:r>
    <w:r w:rsidR="00570A41">
      <w:rPr>
        <w:b/>
        <w:bCs/>
        <w:noProof/>
      </w:rPr>
      <w:t>ITU-R  SA.2312-0</w:t>
    </w:r>
    <w:r w:rsidRPr="009770E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17F" w:rsidRDefault="0023117F" w:rsidP="0023117F">
    <w:pPr>
      <w:pStyle w:val="Header"/>
      <w:ind w:right="360" w:firstLine="360"/>
    </w:pPr>
    <w:r>
      <w:rPr>
        <w:noProof/>
        <w:lang w:val="en-US" w:eastAsia="zh-CN"/>
      </w:rPr>
      <w:drawing>
        <wp:anchor distT="0" distB="0" distL="114300" distR="114300" simplePos="0" relativeHeight="251685376" behindDoc="1" locked="0" layoutInCell="1" allowOverlap="1" wp14:anchorId="46541872" wp14:editId="233AB1F8">
          <wp:simplePos x="0" y="0"/>
          <wp:positionH relativeFrom="page">
            <wp:posOffset>0</wp:posOffset>
          </wp:positionH>
          <wp:positionV relativeFrom="page">
            <wp:posOffset>0</wp:posOffset>
          </wp:positionV>
          <wp:extent cx="7592060" cy="10753725"/>
          <wp:effectExtent l="19050" t="0" r="8890" b="0"/>
          <wp:wrapNone/>
          <wp:docPr id="10" name="Picture 10" descr="report_E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port_E_2009"/>
                  <pic:cNvPicPr>
                    <a:picLocks noChangeAspect="1" noChangeArrowheads="1"/>
                  </pic:cNvPicPr>
                </pic:nvPicPr>
                <pic:blipFill>
                  <a:blip r:embed="rId1"/>
                  <a:srcRect/>
                  <a:stretch>
                    <a:fillRect/>
                  </a:stretch>
                </pic:blipFill>
                <pic:spPr bwMode="auto">
                  <a:xfrm>
                    <a:off x="0" y="0"/>
                    <a:ext cx="7592060" cy="107537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17F" w:rsidRDefault="0023117F" w:rsidP="009C42A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570A41">
      <w:rPr>
        <w:rStyle w:val="PageNumber"/>
        <w:b/>
        <w:bCs/>
        <w:noProof/>
        <w:lang w:val="en-US"/>
      </w:rPr>
      <w:t>12</w:t>
    </w:r>
    <w:r>
      <w:rPr>
        <w:rStyle w:val="PageNumber"/>
        <w:b/>
        <w:bCs/>
      </w:rPr>
      <w:fldChar w:fldCharType="end"/>
    </w:r>
    <w:r>
      <w:rPr>
        <w:lang w:val="en-US"/>
      </w:rPr>
      <w:tab/>
    </w:r>
    <w:r>
      <w:fldChar w:fldCharType="begin"/>
    </w:r>
    <w:r w:rsidRPr="003A4856">
      <w:rPr>
        <w:lang w:val="en-US"/>
      </w:rPr>
      <w:instrText xml:space="preserve"> DOCPROPERTY "Header 2" \* MERGEFORMAT </w:instrText>
    </w:r>
    <w:r>
      <w:fldChar w:fldCharType="separate"/>
    </w:r>
    <w:r w:rsidR="00570A41" w:rsidRPr="00570A41">
      <w:rPr>
        <w:b/>
        <w:bCs/>
        <w:lang w:val="en-US"/>
      </w:rPr>
      <w:t xml:space="preserve">Rep. </w:t>
    </w:r>
    <w:r>
      <w:rPr>
        <w:b/>
        <w:bCs/>
        <w:lang w:val="en-US"/>
      </w:rPr>
      <w:fldChar w:fldCharType="end"/>
    </w:r>
    <w:r w:rsidRPr="003A4856">
      <w:rPr>
        <w:b/>
        <w:bCs/>
        <w:lang w:val="en-US"/>
      </w:rPr>
      <w:t xml:space="preserve"> </w:t>
    </w:r>
    <w:r w:rsidRPr="009770E7">
      <w:rPr>
        <w:b/>
        <w:bCs/>
      </w:rPr>
      <w:fldChar w:fldCharType="begin"/>
    </w:r>
    <w:r w:rsidRPr="009770E7">
      <w:rPr>
        <w:b/>
        <w:bCs/>
        <w:lang w:val="en-US"/>
      </w:rPr>
      <w:instrText>styleref href</w:instrText>
    </w:r>
    <w:r w:rsidRPr="009770E7">
      <w:rPr>
        <w:b/>
        <w:bCs/>
      </w:rPr>
      <w:fldChar w:fldCharType="separate"/>
    </w:r>
    <w:r w:rsidR="00570A41">
      <w:rPr>
        <w:b/>
        <w:bCs/>
        <w:noProof/>
      </w:rPr>
      <w:t>ITU-R  SA.2312-0</w:t>
    </w:r>
    <w:r w:rsidRPr="009770E7">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17F" w:rsidRDefault="0023117F" w:rsidP="009C42AD">
    <w:pPr>
      <w:pStyle w:val="Header"/>
    </w:pPr>
    <w:r>
      <w:tab/>
    </w:r>
    <w:r>
      <w:fldChar w:fldCharType="begin"/>
    </w:r>
    <w:r w:rsidRPr="003A4856">
      <w:rPr>
        <w:lang w:val="en-US"/>
      </w:rPr>
      <w:instrText xml:space="preserve"> DOCPROPERTY "Header 2" \* MERGEFORMAT </w:instrText>
    </w:r>
    <w:r>
      <w:fldChar w:fldCharType="separate"/>
    </w:r>
    <w:r w:rsidR="00570A41" w:rsidRPr="00570A41">
      <w:rPr>
        <w:b/>
        <w:bCs/>
        <w:lang w:val="en-US"/>
      </w:rPr>
      <w:t xml:space="preserve">Rep. </w:t>
    </w:r>
    <w:r>
      <w:rPr>
        <w:b/>
        <w:bCs/>
        <w:lang w:val="en-US"/>
      </w:rPr>
      <w:fldChar w:fldCharType="end"/>
    </w:r>
    <w:r w:rsidRPr="003A4856">
      <w:rPr>
        <w:b/>
        <w:bCs/>
        <w:lang w:val="en-US"/>
      </w:rPr>
      <w:t xml:space="preserve"> </w:t>
    </w:r>
    <w:r w:rsidRPr="009770E7">
      <w:rPr>
        <w:b/>
        <w:bCs/>
      </w:rPr>
      <w:fldChar w:fldCharType="begin"/>
    </w:r>
    <w:r w:rsidRPr="009770E7">
      <w:rPr>
        <w:b/>
        <w:bCs/>
        <w:lang w:val="en-US"/>
      </w:rPr>
      <w:instrText>styleref href</w:instrText>
    </w:r>
    <w:r w:rsidRPr="009770E7">
      <w:rPr>
        <w:b/>
        <w:bCs/>
      </w:rPr>
      <w:fldChar w:fldCharType="separate"/>
    </w:r>
    <w:r w:rsidR="00570A41">
      <w:rPr>
        <w:b/>
        <w:bCs/>
        <w:noProof/>
      </w:rPr>
      <w:t>ITU-R  SA.2312-0</w:t>
    </w:r>
    <w:r w:rsidRPr="009770E7">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570A41">
      <w:rPr>
        <w:rStyle w:val="PageNumber"/>
        <w:b/>
        <w:bCs/>
        <w:noProof/>
      </w:rPr>
      <w:t>13</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CA"/>
    <w:rsid w:val="000C7DFC"/>
    <w:rsid w:val="00121C58"/>
    <w:rsid w:val="001468CA"/>
    <w:rsid w:val="00173E70"/>
    <w:rsid w:val="001C4E31"/>
    <w:rsid w:val="00217EBF"/>
    <w:rsid w:val="0023117F"/>
    <w:rsid w:val="00242AEE"/>
    <w:rsid w:val="002B1DF0"/>
    <w:rsid w:val="002D1B44"/>
    <w:rsid w:val="002D506E"/>
    <w:rsid w:val="002D76C4"/>
    <w:rsid w:val="002F06EA"/>
    <w:rsid w:val="00396020"/>
    <w:rsid w:val="003A5CB4"/>
    <w:rsid w:val="00450903"/>
    <w:rsid w:val="004A6964"/>
    <w:rsid w:val="004C0050"/>
    <w:rsid w:val="004F0510"/>
    <w:rsid w:val="0052529D"/>
    <w:rsid w:val="00552D9D"/>
    <w:rsid w:val="00570A41"/>
    <w:rsid w:val="005E7405"/>
    <w:rsid w:val="0060462B"/>
    <w:rsid w:val="00607D68"/>
    <w:rsid w:val="0063553E"/>
    <w:rsid w:val="00662A10"/>
    <w:rsid w:val="00705E9B"/>
    <w:rsid w:val="007373C6"/>
    <w:rsid w:val="007468DA"/>
    <w:rsid w:val="0076137D"/>
    <w:rsid w:val="007E579D"/>
    <w:rsid w:val="009526F2"/>
    <w:rsid w:val="009C42AD"/>
    <w:rsid w:val="009D0FF2"/>
    <w:rsid w:val="009E00A8"/>
    <w:rsid w:val="00A27E8D"/>
    <w:rsid w:val="00A6617B"/>
    <w:rsid w:val="00A85031"/>
    <w:rsid w:val="00AB0DC8"/>
    <w:rsid w:val="00AC2393"/>
    <w:rsid w:val="00AC274E"/>
    <w:rsid w:val="00B44E24"/>
    <w:rsid w:val="00DF4176"/>
    <w:rsid w:val="00EA23C0"/>
    <w:rsid w:val="00F2715A"/>
    <w:rsid w:val="00F809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5:docId w15:val="{065F4A6C-2AC8-46CA-9D6A-F9A376E6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E31"/>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1C4E31"/>
    <w:pPr>
      <w:keepNext/>
      <w:keepLines/>
      <w:spacing w:before="480"/>
      <w:ind w:left="794" w:hanging="794"/>
      <w:outlineLvl w:val="0"/>
    </w:pPr>
    <w:rPr>
      <w:b/>
    </w:rPr>
  </w:style>
  <w:style w:type="paragraph" w:styleId="Heading2">
    <w:name w:val="heading 2"/>
    <w:basedOn w:val="Heading1"/>
    <w:next w:val="Normal"/>
    <w:link w:val="Heading2Char"/>
    <w:qFormat/>
    <w:rsid w:val="001C4E31"/>
    <w:pPr>
      <w:spacing w:before="320"/>
      <w:outlineLvl w:val="1"/>
    </w:pPr>
  </w:style>
  <w:style w:type="paragraph" w:styleId="Heading3">
    <w:name w:val="heading 3"/>
    <w:basedOn w:val="Heading1"/>
    <w:next w:val="Normal"/>
    <w:link w:val="Heading3Char"/>
    <w:qFormat/>
    <w:rsid w:val="001C4E31"/>
    <w:pPr>
      <w:spacing w:before="200"/>
      <w:outlineLvl w:val="2"/>
    </w:pPr>
  </w:style>
  <w:style w:type="paragraph" w:styleId="Heading4">
    <w:name w:val="heading 4"/>
    <w:basedOn w:val="Heading3"/>
    <w:next w:val="Normal"/>
    <w:qFormat/>
    <w:rsid w:val="001C4E31"/>
    <w:pPr>
      <w:tabs>
        <w:tab w:val="clear" w:pos="794"/>
        <w:tab w:val="left" w:pos="992"/>
      </w:tabs>
      <w:ind w:left="992" w:hanging="992"/>
      <w:outlineLvl w:val="3"/>
    </w:pPr>
  </w:style>
  <w:style w:type="paragraph" w:styleId="Heading5">
    <w:name w:val="heading 5"/>
    <w:basedOn w:val="Heading4"/>
    <w:next w:val="Normal"/>
    <w:qFormat/>
    <w:rsid w:val="001C4E31"/>
    <w:pPr>
      <w:outlineLvl w:val="4"/>
    </w:pPr>
  </w:style>
  <w:style w:type="paragraph" w:styleId="Heading6">
    <w:name w:val="heading 6"/>
    <w:basedOn w:val="Heading4"/>
    <w:next w:val="Normal"/>
    <w:qFormat/>
    <w:rsid w:val="001C4E31"/>
    <w:pPr>
      <w:tabs>
        <w:tab w:val="clear" w:pos="992"/>
        <w:tab w:val="clear" w:pos="1191"/>
      </w:tabs>
      <w:ind w:left="1588" w:hanging="1588"/>
      <w:outlineLvl w:val="5"/>
    </w:pPr>
  </w:style>
  <w:style w:type="paragraph" w:styleId="Heading7">
    <w:name w:val="heading 7"/>
    <w:basedOn w:val="Heading6"/>
    <w:next w:val="Normal"/>
    <w:qFormat/>
    <w:rsid w:val="001C4E31"/>
    <w:pPr>
      <w:outlineLvl w:val="6"/>
    </w:pPr>
  </w:style>
  <w:style w:type="paragraph" w:styleId="Heading8">
    <w:name w:val="heading 8"/>
    <w:basedOn w:val="Heading6"/>
    <w:next w:val="Normal"/>
    <w:qFormat/>
    <w:rsid w:val="001C4E31"/>
    <w:pPr>
      <w:outlineLvl w:val="7"/>
    </w:pPr>
  </w:style>
  <w:style w:type="paragraph" w:styleId="Heading9">
    <w:name w:val="heading 9"/>
    <w:basedOn w:val="Heading6"/>
    <w:next w:val="Normal"/>
    <w:qFormat/>
    <w:rsid w:val="001C4E31"/>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468CA"/>
    <w:rPr>
      <w:b/>
      <w:sz w:val="24"/>
      <w:lang w:val="fr-FR" w:eastAsia="en-US"/>
    </w:rPr>
  </w:style>
  <w:style w:type="character" w:customStyle="1" w:styleId="Heading2Char">
    <w:name w:val="Heading 2 Char"/>
    <w:basedOn w:val="DefaultParagraphFont"/>
    <w:link w:val="Heading2"/>
    <w:locked/>
    <w:rsid w:val="001468CA"/>
    <w:rPr>
      <w:b/>
      <w:sz w:val="24"/>
      <w:lang w:val="fr-FR" w:eastAsia="en-US"/>
    </w:rPr>
  </w:style>
  <w:style w:type="character" w:customStyle="1" w:styleId="Heading3Char">
    <w:name w:val="Heading 3 Char"/>
    <w:basedOn w:val="DefaultParagraphFont"/>
    <w:link w:val="Heading3"/>
    <w:locked/>
    <w:rsid w:val="001468CA"/>
    <w:rPr>
      <w:b/>
      <w:sz w:val="24"/>
      <w:lang w:val="fr-FR" w:eastAsia="en-US"/>
    </w:rPr>
  </w:style>
  <w:style w:type="paragraph" w:styleId="Header">
    <w:name w:val="header"/>
    <w:basedOn w:val="Normal"/>
    <w:link w:val="HeaderChar"/>
    <w:rsid w:val="001C4E31"/>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basedOn w:val="DefaultParagraphFont"/>
    <w:link w:val="Header"/>
    <w:rsid w:val="001468CA"/>
    <w:rPr>
      <w:sz w:val="24"/>
      <w:lang w:val="fr-FR" w:eastAsia="en-US"/>
    </w:rPr>
  </w:style>
  <w:style w:type="paragraph" w:styleId="Footer">
    <w:name w:val="footer"/>
    <w:basedOn w:val="Normal"/>
    <w:link w:val="FooterChar"/>
    <w:rsid w:val="001C4E31"/>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rsid w:val="001468CA"/>
    <w:rPr>
      <w:noProof/>
      <w:sz w:val="18"/>
      <w:lang w:val="fr-FR" w:eastAsia="en-US"/>
    </w:rPr>
  </w:style>
  <w:style w:type="character" w:styleId="PageNumber">
    <w:name w:val="page number"/>
    <w:basedOn w:val="DefaultParagraphFont"/>
    <w:rsid w:val="001C4E31"/>
  </w:style>
  <w:style w:type="paragraph" w:customStyle="1" w:styleId="Headingb">
    <w:name w:val="Heading_b"/>
    <w:basedOn w:val="Heading3"/>
    <w:next w:val="Normal"/>
    <w:rsid w:val="001C4E31"/>
    <w:pPr>
      <w:spacing w:before="160"/>
      <w:ind w:left="0" w:firstLine="0"/>
      <w:outlineLvl w:val="9"/>
    </w:pPr>
  </w:style>
  <w:style w:type="paragraph" w:customStyle="1" w:styleId="Headingi">
    <w:name w:val="Heading_i"/>
    <w:basedOn w:val="Heading3"/>
    <w:next w:val="Normal"/>
    <w:rsid w:val="001C4E31"/>
    <w:pPr>
      <w:spacing w:before="160"/>
      <w:ind w:left="0" w:firstLine="0"/>
    </w:pPr>
    <w:rPr>
      <w:b w:val="0"/>
      <w:i/>
    </w:rPr>
  </w:style>
  <w:style w:type="character" w:customStyle="1" w:styleId="href">
    <w:name w:val="href"/>
    <w:basedOn w:val="DefaultParagraphFont"/>
    <w:rsid w:val="001C4E31"/>
  </w:style>
  <w:style w:type="paragraph" w:customStyle="1" w:styleId="enumlev1">
    <w:name w:val="enumlev1"/>
    <w:basedOn w:val="Normal"/>
    <w:link w:val="enumlev10"/>
    <w:rsid w:val="001C4E31"/>
    <w:pPr>
      <w:spacing w:before="80"/>
      <w:ind w:left="794" w:hanging="794"/>
    </w:pPr>
  </w:style>
  <w:style w:type="character" w:customStyle="1" w:styleId="enumlev10">
    <w:name w:val="enumlev1 Знак"/>
    <w:link w:val="enumlev1"/>
    <w:locked/>
    <w:rsid w:val="001468CA"/>
    <w:rPr>
      <w:sz w:val="24"/>
      <w:lang w:val="fr-FR" w:eastAsia="en-US"/>
    </w:rPr>
  </w:style>
  <w:style w:type="paragraph" w:customStyle="1" w:styleId="enumlev2">
    <w:name w:val="enumlev2"/>
    <w:basedOn w:val="enumlev1"/>
    <w:rsid w:val="001C4E31"/>
    <w:pPr>
      <w:ind w:left="1191" w:hanging="397"/>
    </w:pPr>
  </w:style>
  <w:style w:type="paragraph" w:customStyle="1" w:styleId="enumlev3">
    <w:name w:val="enumlev3"/>
    <w:basedOn w:val="enumlev2"/>
    <w:rsid w:val="001C4E31"/>
    <w:pPr>
      <w:ind w:left="1588"/>
    </w:pPr>
  </w:style>
  <w:style w:type="paragraph" w:customStyle="1" w:styleId="Normalaftertitle">
    <w:name w:val="Normal_after_title"/>
    <w:basedOn w:val="Normal"/>
    <w:next w:val="Normal"/>
    <w:rsid w:val="001C4E31"/>
    <w:pPr>
      <w:spacing w:before="320"/>
    </w:pPr>
  </w:style>
  <w:style w:type="paragraph" w:customStyle="1" w:styleId="Note">
    <w:name w:val="Note"/>
    <w:basedOn w:val="Normal"/>
    <w:rsid w:val="001C4E31"/>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1C4E31"/>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1C4E31"/>
    <w:pPr>
      <w:keepNext/>
      <w:keepLines/>
      <w:spacing w:before="240"/>
      <w:jc w:val="center"/>
    </w:pPr>
    <w:rPr>
      <w:b/>
      <w:sz w:val="28"/>
    </w:rPr>
  </w:style>
  <w:style w:type="paragraph" w:customStyle="1" w:styleId="Recref">
    <w:name w:val="Rec_ref"/>
    <w:basedOn w:val="Normal"/>
    <w:next w:val="Recdate"/>
    <w:rsid w:val="001C4E31"/>
    <w:pPr>
      <w:jc w:val="center"/>
    </w:pPr>
  </w:style>
  <w:style w:type="paragraph" w:customStyle="1" w:styleId="Recdate">
    <w:name w:val="Rec_date"/>
    <w:basedOn w:val="Recref"/>
    <w:next w:val="Normalaftertitle"/>
    <w:rsid w:val="001C4E31"/>
    <w:pPr>
      <w:jc w:val="right"/>
    </w:pPr>
  </w:style>
  <w:style w:type="paragraph" w:customStyle="1" w:styleId="HeadingSum">
    <w:name w:val="Heading_Sum"/>
    <w:basedOn w:val="Headingb"/>
    <w:next w:val="Normal"/>
    <w:autoRedefine/>
    <w:rsid w:val="001C4E31"/>
    <w:pPr>
      <w:spacing w:before="240"/>
    </w:pPr>
    <w:rPr>
      <w:sz w:val="22"/>
      <w:lang w:val="es-ES_tradnl"/>
    </w:rPr>
  </w:style>
  <w:style w:type="paragraph" w:customStyle="1" w:styleId="AnnexNoTitle">
    <w:name w:val="Annex_NoTitle"/>
    <w:basedOn w:val="Normal"/>
    <w:next w:val="Normalaftertitle"/>
    <w:rsid w:val="001C4E31"/>
    <w:pPr>
      <w:keepNext/>
      <w:keepLines/>
      <w:spacing w:before="480" w:after="80"/>
      <w:jc w:val="center"/>
    </w:pPr>
    <w:rPr>
      <w:b/>
      <w:sz w:val="28"/>
    </w:rPr>
  </w:style>
  <w:style w:type="paragraph" w:customStyle="1" w:styleId="AppendixNoTitle">
    <w:name w:val="Appendix_NoTitle"/>
    <w:basedOn w:val="AnnexNoTitle"/>
    <w:next w:val="Normal"/>
    <w:rsid w:val="001C4E31"/>
  </w:style>
  <w:style w:type="paragraph" w:customStyle="1" w:styleId="Tablefin">
    <w:name w:val="Table_fin"/>
    <w:basedOn w:val="Normal"/>
    <w:next w:val="Normal"/>
    <w:rsid w:val="001C4E31"/>
    <w:pPr>
      <w:spacing w:before="0"/>
    </w:pPr>
    <w:rPr>
      <w:sz w:val="20"/>
      <w:lang w:val="en-GB"/>
    </w:rPr>
  </w:style>
  <w:style w:type="paragraph" w:customStyle="1" w:styleId="Tablehead">
    <w:name w:val="Table_head"/>
    <w:basedOn w:val="Normal"/>
    <w:next w:val="Normal"/>
    <w:link w:val="TableheadChar"/>
    <w:rsid w:val="001C4E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link w:val="Tablehead"/>
    <w:locked/>
    <w:rsid w:val="001468CA"/>
    <w:rPr>
      <w:b/>
      <w:sz w:val="22"/>
      <w:lang w:val="fr-FR" w:eastAsia="en-US"/>
    </w:rPr>
  </w:style>
  <w:style w:type="paragraph" w:customStyle="1" w:styleId="Tablelegend">
    <w:name w:val="Table_legend"/>
    <w:basedOn w:val="Normal"/>
    <w:rsid w:val="001C4E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1C4E31"/>
    <w:pPr>
      <w:keepNext/>
      <w:spacing w:before="360" w:after="120"/>
      <w:jc w:val="center"/>
    </w:pPr>
  </w:style>
  <w:style w:type="character" w:customStyle="1" w:styleId="TableNo0">
    <w:name w:val="Table_No Знак"/>
    <w:link w:val="TableNo"/>
    <w:locked/>
    <w:rsid w:val="001468CA"/>
    <w:rPr>
      <w:sz w:val="24"/>
      <w:lang w:val="fr-FR" w:eastAsia="en-US"/>
    </w:rPr>
  </w:style>
  <w:style w:type="paragraph" w:customStyle="1" w:styleId="Tabletext">
    <w:name w:val="Table_text"/>
    <w:basedOn w:val="Normal"/>
    <w:link w:val="TabletextChar"/>
    <w:rsid w:val="001C4E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1468CA"/>
    <w:rPr>
      <w:sz w:val="22"/>
      <w:lang w:val="fr-FR" w:eastAsia="en-US"/>
    </w:rPr>
  </w:style>
  <w:style w:type="paragraph" w:customStyle="1" w:styleId="Equation">
    <w:name w:val="Equation"/>
    <w:basedOn w:val="Normal"/>
    <w:rsid w:val="001C4E31"/>
    <w:pPr>
      <w:tabs>
        <w:tab w:val="clear" w:pos="1191"/>
        <w:tab w:val="clear" w:pos="1588"/>
        <w:tab w:val="clear" w:pos="1985"/>
        <w:tab w:val="center" w:pos="4820"/>
        <w:tab w:val="right" w:pos="9639"/>
      </w:tabs>
    </w:pPr>
  </w:style>
  <w:style w:type="paragraph" w:customStyle="1" w:styleId="Equationlegend">
    <w:name w:val="Equation_legend"/>
    <w:basedOn w:val="NormalIndent"/>
    <w:rsid w:val="001C4E31"/>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C4E31"/>
    <w:pPr>
      <w:ind w:left="794"/>
    </w:pPr>
  </w:style>
  <w:style w:type="paragraph" w:customStyle="1" w:styleId="Figurelegend">
    <w:name w:val="Figure_legend"/>
    <w:basedOn w:val="Normal"/>
    <w:rsid w:val="001C4E31"/>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C4E31"/>
    <w:pPr>
      <w:keepNext/>
      <w:keepLines/>
      <w:spacing w:before="480" w:after="80"/>
      <w:jc w:val="center"/>
    </w:pPr>
    <w:rPr>
      <w:caps/>
      <w:sz w:val="18"/>
    </w:rPr>
  </w:style>
  <w:style w:type="paragraph" w:customStyle="1" w:styleId="Figuretitle">
    <w:name w:val="Figure_title"/>
    <w:basedOn w:val="Normal"/>
    <w:next w:val="Figure"/>
    <w:rsid w:val="001C4E31"/>
    <w:pPr>
      <w:keepNext/>
      <w:spacing w:before="0" w:after="120"/>
      <w:jc w:val="center"/>
    </w:pPr>
    <w:rPr>
      <w:rFonts w:ascii="Times New Roman Bold" w:hAnsi="Times New Roman Bold"/>
      <w:b/>
      <w:sz w:val="18"/>
    </w:rPr>
  </w:style>
  <w:style w:type="paragraph" w:customStyle="1" w:styleId="Figure">
    <w:name w:val="Figure"/>
    <w:basedOn w:val="FigureNo"/>
    <w:next w:val="Normal"/>
    <w:rsid w:val="001C4E31"/>
    <w:pPr>
      <w:keepNext w:val="0"/>
      <w:spacing w:before="0" w:after="240"/>
    </w:pPr>
  </w:style>
  <w:style w:type="paragraph" w:customStyle="1" w:styleId="tocpart">
    <w:name w:val="tocpart"/>
    <w:basedOn w:val="Normal"/>
    <w:rsid w:val="001C4E31"/>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1C4E31"/>
    <w:pPr>
      <w:keepNext/>
      <w:keepLines/>
      <w:spacing w:before="480"/>
      <w:jc w:val="center"/>
    </w:pPr>
    <w:rPr>
      <w:sz w:val="28"/>
    </w:rPr>
  </w:style>
  <w:style w:type="paragraph" w:customStyle="1" w:styleId="Arttitle">
    <w:name w:val="Art_title"/>
    <w:basedOn w:val="Normal"/>
    <w:next w:val="Normalaftertitle"/>
    <w:rsid w:val="001C4E31"/>
    <w:pPr>
      <w:keepNext/>
      <w:keepLines/>
      <w:spacing w:before="240"/>
      <w:jc w:val="center"/>
    </w:pPr>
    <w:rPr>
      <w:b/>
      <w:sz w:val="28"/>
    </w:rPr>
  </w:style>
  <w:style w:type="paragraph" w:customStyle="1" w:styleId="Blanc">
    <w:name w:val="Blanc"/>
    <w:basedOn w:val="Normal"/>
    <w:next w:val="Tabletext"/>
    <w:rsid w:val="001C4E31"/>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1C4E3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1C4E31"/>
    <w:pPr>
      <w:keepNext/>
      <w:keepLines/>
      <w:spacing w:before="160"/>
      <w:ind w:left="794"/>
    </w:pPr>
    <w:rPr>
      <w:i/>
    </w:rPr>
  </w:style>
  <w:style w:type="paragraph" w:customStyle="1" w:styleId="ChapNo">
    <w:name w:val="Chap_No"/>
    <w:basedOn w:val="ArtNo"/>
    <w:next w:val="Chaptitle"/>
    <w:rsid w:val="001C4E31"/>
    <w:rPr>
      <w:b/>
    </w:rPr>
  </w:style>
  <w:style w:type="paragraph" w:customStyle="1" w:styleId="Chaptitle">
    <w:name w:val="Chap_title"/>
    <w:basedOn w:val="Arttitle"/>
    <w:next w:val="Normalaftertitle"/>
    <w:rsid w:val="001C4E31"/>
  </w:style>
  <w:style w:type="character" w:styleId="FootnoteReference">
    <w:name w:val="footnote reference"/>
    <w:aliases w:val="Appel note de bas de p,Footnote Reference/"/>
    <w:basedOn w:val="DefaultParagraphFont"/>
    <w:rsid w:val="001C4E31"/>
    <w:rPr>
      <w:position w:val="6"/>
      <w:sz w:val="18"/>
    </w:rPr>
  </w:style>
  <w:style w:type="paragraph" w:styleId="FootnoteText">
    <w:name w:val="footnote text"/>
    <w:basedOn w:val="Normal"/>
    <w:link w:val="FootnoteTextChar"/>
    <w:semiHidden/>
    <w:rsid w:val="001C4E31"/>
    <w:pPr>
      <w:keepLines/>
      <w:tabs>
        <w:tab w:val="left" w:pos="255"/>
      </w:tabs>
      <w:ind w:left="255" w:hanging="255"/>
    </w:pPr>
    <w:rPr>
      <w:sz w:val="22"/>
    </w:rPr>
  </w:style>
  <w:style w:type="character" w:customStyle="1" w:styleId="FootnoteTextChar">
    <w:name w:val="Footnote Text Char"/>
    <w:basedOn w:val="DefaultParagraphFont"/>
    <w:link w:val="FootnoteText"/>
    <w:semiHidden/>
    <w:rsid w:val="001C4E31"/>
    <w:rPr>
      <w:sz w:val="22"/>
      <w:lang w:val="fr-FR" w:eastAsia="en-US"/>
    </w:rPr>
  </w:style>
  <w:style w:type="paragraph" w:styleId="Index1">
    <w:name w:val="index 1"/>
    <w:basedOn w:val="Normal"/>
    <w:next w:val="Normal"/>
    <w:semiHidden/>
    <w:rsid w:val="001C4E31"/>
  </w:style>
  <w:style w:type="paragraph" w:styleId="Index2">
    <w:name w:val="index 2"/>
    <w:basedOn w:val="Normal"/>
    <w:next w:val="Normal"/>
    <w:semiHidden/>
    <w:rsid w:val="001C4E31"/>
    <w:pPr>
      <w:ind w:left="283"/>
    </w:pPr>
  </w:style>
  <w:style w:type="paragraph" w:styleId="Index3">
    <w:name w:val="index 3"/>
    <w:basedOn w:val="Normal"/>
    <w:next w:val="Normal"/>
    <w:semiHidden/>
    <w:rsid w:val="001C4E31"/>
    <w:pPr>
      <w:ind w:left="566"/>
    </w:pPr>
  </w:style>
  <w:style w:type="paragraph" w:styleId="IndexHeading">
    <w:name w:val="index heading"/>
    <w:basedOn w:val="Normal"/>
    <w:next w:val="Index1"/>
    <w:rsid w:val="001C4E31"/>
  </w:style>
  <w:style w:type="paragraph" w:customStyle="1" w:styleId="Line">
    <w:name w:val="Line"/>
    <w:basedOn w:val="Normal"/>
    <w:next w:val="Normal"/>
    <w:rsid w:val="001C4E31"/>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C4E31"/>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C4E31"/>
  </w:style>
  <w:style w:type="paragraph" w:customStyle="1" w:styleId="Partref">
    <w:name w:val="Part_ref"/>
    <w:basedOn w:val="Normal"/>
    <w:next w:val="Normal"/>
    <w:rsid w:val="001C4E31"/>
    <w:pPr>
      <w:keepNext/>
      <w:keepLines/>
      <w:spacing w:after="280"/>
      <w:jc w:val="center"/>
    </w:pPr>
  </w:style>
  <w:style w:type="paragraph" w:customStyle="1" w:styleId="Parttitle">
    <w:name w:val="Part_title"/>
    <w:basedOn w:val="Normal"/>
    <w:next w:val="Normalaftertitle"/>
    <w:rsid w:val="001C4E31"/>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C4E31"/>
  </w:style>
  <w:style w:type="paragraph" w:customStyle="1" w:styleId="QuestionNo">
    <w:name w:val="Question_No"/>
    <w:basedOn w:val="RecNo"/>
    <w:next w:val="Normal"/>
    <w:rsid w:val="001C4E31"/>
  </w:style>
  <w:style w:type="paragraph" w:customStyle="1" w:styleId="Questionref">
    <w:name w:val="Question_ref"/>
    <w:basedOn w:val="Recref"/>
    <w:next w:val="Questiondate"/>
    <w:rsid w:val="001C4E31"/>
  </w:style>
  <w:style w:type="paragraph" w:customStyle="1" w:styleId="Questiontitle">
    <w:name w:val="Question_title"/>
    <w:basedOn w:val="Normal"/>
    <w:next w:val="Questionref"/>
    <w:rsid w:val="001C4E31"/>
  </w:style>
  <w:style w:type="paragraph" w:customStyle="1" w:styleId="Reftext">
    <w:name w:val="Ref_text"/>
    <w:basedOn w:val="Normal"/>
    <w:rsid w:val="001C4E31"/>
    <w:pPr>
      <w:ind w:left="794" w:hanging="794"/>
    </w:pPr>
    <w:rPr>
      <w:sz w:val="22"/>
    </w:rPr>
  </w:style>
  <w:style w:type="paragraph" w:customStyle="1" w:styleId="Reftitle">
    <w:name w:val="Ref_title"/>
    <w:basedOn w:val="Normal"/>
    <w:next w:val="Reftext"/>
    <w:rsid w:val="001C4E31"/>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C4E31"/>
  </w:style>
  <w:style w:type="paragraph" w:customStyle="1" w:styleId="RepNo">
    <w:name w:val="Rep_No"/>
    <w:basedOn w:val="RecNo"/>
    <w:next w:val="Reptitle"/>
    <w:rsid w:val="001C4E31"/>
  </w:style>
  <w:style w:type="paragraph" w:customStyle="1" w:styleId="Reptitle">
    <w:name w:val="Rep_title"/>
    <w:basedOn w:val="Rectitle"/>
    <w:next w:val="Repref"/>
    <w:rsid w:val="001C4E31"/>
  </w:style>
  <w:style w:type="paragraph" w:customStyle="1" w:styleId="Repref">
    <w:name w:val="Rep_ref"/>
    <w:basedOn w:val="Recref"/>
    <w:next w:val="Repdate"/>
    <w:rsid w:val="001C4E31"/>
  </w:style>
  <w:style w:type="paragraph" w:customStyle="1" w:styleId="Resdate">
    <w:name w:val="Res_date"/>
    <w:basedOn w:val="Recdate"/>
    <w:next w:val="Normalaftertitle"/>
    <w:rsid w:val="001C4E31"/>
  </w:style>
  <w:style w:type="paragraph" w:customStyle="1" w:styleId="ResNo">
    <w:name w:val="Res_No"/>
    <w:basedOn w:val="RecNo"/>
    <w:next w:val="Restitle"/>
    <w:rsid w:val="001C4E31"/>
  </w:style>
  <w:style w:type="paragraph" w:customStyle="1" w:styleId="Restitle">
    <w:name w:val="Res_title"/>
    <w:basedOn w:val="Normal"/>
    <w:next w:val="Resref"/>
    <w:rsid w:val="001C4E31"/>
    <w:pPr>
      <w:spacing w:before="240"/>
      <w:jc w:val="center"/>
    </w:pPr>
    <w:rPr>
      <w:b/>
      <w:sz w:val="28"/>
    </w:rPr>
  </w:style>
  <w:style w:type="paragraph" w:customStyle="1" w:styleId="Resref">
    <w:name w:val="Res_ref"/>
    <w:basedOn w:val="Recref"/>
    <w:next w:val="Resdate"/>
    <w:rsid w:val="001C4E31"/>
  </w:style>
  <w:style w:type="paragraph" w:customStyle="1" w:styleId="SectionNo">
    <w:name w:val="Section_No"/>
    <w:basedOn w:val="Normal"/>
    <w:next w:val="Normal"/>
    <w:rsid w:val="001C4E31"/>
  </w:style>
  <w:style w:type="paragraph" w:customStyle="1" w:styleId="Sectiontitle">
    <w:name w:val="Section_title"/>
    <w:basedOn w:val="Normal"/>
    <w:next w:val="Normalaftertitle"/>
    <w:rsid w:val="001C4E31"/>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C4E31"/>
    <w:pPr>
      <w:tabs>
        <w:tab w:val="clear" w:pos="794"/>
        <w:tab w:val="clear" w:pos="1191"/>
        <w:tab w:val="clear" w:pos="1588"/>
        <w:tab w:val="clear" w:pos="1985"/>
        <w:tab w:val="right" w:pos="9611"/>
      </w:tabs>
    </w:pPr>
    <w:rPr>
      <w:i/>
    </w:rPr>
  </w:style>
  <w:style w:type="paragraph" w:styleId="TOC1">
    <w:name w:val="toc 1"/>
    <w:basedOn w:val="Normal"/>
    <w:uiPriority w:val="39"/>
    <w:rsid w:val="001C4E31"/>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1C4E31"/>
    <w:pPr>
      <w:tabs>
        <w:tab w:val="clear" w:pos="567"/>
        <w:tab w:val="left" w:pos="1276"/>
      </w:tabs>
      <w:spacing w:before="160"/>
      <w:ind w:left="1276" w:hanging="709"/>
    </w:pPr>
  </w:style>
  <w:style w:type="paragraph" w:styleId="TOC3">
    <w:name w:val="toc 3"/>
    <w:basedOn w:val="TOC2"/>
    <w:uiPriority w:val="39"/>
    <w:rsid w:val="001C4E31"/>
    <w:pPr>
      <w:tabs>
        <w:tab w:val="clear" w:pos="1276"/>
        <w:tab w:val="left" w:pos="2155"/>
      </w:tabs>
      <w:ind w:left="2155" w:hanging="879"/>
    </w:pPr>
  </w:style>
  <w:style w:type="paragraph" w:styleId="TOC4">
    <w:name w:val="toc 4"/>
    <w:basedOn w:val="TOC3"/>
    <w:rsid w:val="001C4E31"/>
    <w:pPr>
      <w:tabs>
        <w:tab w:val="left" w:pos="3261"/>
      </w:tabs>
      <w:spacing w:before="80"/>
      <w:ind w:left="3261" w:hanging="993"/>
    </w:pPr>
  </w:style>
  <w:style w:type="paragraph" w:styleId="TOC5">
    <w:name w:val="toc 5"/>
    <w:basedOn w:val="TOC4"/>
    <w:rsid w:val="001C4E31"/>
  </w:style>
  <w:style w:type="paragraph" w:styleId="TOC6">
    <w:name w:val="toc 6"/>
    <w:basedOn w:val="TOC4"/>
    <w:rsid w:val="001C4E31"/>
  </w:style>
  <w:style w:type="paragraph" w:styleId="TOC7">
    <w:name w:val="toc 7"/>
    <w:basedOn w:val="TOC4"/>
    <w:rsid w:val="001C4E31"/>
  </w:style>
  <w:style w:type="paragraph" w:styleId="TOC8">
    <w:name w:val="toc 8"/>
    <w:basedOn w:val="TOC4"/>
    <w:rsid w:val="001C4E31"/>
  </w:style>
  <w:style w:type="paragraph" w:customStyle="1" w:styleId="Annexref">
    <w:name w:val="Annex_ref"/>
    <w:basedOn w:val="Normal"/>
    <w:next w:val="Normalaftertitle"/>
    <w:rsid w:val="001C4E31"/>
    <w:pPr>
      <w:keepNext/>
      <w:keepLines/>
      <w:spacing w:after="280"/>
      <w:jc w:val="center"/>
    </w:pPr>
  </w:style>
  <w:style w:type="paragraph" w:customStyle="1" w:styleId="Appendixref">
    <w:name w:val="Appendix_ref"/>
    <w:basedOn w:val="Annexref"/>
    <w:next w:val="Normalaftertitle"/>
    <w:rsid w:val="001C4E31"/>
  </w:style>
  <w:style w:type="paragraph" w:customStyle="1" w:styleId="Tabletitle">
    <w:name w:val="Table_title"/>
    <w:basedOn w:val="Normal"/>
    <w:next w:val="Tablehead"/>
    <w:link w:val="Tabletitle0"/>
    <w:rsid w:val="001C4E31"/>
    <w:pPr>
      <w:keepNext/>
      <w:spacing w:before="0" w:after="120"/>
      <w:jc w:val="center"/>
    </w:pPr>
    <w:rPr>
      <w:b/>
    </w:rPr>
  </w:style>
  <w:style w:type="character" w:customStyle="1" w:styleId="Tabletitle0">
    <w:name w:val="Table_title Знак"/>
    <w:link w:val="Tabletitle"/>
    <w:locked/>
    <w:rsid w:val="001468CA"/>
    <w:rPr>
      <w:b/>
      <w:sz w:val="24"/>
      <w:lang w:val="fr-FR" w:eastAsia="en-US"/>
    </w:rPr>
  </w:style>
  <w:style w:type="paragraph" w:customStyle="1" w:styleId="Summary">
    <w:name w:val="Summary"/>
    <w:basedOn w:val="Normal"/>
    <w:next w:val="Normalaftertitle"/>
    <w:autoRedefine/>
    <w:rsid w:val="001C4E31"/>
    <w:pPr>
      <w:spacing w:after="480"/>
    </w:pPr>
    <w:rPr>
      <w:sz w:val="22"/>
      <w:lang w:val="es-ES_tradnl"/>
    </w:rPr>
  </w:style>
  <w:style w:type="paragraph" w:customStyle="1" w:styleId="TableLegendNote">
    <w:name w:val="Table_Legend_Note"/>
    <w:basedOn w:val="Tablelegend"/>
    <w:next w:val="Tablelegend"/>
    <w:rsid w:val="001C4E31"/>
    <w:pPr>
      <w:ind w:left="-85" w:firstLine="0"/>
    </w:pPr>
    <w:rPr>
      <w:lang w:val="en-US"/>
    </w:rPr>
  </w:style>
  <w:style w:type="character" w:styleId="Hyperlink">
    <w:name w:val="Hyperlink"/>
    <w:basedOn w:val="DefaultParagraphFont"/>
    <w:uiPriority w:val="99"/>
    <w:rsid w:val="001468CA"/>
    <w:rPr>
      <w:color w:val="0000FF"/>
      <w:u w:val="single"/>
    </w:rPr>
  </w:style>
  <w:style w:type="character" w:styleId="Strong">
    <w:name w:val="Strong"/>
    <w:basedOn w:val="DefaultParagraphFont"/>
    <w:uiPriority w:val="99"/>
    <w:qFormat/>
    <w:rsid w:val="001468CA"/>
    <w:rPr>
      <w:rFonts w:cs="Times New Roman"/>
      <w:b/>
    </w:rPr>
  </w:style>
  <w:style w:type="character" w:customStyle="1" w:styleId="TabletitleChar">
    <w:name w:val="Table_title Char"/>
    <w:basedOn w:val="DefaultParagraphFont"/>
    <w:uiPriority w:val="99"/>
    <w:locked/>
    <w:rsid w:val="001468CA"/>
    <w:rPr>
      <w:rFonts w:ascii="Times New Roman Bold" w:hAnsi="Times New Roman Bold" w:cs="Times New Roman"/>
      <w:b/>
      <w:lang w:val="en-GB" w:eastAsia="en-US"/>
    </w:rPr>
  </w:style>
  <w:style w:type="paragraph" w:styleId="Revision">
    <w:name w:val="Revision"/>
    <w:hidden/>
    <w:uiPriority w:val="99"/>
    <w:semiHidden/>
    <w:rsid w:val="001468CA"/>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itu.int/publ/R-REP/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ITU-R/go/patents/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3DB09-FA49-4858-8116-569367B3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38</TotalTime>
  <Pages>15</Pages>
  <Words>5317</Words>
  <Characters>32919</Characters>
  <Application>Microsoft Office Word</Application>
  <DocSecurity>0</DocSecurity>
  <Lines>522</Lines>
  <Paragraphs>228</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38008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Gachet, Christelle</cp:lastModifiedBy>
  <cp:revision>34</cp:revision>
  <cp:lastPrinted>2014-11-10T06:59:00Z</cp:lastPrinted>
  <dcterms:created xsi:type="dcterms:W3CDTF">2014-11-05T13:30:00Z</dcterms:created>
  <dcterms:modified xsi:type="dcterms:W3CDTF">2014-11-10T06:59:00Z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