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FE79FE" w:rsidRDefault="00FE79FE"/>
    <w:p w:rsidR="00FE79FE" w:rsidRDefault="00FE79FE"/>
    <w:p w:rsidR="00FE79FE" w:rsidRDefault="00FE79FE"/>
    <w:tbl>
      <w:tblPr>
        <w:tblW w:w="10089" w:type="dxa"/>
        <w:tblLook w:val="01E0"/>
      </w:tblPr>
      <w:tblGrid>
        <w:gridCol w:w="10089"/>
      </w:tblGrid>
      <w:tr w:rsidR="00FE79FE" w:rsidRPr="00EF1E72" w:rsidTr="00EF1E72">
        <w:tc>
          <w:tcPr>
            <w:tcW w:w="10089" w:type="dxa"/>
          </w:tcPr>
          <w:p w:rsidR="00276D21" w:rsidRPr="00EF1E72" w:rsidRDefault="00D73FBE" w:rsidP="00EF1E72">
            <w:pPr>
              <w:spacing w:before="380" w:line="280" w:lineRule="exact"/>
              <w:jc w:val="right"/>
              <w:rPr>
                <w:rFonts w:ascii="Tahoma" w:hAnsi="Tahoma" w:cs="Tahoma"/>
                <w:b/>
                <w:bCs/>
                <w:iCs/>
                <w:color w:val="509141"/>
                <w:sz w:val="32"/>
                <w:szCs w:val="32"/>
                <w:lang w:val="en-US"/>
              </w:rPr>
            </w:pPr>
            <w:r w:rsidRPr="00EF1E7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7" o:title=""/>
                </v:shape>
                <o:OLEObject Type="Embed" ProgID="Equation.3" ShapeID="_x0000_i1025" DrawAspect="Content" ObjectID="_1355747833" r:id="rId8"/>
              </w:object>
            </w:r>
          </w:p>
          <w:p w:rsidR="00FE79FE" w:rsidRPr="00EF1E72" w:rsidRDefault="00FE79FE" w:rsidP="00AA2BE3">
            <w:pPr>
              <w:spacing w:before="380" w:line="28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R</w:t>
            </w:r>
            <w:r w:rsidR="00526063" w:rsidRPr="00EF1E72">
              <w:rPr>
                <w:rFonts w:ascii="Tahoma" w:hAnsi="Tahoma" w:cs="Tahoma"/>
                <w:b/>
                <w:bCs/>
                <w:iCs/>
                <w:color w:val="509141"/>
                <w:sz w:val="36"/>
                <w:szCs w:val="36"/>
                <w:lang w:val="en-US"/>
              </w:rPr>
              <w:t>eport</w:t>
            </w:r>
            <w:r w:rsidRPr="00EF1E72">
              <w:rPr>
                <w:rFonts w:ascii="Tahoma" w:hAnsi="Tahoma" w:cs="Tahoma"/>
                <w:b/>
                <w:bCs/>
                <w:iCs/>
                <w:color w:val="509141"/>
                <w:sz w:val="36"/>
                <w:szCs w:val="36"/>
                <w:lang w:val="en-US"/>
              </w:rPr>
              <w:t xml:space="preserve">  ITU-R  </w:t>
            </w:r>
            <w:r w:rsidR="003B4EE8" w:rsidRPr="00EF1E72">
              <w:rPr>
                <w:rFonts w:ascii="Tahoma" w:hAnsi="Tahoma" w:cs="Tahoma"/>
                <w:b/>
                <w:bCs/>
                <w:iCs/>
                <w:color w:val="509141"/>
                <w:sz w:val="36"/>
                <w:szCs w:val="36"/>
                <w:lang w:val="en-US"/>
              </w:rPr>
              <w:t>S</w:t>
            </w:r>
            <w:r w:rsidR="00C114A7" w:rsidRPr="00EF1E72">
              <w:rPr>
                <w:rFonts w:ascii="Tahoma" w:hAnsi="Tahoma" w:cs="Tahoma"/>
                <w:b/>
                <w:bCs/>
                <w:iCs/>
                <w:color w:val="509141"/>
                <w:sz w:val="36"/>
                <w:szCs w:val="36"/>
                <w:lang w:val="en-US"/>
              </w:rPr>
              <w:t>A</w:t>
            </w:r>
            <w:r w:rsidRPr="00EF1E72">
              <w:rPr>
                <w:rFonts w:ascii="Tahoma" w:hAnsi="Tahoma" w:cs="Tahoma"/>
                <w:b/>
                <w:bCs/>
                <w:iCs/>
                <w:color w:val="509141"/>
                <w:sz w:val="36"/>
                <w:szCs w:val="36"/>
                <w:lang w:val="en-US"/>
              </w:rPr>
              <w:t>.</w:t>
            </w:r>
            <w:r w:rsidR="00AA2BE3">
              <w:rPr>
                <w:rFonts w:ascii="Tahoma" w:hAnsi="Tahoma" w:cs="Tahoma"/>
                <w:b/>
                <w:bCs/>
                <w:iCs/>
                <w:color w:val="509141"/>
                <w:sz w:val="36"/>
                <w:szCs w:val="36"/>
                <w:lang w:val="en-US"/>
              </w:rPr>
              <w:t>2192</w:t>
            </w:r>
          </w:p>
          <w:p w:rsidR="00FE79FE" w:rsidRPr="00EF1E72" w:rsidRDefault="00FE79FE" w:rsidP="00AA2BE3">
            <w:pPr>
              <w:spacing w:before="80" w:line="280" w:lineRule="exact"/>
              <w:jc w:val="right"/>
              <w:rPr>
                <w:rFonts w:ascii="Tahoma" w:hAnsi="Tahoma" w:cs="Tahoma"/>
                <w:iCs/>
                <w:color w:val="509141"/>
                <w:szCs w:val="24"/>
                <w:lang w:val="en-US"/>
              </w:rPr>
            </w:pPr>
            <w:r w:rsidRPr="00EF1E72">
              <w:rPr>
                <w:rFonts w:ascii="Tahoma" w:hAnsi="Tahoma" w:cs="Tahoma"/>
                <w:b/>
                <w:bCs/>
                <w:iCs/>
                <w:color w:val="509141"/>
                <w:szCs w:val="24"/>
                <w:lang w:val="en-US"/>
              </w:rPr>
              <w:t>(</w:t>
            </w:r>
            <w:r w:rsidR="00AA2BE3">
              <w:rPr>
                <w:rFonts w:ascii="Tahoma" w:hAnsi="Tahoma" w:cs="Tahoma"/>
                <w:b/>
                <w:bCs/>
                <w:iCs/>
                <w:color w:val="509141"/>
                <w:szCs w:val="24"/>
                <w:lang w:val="en-US"/>
              </w:rPr>
              <w:t>10</w:t>
            </w:r>
            <w:r w:rsidRPr="00EF1E72">
              <w:rPr>
                <w:rFonts w:ascii="Tahoma" w:hAnsi="Tahoma" w:cs="Tahoma"/>
                <w:b/>
                <w:bCs/>
                <w:iCs/>
                <w:color w:val="509141"/>
                <w:szCs w:val="24"/>
                <w:lang w:val="en-US"/>
              </w:rPr>
              <w:t>/</w:t>
            </w:r>
            <w:r w:rsidR="00AA2BE3">
              <w:rPr>
                <w:rFonts w:ascii="Tahoma" w:hAnsi="Tahoma" w:cs="Tahoma"/>
                <w:b/>
                <w:bCs/>
                <w:iCs/>
                <w:color w:val="509141"/>
                <w:szCs w:val="24"/>
                <w:lang w:val="en-US"/>
              </w:rPr>
              <w:t>2010</w:t>
            </w:r>
            <w:r w:rsidRPr="00EF1E72">
              <w:rPr>
                <w:rFonts w:ascii="Tahoma" w:hAnsi="Tahoma" w:cs="Tahoma"/>
                <w:b/>
                <w:bCs/>
                <w:iCs/>
                <w:color w:val="509141"/>
                <w:szCs w:val="24"/>
                <w:lang w:val="en-US"/>
              </w:rPr>
              <w:t>)</w:t>
            </w:r>
          </w:p>
        </w:tc>
      </w:tr>
      <w:tr w:rsidR="00FE79FE" w:rsidRPr="003B6E9A" w:rsidTr="00EF1E72">
        <w:tc>
          <w:tcPr>
            <w:tcW w:w="10089" w:type="dxa"/>
          </w:tcPr>
          <w:p w:rsidR="00013002" w:rsidRPr="00EF1E72" w:rsidRDefault="00013002" w:rsidP="00EF1E72">
            <w:pPr>
              <w:spacing w:before="80" w:line="500" w:lineRule="exact"/>
              <w:jc w:val="right"/>
              <w:rPr>
                <w:rFonts w:ascii="Tahoma" w:hAnsi="Tahoma" w:cs="Tahoma"/>
                <w:b/>
                <w:bCs/>
                <w:iCs/>
                <w:color w:val="509141"/>
                <w:sz w:val="44"/>
                <w:szCs w:val="44"/>
                <w:lang w:val="en-US"/>
              </w:rPr>
            </w:pPr>
          </w:p>
          <w:p w:rsidR="00D8150A" w:rsidRPr="00EF1E72" w:rsidRDefault="00AA2BE3" w:rsidP="00AA2BE3">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Compatibility between the space research service (Earth-to-space) and the</w:t>
            </w:r>
            <w:r>
              <w:rPr>
                <w:rFonts w:ascii="Tahoma" w:hAnsi="Tahoma" w:cs="Tahoma"/>
                <w:b/>
                <w:bCs/>
                <w:iCs/>
                <w:color w:val="509141"/>
                <w:sz w:val="44"/>
                <w:szCs w:val="44"/>
                <w:lang w:val="en-US"/>
              </w:rPr>
              <w:br/>
              <w:t>non-GSO-to-non-GSO systems</w:t>
            </w:r>
            <w:r>
              <w:rPr>
                <w:rFonts w:ascii="Tahoma" w:hAnsi="Tahoma" w:cs="Tahoma"/>
                <w:b/>
                <w:bCs/>
                <w:iCs/>
                <w:color w:val="509141"/>
                <w:sz w:val="44"/>
                <w:szCs w:val="44"/>
                <w:lang w:val="en-US"/>
              </w:rPr>
              <w:br/>
              <w:t>on the inter-satelllite service</w:t>
            </w:r>
            <w:r>
              <w:rPr>
                <w:rFonts w:ascii="Tahoma" w:hAnsi="Tahoma" w:cs="Tahoma"/>
                <w:b/>
                <w:bCs/>
                <w:iCs/>
                <w:color w:val="509141"/>
                <w:sz w:val="44"/>
                <w:szCs w:val="44"/>
                <w:lang w:val="en-US"/>
              </w:rPr>
              <w:br/>
              <w:t>in the band 22.55-23.55 GHz</w:t>
            </w:r>
          </w:p>
          <w:p w:rsidR="00FE79FE" w:rsidRPr="00EF1E72" w:rsidRDefault="00AD26B8" w:rsidP="00EF1E72">
            <w:pPr>
              <w:spacing w:before="80" w:line="500" w:lineRule="exact"/>
              <w:jc w:val="right"/>
              <w:rPr>
                <w:rFonts w:ascii="Tahoma" w:hAnsi="Tahoma" w:cs="Tahoma"/>
                <w:b/>
                <w:bCs/>
                <w:iCs/>
                <w:color w:val="509141"/>
                <w:sz w:val="44"/>
                <w:szCs w:val="44"/>
                <w:lang w:val="en-US"/>
              </w:rPr>
            </w:pPr>
            <w:r w:rsidRPr="00EF1E72">
              <w:rPr>
                <w:rFonts w:ascii="Tahoma" w:hAnsi="Tahoma" w:cs="Tahoma"/>
                <w:b/>
                <w:bCs/>
                <w:iCs/>
                <w:color w:val="509141"/>
                <w:sz w:val="44"/>
                <w:szCs w:val="44"/>
                <w:lang w:val="en-US"/>
              </w:rPr>
              <w:t xml:space="preserve">  </w:t>
            </w:r>
          </w:p>
        </w:tc>
      </w:tr>
      <w:tr w:rsidR="00FE79FE" w:rsidRPr="00EF1E72" w:rsidTr="00EF1E72">
        <w:tc>
          <w:tcPr>
            <w:tcW w:w="10089" w:type="dxa"/>
          </w:tcPr>
          <w:p w:rsidR="007B203C" w:rsidRPr="00EF1E72" w:rsidRDefault="007B203C" w:rsidP="00EF1E72">
            <w:pPr>
              <w:spacing w:before="80" w:line="280" w:lineRule="exact"/>
              <w:ind w:right="640"/>
              <w:rPr>
                <w:rFonts w:ascii="Tahoma" w:hAnsi="Tahoma" w:cs="Tahoma"/>
                <w:b/>
                <w:bCs/>
                <w:iCs/>
                <w:color w:val="243285"/>
                <w:sz w:val="32"/>
                <w:szCs w:val="32"/>
                <w:lang w:val="en-US"/>
              </w:rPr>
            </w:pPr>
          </w:p>
          <w:p w:rsidR="007B203C" w:rsidRPr="00EF1E72" w:rsidRDefault="007B203C" w:rsidP="00EF1E72">
            <w:pPr>
              <w:spacing w:before="80" w:line="280" w:lineRule="exact"/>
              <w:ind w:right="640"/>
              <w:rPr>
                <w:rFonts w:ascii="Tahoma" w:hAnsi="Tahoma" w:cs="Tahoma"/>
                <w:b/>
                <w:bCs/>
                <w:iCs/>
                <w:color w:val="243285"/>
                <w:sz w:val="32"/>
                <w:szCs w:val="32"/>
                <w:lang w:val="en-US"/>
              </w:rPr>
            </w:pPr>
          </w:p>
          <w:p w:rsidR="007B203C" w:rsidRPr="00EF1E72" w:rsidRDefault="007B203C" w:rsidP="00EF1E72">
            <w:pPr>
              <w:spacing w:before="80" w:line="280" w:lineRule="exact"/>
              <w:ind w:right="640"/>
              <w:rPr>
                <w:rFonts w:ascii="Tahoma" w:hAnsi="Tahoma" w:cs="Tahoma"/>
                <w:b/>
                <w:bCs/>
                <w:iCs/>
                <w:color w:val="243285"/>
                <w:sz w:val="32"/>
                <w:szCs w:val="32"/>
                <w:lang w:val="en-US"/>
              </w:rPr>
            </w:pPr>
          </w:p>
          <w:p w:rsidR="007B203C" w:rsidRPr="00EF1E72" w:rsidRDefault="007B203C" w:rsidP="00EF1E72">
            <w:pPr>
              <w:spacing w:before="80" w:after="180" w:line="360" w:lineRule="exact"/>
              <w:jc w:val="right"/>
              <w:rPr>
                <w:rFonts w:ascii="Tahoma" w:hAnsi="Tahoma" w:cs="Tahoma"/>
                <w:b/>
                <w:bCs/>
                <w:iCs/>
                <w:color w:val="243285"/>
                <w:sz w:val="36"/>
                <w:szCs w:val="36"/>
                <w:lang w:val="en-US"/>
              </w:rPr>
            </w:pPr>
          </w:p>
          <w:p w:rsidR="00013002" w:rsidRPr="00EF1E72" w:rsidRDefault="003B4EE8" w:rsidP="00EF1E72">
            <w:pPr>
              <w:spacing w:before="80" w:after="180" w:line="36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w:t>
            </w:r>
            <w:r w:rsidR="00C114A7" w:rsidRPr="00EF1E72">
              <w:rPr>
                <w:rFonts w:ascii="Tahoma" w:hAnsi="Tahoma" w:cs="Tahoma"/>
                <w:b/>
                <w:bCs/>
                <w:iCs/>
                <w:color w:val="509141"/>
                <w:sz w:val="36"/>
                <w:szCs w:val="36"/>
                <w:lang w:val="en-US"/>
              </w:rPr>
              <w:t>A</w:t>
            </w:r>
            <w:r w:rsidR="00FE79FE" w:rsidRPr="00EF1E72">
              <w:rPr>
                <w:rFonts w:ascii="Tahoma" w:hAnsi="Tahoma" w:cs="Tahoma"/>
                <w:b/>
                <w:bCs/>
                <w:iCs/>
                <w:color w:val="509141"/>
                <w:sz w:val="36"/>
                <w:szCs w:val="36"/>
                <w:lang w:val="en-US"/>
              </w:rPr>
              <w:t xml:space="preserve"> Series</w:t>
            </w:r>
          </w:p>
          <w:p w:rsidR="00FE79FE" w:rsidRPr="00EF1E72" w:rsidRDefault="00C114A7" w:rsidP="00EF1E72">
            <w:pPr>
              <w:spacing w:before="80" w:line="42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Space applications and meteorology</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77668567"/>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rsidRPr="003B6E9A">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3B6E9A"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CB1116">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CB1116" w:rsidTr="00C114A7">
        <w:tc>
          <w:tcPr>
            <w:tcW w:w="1140" w:type="dxa"/>
            <w:tcBorders>
              <w:top w:val="nil"/>
              <w:left w:val="single" w:sz="12" w:space="0" w:color="000080"/>
              <w:bottom w:val="nil"/>
              <w:right w:val="nil"/>
            </w:tcBorders>
            <w:shd w:val="clear" w:color="auto" w:fill="auto"/>
          </w:tcPr>
          <w:p w:rsidR="00CB60A4" w:rsidRPr="00CB1116" w:rsidRDefault="00CB60A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B60A4" w:rsidRPr="00CB11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D7A62" w:rsidRPr="00C114A7" w:rsidTr="00C114A7">
        <w:tc>
          <w:tcPr>
            <w:tcW w:w="1140" w:type="dxa"/>
            <w:tcBorders>
              <w:top w:val="nil"/>
              <w:left w:val="single" w:sz="12" w:space="0" w:color="000080"/>
              <w:bottom w:val="nil"/>
              <w:right w:val="nil"/>
            </w:tcBorders>
            <w:shd w:val="clear" w:color="auto" w:fill="auto"/>
          </w:tcPr>
          <w:p w:rsidR="00CD7A62" w:rsidRPr="00C114A7" w:rsidRDefault="00CD7A62">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CD7A62" w:rsidRPr="00C114A7" w:rsidRDefault="00CD7A62">
            <w:pPr>
              <w:spacing w:before="30" w:after="30"/>
              <w:jc w:val="left"/>
              <w:rPr>
                <w:sz w:val="20"/>
                <w:lang w:val="en-US"/>
              </w:rPr>
            </w:pPr>
            <w:r w:rsidRPr="00C114A7">
              <w:rPr>
                <w:sz w:val="20"/>
                <w:lang w:val="en-US"/>
              </w:rPr>
              <w:t>Fixed</w:t>
            </w:r>
            <w:r w:rsidR="00531521">
              <w:rPr>
                <w:sz w:val="20"/>
                <w:lang w:val="en-US"/>
              </w:rPr>
              <w:t>-</w:t>
            </w:r>
            <w:r w:rsidRPr="00C114A7">
              <w:rPr>
                <w:sz w:val="20"/>
                <w:lang w:val="en-US"/>
              </w:rPr>
              <w:t>satellite service</w:t>
            </w:r>
          </w:p>
        </w:tc>
      </w:tr>
      <w:tr w:rsidR="00CB60A4" w:rsidRPr="00C114A7" w:rsidTr="00C114A7">
        <w:tc>
          <w:tcPr>
            <w:tcW w:w="1140" w:type="dxa"/>
            <w:tcBorders>
              <w:top w:val="nil"/>
              <w:left w:val="single" w:sz="12" w:space="0" w:color="000080"/>
              <w:bottom w:val="nil"/>
              <w:right w:val="nil"/>
            </w:tcBorders>
            <w:shd w:val="clear" w:color="auto" w:fill="F3F3F3"/>
          </w:tcPr>
          <w:p w:rsidR="00CB60A4" w:rsidRPr="00C114A7" w:rsidRDefault="00CB60A4">
            <w:pPr>
              <w:spacing w:before="30" w:after="30"/>
              <w:ind w:left="57"/>
              <w:jc w:val="left"/>
              <w:rPr>
                <w:b/>
                <w:bCs/>
                <w:color w:val="000080"/>
                <w:sz w:val="20"/>
                <w:lang w:val="en-US"/>
              </w:rPr>
            </w:pPr>
            <w:r w:rsidRPr="00C114A7">
              <w:rPr>
                <w:b/>
                <w:bCs/>
                <w:color w:val="000080"/>
                <w:sz w:val="20"/>
                <w:lang w:val="en-US"/>
              </w:rPr>
              <w:t>SA</w:t>
            </w:r>
          </w:p>
        </w:tc>
        <w:tc>
          <w:tcPr>
            <w:tcW w:w="8220" w:type="dxa"/>
            <w:tcBorders>
              <w:top w:val="nil"/>
              <w:left w:val="nil"/>
              <w:bottom w:val="nil"/>
              <w:right w:val="single" w:sz="12" w:space="0" w:color="000080"/>
            </w:tcBorders>
            <w:shd w:val="clear" w:color="auto" w:fill="F3F3F3"/>
          </w:tcPr>
          <w:p w:rsidR="00CB60A4" w:rsidRPr="00C114A7" w:rsidRDefault="00CB60A4">
            <w:pPr>
              <w:spacing w:before="30" w:after="30"/>
              <w:jc w:val="left"/>
              <w:rPr>
                <w:b/>
                <w:bCs/>
                <w:color w:val="000080"/>
                <w:sz w:val="20"/>
                <w:lang w:val="en-US"/>
              </w:rPr>
            </w:pPr>
            <w:r w:rsidRPr="00C114A7">
              <w:rPr>
                <w:b/>
                <w:bCs/>
                <w:color w:val="000080"/>
                <w:sz w:val="20"/>
                <w:lang w:val="en-US"/>
              </w:rPr>
              <w:t>Space applications and meteorology</w:t>
            </w:r>
          </w:p>
        </w:tc>
      </w:tr>
      <w:tr w:rsidR="00CB60A4" w:rsidRPr="003B6E9A">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3B6E9A" w:rsidTr="00EF1E72">
        <w:tc>
          <w:tcPr>
            <w:tcW w:w="9360" w:type="dxa"/>
            <w:tcBorders>
              <w:top w:val="single" w:sz="12" w:space="0" w:color="000080"/>
              <w:left w:val="single" w:sz="12" w:space="0" w:color="000080"/>
              <w:bottom w:val="single" w:sz="12" w:space="0" w:color="000080"/>
              <w:right w:val="single" w:sz="12" w:space="0" w:color="000080"/>
            </w:tcBorders>
          </w:tcPr>
          <w:p w:rsidR="00CB60A4" w:rsidRPr="00EF1E72" w:rsidRDefault="001A5259" w:rsidP="00EF1E72">
            <w:pPr>
              <w:spacing w:after="120"/>
              <w:jc w:val="left"/>
              <w:rPr>
                <w:b/>
                <w:bCs/>
                <w:sz w:val="20"/>
                <w:lang w:val="en-US"/>
              </w:rPr>
            </w:pPr>
            <w:r w:rsidRPr="00EF1E72">
              <w:rPr>
                <w:i/>
                <w:iCs/>
                <w:sz w:val="20"/>
                <w:lang w:val="en-US"/>
              </w:rPr>
              <w:t xml:space="preserve">            </w:t>
            </w:r>
            <w:r w:rsidR="00CB60A4" w:rsidRPr="00EF1E72">
              <w:rPr>
                <w:b/>
                <w:bCs/>
                <w:i/>
                <w:iCs/>
                <w:sz w:val="20"/>
                <w:lang w:val="en-US"/>
              </w:rPr>
              <w:t>Note</w:t>
            </w:r>
            <w:r w:rsidR="00CB60A4" w:rsidRPr="00EF1E72">
              <w:rPr>
                <w:i/>
                <w:iCs/>
                <w:sz w:val="20"/>
                <w:lang w:val="en-US"/>
              </w:rPr>
              <w:t xml:space="preserve">: This ITU-R </w:t>
            </w:r>
            <w:r w:rsidR="00505FB4" w:rsidRPr="00EF1E72">
              <w:rPr>
                <w:i/>
                <w:iCs/>
                <w:sz w:val="20"/>
                <w:lang w:val="en-US"/>
              </w:rPr>
              <w:t>Report</w:t>
            </w:r>
            <w:r w:rsidR="00CB60A4" w:rsidRPr="00EF1E72">
              <w:rPr>
                <w:i/>
                <w:iCs/>
                <w:sz w:val="20"/>
                <w:lang w:val="en-US"/>
              </w:rPr>
              <w:t xml:space="preserve"> was approved in English </w:t>
            </w:r>
            <w:r w:rsidRPr="00EF1E72">
              <w:rPr>
                <w:i/>
                <w:iCs/>
                <w:sz w:val="20"/>
                <w:lang w:val="en-US"/>
              </w:rPr>
              <w:t xml:space="preserve">by the Study Group </w:t>
            </w:r>
            <w:r w:rsidR="00CB60A4" w:rsidRPr="00EF1E72">
              <w:rPr>
                <w:i/>
                <w:iCs/>
                <w:sz w:val="20"/>
                <w:lang w:val="en-US"/>
              </w:rPr>
              <w:t xml:space="preserve">under the </w:t>
            </w:r>
            <w:r w:rsidRPr="00EF1E72">
              <w:rPr>
                <w:i/>
                <w:iCs/>
                <w:sz w:val="20"/>
                <w:lang w:val="en-US"/>
              </w:rPr>
              <w:t xml:space="preserve">procedure detailed </w:t>
            </w:r>
            <w:r w:rsidRPr="00EF1E72">
              <w:rPr>
                <w:i/>
                <w:iCs/>
                <w:sz w:val="20"/>
                <w:lang w:val="en-US"/>
              </w:rPr>
              <w:br/>
              <w:t xml:space="preserve">            in Resolution </w:t>
            </w:r>
            <w:r w:rsidR="00CB60A4" w:rsidRPr="00EF1E72">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8323DF">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F9736D">
        <w:rPr>
          <w:sz w:val="20"/>
          <w:lang w:val="en-US"/>
        </w:rPr>
        <w:t>1</w:t>
      </w:r>
      <w:r w:rsidR="008323DF">
        <w:rPr>
          <w:sz w:val="20"/>
          <w:lang w:val="en-US"/>
        </w:rPr>
        <w:t>1</w:t>
      </w:r>
    </w:p>
    <w:p w:rsidR="00CB60A4" w:rsidRDefault="00CB60A4" w:rsidP="008323DF">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F9736D">
        <w:rPr>
          <w:sz w:val="20"/>
          <w:lang w:val="en-US"/>
        </w:rPr>
        <w:t>1</w:t>
      </w:r>
      <w:r w:rsidR="008323DF">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AA2BE3" w:rsidP="00AA2BE3">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SA</w:t>
      </w:r>
      <w:r w:rsidRPr="008D3D8D">
        <w:rPr>
          <w:rStyle w:val="href"/>
          <w:lang w:val="en-US"/>
        </w:rPr>
        <w:t>.</w:t>
      </w:r>
      <w:r>
        <w:rPr>
          <w:rStyle w:val="href"/>
          <w:lang w:val="en-US"/>
        </w:rPr>
        <w:t>2192</w:t>
      </w:r>
    </w:p>
    <w:p w:rsidR="00AA2BE3" w:rsidRDefault="00AA2BE3" w:rsidP="00192341">
      <w:pPr>
        <w:pStyle w:val="Reptitle"/>
        <w:rPr>
          <w:lang w:val="en-GB"/>
        </w:rPr>
      </w:pPr>
      <w:r w:rsidRPr="00AA2BE3">
        <w:rPr>
          <w:lang w:val="en-GB"/>
        </w:rPr>
        <w:t>Compatibility between the space research service (Earth-to-space)</w:t>
      </w:r>
      <w:r w:rsidR="00192341">
        <w:rPr>
          <w:lang w:val="en-GB"/>
        </w:rPr>
        <w:br/>
      </w:r>
      <w:r w:rsidRPr="00AA2BE3">
        <w:rPr>
          <w:lang w:val="en-GB"/>
        </w:rPr>
        <w:t>and</w:t>
      </w:r>
      <w:r w:rsidR="00192341">
        <w:rPr>
          <w:lang w:val="en-GB"/>
        </w:rPr>
        <w:t xml:space="preserve"> </w:t>
      </w:r>
      <w:r w:rsidRPr="00AA2BE3">
        <w:rPr>
          <w:lang w:val="en-GB"/>
        </w:rPr>
        <w:t>the non-GSO-to-non-GSO systems on the inter-satellite</w:t>
      </w:r>
      <w:r w:rsidR="00192341">
        <w:rPr>
          <w:lang w:val="en-GB"/>
        </w:rPr>
        <w:br/>
      </w:r>
      <w:r w:rsidRPr="00AA2BE3">
        <w:rPr>
          <w:lang w:val="en-GB"/>
        </w:rPr>
        <w:t>service</w:t>
      </w:r>
      <w:r w:rsidR="00192341">
        <w:rPr>
          <w:lang w:val="en-GB"/>
        </w:rPr>
        <w:t xml:space="preserve"> </w:t>
      </w:r>
      <w:r w:rsidRPr="00AA2BE3">
        <w:rPr>
          <w:lang w:val="en-GB"/>
        </w:rPr>
        <w:t>in the band 22.55-23.55 GHz</w:t>
      </w:r>
    </w:p>
    <w:p w:rsidR="00AA2BE3" w:rsidRDefault="00AA2BE3" w:rsidP="00AA2BE3">
      <w:pPr>
        <w:pStyle w:val="Repdate"/>
        <w:rPr>
          <w:lang w:val="en-GB"/>
        </w:rPr>
      </w:pPr>
    </w:p>
    <w:p w:rsidR="00AA2BE3" w:rsidRDefault="00AA2BE3" w:rsidP="00AA2BE3">
      <w:pPr>
        <w:pStyle w:val="Repdate"/>
        <w:rPr>
          <w:lang w:val="en-GB"/>
        </w:rPr>
      </w:pPr>
      <w:r>
        <w:rPr>
          <w:lang w:val="en-GB"/>
        </w:rPr>
        <w:t>(2010)</w:t>
      </w:r>
    </w:p>
    <w:p w:rsidR="00192341" w:rsidRDefault="00192341" w:rsidP="00192341">
      <w:pPr>
        <w:rPr>
          <w:lang w:val="en-GB"/>
        </w:rPr>
      </w:pPr>
    </w:p>
    <w:p w:rsidR="00192341" w:rsidRDefault="00192341" w:rsidP="00192341">
      <w:pPr>
        <w:jc w:val="center"/>
        <w:rPr>
          <w:lang w:val="en-GB"/>
        </w:rPr>
      </w:pPr>
      <w:r>
        <w:rPr>
          <w:lang w:val="en-GB"/>
        </w:rPr>
        <w:t>TABLE OF CONTENTS</w:t>
      </w:r>
    </w:p>
    <w:p w:rsidR="00192341" w:rsidRDefault="00192341" w:rsidP="00192341">
      <w:pPr>
        <w:pStyle w:val="toc0"/>
        <w:jc w:val="right"/>
        <w:rPr>
          <w:lang w:val="en-GB"/>
        </w:rPr>
      </w:pPr>
      <w:r>
        <w:rPr>
          <w:lang w:val="en-GB"/>
        </w:rPr>
        <w:t>Page</w:t>
      </w:r>
    </w:p>
    <w:p w:rsidR="00BF3C71" w:rsidRPr="00BF3C71" w:rsidRDefault="00BF3C71">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1</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Introduction</w:t>
      </w:r>
      <w:r w:rsidRPr="00BF3C71">
        <w:rPr>
          <w:noProof/>
          <w:webHidden/>
        </w:rPr>
        <w:tab/>
      </w:r>
      <w:r>
        <w:rPr>
          <w:noProof/>
          <w:webHidden/>
        </w:rPr>
        <w:tab/>
      </w:r>
      <w:r w:rsidRPr="00BF3C71">
        <w:rPr>
          <w:noProof/>
          <w:webHidden/>
        </w:rPr>
        <w:t>5</w:t>
      </w:r>
    </w:p>
    <w:p w:rsidR="00BF3C71" w:rsidRPr="00BF3C71" w:rsidRDefault="00BF3C71">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2</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Characteristics of the SRS earth station emissions</w:t>
      </w:r>
      <w:r w:rsidRPr="00BF3C71">
        <w:rPr>
          <w:noProof/>
          <w:webHidden/>
        </w:rPr>
        <w:tab/>
      </w:r>
      <w:r>
        <w:rPr>
          <w:noProof/>
          <w:webHidden/>
        </w:rPr>
        <w:tab/>
      </w:r>
      <w:r w:rsidRPr="00BF3C71">
        <w:rPr>
          <w:noProof/>
          <w:webHidden/>
        </w:rPr>
        <w:t>5</w:t>
      </w:r>
    </w:p>
    <w:p w:rsidR="00BF3C71" w:rsidRPr="00BF3C71" w:rsidRDefault="00BF3C71">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2.1</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In-band characteristics</w:t>
      </w:r>
      <w:r w:rsidRPr="00BF3C71">
        <w:rPr>
          <w:noProof/>
          <w:webHidden/>
        </w:rPr>
        <w:tab/>
      </w:r>
      <w:r>
        <w:rPr>
          <w:noProof/>
          <w:webHidden/>
        </w:rPr>
        <w:tab/>
      </w:r>
      <w:r w:rsidRPr="00BF3C71">
        <w:rPr>
          <w:noProof/>
          <w:webHidden/>
        </w:rPr>
        <w:t>5</w:t>
      </w:r>
    </w:p>
    <w:p w:rsidR="00BF3C71" w:rsidRPr="00BF3C71" w:rsidRDefault="00BF3C71">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2.2</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Out-of-band characteristics</w:t>
      </w:r>
      <w:r w:rsidRPr="00BF3C71">
        <w:rPr>
          <w:noProof/>
          <w:webHidden/>
        </w:rPr>
        <w:tab/>
      </w:r>
      <w:r>
        <w:rPr>
          <w:noProof/>
          <w:webHidden/>
        </w:rPr>
        <w:tab/>
      </w:r>
      <w:r w:rsidRPr="00BF3C71">
        <w:rPr>
          <w:noProof/>
          <w:webHidden/>
        </w:rPr>
        <w:t>6</w:t>
      </w:r>
    </w:p>
    <w:p w:rsidR="00BF3C71" w:rsidRPr="00BF3C71" w:rsidRDefault="00BF3C71">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3</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Assumed characteristics for the HIBLEO-2/Ka system</w:t>
      </w:r>
      <w:r w:rsidRPr="00BF3C71">
        <w:rPr>
          <w:noProof/>
          <w:webHidden/>
        </w:rPr>
        <w:tab/>
      </w:r>
      <w:r>
        <w:rPr>
          <w:noProof/>
          <w:webHidden/>
        </w:rPr>
        <w:tab/>
      </w:r>
      <w:r w:rsidRPr="00BF3C71">
        <w:rPr>
          <w:noProof/>
          <w:webHidden/>
        </w:rPr>
        <w:t>7</w:t>
      </w:r>
    </w:p>
    <w:p w:rsidR="00BF3C71" w:rsidRPr="00BF3C71" w:rsidRDefault="00BF3C71">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3.1</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Non-GSO-to-non-GSO ISL characteristics of HIBLEO-2 type system</w:t>
      </w:r>
      <w:r w:rsidRPr="00BF3C71">
        <w:rPr>
          <w:noProof/>
          <w:webHidden/>
        </w:rPr>
        <w:tab/>
      </w:r>
      <w:r>
        <w:rPr>
          <w:noProof/>
          <w:webHidden/>
        </w:rPr>
        <w:tab/>
      </w:r>
      <w:r w:rsidRPr="00BF3C71">
        <w:rPr>
          <w:noProof/>
          <w:webHidden/>
        </w:rPr>
        <w:t>7</w:t>
      </w:r>
    </w:p>
    <w:p w:rsidR="00BF3C71" w:rsidRPr="00BF3C71" w:rsidRDefault="00BF3C71">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3.2</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Antenna characteristics of HIBLEO-2 type system</w:t>
      </w:r>
      <w:r w:rsidRPr="00BF3C71">
        <w:rPr>
          <w:noProof/>
          <w:webHidden/>
        </w:rPr>
        <w:tab/>
      </w:r>
      <w:r>
        <w:rPr>
          <w:noProof/>
          <w:webHidden/>
        </w:rPr>
        <w:tab/>
      </w:r>
      <w:r w:rsidRPr="00BF3C71">
        <w:rPr>
          <w:noProof/>
          <w:webHidden/>
        </w:rPr>
        <w:t>9</w:t>
      </w:r>
    </w:p>
    <w:p w:rsidR="00BF3C71" w:rsidRPr="00BF3C71" w:rsidRDefault="00BF3C71">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3.3</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Protection criteria</w:t>
      </w:r>
      <w:r w:rsidRPr="00BF3C71">
        <w:rPr>
          <w:noProof/>
          <w:webHidden/>
        </w:rPr>
        <w:tab/>
      </w:r>
      <w:r>
        <w:rPr>
          <w:noProof/>
          <w:webHidden/>
        </w:rPr>
        <w:tab/>
      </w:r>
      <w:r w:rsidRPr="00BF3C71">
        <w:rPr>
          <w:noProof/>
          <w:webHidden/>
        </w:rPr>
        <w:t>10</w:t>
      </w:r>
    </w:p>
    <w:p w:rsidR="00BF3C71" w:rsidRPr="00BF3C71" w:rsidRDefault="00BF3C71">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4</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Summary of analysis methodology and results</w:t>
      </w:r>
      <w:r w:rsidRPr="00BF3C71">
        <w:rPr>
          <w:noProof/>
          <w:webHidden/>
        </w:rPr>
        <w:tab/>
      </w:r>
      <w:r>
        <w:rPr>
          <w:noProof/>
          <w:webHidden/>
        </w:rPr>
        <w:tab/>
      </w:r>
      <w:r w:rsidRPr="00BF3C71">
        <w:rPr>
          <w:noProof/>
          <w:webHidden/>
        </w:rPr>
        <w:t>10</w:t>
      </w:r>
    </w:p>
    <w:p w:rsidR="00BF3C71" w:rsidRPr="00BF3C71" w:rsidRDefault="00BF3C71">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4.1</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Summary for Study 1</w:t>
      </w:r>
      <w:r w:rsidRPr="00BF3C71">
        <w:rPr>
          <w:noProof/>
          <w:webHidden/>
        </w:rPr>
        <w:tab/>
      </w:r>
      <w:r>
        <w:rPr>
          <w:noProof/>
          <w:webHidden/>
        </w:rPr>
        <w:tab/>
      </w:r>
      <w:r w:rsidRPr="00BF3C71">
        <w:rPr>
          <w:noProof/>
          <w:webHidden/>
        </w:rPr>
        <w:t>11</w:t>
      </w:r>
    </w:p>
    <w:p w:rsidR="00BF3C71" w:rsidRPr="00BF3C71" w:rsidRDefault="00BF3C71">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4.2</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Summary for Study 2</w:t>
      </w:r>
      <w:r w:rsidRPr="00BF3C71">
        <w:rPr>
          <w:noProof/>
          <w:webHidden/>
        </w:rPr>
        <w:tab/>
      </w:r>
      <w:r>
        <w:rPr>
          <w:noProof/>
          <w:webHidden/>
        </w:rPr>
        <w:tab/>
      </w:r>
      <w:r w:rsidRPr="00BF3C71">
        <w:rPr>
          <w:noProof/>
          <w:webHidden/>
        </w:rPr>
        <w:t>11</w:t>
      </w:r>
    </w:p>
    <w:p w:rsidR="00BF3C71" w:rsidRPr="00BF3C71" w:rsidRDefault="00BF3C71">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4.3</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Summary for Study 3</w:t>
      </w:r>
      <w:r w:rsidRPr="00BF3C71">
        <w:rPr>
          <w:noProof/>
          <w:webHidden/>
        </w:rPr>
        <w:tab/>
      </w:r>
      <w:r>
        <w:rPr>
          <w:noProof/>
          <w:webHidden/>
        </w:rPr>
        <w:tab/>
      </w:r>
      <w:r w:rsidRPr="00BF3C71">
        <w:rPr>
          <w:noProof/>
          <w:webHidden/>
        </w:rPr>
        <w:t>12</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4.4</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Summary for Study 4</w:t>
      </w:r>
      <w:r w:rsidRPr="00BF3C71">
        <w:rPr>
          <w:noProof/>
          <w:webHidden/>
        </w:rPr>
        <w:tab/>
      </w:r>
      <w:r>
        <w:rPr>
          <w:noProof/>
          <w:webHidden/>
        </w:rPr>
        <w:tab/>
      </w:r>
      <w:r w:rsidRPr="00BF3C71">
        <w:rPr>
          <w:noProof/>
          <w:webHidden/>
        </w:rPr>
        <w:t>1</w:t>
      </w:r>
      <w:r w:rsidR="00B94387">
        <w:rPr>
          <w:noProof/>
          <w:webHidden/>
        </w:rPr>
        <w:t>3</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4.5</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Summary for Study 5</w:t>
      </w:r>
      <w:r w:rsidRPr="00BF3C71">
        <w:rPr>
          <w:noProof/>
          <w:webHidden/>
        </w:rPr>
        <w:tab/>
      </w:r>
      <w:r>
        <w:rPr>
          <w:noProof/>
          <w:webHidden/>
        </w:rPr>
        <w:tab/>
      </w:r>
      <w:r w:rsidRPr="00BF3C71">
        <w:rPr>
          <w:noProof/>
          <w:webHidden/>
        </w:rPr>
        <w:t>1</w:t>
      </w:r>
      <w:r w:rsidR="00B94387">
        <w:rPr>
          <w:noProof/>
          <w:webHidden/>
        </w:rPr>
        <w:t>3</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4.6</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Summary for Study 6</w:t>
      </w:r>
      <w:r w:rsidRPr="00BF3C71">
        <w:rPr>
          <w:noProof/>
          <w:webHidden/>
        </w:rPr>
        <w:tab/>
      </w:r>
      <w:r>
        <w:rPr>
          <w:noProof/>
          <w:webHidden/>
        </w:rPr>
        <w:tab/>
      </w:r>
      <w:r w:rsidRPr="00BF3C71">
        <w:rPr>
          <w:noProof/>
          <w:webHidden/>
        </w:rPr>
        <w:t>1</w:t>
      </w:r>
      <w:r w:rsidR="00B94387">
        <w:rPr>
          <w:noProof/>
          <w:webHidden/>
        </w:rPr>
        <w:t>4</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 xml:space="preserve">4.7 </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Summary for Study 7</w:t>
      </w:r>
      <w:r w:rsidRPr="00BF3C71">
        <w:rPr>
          <w:noProof/>
          <w:webHidden/>
        </w:rPr>
        <w:tab/>
      </w:r>
      <w:r>
        <w:rPr>
          <w:noProof/>
          <w:webHidden/>
        </w:rPr>
        <w:tab/>
      </w:r>
      <w:r w:rsidRPr="00BF3C71">
        <w:rPr>
          <w:noProof/>
          <w:webHidden/>
        </w:rPr>
        <w:t>1</w:t>
      </w:r>
      <w:r w:rsidR="00B94387">
        <w:rPr>
          <w:noProof/>
          <w:webHidden/>
        </w:rPr>
        <w:t>6</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5</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Comparison of study results</w:t>
      </w:r>
      <w:r w:rsidRPr="00BF3C71">
        <w:rPr>
          <w:noProof/>
          <w:webHidden/>
        </w:rPr>
        <w:tab/>
      </w:r>
      <w:r>
        <w:rPr>
          <w:noProof/>
          <w:webHidden/>
        </w:rPr>
        <w:tab/>
      </w:r>
      <w:r w:rsidRPr="00BF3C71">
        <w:rPr>
          <w:noProof/>
          <w:webHidden/>
        </w:rPr>
        <w:t>1</w:t>
      </w:r>
      <w:r w:rsidR="00B94387">
        <w:rPr>
          <w:noProof/>
          <w:webHidden/>
        </w:rPr>
        <w:t>7</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 xml:space="preserve">Annex 1 </w:t>
      </w:r>
      <w:r>
        <w:rPr>
          <w:rStyle w:val="Hyperlink"/>
          <w:noProof/>
          <w:color w:val="auto"/>
          <w:u w:val="none"/>
        </w:rPr>
        <w:t>–</w:t>
      </w:r>
      <w:r w:rsidRPr="00BF3C71">
        <w:rPr>
          <w:rStyle w:val="Hyperlink"/>
          <w:noProof/>
          <w:color w:val="auto"/>
          <w:u w:val="none"/>
        </w:rPr>
        <w:t xml:space="preserve"> Summary of Study 1</w:t>
      </w:r>
      <w:r w:rsidRPr="00BF3C71">
        <w:rPr>
          <w:noProof/>
          <w:webHidden/>
        </w:rPr>
        <w:tab/>
      </w:r>
      <w:r>
        <w:rPr>
          <w:noProof/>
          <w:webHidden/>
        </w:rPr>
        <w:tab/>
      </w:r>
      <w:r w:rsidR="00B94387">
        <w:rPr>
          <w:noProof/>
          <w:webHidden/>
        </w:rPr>
        <w:t>18</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1</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System descriptions</w:t>
      </w:r>
      <w:r w:rsidRPr="00BF3C71">
        <w:rPr>
          <w:noProof/>
          <w:webHidden/>
        </w:rPr>
        <w:tab/>
      </w:r>
      <w:r>
        <w:rPr>
          <w:noProof/>
          <w:webHidden/>
        </w:rPr>
        <w:tab/>
      </w:r>
      <w:r w:rsidR="00B94387">
        <w:rPr>
          <w:noProof/>
          <w:webHidden/>
        </w:rPr>
        <w:t>18</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1.1</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SRS (Earth-to-space) system characteristics</w:t>
      </w:r>
      <w:r w:rsidRPr="00BF3C71">
        <w:rPr>
          <w:noProof/>
          <w:webHidden/>
        </w:rPr>
        <w:tab/>
      </w:r>
      <w:r>
        <w:rPr>
          <w:noProof/>
          <w:webHidden/>
        </w:rPr>
        <w:tab/>
      </w:r>
      <w:r w:rsidR="00B94387">
        <w:rPr>
          <w:noProof/>
          <w:webHidden/>
        </w:rPr>
        <w:t>18</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1.2</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HIBLEO-2 ISS (s-s) characteristics</w:t>
      </w:r>
      <w:r w:rsidRPr="00BF3C71">
        <w:rPr>
          <w:noProof/>
          <w:webHidden/>
        </w:rPr>
        <w:tab/>
      </w:r>
      <w:r>
        <w:rPr>
          <w:noProof/>
          <w:webHidden/>
        </w:rPr>
        <w:tab/>
      </w:r>
      <w:r w:rsidRPr="00BF3C71">
        <w:rPr>
          <w:noProof/>
          <w:webHidden/>
        </w:rPr>
        <w:t>2</w:t>
      </w:r>
      <w:r w:rsidR="00B94387">
        <w:rPr>
          <w:noProof/>
          <w:webHidden/>
        </w:rPr>
        <w:t>0</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2</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Interference assessment</w:t>
      </w:r>
      <w:r w:rsidRPr="00BF3C71">
        <w:rPr>
          <w:noProof/>
          <w:webHidden/>
        </w:rPr>
        <w:tab/>
      </w:r>
      <w:r>
        <w:rPr>
          <w:noProof/>
          <w:webHidden/>
        </w:rPr>
        <w:tab/>
      </w:r>
      <w:r w:rsidRPr="00BF3C71">
        <w:rPr>
          <w:noProof/>
          <w:webHidden/>
        </w:rPr>
        <w:t>2</w:t>
      </w:r>
      <w:r w:rsidR="00B94387">
        <w:rPr>
          <w:noProof/>
          <w:webHidden/>
        </w:rPr>
        <w:t>0</w:t>
      </w:r>
    </w:p>
    <w:p w:rsidR="00BF3C71" w:rsidRPr="00BF3C71" w:rsidRDefault="00BF3C71" w:rsidP="00472456">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3</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Interference protection criteria</w:t>
      </w:r>
      <w:r w:rsidRPr="00BF3C71">
        <w:rPr>
          <w:noProof/>
          <w:webHidden/>
        </w:rPr>
        <w:tab/>
      </w:r>
      <w:r>
        <w:rPr>
          <w:noProof/>
          <w:webHidden/>
        </w:rPr>
        <w:tab/>
      </w:r>
      <w:r w:rsidRPr="00BF3C71">
        <w:rPr>
          <w:noProof/>
          <w:webHidden/>
        </w:rPr>
        <w:t>2</w:t>
      </w:r>
      <w:r w:rsidR="00472456">
        <w:rPr>
          <w:noProof/>
          <w:webHidden/>
        </w:rPr>
        <w:t>0</w:t>
      </w:r>
    </w:p>
    <w:p w:rsidR="00BF3C71" w:rsidRDefault="00BF3C71" w:rsidP="00BF3C71">
      <w:pPr>
        <w:pStyle w:val="toc0"/>
        <w:keepNext/>
        <w:jc w:val="right"/>
        <w:rPr>
          <w:lang w:val="en-GB"/>
        </w:rPr>
      </w:pPr>
      <w:r>
        <w:rPr>
          <w:lang w:val="en-GB"/>
        </w:rPr>
        <w:lastRenderedPageBreak/>
        <w:t>Page</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4</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Interference analysis</w:t>
      </w:r>
      <w:r w:rsidRPr="00BF3C71">
        <w:rPr>
          <w:noProof/>
          <w:webHidden/>
        </w:rPr>
        <w:tab/>
      </w:r>
      <w:r>
        <w:rPr>
          <w:noProof/>
          <w:webHidden/>
        </w:rPr>
        <w:tab/>
      </w:r>
      <w:r w:rsidRPr="00BF3C71">
        <w:rPr>
          <w:noProof/>
          <w:webHidden/>
        </w:rPr>
        <w:t>2</w:t>
      </w:r>
      <w:r w:rsidR="00B94387">
        <w:rPr>
          <w:noProof/>
          <w:webHidden/>
        </w:rPr>
        <w:t>1</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4.1</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Step-by-step simulation</w:t>
      </w:r>
      <w:r w:rsidRPr="00BF3C71">
        <w:rPr>
          <w:noProof/>
          <w:webHidden/>
        </w:rPr>
        <w:tab/>
      </w:r>
      <w:r>
        <w:rPr>
          <w:noProof/>
          <w:webHidden/>
        </w:rPr>
        <w:tab/>
      </w:r>
      <w:r w:rsidRPr="00BF3C71">
        <w:rPr>
          <w:noProof/>
          <w:webHidden/>
        </w:rPr>
        <w:t>2</w:t>
      </w:r>
      <w:r w:rsidR="00B94387">
        <w:rPr>
          <w:noProof/>
          <w:webHidden/>
        </w:rPr>
        <w:t>1</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4.2</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Simulation assessment of interference</w:t>
      </w:r>
      <w:r w:rsidRPr="00BF3C71">
        <w:rPr>
          <w:noProof/>
          <w:webHidden/>
        </w:rPr>
        <w:tab/>
      </w:r>
      <w:r>
        <w:rPr>
          <w:noProof/>
          <w:webHidden/>
        </w:rPr>
        <w:tab/>
      </w:r>
      <w:r w:rsidRPr="00BF3C71">
        <w:rPr>
          <w:noProof/>
          <w:webHidden/>
        </w:rPr>
        <w:t>2</w:t>
      </w:r>
      <w:r w:rsidR="00B94387">
        <w:rPr>
          <w:noProof/>
          <w:webHidden/>
        </w:rPr>
        <w:t>1</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5</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Simulation results</w:t>
      </w:r>
      <w:r w:rsidRPr="00BF3C71">
        <w:rPr>
          <w:noProof/>
          <w:webHidden/>
        </w:rPr>
        <w:tab/>
      </w:r>
      <w:r>
        <w:rPr>
          <w:noProof/>
          <w:webHidden/>
        </w:rPr>
        <w:tab/>
      </w:r>
      <w:r w:rsidRPr="00BF3C71">
        <w:rPr>
          <w:noProof/>
          <w:webHidden/>
        </w:rPr>
        <w:t>2</w:t>
      </w:r>
      <w:r w:rsidR="00B94387">
        <w:rPr>
          <w:noProof/>
          <w:webHidden/>
        </w:rPr>
        <w:t>1</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6</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Conclusion</w:t>
      </w:r>
      <w:r w:rsidRPr="00BF3C71">
        <w:rPr>
          <w:noProof/>
          <w:webHidden/>
        </w:rPr>
        <w:tab/>
      </w:r>
      <w:r>
        <w:rPr>
          <w:noProof/>
          <w:webHidden/>
        </w:rPr>
        <w:tab/>
      </w:r>
      <w:r w:rsidRPr="00BF3C71">
        <w:rPr>
          <w:noProof/>
          <w:webHidden/>
        </w:rPr>
        <w:t>2</w:t>
      </w:r>
      <w:r w:rsidR="00B94387">
        <w:rPr>
          <w:noProof/>
          <w:webHidden/>
        </w:rPr>
        <w:t>2</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 xml:space="preserve">Annex 2 </w:t>
      </w:r>
      <w:r>
        <w:rPr>
          <w:rStyle w:val="Hyperlink"/>
          <w:noProof/>
          <w:color w:val="auto"/>
          <w:u w:val="none"/>
        </w:rPr>
        <w:t>–</w:t>
      </w:r>
      <w:r w:rsidRPr="00BF3C71">
        <w:rPr>
          <w:rStyle w:val="Hyperlink"/>
          <w:noProof/>
          <w:color w:val="auto"/>
          <w:u w:val="none"/>
        </w:rPr>
        <w:t xml:space="preserve"> Summary of Study 2</w:t>
      </w:r>
      <w:r w:rsidRPr="00BF3C71">
        <w:rPr>
          <w:noProof/>
          <w:webHidden/>
        </w:rPr>
        <w:tab/>
      </w:r>
      <w:r>
        <w:rPr>
          <w:noProof/>
          <w:webHidden/>
        </w:rPr>
        <w:tab/>
      </w:r>
      <w:r w:rsidRPr="00BF3C71">
        <w:rPr>
          <w:noProof/>
          <w:webHidden/>
        </w:rPr>
        <w:t>2</w:t>
      </w:r>
      <w:r w:rsidR="00B94387">
        <w:rPr>
          <w:noProof/>
          <w:webHidden/>
        </w:rPr>
        <w:t>3</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lang w:eastAsia="ja-JP"/>
        </w:rPr>
        <w:t>1</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lang w:eastAsia="ja-JP"/>
        </w:rPr>
        <w:t>System characteristics</w:t>
      </w:r>
      <w:r w:rsidRPr="00BF3C71">
        <w:rPr>
          <w:noProof/>
          <w:webHidden/>
        </w:rPr>
        <w:tab/>
      </w:r>
      <w:r>
        <w:rPr>
          <w:noProof/>
          <w:webHidden/>
        </w:rPr>
        <w:tab/>
      </w:r>
      <w:r w:rsidRPr="00BF3C71">
        <w:rPr>
          <w:noProof/>
          <w:webHidden/>
        </w:rPr>
        <w:t>2</w:t>
      </w:r>
      <w:r w:rsidR="00B94387">
        <w:rPr>
          <w:noProof/>
          <w:webHidden/>
        </w:rPr>
        <w:t>3</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1.</w:t>
      </w:r>
      <w:r w:rsidRPr="00BF3C71">
        <w:rPr>
          <w:rStyle w:val="Hyperlink"/>
          <w:noProof/>
          <w:color w:val="auto"/>
          <w:u w:val="none"/>
          <w:lang w:eastAsia="ja-JP"/>
        </w:rPr>
        <w:t>1</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lang w:eastAsia="ja-JP"/>
        </w:rPr>
        <w:t xml:space="preserve">SRS </w:t>
      </w:r>
      <w:r w:rsidRPr="00BF3C71">
        <w:rPr>
          <w:rStyle w:val="Hyperlink"/>
          <w:noProof/>
          <w:color w:val="auto"/>
          <w:u w:val="none"/>
        </w:rPr>
        <w:t>earth station</w:t>
      </w:r>
      <w:r w:rsidRPr="00BF3C71">
        <w:rPr>
          <w:rStyle w:val="Hyperlink"/>
          <w:noProof/>
          <w:color w:val="auto"/>
          <w:u w:val="none"/>
          <w:lang w:eastAsia="ja-JP"/>
        </w:rPr>
        <w:t xml:space="preserve"> and mission satellite </w:t>
      </w:r>
      <w:r w:rsidRPr="00BF3C71">
        <w:rPr>
          <w:rStyle w:val="Hyperlink"/>
          <w:noProof/>
          <w:color w:val="auto"/>
          <w:u w:val="none"/>
        </w:rPr>
        <w:t>characteristics</w:t>
      </w:r>
      <w:r w:rsidRPr="00BF3C71">
        <w:rPr>
          <w:noProof/>
          <w:webHidden/>
        </w:rPr>
        <w:tab/>
      </w:r>
      <w:r>
        <w:rPr>
          <w:noProof/>
          <w:webHidden/>
        </w:rPr>
        <w:tab/>
      </w:r>
      <w:r w:rsidRPr="00BF3C71">
        <w:rPr>
          <w:noProof/>
          <w:webHidden/>
        </w:rPr>
        <w:t>2</w:t>
      </w:r>
      <w:r w:rsidR="00B94387">
        <w:rPr>
          <w:noProof/>
          <w:webHidden/>
        </w:rPr>
        <w:t>3</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1.</w:t>
      </w:r>
      <w:r w:rsidRPr="00BF3C71">
        <w:rPr>
          <w:rStyle w:val="Hyperlink"/>
          <w:noProof/>
          <w:color w:val="auto"/>
          <w:u w:val="none"/>
          <w:lang w:eastAsia="ja-JP"/>
        </w:rPr>
        <w:t>2</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lang w:eastAsia="ja-JP"/>
        </w:rPr>
        <w:t>HIBLEO-2 system characteristics</w:t>
      </w:r>
      <w:r w:rsidRPr="00BF3C71">
        <w:rPr>
          <w:noProof/>
          <w:webHidden/>
        </w:rPr>
        <w:tab/>
      </w:r>
      <w:r>
        <w:rPr>
          <w:noProof/>
          <w:webHidden/>
        </w:rPr>
        <w:tab/>
      </w:r>
      <w:r w:rsidRPr="00BF3C71">
        <w:rPr>
          <w:noProof/>
          <w:webHidden/>
        </w:rPr>
        <w:t>2</w:t>
      </w:r>
      <w:r w:rsidR="00B94387">
        <w:rPr>
          <w:noProof/>
          <w:webHidden/>
        </w:rPr>
        <w:t>4</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lang w:eastAsia="ja-JP"/>
        </w:rPr>
        <w:t>2</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lang w:eastAsia="ja-JP"/>
        </w:rPr>
        <w:t>Analysis method and results</w:t>
      </w:r>
      <w:r w:rsidRPr="00BF3C71">
        <w:rPr>
          <w:noProof/>
          <w:webHidden/>
        </w:rPr>
        <w:tab/>
      </w:r>
      <w:r>
        <w:rPr>
          <w:noProof/>
          <w:webHidden/>
        </w:rPr>
        <w:tab/>
      </w:r>
      <w:r w:rsidRPr="00BF3C71">
        <w:rPr>
          <w:noProof/>
          <w:webHidden/>
        </w:rPr>
        <w:t>2</w:t>
      </w:r>
      <w:r w:rsidR="00B94387">
        <w:rPr>
          <w:noProof/>
          <w:webHidden/>
        </w:rPr>
        <w:t>4</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lang w:eastAsia="ja-JP"/>
        </w:rPr>
        <w:t>2.1</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lang w:eastAsia="ja-JP"/>
        </w:rPr>
        <w:t>Configuration for computer simulation</w:t>
      </w:r>
      <w:r w:rsidRPr="00BF3C71">
        <w:rPr>
          <w:noProof/>
          <w:webHidden/>
        </w:rPr>
        <w:tab/>
      </w:r>
      <w:r>
        <w:rPr>
          <w:noProof/>
          <w:webHidden/>
        </w:rPr>
        <w:tab/>
      </w:r>
      <w:r w:rsidRPr="00BF3C71">
        <w:rPr>
          <w:noProof/>
          <w:webHidden/>
        </w:rPr>
        <w:t>2</w:t>
      </w:r>
      <w:r w:rsidR="00B94387">
        <w:rPr>
          <w:noProof/>
          <w:webHidden/>
        </w:rPr>
        <w:t>4</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lang w:eastAsia="ja-JP"/>
        </w:rPr>
        <w:t>2.2</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lang w:eastAsia="ja-JP"/>
        </w:rPr>
        <w:t>In-band sharing study</w:t>
      </w:r>
      <w:r w:rsidRPr="00BF3C71">
        <w:rPr>
          <w:noProof/>
          <w:webHidden/>
        </w:rPr>
        <w:tab/>
      </w:r>
      <w:r>
        <w:rPr>
          <w:noProof/>
          <w:webHidden/>
        </w:rPr>
        <w:tab/>
      </w:r>
      <w:r w:rsidRPr="00BF3C71">
        <w:rPr>
          <w:noProof/>
          <w:webHidden/>
        </w:rPr>
        <w:t>2</w:t>
      </w:r>
      <w:r w:rsidR="00B94387">
        <w:rPr>
          <w:noProof/>
          <w:webHidden/>
        </w:rPr>
        <w:t>4</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lang w:eastAsia="ja-JP"/>
        </w:rPr>
        <w:t>2.3</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lang w:eastAsia="ja-JP"/>
        </w:rPr>
        <w:t>Out-of-band sharing study</w:t>
      </w:r>
      <w:r w:rsidRPr="00BF3C71">
        <w:rPr>
          <w:noProof/>
          <w:webHidden/>
        </w:rPr>
        <w:tab/>
      </w:r>
      <w:r>
        <w:rPr>
          <w:noProof/>
          <w:webHidden/>
        </w:rPr>
        <w:tab/>
      </w:r>
      <w:r w:rsidRPr="00BF3C71">
        <w:rPr>
          <w:noProof/>
          <w:webHidden/>
        </w:rPr>
        <w:t>2</w:t>
      </w:r>
      <w:r w:rsidR="00B94387">
        <w:rPr>
          <w:noProof/>
          <w:webHidden/>
        </w:rPr>
        <w:t>7</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lang w:eastAsia="ja-JP"/>
        </w:rPr>
        <w:t>3</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Conclusions</w:t>
      </w:r>
      <w:r w:rsidRPr="00BF3C71">
        <w:rPr>
          <w:noProof/>
          <w:webHidden/>
        </w:rPr>
        <w:tab/>
      </w:r>
      <w:r>
        <w:rPr>
          <w:noProof/>
          <w:webHidden/>
        </w:rPr>
        <w:tab/>
      </w:r>
      <w:r w:rsidR="00B94387">
        <w:rPr>
          <w:noProof/>
          <w:webHidden/>
        </w:rPr>
        <w:t>27</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 xml:space="preserve">Annex 3 </w:t>
      </w:r>
      <w:r>
        <w:rPr>
          <w:rStyle w:val="Hyperlink"/>
          <w:noProof/>
          <w:color w:val="auto"/>
          <w:u w:val="none"/>
        </w:rPr>
        <w:t>–</w:t>
      </w:r>
      <w:r w:rsidRPr="00BF3C71">
        <w:rPr>
          <w:rStyle w:val="Hyperlink"/>
          <w:noProof/>
          <w:color w:val="auto"/>
          <w:u w:val="none"/>
        </w:rPr>
        <w:t xml:space="preserve"> Summary of Study 3</w:t>
      </w:r>
      <w:r w:rsidRPr="00BF3C71">
        <w:rPr>
          <w:noProof/>
          <w:webHidden/>
        </w:rPr>
        <w:tab/>
      </w:r>
      <w:r>
        <w:rPr>
          <w:noProof/>
          <w:webHidden/>
        </w:rPr>
        <w:tab/>
      </w:r>
      <w:r w:rsidR="00B94387">
        <w:rPr>
          <w:noProof/>
          <w:webHidden/>
        </w:rPr>
        <w:t>27</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1</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Characteristics of potential SRS systems</w:t>
      </w:r>
      <w:r w:rsidRPr="00BF3C71">
        <w:rPr>
          <w:noProof/>
          <w:webHidden/>
        </w:rPr>
        <w:tab/>
      </w:r>
      <w:r>
        <w:rPr>
          <w:noProof/>
          <w:webHidden/>
        </w:rPr>
        <w:tab/>
      </w:r>
      <w:r w:rsidR="00B94387">
        <w:rPr>
          <w:noProof/>
          <w:webHidden/>
        </w:rPr>
        <w:t>27</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2</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Assumed characteristics for the HIBLEO-2/Ka system</w:t>
      </w:r>
      <w:r w:rsidRPr="00BF3C71">
        <w:rPr>
          <w:noProof/>
          <w:webHidden/>
        </w:rPr>
        <w:tab/>
      </w:r>
      <w:r>
        <w:rPr>
          <w:noProof/>
          <w:webHidden/>
        </w:rPr>
        <w:tab/>
      </w:r>
      <w:r w:rsidR="00B94387">
        <w:rPr>
          <w:noProof/>
          <w:webHidden/>
        </w:rPr>
        <w:t>28</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3</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Assessment of interference to the HIBLEO-2/Ka satellite system</w:t>
      </w:r>
      <w:r w:rsidRPr="00BF3C71">
        <w:rPr>
          <w:noProof/>
          <w:webHidden/>
        </w:rPr>
        <w:tab/>
      </w:r>
      <w:r>
        <w:rPr>
          <w:noProof/>
          <w:webHidden/>
        </w:rPr>
        <w:tab/>
      </w:r>
      <w:r w:rsidR="00B94387">
        <w:rPr>
          <w:noProof/>
          <w:webHidden/>
        </w:rPr>
        <w:t>28</w:t>
      </w:r>
    </w:p>
    <w:p w:rsidR="00BF3C71" w:rsidRPr="00BF3C71" w:rsidRDefault="00BF3C71">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3.1</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In-band assessment of interference to HIBLEO-Ka satellite system</w:t>
      </w:r>
      <w:r w:rsidRPr="00BF3C71">
        <w:rPr>
          <w:noProof/>
          <w:webHidden/>
        </w:rPr>
        <w:tab/>
      </w:r>
      <w:r>
        <w:rPr>
          <w:noProof/>
          <w:webHidden/>
        </w:rPr>
        <w:tab/>
      </w:r>
      <w:r w:rsidR="00B94387">
        <w:rPr>
          <w:noProof/>
          <w:webHidden/>
        </w:rPr>
        <w:t>30</w:t>
      </w:r>
    </w:p>
    <w:p w:rsidR="00BF3C71" w:rsidRPr="00BF3C71" w:rsidRDefault="00BF3C71">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3.2</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Out-of-band assessment of interference to HIBLEO-2 satellite system</w:t>
      </w:r>
      <w:r w:rsidRPr="00BF3C71">
        <w:rPr>
          <w:noProof/>
          <w:webHidden/>
        </w:rPr>
        <w:tab/>
      </w:r>
      <w:r>
        <w:rPr>
          <w:noProof/>
          <w:webHidden/>
        </w:rPr>
        <w:tab/>
      </w:r>
      <w:r w:rsidR="00B94387">
        <w:rPr>
          <w:noProof/>
          <w:webHidden/>
        </w:rPr>
        <w:t>30</w:t>
      </w:r>
    </w:p>
    <w:p w:rsidR="00BF3C71" w:rsidRPr="00BF3C71" w:rsidRDefault="00BF3C71">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4</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Summary and technical discussions</w:t>
      </w:r>
      <w:r w:rsidRPr="00BF3C71">
        <w:rPr>
          <w:noProof/>
          <w:webHidden/>
        </w:rPr>
        <w:tab/>
      </w:r>
      <w:r>
        <w:rPr>
          <w:noProof/>
          <w:webHidden/>
        </w:rPr>
        <w:tab/>
      </w:r>
      <w:r w:rsidR="00B94387">
        <w:rPr>
          <w:noProof/>
          <w:webHidden/>
        </w:rPr>
        <w:t>31</w:t>
      </w:r>
    </w:p>
    <w:p w:rsidR="00BF3C71" w:rsidRPr="00BF3C71" w:rsidRDefault="00BF3C71">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5</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Conclusions</w:t>
      </w:r>
      <w:r w:rsidRPr="00BF3C71">
        <w:rPr>
          <w:noProof/>
          <w:webHidden/>
        </w:rPr>
        <w:tab/>
      </w:r>
      <w:r>
        <w:rPr>
          <w:noProof/>
          <w:webHidden/>
        </w:rPr>
        <w:tab/>
      </w:r>
      <w:r w:rsidR="00B94387">
        <w:rPr>
          <w:noProof/>
          <w:webHidden/>
        </w:rPr>
        <w:t>33</w:t>
      </w:r>
    </w:p>
    <w:p w:rsidR="00BF3C71" w:rsidRPr="00BF3C71" w:rsidRDefault="00BF3C71">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 xml:space="preserve">Annex 4 </w:t>
      </w:r>
      <w:r>
        <w:rPr>
          <w:rStyle w:val="Hyperlink"/>
          <w:noProof/>
          <w:color w:val="auto"/>
          <w:u w:val="none"/>
        </w:rPr>
        <w:t>–</w:t>
      </w:r>
      <w:r w:rsidRPr="00BF3C71">
        <w:rPr>
          <w:rStyle w:val="Hyperlink"/>
          <w:noProof/>
          <w:color w:val="auto"/>
          <w:u w:val="none"/>
        </w:rPr>
        <w:t xml:space="preserve"> Summary of Study 4</w:t>
      </w:r>
      <w:r w:rsidRPr="00BF3C71">
        <w:rPr>
          <w:noProof/>
          <w:webHidden/>
        </w:rPr>
        <w:tab/>
      </w:r>
      <w:r>
        <w:rPr>
          <w:noProof/>
          <w:webHidden/>
        </w:rPr>
        <w:tab/>
      </w:r>
      <w:r w:rsidR="00B94387">
        <w:rPr>
          <w:noProof/>
          <w:webHidden/>
        </w:rPr>
        <w:t>34</w:t>
      </w:r>
    </w:p>
    <w:p w:rsidR="00BF3C71" w:rsidRPr="00BF3C71" w:rsidRDefault="00BF3C71">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1</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HIBLEO-2 ISL characteristics</w:t>
      </w:r>
      <w:r w:rsidRPr="00BF3C71">
        <w:rPr>
          <w:noProof/>
          <w:webHidden/>
        </w:rPr>
        <w:tab/>
      </w:r>
      <w:r>
        <w:rPr>
          <w:noProof/>
          <w:webHidden/>
        </w:rPr>
        <w:tab/>
      </w:r>
      <w:r w:rsidR="00B94387">
        <w:rPr>
          <w:noProof/>
          <w:webHidden/>
        </w:rPr>
        <w:t>34</w:t>
      </w:r>
    </w:p>
    <w:p w:rsidR="00BF3C71" w:rsidRPr="00BF3C71" w:rsidRDefault="00BF3C71">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2</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SRS earth station characteristics</w:t>
      </w:r>
      <w:r w:rsidRPr="00BF3C71">
        <w:rPr>
          <w:noProof/>
          <w:webHidden/>
        </w:rPr>
        <w:tab/>
      </w:r>
      <w:r>
        <w:rPr>
          <w:noProof/>
          <w:webHidden/>
        </w:rPr>
        <w:tab/>
      </w:r>
      <w:r w:rsidR="00B94387">
        <w:rPr>
          <w:noProof/>
          <w:webHidden/>
        </w:rPr>
        <w:t>34</w:t>
      </w:r>
    </w:p>
    <w:p w:rsidR="00BF3C71" w:rsidRPr="00BF3C71" w:rsidRDefault="00BF3C71">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3</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Simulation and results</w:t>
      </w:r>
      <w:r w:rsidRPr="00BF3C71">
        <w:rPr>
          <w:noProof/>
          <w:webHidden/>
        </w:rPr>
        <w:tab/>
      </w:r>
      <w:r>
        <w:rPr>
          <w:noProof/>
          <w:webHidden/>
        </w:rPr>
        <w:tab/>
      </w:r>
      <w:r w:rsidR="00B94387">
        <w:rPr>
          <w:noProof/>
          <w:webHidden/>
        </w:rPr>
        <w:t>34</w:t>
      </w:r>
    </w:p>
    <w:p w:rsidR="00BF3C71" w:rsidRPr="00BF3C71" w:rsidRDefault="00BF3C71">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4</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Conclusion</w:t>
      </w:r>
      <w:r w:rsidRPr="00BF3C71">
        <w:rPr>
          <w:noProof/>
          <w:webHidden/>
        </w:rPr>
        <w:tab/>
      </w:r>
      <w:r>
        <w:rPr>
          <w:noProof/>
          <w:webHidden/>
        </w:rPr>
        <w:tab/>
      </w:r>
      <w:r w:rsidR="00B94387">
        <w:rPr>
          <w:noProof/>
          <w:webHidden/>
        </w:rPr>
        <w:t>39</w:t>
      </w:r>
    </w:p>
    <w:p w:rsidR="00BF3C71" w:rsidRDefault="00BF3C71" w:rsidP="00BF3C71">
      <w:pPr>
        <w:pStyle w:val="toc0"/>
        <w:keepNext/>
        <w:jc w:val="right"/>
        <w:rPr>
          <w:lang w:val="en-GB"/>
        </w:rPr>
      </w:pPr>
      <w:r>
        <w:rPr>
          <w:lang w:val="en-GB"/>
        </w:rPr>
        <w:lastRenderedPageBreak/>
        <w:t>Page</w:t>
      </w:r>
    </w:p>
    <w:p w:rsidR="00BF3C71" w:rsidRPr="00BF3C71" w:rsidRDefault="00BF3C71">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 xml:space="preserve">Annex 5  </w:t>
      </w:r>
      <w:r>
        <w:rPr>
          <w:rStyle w:val="Hyperlink"/>
          <w:noProof/>
          <w:color w:val="auto"/>
          <w:u w:val="none"/>
        </w:rPr>
        <w:t>–</w:t>
      </w:r>
      <w:r w:rsidRPr="00BF3C71">
        <w:rPr>
          <w:rStyle w:val="Hyperlink"/>
          <w:noProof/>
          <w:color w:val="auto"/>
          <w:u w:val="none"/>
        </w:rPr>
        <w:t xml:space="preserve"> Summary of Study 5</w:t>
      </w:r>
      <w:r w:rsidRPr="00BF3C71">
        <w:rPr>
          <w:noProof/>
          <w:webHidden/>
        </w:rPr>
        <w:tab/>
      </w:r>
      <w:r>
        <w:rPr>
          <w:noProof/>
          <w:webHidden/>
        </w:rPr>
        <w:tab/>
      </w:r>
      <w:r w:rsidR="00B94387">
        <w:rPr>
          <w:noProof/>
          <w:webHidden/>
        </w:rPr>
        <w:t>40</w:t>
      </w:r>
    </w:p>
    <w:p w:rsidR="00BF3C71" w:rsidRPr="00BF3C71" w:rsidRDefault="00BF3C71">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1</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Introduction</w:t>
      </w:r>
      <w:r w:rsidRPr="00BF3C71">
        <w:rPr>
          <w:noProof/>
          <w:webHidden/>
        </w:rPr>
        <w:tab/>
      </w:r>
      <w:r>
        <w:rPr>
          <w:noProof/>
          <w:webHidden/>
        </w:rPr>
        <w:tab/>
      </w:r>
      <w:r w:rsidR="00B94387">
        <w:rPr>
          <w:noProof/>
          <w:webHidden/>
        </w:rPr>
        <w:t>40</w:t>
      </w:r>
    </w:p>
    <w:p w:rsidR="00BF3C71" w:rsidRPr="00BF3C71" w:rsidRDefault="00BF3C71">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PART I</w:t>
      </w:r>
      <w:r>
        <w:rPr>
          <w:rStyle w:val="Hyperlink"/>
          <w:noProof/>
          <w:color w:val="auto"/>
          <w:u w:val="none"/>
        </w:rPr>
        <w:t xml:space="preserve"> – </w:t>
      </w:r>
      <w:r w:rsidRPr="006C2078">
        <w:t>Scenarios and simulations description</w:t>
      </w:r>
      <w:r w:rsidRPr="00BF3C71">
        <w:rPr>
          <w:noProof/>
          <w:webHidden/>
        </w:rPr>
        <w:tab/>
      </w:r>
      <w:r>
        <w:rPr>
          <w:noProof/>
          <w:webHidden/>
        </w:rPr>
        <w:tab/>
      </w:r>
      <w:r w:rsidR="00B94387">
        <w:rPr>
          <w:noProof/>
          <w:webHidden/>
        </w:rPr>
        <w:t>41</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2</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Interference scenario of the space research service transmissions to the Moon into space-to-space links of the inter-satellite service</w:t>
      </w:r>
      <w:r w:rsidRPr="00BF3C71">
        <w:rPr>
          <w:noProof/>
          <w:webHidden/>
        </w:rPr>
        <w:tab/>
      </w:r>
      <w:r>
        <w:rPr>
          <w:noProof/>
          <w:webHidden/>
        </w:rPr>
        <w:tab/>
      </w:r>
      <w:r w:rsidRPr="00BF3C71">
        <w:rPr>
          <w:noProof/>
          <w:webHidden/>
        </w:rPr>
        <w:t>4</w:t>
      </w:r>
      <w:r w:rsidR="00B94387">
        <w:rPr>
          <w:noProof/>
          <w:webHidden/>
        </w:rPr>
        <w:t>1</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2.1</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The Earth</w:t>
      </w:r>
      <w:r w:rsidRPr="00BF3C71">
        <w:rPr>
          <w:noProof/>
          <w:webHidden/>
        </w:rPr>
        <w:tab/>
      </w:r>
      <w:r>
        <w:rPr>
          <w:noProof/>
          <w:webHidden/>
        </w:rPr>
        <w:tab/>
      </w:r>
      <w:r w:rsidRPr="00BF3C71">
        <w:rPr>
          <w:noProof/>
          <w:webHidden/>
        </w:rPr>
        <w:t>4</w:t>
      </w:r>
      <w:r w:rsidR="00B94387">
        <w:rPr>
          <w:noProof/>
          <w:webHidden/>
        </w:rPr>
        <w:t>2</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2.2</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The near-Earth satellite constellation</w:t>
      </w:r>
      <w:r w:rsidRPr="00BF3C71">
        <w:rPr>
          <w:noProof/>
          <w:webHidden/>
        </w:rPr>
        <w:tab/>
      </w:r>
      <w:r>
        <w:rPr>
          <w:noProof/>
          <w:webHidden/>
        </w:rPr>
        <w:tab/>
      </w:r>
      <w:r w:rsidRPr="00BF3C71">
        <w:rPr>
          <w:noProof/>
          <w:webHidden/>
        </w:rPr>
        <w:t>4</w:t>
      </w:r>
      <w:r w:rsidR="00B94387">
        <w:rPr>
          <w:noProof/>
          <w:webHidden/>
        </w:rPr>
        <w:t>2</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2.3</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Maximum PSD, dB(W/Hz), interference allowed by HIBLEO-2 inter-satellite links</w:t>
      </w:r>
      <w:r w:rsidRPr="00BF3C71">
        <w:rPr>
          <w:noProof/>
          <w:webHidden/>
        </w:rPr>
        <w:tab/>
      </w:r>
      <w:r>
        <w:rPr>
          <w:noProof/>
          <w:webHidden/>
        </w:rPr>
        <w:tab/>
      </w:r>
      <w:r w:rsidRPr="00BF3C71">
        <w:rPr>
          <w:noProof/>
          <w:webHidden/>
        </w:rPr>
        <w:t>4</w:t>
      </w:r>
      <w:r w:rsidR="00B94387">
        <w:rPr>
          <w:noProof/>
          <w:webHidden/>
        </w:rPr>
        <w:t>3</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2.4</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The Moon</w:t>
      </w:r>
      <w:r w:rsidRPr="00BF3C71">
        <w:rPr>
          <w:noProof/>
          <w:webHidden/>
        </w:rPr>
        <w:tab/>
      </w:r>
      <w:r>
        <w:rPr>
          <w:noProof/>
          <w:webHidden/>
        </w:rPr>
        <w:tab/>
      </w:r>
      <w:r w:rsidRPr="00BF3C71">
        <w:rPr>
          <w:noProof/>
          <w:webHidden/>
        </w:rPr>
        <w:t>4</w:t>
      </w:r>
      <w:r w:rsidR="00B94387">
        <w:rPr>
          <w:noProof/>
          <w:webHidden/>
        </w:rPr>
        <w:t>3</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3</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SRS ES interference into HIBLEO-2 forward-links – The simulation</w:t>
      </w:r>
      <w:r w:rsidRPr="00BF3C71">
        <w:rPr>
          <w:noProof/>
          <w:webHidden/>
        </w:rPr>
        <w:tab/>
      </w:r>
      <w:r>
        <w:rPr>
          <w:noProof/>
          <w:webHidden/>
        </w:rPr>
        <w:tab/>
      </w:r>
      <w:r w:rsidRPr="00BF3C71">
        <w:rPr>
          <w:noProof/>
          <w:webHidden/>
        </w:rPr>
        <w:t>4</w:t>
      </w:r>
      <w:r w:rsidR="00B94387">
        <w:rPr>
          <w:noProof/>
          <w:webHidden/>
        </w:rPr>
        <w:t>4</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3.1</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Omnidirectional transmissions; SRS ES antenna gain limits in the forward-links scenario</w:t>
      </w:r>
      <w:r w:rsidRPr="00BF3C71">
        <w:rPr>
          <w:noProof/>
          <w:webHidden/>
        </w:rPr>
        <w:tab/>
      </w:r>
      <w:r>
        <w:rPr>
          <w:noProof/>
          <w:webHidden/>
        </w:rPr>
        <w:tab/>
      </w:r>
      <w:r w:rsidRPr="00BF3C71">
        <w:rPr>
          <w:noProof/>
          <w:webHidden/>
        </w:rPr>
        <w:t>4</w:t>
      </w:r>
      <w:r w:rsidR="00B94387">
        <w:rPr>
          <w:noProof/>
          <w:webHidden/>
        </w:rPr>
        <w:t>4</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3.2</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HIBLEO-2 antenna gain limits in the forward-links scenario</w:t>
      </w:r>
      <w:r w:rsidRPr="00BF3C71">
        <w:rPr>
          <w:noProof/>
          <w:webHidden/>
        </w:rPr>
        <w:tab/>
      </w:r>
      <w:r>
        <w:rPr>
          <w:noProof/>
          <w:webHidden/>
        </w:rPr>
        <w:tab/>
      </w:r>
      <w:r w:rsidRPr="00BF3C71">
        <w:rPr>
          <w:noProof/>
          <w:webHidden/>
        </w:rPr>
        <w:t>4</w:t>
      </w:r>
      <w:r w:rsidR="00B94387">
        <w:rPr>
          <w:noProof/>
          <w:webHidden/>
        </w:rPr>
        <w:t>4</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3.3</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Optimum time increment (Δ</w:t>
      </w:r>
      <w:r w:rsidRPr="00BF3C71">
        <w:rPr>
          <w:rStyle w:val="Hyperlink"/>
          <w:i/>
          <w:iCs/>
          <w:noProof/>
          <w:color w:val="auto"/>
          <w:u w:val="none"/>
        </w:rPr>
        <w:t>t</w:t>
      </w:r>
      <w:r w:rsidRPr="00BF3C71">
        <w:rPr>
          <w:rStyle w:val="Hyperlink"/>
          <w:noProof/>
          <w:color w:val="auto"/>
          <w:u w:val="none"/>
        </w:rPr>
        <w:t>) for simulations of the forward-links scenario</w:t>
      </w:r>
      <w:r w:rsidRPr="00BF3C71">
        <w:rPr>
          <w:noProof/>
          <w:webHidden/>
        </w:rPr>
        <w:tab/>
      </w:r>
      <w:r>
        <w:rPr>
          <w:noProof/>
          <w:webHidden/>
        </w:rPr>
        <w:tab/>
      </w:r>
      <w:r w:rsidRPr="00BF3C71">
        <w:rPr>
          <w:noProof/>
          <w:webHidden/>
        </w:rPr>
        <w:t>4</w:t>
      </w:r>
      <w:r w:rsidR="00B94387">
        <w:rPr>
          <w:noProof/>
          <w:webHidden/>
        </w:rPr>
        <w:t>5</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3.4</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Long-term interference of SRS ES transmissions into HIBLEO-2 constellation</w:t>
      </w:r>
      <w:r w:rsidRPr="00BF3C71">
        <w:rPr>
          <w:noProof/>
          <w:webHidden/>
        </w:rPr>
        <w:tab/>
      </w:r>
      <w:r>
        <w:rPr>
          <w:noProof/>
          <w:webHidden/>
        </w:rPr>
        <w:tab/>
      </w:r>
      <w:r w:rsidRPr="00BF3C71">
        <w:rPr>
          <w:noProof/>
          <w:webHidden/>
        </w:rPr>
        <w:t>4</w:t>
      </w:r>
      <w:r w:rsidR="00B94387">
        <w:rPr>
          <w:noProof/>
          <w:webHidden/>
        </w:rPr>
        <w:t>6</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3.5</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Availability of forward-links</w:t>
      </w:r>
      <w:r w:rsidRPr="00BF3C71">
        <w:rPr>
          <w:noProof/>
          <w:webHidden/>
        </w:rPr>
        <w:tab/>
      </w:r>
      <w:r>
        <w:rPr>
          <w:noProof/>
          <w:webHidden/>
        </w:rPr>
        <w:tab/>
      </w:r>
      <w:r w:rsidR="00B94387">
        <w:rPr>
          <w:noProof/>
          <w:webHidden/>
        </w:rPr>
        <w:t>48</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4</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SRS ES interference into HIBLEO-2 cross-links – The simulation</w:t>
      </w:r>
      <w:r w:rsidRPr="00BF3C71">
        <w:rPr>
          <w:noProof/>
          <w:webHidden/>
        </w:rPr>
        <w:tab/>
      </w:r>
      <w:r>
        <w:rPr>
          <w:noProof/>
          <w:webHidden/>
        </w:rPr>
        <w:tab/>
      </w:r>
      <w:r w:rsidR="00B94387">
        <w:rPr>
          <w:noProof/>
          <w:webHidden/>
        </w:rPr>
        <w:t>48</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4.1</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Omnidirectional transmissions; SRS ES antenna gain limits in the cross-links scenario</w:t>
      </w:r>
      <w:r w:rsidRPr="00BF3C71">
        <w:rPr>
          <w:noProof/>
          <w:webHidden/>
        </w:rPr>
        <w:tab/>
      </w:r>
      <w:r>
        <w:rPr>
          <w:noProof/>
          <w:webHidden/>
        </w:rPr>
        <w:tab/>
      </w:r>
      <w:r w:rsidR="00B94387">
        <w:rPr>
          <w:noProof/>
          <w:webHidden/>
        </w:rPr>
        <w:t>48</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4.2</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Long-term interference of SRS ES transmissions into the cross-links of the HIBLEO-2 constellation</w:t>
      </w:r>
      <w:r w:rsidRPr="00BF3C71">
        <w:rPr>
          <w:noProof/>
          <w:webHidden/>
        </w:rPr>
        <w:tab/>
      </w:r>
      <w:r>
        <w:rPr>
          <w:noProof/>
          <w:webHidden/>
        </w:rPr>
        <w:tab/>
      </w:r>
      <w:r w:rsidR="00B94387">
        <w:rPr>
          <w:noProof/>
          <w:webHidden/>
        </w:rPr>
        <w:t>49</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4.3</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Part I conclusions</w:t>
      </w:r>
      <w:r w:rsidRPr="00BF3C71">
        <w:rPr>
          <w:noProof/>
          <w:webHidden/>
        </w:rPr>
        <w:tab/>
      </w:r>
      <w:r>
        <w:rPr>
          <w:noProof/>
          <w:webHidden/>
        </w:rPr>
        <w:tab/>
      </w:r>
      <w:r w:rsidRPr="00BF3C71">
        <w:rPr>
          <w:noProof/>
          <w:webHidden/>
        </w:rPr>
        <w:t>5</w:t>
      </w:r>
      <w:r w:rsidR="00B94387">
        <w:rPr>
          <w:noProof/>
          <w:webHidden/>
        </w:rPr>
        <w:t>0</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PART II</w:t>
      </w:r>
      <w:r w:rsidR="00667E1B">
        <w:rPr>
          <w:rStyle w:val="Hyperlink"/>
          <w:noProof/>
          <w:color w:val="auto"/>
          <w:u w:val="none"/>
        </w:rPr>
        <w:t xml:space="preserve"> – </w:t>
      </w:r>
      <w:r w:rsidR="00667E1B" w:rsidRPr="006C2078">
        <w:t>In-band sharing simulation results for the Moon scenario</w:t>
      </w:r>
      <w:r w:rsidRPr="00BF3C71">
        <w:rPr>
          <w:noProof/>
          <w:webHidden/>
        </w:rPr>
        <w:tab/>
      </w:r>
      <w:r>
        <w:rPr>
          <w:noProof/>
          <w:webHidden/>
        </w:rPr>
        <w:tab/>
      </w:r>
      <w:r w:rsidRPr="00BF3C71">
        <w:rPr>
          <w:noProof/>
          <w:webHidden/>
        </w:rPr>
        <w:t>5</w:t>
      </w:r>
      <w:r w:rsidR="00B94387">
        <w:rPr>
          <w:noProof/>
          <w:webHidden/>
        </w:rPr>
        <w:t>1</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5</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Introduction</w:t>
      </w:r>
      <w:r w:rsidRPr="00BF3C71">
        <w:rPr>
          <w:noProof/>
          <w:webHidden/>
        </w:rPr>
        <w:tab/>
      </w:r>
      <w:r>
        <w:rPr>
          <w:noProof/>
          <w:webHidden/>
        </w:rPr>
        <w:tab/>
      </w:r>
      <w:r w:rsidRPr="00BF3C71">
        <w:rPr>
          <w:noProof/>
          <w:webHidden/>
        </w:rPr>
        <w:t>5</w:t>
      </w:r>
      <w:r w:rsidR="00B94387">
        <w:rPr>
          <w:noProof/>
          <w:webHidden/>
        </w:rPr>
        <w:t>1</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6</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 xml:space="preserve">Interference events on the Moon scenario as a function of </w:t>
      </w:r>
      <w:r w:rsidRPr="00BF3C71">
        <w:rPr>
          <w:rStyle w:val="Hyperlink"/>
          <w:i/>
          <w:iCs/>
          <w:noProof/>
          <w:color w:val="auto"/>
          <w:u w:val="none"/>
        </w:rPr>
        <w:t>I</w:t>
      </w:r>
      <w:r w:rsidRPr="00BF3C71">
        <w:rPr>
          <w:rStyle w:val="Hyperlink"/>
          <w:noProof/>
          <w:color w:val="auto"/>
          <w:u w:val="none"/>
        </w:rPr>
        <w:t>/</w:t>
      </w:r>
      <w:r w:rsidRPr="00BF3C71">
        <w:rPr>
          <w:rStyle w:val="Hyperlink"/>
          <w:i/>
          <w:iCs/>
          <w:noProof/>
          <w:color w:val="auto"/>
          <w:u w:val="none"/>
        </w:rPr>
        <w:t>N</w:t>
      </w:r>
      <w:r w:rsidRPr="00BF3C71">
        <w:rPr>
          <w:rStyle w:val="Hyperlink"/>
          <w:rFonts w:ascii="Times New Roman Bold" w:hAnsi="Times New Roman Bold" w:cs="Times New Roman Bold"/>
          <w:bCs/>
          <w:noProof/>
          <w:color w:val="auto"/>
          <w:u w:val="none"/>
          <w:vertAlign w:val="subscript"/>
        </w:rPr>
        <w:t>0</w:t>
      </w:r>
      <w:r w:rsidRPr="00BF3C71">
        <w:rPr>
          <w:noProof/>
          <w:webHidden/>
        </w:rPr>
        <w:tab/>
      </w:r>
      <w:r>
        <w:rPr>
          <w:noProof/>
          <w:webHidden/>
        </w:rPr>
        <w:tab/>
      </w:r>
      <w:r w:rsidRPr="00BF3C71">
        <w:rPr>
          <w:noProof/>
          <w:webHidden/>
        </w:rPr>
        <w:t>5</w:t>
      </w:r>
      <w:r w:rsidR="00B94387">
        <w:rPr>
          <w:noProof/>
          <w:webHidden/>
        </w:rPr>
        <w:t>1</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6.1</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Worst-case full constellation availability of HIBLEO-2 forward-links under SRS ES transmissions to the Moon</w:t>
      </w:r>
      <w:r w:rsidRPr="00BF3C71">
        <w:rPr>
          <w:noProof/>
          <w:webHidden/>
        </w:rPr>
        <w:tab/>
      </w:r>
      <w:r>
        <w:rPr>
          <w:noProof/>
          <w:webHidden/>
        </w:rPr>
        <w:tab/>
      </w:r>
      <w:r w:rsidRPr="00BF3C71">
        <w:rPr>
          <w:noProof/>
          <w:webHidden/>
        </w:rPr>
        <w:t>5</w:t>
      </w:r>
      <w:r w:rsidR="00B94387">
        <w:rPr>
          <w:noProof/>
          <w:webHidden/>
        </w:rPr>
        <w:t>2</w:t>
      </w:r>
    </w:p>
    <w:p w:rsidR="00BF3C71" w:rsidRPr="007D1EF7" w:rsidRDefault="00BF3C71" w:rsidP="00B94387">
      <w:pPr>
        <w:pStyle w:val="TOC2"/>
        <w:rPr>
          <w:rFonts w:asciiTheme="minorHAnsi" w:eastAsiaTheme="minorEastAsia" w:hAnsiTheme="minorHAnsi" w:cstheme="minorBidi"/>
          <w:noProof/>
          <w:sz w:val="22"/>
          <w:szCs w:val="22"/>
          <w:lang w:val="fr-CH" w:eastAsia="zh-CN"/>
        </w:rPr>
      </w:pPr>
      <w:r w:rsidRPr="007D1EF7">
        <w:rPr>
          <w:rStyle w:val="Hyperlink"/>
          <w:noProof/>
          <w:color w:val="auto"/>
          <w:u w:val="none"/>
          <w:lang w:val="fr-CH"/>
        </w:rPr>
        <w:t>6.2</w:t>
      </w:r>
      <w:r w:rsidRPr="007D1EF7">
        <w:rPr>
          <w:rFonts w:asciiTheme="minorHAnsi" w:eastAsiaTheme="minorEastAsia" w:hAnsiTheme="minorHAnsi" w:cstheme="minorBidi"/>
          <w:noProof/>
          <w:sz w:val="22"/>
          <w:szCs w:val="22"/>
          <w:lang w:val="fr-CH" w:eastAsia="zh-CN"/>
        </w:rPr>
        <w:tab/>
      </w:r>
      <w:r w:rsidRPr="007D1EF7">
        <w:rPr>
          <w:rStyle w:val="Hyperlink"/>
          <w:noProof/>
          <w:color w:val="auto"/>
          <w:u w:val="none"/>
          <w:lang w:val="fr-CH"/>
        </w:rPr>
        <w:t>Part II, Moon scenario, conclusions</w:t>
      </w:r>
      <w:r w:rsidRPr="007D1EF7">
        <w:rPr>
          <w:noProof/>
          <w:webHidden/>
          <w:lang w:val="fr-CH"/>
        </w:rPr>
        <w:tab/>
      </w:r>
      <w:r w:rsidRPr="007D1EF7">
        <w:rPr>
          <w:noProof/>
          <w:webHidden/>
          <w:lang w:val="fr-CH"/>
        </w:rPr>
        <w:tab/>
        <w:t>5</w:t>
      </w:r>
      <w:r w:rsidR="00B94387" w:rsidRPr="007D1EF7">
        <w:rPr>
          <w:noProof/>
          <w:webHidden/>
          <w:lang w:val="fr-CH"/>
        </w:rPr>
        <w:t>5</w:t>
      </w:r>
    </w:p>
    <w:p w:rsidR="00BF3C71" w:rsidRPr="007D1EF7" w:rsidRDefault="00BF3C71" w:rsidP="00BF3C71">
      <w:pPr>
        <w:pStyle w:val="toc0"/>
        <w:keepNext/>
        <w:jc w:val="right"/>
        <w:rPr>
          <w:lang w:val="fr-CH"/>
        </w:rPr>
      </w:pPr>
      <w:r w:rsidRPr="007D1EF7">
        <w:rPr>
          <w:lang w:val="fr-CH"/>
        </w:rPr>
        <w:lastRenderedPageBreak/>
        <w:t>Page</w:t>
      </w:r>
    </w:p>
    <w:p w:rsidR="00BF3C71" w:rsidRPr="00BF3C71" w:rsidRDefault="00BF3C71" w:rsidP="00B94387">
      <w:pPr>
        <w:pStyle w:val="TOC1"/>
        <w:keepNext/>
        <w:rPr>
          <w:rFonts w:asciiTheme="minorHAnsi" w:eastAsiaTheme="minorEastAsia" w:hAnsiTheme="minorHAnsi" w:cstheme="minorBidi"/>
          <w:noProof/>
          <w:sz w:val="22"/>
          <w:szCs w:val="22"/>
          <w:lang w:eastAsia="zh-CN"/>
        </w:rPr>
      </w:pPr>
      <w:r w:rsidRPr="00BF3C71">
        <w:rPr>
          <w:rStyle w:val="Hyperlink"/>
          <w:noProof/>
          <w:color w:val="auto"/>
          <w:u w:val="none"/>
        </w:rPr>
        <w:t xml:space="preserve">Annex 6 </w:t>
      </w:r>
      <w:r>
        <w:rPr>
          <w:rStyle w:val="Hyperlink"/>
          <w:noProof/>
          <w:color w:val="auto"/>
          <w:u w:val="none"/>
        </w:rPr>
        <w:t>–</w:t>
      </w:r>
      <w:r w:rsidRPr="00BF3C71">
        <w:rPr>
          <w:rStyle w:val="Hyperlink"/>
          <w:noProof/>
          <w:color w:val="auto"/>
          <w:u w:val="none"/>
        </w:rPr>
        <w:t xml:space="preserve"> Summary of Study 6</w:t>
      </w:r>
      <w:r w:rsidRPr="00BF3C71">
        <w:rPr>
          <w:noProof/>
          <w:webHidden/>
        </w:rPr>
        <w:tab/>
      </w:r>
      <w:r>
        <w:rPr>
          <w:noProof/>
          <w:webHidden/>
        </w:rPr>
        <w:tab/>
      </w:r>
      <w:r w:rsidRPr="00BF3C71">
        <w:rPr>
          <w:noProof/>
          <w:webHidden/>
        </w:rPr>
        <w:t>5</w:t>
      </w:r>
      <w:r w:rsidR="00B94387">
        <w:rPr>
          <w:noProof/>
          <w:webHidden/>
        </w:rPr>
        <w:t>5</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1</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Introduction</w:t>
      </w:r>
      <w:r w:rsidRPr="00BF3C71">
        <w:rPr>
          <w:noProof/>
          <w:webHidden/>
        </w:rPr>
        <w:tab/>
      </w:r>
      <w:r>
        <w:rPr>
          <w:noProof/>
          <w:webHidden/>
        </w:rPr>
        <w:tab/>
      </w:r>
      <w:r w:rsidRPr="00BF3C71">
        <w:rPr>
          <w:noProof/>
          <w:webHidden/>
        </w:rPr>
        <w:t>5</w:t>
      </w:r>
      <w:r w:rsidR="00B94387">
        <w:rPr>
          <w:noProof/>
          <w:webHidden/>
        </w:rPr>
        <w:t>5</w:t>
      </w:r>
    </w:p>
    <w:p w:rsidR="00BF3C71" w:rsidRPr="007D1EF7" w:rsidRDefault="00BF3C71" w:rsidP="00B94387">
      <w:pPr>
        <w:pStyle w:val="TOC1"/>
        <w:rPr>
          <w:rFonts w:asciiTheme="minorHAnsi" w:eastAsiaTheme="minorEastAsia" w:hAnsiTheme="minorHAnsi" w:cstheme="minorBidi"/>
          <w:noProof/>
          <w:sz w:val="22"/>
          <w:szCs w:val="22"/>
          <w:lang w:val="es-ES_tradnl" w:eastAsia="zh-CN"/>
        </w:rPr>
      </w:pPr>
      <w:r w:rsidRPr="007D1EF7">
        <w:rPr>
          <w:rStyle w:val="Hyperlink"/>
          <w:noProof/>
          <w:color w:val="auto"/>
          <w:u w:val="none"/>
          <w:lang w:val="es-ES_tradnl"/>
        </w:rPr>
        <w:t>2</w:t>
      </w:r>
      <w:r w:rsidRPr="007D1EF7">
        <w:rPr>
          <w:rFonts w:asciiTheme="minorHAnsi" w:eastAsiaTheme="minorEastAsia" w:hAnsiTheme="minorHAnsi" w:cstheme="minorBidi"/>
          <w:noProof/>
          <w:sz w:val="22"/>
          <w:szCs w:val="22"/>
          <w:lang w:val="es-ES_tradnl" w:eastAsia="zh-CN"/>
        </w:rPr>
        <w:tab/>
      </w:r>
      <w:r w:rsidRPr="007D1EF7">
        <w:rPr>
          <w:rStyle w:val="Hyperlink"/>
          <w:noProof/>
          <w:color w:val="auto"/>
          <w:u w:val="none"/>
          <w:lang w:val="es-ES_tradnl"/>
        </w:rPr>
        <w:t>Interference calculations</w:t>
      </w:r>
      <w:r w:rsidRPr="007D1EF7">
        <w:rPr>
          <w:noProof/>
          <w:webHidden/>
          <w:lang w:val="es-ES_tradnl"/>
        </w:rPr>
        <w:tab/>
      </w:r>
      <w:r w:rsidRPr="007D1EF7">
        <w:rPr>
          <w:noProof/>
          <w:webHidden/>
          <w:lang w:val="es-ES_tradnl"/>
        </w:rPr>
        <w:tab/>
        <w:t>5</w:t>
      </w:r>
      <w:r w:rsidR="00B94387" w:rsidRPr="007D1EF7">
        <w:rPr>
          <w:noProof/>
          <w:webHidden/>
          <w:lang w:val="es-ES_tradnl"/>
        </w:rPr>
        <w:t>7</w:t>
      </w:r>
    </w:p>
    <w:p w:rsidR="00BF3C71" w:rsidRPr="007D1EF7" w:rsidRDefault="00BF3C71" w:rsidP="00B94387">
      <w:pPr>
        <w:pStyle w:val="TOC1"/>
        <w:rPr>
          <w:rFonts w:asciiTheme="minorHAnsi" w:eastAsiaTheme="minorEastAsia" w:hAnsiTheme="minorHAnsi" w:cstheme="minorBidi"/>
          <w:noProof/>
          <w:sz w:val="22"/>
          <w:szCs w:val="22"/>
          <w:lang w:val="es-ES_tradnl" w:eastAsia="zh-CN"/>
        </w:rPr>
      </w:pPr>
      <w:r w:rsidRPr="007D1EF7">
        <w:rPr>
          <w:rStyle w:val="Hyperlink"/>
          <w:noProof/>
          <w:color w:val="auto"/>
          <w:u w:val="none"/>
          <w:lang w:val="es-ES_tradnl"/>
        </w:rPr>
        <w:t>3</w:t>
      </w:r>
      <w:r w:rsidRPr="007D1EF7">
        <w:rPr>
          <w:rFonts w:asciiTheme="minorHAnsi" w:eastAsiaTheme="minorEastAsia" w:hAnsiTheme="minorHAnsi" w:cstheme="minorBidi"/>
          <w:noProof/>
          <w:sz w:val="22"/>
          <w:szCs w:val="22"/>
          <w:lang w:val="es-ES_tradnl" w:eastAsia="zh-CN"/>
        </w:rPr>
        <w:tab/>
      </w:r>
      <w:r w:rsidRPr="007D1EF7">
        <w:rPr>
          <w:rStyle w:val="Hyperlink"/>
          <w:noProof/>
          <w:color w:val="auto"/>
          <w:u w:val="none"/>
          <w:lang w:val="es-ES_tradnl"/>
        </w:rPr>
        <w:t>Numerical results</w:t>
      </w:r>
      <w:r w:rsidRPr="007D1EF7">
        <w:rPr>
          <w:noProof/>
          <w:webHidden/>
          <w:lang w:val="es-ES_tradnl"/>
        </w:rPr>
        <w:tab/>
      </w:r>
      <w:r w:rsidRPr="007D1EF7">
        <w:rPr>
          <w:noProof/>
          <w:webHidden/>
          <w:lang w:val="es-ES_tradnl"/>
        </w:rPr>
        <w:tab/>
      </w:r>
      <w:r w:rsidR="00B94387" w:rsidRPr="007D1EF7">
        <w:rPr>
          <w:noProof/>
          <w:webHidden/>
          <w:lang w:val="es-ES_tradnl"/>
        </w:rPr>
        <w:t>58</w:t>
      </w:r>
    </w:p>
    <w:p w:rsidR="00BF3C71" w:rsidRPr="007D1EF7" w:rsidRDefault="00BF3C71" w:rsidP="00B94387">
      <w:pPr>
        <w:pStyle w:val="TOC2"/>
        <w:rPr>
          <w:rFonts w:asciiTheme="minorHAnsi" w:eastAsiaTheme="minorEastAsia" w:hAnsiTheme="minorHAnsi" w:cstheme="minorBidi"/>
          <w:noProof/>
          <w:sz w:val="22"/>
          <w:szCs w:val="22"/>
          <w:lang w:val="es-ES_tradnl" w:eastAsia="zh-CN"/>
        </w:rPr>
      </w:pPr>
      <w:r w:rsidRPr="007D1EF7">
        <w:rPr>
          <w:rStyle w:val="Hyperlink"/>
          <w:noProof/>
          <w:color w:val="auto"/>
          <w:u w:val="none"/>
          <w:lang w:val="es-ES_tradnl"/>
        </w:rPr>
        <w:t>3.1</w:t>
      </w:r>
      <w:r w:rsidRPr="007D1EF7">
        <w:rPr>
          <w:rFonts w:asciiTheme="minorHAnsi" w:eastAsiaTheme="minorEastAsia" w:hAnsiTheme="minorHAnsi" w:cstheme="minorBidi"/>
          <w:noProof/>
          <w:sz w:val="22"/>
          <w:szCs w:val="22"/>
          <w:lang w:val="es-ES_tradnl" w:eastAsia="zh-CN"/>
        </w:rPr>
        <w:tab/>
      </w:r>
      <w:r w:rsidRPr="007D1EF7">
        <w:rPr>
          <w:rStyle w:val="Hyperlink"/>
          <w:noProof/>
          <w:color w:val="auto"/>
          <w:u w:val="none"/>
          <w:lang w:val="es-ES_tradnl"/>
        </w:rPr>
        <w:t>Scenario 1</w:t>
      </w:r>
      <w:r w:rsidRPr="007D1EF7">
        <w:rPr>
          <w:noProof/>
          <w:webHidden/>
          <w:lang w:val="es-ES_tradnl"/>
        </w:rPr>
        <w:tab/>
      </w:r>
      <w:r w:rsidRPr="007D1EF7">
        <w:rPr>
          <w:noProof/>
          <w:webHidden/>
          <w:lang w:val="es-ES_tradnl"/>
        </w:rPr>
        <w:tab/>
      </w:r>
      <w:r w:rsidR="00B94387" w:rsidRPr="007D1EF7">
        <w:rPr>
          <w:noProof/>
          <w:webHidden/>
          <w:lang w:val="es-ES_tradnl"/>
        </w:rPr>
        <w:t>59</w:t>
      </w:r>
    </w:p>
    <w:p w:rsidR="00BF3C71" w:rsidRPr="007D1EF7" w:rsidRDefault="00BF3C71" w:rsidP="00B94387">
      <w:pPr>
        <w:pStyle w:val="TOC2"/>
        <w:rPr>
          <w:rFonts w:asciiTheme="minorHAnsi" w:eastAsiaTheme="minorEastAsia" w:hAnsiTheme="minorHAnsi" w:cstheme="minorBidi"/>
          <w:noProof/>
          <w:sz w:val="22"/>
          <w:szCs w:val="22"/>
          <w:lang w:val="es-ES_tradnl" w:eastAsia="zh-CN"/>
        </w:rPr>
      </w:pPr>
      <w:r w:rsidRPr="007D1EF7">
        <w:rPr>
          <w:rStyle w:val="Hyperlink"/>
          <w:noProof/>
          <w:color w:val="auto"/>
          <w:u w:val="none"/>
          <w:lang w:val="es-ES_tradnl"/>
        </w:rPr>
        <w:t xml:space="preserve">3.2 </w:t>
      </w:r>
      <w:r w:rsidRPr="007D1EF7">
        <w:rPr>
          <w:rFonts w:asciiTheme="minorHAnsi" w:eastAsiaTheme="minorEastAsia" w:hAnsiTheme="minorHAnsi" w:cstheme="minorBidi"/>
          <w:noProof/>
          <w:sz w:val="22"/>
          <w:szCs w:val="22"/>
          <w:lang w:val="es-ES_tradnl" w:eastAsia="zh-CN"/>
        </w:rPr>
        <w:tab/>
      </w:r>
      <w:r w:rsidRPr="007D1EF7">
        <w:rPr>
          <w:rStyle w:val="Hyperlink"/>
          <w:noProof/>
          <w:color w:val="auto"/>
          <w:u w:val="none"/>
          <w:lang w:val="es-ES_tradnl"/>
        </w:rPr>
        <w:t>Scenario 2</w:t>
      </w:r>
      <w:r w:rsidRPr="007D1EF7">
        <w:rPr>
          <w:noProof/>
          <w:webHidden/>
          <w:lang w:val="es-ES_tradnl"/>
        </w:rPr>
        <w:tab/>
      </w:r>
      <w:r w:rsidRPr="007D1EF7">
        <w:rPr>
          <w:noProof/>
          <w:webHidden/>
          <w:lang w:val="es-ES_tradnl"/>
        </w:rPr>
        <w:tab/>
        <w:t>6</w:t>
      </w:r>
      <w:r w:rsidR="00B94387" w:rsidRPr="007D1EF7">
        <w:rPr>
          <w:noProof/>
          <w:webHidden/>
          <w:lang w:val="es-ES_tradnl"/>
        </w:rPr>
        <w:t>2</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 xml:space="preserve">3.3 </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Scenario 3</w:t>
      </w:r>
      <w:r w:rsidRPr="00BF3C71">
        <w:rPr>
          <w:noProof/>
          <w:webHidden/>
        </w:rPr>
        <w:tab/>
      </w:r>
      <w:r>
        <w:rPr>
          <w:noProof/>
          <w:webHidden/>
        </w:rPr>
        <w:tab/>
      </w:r>
      <w:r w:rsidRPr="00BF3C71">
        <w:rPr>
          <w:noProof/>
          <w:webHidden/>
        </w:rPr>
        <w:t>6</w:t>
      </w:r>
      <w:r w:rsidR="00B94387">
        <w:rPr>
          <w:noProof/>
          <w:webHidden/>
        </w:rPr>
        <w:t>4</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3.4</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Scenario 4</w:t>
      </w:r>
      <w:r w:rsidRPr="00BF3C71">
        <w:rPr>
          <w:noProof/>
          <w:webHidden/>
        </w:rPr>
        <w:tab/>
      </w:r>
      <w:r>
        <w:rPr>
          <w:noProof/>
          <w:webHidden/>
        </w:rPr>
        <w:tab/>
      </w:r>
      <w:r w:rsidRPr="00BF3C71">
        <w:rPr>
          <w:noProof/>
          <w:webHidden/>
        </w:rPr>
        <w:t>6</w:t>
      </w:r>
      <w:r w:rsidR="00B94387">
        <w:rPr>
          <w:noProof/>
          <w:webHidden/>
        </w:rPr>
        <w:t>5</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3.5</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Scenario 5</w:t>
      </w:r>
      <w:r w:rsidRPr="00BF3C71">
        <w:rPr>
          <w:noProof/>
          <w:webHidden/>
        </w:rPr>
        <w:tab/>
      </w:r>
      <w:r>
        <w:rPr>
          <w:noProof/>
          <w:webHidden/>
        </w:rPr>
        <w:tab/>
      </w:r>
      <w:r w:rsidRPr="00BF3C71">
        <w:rPr>
          <w:noProof/>
          <w:webHidden/>
        </w:rPr>
        <w:t>6</w:t>
      </w:r>
      <w:r w:rsidR="00B94387">
        <w:rPr>
          <w:noProof/>
          <w:webHidden/>
        </w:rPr>
        <w:t>6</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3.6</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Effect of the SRS earth station antenna size</w:t>
      </w:r>
      <w:r w:rsidRPr="00BF3C71">
        <w:rPr>
          <w:noProof/>
          <w:webHidden/>
        </w:rPr>
        <w:tab/>
      </w:r>
      <w:r>
        <w:rPr>
          <w:noProof/>
          <w:webHidden/>
        </w:rPr>
        <w:tab/>
      </w:r>
      <w:r w:rsidRPr="00BF3C71">
        <w:rPr>
          <w:noProof/>
          <w:webHidden/>
        </w:rPr>
        <w:t>6</w:t>
      </w:r>
      <w:r w:rsidR="00B94387">
        <w:rPr>
          <w:noProof/>
          <w:webHidden/>
        </w:rPr>
        <w:t>7</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3.7</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Effect of the number of SRS earth stations</w:t>
      </w:r>
      <w:r w:rsidRPr="00BF3C71">
        <w:rPr>
          <w:noProof/>
          <w:webHidden/>
        </w:rPr>
        <w:tab/>
      </w:r>
      <w:r>
        <w:rPr>
          <w:noProof/>
          <w:webHidden/>
        </w:rPr>
        <w:tab/>
      </w:r>
      <w:r w:rsidRPr="00BF3C71">
        <w:rPr>
          <w:noProof/>
          <w:webHidden/>
        </w:rPr>
        <w:t>7</w:t>
      </w:r>
      <w:r w:rsidR="00B94387">
        <w:rPr>
          <w:noProof/>
          <w:webHidden/>
        </w:rPr>
        <w:t>0</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4</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Conclusion</w:t>
      </w:r>
      <w:r w:rsidRPr="00BF3C71">
        <w:rPr>
          <w:noProof/>
          <w:webHidden/>
        </w:rPr>
        <w:tab/>
      </w:r>
      <w:r>
        <w:rPr>
          <w:noProof/>
          <w:webHidden/>
        </w:rPr>
        <w:tab/>
      </w:r>
      <w:r w:rsidRPr="00BF3C71">
        <w:rPr>
          <w:noProof/>
          <w:webHidden/>
        </w:rPr>
        <w:t>7</w:t>
      </w:r>
      <w:r w:rsidR="00B94387">
        <w:rPr>
          <w:noProof/>
          <w:webHidden/>
        </w:rPr>
        <w:t>2</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 xml:space="preserve">Annex 7 </w:t>
      </w:r>
      <w:r>
        <w:rPr>
          <w:rStyle w:val="Hyperlink"/>
          <w:noProof/>
          <w:color w:val="auto"/>
          <w:u w:val="none"/>
        </w:rPr>
        <w:t>–</w:t>
      </w:r>
      <w:r w:rsidRPr="00BF3C71">
        <w:rPr>
          <w:rStyle w:val="Hyperlink"/>
          <w:noProof/>
          <w:color w:val="auto"/>
          <w:u w:val="none"/>
        </w:rPr>
        <w:t xml:space="preserve"> Summary of Study 7</w:t>
      </w:r>
      <w:r w:rsidRPr="00BF3C71">
        <w:rPr>
          <w:noProof/>
          <w:webHidden/>
        </w:rPr>
        <w:tab/>
      </w:r>
      <w:r>
        <w:rPr>
          <w:noProof/>
          <w:webHidden/>
        </w:rPr>
        <w:tab/>
      </w:r>
      <w:r w:rsidRPr="00BF3C71">
        <w:rPr>
          <w:noProof/>
          <w:webHidden/>
        </w:rPr>
        <w:t>7</w:t>
      </w:r>
      <w:r w:rsidR="00B94387">
        <w:rPr>
          <w:noProof/>
          <w:webHidden/>
        </w:rPr>
        <w:t>3</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1</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Analysis methodology</w:t>
      </w:r>
      <w:r w:rsidRPr="00BF3C71">
        <w:rPr>
          <w:noProof/>
          <w:webHidden/>
        </w:rPr>
        <w:tab/>
      </w:r>
      <w:r>
        <w:rPr>
          <w:noProof/>
          <w:webHidden/>
        </w:rPr>
        <w:tab/>
      </w:r>
      <w:r w:rsidRPr="00BF3C71">
        <w:rPr>
          <w:noProof/>
          <w:webHidden/>
        </w:rPr>
        <w:t>7</w:t>
      </w:r>
      <w:r w:rsidR="00B94387">
        <w:rPr>
          <w:noProof/>
          <w:webHidden/>
        </w:rPr>
        <w:t>3</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1.1</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In-band</w:t>
      </w:r>
      <w:r w:rsidRPr="00BF3C71">
        <w:rPr>
          <w:noProof/>
          <w:webHidden/>
        </w:rPr>
        <w:tab/>
      </w:r>
      <w:r>
        <w:rPr>
          <w:noProof/>
          <w:webHidden/>
        </w:rPr>
        <w:tab/>
      </w:r>
      <w:r w:rsidRPr="00BF3C71">
        <w:rPr>
          <w:noProof/>
          <w:webHidden/>
        </w:rPr>
        <w:t>7</w:t>
      </w:r>
      <w:r w:rsidR="00B94387">
        <w:rPr>
          <w:noProof/>
          <w:webHidden/>
        </w:rPr>
        <w:t>3</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1.2</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Out-of-band</w:t>
      </w:r>
      <w:r w:rsidRPr="00BF3C71">
        <w:rPr>
          <w:noProof/>
          <w:webHidden/>
        </w:rPr>
        <w:tab/>
      </w:r>
      <w:r>
        <w:rPr>
          <w:noProof/>
          <w:webHidden/>
        </w:rPr>
        <w:tab/>
      </w:r>
      <w:r w:rsidRPr="00BF3C71">
        <w:rPr>
          <w:noProof/>
          <w:webHidden/>
        </w:rPr>
        <w:t>7</w:t>
      </w:r>
      <w:r w:rsidR="00B94387">
        <w:rPr>
          <w:noProof/>
          <w:webHidden/>
        </w:rPr>
        <w:t>3</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2</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Results for sharing with space stations in the inter-satellite service</w:t>
      </w:r>
      <w:r w:rsidRPr="00BF3C71">
        <w:rPr>
          <w:noProof/>
          <w:webHidden/>
        </w:rPr>
        <w:tab/>
      </w:r>
      <w:r>
        <w:rPr>
          <w:noProof/>
          <w:webHidden/>
        </w:rPr>
        <w:tab/>
      </w:r>
      <w:r w:rsidRPr="00BF3C71">
        <w:rPr>
          <w:noProof/>
          <w:webHidden/>
        </w:rPr>
        <w:t>7</w:t>
      </w:r>
      <w:r w:rsidR="00B94387">
        <w:rPr>
          <w:noProof/>
          <w:webHidden/>
        </w:rPr>
        <w:t>4</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2.1</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Statistical interference to a non-GSO-to-non-GSO inter-satellite links – HIBLEO-2 type system</w:t>
      </w:r>
      <w:r w:rsidRPr="00BF3C71">
        <w:rPr>
          <w:noProof/>
          <w:webHidden/>
        </w:rPr>
        <w:tab/>
      </w:r>
      <w:r>
        <w:rPr>
          <w:noProof/>
          <w:webHidden/>
        </w:rPr>
        <w:tab/>
      </w:r>
      <w:r w:rsidRPr="00BF3C71">
        <w:rPr>
          <w:noProof/>
          <w:webHidden/>
        </w:rPr>
        <w:t>7</w:t>
      </w:r>
      <w:r w:rsidR="00B94387">
        <w:rPr>
          <w:noProof/>
          <w:webHidden/>
        </w:rPr>
        <w:t>4</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2.2</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In-band case</w:t>
      </w:r>
      <w:r w:rsidRPr="00BF3C71">
        <w:rPr>
          <w:noProof/>
          <w:webHidden/>
        </w:rPr>
        <w:tab/>
      </w:r>
      <w:r>
        <w:rPr>
          <w:noProof/>
          <w:webHidden/>
        </w:rPr>
        <w:tab/>
      </w:r>
      <w:r w:rsidRPr="00BF3C71">
        <w:rPr>
          <w:noProof/>
          <w:webHidden/>
        </w:rPr>
        <w:t>7</w:t>
      </w:r>
      <w:r w:rsidR="00B94387">
        <w:rPr>
          <w:noProof/>
          <w:webHidden/>
        </w:rPr>
        <w:t>4</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2.3</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Out-of-band case</w:t>
      </w:r>
      <w:r w:rsidRPr="00BF3C71">
        <w:rPr>
          <w:noProof/>
          <w:webHidden/>
        </w:rPr>
        <w:tab/>
      </w:r>
      <w:r>
        <w:rPr>
          <w:noProof/>
          <w:webHidden/>
        </w:rPr>
        <w:tab/>
      </w:r>
      <w:r w:rsidRPr="00BF3C71">
        <w:rPr>
          <w:noProof/>
          <w:webHidden/>
        </w:rPr>
        <w:t>7</w:t>
      </w:r>
      <w:r w:rsidR="00B94387">
        <w:rPr>
          <w:noProof/>
          <w:webHidden/>
        </w:rPr>
        <w:t>5</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3</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Verification results</w:t>
      </w:r>
      <w:r w:rsidRPr="00BF3C71">
        <w:rPr>
          <w:noProof/>
          <w:webHidden/>
        </w:rPr>
        <w:tab/>
      </w:r>
      <w:r>
        <w:rPr>
          <w:noProof/>
          <w:webHidden/>
        </w:rPr>
        <w:tab/>
      </w:r>
      <w:r w:rsidRPr="00BF3C71">
        <w:rPr>
          <w:noProof/>
          <w:webHidden/>
        </w:rPr>
        <w:t>7</w:t>
      </w:r>
      <w:r w:rsidR="00B94387">
        <w:rPr>
          <w:noProof/>
          <w:webHidden/>
        </w:rPr>
        <w:t>7</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3.1</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In-band case</w:t>
      </w:r>
      <w:r w:rsidRPr="00BF3C71">
        <w:rPr>
          <w:noProof/>
          <w:webHidden/>
        </w:rPr>
        <w:tab/>
      </w:r>
      <w:r>
        <w:rPr>
          <w:noProof/>
          <w:webHidden/>
        </w:rPr>
        <w:tab/>
      </w:r>
      <w:r w:rsidRPr="00BF3C71">
        <w:rPr>
          <w:noProof/>
          <w:webHidden/>
        </w:rPr>
        <w:t>7</w:t>
      </w:r>
      <w:r w:rsidR="00B94387">
        <w:rPr>
          <w:noProof/>
          <w:webHidden/>
        </w:rPr>
        <w:t>7</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3.2</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Out-of-band cases</w:t>
      </w:r>
      <w:r w:rsidRPr="00BF3C71">
        <w:rPr>
          <w:noProof/>
          <w:webHidden/>
        </w:rPr>
        <w:tab/>
      </w:r>
      <w:r>
        <w:rPr>
          <w:noProof/>
          <w:webHidden/>
        </w:rPr>
        <w:tab/>
      </w:r>
      <w:r w:rsidRPr="00BF3C71">
        <w:rPr>
          <w:noProof/>
          <w:webHidden/>
        </w:rPr>
        <w:t>7</w:t>
      </w:r>
      <w:r w:rsidR="00B94387">
        <w:rPr>
          <w:noProof/>
          <w:webHidden/>
        </w:rPr>
        <w:t>7</w:t>
      </w:r>
    </w:p>
    <w:p w:rsidR="00BF3C71" w:rsidRPr="00BF3C71" w:rsidRDefault="00BF3C71" w:rsidP="00B94387">
      <w:pPr>
        <w:pStyle w:val="TOC2"/>
        <w:rPr>
          <w:rFonts w:asciiTheme="minorHAnsi" w:eastAsiaTheme="minorEastAsia" w:hAnsiTheme="minorHAnsi" w:cstheme="minorBidi"/>
          <w:noProof/>
          <w:sz w:val="22"/>
          <w:szCs w:val="22"/>
          <w:lang w:eastAsia="zh-CN"/>
        </w:rPr>
      </w:pPr>
      <w:r w:rsidRPr="00BF3C71">
        <w:rPr>
          <w:rStyle w:val="Hyperlink"/>
          <w:noProof/>
          <w:color w:val="auto"/>
          <w:u w:val="none"/>
        </w:rPr>
        <w:t>3.3</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Verification summary</w:t>
      </w:r>
      <w:r w:rsidRPr="00BF3C71">
        <w:rPr>
          <w:noProof/>
          <w:webHidden/>
        </w:rPr>
        <w:tab/>
      </w:r>
      <w:r>
        <w:rPr>
          <w:noProof/>
          <w:webHidden/>
        </w:rPr>
        <w:tab/>
      </w:r>
      <w:r w:rsidR="00B94387">
        <w:rPr>
          <w:noProof/>
          <w:webHidden/>
        </w:rPr>
        <w:t>78</w:t>
      </w:r>
    </w:p>
    <w:p w:rsidR="00BF3C71" w:rsidRPr="00BF3C71" w:rsidRDefault="00BF3C71" w:rsidP="00B94387">
      <w:pPr>
        <w:pStyle w:val="TOC1"/>
        <w:rPr>
          <w:rFonts w:asciiTheme="minorHAnsi" w:eastAsiaTheme="minorEastAsia" w:hAnsiTheme="minorHAnsi" w:cstheme="minorBidi"/>
          <w:noProof/>
          <w:sz w:val="22"/>
          <w:szCs w:val="22"/>
          <w:lang w:eastAsia="zh-CN"/>
        </w:rPr>
      </w:pPr>
      <w:r w:rsidRPr="00BF3C71">
        <w:rPr>
          <w:rStyle w:val="Hyperlink"/>
          <w:noProof/>
          <w:color w:val="auto"/>
          <w:u w:val="none"/>
        </w:rPr>
        <w:t>4</w:t>
      </w:r>
      <w:r w:rsidRPr="00BF3C71">
        <w:rPr>
          <w:rFonts w:asciiTheme="minorHAnsi" w:eastAsiaTheme="minorEastAsia" w:hAnsiTheme="minorHAnsi" w:cstheme="minorBidi"/>
          <w:noProof/>
          <w:sz w:val="22"/>
          <w:szCs w:val="22"/>
          <w:lang w:eastAsia="zh-CN"/>
        </w:rPr>
        <w:tab/>
      </w:r>
      <w:r w:rsidRPr="00BF3C71">
        <w:rPr>
          <w:rStyle w:val="Hyperlink"/>
          <w:noProof/>
          <w:color w:val="auto"/>
          <w:u w:val="none"/>
        </w:rPr>
        <w:t>Conclusions</w:t>
      </w:r>
      <w:r w:rsidRPr="00BF3C71">
        <w:rPr>
          <w:noProof/>
          <w:webHidden/>
        </w:rPr>
        <w:tab/>
      </w:r>
      <w:r>
        <w:rPr>
          <w:noProof/>
          <w:webHidden/>
        </w:rPr>
        <w:tab/>
      </w:r>
      <w:r w:rsidR="00B94387">
        <w:rPr>
          <w:noProof/>
          <w:webHidden/>
        </w:rPr>
        <w:t>78</w:t>
      </w:r>
    </w:p>
    <w:p w:rsidR="00192341" w:rsidRDefault="00192341" w:rsidP="00192341">
      <w:pPr>
        <w:rPr>
          <w:lang w:val="en-GB"/>
        </w:rPr>
      </w:pPr>
    </w:p>
    <w:p w:rsidR="00192341" w:rsidRPr="00192341" w:rsidRDefault="00192341" w:rsidP="00192341">
      <w:pPr>
        <w:rPr>
          <w:lang w:val="en-GB"/>
        </w:rPr>
      </w:pPr>
    </w:p>
    <w:p w:rsidR="00192341" w:rsidRPr="007D1EF7" w:rsidRDefault="00192341">
      <w:pPr>
        <w:tabs>
          <w:tab w:val="clear" w:pos="794"/>
          <w:tab w:val="clear" w:pos="1191"/>
          <w:tab w:val="clear" w:pos="1588"/>
          <w:tab w:val="clear" w:pos="1985"/>
        </w:tabs>
        <w:overflowPunct/>
        <w:autoSpaceDE/>
        <w:autoSpaceDN/>
        <w:adjustRightInd/>
        <w:spacing w:before="0"/>
        <w:jc w:val="left"/>
        <w:textAlignment w:val="auto"/>
        <w:rPr>
          <w:b/>
          <w:lang w:val="en-US"/>
        </w:rPr>
      </w:pPr>
      <w:r w:rsidRPr="007D1EF7">
        <w:rPr>
          <w:lang w:val="en-US"/>
        </w:rPr>
        <w:br w:type="page"/>
      </w:r>
    </w:p>
    <w:p w:rsidR="00AA2BE3" w:rsidRPr="007D1EF7" w:rsidRDefault="00AA2BE3" w:rsidP="00AA2BE3">
      <w:pPr>
        <w:pStyle w:val="Heading1"/>
        <w:rPr>
          <w:lang w:val="en-US"/>
        </w:rPr>
      </w:pPr>
      <w:bookmarkStart w:id="4" w:name="_Toc277668568"/>
      <w:r w:rsidRPr="007D1EF7">
        <w:rPr>
          <w:lang w:val="en-US"/>
        </w:rPr>
        <w:lastRenderedPageBreak/>
        <w:t>1</w:t>
      </w:r>
      <w:r w:rsidRPr="007D1EF7">
        <w:rPr>
          <w:lang w:val="en-US"/>
        </w:rPr>
        <w:tab/>
        <w:t>Introduction</w:t>
      </w:r>
      <w:bookmarkEnd w:id="4"/>
    </w:p>
    <w:p w:rsidR="00AA2BE3" w:rsidRPr="007D1EF7" w:rsidRDefault="00AA2BE3" w:rsidP="00AA2BE3">
      <w:pPr>
        <w:rPr>
          <w:lang w:val="en-US"/>
        </w:rPr>
      </w:pPr>
      <w:r w:rsidRPr="007D1EF7">
        <w:rPr>
          <w:lang w:val="en-US"/>
        </w:rPr>
        <w:t xml:space="preserve">This </w:t>
      </w:r>
      <w:r w:rsidR="00720C6D" w:rsidRPr="007D1EF7">
        <w:rPr>
          <w:lang w:val="en-US"/>
        </w:rPr>
        <w:t>R</w:t>
      </w:r>
      <w:r w:rsidRPr="007D1EF7">
        <w:rPr>
          <w:lang w:val="en-US"/>
        </w:rPr>
        <w:t>eport addresses compatibility between space research service mission and inter-satellite service links of HIBLEO-2-type satellite systems. It is envisioned that primarily three types of space missions would be supported by SRS earth station transmissions in the 22.55-23.15 GHz band:</w:t>
      </w:r>
    </w:p>
    <w:p w:rsidR="00AA2BE3" w:rsidRPr="007D1EF7" w:rsidRDefault="00AA2BE3" w:rsidP="00C364DC">
      <w:pPr>
        <w:pStyle w:val="enumlev1"/>
        <w:rPr>
          <w:lang w:val="en-US"/>
        </w:rPr>
      </w:pPr>
      <w:r w:rsidRPr="007D1EF7">
        <w:rPr>
          <w:lang w:val="en-US"/>
        </w:rPr>
        <w:t>1</w:t>
      </w:r>
      <w:r w:rsidR="00720C6D" w:rsidRPr="007D1EF7">
        <w:rPr>
          <w:lang w:val="en-US"/>
        </w:rPr>
        <w:t>.</w:t>
      </w:r>
      <w:r w:rsidRPr="007D1EF7">
        <w:rPr>
          <w:lang w:val="en-US"/>
        </w:rPr>
        <w:tab/>
        <w:t xml:space="preserve">low-Earth orbiting scientific satellites; </w:t>
      </w:r>
    </w:p>
    <w:p w:rsidR="00AA2BE3" w:rsidRPr="007D1EF7" w:rsidRDefault="00AA2BE3" w:rsidP="00C364DC">
      <w:pPr>
        <w:pStyle w:val="enumlev1"/>
        <w:rPr>
          <w:lang w:val="en-US"/>
        </w:rPr>
      </w:pPr>
      <w:r w:rsidRPr="007D1EF7">
        <w:rPr>
          <w:lang w:val="en-US"/>
        </w:rPr>
        <w:t>2</w:t>
      </w:r>
      <w:r w:rsidR="00720C6D" w:rsidRPr="007D1EF7">
        <w:rPr>
          <w:lang w:val="en-US"/>
        </w:rPr>
        <w:t>.</w:t>
      </w:r>
      <w:r w:rsidRPr="007D1EF7">
        <w:rPr>
          <w:lang w:val="en-US"/>
        </w:rPr>
        <w:tab/>
        <w:t>manned and unmanned Lunar exploration missions;</w:t>
      </w:r>
    </w:p>
    <w:p w:rsidR="00AA2BE3" w:rsidRPr="007D1EF7" w:rsidRDefault="00AA2BE3" w:rsidP="00C364DC">
      <w:pPr>
        <w:pStyle w:val="enumlev1"/>
        <w:rPr>
          <w:lang w:val="en-US"/>
        </w:rPr>
      </w:pPr>
      <w:r w:rsidRPr="007D1EF7">
        <w:rPr>
          <w:lang w:val="en-US"/>
        </w:rPr>
        <w:t>3</w:t>
      </w:r>
      <w:r w:rsidR="00720C6D" w:rsidRPr="007D1EF7">
        <w:rPr>
          <w:lang w:val="en-US"/>
        </w:rPr>
        <w:t>.</w:t>
      </w:r>
      <w:r w:rsidRPr="007D1EF7">
        <w:rPr>
          <w:lang w:val="en-US"/>
        </w:rPr>
        <w:tab/>
        <w:t xml:space="preserve">scientific missions using satellites located in the vicinity of the Sun-Earth L1 and L2 Lagrangian points. </w:t>
      </w:r>
    </w:p>
    <w:p w:rsidR="00C364DC" w:rsidRPr="007D1EF7" w:rsidRDefault="00AA2BE3" w:rsidP="00C364DC">
      <w:pPr>
        <w:rPr>
          <w:lang w:val="en-US"/>
        </w:rPr>
      </w:pPr>
      <w:r w:rsidRPr="007D1EF7">
        <w:rPr>
          <w:lang w:val="en-US"/>
        </w:rPr>
        <w:t xml:space="preserve">Data transmissions in the space-to-Earth direction for these types of missions are either currently operational or are planned to be operational in the 25.25-27.5 GHz band – a band allocated for both space-to-Earth and space-to-space transmissions to data relay satellites. Data relay satellites, which are operated by several administrations (Recs ITU-R SA.1018 and </w:t>
      </w:r>
      <w:r w:rsidRPr="007D1EF7">
        <w:rPr>
          <w:color w:val="000000"/>
          <w:lang w:val="en-US"/>
        </w:rPr>
        <w:t>ITU-R </w:t>
      </w:r>
      <w:r w:rsidRPr="007D1EF7">
        <w:rPr>
          <w:lang w:val="en-US"/>
        </w:rPr>
        <w:t>SA.1414), use the 22.55</w:t>
      </w:r>
      <w:r w:rsidRPr="007D1EF7">
        <w:rPr>
          <w:lang w:val="en-US"/>
        </w:rPr>
        <w:noBreakHyphen/>
        <w:t>23.55 GHz band for forward inter-orbit links and the 25.25-27.5 GHz band for return inter</w:t>
      </w:r>
      <w:r w:rsidRPr="007D1EF7">
        <w:rPr>
          <w:lang w:val="en-US"/>
        </w:rPr>
        <w:noBreakHyphen/>
        <w:t>orbit links to near-earth orbiting user satellites.</w:t>
      </w:r>
    </w:p>
    <w:p w:rsidR="00AA2BE3" w:rsidRPr="007D1EF7" w:rsidRDefault="00AA2BE3" w:rsidP="00720C6D">
      <w:pPr>
        <w:rPr>
          <w:lang w:val="en-US"/>
        </w:rPr>
      </w:pPr>
      <w:r w:rsidRPr="007D1EF7">
        <w:rPr>
          <w:lang w:val="en-US"/>
        </w:rPr>
        <w:t>The purpose of WRC-12 Agenda item 1.11 is to add an Earth-to-space allocation in the 22.55-23.15</w:t>
      </w:r>
      <w:r w:rsidR="00720C6D" w:rsidRPr="007D1EF7">
        <w:rPr>
          <w:lang w:val="en-US"/>
        </w:rPr>
        <w:t> </w:t>
      </w:r>
      <w:r w:rsidRPr="007D1EF7">
        <w:rPr>
          <w:lang w:val="en-US"/>
        </w:rPr>
        <w:t>GHz band segment to complement the existing space-to-space and space-to-Earth allocations. The Earth-to-space allocation will add the capability to support near</w:t>
      </w:r>
      <w:r w:rsidRPr="007D1EF7">
        <w:rPr>
          <w:lang w:val="en-US"/>
        </w:rPr>
        <w:noBreakHyphen/>
        <w:t xml:space="preserve">Earth missions using similar, if not identical </w:t>
      </w:r>
      <w:r w:rsidRPr="007D1EF7">
        <w:rPr>
          <w:rFonts w:ascii="Times" w:hAnsi="Times"/>
          <w:lang w:val="en-US"/>
        </w:rPr>
        <w:t>technology, onboard the user satellite.</w:t>
      </w:r>
      <w:r w:rsidRPr="007D1EF7">
        <w:rPr>
          <w:lang w:val="en-US"/>
        </w:rPr>
        <w:t xml:space="preserve"> The 22.55</w:t>
      </w:r>
      <w:r w:rsidRPr="007D1EF7">
        <w:rPr>
          <w:lang w:val="en-US"/>
        </w:rPr>
        <w:noBreakHyphen/>
        <w:t>23.15 GHz band will be used for both command and control of the user satellite and, in addition, for manned missions voice/video communication with the Earth.</w:t>
      </w:r>
    </w:p>
    <w:p w:rsidR="00AA2BE3" w:rsidRPr="007D1EF7" w:rsidRDefault="00AA2BE3" w:rsidP="00AA2BE3">
      <w:pPr>
        <w:rPr>
          <w:lang w:val="en-US"/>
        </w:rPr>
      </w:pPr>
      <w:r w:rsidRPr="007D1EF7">
        <w:rPr>
          <w:lang w:val="en-US"/>
        </w:rPr>
        <w:t>The number of SRS earth stations transmitting in the 22.55-23.15 GHz band will be small. Rather than building new SRS earth stations, upgrading selected existing SRS earth stations will predominate. Selecting which SRS earth stations to upgrade will be based on a number of factors, including the type of mission to be supported. The maximum number of SRS earth stations capable of supporting Lunar and/or L2 missions is not expected to exceed eight or nine on a global basis. A similar number of SRS earth stations may support LEO missions, also on a global basis. These earth stations are typically located in rural, isolated areas at mid-latitudes.</w:t>
      </w:r>
    </w:p>
    <w:p w:rsidR="00AA2BE3" w:rsidRPr="007D1EF7" w:rsidRDefault="00AA2BE3" w:rsidP="00C364DC">
      <w:pPr>
        <w:rPr>
          <w:lang w:val="en-US"/>
        </w:rPr>
      </w:pPr>
      <w:r w:rsidRPr="007D1EF7">
        <w:rPr>
          <w:lang w:val="en-US"/>
        </w:rPr>
        <w:t>Analyses have been performed to determine the criteria for transmitting earth stations in the space research service (SRS) to share with stations in the inter-satellite (non-GSO-to-non-GSO) service in the 22.55-23.55 GHz band. Analysed is the compatibility of SRS earth stations supporting typical types of space research missions in the Earth-to-space direction in the 23 GHz band. These uplinks are to an SRS satellite in low-Earth orbit; in an orbit around the Moon or on the surface of the Moon; and, in a halo orbit around the L2 Lagrange point. Only the Lunar case is analy</w:t>
      </w:r>
      <w:r w:rsidR="00C364DC" w:rsidRPr="007D1EF7">
        <w:rPr>
          <w:lang w:val="en-US"/>
        </w:rPr>
        <w:t>z</w:t>
      </w:r>
      <w:r w:rsidRPr="007D1EF7">
        <w:rPr>
          <w:lang w:val="en-US"/>
        </w:rPr>
        <w:t>ed below because this interference case was shown to be the most severe among the three SRS mission types.</w:t>
      </w:r>
    </w:p>
    <w:p w:rsidR="00AA2BE3" w:rsidRPr="007D1EF7" w:rsidRDefault="00AA2BE3" w:rsidP="00AA2BE3">
      <w:pPr>
        <w:rPr>
          <w:lang w:val="en-US"/>
        </w:rPr>
      </w:pPr>
      <w:r w:rsidRPr="007D1EF7">
        <w:rPr>
          <w:lang w:val="en-US"/>
        </w:rPr>
        <w:t xml:space="preserve">These analyses are presented in the following sections. </w:t>
      </w:r>
    </w:p>
    <w:p w:rsidR="00AA2BE3" w:rsidRPr="007D1EF7" w:rsidRDefault="00AA2BE3" w:rsidP="00AA2BE3">
      <w:pPr>
        <w:pStyle w:val="Heading1"/>
        <w:rPr>
          <w:lang w:val="en-US"/>
        </w:rPr>
      </w:pPr>
      <w:bookmarkStart w:id="5" w:name="_Toc277668569"/>
      <w:r w:rsidRPr="007D1EF7">
        <w:rPr>
          <w:lang w:val="en-US"/>
        </w:rPr>
        <w:t>2</w:t>
      </w:r>
      <w:r w:rsidRPr="007D1EF7">
        <w:rPr>
          <w:lang w:val="en-US"/>
        </w:rPr>
        <w:tab/>
        <w:t>Characteristics of the SRS earth station emissions</w:t>
      </w:r>
      <w:bookmarkEnd w:id="5"/>
    </w:p>
    <w:p w:rsidR="00AA2BE3" w:rsidRPr="007D1EF7" w:rsidRDefault="00AA2BE3" w:rsidP="00AA2BE3">
      <w:pPr>
        <w:rPr>
          <w:lang w:val="en-US"/>
        </w:rPr>
      </w:pPr>
      <w:r w:rsidRPr="007D1EF7">
        <w:rPr>
          <w:lang w:val="en-US"/>
        </w:rPr>
        <w:t>Analysis is performed for interference for both the in-band case and the out-of-band (O</w:t>
      </w:r>
      <w:r w:rsidR="00C364DC" w:rsidRPr="007D1EF7">
        <w:rPr>
          <w:lang w:val="en-US"/>
        </w:rPr>
        <w:t>o</w:t>
      </w:r>
      <w:r w:rsidRPr="007D1EF7">
        <w:rPr>
          <w:lang w:val="en-US"/>
        </w:rPr>
        <w:t>B) case. Both are described below.</w:t>
      </w:r>
    </w:p>
    <w:p w:rsidR="00AA2BE3" w:rsidRPr="007D1EF7" w:rsidRDefault="00AA2BE3" w:rsidP="00192341">
      <w:pPr>
        <w:pStyle w:val="Heading2"/>
        <w:rPr>
          <w:lang w:val="en-US"/>
        </w:rPr>
      </w:pPr>
      <w:bookmarkStart w:id="6" w:name="_Toc277668570"/>
      <w:r w:rsidRPr="007D1EF7">
        <w:rPr>
          <w:lang w:val="en-US"/>
        </w:rPr>
        <w:t>2.1</w:t>
      </w:r>
      <w:r w:rsidRPr="007D1EF7">
        <w:rPr>
          <w:lang w:val="en-US"/>
        </w:rPr>
        <w:tab/>
        <w:t>In-band characteristics</w:t>
      </w:r>
      <w:bookmarkEnd w:id="6"/>
    </w:p>
    <w:p w:rsidR="00AA2BE3" w:rsidRPr="007D1EF7" w:rsidRDefault="00AA2BE3" w:rsidP="00720C6D">
      <w:pPr>
        <w:rPr>
          <w:lang w:val="en-US"/>
        </w:rPr>
      </w:pPr>
      <w:r w:rsidRPr="007D1EF7">
        <w:rPr>
          <w:lang w:val="en-US"/>
        </w:rPr>
        <w:t>The representative characteristics of the SRS earth station emissions in the 23 GHz band and the orbital and receiving characteristics of the mission satellites are summarized in Recommendation ITU-R SA.</w:t>
      </w:r>
      <w:r w:rsidR="00720C6D" w:rsidRPr="007D1EF7">
        <w:rPr>
          <w:lang w:val="en-US"/>
        </w:rPr>
        <w:t>1882</w:t>
      </w:r>
      <w:r w:rsidRPr="007D1EF7">
        <w:rPr>
          <w:lang w:val="en-US"/>
        </w:rPr>
        <w:t xml:space="preserve">. The characteristics are based on typical 18 m diameter SRS earth stations antennas located at three sites around the world that will support lunar space research missions. The sites </w:t>
      </w:r>
      <w:r w:rsidRPr="007D1EF7">
        <w:rPr>
          <w:lang w:val="en-US"/>
        </w:rPr>
        <w:lastRenderedPageBreak/>
        <w:t xml:space="preserve">chosen are the three NASA deep space ground station locations in Goldstone, (USA), Madrid (Spain) and Canberra (Australia), as well as the three ESA sites in Cebreros (Spain), New Norcia (Australia) and Malargue (Argentina). </w:t>
      </w:r>
    </w:p>
    <w:p w:rsidR="00AA2BE3" w:rsidRPr="007D1EF7" w:rsidRDefault="00AA2BE3" w:rsidP="00C364DC">
      <w:pPr>
        <w:rPr>
          <w:lang w:val="en-US"/>
        </w:rPr>
      </w:pPr>
      <w:r w:rsidRPr="007D1EF7">
        <w:rPr>
          <w:lang w:val="en-US"/>
        </w:rPr>
        <w:t>The Radio Regulations permit SRS earth station operations down to elevation angles of 5</w:t>
      </w:r>
      <w:r w:rsidR="00C364DC" w:rsidRPr="007D1EF7">
        <w:rPr>
          <w:lang w:val="en-US"/>
        </w:rPr>
        <w:t>°</w:t>
      </w:r>
      <w:r w:rsidRPr="007D1EF7">
        <w:rPr>
          <w:lang w:val="en-US"/>
        </w:rPr>
        <w:t xml:space="preserve"> which is usually the case for single station operations. It may be noted that actual operations involving three earth stations around the globe are conducted such that a spacecraft is handed over from one earth station to another at typical elevation angles between 15</w:t>
      </w:r>
      <w:r w:rsidR="00C364DC" w:rsidRPr="007D1EF7">
        <w:rPr>
          <w:lang w:val="en-US"/>
        </w:rPr>
        <w:t>°</w:t>
      </w:r>
      <w:r w:rsidRPr="007D1EF7">
        <w:rPr>
          <w:lang w:val="en-US"/>
        </w:rPr>
        <w:t xml:space="preserve"> and 25</w:t>
      </w:r>
      <w:r w:rsidR="00C364DC" w:rsidRPr="007D1EF7">
        <w:rPr>
          <w:lang w:val="en-US"/>
        </w:rPr>
        <w:t>°</w:t>
      </w:r>
      <w:r w:rsidRPr="007D1EF7">
        <w:rPr>
          <w:lang w:val="en-US"/>
        </w:rPr>
        <w:t>.</w:t>
      </w:r>
    </w:p>
    <w:p w:rsidR="00AA2BE3" w:rsidRPr="007D1EF7" w:rsidRDefault="00AA2BE3" w:rsidP="00192341">
      <w:pPr>
        <w:pStyle w:val="Heading2"/>
        <w:rPr>
          <w:lang w:val="en-US"/>
        </w:rPr>
      </w:pPr>
      <w:bookmarkStart w:id="7" w:name="_Toc277668571"/>
      <w:r w:rsidRPr="007D1EF7">
        <w:rPr>
          <w:lang w:val="en-US"/>
        </w:rPr>
        <w:t>2.2</w:t>
      </w:r>
      <w:r w:rsidRPr="007D1EF7">
        <w:rPr>
          <w:lang w:val="en-US"/>
        </w:rPr>
        <w:tab/>
        <w:t>Out-of-band characteristics</w:t>
      </w:r>
      <w:bookmarkEnd w:id="7"/>
    </w:p>
    <w:p w:rsidR="00AA2BE3" w:rsidRPr="007D1EF7" w:rsidRDefault="00AA2BE3" w:rsidP="00C364DC">
      <w:pPr>
        <w:rPr>
          <w:b/>
          <w:lang w:val="en-US"/>
        </w:rPr>
      </w:pPr>
      <w:r w:rsidRPr="007D1EF7">
        <w:rPr>
          <w:lang w:val="en-US"/>
        </w:rPr>
        <w:t>Out-of-band</w:t>
      </w:r>
      <w:r w:rsidR="00C364DC" w:rsidRPr="007D1EF7">
        <w:rPr>
          <w:lang w:val="en-US"/>
        </w:rPr>
        <w:t xml:space="preserve"> (OoB)</w:t>
      </w:r>
      <w:r w:rsidRPr="007D1EF7">
        <w:rPr>
          <w:lang w:val="en-US"/>
        </w:rPr>
        <w:t xml:space="preserve"> emissions for the Lunar case only are also anal</w:t>
      </w:r>
      <w:r w:rsidRPr="007D1EF7">
        <w:rPr>
          <w:iCs/>
          <w:lang w:val="en-US"/>
        </w:rPr>
        <w:t>y</w:t>
      </w:r>
      <w:r w:rsidR="00C364DC" w:rsidRPr="007D1EF7">
        <w:rPr>
          <w:iCs/>
          <w:lang w:val="en-US"/>
        </w:rPr>
        <w:t>z</w:t>
      </w:r>
      <w:r w:rsidRPr="007D1EF7">
        <w:rPr>
          <w:iCs/>
          <w:lang w:val="en-US"/>
        </w:rPr>
        <w:t>e</w:t>
      </w:r>
      <w:r w:rsidRPr="007D1EF7">
        <w:rPr>
          <w:lang w:val="en-US"/>
        </w:rPr>
        <w:t>d. Table 1 summarizes the parameters used. For these studies, it was assumed that at least six agencies will operate these links, based on discussions amongst several space agencies in various forums, including SFCG (Space Frequency Coordination Group), and in coordination meetings with these agencies. One 24 MHz carrier and three 12 MHz carriers have been assumed for each of the six space agencies missions as a representative future lunar mission scenario. Instead of three 12 MHz carriers, it may also be possible to consider an additional 24 MHz carrier and one or two channels with lower bandwidths. It was assumed that NASA will operate the same set of channels from each of the three stations in the deep</w:t>
      </w:r>
      <w:r w:rsidRPr="007D1EF7">
        <w:rPr>
          <w:lang w:val="en-US"/>
        </w:rPr>
        <w:noBreakHyphen/>
        <w:t xml:space="preserve">space network and that the other agencies will use a single station. </w:t>
      </w:r>
    </w:p>
    <w:p w:rsidR="00AA2BE3" w:rsidRPr="007D1EF7" w:rsidRDefault="00AA2BE3" w:rsidP="00AA2BE3">
      <w:pPr>
        <w:rPr>
          <w:lang w:val="en-US"/>
        </w:rPr>
      </w:pPr>
      <w:r w:rsidRPr="007D1EF7">
        <w:rPr>
          <w:lang w:val="en-US"/>
        </w:rPr>
        <w:t>The frequency plan needs to take into account 60 MHz DRS channel spacing plans. However, in order to demonstrate the worst-case interference scenario with HIBLEO-2 (i.e. highest possible frequencies used), the analysis does not factor in DRS channel spacing plans. Instead the NASA 24 MHz carrier is placed at the upper edge of the 22.55-23.15 GHz band, and the other carriers are placed on lower frequency adjacent channels, each having a 5 MHz guardband.</w:t>
      </w:r>
    </w:p>
    <w:p w:rsidR="00AA2BE3" w:rsidRPr="007D1EF7" w:rsidRDefault="00AA2BE3" w:rsidP="00C364DC">
      <w:pPr>
        <w:rPr>
          <w:lang w:val="en-US"/>
        </w:rPr>
      </w:pPr>
      <w:r w:rsidRPr="007D1EF7">
        <w:rPr>
          <w:lang w:val="en-US"/>
        </w:rPr>
        <w:t>Each carrier has the same antenna size and power-spectral density</w:t>
      </w:r>
      <w:r w:rsidR="00C364DC" w:rsidRPr="007D1EF7">
        <w:rPr>
          <w:lang w:val="en-US"/>
        </w:rPr>
        <w:t xml:space="preserve"> (P</w:t>
      </w:r>
      <w:r w:rsidR="00720C6D" w:rsidRPr="007D1EF7">
        <w:rPr>
          <w:lang w:val="en-US"/>
        </w:rPr>
        <w:t>S</w:t>
      </w:r>
      <w:r w:rsidR="00C364DC" w:rsidRPr="007D1EF7">
        <w:rPr>
          <w:lang w:val="en-US"/>
        </w:rPr>
        <w:t>D)</w:t>
      </w:r>
      <w:r w:rsidRPr="007D1EF7">
        <w:rPr>
          <w:lang w:val="en-US"/>
        </w:rPr>
        <w:t xml:space="preserve"> as in the single-entry case. The values in the final column (O</w:t>
      </w:r>
      <w:r w:rsidR="00C364DC" w:rsidRPr="007D1EF7">
        <w:rPr>
          <w:lang w:val="en-US"/>
        </w:rPr>
        <w:t>o</w:t>
      </w:r>
      <w:r w:rsidRPr="007D1EF7">
        <w:rPr>
          <w:lang w:val="en-US"/>
        </w:rPr>
        <w:t>B Aggregate PSD) have been calculated by summing the individual O</w:t>
      </w:r>
      <w:r w:rsidR="00C364DC" w:rsidRPr="007D1EF7">
        <w:rPr>
          <w:lang w:val="en-US"/>
        </w:rPr>
        <w:t>o</w:t>
      </w:r>
      <w:r w:rsidRPr="007D1EF7">
        <w:rPr>
          <w:lang w:val="en-US"/>
        </w:rPr>
        <w:t>B PSD values for the four carriers for each agency, since they potentially could all transmit simultaneously from the same earth station.</w:t>
      </w:r>
    </w:p>
    <w:p w:rsidR="00AA2BE3" w:rsidRPr="007D1EF7" w:rsidRDefault="00192341" w:rsidP="00AA2BE3">
      <w:pPr>
        <w:pStyle w:val="TableNo"/>
        <w:rPr>
          <w:lang w:val="en-US"/>
        </w:rPr>
      </w:pPr>
      <w:r w:rsidRPr="007D1EF7">
        <w:rPr>
          <w:lang w:val="en-US"/>
        </w:rPr>
        <w:t>TABLE</w:t>
      </w:r>
      <w:r w:rsidR="00AA2BE3" w:rsidRPr="007D1EF7">
        <w:rPr>
          <w:lang w:val="en-US"/>
        </w:rPr>
        <w:t xml:space="preserve"> 1</w:t>
      </w:r>
    </w:p>
    <w:p w:rsidR="00AA2BE3" w:rsidRPr="007D1EF7" w:rsidRDefault="00AA2BE3" w:rsidP="00AA2BE3">
      <w:pPr>
        <w:pStyle w:val="Tabletitle"/>
        <w:rPr>
          <w:lang w:val="en-US"/>
        </w:rPr>
      </w:pPr>
      <w:r w:rsidRPr="007D1EF7">
        <w:rPr>
          <w:lang w:val="en-US"/>
        </w:rPr>
        <w:t>Summary of the aggregate SRS earth stations parameters</w:t>
      </w:r>
    </w:p>
    <w:p w:rsidR="006E5757" w:rsidRDefault="00720C6D" w:rsidP="00720C6D">
      <w:pPr>
        <w:pStyle w:val="Figure"/>
      </w:pPr>
      <w:r w:rsidRPr="00720C6D">
        <w:rPr>
          <w:noProof/>
          <w:lang w:val="en-US" w:eastAsia="zh-CN"/>
        </w:rPr>
        <w:drawing>
          <wp:inline distT="0" distB="0" distL="0" distR="0">
            <wp:extent cx="6120765" cy="3252837"/>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120765" cy="3252837"/>
                    </a:xfrm>
                    <a:prstGeom prst="rect">
                      <a:avLst/>
                    </a:prstGeom>
                    <a:noFill/>
                    <a:ln w="9525">
                      <a:noFill/>
                      <a:miter lim="800000"/>
                      <a:headEnd/>
                      <a:tailEnd/>
                    </a:ln>
                  </pic:spPr>
                </pic:pic>
              </a:graphicData>
            </a:graphic>
          </wp:inline>
        </w:drawing>
      </w:r>
    </w:p>
    <w:tbl>
      <w:tblPr>
        <w:tblW w:w="9639" w:type="dxa"/>
        <w:jc w:val="center"/>
        <w:tblLayout w:type="fixed"/>
        <w:tblLook w:val="04A0"/>
      </w:tblPr>
      <w:tblGrid>
        <w:gridCol w:w="9639"/>
      </w:tblGrid>
      <w:tr w:rsidR="00C364DC" w:rsidRPr="003B6E9A" w:rsidTr="00C364DC">
        <w:trPr>
          <w:jc w:val="center"/>
        </w:trPr>
        <w:tc>
          <w:tcPr>
            <w:tcW w:w="9639" w:type="dxa"/>
            <w:tcBorders>
              <w:left w:val="nil"/>
              <w:bottom w:val="nil"/>
              <w:right w:val="nil"/>
            </w:tcBorders>
            <w:vAlign w:val="center"/>
          </w:tcPr>
          <w:p w:rsidR="00472456" w:rsidRPr="007D1EF7" w:rsidRDefault="00472456" w:rsidP="00C364DC">
            <w:pPr>
              <w:pStyle w:val="Tablelegend"/>
              <w:rPr>
                <w:i/>
                <w:iCs/>
                <w:sz w:val="20"/>
                <w:lang w:val="en-US"/>
              </w:rPr>
            </w:pPr>
            <w:r w:rsidRPr="007D1EF7">
              <w:rPr>
                <w:i/>
                <w:iCs/>
                <w:sz w:val="20"/>
                <w:lang w:val="en-US"/>
              </w:rPr>
              <w:lastRenderedPageBreak/>
              <w:t>Notes relating to Table 1:</w:t>
            </w:r>
          </w:p>
          <w:p w:rsidR="00C364DC" w:rsidRPr="007D1EF7" w:rsidRDefault="00C364DC" w:rsidP="00C364DC">
            <w:pPr>
              <w:pStyle w:val="Tablelegend"/>
              <w:rPr>
                <w:sz w:val="20"/>
                <w:lang w:val="en-US"/>
              </w:rPr>
            </w:pPr>
            <w:r w:rsidRPr="007D1EF7">
              <w:rPr>
                <w:sz w:val="20"/>
                <w:vertAlign w:val="superscript"/>
                <w:lang w:val="en-US"/>
              </w:rPr>
              <w:t>(1)</w:t>
            </w:r>
            <w:r w:rsidRPr="007D1EF7">
              <w:rPr>
                <w:sz w:val="20"/>
                <w:lang w:val="en-US"/>
              </w:rPr>
              <w:tab/>
              <w:t>Power-spectral density in-band.</w:t>
            </w:r>
          </w:p>
          <w:p w:rsidR="00C364DC" w:rsidRPr="007D1EF7" w:rsidRDefault="00C364DC" w:rsidP="00720C6D">
            <w:pPr>
              <w:pStyle w:val="Tablelegend"/>
              <w:rPr>
                <w:sz w:val="20"/>
                <w:lang w:val="en-US"/>
              </w:rPr>
            </w:pPr>
            <w:r w:rsidRPr="007D1EF7">
              <w:rPr>
                <w:sz w:val="20"/>
                <w:vertAlign w:val="superscript"/>
                <w:lang w:val="en-US"/>
              </w:rPr>
              <w:t>(2)</w:t>
            </w:r>
            <w:r w:rsidRPr="007D1EF7">
              <w:rPr>
                <w:sz w:val="20"/>
                <w:lang w:val="en-US"/>
              </w:rPr>
              <w:tab/>
              <w:t xml:space="preserve">Single carrier </w:t>
            </w:r>
            <w:r w:rsidR="00720C6D" w:rsidRPr="007D1EF7">
              <w:rPr>
                <w:sz w:val="20"/>
                <w:lang w:val="en-US"/>
              </w:rPr>
              <w:t>OoB</w:t>
            </w:r>
            <w:r w:rsidRPr="007D1EF7">
              <w:rPr>
                <w:sz w:val="20"/>
                <w:lang w:val="en-US"/>
              </w:rPr>
              <w:t xml:space="preserve"> attenuation at 23.183 GHz assuming § 5 of Annex 5 of Recommendation ITU</w:t>
            </w:r>
            <w:r w:rsidR="00720C6D" w:rsidRPr="007D1EF7">
              <w:rPr>
                <w:sz w:val="20"/>
                <w:lang w:val="en-US"/>
              </w:rPr>
              <w:noBreakHyphen/>
            </w:r>
            <w:r w:rsidRPr="007D1EF7">
              <w:rPr>
                <w:sz w:val="20"/>
                <w:lang w:val="en-US"/>
              </w:rPr>
              <w:t>R SM.1541.</w:t>
            </w:r>
          </w:p>
          <w:p w:rsidR="00C364DC" w:rsidRPr="007D1EF7" w:rsidRDefault="00C364DC" w:rsidP="00720C6D">
            <w:pPr>
              <w:pStyle w:val="Tablelegend"/>
              <w:rPr>
                <w:sz w:val="20"/>
                <w:lang w:val="en-US"/>
              </w:rPr>
            </w:pPr>
            <w:r w:rsidRPr="007D1EF7">
              <w:rPr>
                <w:sz w:val="20"/>
                <w:vertAlign w:val="superscript"/>
                <w:lang w:val="en-US"/>
              </w:rPr>
              <w:t>(3)</w:t>
            </w:r>
            <w:r w:rsidRPr="007D1EF7">
              <w:rPr>
                <w:sz w:val="20"/>
                <w:lang w:val="en-US"/>
              </w:rPr>
              <w:tab/>
              <w:t xml:space="preserve">Single carrier </w:t>
            </w:r>
            <w:r w:rsidR="00720C6D" w:rsidRPr="007D1EF7">
              <w:rPr>
                <w:sz w:val="20"/>
                <w:lang w:val="en-US"/>
              </w:rPr>
              <w:t>OoB</w:t>
            </w:r>
            <w:r w:rsidRPr="007D1EF7">
              <w:rPr>
                <w:sz w:val="20"/>
                <w:lang w:val="en-US"/>
              </w:rPr>
              <w:t xml:space="preserve"> power-spectral density at 23.183 GHz assuming § 5 of Annex 5 of Recommendation ITU</w:t>
            </w:r>
            <w:r w:rsidR="00720C6D" w:rsidRPr="007D1EF7">
              <w:rPr>
                <w:sz w:val="20"/>
                <w:lang w:val="en-US"/>
              </w:rPr>
              <w:noBreakHyphen/>
            </w:r>
            <w:r w:rsidRPr="007D1EF7">
              <w:rPr>
                <w:sz w:val="20"/>
                <w:lang w:val="en-US"/>
              </w:rPr>
              <w:t>R</w:t>
            </w:r>
            <w:r w:rsidR="00720C6D" w:rsidRPr="007D1EF7">
              <w:rPr>
                <w:sz w:val="20"/>
                <w:lang w:val="en-US"/>
              </w:rPr>
              <w:t> </w:t>
            </w:r>
            <w:r w:rsidRPr="007D1EF7">
              <w:rPr>
                <w:sz w:val="20"/>
                <w:lang w:val="en-US"/>
              </w:rPr>
              <w:t>SM.1541.</w:t>
            </w:r>
          </w:p>
          <w:p w:rsidR="00C364DC" w:rsidRPr="007D1EF7" w:rsidRDefault="00C364DC" w:rsidP="00720C6D">
            <w:pPr>
              <w:pStyle w:val="Tablelegend"/>
              <w:rPr>
                <w:sz w:val="20"/>
                <w:lang w:val="en-US"/>
              </w:rPr>
            </w:pPr>
            <w:r w:rsidRPr="007D1EF7">
              <w:rPr>
                <w:sz w:val="20"/>
                <w:vertAlign w:val="superscript"/>
                <w:lang w:val="en-US"/>
              </w:rPr>
              <w:t>(4)</w:t>
            </w:r>
            <w:r w:rsidRPr="007D1EF7">
              <w:rPr>
                <w:sz w:val="20"/>
                <w:lang w:val="en-US"/>
              </w:rPr>
              <w:tab/>
              <w:t>NOTE 1 − Annex 5 of Recommendation ITU-R SM.1541 specifies out-of-band emissions limits, and can be applied to antennas transmitting in both single-carrier mode and multi-carrier mode. Recommendation ITU</w:t>
            </w:r>
            <w:r w:rsidR="00720C6D" w:rsidRPr="007D1EF7">
              <w:rPr>
                <w:sz w:val="20"/>
                <w:lang w:val="en-US"/>
              </w:rPr>
              <w:noBreakHyphen/>
            </w:r>
            <w:r w:rsidRPr="007D1EF7">
              <w:rPr>
                <w:sz w:val="20"/>
                <w:lang w:val="en-US"/>
              </w:rPr>
              <w:t>R</w:t>
            </w:r>
            <w:r w:rsidR="00720C6D" w:rsidRPr="007D1EF7">
              <w:rPr>
                <w:sz w:val="20"/>
                <w:lang w:val="en-US"/>
              </w:rPr>
              <w:t> </w:t>
            </w:r>
            <w:r w:rsidRPr="007D1EF7">
              <w:rPr>
                <w:sz w:val="20"/>
                <w:lang w:val="en-US"/>
              </w:rPr>
              <w:t>SM.1541 is applicable to the space research service in the range 1</w:t>
            </w:r>
            <w:r w:rsidRPr="007D1EF7">
              <w:rPr>
                <w:sz w:val="20"/>
                <w:lang w:val="en-US"/>
              </w:rPr>
              <w:noBreakHyphen/>
              <w:t>20 GHz. These attenuation figures are derived assuming that a single SRS carrier is transmitted, and that the mask can be applied slightly above 20 GHz. Wider SRS carriers may cause higher OoB emissions at 23.183 GHz due to the higher bandwidth. However, this methodology assumes a flat attenuation of 42 dB beyond 250% of necessary bandwidth, and so may result in an overestimate of the actual OoB attenuation for channels further away from the band edge.</w:t>
            </w:r>
          </w:p>
        </w:tc>
      </w:tr>
    </w:tbl>
    <w:p w:rsidR="00C364DC" w:rsidRPr="006C2078" w:rsidRDefault="00C364DC" w:rsidP="00C364DC">
      <w:pPr>
        <w:pStyle w:val="Tablefin"/>
      </w:pPr>
    </w:p>
    <w:p w:rsidR="00AA2BE3" w:rsidRPr="007D1EF7" w:rsidRDefault="00AA2BE3" w:rsidP="00AA2BE3">
      <w:pPr>
        <w:rPr>
          <w:lang w:val="en-US"/>
        </w:rPr>
      </w:pPr>
      <w:r w:rsidRPr="007D1EF7">
        <w:rPr>
          <w:lang w:val="en-US"/>
        </w:rPr>
        <w:t>The above scenario results in 32 channels. Another scenario studied assumed 15 earth stations, each of them transmitting with maximum power on three different channels, i.e. 45 channels simultaneously active within the entire allocation.</w:t>
      </w:r>
    </w:p>
    <w:p w:rsidR="00AA2BE3" w:rsidRPr="007D1EF7" w:rsidRDefault="00AA2BE3" w:rsidP="00192341">
      <w:pPr>
        <w:pStyle w:val="Heading1"/>
        <w:rPr>
          <w:lang w:val="en-US"/>
        </w:rPr>
      </w:pPr>
      <w:bookmarkStart w:id="8" w:name="_Toc277668572"/>
      <w:r w:rsidRPr="007D1EF7">
        <w:rPr>
          <w:lang w:val="en-US"/>
        </w:rPr>
        <w:t>3</w:t>
      </w:r>
      <w:r w:rsidRPr="007D1EF7">
        <w:rPr>
          <w:lang w:val="en-US"/>
        </w:rPr>
        <w:tab/>
        <w:t>Assumed characteristics for the HIBLEO-2/Ka system</w:t>
      </w:r>
      <w:bookmarkEnd w:id="8"/>
    </w:p>
    <w:p w:rsidR="00AA2BE3" w:rsidRPr="007D1EF7" w:rsidRDefault="00AA2BE3" w:rsidP="00AA2BE3">
      <w:pPr>
        <w:rPr>
          <w:lang w:val="en-US"/>
        </w:rPr>
      </w:pPr>
      <w:r w:rsidRPr="007D1EF7">
        <w:rPr>
          <w:lang w:val="en-US"/>
        </w:rPr>
        <w:t>HIBLEO-2 is a non-geostationary-satellite orbit (non-GSO) mobile-satellite service (MSS) system providing ubiquitous fully global coverage to handheld equipment of users in motion. Its constellation consists of 66 satellites arranged in 6 planes of near polar circular orbits at an altitude of 780 km, with 11 satellites per plane. The inclination angle is 86.5º. The links use antennas with maximum gain of 36.7 dBi with 3 dB beamwidths of 2.4º.</w:t>
      </w:r>
    </w:p>
    <w:p w:rsidR="00AA2BE3" w:rsidRPr="007D1EF7" w:rsidRDefault="00AA2BE3" w:rsidP="00AA2BE3">
      <w:pPr>
        <w:pStyle w:val="Heading2"/>
        <w:rPr>
          <w:lang w:val="en-US"/>
        </w:rPr>
      </w:pPr>
      <w:bookmarkStart w:id="9" w:name="_Toc277668573"/>
      <w:r w:rsidRPr="007D1EF7">
        <w:rPr>
          <w:lang w:val="en-US"/>
        </w:rPr>
        <w:t>3.1</w:t>
      </w:r>
      <w:r w:rsidRPr="007D1EF7">
        <w:rPr>
          <w:lang w:val="en-US"/>
        </w:rPr>
        <w:tab/>
        <w:t>Non-GSO-to-non-GSO ISL characteristics of HIBLEO-2 type system</w:t>
      </w:r>
      <w:bookmarkEnd w:id="9"/>
    </w:p>
    <w:p w:rsidR="00AA2BE3" w:rsidRPr="007D1EF7" w:rsidRDefault="00AA2BE3" w:rsidP="00720C6D">
      <w:pPr>
        <w:rPr>
          <w:lang w:val="en-US"/>
        </w:rPr>
      </w:pPr>
      <w:r w:rsidRPr="007D1EF7">
        <w:rPr>
          <w:lang w:val="en-US"/>
        </w:rPr>
        <w:t xml:space="preserve">The technical characteristics of a receiving ISL satellite in a non-GSO orbit are given in Table 2. The orbital parameters are provided in Table 3. </w:t>
      </w:r>
    </w:p>
    <w:p w:rsidR="004B57AE" w:rsidRPr="007D1EF7" w:rsidRDefault="004B57AE" w:rsidP="00720C6D">
      <w:pPr>
        <w:rPr>
          <w:lang w:val="en-US"/>
        </w:rPr>
      </w:pPr>
    </w:p>
    <w:p w:rsidR="00AA2BE3" w:rsidRPr="007D1EF7" w:rsidRDefault="00192341" w:rsidP="00AA2BE3">
      <w:pPr>
        <w:pStyle w:val="TableNo"/>
        <w:rPr>
          <w:lang w:val="en-US"/>
        </w:rPr>
      </w:pPr>
      <w:r w:rsidRPr="007D1EF7">
        <w:rPr>
          <w:lang w:val="en-US"/>
        </w:rPr>
        <w:t>TABLE</w:t>
      </w:r>
      <w:r w:rsidR="00AA2BE3" w:rsidRPr="007D1EF7">
        <w:rPr>
          <w:lang w:val="en-US"/>
        </w:rPr>
        <w:t xml:space="preserve"> 2</w:t>
      </w:r>
    </w:p>
    <w:p w:rsidR="00AA2BE3" w:rsidRPr="007D1EF7" w:rsidRDefault="00AA2BE3" w:rsidP="00AA2BE3">
      <w:pPr>
        <w:pStyle w:val="Tabletitle"/>
        <w:rPr>
          <w:lang w:val="en-US"/>
        </w:rPr>
      </w:pPr>
      <w:r w:rsidRPr="007D1EF7">
        <w:rPr>
          <w:lang w:val="en-US"/>
        </w:rPr>
        <w:t>HIBLEO-2 system ISL specifications</w:t>
      </w:r>
    </w:p>
    <w:tbl>
      <w:tblPr>
        <w:tblW w:w="9639"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F"/>
      </w:tblPr>
      <w:tblGrid>
        <w:gridCol w:w="3827"/>
        <w:gridCol w:w="5812"/>
      </w:tblGrid>
      <w:tr w:rsidR="00AA2BE3" w:rsidRPr="006C2078" w:rsidTr="00BF3C71">
        <w:trPr>
          <w:jc w:val="center"/>
        </w:trPr>
        <w:tc>
          <w:tcPr>
            <w:tcW w:w="3827" w:type="dxa"/>
            <w:tcBorders>
              <w:top w:val="single" w:sz="4" w:space="0" w:color="auto"/>
            </w:tcBorders>
            <w:shd w:val="clear" w:color="auto" w:fill="FFFFFF"/>
          </w:tcPr>
          <w:p w:rsidR="00AA2BE3" w:rsidRPr="006C2078" w:rsidRDefault="00AA2BE3" w:rsidP="00192341">
            <w:pPr>
              <w:pStyle w:val="Tablehead"/>
            </w:pPr>
            <w:r w:rsidRPr="006C2078">
              <w:t>System parameter</w:t>
            </w:r>
          </w:p>
        </w:tc>
        <w:tc>
          <w:tcPr>
            <w:tcW w:w="5812" w:type="dxa"/>
            <w:tcBorders>
              <w:top w:val="single" w:sz="4" w:space="0" w:color="auto"/>
            </w:tcBorders>
            <w:shd w:val="clear" w:color="auto" w:fill="FFFFFF"/>
          </w:tcPr>
          <w:p w:rsidR="00AA2BE3" w:rsidRPr="006C2078" w:rsidRDefault="00AA2BE3" w:rsidP="00192341">
            <w:pPr>
              <w:pStyle w:val="Tablehead"/>
            </w:pPr>
            <w:r w:rsidRPr="006C2078">
              <w:t>Value</w:t>
            </w:r>
          </w:p>
        </w:tc>
      </w:tr>
      <w:tr w:rsidR="00AA2BE3" w:rsidRPr="006C2078" w:rsidTr="00BF3C71">
        <w:trPr>
          <w:jc w:val="center"/>
        </w:trPr>
        <w:tc>
          <w:tcPr>
            <w:tcW w:w="3827" w:type="dxa"/>
            <w:shd w:val="clear" w:color="auto" w:fill="FFFFFF"/>
          </w:tcPr>
          <w:p w:rsidR="00AA2BE3" w:rsidRPr="006C2078" w:rsidRDefault="00AA2BE3" w:rsidP="006E5757">
            <w:pPr>
              <w:pStyle w:val="Tabletext"/>
              <w:keepNext/>
              <w:jc w:val="left"/>
            </w:pPr>
            <w:r w:rsidRPr="006C2078">
              <w:t>Number of satellite planes</w:t>
            </w:r>
          </w:p>
        </w:tc>
        <w:tc>
          <w:tcPr>
            <w:tcW w:w="5812" w:type="dxa"/>
            <w:shd w:val="clear" w:color="auto" w:fill="FFFFFF"/>
          </w:tcPr>
          <w:p w:rsidR="00AA2BE3" w:rsidRPr="006C2078" w:rsidRDefault="00AA2BE3" w:rsidP="006E5757">
            <w:pPr>
              <w:pStyle w:val="Tabletext"/>
              <w:keepNext/>
              <w:jc w:val="center"/>
            </w:pPr>
            <w:r w:rsidRPr="006C2078">
              <w:t>6</w:t>
            </w:r>
          </w:p>
        </w:tc>
      </w:tr>
      <w:tr w:rsidR="00AA2BE3" w:rsidRPr="006C2078" w:rsidTr="00BF3C71">
        <w:trPr>
          <w:jc w:val="center"/>
        </w:trPr>
        <w:tc>
          <w:tcPr>
            <w:tcW w:w="3827" w:type="dxa"/>
            <w:shd w:val="clear" w:color="auto" w:fill="FFFFFF"/>
          </w:tcPr>
          <w:p w:rsidR="00AA2BE3" w:rsidRPr="007D1EF7" w:rsidRDefault="00AA2BE3" w:rsidP="006E5757">
            <w:pPr>
              <w:pStyle w:val="Tabletext"/>
              <w:keepNext/>
              <w:jc w:val="left"/>
              <w:rPr>
                <w:lang w:val="en-US"/>
              </w:rPr>
            </w:pPr>
            <w:r w:rsidRPr="007D1EF7">
              <w:rPr>
                <w:lang w:val="en-US"/>
              </w:rPr>
              <w:t>Number of satellites per plane</w:t>
            </w:r>
          </w:p>
        </w:tc>
        <w:tc>
          <w:tcPr>
            <w:tcW w:w="5812" w:type="dxa"/>
            <w:shd w:val="clear" w:color="auto" w:fill="FFFFFF"/>
          </w:tcPr>
          <w:p w:rsidR="00AA2BE3" w:rsidRPr="006C2078" w:rsidRDefault="00AA2BE3" w:rsidP="006E5757">
            <w:pPr>
              <w:pStyle w:val="Tabletext"/>
              <w:keepNext/>
              <w:jc w:val="center"/>
            </w:pPr>
            <w:r w:rsidRPr="006C2078">
              <w:t>11</w:t>
            </w:r>
          </w:p>
        </w:tc>
      </w:tr>
      <w:tr w:rsidR="00AA2BE3" w:rsidRPr="006C2078" w:rsidTr="00BF3C71">
        <w:trPr>
          <w:jc w:val="center"/>
        </w:trPr>
        <w:tc>
          <w:tcPr>
            <w:tcW w:w="3827" w:type="dxa"/>
            <w:shd w:val="clear" w:color="auto" w:fill="FFFFFF"/>
          </w:tcPr>
          <w:p w:rsidR="00AA2BE3" w:rsidRPr="006C2078" w:rsidRDefault="00AA2BE3" w:rsidP="00192341">
            <w:pPr>
              <w:pStyle w:val="Tabletext"/>
              <w:jc w:val="left"/>
            </w:pPr>
            <w:r w:rsidRPr="006C2078">
              <w:t>Nominal altitude</w:t>
            </w:r>
          </w:p>
        </w:tc>
        <w:tc>
          <w:tcPr>
            <w:tcW w:w="5812" w:type="dxa"/>
            <w:shd w:val="clear" w:color="auto" w:fill="FFFFFF"/>
          </w:tcPr>
          <w:p w:rsidR="00AA2BE3" w:rsidRPr="006C2078" w:rsidRDefault="00AA2BE3" w:rsidP="00C364DC">
            <w:pPr>
              <w:pStyle w:val="Tabletext"/>
              <w:jc w:val="center"/>
            </w:pPr>
            <w:r w:rsidRPr="006C2078">
              <w:t>780 (km)</w:t>
            </w:r>
          </w:p>
        </w:tc>
      </w:tr>
      <w:tr w:rsidR="00AA2BE3" w:rsidRPr="003B6E9A" w:rsidTr="00BF3C71">
        <w:trPr>
          <w:jc w:val="center"/>
        </w:trPr>
        <w:tc>
          <w:tcPr>
            <w:tcW w:w="3827" w:type="dxa"/>
            <w:shd w:val="clear" w:color="auto" w:fill="FFFFFF"/>
          </w:tcPr>
          <w:p w:rsidR="00AA2BE3" w:rsidRPr="006C2078" w:rsidRDefault="00AA2BE3" w:rsidP="00192341">
            <w:pPr>
              <w:pStyle w:val="Tabletext"/>
              <w:jc w:val="left"/>
            </w:pPr>
            <w:r w:rsidRPr="006C2078">
              <w:t>Orbit type</w:t>
            </w:r>
          </w:p>
        </w:tc>
        <w:tc>
          <w:tcPr>
            <w:tcW w:w="5812" w:type="dxa"/>
            <w:shd w:val="clear" w:color="auto" w:fill="FFFFFF"/>
          </w:tcPr>
          <w:p w:rsidR="00AA2BE3" w:rsidRPr="007D1EF7" w:rsidRDefault="00AA2BE3" w:rsidP="00C364DC">
            <w:pPr>
              <w:pStyle w:val="Tabletext"/>
              <w:jc w:val="center"/>
              <w:rPr>
                <w:lang w:val="en-US"/>
              </w:rPr>
            </w:pPr>
            <w:r w:rsidRPr="007D1EF7">
              <w:rPr>
                <w:lang w:val="en-US"/>
              </w:rPr>
              <w:t>Circular polar (inclination angle of 86.5</w:t>
            </w:r>
            <w:r w:rsidRPr="006C2078">
              <w:rPr>
                <w:rFonts w:ascii="Symbol" w:hAnsi="Symbol"/>
              </w:rPr>
              <w:t></w:t>
            </w:r>
            <w:r w:rsidRPr="007D1EF7">
              <w:rPr>
                <w:lang w:val="en-US"/>
              </w:rPr>
              <w:t>)</w:t>
            </w:r>
          </w:p>
        </w:tc>
      </w:tr>
      <w:tr w:rsidR="00AA2BE3" w:rsidRPr="003B6E9A" w:rsidTr="00BF3C71">
        <w:trPr>
          <w:jc w:val="center"/>
        </w:trPr>
        <w:tc>
          <w:tcPr>
            <w:tcW w:w="3827" w:type="dxa"/>
            <w:shd w:val="clear" w:color="auto" w:fill="FFFFFF"/>
          </w:tcPr>
          <w:p w:rsidR="00AA2BE3" w:rsidRPr="006C2078" w:rsidRDefault="00AA2BE3" w:rsidP="00192341">
            <w:pPr>
              <w:pStyle w:val="Tabletext"/>
              <w:jc w:val="left"/>
            </w:pPr>
            <w:r w:rsidRPr="006C2078">
              <w:t>Necessary bandwidth</w:t>
            </w:r>
          </w:p>
        </w:tc>
        <w:tc>
          <w:tcPr>
            <w:tcW w:w="5812" w:type="dxa"/>
            <w:shd w:val="clear" w:color="auto" w:fill="FFFFFF"/>
          </w:tcPr>
          <w:p w:rsidR="00AA2BE3" w:rsidRPr="007D1EF7" w:rsidRDefault="00AA2BE3" w:rsidP="00C364DC">
            <w:pPr>
              <w:pStyle w:val="Tabletext"/>
              <w:jc w:val="center"/>
              <w:rPr>
                <w:lang w:val="en-US"/>
              </w:rPr>
            </w:pPr>
            <w:r w:rsidRPr="007D1EF7">
              <w:rPr>
                <w:lang w:val="en-US"/>
              </w:rPr>
              <w:t xml:space="preserve">8 </w:t>
            </w:r>
            <w:r w:rsidRPr="006C2078">
              <w:rPr>
                <w:rFonts w:ascii="Symbol" w:hAnsi="Symbol"/>
              </w:rPr>
              <w:t></w:t>
            </w:r>
            <w:r w:rsidRPr="007D1EF7">
              <w:rPr>
                <w:lang w:val="en-US"/>
              </w:rPr>
              <w:t xml:space="preserve"> 19 MHz channels (total bandwidth 194 MHz)</w:t>
            </w:r>
          </w:p>
        </w:tc>
      </w:tr>
      <w:tr w:rsidR="00AA2BE3" w:rsidRPr="003B6E9A" w:rsidTr="00BF3C71">
        <w:trPr>
          <w:jc w:val="center"/>
        </w:trPr>
        <w:tc>
          <w:tcPr>
            <w:tcW w:w="3827" w:type="dxa"/>
            <w:shd w:val="clear" w:color="auto" w:fill="FFFFFF"/>
          </w:tcPr>
          <w:p w:rsidR="00AA2BE3" w:rsidRPr="006C2078" w:rsidRDefault="00AA2BE3" w:rsidP="00192341">
            <w:pPr>
              <w:pStyle w:val="Tabletext"/>
              <w:jc w:val="left"/>
            </w:pPr>
            <w:r w:rsidRPr="006C2078">
              <w:t>Peak power</w:t>
            </w:r>
          </w:p>
        </w:tc>
        <w:tc>
          <w:tcPr>
            <w:tcW w:w="5812" w:type="dxa"/>
            <w:shd w:val="clear" w:color="auto" w:fill="FFFFFF"/>
          </w:tcPr>
          <w:p w:rsidR="00AA2BE3" w:rsidRPr="007D1EF7" w:rsidRDefault="00AA2BE3" w:rsidP="00C364DC">
            <w:pPr>
              <w:pStyle w:val="Tabletext"/>
              <w:jc w:val="center"/>
              <w:rPr>
                <w:lang w:val="en-US"/>
              </w:rPr>
            </w:pPr>
            <w:r w:rsidRPr="007D1EF7">
              <w:rPr>
                <w:lang w:val="en-US"/>
              </w:rPr>
              <w:t>3.5 dBW for the total 8 links</w:t>
            </w:r>
          </w:p>
        </w:tc>
      </w:tr>
      <w:tr w:rsidR="00AA2BE3" w:rsidRPr="006C2078" w:rsidTr="00BF3C71">
        <w:trPr>
          <w:jc w:val="center"/>
        </w:trPr>
        <w:tc>
          <w:tcPr>
            <w:tcW w:w="3827" w:type="dxa"/>
            <w:shd w:val="clear" w:color="auto" w:fill="FFFFFF"/>
          </w:tcPr>
          <w:p w:rsidR="00AA2BE3" w:rsidRPr="006C2078" w:rsidRDefault="00AA2BE3" w:rsidP="00192341">
            <w:pPr>
              <w:pStyle w:val="Tabletext"/>
              <w:jc w:val="left"/>
            </w:pPr>
            <w:r w:rsidRPr="006C2078">
              <w:t>Antenna gain</w:t>
            </w:r>
          </w:p>
        </w:tc>
        <w:tc>
          <w:tcPr>
            <w:tcW w:w="5812" w:type="dxa"/>
            <w:shd w:val="clear" w:color="auto" w:fill="FFFFFF"/>
          </w:tcPr>
          <w:p w:rsidR="00AA2BE3" w:rsidRPr="006C2078" w:rsidRDefault="00AA2BE3" w:rsidP="00C364DC">
            <w:pPr>
              <w:pStyle w:val="Tabletext"/>
              <w:jc w:val="center"/>
            </w:pPr>
            <w:r w:rsidRPr="006C2078">
              <w:t>36.7 dBi</w:t>
            </w:r>
          </w:p>
        </w:tc>
      </w:tr>
      <w:tr w:rsidR="00AA2BE3" w:rsidRPr="006C2078" w:rsidTr="00BF3C71">
        <w:trPr>
          <w:jc w:val="center"/>
        </w:trPr>
        <w:tc>
          <w:tcPr>
            <w:tcW w:w="3827" w:type="dxa"/>
            <w:shd w:val="clear" w:color="auto" w:fill="FFFFFF"/>
          </w:tcPr>
          <w:p w:rsidR="00AA2BE3" w:rsidRPr="006C2078" w:rsidRDefault="00AA2BE3" w:rsidP="00192341">
            <w:pPr>
              <w:pStyle w:val="Tabletext"/>
              <w:jc w:val="left"/>
            </w:pPr>
            <w:r w:rsidRPr="006C2078">
              <w:t>Receiver noise temperature</w:t>
            </w:r>
          </w:p>
        </w:tc>
        <w:tc>
          <w:tcPr>
            <w:tcW w:w="5812" w:type="dxa"/>
            <w:shd w:val="clear" w:color="auto" w:fill="FFFFFF"/>
          </w:tcPr>
          <w:p w:rsidR="00AA2BE3" w:rsidRPr="006C2078" w:rsidRDefault="00AA2BE3" w:rsidP="00C364DC">
            <w:pPr>
              <w:pStyle w:val="Tabletext"/>
              <w:jc w:val="center"/>
            </w:pPr>
            <w:r w:rsidRPr="006C2078">
              <w:t>877 K (29.4 dBK)</w:t>
            </w:r>
          </w:p>
        </w:tc>
      </w:tr>
      <w:tr w:rsidR="00AA2BE3" w:rsidRPr="006C2078" w:rsidTr="00BF3C71">
        <w:trPr>
          <w:jc w:val="center"/>
        </w:trPr>
        <w:tc>
          <w:tcPr>
            <w:tcW w:w="3827" w:type="dxa"/>
            <w:shd w:val="clear" w:color="auto" w:fill="FFFFFF"/>
          </w:tcPr>
          <w:p w:rsidR="00AA2BE3" w:rsidRPr="006C2078" w:rsidRDefault="00AA2BE3" w:rsidP="00192341">
            <w:pPr>
              <w:pStyle w:val="Tabletext"/>
              <w:jc w:val="left"/>
            </w:pPr>
            <w:r w:rsidRPr="006C2078">
              <w:t>Rx: reference radiation pattern</w:t>
            </w:r>
          </w:p>
        </w:tc>
        <w:tc>
          <w:tcPr>
            <w:tcW w:w="5812" w:type="dxa"/>
            <w:shd w:val="clear" w:color="auto" w:fill="FFFFFF"/>
          </w:tcPr>
          <w:p w:rsidR="00AA2BE3" w:rsidRPr="006C2078" w:rsidRDefault="00AA2BE3" w:rsidP="002B45AE">
            <w:pPr>
              <w:pStyle w:val="Tabletext"/>
              <w:jc w:val="center"/>
            </w:pPr>
            <w:r w:rsidRPr="006C2078">
              <w:t xml:space="preserve">see </w:t>
            </w:r>
            <w:r w:rsidR="002B45AE">
              <w:t>§ 3.2</w:t>
            </w:r>
          </w:p>
        </w:tc>
      </w:tr>
      <w:tr w:rsidR="00AA2BE3" w:rsidRPr="003B6E9A" w:rsidTr="00BF3C71">
        <w:trPr>
          <w:jc w:val="center"/>
        </w:trPr>
        <w:tc>
          <w:tcPr>
            <w:tcW w:w="3827" w:type="dxa"/>
            <w:tcBorders>
              <w:bottom w:val="single" w:sz="4" w:space="0" w:color="auto"/>
            </w:tcBorders>
            <w:shd w:val="clear" w:color="auto" w:fill="FFFFFF"/>
          </w:tcPr>
          <w:p w:rsidR="00AA2BE3" w:rsidRPr="006C2078" w:rsidRDefault="00AA2BE3" w:rsidP="00192341">
            <w:pPr>
              <w:pStyle w:val="Tabletext"/>
              <w:jc w:val="left"/>
            </w:pPr>
            <w:r w:rsidRPr="006C2078">
              <w:t>Rx: antenna pointing</w:t>
            </w:r>
          </w:p>
        </w:tc>
        <w:tc>
          <w:tcPr>
            <w:tcW w:w="5812" w:type="dxa"/>
            <w:tcBorders>
              <w:bottom w:val="single" w:sz="4" w:space="0" w:color="auto"/>
            </w:tcBorders>
            <w:shd w:val="clear" w:color="auto" w:fill="FFFFFF"/>
            <w:vAlign w:val="center"/>
          </w:tcPr>
          <w:p w:rsidR="00AA2BE3" w:rsidRPr="007D1EF7" w:rsidRDefault="00AA2BE3" w:rsidP="00C364DC">
            <w:pPr>
              <w:pStyle w:val="Tabletext"/>
              <w:jc w:val="center"/>
              <w:rPr>
                <w:lang w:val="en-US"/>
              </w:rPr>
            </w:pPr>
            <w:r w:rsidRPr="007D1EF7">
              <w:rPr>
                <w:lang w:val="en-US"/>
              </w:rPr>
              <w:t>Towards intra-planar satellites: N, S</w:t>
            </w:r>
            <w:r w:rsidRPr="007D1EF7">
              <w:rPr>
                <w:lang w:val="en-US"/>
              </w:rPr>
              <w:br/>
              <w:t>Towards inter-planar satellites: NE or SE, NW or SW</w:t>
            </w:r>
          </w:p>
        </w:tc>
      </w:tr>
    </w:tbl>
    <w:p w:rsidR="00AA2BE3" w:rsidRDefault="00AA2BE3" w:rsidP="00192341">
      <w:pPr>
        <w:pStyle w:val="Tablefin"/>
      </w:pPr>
    </w:p>
    <w:p w:rsidR="00AA2BE3" w:rsidRPr="007D1EF7" w:rsidRDefault="00192341" w:rsidP="00AA2BE3">
      <w:pPr>
        <w:pStyle w:val="TableNo"/>
        <w:rPr>
          <w:lang w:val="en-US"/>
        </w:rPr>
      </w:pPr>
      <w:r w:rsidRPr="007D1EF7">
        <w:rPr>
          <w:lang w:val="en-US"/>
        </w:rPr>
        <w:lastRenderedPageBreak/>
        <w:t>TABLE</w:t>
      </w:r>
      <w:r w:rsidR="00AA2BE3" w:rsidRPr="007D1EF7">
        <w:rPr>
          <w:lang w:val="en-US"/>
        </w:rPr>
        <w:t xml:space="preserve"> 3</w:t>
      </w:r>
    </w:p>
    <w:p w:rsidR="00AA2BE3" w:rsidRPr="007D1EF7" w:rsidRDefault="00AA2BE3" w:rsidP="00AA2BE3">
      <w:pPr>
        <w:pStyle w:val="Tabletitle"/>
        <w:rPr>
          <w:lang w:val="en-US"/>
        </w:rPr>
      </w:pPr>
      <w:r w:rsidRPr="007D1EF7">
        <w:rPr>
          <w:lang w:val="en-US"/>
        </w:rPr>
        <w:t xml:space="preserve">Relative right ascension of the ascending node (RAAN) and argument </w:t>
      </w:r>
      <w:r w:rsidRPr="007D1EF7">
        <w:rPr>
          <w:lang w:val="en-US"/>
        </w:rPr>
        <w:br/>
        <w:t>of latitude at epoch of HIBLEO-2 constellation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90"/>
        <w:gridCol w:w="1786"/>
        <w:gridCol w:w="1458"/>
        <w:gridCol w:w="1829"/>
        <w:gridCol w:w="1415"/>
        <w:gridCol w:w="1761"/>
      </w:tblGrid>
      <w:tr w:rsidR="00AA2BE3" w:rsidRPr="006C2078" w:rsidTr="006E5757">
        <w:trPr>
          <w:tblHeader/>
          <w:jc w:val="center"/>
        </w:trPr>
        <w:tc>
          <w:tcPr>
            <w:tcW w:w="3176" w:type="dxa"/>
            <w:gridSpan w:val="2"/>
            <w:shd w:val="clear" w:color="auto" w:fill="FFFFFF"/>
          </w:tcPr>
          <w:p w:rsidR="00AA2BE3" w:rsidRPr="006C2078" w:rsidRDefault="00AA2BE3" w:rsidP="00192341">
            <w:pPr>
              <w:pStyle w:val="Tablehead"/>
            </w:pPr>
            <w:r w:rsidRPr="006C2078">
              <w:t>Plane 1</w:t>
            </w:r>
            <w:r w:rsidRPr="006C2078">
              <w:br/>
            </w:r>
            <w:r w:rsidRPr="00C364DC">
              <w:rPr>
                <w:b w:val="0"/>
                <w:bCs/>
              </w:rPr>
              <w:t>Relative RAAN = 0</w:t>
            </w:r>
            <w:r w:rsidRPr="00C364DC">
              <w:rPr>
                <w:b w:val="0"/>
                <w:bCs/>
                <w:vertAlign w:val="superscript"/>
              </w:rPr>
              <w:t>o</w:t>
            </w:r>
          </w:p>
        </w:tc>
        <w:tc>
          <w:tcPr>
            <w:tcW w:w="3287" w:type="dxa"/>
            <w:gridSpan w:val="2"/>
            <w:shd w:val="clear" w:color="auto" w:fill="FFFFFF"/>
          </w:tcPr>
          <w:p w:rsidR="00AA2BE3" w:rsidRPr="006C2078" w:rsidRDefault="00AA2BE3" w:rsidP="00192341">
            <w:pPr>
              <w:pStyle w:val="Tablehead"/>
            </w:pPr>
            <w:r w:rsidRPr="006C2078">
              <w:t>Plane 2</w:t>
            </w:r>
            <w:r w:rsidRPr="006C2078">
              <w:br/>
            </w:r>
            <w:r w:rsidRPr="00C364DC">
              <w:rPr>
                <w:b w:val="0"/>
                <w:bCs/>
              </w:rPr>
              <w:t>Relative RAAN = 31.6</w:t>
            </w:r>
            <w:r w:rsidRPr="00C364DC">
              <w:rPr>
                <w:b w:val="0"/>
                <w:bCs/>
                <w:vertAlign w:val="superscript"/>
              </w:rPr>
              <w:t>o</w:t>
            </w:r>
          </w:p>
        </w:tc>
        <w:tc>
          <w:tcPr>
            <w:tcW w:w="3176" w:type="dxa"/>
            <w:gridSpan w:val="2"/>
            <w:shd w:val="clear" w:color="auto" w:fill="FFFFFF"/>
          </w:tcPr>
          <w:p w:rsidR="00AA2BE3" w:rsidRPr="006C2078" w:rsidRDefault="00AA2BE3" w:rsidP="00192341">
            <w:pPr>
              <w:pStyle w:val="Tablehead"/>
            </w:pPr>
            <w:r w:rsidRPr="006C2078">
              <w:t>Plane 3</w:t>
            </w:r>
            <w:r w:rsidRPr="006C2078">
              <w:br/>
            </w:r>
            <w:r w:rsidRPr="00C364DC">
              <w:rPr>
                <w:b w:val="0"/>
                <w:bCs/>
              </w:rPr>
              <w:t>Relative RAAN = 63.2</w:t>
            </w:r>
            <w:r w:rsidRPr="00C364DC">
              <w:rPr>
                <w:b w:val="0"/>
                <w:bCs/>
                <w:vertAlign w:val="superscript"/>
              </w:rPr>
              <w:t>o</w:t>
            </w:r>
          </w:p>
        </w:tc>
      </w:tr>
      <w:tr w:rsidR="00AA2BE3" w:rsidRPr="006C2078" w:rsidTr="006E5757">
        <w:trPr>
          <w:trHeight w:val="284"/>
          <w:jc w:val="center"/>
        </w:trPr>
        <w:tc>
          <w:tcPr>
            <w:tcW w:w="1390" w:type="dxa"/>
            <w:shd w:val="clear" w:color="auto" w:fill="FFFFFF"/>
            <w:vAlign w:val="bottom"/>
          </w:tcPr>
          <w:p w:rsidR="00AA2BE3" w:rsidRPr="006C2078" w:rsidRDefault="00AA2BE3" w:rsidP="00C364DC">
            <w:pPr>
              <w:pStyle w:val="Tablehead"/>
            </w:pPr>
            <w:r w:rsidRPr="006C2078">
              <w:t>Satellite</w:t>
            </w:r>
          </w:p>
        </w:tc>
        <w:tc>
          <w:tcPr>
            <w:tcW w:w="1786" w:type="dxa"/>
            <w:shd w:val="clear" w:color="auto" w:fill="FFFFFF"/>
            <w:vAlign w:val="bottom"/>
          </w:tcPr>
          <w:p w:rsidR="00AA2BE3" w:rsidRPr="006C2078" w:rsidRDefault="00AA2BE3" w:rsidP="00C364DC">
            <w:pPr>
              <w:pStyle w:val="Tablehead"/>
            </w:pPr>
            <w:r w:rsidRPr="006C2078">
              <w:t>Arg of Lat.</w:t>
            </w:r>
          </w:p>
        </w:tc>
        <w:tc>
          <w:tcPr>
            <w:tcW w:w="1458" w:type="dxa"/>
            <w:shd w:val="clear" w:color="auto" w:fill="FFFFFF"/>
            <w:vAlign w:val="bottom"/>
          </w:tcPr>
          <w:p w:rsidR="00AA2BE3" w:rsidRPr="006C2078" w:rsidRDefault="00AA2BE3" w:rsidP="00C364DC">
            <w:pPr>
              <w:pStyle w:val="Tablehead"/>
            </w:pPr>
            <w:r w:rsidRPr="006C2078">
              <w:t>Satellite</w:t>
            </w:r>
          </w:p>
        </w:tc>
        <w:tc>
          <w:tcPr>
            <w:tcW w:w="1829" w:type="dxa"/>
            <w:shd w:val="clear" w:color="auto" w:fill="FFFFFF"/>
            <w:vAlign w:val="bottom"/>
          </w:tcPr>
          <w:p w:rsidR="00AA2BE3" w:rsidRPr="006C2078" w:rsidRDefault="00AA2BE3" w:rsidP="00C364DC">
            <w:pPr>
              <w:pStyle w:val="Tablehead"/>
            </w:pPr>
            <w:r w:rsidRPr="006C2078">
              <w:t>Arg of Lat.</w:t>
            </w:r>
          </w:p>
        </w:tc>
        <w:tc>
          <w:tcPr>
            <w:tcW w:w="1415" w:type="dxa"/>
            <w:shd w:val="clear" w:color="auto" w:fill="FFFFFF"/>
            <w:vAlign w:val="bottom"/>
          </w:tcPr>
          <w:p w:rsidR="00AA2BE3" w:rsidRPr="006C2078" w:rsidRDefault="00AA2BE3" w:rsidP="00C364DC">
            <w:pPr>
              <w:pStyle w:val="Tablehead"/>
            </w:pPr>
            <w:r w:rsidRPr="006C2078">
              <w:t>Satellite</w:t>
            </w:r>
          </w:p>
        </w:tc>
        <w:tc>
          <w:tcPr>
            <w:tcW w:w="1761" w:type="dxa"/>
            <w:shd w:val="clear" w:color="auto" w:fill="FFFFFF"/>
            <w:vAlign w:val="bottom"/>
          </w:tcPr>
          <w:p w:rsidR="00AA2BE3" w:rsidRPr="006C2078" w:rsidRDefault="00AA2BE3" w:rsidP="00C364DC">
            <w:pPr>
              <w:pStyle w:val="Tablehead"/>
            </w:pPr>
            <w:r w:rsidRPr="006C2078">
              <w:t>Arg of Lat.</w:t>
            </w:r>
          </w:p>
        </w:tc>
      </w:tr>
      <w:tr w:rsidR="00AA2BE3" w:rsidRPr="006C2078" w:rsidTr="006E5757">
        <w:trPr>
          <w:trHeight w:val="255"/>
          <w:jc w:val="center"/>
        </w:trPr>
        <w:tc>
          <w:tcPr>
            <w:tcW w:w="1390" w:type="dxa"/>
            <w:vAlign w:val="bottom"/>
          </w:tcPr>
          <w:p w:rsidR="00AA2BE3" w:rsidRPr="006C2078" w:rsidRDefault="00AA2BE3" w:rsidP="00C364DC">
            <w:pPr>
              <w:pStyle w:val="Tabletext"/>
              <w:jc w:val="center"/>
            </w:pPr>
            <w:r w:rsidRPr="006C2078">
              <w:t>1</w:t>
            </w:r>
          </w:p>
        </w:tc>
        <w:tc>
          <w:tcPr>
            <w:tcW w:w="1786" w:type="dxa"/>
            <w:vAlign w:val="bottom"/>
          </w:tcPr>
          <w:p w:rsidR="00AA2BE3" w:rsidRPr="006C2078" w:rsidRDefault="00AA2BE3" w:rsidP="00C364DC">
            <w:pPr>
              <w:pStyle w:val="Tabletext"/>
              <w:jc w:val="center"/>
            </w:pPr>
            <w:r w:rsidRPr="006C2078">
              <w:t>100.7752</w:t>
            </w:r>
          </w:p>
        </w:tc>
        <w:tc>
          <w:tcPr>
            <w:tcW w:w="1458" w:type="dxa"/>
            <w:vAlign w:val="bottom"/>
          </w:tcPr>
          <w:p w:rsidR="00AA2BE3" w:rsidRPr="006C2078" w:rsidRDefault="00AA2BE3" w:rsidP="00C364DC">
            <w:pPr>
              <w:pStyle w:val="Tabletext"/>
              <w:jc w:val="center"/>
            </w:pPr>
            <w:r w:rsidRPr="006C2078">
              <w:t>12</w:t>
            </w:r>
          </w:p>
        </w:tc>
        <w:tc>
          <w:tcPr>
            <w:tcW w:w="1829" w:type="dxa"/>
            <w:vAlign w:val="bottom"/>
          </w:tcPr>
          <w:p w:rsidR="00AA2BE3" w:rsidRPr="006C2078" w:rsidRDefault="00AA2BE3" w:rsidP="00C364DC">
            <w:pPr>
              <w:pStyle w:val="Tabletext"/>
              <w:jc w:val="center"/>
            </w:pPr>
            <w:r w:rsidRPr="006C2078">
              <w:t>83.1116</w:t>
            </w:r>
          </w:p>
        </w:tc>
        <w:tc>
          <w:tcPr>
            <w:tcW w:w="1415" w:type="dxa"/>
            <w:vAlign w:val="bottom"/>
          </w:tcPr>
          <w:p w:rsidR="00AA2BE3" w:rsidRPr="006C2078" w:rsidRDefault="00AA2BE3" w:rsidP="00C364DC">
            <w:pPr>
              <w:pStyle w:val="Tabletext"/>
              <w:jc w:val="center"/>
            </w:pPr>
            <w:r w:rsidRPr="006C2078">
              <w:t>23</w:t>
            </w:r>
          </w:p>
        </w:tc>
        <w:tc>
          <w:tcPr>
            <w:tcW w:w="1761" w:type="dxa"/>
            <w:vAlign w:val="bottom"/>
          </w:tcPr>
          <w:p w:rsidR="00AA2BE3" w:rsidRPr="006C2078" w:rsidRDefault="00AA2BE3" w:rsidP="00C364DC">
            <w:pPr>
              <w:pStyle w:val="Tabletext"/>
              <w:jc w:val="center"/>
            </w:pPr>
            <w:r w:rsidRPr="006C2078">
              <w:t>98.1752</w:t>
            </w:r>
          </w:p>
        </w:tc>
      </w:tr>
      <w:tr w:rsidR="00AA2BE3" w:rsidRPr="006C2078" w:rsidTr="006E5757">
        <w:trPr>
          <w:trHeight w:val="255"/>
          <w:jc w:val="center"/>
        </w:trPr>
        <w:tc>
          <w:tcPr>
            <w:tcW w:w="1390" w:type="dxa"/>
            <w:vAlign w:val="bottom"/>
          </w:tcPr>
          <w:p w:rsidR="00AA2BE3" w:rsidRPr="006C2078" w:rsidRDefault="00AA2BE3" w:rsidP="00C364DC">
            <w:pPr>
              <w:pStyle w:val="Tabletext"/>
              <w:jc w:val="center"/>
            </w:pPr>
            <w:r w:rsidRPr="006C2078">
              <w:t>2</w:t>
            </w:r>
          </w:p>
        </w:tc>
        <w:tc>
          <w:tcPr>
            <w:tcW w:w="1786" w:type="dxa"/>
            <w:vAlign w:val="bottom"/>
          </w:tcPr>
          <w:p w:rsidR="00AA2BE3" w:rsidRPr="006C2078" w:rsidRDefault="00AA2BE3" w:rsidP="00C364DC">
            <w:pPr>
              <w:pStyle w:val="Tabletext"/>
              <w:jc w:val="center"/>
            </w:pPr>
            <w:r w:rsidRPr="006C2078">
              <w:t>68.048</w:t>
            </w:r>
          </w:p>
        </w:tc>
        <w:tc>
          <w:tcPr>
            <w:tcW w:w="1458" w:type="dxa"/>
            <w:vAlign w:val="bottom"/>
          </w:tcPr>
          <w:p w:rsidR="00AA2BE3" w:rsidRPr="006C2078" w:rsidRDefault="00AA2BE3" w:rsidP="00C364DC">
            <w:pPr>
              <w:pStyle w:val="Tabletext"/>
              <w:jc w:val="center"/>
            </w:pPr>
            <w:r w:rsidRPr="006C2078">
              <w:t>13</w:t>
            </w:r>
          </w:p>
        </w:tc>
        <w:tc>
          <w:tcPr>
            <w:tcW w:w="1829" w:type="dxa"/>
            <w:vAlign w:val="bottom"/>
          </w:tcPr>
          <w:p w:rsidR="00AA2BE3" w:rsidRPr="006C2078" w:rsidRDefault="00AA2BE3" w:rsidP="00C364DC">
            <w:pPr>
              <w:pStyle w:val="Tabletext"/>
              <w:jc w:val="center"/>
            </w:pPr>
            <w:r w:rsidRPr="006C2078">
              <w:t>50.3844</w:t>
            </w:r>
          </w:p>
        </w:tc>
        <w:tc>
          <w:tcPr>
            <w:tcW w:w="1415" w:type="dxa"/>
            <w:vAlign w:val="bottom"/>
          </w:tcPr>
          <w:p w:rsidR="00AA2BE3" w:rsidRPr="006C2078" w:rsidRDefault="00AA2BE3" w:rsidP="00C364DC">
            <w:pPr>
              <w:pStyle w:val="Tabletext"/>
              <w:jc w:val="center"/>
            </w:pPr>
            <w:r w:rsidRPr="006C2078">
              <w:t>24</w:t>
            </w:r>
          </w:p>
        </w:tc>
        <w:tc>
          <w:tcPr>
            <w:tcW w:w="1761" w:type="dxa"/>
            <w:vAlign w:val="bottom"/>
          </w:tcPr>
          <w:p w:rsidR="00AA2BE3" w:rsidRPr="006C2078" w:rsidRDefault="00AA2BE3" w:rsidP="00C364DC">
            <w:pPr>
              <w:pStyle w:val="Tabletext"/>
              <w:jc w:val="center"/>
            </w:pPr>
            <w:r w:rsidRPr="006C2078">
              <w:t>65.448</w:t>
            </w:r>
          </w:p>
        </w:tc>
      </w:tr>
      <w:tr w:rsidR="00AA2BE3" w:rsidRPr="006C2078" w:rsidTr="006E5757">
        <w:trPr>
          <w:trHeight w:val="255"/>
          <w:jc w:val="center"/>
        </w:trPr>
        <w:tc>
          <w:tcPr>
            <w:tcW w:w="1390" w:type="dxa"/>
            <w:vAlign w:val="bottom"/>
          </w:tcPr>
          <w:p w:rsidR="00AA2BE3" w:rsidRPr="006C2078" w:rsidRDefault="00AA2BE3" w:rsidP="00C364DC">
            <w:pPr>
              <w:pStyle w:val="Tabletext"/>
              <w:jc w:val="center"/>
            </w:pPr>
            <w:r w:rsidRPr="006C2078">
              <w:t>3</w:t>
            </w:r>
          </w:p>
        </w:tc>
        <w:tc>
          <w:tcPr>
            <w:tcW w:w="1786" w:type="dxa"/>
            <w:vAlign w:val="bottom"/>
          </w:tcPr>
          <w:p w:rsidR="00AA2BE3" w:rsidRPr="006C2078" w:rsidRDefault="00AA2BE3" w:rsidP="00C364DC">
            <w:pPr>
              <w:pStyle w:val="Tabletext"/>
              <w:jc w:val="center"/>
            </w:pPr>
            <w:r w:rsidRPr="006C2078">
              <w:t>35.3207</w:t>
            </w:r>
          </w:p>
        </w:tc>
        <w:tc>
          <w:tcPr>
            <w:tcW w:w="1458" w:type="dxa"/>
            <w:vAlign w:val="bottom"/>
          </w:tcPr>
          <w:p w:rsidR="00AA2BE3" w:rsidRPr="006C2078" w:rsidRDefault="00AA2BE3" w:rsidP="00C364DC">
            <w:pPr>
              <w:pStyle w:val="Tabletext"/>
              <w:jc w:val="center"/>
            </w:pPr>
            <w:r w:rsidRPr="006C2078">
              <w:t>14</w:t>
            </w:r>
          </w:p>
        </w:tc>
        <w:tc>
          <w:tcPr>
            <w:tcW w:w="1829" w:type="dxa"/>
            <w:vAlign w:val="bottom"/>
          </w:tcPr>
          <w:p w:rsidR="00AA2BE3" w:rsidRPr="006C2078" w:rsidRDefault="00AA2BE3" w:rsidP="00C364DC">
            <w:pPr>
              <w:pStyle w:val="Tabletext"/>
              <w:jc w:val="center"/>
            </w:pPr>
            <w:r w:rsidRPr="006C2078">
              <w:t>17.6571</w:t>
            </w:r>
          </w:p>
        </w:tc>
        <w:tc>
          <w:tcPr>
            <w:tcW w:w="1415" w:type="dxa"/>
            <w:vAlign w:val="bottom"/>
          </w:tcPr>
          <w:p w:rsidR="00AA2BE3" w:rsidRPr="006C2078" w:rsidRDefault="00AA2BE3" w:rsidP="00C364DC">
            <w:pPr>
              <w:pStyle w:val="Tabletext"/>
              <w:jc w:val="center"/>
            </w:pPr>
            <w:r w:rsidRPr="006C2078">
              <w:t>25</w:t>
            </w:r>
          </w:p>
        </w:tc>
        <w:tc>
          <w:tcPr>
            <w:tcW w:w="1761" w:type="dxa"/>
            <w:vAlign w:val="bottom"/>
          </w:tcPr>
          <w:p w:rsidR="00AA2BE3" w:rsidRPr="006C2078" w:rsidRDefault="00AA2BE3" w:rsidP="00C364DC">
            <w:pPr>
              <w:pStyle w:val="Tabletext"/>
              <w:jc w:val="center"/>
            </w:pPr>
            <w:r w:rsidRPr="006C2078">
              <w:t>32.7207</w:t>
            </w:r>
          </w:p>
        </w:tc>
      </w:tr>
      <w:tr w:rsidR="00AA2BE3" w:rsidRPr="006C2078" w:rsidTr="006E5757">
        <w:trPr>
          <w:trHeight w:val="255"/>
          <w:jc w:val="center"/>
        </w:trPr>
        <w:tc>
          <w:tcPr>
            <w:tcW w:w="1390" w:type="dxa"/>
            <w:vAlign w:val="bottom"/>
          </w:tcPr>
          <w:p w:rsidR="00AA2BE3" w:rsidRPr="006C2078" w:rsidRDefault="00AA2BE3" w:rsidP="00C364DC">
            <w:pPr>
              <w:pStyle w:val="Tabletext"/>
              <w:jc w:val="center"/>
            </w:pPr>
            <w:r w:rsidRPr="006C2078">
              <w:t>4</w:t>
            </w:r>
          </w:p>
        </w:tc>
        <w:tc>
          <w:tcPr>
            <w:tcW w:w="1786" w:type="dxa"/>
            <w:vAlign w:val="bottom"/>
          </w:tcPr>
          <w:p w:rsidR="00AA2BE3" w:rsidRPr="006C2078" w:rsidRDefault="00AA2BE3" w:rsidP="00C364DC">
            <w:pPr>
              <w:pStyle w:val="Tabletext"/>
              <w:jc w:val="center"/>
            </w:pPr>
            <w:r w:rsidRPr="006C2078">
              <w:t>2.5934</w:t>
            </w:r>
          </w:p>
        </w:tc>
        <w:tc>
          <w:tcPr>
            <w:tcW w:w="1458" w:type="dxa"/>
            <w:vAlign w:val="bottom"/>
          </w:tcPr>
          <w:p w:rsidR="00AA2BE3" w:rsidRPr="006C2078" w:rsidRDefault="00AA2BE3" w:rsidP="00C364DC">
            <w:pPr>
              <w:pStyle w:val="Tabletext"/>
              <w:jc w:val="center"/>
            </w:pPr>
            <w:r w:rsidRPr="006C2078">
              <w:t>15</w:t>
            </w:r>
          </w:p>
        </w:tc>
        <w:tc>
          <w:tcPr>
            <w:tcW w:w="1829" w:type="dxa"/>
            <w:vAlign w:val="bottom"/>
          </w:tcPr>
          <w:p w:rsidR="00AA2BE3" w:rsidRPr="006C2078" w:rsidRDefault="00AA2BE3" w:rsidP="00C364DC">
            <w:pPr>
              <w:pStyle w:val="Tabletext"/>
              <w:jc w:val="center"/>
            </w:pPr>
            <w:r w:rsidRPr="006C2078">
              <w:t>344.9298</w:t>
            </w:r>
          </w:p>
        </w:tc>
        <w:tc>
          <w:tcPr>
            <w:tcW w:w="1415" w:type="dxa"/>
            <w:vAlign w:val="bottom"/>
          </w:tcPr>
          <w:p w:rsidR="00AA2BE3" w:rsidRPr="006C2078" w:rsidRDefault="00AA2BE3" w:rsidP="00C364DC">
            <w:pPr>
              <w:pStyle w:val="Tabletext"/>
              <w:jc w:val="center"/>
            </w:pPr>
            <w:r w:rsidRPr="006C2078">
              <w:t>26</w:t>
            </w:r>
          </w:p>
        </w:tc>
        <w:tc>
          <w:tcPr>
            <w:tcW w:w="1761" w:type="dxa"/>
            <w:vAlign w:val="bottom"/>
          </w:tcPr>
          <w:p w:rsidR="00AA2BE3" w:rsidRPr="006C2078" w:rsidRDefault="00AA2BE3" w:rsidP="00C364DC">
            <w:pPr>
              <w:pStyle w:val="Tabletext"/>
              <w:jc w:val="center"/>
            </w:pPr>
            <w:r w:rsidRPr="006C2078">
              <w:t>359.9934</w:t>
            </w:r>
          </w:p>
        </w:tc>
      </w:tr>
      <w:tr w:rsidR="00AA2BE3" w:rsidRPr="006C2078" w:rsidTr="006E5757">
        <w:trPr>
          <w:trHeight w:val="255"/>
          <w:jc w:val="center"/>
        </w:trPr>
        <w:tc>
          <w:tcPr>
            <w:tcW w:w="1390" w:type="dxa"/>
            <w:vAlign w:val="bottom"/>
          </w:tcPr>
          <w:p w:rsidR="00AA2BE3" w:rsidRPr="006C2078" w:rsidRDefault="00AA2BE3" w:rsidP="00C364DC">
            <w:pPr>
              <w:pStyle w:val="Tabletext"/>
              <w:jc w:val="center"/>
            </w:pPr>
            <w:r w:rsidRPr="006C2078">
              <w:t>5</w:t>
            </w:r>
          </w:p>
        </w:tc>
        <w:tc>
          <w:tcPr>
            <w:tcW w:w="1786" w:type="dxa"/>
            <w:vAlign w:val="bottom"/>
          </w:tcPr>
          <w:p w:rsidR="00AA2BE3" w:rsidRPr="006C2078" w:rsidRDefault="00AA2BE3" w:rsidP="00C364DC">
            <w:pPr>
              <w:pStyle w:val="Tabletext"/>
              <w:jc w:val="center"/>
            </w:pPr>
            <w:r w:rsidRPr="006C2078">
              <w:t>329.8661</w:t>
            </w:r>
          </w:p>
        </w:tc>
        <w:tc>
          <w:tcPr>
            <w:tcW w:w="1458" w:type="dxa"/>
            <w:vAlign w:val="bottom"/>
          </w:tcPr>
          <w:p w:rsidR="00AA2BE3" w:rsidRPr="006C2078" w:rsidRDefault="00AA2BE3" w:rsidP="00C364DC">
            <w:pPr>
              <w:pStyle w:val="Tabletext"/>
              <w:jc w:val="center"/>
            </w:pPr>
            <w:r w:rsidRPr="006C2078">
              <w:t>16</w:t>
            </w:r>
          </w:p>
        </w:tc>
        <w:tc>
          <w:tcPr>
            <w:tcW w:w="1829" w:type="dxa"/>
            <w:vAlign w:val="bottom"/>
          </w:tcPr>
          <w:p w:rsidR="00AA2BE3" w:rsidRPr="006C2078" w:rsidRDefault="00AA2BE3" w:rsidP="00C364DC">
            <w:pPr>
              <w:pStyle w:val="Tabletext"/>
              <w:jc w:val="center"/>
            </w:pPr>
            <w:r w:rsidRPr="006C2078">
              <w:t>312.2025</w:t>
            </w:r>
          </w:p>
        </w:tc>
        <w:tc>
          <w:tcPr>
            <w:tcW w:w="1415" w:type="dxa"/>
            <w:vAlign w:val="bottom"/>
          </w:tcPr>
          <w:p w:rsidR="00AA2BE3" w:rsidRPr="006C2078" w:rsidRDefault="00AA2BE3" w:rsidP="00C364DC">
            <w:pPr>
              <w:pStyle w:val="Tabletext"/>
              <w:jc w:val="center"/>
            </w:pPr>
            <w:r w:rsidRPr="006C2078">
              <w:t>27</w:t>
            </w:r>
          </w:p>
        </w:tc>
        <w:tc>
          <w:tcPr>
            <w:tcW w:w="1761" w:type="dxa"/>
            <w:vAlign w:val="bottom"/>
          </w:tcPr>
          <w:p w:rsidR="00AA2BE3" w:rsidRPr="006C2078" w:rsidRDefault="00AA2BE3" w:rsidP="00C364DC">
            <w:pPr>
              <w:pStyle w:val="Tabletext"/>
              <w:jc w:val="center"/>
            </w:pPr>
            <w:r w:rsidRPr="006C2078">
              <w:t>327.2661</w:t>
            </w:r>
          </w:p>
        </w:tc>
      </w:tr>
      <w:tr w:rsidR="00AA2BE3" w:rsidRPr="006C2078" w:rsidTr="006E5757">
        <w:trPr>
          <w:trHeight w:val="255"/>
          <w:jc w:val="center"/>
        </w:trPr>
        <w:tc>
          <w:tcPr>
            <w:tcW w:w="1390" w:type="dxa"/>
            <w:vAlign w:val="bottom"/>
          </w:tcPr>
          <w:p w:rsidR="00AA2BE3" w:rsidRPr="006C2078" w:rsidRDefault="00AA2BE3" w:rsidP="00C364DC">
            <w:pPr>
              <w:pStyle w:val="Tabletext"/>
              <w:jc w:val="center"/>
            </w:pPr>
            <w:r w:rsidRPr="006C2078">
              <w:t>6</w:t>
            </w:r>
          </w:p>
        </w:tc>
        <w:tc>
          <w:tcPr>
            <w:tcW w:w="1786" w:type="dxa"/>
            <w:vAlign w:val="bottom"/>
          </w:tcPr>
          <w:p w:rsidR="00AA2BE3" w:rsidRPr="006C2078" w:rsidRDefault="00AA2BE3" w:rsidP="00C364DC">
            <w:pPr>
              <w:pStyle w:val="Tabletext"/>
              <w:jc w:val="center"/>
            </w:pPr>
            <w:r w:rsidRPr="006C2078">
              <w:t>297.1389</w:t>
            </w:r>
          </w:p>
        </w:tc>
        <w:tc>
          <w:tcPr>
            <w:tcW w:w="1458" w:type="dxa"/>
            <w:vAlign w:val="bottom"/>
          </w:tcPr>
          <w:p w:rsidR="00AA2BE3" w:rsidRPr="006C2078" w:rsidRDefault="00AA2BE3" w:rsidP="00C364DC">
            <w:pPr>
              <w:pStyle w:val="Tabletext"/>
              <w:jc w:val="center"/>
            </w:pPr>
            <w:r w:rsidRPr="006C2078">
              <w:t>17</w:t>
            </w:r>
          </w:p>
        </w:tc>
        <w:tc>
          <w:tcPr>
            <w:tcW w:w="1829" w:type="dxa"/>
            <w:vAlign w:val="bottom"/>
          </w:tcPr>
          <w:p w:rsidR="00AA2BE3" w:rsidRPr="006C2078" w:rsidRDefault="00AA2BE3" w:rsidP="00C364DC">
            <w:pPr>
              <w:pStyle w:val="Tabletext"/>
              <w:jc w:val="center"/>
            </w:pPr>
            <w:r w:rsidRPr="006C2078">
              <w:t>279.4753</w:t>
            </w:r>
          </w:p>
        </w:tc>
        <w:tc>
          <w:tcPr>
            <w:tcW w:w="1415" w:type="dxa"/>
            <w:vAlign w:val="bottom"/>
          </w:tcPr>
          <w:p w:rsidR="00AA2BE3" w:rsidRPr="006C2078" w:rsidRDefault="00AA2BE3" w:rsidP="00C364DC">
            <w:pPr>
              <w:pStyle w:val="Tabletext"/>
              <w:jc w:val="center"/>
            </w:pPr>
            <w:r w:rsidRPr="006C2078">
              <w:t>28</w:t>
            </w:r>
          </w:p>
        </w:tc>
        <w:tc>
          <w:tcPr>
            <w:tcW w:w="1761" w:type="dxa"/>
            <w:vAlign w:val="bottom"/>
          </w:tcPr>
          <w:p w:rsidR="00AA2BE3" w:rsidRPr="006C2078" w:rsidRDefault="00AA2BE3" w:rsidP="00C364DC">
            <w:pPr>
              <w:pStyle w:val="Tabletext"/>
              <w:jc w:val="center"/>
            </w:pPr>
            <w:r w:rsidRPr="006C2078">
              <w:t>294.5389</w:t>
            </w:r>
          </w:p>
        </w:tc>
      </w:tr>
      <w:tr w:rsidR="00AA2BE3" w:rsidRPr="006C2078" w:rsidTr="006E5757">
        <w:trPr>
          <w:trHeight w:val="255"/>
          <w:jc w:val="center"/>
        </w:trPr>
        <w:tc>
          <w:tcPr>
            <w:tcW w:w="1390" w:type="dxa"/>
            <w:vAlign w:val="bottom"/>
          </w:tcPr>
          <w:p w:rsidR="00AA2BE3" w:rsidRPr="006C2078" w:rsidRDefault="00AA2BE3" w:rsidP="00C364DC">
            <w:pPr>
              <w:pStyle w:val="Tabletext"/>
              <w:jc w:val="center"/>
            </w:pPr>
            <w:r w:rsidRPr="006C2078">
              <w:t>7</w:t>
            </w:r>
          </w:p>
        </w:tc>
        <w:tc>
          <w:tcPr>
            <w:tcW w:w="1786" w:type="dxa"/>
            <w:vAlign w:val="bottom"/>
          </w:tcPr>
          <w:p w:rsidR="00AA2BE3" w:rsidRPr="006C2078" w:rsidRDefault="00AA2BE3" w:rsidP="00C364DC">
            <w:pPr>
              <w:pStyle w:val="Tabletext"/>
              <w:jc w:val="center"/>
            </w:pPr>
            <w:r w:rsidRPr="006C2078">
              <w:t>264.4116</w:t>
            </w:r>
          </w:p>
        </w:tc>
        <w:tc>
          <w:tcPr>
            <w:tcW w:w="1458" w:type="dxa"/>
            <w:vAlign w:val="bottom"/>
          </w:tcPr>
          <w:p w:rsidR="00AA2BE3" w:rsidRPr="006C2078" w:rsidRDefault="00AA2BE3" w:rsidP="00C364DC">
            <w:pPr>
              <w:pStyle w:val="Tabletext"/>
              <w:jc w:val="center"/>
            </w:pPr>
            <w:r w:rsidRPr="006C2078">
              <w:t>18</w:t>
            </w:r>
          </w:p>
        </w:tc>
        <w:tc>
          <w:tcPr>
            <w:tcW w:w="1829" w:type="dxa"/>
            <w:vAlign w:val="bottom"/>
          </w:tcPr>
          <w:p w:rsidR="00AA2BE3" w:rsidRPr="006C2078" w:rsidRDefault="00AA2BE3" w:rsidP="00C364DC">
            <w:pPr>
              <w:pStyle w:val="Tabletext"/>
              <w:jc w:val="center"/>
            </w:pPr>
            <w:r w:rsidRPr="006C2078">
              <w:t>246.748</w:t>
            </w:r>
          </w:p>
        </w:tc>
        <w:tc>
          <w:tcPr>
            <w:tcW w:w="1415" w:type="dxa"/>
            <w:vAlign w:val="bottom"/>
          </w:tcPr>
          <w:p w:rsidR="00AA2BE3" w:rsidRPr="006C2078" w:rsidRDefault="00AA2BE3" w:rsidP="00C364DC">
            <w:pPr>
              <w:pStyle w:val="Tabletext"/>
              <w:jc w:val="center"/>
            </w:pPr>
            <w:r w:rsidRPr="006C2078">
              <w:t>29</w:t>
            </w:r>
          </w:p>
        </w:tc>
        <w:tc>
          <w:tcPr>
            <w:tcW w:w="1761" w:type="dxa"/>
            <w:vAlign w:val="bottom"/>
          </w:tcPr>
          <w:p w:rsidR="00AA2BE3" w:rsidRPr="006C2078" w:rsidRDefault="00AA2BE3" w:rsidP="00C364DC">
            <w:pPr>
              <w:pStyle w:val="Tabletext"/>
              <w:jc w:val="center"/>
            </w:pPr>
            <w:r w:rsidRPr="006C2078">
              <w:t>261.8116</w:t>
            </w:r>
          </w:p>
        </w:tc>
      </w:tr>
      <w:tr w:rsidR="00AA2BE3" w:rsidRPr="006C2078" w:rsidTr="006E5757">
        <w:trPr>
          <w:trHeight w:val="255"/>
          <w:jc w:val="center"/>
        </w:trPr>
        <w:tc>
          <w:tcPr>
            <w:tcW w:w="1390" w:type="dxa"/>
            <w:vAlign w:val="bottom"/>
          </w:tcPr>
          <w:p w:rsidR="00AA2BE3" w:rsidRPr="006C2078" w:rsidRDefault="00AA2BE3" w:rsidP="00C364DC">
            <w:pPr>
              <w:pStyle w:val="Tabletext"/>
              <w:jc w:val="center"/>
            </w:pPr>
            <w:r w:rsidRPr="006C2078">
              <w:t>8</w:t>
            </w:r>
          </w:p>
        </w:tc>
        <w:tc>
          <w:tcPr>
            <w:tcW w:w="1786" w:type="dxa"/>
            <w:vAlign w:val="bottom"/>
          </w:tcPr>
          <w:p w:rsidR="00AA2BE3" w:rsidRPr="006C2078" w:rsidRDefault="00AA2BE3" w:rsidP="00C364DC">
            <w:pPr>
              <w:pStyle w:val="Tabletext"/>
              <w:jc w:val="center"/>
            </w:pPr>
            <w:r w:rsidRPr="006C2078">
              <w:t>231.6843</w:t>
            </w:r>
          </w:p>
        </w:tc>
        <w:tc>
          <w:tcPr>
            <w:tcW w:w="1458" w:type="dxa"/>
            <w:vAlign w:val="bottom"/>
          </w:tcPr>
          <w:p w:rsidR="00AA2BE3" w:rsidRPr="006C2078" w:rsidRDefault="00AA2BE3" w:rsidP="00C364DC">
            <w:pPr>
              <w:pStyle w:val="Tabletext"/>
              <w:jc w:val="center"/>
            </w:pPr>
            <w:r w:rsidRPr="006C2078">
              <w:t>19</w:t>
            </w:r>
          </w:p>
        </w:tc>
        <w:tc>
          <w:tcPr>
            <w:tcW w:w="1829" w:type="dxa"/>
            <w:vAlign w:val="bottom"/>
          </w:tcPr>
          <w:p w:rsidR="00AA2BE3" w:rsidRPr="006C2078" w:rsidRDefault="00AA2BE3" w:rsidP="00C364DC">
            <w:pPr>
              <w:pStyle w:val="Tabletext"/>
              <w:jc w:val="center"/>
            </w:pPr>
            <w:r w:rsidRPr="006C2078">
              <w:t>214.0207</w:t>
            </w:r>
          </w:p>
        </w:tc>
        <w:tc>
          <w:tcPr>
            <w:tcW w:w="1415" w:type="dxa"/>
            <w:vAlign w:val="bottom"/>
          </w:tcPr>
          <w:p w:rsidR="00AA2BE3" w:rsidRPr="006C2078" w:rsidRDefault="00AA2BE3" w:rsidP="00C364DC">
            <w:pPr>
              <w:pStyle w:val="Tabletext"/>
              <w:jc w:val="center"/>
            </w:pPr>
            <w:r w:rsidRPr="006C2078">
              <w:t>30</w:t>
            </w:r>
          </w:p>
        </w:tc>
        <w:tc>
          <w:tcPr>
            <w:tcW w:w="1761" w:type="dxa"/>
            <w:vAlign w:val="bottom"/>
          </w:tcPr>
          <w:p w:rsidR="00AA2BE3" w:rsidRPr="006C2078" w:rsidRDefault="00AA2BE3" w:rsidP="00C364DC">
            <w:pPr>
              <w:pStyle w:val="Tabletext"/>
              <w:jc w:val="center"/>
            </w:pPr>
            <w:r w:rsidRPr="006C2078">
              <w:t>229.0843</w:t>
            </w:r>
          </w:p>
        </w:tc>
      </w:tr>
      <w:tr w:rsidR="00AA2BE3" w:rsidRPr="006C2078" w:rsidTr="006E5757">
        <w:trPr>
          <w:trHeight w:val="255"/>
          <w:jc w:val="center"/>
        </w:trPr>
        <w:tc>
          <w:tcPr>
            <w:tcW w:w="1390" w:type="dxa"/>
            <w:vAlign w:val="bottom"/>
          </w:tcPr>
          <w:p w:rsidR="00AA2BE3" w:rsidRPr="006C2078" w:rsidRDefault="00AA2BE3" w:rsidP="00C364DC">
            <w:pPr>
              <w:pStyle w:val="Tabletext"/>
              <w:jc w:val="center"/>
            </w:pPr>
            <w:r w:rsidRPr="006C2078">
              <w:t>9</w:t>
            </w:r>
          </w:p>
        </w:tc>
        <w:tc>
          <w:tcPr>
            <w:tcW w:w="1786" w:type="dxa"/>
            <w:vAlign w:val="bottom"/>
          </w:tcPr>
          <w:p w:rsidR="00AA2BE3" w:rsidRPr="006C2078" w:rsidRDefault="00AA2BE3" w:rsidP="00C364DC">
            <w:pPr>
              <w:pStyle w:val="Tabletext"/>
              <w:jc w:val="center"/>
            </w:pPr>
            <w:r w:rsidRPr="006C2078">
              <w:t>198.9571</w:t>
            </w:r>
          </w:p>
        </w:tc>
        <w:tc>
          <w:tcPr>
            <w:tcW w:w="1458" w:type="dxa"/>
            <w:vAlign w:val="bottom"/>
          </w:tcPr>
          <w:p w:rsidR="00AA2BE3" w:rsidRPr="006C2078" w:rsidRDefault="00AA2BE3" w:rsidP="00C364DC">
            <w:pPr>
              <w:pStyle w:val="Tabletext"/>
              <w:jc w:val="center"/>
            </w:pPr>
            <w:r w:rsidRPr="006C2078">
              <w:t>20</w:t>
            </w:r>
          </w:p>
        </w:tc>
        <w:tc>
          <w:tcPr>
            <w:tcW w:w="1829" w:type="dxa"/>
            <w:vAlign w:val="bottom"/>
          </w:tcPr>
          <w:p w:rsidR="00AA2BE3" w:rsidRPr="006C2078" w:rsidRDefault="00AA2BE3" w:rsidP="00C364DC">
            <w:pPr>
              <w:pStyle w:val="Tabletext"/>
              <w:jc w:val="center"/>
            </w:pPr>
            <w:r w:rsidRPr="006C2078">
              <w:t>181.2935</w:t>
            </w:r>
          </w:p>
        </w:tc>
        <w:tc>
          <w:tcPr>
            <w:tcW w:w="1415" w:type="dxa"/>
            <w:vAlign w:val="bottom"/>
          </w:tcPr>
          <w:p w:rsidR="00AA2BE3" w:rsidRPr="006C2078" w:rsidRDefault="00AA2BE3" w:rsidP="00C364DC">
            <w:pPr>
              <w:pStyle w:val="Tabletext"/>
              <w:jc w:val="center"/>
            </w:pPr>
            <w:r w:rsidRPr="006C2078">
              <w:t>31</w:t>
            </w:r>
          </w:p>
        </w:tc>
        <w:tc>
          <w:tcPr>
            <w:tcW w:w="1761" w:type="dxa"/>
            <w:vAlign w:val="bottom"/>
          </w:tcPr>
          <w:p w:rsidR="00AA2BE3" w:rsidRPr="006C2078" w:rsidRDefault="00AA2BE3" w:rsidP="00C364DC">
            <w:pPr>
              <w:pStyle w:val="Tabletext"/>
              <w:jc w:val="center"/>
            </w:pPr>
            <w:r w:rsidRPr="006C2078">
              <w:t>196.3571</w:t>
            </w:r>
          </w:p>
        </w:tc>
      </w:tr>
      <w:tr w:rsidR="00AA2BE3" w:rsidRPr="006C2078" w:rsidTr="006E5757">
        <w:trPr>
          <w:trHeight w:val="255"/>
          <w:jc w:val="center"/>
        </w:trPr>
        <w:tc>
          <w:tcPr>
            <w:tcW w:w="1390" w:type="dxa"/>
            <w:vAlign w:val="bottom"/>
          </w:tcPr>
          <w:p w:rsidR="00AA2BE3" w:rsidRPr="006C2078" w:rsidRDefault="00AA2BE3" w:rsidP="00C364DC">
            <w:pPr>
              <w:pStyle w:val="Tabletext"/>
              <w:jc w:val="center"/>
            </w:pPr>
            <w:r w:rsidRPr="006C2078">
              <w:t>10</w:t>
            </w:r>
          </w:p>
        </w:tc>
        <w:tc>
          <w:tcPr>
            <w:tcW w:w="1786" w:type="dxa"/>
            <w:vAlign w:val="bottom"/>
          </w:tcPr>
          <w:p w:rsidR="00AA2BE3" w:rsidRPr="006C2078" w:rsidRDefault="00AA2BE3" w:rsidP="00C364DC">
            <w:pPr>
              <w:pStyle w:val="Tabletext"/>
              <w:jc w:val="center"/>
            </w:pPr>
            <w:r w:rsidRPr="006C2078">
              <w:t>166.2298</w:t>
            </w:r>
          </w:p>
        </w:tc>
        <w:tc>
          <w:tcPr>
            <w:tcW w:w="1458" w:type="dxa"/>
            <w:vAlign w:val="bottom"/>
          </w:tcPr>
          <w:p w:rsidR="00AA2BE3" w:rsidRPr="006C2078" w:rsidRDefault="00AA2BE3" w:rsidP="00C364DC">
            <w:pPr>
              <w:pStyle w:val="Tabletext"/>
              <w:jc w:val="center"/>
            </w:pPr>
            <w:r w:rsidRPr="006C2078">
              <w:t>21</w:t>
            </w:r>
          </w:p>
        </w:tc>
        <w:tc>
          <w:tcPr>
            <w:tcW w:w="1829" w:type="dxa"/>
            <w:vAlign w:val="bottom"/>
          </w:tcPr>
          <w:p w:rsidR="00AA2BE3" w:rsidRPr="006C2078" w:rsidRDefault="00AA2BE3" w:rsidP="00C364DC">
            <w:pPr>
              <w:pStyle w:val="Tabletext"/>
              <w:jc w:val="center"/>
            </w:pPr>
            <w:r w:rsidRPr="006C2078">
              <w:t>148.5662</w:t>
            </w:r>
          </w:p>
        </w:tc>
        <w:tc>
          <w:tcPr>
            <w:tcW w:w="1415" w:type="dxa"/>
            <w:vAlign w:val="bottom"/>
          </w:tcPr>
          <w:p w:rsidR="00AA2BE3" w:rsidRPr="006C2078" w:rsidRDefault="00AA2BE3" w:rsidP="00C364DC">
            <w:pPr>
              <w:pStyle w:val="Tabletext"/>
              <w:jc w:val="center"/>
            </w:pPr>
            <w:r w:rsidRPr="006C2078">
              <w:t>32</w:t>
            </w:r>
          </w:p>
        </w:tc>
        <w:tc>
          <w:tcPr>
            <w:tcW w:w="1761" w:type="dxa"/>
            <w:vAlign w:val="bottom"/>
          </w:tcPr>
          <w:p w:rsidR="00AA2BE3" w:rsidRPr="006C2078" w:rsidRDefault="00AA2BE3" w:rsidP="00C364DC">
            <w:pPr>
              <w:pStyle w:val="Tabletext"/>
              <w:jc w:val="center"/>
            </w:pPr>
            <w:r w:rsidRPr="006C2078">
              <w:t>163.6298</w:t>
            </w:r>
          </w:p>
        </w:tc>
      </w:tr>
      <w:tr w:rsidR="00AA2BE3" w:rsidRPr="006C2078" w:rsidTr="006E5757">
        <w:trPr>
          <w:trHeight w:val="255"/>
          <w:jc w:val="center"/>
        </w:trPr>
        <w:tc>
          <w:tcPr>
            <w:tcW w:w="1390" w:type="dxa"/>
            <w:vAlign w:val="bottom"/>
          </w:tcPr>
          <w:p w:rsidR="00AA2BE3" w:rsidRPr="006C2078" w:rsidRDefault="00AA2BE3" w:rsidP="00C364DC">
            <w:pPr>
              <w:pStyle w:val="Tabletext"/>
              <w:jc w:val="center"/>
            </w:pPr>
            <w:r w:rsidRPr="006C2078">
              <w:t>11</w:t>
            </w:r>
          </w:p>
        </w:tc>
        <w:tc>
          <w:tcPr>
            <w:tcW w:w="1786" w:type="dxa"/>
            <w:vAlign w:val="bottom"/>
          </w:tcPr>
          <w:p w:rsidR="00AA2BE3" w:rsidRPr="006C2078" w:rsidRDefault="00AA2BE3" w:rsidP="00C364DC">
            <w:pPr>
              <w:pStyle w:val="Tabletext"/>
              <w:jc w:val="center"/>
            </w:pPr>
            <w:r w:rsidRPr="006C2078">
              <w:t>133.5025</w:t>
            </w:r>
          </w:p>
        </w:tc>
        <w:tc>
          <w:tcPr>
            <w:tcW w:w="1458" w:type="dxa"/>
            <w:vAlign w:val="bottom"/>
          </w:tcPr>
          <w:p w:rsidR="00AA2BE3" w:rsidRPr="006C2078" w:rsidRDefault="00AA2BE3" w:rsidP="00C364DC">
            <w:pPr>
              <w:pStyle w:val="Tabletext"/>
              <w:jc w:val="center"/>
            </w:pPr>
            <w:r w:rsidRPr="006C2078">
              <w:t>22</w:t>
            </w:r>
          </w:p>
        </w:tc>
        <w:tc>
          <w:tcPr>
            <w:tcW w:w="1829" w:type="dxa"/>
            <w:vAlign w:val="bottom"/>
          </w:tcPr>
          <w:p w:rsidR="00AA2BE3" w:rsidRPr="006C2078" w:rsidRDefault="00AA2BE3" w:rsidP="00C364DC">
            <w:pPr>
              <w:pStyle w:val="Tabletext"/>
              <w:jc w:val="center"/>
            </w:pPr>
            <w:r w:rsidRPr="006C2078">
              <w:t>115.8389</w:t>
            </w:r>
          </w:p>
        </w:tc>
        <w:tc>
          <w:tcPr>
            <w:tcW w:w="1415" w:type="dxa"/>
            <w:vAlign w:val="bottom"/>
          </w:tcPr>
          <w:p w:rsidR="00AA2BE3" w:rsidRPr="006C2078" w:rsidRDefault="00AA2BE3" w:rsidP="00C364DC">
            <w:pPr>
              <w:pStyle w:val="Tabletext"/>
              <w:jc w:val="center"/>
            </w:pPr>
            <w:r w:rsidRPr="006C2078">
              <w:t>33</w:t>
            </w:r>
          </w:p>
        </w:tc>
        <w:tc>
          <w:tcPr>
            <w:tcW w:w="1761" w:type="dxa"/>
            <w:vAlign w:val="bottom"/>
          </w:tcPr>
          <w:p w:rsidR="00AA2BE3" w:rsidRPr="006C2078" w:rsidRDefault="00AA2BE3" w:rsidP="00C364DC">
            <w:pPr>
              <w:pStyle w:val="Tabletext"/>
              <w:jc w:val="center"/>
            </w:pPr>
            <w:r w:rsidRPr="006C2078">
              <w:t>130.9025</w:t>
            </w:r>
          </w:p>
        </w:tc>
      </w:tr>
      <w:tr w:rsidR="00AA2BE3" w:rsidRPr="006C2078" w:rsidTr="006E5757">
        <w:trPr>
          <w:jc w:val="center"/>
        </w:trPr>
        <w:tc>
          <w:tcPr>
            <w:tcW w:w="3176" w:type="dxa"/>
            <w:gridSpan w:val="2"/>
            <w:shd w:val="clear" w:color="auto" w:fill="FFFFFF"/>
          </w:tcPr>
          <w:p w:rsidR="00AA2BE3" w:rsidRPr="006C2078" w:rsidRDefault="00AA2BE3" w:rsidP="00C364DC">
            <w:pPr>
              <w:pStyle w:val="Tablehead"/>
            </w:pPr>
            <w:r w:rsidRPr="006C2078">
              <w:t>Plane 4</w:t>
            </w:r>
            <w:r w:rsidRPr="006C2078">
              <w:br/>
            </w:r>
            <w:r w:rsidRPr="00720C6D">
              <w:rPr>
                <w:b w:val="0"/>
                <w:bCs/>
              </w:rPr>
              <w:t>Relative RAAN = 94.8</w:t>
            </w:r>
            <w:r w:rsidRPr="00720C6D">
              <w:rPr>
                <w:b w:val="0"/>
                <w:bCs/>
                <w:vertAlign w:val="superscript"/>
              </w:rPr>
              <w:t>o</w:t>
            </w:r>
            <w:r w:rsidRPr="00720C6D">
              <w:rPr>
                <w:b w:val="0"/>
                <w:bCs/>
              </w:rPr>
              <w:t xml:space="preserve"> </w:t>
            </w:r>
          </w:p>
        </w:tc>
        <w:tc>
          <w:tcPr>
            <w:tcW w:w="3287" w:type="dxa"/>
            <w:gridSpan w:val="2"/>
            <w:shd w:val="clear" w:color="auto" w:fill="FFFFFF"/>
          </w:tcPr>
          <w:p w:rsidR="00AA2BE3" w:rsidRPr="006C2078" w:rsidRDefault="00AA2BE3" w:rsidP="00C364DC">
            <w:pPr>
              <w:pStyle w:val="Tablehead"/>
            </w:pPr>
            <w:r w:rsidRPr="006C2078">
              <w:t>Plane 5</w:t>
            </w:r>
            <w:r w:rsidRPr="006C2078">
              <w:br/>
            </w:r>
            <w:r w:rsidRPr="00720C6D">
              <w:rPr>
                <w:b w:val="0"/>
                <w:bCs/>
              </w:rPr>
              <w:t>Relative RAAN = 126.4</w:t>
            </w:r>
            <w:r w:rsidRPr="00720C6D">
              <w:rPr>
                <w:b w:val="0"/>
                <w:bCs/>
                <w:vertAlign w:val="superscript"/>
              </w:rPr>
              <w:t>o</w:t>
            </w:r>
            <w:r w:rsidRPr="00720C6D">
              <w:rPr>
                <w:b w:val="0"/>
                <w:bCs/>
              </w:rPr>
              <w:t xml:space="preserve"> </w:t>
            </w:r>
          </w:p>
        </w:tc>
        <w:tc>
          <w:tcPr>
            <w:tcW w:w="3176" w:type="dxa"/>
            <w:gridSpan w:val="2"/>
            <w:shd w:val="clear" w:color="auto" w:fill="FFFFFF"/>
          </w:tcPr>
          <w:p w:rsidR="00AA2BE3" w:rsidRPr="006C2078" w:rsidRDefault="00AA2BE3" w:rsidP="00C364DC">
            <w:pPr>
              <w:pStyle w:val="Tablehead"/>
              <w:rPr>
                <w:vertAlign w:val="superscript"/>
              </w:rPr>
            </w:pPr>
            <w:r w:rsidRPr="006C2078">
              <w:t>Plane 6</w:t>
            </w:r>
            <w:r w:rsidRPr="006C2078">
              <w:br/>
            </w:r>
            <w:r w:rsidRPr="00720C6D">
              <w:rPr>
                <w:b w:val="0"/>
                <w:bCs/>
              </w:rPr>
              <w:t>Relative RAAN = 157.0</w:t>
            </w:r>
            <w:r w:rsidRPr="00720C6D">
              <w:rPr>
                <w:b w:val="0"/>
                <w:bCs/>
                <w:vertAlign w:val="superscript"/>
              </w:rPr>
              <w:t>0</w:t>
            </w:r>
          </w:p>
        </w:tc>
      </w:tr>
      <w:tr w:rsidR="00AA2BE3" w:rsidRPr="006C2078" w:rsidTr="006E5757">
        <w:trPr>
          <w:trHeight w:val="284"/>
          <w:jc w:val="center"/>
        </w:trPr>
        <w:tc>
          <w:tcPr>
            <w:tcW w:w="1390" w:type="dxa"/>
            <w:shd w:val="clear" w:color="auto" w:fill="FFFFFF"/>
            <w:vAlign w:val="bottom"/>
          </w:tcPr>
          <w:p w:rsidR="00AA2BE3" w:rsidRPr="006C2078" w:rsidRDefault="00AA2BE3" w:rsidP="00C364DC">
            <w:pPr>
              <w:pStyle w:val="Tablehead"/>
            </w:pPr>
            <w:r w:rsidRPr="006C2078">
              <w:t>Satellite</w:t>
            </w:r>
          </w:p>
        </w:tc>
        <w:tc>
          <w:tcPr>
            <w:tcW w:w="1786" w:type="dxa"/>
            <w:shd w:val="clear" w:color="auto" w:fill="FFFFFF"/>
            <w:vAlign w:val="bottom"/>
          </w:tcPr>
          <w:p w:rsidR="00AA2BE3" w:rsidRPr="006C2078" w:rsidRDefault="00AA2BE3" w:rsidP="00C364DC">
            <w:pPr>
              <w:pStyle w:val="Tablehead"/>
            </w:pPr>
            <w:r w:rsidRPr="006C2078">
              <w:t>Arg of Lat.</w:t>
            </w:r>
          </w:p>
        </w:tc>
        <w:tc>
          <w:tcPr>
            <w:tcW w:w="1458" w:type="dxa"/>
            <w:shd w:val="clear" w:color="auto" w:fill="FFFFFF"/>
            <w:vAlign w:val="bottom"/>
          </w:tcPr>
          <w:p w:rsidR="00AA2BE3" w:rsidRPr="006C2078" w:rsidRDefault="00AA2BE3" w:rsidP="00C364DC">
            <w:pPr>
              <w:pStyle w:val="Tablehead"/>
            </w:pPr>
            <w:r w:rsidRPr="006C2078">
              <w:t>Satellite</w:t>
            </w:r>
          </w:p>
        </w:tc>
        <w:tc>
          <w:tcPr>
            <w:tcW w:w="1829" w:type="dxa"/>
            <w:shd w:val="clear" w:color="auto" w:fill="FFFFFF"/>
            <w:vAlign w:val="bottom"/>
          </w:tcPr>
          <w:p w:rsidR="00AA2BE3" w:rsidRPr="006C2078" w:rsidRDefault="00AA2BE3" w:rsidP="00C364DC">
            <w:pPr>
              <w:pStyle w:val="Tablehead"/>
            </w:pPr>
            <w:r w:rsidRPr="006C2078">
              <w:t>Arg of Lat.</w:t>
            </w:r>
          </w:p>
        </w:tc>
        <w:tc>
          <w:tcPr>
            <w:tcW w:w="1415" w:type="dxa"/>
            <w:shd w:val="clear" w:color="auto" w:fill="FFFFFF"/>
            <w:vAlign w:val="bottom"/>
          </w:tcPr>
          <w:p w:rsidR="00AA2BE3" w:rsidRPr="006C2078" w:rsidRDefault="00AA2BE3" w:rsidP="00C364DC">
            <w:pPr>
              <w:pStyle w:val="Tablehead"/>
            </w:pPr>
            <w:r w:rsidRPr="006C2078">
              <w:t>Satellite</w:t>
            </w:r>
          </w:p>
        </w:tc>
        <w:tc>
          <w:tcPr>
            <w:tcW w:w="1761" w:type="dxa"/>
            <w:shd w:val="clear" w:color="auto" w:fill="FFFFFF"/>
            <w:vAlign w:val="bottom"/>
          </w:tcPr>
          <w:p w:rsidR="00AA2BE3" w:rsidRPr="006C2078" w:rsidRDefault="00AA2BE3" w:rsidP="00C364DC">
            <w:pPr>
              <w:pStyle w:val="Tablehead"/>
            </w:pPr>
            <w:r w:rsidRPr="006C2078">
              <w:t>Arg of Lat.</w:t>
            </w:r>
          </w:p>
        </w:tc>
      </w:tr>
      <w:tr w:rsidR="00AA2BE3" w:rsidRPr="006C2078" w:rsidTr="006E5757">
        <w:trPr>
          <w:trHeight w:val="255"/>
          <w:jc w:val="center"/>
        </w:trPr>
        <w:tc>
          <w:tcPr>
            <w:tcW w:w="1390" w:type="dxa"/>
            <w:vAlign w:val="bottom"/>
          </w:tcPr>
          <w:p w:rsidR="00AA2BE3" w:rsidRPr="00C364DC" w:rsidRDefault="00AA2BE3" w:rsidP="00C364DC">
            <w:pPr>
              <w:pStyle w:val="Tabletext"/>
              <w:jc w:val="center"/>
              <w:rPr>
                <w:szCs w:val="18"/>
              </w:rPr>
            </w:pPr>
            <w:r w:rsidRPr="00C364DC">
              <w:rPr>
                <w:szCs w:val="18"/>
              </w:rPr>
              <w:t>34</w:t>
            </w:r>
          </w:p>
        </w:tc>
        <w:tc>
          <w:tcPr>
            <w:tcW w:w="1786" w:type="dxa"/>
            <w:vAlign w:val="bottom"/>
          </w:tcPr>
          <w:p w:rsidR="00AA2BE3" w:rsidRPr="00C364DC" w:rsidRDefault="00AA2BE3" w:rsidP="00C364DC">
            <w:pPr>
              <w:pStyle w:val="Tabletext"/>
              <w:jc w:val="center"/>
              <w:rPr>
                <w:szCs w:val="18"/>
              </w:rPr>
            </w:pPr>
            <w:r w:rsidRPr="00C364DC">
              <w:rPr>
                <w:szCs w:val="18"/>
              </w:rPr>
              <w:t>80.5116</w:t>
            </w:r>
          </w:p>
        </w:tc>
        <w:tc>
          <w:tcPr>
            <w:tcW w:w="1458" w:type="dxa"/>
            <w:vAlign w:val="bottom"/>
          </w:tcPr>
          <w:p w:rsidR="00AA2BE3" w:rsidRPr="00C364DC" w:rsidRDefault="00AA2BE3" w:rsidP="00C364DC">
            <w:pPr>
              <w:pStyle w:val="Tabletext"/>
              <w:jc w:val="center"/>
              <w:rPr>
                <w:szCs w:val="18"/>
              </w:rPr>
            </w:pPr>
            <w:r w:rsidRPr="00C364DC">
              <w:rPr>
                <w:szCs w:val="18"/>
              </w:rPr>
              <w:t>45</w:t>
            </w:r>
          </w:p>
        </w:tc>
        <w:tc>
          <w:tcPr>
            <w:tcW w:w="1829" w:type="dxa"/>
            <w:vAlign w:val="bottom"/>
          </w:tcPr>
          <w:p w:rsidR="00AA2BE3" w:rsidRPr="00C364DC" w:rsidRDefault="00AA2BE3" w:rsidP="00C364DC">
            <w:pPr>
              <w:pStyle w:val="Tabletext"/>
              <w:jc w:val="center"/>
              <w:rPr>
                <w:szCs w:val="18"/>
              </w:rPr>
            </w:pPr>
            <w:r w:rsidRPr="00C364DC">
              <w:rPr>
                <w:szCs w:val="18"/>
              </w:rPr>
              <w:t>95.5752</w:t>
            </w:r>
          </w:p>
        </w:tc>
        <w:tc>
          <w:tcPr>
            <w:tcW w:w="1415" w:type="dxa"/>
            <w:vAlign w:val="bottom"/>
          </w:tcPr>
          <w:p w:rsidR="00AA2BE3" w:rsidRPr="00C364DC" w:rsidRDefault="00AA2BE3" w:rsidP="00C364DC">
            <w:pPr>
              <w:pStyle w:val="Tabletext"/>
              <w:jc w:val="center"/>
              <w:rPr>
                <w:szCs w:val="18"/>
              </w:rPr>
            </w:pPr>
            <w:r w:rsidRPr="00C364DC">
              <w:rPr>
                <w:szCs w:val="18"/>
              </w:rPr>
              <w:t>56</w:t>
            </w:r>
          </w:p>
        </w:tc>
        <w:tc>
          <w:tcPr>
            <w:tcW w:w="1761" w:type="dxa"/>
            <w:vAlign w:val="bottom"/>
          </w:tcPr>
          <w:p w:rsidR="00AA2BE3" w:rsidRPr="00C364DC" w:rsidRDefault="00AA2BE3" w:rsidP="00C364DC">
            <w:pPr>
              <w:pStyle w:val="Tabletext"/>
              <w:jc w:val="center"/>
              <w:rPr>
                <w:szCs w:val="18"/>
              </w:rPr>
            </w:pPr>
            <w:r w:rsidRPr="00C364DC">
              <w:rPr>
                <w:szCs w:val="18"/>
              </w:rPr>
              <w:t>77.9116</w:t>
            </w:r>
          </w:p>
        </w:tc>
      </w:tr>
      <w:tr w:rsidR="00AA2BE3" w:rsidRPr="006C2078" w:rsidTr="006E5757">
        <w:trPr>
          <w:trHeight w:val="255"/>
          <w:jc w:val="center"/>
        </w:trPr>
        <w:tc>
          <w:tcPr>
            <w:tcW w:w="1390" w:type="dxa"/>
            <w:vAlign w:val="bottom"/>
          </w:tcPr>
          <w:p w:rsidR="00AA2BE3" w:rsidRPr="00C364DC" w:rsidRDefault="00AA2BE3" w:rsidP="00C364DC">
            <w:pPr>
              <w:pStyle w:val="Tabletext"/>
              <w:jc w:val="center"/>
              <w:rPr>
                <w:szCs w:val="18"/>
              </w:rPr>
            </w:pPr>
            <w:r w:rsidRPr="00C364DC">
              <w:rPr>
                <w:szCs w:val="18"/>
              </w:rPr>
              <w:t>35</w:t>
            </w:r>
          </w:p>
        </w:tc>
        <w:tc>
          <w:tcPr>
            <w:tcW w:w="1786" w:type="dxa"/>
            <w:vAlign w:val="bottom"/>
          </w:tcPr>
          <w:p w:rsidR="00AA2BE3" w:rsidRPr="00C364DC" w:rsidRDefault="00AA2BE3" w:rsidP="00C364DC">
            <w:pPr>
              <w:pStyle w:val="Tabletext"/>
              <w:jc w:val="center"/>
              <w:rPr>
                <w:szCs w:val="18"/>
              </w:rPr>
            </w:pPr>
            <w:r w:rsidRPr="00C364DC">
              <w:rPr>
                <w:szCs w:val="18"/>
              </w:rPr>
              <w:t>47.7844</w:t>
            </w:r>
          </w:p>
        </w:tc>
        <w:tc>
          <w:tcPr>
            <w:tcW w:w="1458" w:type="dxa"/>
            <w:vAlign w:val="bottom"/>
          </w:tcPr>
          <w:p w:rsidR="00AA2BE3" w:rsidRPr="00C364DC" w:rsidRDefault="00AA2BE3" w:rsidP="00C364DC">
            <w:pPr>
              <w:pStyle w:val="Tabletext"/>
              <w:jc w:val="center"/>
              <w:rPr>
                <w:szCs w:val="18"/>
              </w:rPr>
            </w:pPr>
            <w:r w:rsidRPr="00C364DC">
              <w:rPr>
                <w:szCs w:val="18"/>
              </w:rPr>
              <w:t>46</w:t>
            </w:r>
          </w:p>
        </w:tc>
        <w:tc>
          <w:tcPr>
            <w:tcW w:w="1829" w:type="dxa"/>
            <w:vAlign w:val="bottom"/>
          </w:tcPr>
          <w:p w:rsidR="00AA2BE3" w:rsidRPr="00C364DC" w:rsidRDefault="00AA2BE3" w:rsidP="00C364DC">
            <w:pPr>
              <w:pStyle w:val="Tabletext"/>
              <w:jc w:val="center"/>
              <w:rPr>
                <w:szCs w:val="18"/>
              </w:rPr>
            </w:pPr>
            <w:r w:rsidRPr="00C364DC">
              <w:rPr>
                <w:szCs w:val="18"/>
              </w:rPr>
              <w:t>62.848</w:t>
            </w:r>
          </w:p>
        </w:tc>
        <w:tc>
          <w:tcPr>
            <w:tcW w:w="1415" w:type="dxa"/>
            <w:vAlign w:val="bottom"/>
          </w:tcPr>
          <w:p w:rsidR="00AA2BE3" w:rsidRPr="00C364DC" w:rsidRDefault="00AA2BE3" w:rsidP="00C364DC">
            <w:pPr>
              <w:pStyle w:val="Tabletext"/>
              <w:jc w:val="center"/>
              <w:rPr>
                <w:szCs w:val="18"/>
              </w:rPr>
            </w:pPr>
            <w:r w:rsidRPr="00C364DC">
              <w:rPr>
                <w:szCs w:val="18"/>
              </w:rPr>
              <w:t>57</w:t>
            </w:r>
          </w:p>
        </w:tc>
        <w:tc>
          <w:tcPr>
            <w:tcW w:w="1761" w:type="dxa"/>
            <w:vAlign w:val="bottom"/>
          </w:tcPr>
          <w:p w:rsidR="00AA2BE3" w:rsidRPr="00C364DC" w:rsidRDefault="00AA2BE3" w:rsidP="00C364DC">
            <w:pPr>
              <w:pStyle w:val="Tabletext"/>
              <w:jc w:val="center"/>
              <w:rPr>
                <w:szCs w:val="18"/>
              </w:rPr>
            </w:pPr>
            <w:r w:rsidRPr="00C364DC">
              <w:rPr>
                <w:szCs w:val="18"/>
              </w:rPr>
              <w:t>45.1844</w:t>
            </w:r>
          </w:p>
        </w:tc>
      </w:tr>
      <w:tr w:rsidR="00AA2BE3" w:rsidRPr="006C2078" w:rsidTr="006E5757">
        <w:trPr>
          <w:trHeight w:val="255"/>
          <w:jc w:val="center"/>
        </w:trPr>
        <w:tc>
          <w:tcPr>
            <w:tcW w:w="1390" w:type="dxa"/>
            <w:vAlign w:val="bottom"/>
          </w:tcPr>
          <w:p w:rsidR="00AA2BE3" w:rsidRPr="00C364DC" w:rsidRDefault="00AA2BE3" w:rsidP="00C364DC">
            <w:pPr>
              <w:pStyle w:val="Tabletext"/>
              <w:jc w:val="center"/>
              <w:rPr>
                <w:szCs w:val="18"/>
              </w:rPr>
            </w:pPr>
            <w:r w:rsidRPr="00C364DC">
              <w:rPr>
                <w:szCs w:val="18"/>
              </w:rPr>
              <w:t>36</w:t>
            </w:r>
          </w:p>
        </w:tc>
        <w:tc>
          <w:tcPr>
            <w:tcW w:w="1786" w:type="dxa"/>
            <w:vAlign w:val="bottom"/>
          </w:tcPr>
          <w:p w:rsidR="00AA2BE3" w:rsidRPr="00C364DC" w:rsidRDefault="00AA2BE3" w:rsidP="00C364DC">
            <w:pPr>
              <w:pStyle w:val="Tabletext"/>
              <w:jc w:val="center"/>
              <w:rPr>
                <w:szCs w:val="18"/>
              </w:rPr>
            </w:pPr>
            <w:r w:rsidRPr="00C364DC">
              <w:rPr>
                <w:szCs w:val="18"/>
              </w:rPr>
              <w:t>15.0571</w:t>
            </w:r>
          </w:p>
        </w:tc>
        <w:tc>
          <w:tcPr>
            <w:tcW w:w="1458" w:type="dxa"/>
            <w:vAlign w:val="bottom"/>
          </w:tcPr>
          <w:p w:rsidR="00AA2BE3" w:rsidRPr="00C364DC" w:rsidRDefault="00AA2BE3" w:rsidP="00C364DC">
            <w:pPr>
              <w:pStyle w:val="Tabletext"/>
              <w:jc w:val="center"/>
              <w:rPr>
                <w:szCs w:val="18"/>
              </w:rPr>
            </w:pPr>
            <w:r w:rsidRPr="00C364DC">
              <w:rPr>
                <w:szCs w:val="18"/>
              </w:rPr>
              <w:t>47</w:t>
            </w:r>
          </w:p>
        </w:tc>
        <w:tc>
          <w:tcPr>
            <w:tcW w:w="1829" w:type="dxa"/>
            <w:vAlign w:val="bottom"/>
          </w:tcPr>
          <w:p w:rsidR="00AA2BE3" w:rsidRPr="00C364DC" w:rsidRDefault="00AA2BE3" w:rsidP="00C364DC">
            <w:pPr>
              <w:pStyle w:val="Tabletext"/>
              <w:jc w:val="center"/>
              <w:rPr>
                <w:szCs w:val="18"/>
              </w:rPr>
            </w:pPr>
            <w:r w:rsidRPr="00C364DC">
              <w:rPr>
                <w:szCs w:val="18"/>
              </w:rPr>
              <w:t>30.1207</w:t>
            </w:r>
          </w:p>
        </w:tc>
        <w:tc>
          <w:tcPr>
            <w:tcW w:w="1415" w:type="dxa"/>
            <w:vAlign w:val="bottom"/>
          </w:tcPr>
          <w:p w:rsidR="00AA2BE3" w:rsidRPr="00C364DC" w:rsidRDefault="00AA2BE3" w:rsidP="00C364DC">
            <w:pPr>
              <w:pStyle w:val="Tabletext"/>
              <w:jc w:val="center"/>
              <w:rPr>
                <w:szCs w:val="18"/>
              </w:rPr>
            </w:pPr>
            <w:r w:rsidRPr="00C364DC">
              <w:rPr>
                <w:szCs w:val="18"/>
              </w:rPr>
              <w:t>58</w:t>
            </w:r>
          </w:p>
        </w:tc>
        <w:tc>
          <w:tcPr>
            <w:tcW w:w="1761" w:type="dxa"/>
            <w:vAlign w:val="bottom"/>
          </w:tcPr>
          <w:p w:rsidR="00AA2BE3" w:rsidRPr="00C364DC" w:rsidRDefault="00AA2BE3" w:rsidP="00C364DC">
            <w:pPr>
              <w:pStyle w:val="Tabletext"/>
              <w:jc w:val="center"/>
              <w:rPr>
                <w:szCs w:val="18"/>
              </w:rPr>
            </w:pPr>
            <w:r w:rsidRPr="00C364DC">
              <w:rPr>
                <w:szCs w:val="18"/>
              </w:rPr>
              <w:t>12.4571</w:t>
            </w:r>
          </w:p>
        </w:tc>
      </w:tr>
      <w:tr w:rsidR="00AA2BE3" w:rsidRPr="006C2078" w:rsidTr="006E5757">
        <w:trPr>
          <w:trHeight w:val="255"/>
          <w:jc w:val="center"/>
        </w:trPr>
        <w:tc>
          <w:tcPr>
            <w:tcW w:w="1390" w:type="dxa"/>
            <w:vAlign w:val="bottom"/>
          </w:tcPr>
          <w:p w:rsidR="00AA2BE3" w:rsidRPr="00C364DC" w:rsidRDefault="00AA2BE3" w:rsidP="00C364DC">
            <w:pPr>
              <w:pStyle w:val="Tabletext"/>
              <w:jc w:val="center"/>
              <w:rPr>
                <w:szCs w:val="18"/>
              </w:rPr>
            </w:pPr>
            <w:r w:rsidRPr="00C364DC">
              <w:rPr>
                <w:szCs w:val="18"/>
              </w:rPr>
              <w:t>37</w:t>
            </w:r>
          </w:p>
        </w:tc>
        <w:tc>
          <w:tcPr>
            <w:tcW w:w="1786" w:type="dxa"/>
            <w:vAlign w:val="bottom"/>
          </w:tcPr>
          <w:p w:rsidR="00AA2BE3" w:rsidRPr="00C364DC" w:rsidRDefault="00AA2BE3" w:rsidP="00C364DC">
            <w:pPr>
              <w:pStyle w:val="Tabletext"/>
              <w:jc w:val="center"/>
              <w:rPr>
                <w:szCs w:val="18"/>
              </w:rPr>
            </w:pPr>
            <w:r w:rsidRPr="00C364DC">
              <w:rPr>
                <w:szCs w:val="18"/>
              </w:rPr>
              <w:t>342.3298</w:t>
            </w:r>
          </w:p>
        </w:tc>
        <w:tc>
          <w:tcPr>
            <w:tcW w:w="1458" w:type="dxa"/>
            <w:vAlign w:val="bottom"/>
          </w:tcPr>
          <w:p w:rsidR="00AA2BE3" w:rsidRPr="00C364DC" w:rsidRDefault="00AA2BE3" w:rsidP="00C364DC">
            <w:pPr>
              <w:pStyle w:val="Tabletext"/>
              <w:jc w:val="center"/>
              <w:rPr>
                <w:szCs w:val="18"/>
              </w:rPr>
            </w:pPr>
            <w:r w:rsidRPr="00C364DC">
              <w:rPr>
                <w:szCs w:val="18"/>
              </w:rPr>
              <w:t>48</w:t>
            </w:r>
          </w:p>
        </w:tc>
        <w:tc>
          <w:tcPr>
            <w:tcW w:w="1829" w:type="dxa"/>
            <w:vAlign w:val="bottom"/>
          </w:tcPr>
          <w:p w:rsidR="00AA2BE3" w:rsidRPr="00C364DC" w:rsidRDefault="00AA2BE3" w:rsidP="00C364DC">
            <w:pPr>
              <w:pStyle w:val="Tabletext"/>
              <w:jc w:val="center"/>
              <w:rPr>
                <w:szCs w:val="18"/>
              </w:rPr>
            </w:pPr>
            <w:r w:rsidRPr="00C364DC">
              <w:rPr>
                <w:szCs w:val="18"/>
              </w:rPr>
              <w:t>357.3934</w:t>
            </w:r>
          </w:p>
        </w:tc>
        <w:tc>
          <w:tcPr>
            <w:tcW w:w="1415" w:type="dxa"/>
            <w:vAlign w:val="bottom"/>
          </w:tcPr>
          <w:p w:rsidR="00AA2BE3" w:rsidRPr="00C364DC" w:rsidRDefault="00AA2BE3" w:rsidP="00C364DC">
            <w:pPr>
              <w:pStyle w:val="Tabletext"/>
              <w:jc w:val="center"/>
              <w:rPr>
                <w:szCs w:val="18"/>
              </w:rPr>
            </w:pPr>
            <w:r w:rsidRPr="00C364DC">
              <w:rPr>
                <w:szCs w:val="18"/>
              </w:rPr>
              <w:t>59</w:t>
            </w:r>
          </w:p>
        </w:tc>
        <w:tc>
          <w:tcPr>
            <w:tcW w:w="1761" w:type="dxa"/>
            <w:vAlign w:val="bottom"/>
          </w:tcPr>
          <w:p w:rsidR="00AA2BE3" w:rsidRPr="00C364DC" w:rsidRDefault="00AA2BE3" w:rsidP="00C364DC">
            <w:pPr>
              <w:pStyle w:val="Tabletext"/>
              <w:jc w:val="center"/>
              <w:rPr>
                <w:szCs w:val="18"/>
              </w:rPr>
            </w:pPr>
            <w:r w:rsidRPr="00C364DC">
              <w:rPr>
                <w:szCs w:val="18"/>
              </w:rPr>
              <w:t>339.7298</w:t>
            </w:r>
          </w:p>
        </w:tc>
      </w:tr>
      <w:tr w:rsidR="00AA2BE3" w:rsidRPr="006C2078" w:rsidTr="006E5757">
        <w:trPr>
          <w:trHeight w:val="255"/>
          <w:jc w:val="center"/>
        </w:trPr>
        <w:tc>
          <w:tcPr>
            <w:tcW w:w="1390" w:type="dxa"/>
            <w:vAlign w:val="bottom"/>
          </w:tcPr>
          <w:p w:rsidR="00AA2BE3" w:rsidRPr="00C364DC" w:rsidRDefault="00AA2BE3" w:rsidP="00C364DC">
            <w:pPr>
              <w:pStyle w:val="Tabletext"/>
              <w:jc w:val="center"/>
              <w:rPr>
                <w:szCs w:val="18"/>
              </w:rPr>
            </w:pPr>
            <w:r w:rsidRPr="00C364DC">
              <w:rPr>
                <w:szCs w:val="18"/>
              </w:rPr>
              <w:t>38</w:t>
            </w:r>
          </w:p>
        </w:tc>
        <w:tc>
          <w:tcPr>
            <w:tcW w:w="1786" w:type="dxa"/>
            <w:vAlign w:val="bottom"/>
          </w:tcPr>
          <w:p w:rsidR="00AA2BE3" w:rsidRPr="00C364DC" w:rsidRDefault="00AA2BE3" w:rsidP="00C364DC">
            <w:pPr>
              <w:pStyle w:val="Tabletext"/>
              <w:jc w:val="center"/>
              <w:rPr>
                <w:szCs w:val="18"/>
              </w:rPr>
            </w:pPr>
            <w:r w:rsidRPr="00C364DC">
              <w:rPr>
                <w:szCs w:val="18"/>
              </w:rPr>
              <w:t>309.6025</w:t>
            </w:r>
          </w:p>
        </w:tc>
        <w:tc>
          <w:tcPr>
            <w:tcW w:w="1458" w:type="dxa"/>
            <w:vAlign w:val="bottom"/>
          </w:tcPr>
          <w:p w:rsidR="00AA2BE3" w:rsidRPr="00C364DC" w:rsidRDefault="00AA2BE3" w:rsidP="00C364DC">
            <w:pPr>
              <w:pStyle w:val="Tabletext"/>
              <w:jc w:val="center"/>
              <w:rPr>
                <w:szCs w:val="18"/>
              </w:rPr>
            </w:pPr>
            <w:r w:rsidRPr="00C364DC">
              <w:rPr>
                <w:szCs w:val="18"/>
              </w:rPr>
              <w:t>49</w:t>
            </w:r>
          </w:p>
        </w:tc>
        <w:tc>
          <w:tcPr>
            <w:tcW w:w="1829" w:type="dxa"/>
            <w:vAlign w:val="bottom"/>
          </w:tcPr>
          <w:p w:rsidR="00AA2BE3" w:rsidRPr="00C364DC" w:rsidRDefault="00AA2BE3" w:rsidP="00C364DC">
            <w:pPr>
              <w:pStyle w:val="Tabletext"/>
              <w:jc w:val="center"/>
              <w:rPr>
                <w:szCs w:val="18"/>
              </w:rPr>
            </w:pPr>
            <w:r w:rsidRPr="00C364DC">
              <w:rPr>
                <w:szCs w:val="18"/>
              </w:rPr>
              <w:t>324.6661</w:t>
            </w:r>
          </w:p>
        </w:tc>
        <w:tc>
          <w:tcPr>
            <w:tcW w:w="1415" w:type="dxa"/>
            <w:vAlign w:val="bottom"/>
          </w:tcPr>
          <w:p w:rsidR="00AA2BE3" w:rsidRPr="00C364DC" w:rsidRDefault="00AA2BE3" w:rsidP="00C364DC">
            <w:pPr>
              <w:pStyle w:val="Tabletext"/>
              <w:jc w:val="center"/>
              <w:rPr>
                <w:szCs w:val="18"/>
              </w:rPr>
            </w:pPr>
            <w:r w:rsidRPr="00C364DC">
              <w:rPr>
                <w:szCs w:val="18"/>
              </w:rPr>
              <w:t>60</w:t>
            </w:r>
          </w:p>
        </w:tc>
        <w:tc>
          <w:tcPr>
            <w:tcW w:w="1761" w:type="dxa"/>
            <w:vAlign w:val="bottom"/>
          </w:tcPr>
          <w:p w:rsidR="00AA2BE3" w:rsidRPr="00C364DC" w:rsidRDefault="00AA2BE3" w:rsidP="00C364DC">
            <w:pPr>
              <w:pStyle w:val="Tabletext"/>
              <w:jc w:val="center"/>
              <w:rPr>
                <w:szCs w:val="18"/>
              </w:rPr>
            </w:pPr>
            <w:r w:rsidRPr="00C364DC">
              <w:rPr>
                <w:szCs w:val="18"/>
              </w:rPr>
              <w:t>307.0025</w:t>
            </w:r>
          </w:p>
        </w:tc>
      </w:tr>
      <w:tr w:rsidR="00AA2BE3" w:rsidRPr="006C2078" w:rsidTr="006E5757">
        <w:trPr>
          <w:trHeight w:val="255"/>
          <w:jc w:val="center"/>
        </w:trPr>
        <w:tc>
          <w:tcPr>
            <w:tcW w:w="1390" w:type="dxa"/>
            <w:vAlign w:val="bottom"/>
          </w:tcPr>
          <w:p w:rsidR="00AA2BE3" w:rsidRPr="00C364DC" w:rsidRDefault="00AA2BE3" w:rsidP="00C364DC">
            <w:pPr>
              <w:pStyle w:val="Tabletext"/>
              <w:jc w:val="center"/>
              <w:rPr>
                <w:szCs w:val="18"/>
              </w:rPr>
            </w:pPr>
            <w:r w:rsidRPr="00C364DC">
              <w:rPr>
                <w:szCs w:val="18"/>
              </w:rPr>
              <w:t>39</w:t>
            </w:r>
          </w:p>
        </w:tc>
        <w:tc>
          <w:tcPr>
            <w:tcW w:w="1786" w:type="dxa"/>
            <w:vAlign w:val="bottom"/>
          </w:tcPr>
          <w:p w:rsidR="00AA2BE3" w:rsidRPr="00C364DC" w:rsidRDefault="00AA2BE3" w:rsidP="00C364DC">
            <w:pPr>
              <w:pStyle w:val="Tabletext"/>
              <w:jc w:val="center"/>
              <w:rPr>
                <w:szCs w:val="18"/>
              </w:rPr>
            </w:pPr>
            <w:r w:rsidRPr="00C364DC">
              <w:rPr>
                <w:szCs w:val="18"/>
              </w:rPr>
              <w:t>276.8753</w:t>
            </w:r>
          </w:p>
        </w:tc>
        <w:tc>
          <w:tcPr>
            <w:tcW w:w="1458" w:type="dxa"/>
            <w:vAlign w:val="bottom"/>
          </w:tcPr>
          <w:p w:rsidR="00AA2BE3" w:rsidRPr="00C364DC" w:rsidRDefault="00AA2BE3" w:rsidP="00C364DC">
            <w:pPr>
              <w:pStyle w:val="Tabletext"/>
              <w:jc w:val="center"/>
              <w:rPr>
                <w:szCs w:val="18"/>
              </w:rPr>
            </w:pPr>
            <w:r w:rsidRPr="00C364DC">
              <w:rPr>
                <w:szCs w:val="18"/>
              </w:rPr>
              <w:t>50</w:t>
            </w:r>
          </w:p>
        </w:tc>
        <w:tc>
          <w:tcPr>
            <w:tcW w:w="1829" w:type="dxa"/>
            <w:vAlign w:val="bottom"/>
          </w:tcPr>
          <w:p w:rsidR="00AA2BE3" w:rsidRPr="00C364DC" w:rsidRDefault="00AA2BE3" w:rsidP="00C364DC">
            <w:pPr>
              <w:pStyle w:val="Tabletext"/>
              <w:jc w:val="center"/>
              <w:rPr>
                <w:szCs w:val="18"/>
              </w:rPr>
            </w:pPr>
            <w:r w:rsidRPr="00C364DC">
              <w:rPr>
                <w:szCs w:val="18"/>
              </w:rPr>
              <w:t>291.9389</w:t>
            </w:r>
          </w:p>
        </w:tc>
        <w:tc>
          <w:tcPr>
            <w:tcW w:w="1415" w:type="dxa"/>
            <w:vAlign w:val="bottom"/>
          </w:tcPr>
          <w:p w:rsidR="00AA2BE3" w:rsidRPr="00C364DC" w:rsidRDefault="00AA2BE3" w:rsidP="00C364DC">
            <w:pPr>
              <w:pStyle w:val="Tabletext"/>
              <w:jc w:val="center"/>
              <w:rPr>
                <w:szCs w:val="18"/>
              </w:rPr>
            </w:pPr>
            <w:r w:rsidRPr="00C364DC">
              <w:rPr>
                <w:szCs w:val="18"/>
              </w:rPr>
              <w:t>61</w:t>
            </w:r>
          </w:p>
        </w:tc>
        <w:tc>
          <w:tcPr>
            <w:tcW w:w="1761" w:type="dxa"/>
            <w:vAlign w:val="bottom"/>
          </w:tcPr>
          <w:p w:rsidR="00AA2BE3" w:rsidRPr="00C364DC" w:rsidRDefault="00AA2BE3" w:rsidP="00C364DC">
            <w:pPr>
              <w:pStyle w:val="Tabletext"/>
              <w:jc w:val="center"/>
              <w:rPr>
                <w:szCs w:val="18"/>
              </w:rPr>
            </w:pPr>
            <w:r w:rsidRPr="00C364DC">
              <w:rPr>
                <w:szCs w:val="18"/>
              </w:rPr>
              <w:t>274.2753</w:t>
            </w:r>
          </w:p>
        </w:tc>
      </w:tr>
      <w:tr w:rsidR="00AA2BE3" w:rsidRPr="006C2078" w:rsidTr="006E5757">
        <w:trPr>
          <w:trHeight w:val="255"/>
          <w:jc w:val="center"/>
        </w:trPr>
        <w:tc>
          <w:tcPr>
            <w:tcW w:w="1390" w:type="dxa"/>
            <w:vAlign w:val="bottom"/>
          </w:tcPr>
          <w:p w:rsidR="00AA2BE3" w:rsidRPr="00C364DC" w:rsidRDefault="00AA2BE3" w:rsidP="00C364DC">
            <w:pPr>
              <w:pStyle w:val="Tabletext"/>
              <w:jc w:val="center"/>
              <w:rPr>
                <w:szCs w:val="18"/>
              </w:rPr>
            </w:pPr>
            <w:r w:rsidRPr="00C364DC">
              <w:rPr>
                <w:szCs w:val="18"/>
              </w:rPr>
              <w:t>40</w:t>
            </w:r>
          </w:p>
        </w:tc>
        <w:tc>
          <w:tcPr>
            <w:tcW w:w="1786" w:type="dxa"/>
            <w:vAlign w:val="bottom"/>
          </w:tcPr>
          <w:p w:rsidR="00AA2BE3" w:rsidRPr="00C364DC" w:rsidRDefault="00AA2BE3" w:rsidP="00C364DC">
            <w:pPr>
              <w:pStyle w:val="Tabletext"/>
              <w:jc w:val="center"/>
              <w:rPr>
                <w:szCs w:val="18"/>
              </w:rPr>
            </w:pPr>
            <w:r w:rsidRPr="00C364DC">
              <w:rPr>
                <w:szCs w:val="18"/>
              </w:rPr>
              <w:t>244.148</w:t>
            </w:r>
          </w:p>
        </w:tc>
        <w:tc>
          <w:tcPr>
            <w:tcW w:w="1458" w:type="dxa"/>
            <w:vAlign w:val="bottom"/>
          </w:tcPr>
          <w:p w:rsidR="00AA2BE3" w:rsidRPr="00C364DC" w:rsidRDefault="00AA2BE3" w:rsidP="00C364DC">
            <w:pPr>
              <w:pStyle w:val="Tabletext"/>
              <w:jc w:val="center"/>
              <w:rPr>
                <w:szCs w:val="18"/>
              </w:rPr>
            </w:pPr>
            <w:r w:rsidRPr="00C364DC">
              <w:rPr>
                <w:szCs w:val="18"/>
              </w:rPr>
              <w:t>51</w:t>
            </w:r>
          </w:p>
        </w:tc>
        <w:tc>
          <w:tcPr>
            <w:tcW w:w="1829" w:type="dxa"/>
            <w:vAlign w:val="bottom"/>
          </w:tcPr>
          <w:p w:rsidR="00AA2BE3" w:rsidRPr="00C364DC" w:rsidRDefault="00AA2BE3" w:rsidP="00C364DC">
            <w:pPr>
              <w:pStyle w:val="Tabletext"/>
              <w:jc w:val="center"/>
              <w:rPr>
                <w:szCs w:val="18"/>
              </w:rPr>
            </w:pPr>
            <w:r w:rsidRPr="00C364DC">
              <w:rPr>
                <w:szCs w:val="18"/>
              </w:rPr>
              <w:t>259.2116</w:t>
            </w:r>
          </w:p>
        </w:tc>
        <w:tc>
          <w:tcPr>
            <w:tcW w:w="1415" w:type="dxa"/>
            <w:vAlign w:val="bottom"/>
          </w:tcPr>
          <w:p w:rsidR="00AA2BE3" w:rsidRPr="00C364DC" w:rsidRDefault="00AA2BE3" w:rsidP="00C364DC">
            <w:pPr>
              <w:pStyle w:val="Tabletext"/>
              <w:jc w:val="center"/>
              <w:rPr>
                <w:szCs w:val="18"/>
              </w:rPr>
            </w:pPr>
            <w:r w:rsidRPr="00C364DC">
              <w:rPr>
                <w:szCs w:val="18"/>
              </w:rPr>
              <w:t>62</w:t>
            </w:r>
          </w:p>
        </w:tc>
        <w:tc>
          <w:tcPr>
            <w:tcW w:w="1761" w:type="dxa"/>
            <w:vAlign w:val="bottom"/>
          </w:tcPr>
          <w:p w:rsidR="00AA2BE3" w:rsidRPr="00C364DC" w:rsidRDefault="00AA2BE3" w:rsidP="00C364DC">
            <w:pPr>
              <w:pStyle w:val="Tabletext"/>
              <w:jc w:val="center"/>
              <w:rPr>
                <w:szCs w:val="18"/>
              </w:rPr>
            </w:pPr>
            <w:r w:rsidRPr="00C364DC">
              <w:rPr>
                <w:szCs w:val="18"/>
              </w:rPr>
              <w:t>241.548</w:t>
            </w:r>
          </w:p>
        </w:tc>
      </w:tr>
      <w:tr w:rsidR="00AA2BE3" w:rsidRPr="006C2078" w:rsidTr="006E5757">
        <w:trPr>
          <w:trHeight w:val="255"/>
          <w:jc w:val="center"/>
        </w:trPr>
        <w:tc>
          <w:tcPr>
            <w:tcW w:w="1390" w:type="dxa"/>
            <w:vAlign w:val="bottom"/>
          </w:tcPr>
          <w:p w:rsidR="00AA2BE3" w:rsidRPr="00C364DC" w:rsidRDefault="00AA2BE3" w:rsidP="00C364DC">
            <w:pPr>
              <w:pStyle w:val="Tabletext"/>
              <w:jc w:val="center"/>
              <w:rPr>
                <w:szCs w:val="18"/>
              </w:rPr>
            </w:pPr>
            <w:r w:rsidRPr="00C364DC">
              <w:rPr>
                <w:szCs w:val="18"/>
              </w:rPr>
              <w:t>41</w:t>
            </w:r>
          </w:p>
        </w:tc>
        <w:tc>
          <w:tcPr>
            <w:tcW w:w="1786" w:type="dxa"/>
            <w:vAlign w:val="bottom"/>
          </w:tcPr>
          <w:p w:rsidR="00AA2BE3" w:rsidRPr="00C364DC" w:rsidRDefault="00AA2BE3" w:rsidP="00C364DC">
            <w:pPr>
              <w:pStyle w:val="Tabletext"/>
              <w:jc w:val="center"/>
              <w:rPr>
                <w:szCs w:val="18"/>
              </w:rPr>
            </w:pPr>
            <w:r w:rsidRPr="00C364DC">
              <w:rPr>
                <w:szCs w:val="18"/>
              </w:rPr>
              <w:t>211.4207</w:t>
            </w:r>
          </w:p>
        </w:tc>
        <w:tc>
          <w:tcPr>
            <w:tcW w:w="1458" w:type="dxa"/>
            <w:vAlign w:val="bottom"/>
          </w:tcPr>
          <w:p w:rsidR="00AA2BE3" w:rsidRPr="00C364DC" w:rsidRDefault="00AA2BE3" w:rsidP="00C364DC">
            <w:pPr>
              <w:pStyle w:val="Tabletext"/>
              <w:jc w:val="center"/>
              <w:rPr>
                <w:szCs w:val="18"/>
              </w:rPr>
            </w:pPr>
            <w:r w:rsidRPr="00C364DC">
              <w:rPr>
                <w:szCs w:val="18"/>
              </w:rPr>
              <w:t>52</w:t>
            </w:r>
          </w:p>
        </w:tc>
        <w:tc>
          <w:tcPr>
            <w:tcW w:w="1829" w:type="dxa"/>
            <w:vAlign w:val="bottom"/>
          </w:tcPr>
          <w:p w:rsidR="00AA2BE3" w:rsidRPr="00C364DC" w:rsidRDefault="00AA2BE3" w:rsidP="00C364DC">
            <w:pPr>
              <w:pStyle w:val="Tabletext"/>
              <w:jc w:val="center"/>
              <w:rPr>
                <w:szCs w:val="18"/>
              </w:rPr>
            </w:pPr>
            <w:r w:rsidRPr="00C364DC">
              <w:rPr>
                <w:szCs w:val="18"/>
              </w:rPr>
              <w:t>226.4843</w:t>
            </w:r>
          </w:p>
        </w:tc>
        <w:tc>
          <w:tcPr>
            <w:tcW w:w="1415" w:type="dxa"/>
            <w:vAlign w:val="bottom"/>
          </w:tcPr>
          <w:p w:rsidR="00AA2BE3" w:rsidRPr="00C364DC" w:rsidRDefault="00AA2BE3" w:rsidP="00C364DC">
            <w:pPr>
              <w:pStyle w:val="Tabletext"/>
              <w:jc w:val="center"/>
              <w:rPr>
                <w:szCs w:val="18"/>
              </w:rPr>
            </w:pPr>
            <w:r w:rsidRPr="00C364DC">
              <w:rPr>
                <w:szCs w:val="18"/>
              </w:rPr>
              <w:t>63</w:t>
            </w:r>
          </w:p>
        </w:tc>
        <w:tc>
          <w:tcPr>
            <w:tcW w:w="1761" w:type="dxa"/>
            <w:vAlign w:val="bottom"/>
          </w:tcPr>
          <w:p w:rsidR="00AA2BE3" w:rsidRPr="00C364DC" w:rsidRDefault="00AA2BE3" w:rsidP="00C364DC">
            <w:pPr>
              <w:pStyle w:val="Tabletext"/>
              <w:jc w:val="center"/>
              <w:rPr>
                <w:szCs w:val="18"/>
              </w:rPr>
            </w:pPr>
            <w:r w:rsidRPr="00C364DC">
              <w:rPr>
                <w:szCs w:val="18"/>
              </w:rPr>
              <w:t>208.8207</w:t>
            </w:r>
          </w:p>
        </w:tc>
      </w:tr>
      <w:tr w:rsidR="00AA2BE3" w:rsidRPr="006C2078" w:rsidTr="006E5757">
        <w:trPr>
          <w:trHeight w:val="255"/>
          <w:jc w:val="center"/>
        </w:trPr>
        <w:tc>
          <w:tcPr>
            <w:tcW w:w="1390" w:type="dxa"/>
            <w:vAlign w:val="bottom"/>
          </w:tcPr>
          <w:p w:rsidR="00AA2BE3" w:rsidRPr="00C364DC" w:rsidRDefault="00AA2BE3" w:rsidP="00C364DC">
            <w:pPr>
              <w:pStyle w:val="Tabletext"/>
              <w:jc w:val="center"/>
              <w:rPr>
                <w:szCs w:val="18"/>
              </w:rPr>
            </w:pPr>
            <w:r w:rsidRPr="00C364DC">
              <w:rPr>
                <w:szCs w:val="18"/>
              </w:rPr>
              <w:t>42</w:t>
            </w:r>
          </w:p>
        </w:tc>
        <w:tc>
          <w:tcPr>
            <w:tcW w:w="1786" w:type="dxa"/>
            <w:vAlign w:val="bottom"/>
          </w:tcPr>
          <w:p w:rsidR="00AA2BE3" w:rsidRPr="00C364DC" w:rsidRDefault="00AA2BE3" w:rsidP="00C364DC">
            <w:pPr>
              <w:pStyle w:val="Tabletext"/>
              <w:jc w:val="center"/>
              <w:rPr>
                <w:szCs w:val="18"/>
              </w:rPr>
            </w:pPr>
            <w:r w:rsidRPr="00C364DC">
              <w:rPr>
                <w:szCs w:val="18"/>
              </w:rPr>
              <w:t>178.6935</w:t>
            </w:r>
          </w:p>
        </w:tc>
        <w:tc>
          <w:tcPr>
            <w:tcW w:w="1458" w:type="dxa"/>
            <w:vAlign w:val="bottom"/>
          </w:tcPr>
          <w:p w:rsidR="00AA2BE3" w:rsidRPr="00C364DC" w:rsidRDefault="00AA2BE3" w:rsidP="00C364DC">
            <w:pPr>
              <w:pStyle w:val="Tabletext"/>
              <w:jc w:val="center"/>
              <w:rPr>
                <w:szCs w:val="18"/>
              </w:rPr>
            </w:pPr>
            <w:r w:rsidRPr="00C364DC">
              <w:rPr>
                <w:szCs w:val="18"/>
              </w:rPr>
              <w:t>53</w:t>
            </w:r>
          </w:p>
        </w:tc>
        <w:tc>
          <w:tcPr>
            <w:tcW w:w="1829" w:type="dxa"/>
            <w:vAlign w:val="bottom"/>
          </w:tcPr>
          <w:p w:rsidR="00AA2BE3" w:rsidRPr="00C364DC" w:rsidRDefault="00AA2BE3" w:rsidP="00C364DC">
            <w:pPr>
              <w:pStyle w:val="Tabletext"/>
              <w:jc w:val="center"/>
              <w:rPr>
                <w:szCs w:val="18"/>
              </w:rPr>
            </w:pPr>
            <w:r w:rsidRPr="00C364DC">
              <w:rPr>
                <w:szCs w:val="18"/>
              </w:rPr>
              <w:t>193.7571</w:t>
            </w:r>
          </w:p>
        </w:tc>
        <w:tc>
          <w:tcPr>
            <w:tcW w:w="1415" w:type="dxa"/>
            <w:vAlign w:val="bottom"/>
          </w:tcPr>
          <w:p w:rsidR="00AA2BE3" w:rsidRPr="00C364DC" w:rsidRDefault="00AA2BE3" w:rsidP="00C364DC">
            <w:pPr>
              <w:pStyle w:val="Tabletext"/>
              <w:jc w:val="center"/>
              <w:rPr>
                <w:szCs w:val="18"/>
              </w:rPr>
            </w:pPr>
            <w:r w:rsidRPr="00C364DC">
              <w:rPr>
                <w:szCs w:val="18"/>
              </w:rPr>
              <w:t>64</w:t>
            </w:r>
          </w:p>
        </w:tc>
        <w:tc>
          <w:tcPr>
            <w:tcW w:w="1761" w:type="dxa"/>
            <w:vAlign w:val="bottom"/>
          </w:tcPr>
          <w:p w:rsidR="00AA2BE3" w:rsidRPr="00C364DC" w:rsidRDefault="00AA2BE3" w:rsidP="00C364DC">
            <w:pPr>
              <w:pStyle w:val="Tabletext"/>
              <w:jc w:val="center"/>
              <w:rPr>
                <w:szCs w:val="18"/>
              </w:rPr>
            </w:pPr>
            <w:r w:rsidRPr="00C364DC">
              <w:rPr>
                <w:szCs w:val="18"/>
              </w:rPr>
              <w:t>176.0935</w:t>
            </w:r>
          </w:p>
        </w:tc>
      </w:tr>
      <w:tr w:rsidR="00AA2BE3" w:rsidRPr="006C2078" w:rsidTr="006E5757">
        <w:trPr>
          <w:trHeight w:val="255"/>
          <w:jc w:val="center"/>
        </w:trPr>
        <w:tc>
          <w:tcPr>
            <w:tcW w:w="1390" w:type="dxa"/>
            <w:vAlign w:val="bottom"/>
          </w:tcPr>
          <w:p w:rsidR="00AA2BE3" w:rsidRPr="00C364DC" w:rsidRDefault="00AA2BE3" w:rsidP="00C364DC">
            <w:pPr>
              <w:pStyle w:val="Tabletext"/>
              <w:jc w:val="center"/>
              <w:rPr>
                <w:szCs w:val="18"/>
              </w:rPr>
            </w:pPr>
            <w:r w:rsidRPr="00C364DC">
              <w:rPr>
                <w:szCs w:val="18"/>
              </w:rPr>
              <w:t>43</w:t>
            </w:r>
          </w:p>
        </w:tc>
        <w:tc>
          <w:tcPr>
            <w:tcW w:w="1786" w:type="dxa"/>
            <w:vAlign w:val="bottom"/>
          </w:tcPr>
          <w:p w:rsidR="00AA2BE3" w:rsidRPr="00C364DC" w:rsidRDefault="00AA2BE3" w:rsidP="00C364DC">
            <w:pPr>
              <w:pStyle w:val="Tabletext"/>
              <w:jc w:val="center"/>
              <w:rPr>
                <w:szCs w:val="18"/>
              </w:rPr>
            </w:pPr>
            <w:r w:rsidRPr="00C364DC">
              <w:rPr>
                <w:szCs w:val="18"/>
              </w:rPr>
              <w:t>145.9662</w:t>
            </w:r>
          </w:p>
        </w:tc>
        <w:tc>
          <w:tcPr>
            <w:tcW w:w="1458" w:type="dxa"/>
            <w:vAlign w:val="bottom"/>
          </w:tcPr>
          <w:p w:rsidR="00AA2BE3" w:rsidRPr="00C364DC" w:rsidRDefault="00AA2BE3" w:rsidP="00C364DC">
            <w:pPr>
              <w:pStyle w:val="Tabletext"/>
              <w:jc w:val="center"/>
              <w:rPr>
                <w:szCs w:val="18"/>
              </w:rPr>
            </w:pPr>
            <w:r w:rsidRPr="00C364DC">
              <w:rPr>
                <w:szCs w:val="18"/>
              </w:rPr>
              <w:t>54</w:t>
            </w:r>
          </w:p>
        </w:tc>
        <w:tc>
          <w:tcPr>
            <w:tcW w:w="1829" w:type="dxa"/>
            <w:vAlign w:val="bottom"/>
          </w:tcPr>
          <w:p w:rsidR="00AA2BE3" w:rsidRPr="00C364DC" w:rsidRDefault="00AA2BE3" w:rsidP="00C364DC">
            <w:pPr>
              <w:pStyle w:val="Tabletext"/>
              <w:jc w:val="center"/>
              <w:rPr>
                <w:szCs w:val="18"/>
              </w:rPr>
            </w:pPr>
            <w:r w:rsidRPr="00C364DC">
              <w:rPr>
                <w:szCs w:val="18"/>
              </w:rPr>
              <w:t>161.0298</w:t>
            </w:r>
          </w:p>
        </w:tc>
        <w:tc>
          <w:tcPr>
            <w:tcW w:w="1415" w:type="dxa"/>
            <w:vAlign w:val="bottom"/>
          </w:tcPr>
          <w:p w:rsidR="00AA2BE3" w:rsidRPr="00C364DC" w:rsidRDefault="00AA2BE3" w:rsidP="00C364DC">
            <w:pPr>
              <w:pStyle w:val="Tabletext"/>
              <w:jc w:val="center"/>
              <w:rPr>
                <w:szCs w:val="18"/>
              </w:rPr>
            </w:pPr>
            <w:r w:rsidRPr="00C364DC">
              <w:rPr>
                <w:szCs w:val="18"/>
              </w:rPr>
              <w:t>65</w:t>
            </w:r>
          </w:p>
        </w:tc>
        <w:tc>
          <w:tcPr>
            <w:tcW w:w="1761" w:type="dxa"/>
            <w:vAlign w:val="bottom"/>
          </w:tcPr>
          <w:p w:rsidR="00AA2BE3" w:rsidRPr="00C364DC" w:rsidRDefault="00AA2BE3" w:rsidP="00C364DC">
            <w:pPr>
              <w:pStyle w:val="Tabletext"/>
              <w:jc w:val="center"/>
              <w:rPr>
                <w:szCs w:val="18"/>
              </w:rPr>
            </w:pPr>
            <w:r w:rsidRPr="00C364DC">
              <w:rPr>
                <w:szCs w:val="18"/>
              </w:rPr>
              <w:t>143.3662</w:t>
            </w:r>
          </w:p>
        </w:tc>
      </w:tr>
      <w:tr w:rsidR="00AA2BE3" w:rsidRPr="006C2078" w:rsidTr="006E5757">
        <w:trPr>
          <w:trHeight w:val="255"/>
          <w:jc w:val="center"/>
        </w:trPr>
        <w:tc>
          <w:tcPr>
            <w:tcW w:w="1390" w:type="dxa"/>
            <w:vAlign w:val="bottom"/>
          </w:tcPr>
          <w:p w:rsidR="00AA2BE3" w:rsidRPr="00C364DC" w:rsidRDefault="00AA2BE3" w:rsidP="00C364DC">
            <w:pPr>
              <w:pStyle w:val="Tabletext"/>
              <w:jc w:val="center"/>
              <w:rPr>
                <w:szCs w:val="18"/>
              </w:rPr>
            </w:pPr>
            <w:r w:rsidRPr="00C364DC">
              <w:rPr>
                <w:szCs w:val="18"/>
              </w:rPr>
              <w:t>44</w:t>
            </w:r>
          </w:p>
        </w:tc>
        <w:tc>
          <w:tcPr>
            <w:tcW w:w="1786" w:type="dxa"/>
            <w:vAlign w:val="bottom"/>
          </w:tcPr>
          <w:p w:rsidR="00AA2BE3" w:rsidRPr="00C364DC" w:rsidRDefault="00AA2BE3" w:rsidP="00C364DC">
            <w:pPr>
              <w:pStyle w:val="Tabletext"/>
              <w:jc w:val="center"/>
              <w:rPr>
                <w:szCs w:val="18"/>
              </w:rPr>
            </w:pPr>
            <w:r w:rsidRPr="00C364DC">
              <w:rPr>
                <w:szCs w:val="18"/>
              </w:rPr>
              <w:t>113.2389</w:t>
            </w:r>
          </w:p>
        </w:tc>
        <w:tc>
          <w:tcPr>
            <w:tcW w:w="1458" w:type="dxa"/>
            <w:vAlign w:val="bottom"/>
          </w:tcPr>
          <w:p w:rsidR="00AA2BE3" w:rsidRPr="00C364DC" w:rsidRDefault="00AA2BE3" w:rsidP="00C364DC">
            <w:pPr>
              <w:pStyle w:val="Tabletext"/>
              <w:jc w:val="center"/>
              <w:rPr>
                <w:szCs w:val="18"/>
              </w:rPr>
            </w:pPr>
            <w:r w:rsidRPr="00C364DC">
              <w:rPr>
                <w:szCs w:val="18"/>
              </w:rPr>
              <w:t>55</w:t>
            </w:r>
          </w:p>
        </w:tc>
        <w:tc>
          <w:tcPr>
            <w:tcW w:w="1829" w:type="dxa"/>
            <w:vAlign w:val="bottom"/>
          </w:tcPr>
          <w:p w:rsidR="00AA2BE3" w:rsidRPr="00C364DC" w:rsidRDefault="00AA2BE3" w:rsidP="00C364DC">
            <w:pPr>
              <w:pStyle w:val="Tabletext"/>
              <w:jc w:val="center"/>
              <w:rPr>
                <w:szCs w:val="18"/>
              </w:rPr>
            </w:pPr>
            <w:r w:rsidRPr="00C364DC">
              <w:rPr>
                <w:szCs w:val="18"/>
              </w:rPr>
              <w:t>128.3025</w:t>
            </w:r>
          </w:p>
        </w:tc>
        <w:tc>
          <w:tcPr>
            <w:tcW w:w="1415" w:type="dxa"/>
            <w:vAlign w:val="bottom"/>
          </w:tcPr>
          <w:p w:rsidR="00AA2BE3" w:rsidRPr="00C364DC" w:rsidRDefault="00AA2BE3" w:rsidP="00C364DC">
            <w:pPr>
              <w:pStyle w:val="Tabletext"/>
              <w:jc w:val="center"/>
              <w:rPr>
                <w:szCs w:val="18"/>
              </w:rPr>
            </w:pPr>
            <w:r w:rsidRPr="00C364DC">
              <w:rPr>
                <w:szCs w:val="18"/>
              </w:rPr>
              <w:t>66</w:t>
            </w:r>
          </w:p>
        </w:tc>
        <w:tc>
          <w:tcPr>
            <w:tcW w:w="1761" w:type="dxa"/>
            <w:vAlign w:val="bottom"/>
          </w:tcPr>
          <w:p w:rsidR="00AA2BE3" w:rsidRPr="00C364DC" w:rsidRDefault="00AA2BE3" w:rsidP="00C364DC">
            <w:pPr>
              <w:pStyle w:val="Tabletext"/>
              <w:jc w:val="center"/>
              <w:rPr>
                <w:szCs w:val="18"/>
              </w:rPr>
            </w:pPr>
            <w:r w:rsidRPr="00C364DC">
              <w:rPr>
                <w:szCs w:val="18"/>
              </w:rPr>
              <w:t>110.6389</w:t>
            </w:r>
          </w:p>
        </w:tc>
      </w:tr>
    </w:tbl>
    <w:p w:rsidR="00192341" w:rsidRDefault="00192341" w:rsidP="00192341">
      <w:pPr>
        <w:pStyle w:val="Tablefin"/>
      </w:pPr>
    </w:p>
    <w:p w:rsidR="004B57AE" w:rsidRPr="004B57AE" w:rsidRDefault="004B57AE" w:rsidP="004B57AE">
      <w:pPr>
        <w:rPr>
          <w:lang w:val="en-GB"/>
        </w:rPr>
      </w:pPr>
    </w:p>
    <w:p w:rsidR="00AA2BE3" w:rsidRPr="007D1EF7" w:rsidRDefault="00AA2BE3" w:rsidP="00192341">
      <w:pPr>
        <w:pStyle w:val="Heading2"/>
        <w:rPr>
          <w:lang w:val="en-US"/>
        </w:rPr>
      </w:pPr>
      <w:bookmarkStart w:id="10" w:name="_Toc277668574"/>
      <w:r w:rsidRPr="007D1EF7">
        <w:rPr>
          <w:lang w:val="en-US"/>
        </w:rPr>
        <w:t>3.2</w:t>
      </w:r>
      <w:r w:rsidRPr="007D1EF7">
        <w:rPr>
          <w:lang w:val="en-US"/>
        </w:rPr>
        <w:tab/>
        <w:t>Antenna characteristics of HIBLEO-2 type system</w:t>
      </w:r>
      <w:bookmarkEnd w:id="10"/>
    </w:p>
    <w:p w:rsidR="00AA2BE3" w:rsidRPr="007D1EF7" w:rsidRDefault="00AA2BE3" w:rsidP="00C364DC">
      <w:pPr>
        <w:rPr>
          <w:lang w:val="en-US"/>
        </w:rPr>
      </w:pPr>
      <w:r w:rsidRPr="007D1EF7">
        <w:rPr>
          <w:lang w:val="en-US"/>
        </w:rPr>
        <w:t>There are four inter-satellite link antennas on each HIBLEO-2 spacecraft. There are two intra-planer link antennas, one directed in the forward direction and the other directed in the aft direction. The intra-planer antennas are fixed and are directed within the orbital plane at an angle of 16.36</w:t>
      </w:r>
      <w:r w:rsidR="00C364DC" w:rsidRPr="007D1EF7">
        <w:rPr>
          <w:lang w:val="en-US"/>
        </w:rPr>
        <w:t>°</w:t>
      </w:r>
      <w:r w:rsidRPr="007D1EF7">
        <w:rPr>
          <w:lang w:val="en-US"/>
        </w:rPr>
        <w:t xml:space="preserve"> below the local horizontal plane. There are two inter-planer link tracking antennas, one pointing to a HIBLEO-2 spacecraft in the right-adjacent orbital plane and the other pointed at a HIBLEO-2 spacecraft in the left-adjacent orbital plane. Each antenna may independently point either fore or aft at a spacecraft in the adjacent plane. </w:t>
      </w:r>
    </w:p>
    <w:p w:rsidR="00AA2BE3" w:rsidRPr="007D1EF7" w:rsidRDefault="00AA2BE3" w:rsidP="00AA2BE3">
      <w:pPr>
        <w:rPr>
          <w:lang w:val="en-US"/>
        </w:rPr>
      </w:pPr>
      <w:r w:rsidRPr="007D1EF7">
        <w:rPr>
          <w:lang w:val="en-US"/>
        </w:rPr>
        <w:lastRenderedPageBreak/>
        <w:t xml:space="preserve">ITU-R agreed on an oscillating antenna pattern for the HIBLEO-2 inter-satellite link antennas. The pattern is given by the following equations and is shown in Fig. 1. </w:t>
      </w:r>
    </w:p>
    <w:p w:rsidR="006E5757" w:rsidRPr="006C2078" w:rsidRDefault="006E5757" w:rsidP="006E5757">
      <w:pPr>
        <w:pStyle w:val="Blanc"/>
      </w:pPr>
    </w:p>
    <w:p w:rsidR="00C364DC" w:rsidRPr="006C2078" w:rsidRDefault="00C364DC" w:rsidP="00C364DC">
      <w:pPr>
        <w:pStyle w:val="Equation"/>
      </w:pPr>
      <w:r w:rsidRPr="007D1EF7">
        <w:rPr>
          <w:lang w:val="en-US"/>
        </w:rPr>
        <w:tab/>
      </w:r>
      <w:r w:rsidRPr="007D1EF7">
        <w:rPr>
          <w:lang w:val="en-US"/>
        </w:rPr>
        <w:tab/>
      </w:r>
      <w:r w:rsidR="00472456" w:rsidRPr="00720C6D">
        <w:rPr>
          <w:position w:val="-86"/>
        </w:rPr>
        <w:object w:dxaOrig="5200" w:dyaOrig="1840">
          <v:shape id="_x0000_i1026" type="#_x0000_t75" style="width:241.8pt;height:91.8pt" o:ole="">
            <v:imagedata r:id="rId14" o:title=""/>
          </v:shape>
          <o:OLEObject Type="Embed" ProgID="Equation.3" ShapeID="_x0000_i1026" DrawAspect="Content" ObjectID="_1355747834" r:id="rId15"/>
        </w:object>
      </w:r>
    </w:p>
    <w:p w:rsidR="00AA2BE3" w:rsidRPr="006C2078" w:rsidRDefault="00AA2BE3" w:rsidP="00AA2BE3">
      <w:r w:rsidRPr="006C2078">
        <w:t>where:</w:t>
      </w:r>
    </w:p>
    <w:p w:rsidR="00C364DC" w:rsidRPr="006C2078" w:rsidRDefault="00C364DC" w:rsidP="00C364DC">
      <w:pPr>
        <w:pStyle w:val="Equation"/>
      </w:pPr>
      <w:r>
        <w:tab/>
      </w:r>
      <w:r>
        <w:tab/>
      </w:r>
      <w:r w:rsidR="00720C6D" w:rsidRPr="00C364DC">
        <w:rPr>
          <w:position w:val="-30"/>
        </w:rPr>
        <w:object w:dxaOrig="4099" w:dyaOrig="720">
          <v:shape id="_x0000_i1027" type="#_x0000_t75" style="width:207pt;height:37.8pt" o:ole="">
            <v:imagedata r:id="rId16" o:title=""/>
          </v:shape>
          <o:OLEObject Type="Embed" ProgID="Equation.3" ShapeID="_x0000_i1027" DrawAspect="Content" ObjectID="_1355747835" r:id="rId17"/>
        </w:object>
      </w:r>
    </w:p>
    <w:p w:rsidR="00AA2BE3" w:rsidRPr="006C2078" w:rsidRDefault="00AA2BE3" w:rsidP="00C364DC"/>
    <w:p w:rsidR="00AA2BE3" w:rsidRPr="007D1EF7" w:rsidRDefault="00AA2BE3" w:rsidP="00AA2BE3">
      <w:pPr>
        <w:pStyle w:val="FigureNo"/>
        <w:rPr>
          <w:lang w:val="en-US"/>
        </w:rPr>
      </w:pPr>
      <w:r w:rsidRPr="007D1EF7">
        <w:rPr>
          <w:lang w:val="en-US"/>
        </w:rPr>
        <w:t>FIGURE 1</w:t>
      </w:r>
    </w:p>
    <w:p w:rsidR="00AA2BE3" w:rsidRPr="007D1EF7" w:rsidRDefault="00AA2BE3" w:rsidP="00AA2BE3">
      <w:pPr>
        <w:pStyle w:val="Figuretitle"/>
        <w:rPr>
          <w:caps/>
          <w:lang w:val="en-US"/>
        </w:rPr>
      </w:pPr>
      <w:r w:rsidRPr="007D1EF7">
        <w:rPr>
          <w:lang w:val="en-US"/>
        </w:rPr>
        <w:t>Antenna pattern for HIBLEO-2/Ka inter-satellite links</w:t>
      </w:r>
    </w:p>
    <w:p w:rsidR="00AA2BE3" w:rsidRPr="006C2078" w:rsidRDefault="00AA2BE3" w:rsidP="00C364DC">
      <w:pPr>
        <w:pStyle w:val="Figure"/>
      </w:pPr>
      <w:r>
        <w:rPr>
          <w:noProof/>
          <w:lang w:val="en-US" w:eastAsia="zh-CN"/>
        </w:rPr>
        <w:drawing>
          <wp:inline distT="0" distB="0" distL="0" distR="0">
            <wp:extent cx="4881880" cy="3220085"/>
            <wp:effectExtent l="0" t="0" r="0" b="0"/>
            <wp:docPr id="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cstate="print"/>
                    <a:srcRect/>
                    <a:stretch>
                      <a:fillRect/>
                    </a:stretch>
                  </pic:blipFill>
                  <pic:spPr bwMode="auto">
                    <a:xfrm>
                      <a:off x="0" y="0"/>
                      <a:ext cx="4881880" cy="3220085"/>
                    </a:xfrm>
                    <a:prstGeom prst="rect">
                      <a:avLst/>
                    </a:prstGeom>
                    <a:noFill/>
                    <a:ln w="9525">
                      <a:noFill/>
                      <a:miter lim="800000"/>
                      <a:headEnd/>
                      <a:tailEnd/>
                    </a:ln>
                  </pic:spPr>
                </pic:pic>
              </a:graphicData>
            </a:graphic>
          </wp:inline>
        </w:drawing>
      </w:r>
      <w:bookmarkStart w:id="11" w:name="F002"/>
    </w:p>
    <w:p w:rsidR="004B57AE" w:rsidRPr="004B57AE" w:rsidRDefault="004B57AE" w:rsidP="004B57AE">
      <w:pPr>
        <w:rPr>
          <w:lang w:val="en-US"/>
        </w:rPr>
      </w:pPr>
      <w:bookmarkStart w:id="12" w:name="_Toc277668575"/>
      <w:bookmarkEnd w:id="11"/>
    </w:p>
    <w:p w:rsidR="00AA2BE3" w:rsidRPr="007D1EF7" w:rsidRDefault="00AA2BE3" w:rsidP="00AA2BE3">
      <w:pPr>
        <w:pStyle w:val="Heading2"/>
        <w:rPr>
          <w:lang w:val="en-US"/>
        </w:rPr>
      </w:pPr>
      <w:r w:rsidRPr="007D1EF7">
        <w:rPr>
          <w:lang w:val="en-US"/>
        </w:rPr>
        <w:t>3.3</w:t>
      </w:r>
      <w:r w:rsidRPr="007D1EF7">
        <w:rPr>
          <w:lang w:val="en-US"/>
        </w:rPr>
        <w:tab/>
        <w:t>Protection criteria</w:t>
      </w:r>
      <w:bookmarkEnd w:id="12"/>
    </w:p>
    <w:p w:rsidR="00AA2BE3" w:rsidRPr="007D1EF7" w:rsidRDefault="00AA2BE3" w:rsidP="00AA2BE3">
      <w:pPr>
        <w:rPr>
          <w:lang w:val="en-US"/>
        </w:rPr>
      </w:pPr>
      <w:r w:rsidRPr="007D1EF7">
        <w:rPr>
          <w:lang w:val="en-US"/>
        </w:rPr>
        <w:t>ITU-R agreed on the following protection criteria for analyses of interference to non-GSO-non-GSO ISS systems:</w:t>
      </w:r>
    </w:p>
    <w:p w:rsidR="00AA2BE3" w:rsidRPr="007D1EF7" w:rsidRDefault="00AA2BE3" w:rsidP="00192341">
      <w:pPr>
        <w:pStyle w:val="Headingb"/>
        <w:rPr>
          <w:lang w:val="en-US"/>
        </w:rPr>
      </w:pPr>
      <w:r w:rsidRPr="007D1EF7">
        <w:rPr>
          <w:lang w:val="en-US"/>
        </w:rPr>
        <w:t>In-band:</w:t>
      </w:r>
    </w:p>
    <w:p w:rsidR="00AA2BE3" w:rsidRPr="007D1EF7" w:rsidRDefault="00AA2BE3" w:rsidP="00AA2BE3">
      <w:pPr>
        <w:rPr>
          <w:color w:val="000000"/>
          <w:lang w:val="en-US"/>
        </w:rPr>
      </w:pPr>
      <w:r w:rsidRPr="007D1EF7">
        <w:rPr>
          <w:i/>
          <w:color w:val="000000"/>
          <w:szCs w:val="24"/>
          <w:lang w:val="en-US"/>
        </w:rPr>
        <w:t>I/N</w:t>
      </w:r>
      <w:r w:rsidRPr="007D1EF7">
        <w:rPr>
          <w:color w:val="000000"/>
          <w:szCs w:val="24"/>
          <w:lang w:val="en-US"/>
        </w:rPr>
        <w:t xml:space="preserve"> = –10 dB not to be exceeded for more than 0.1% per single link based on the underlying conditions for Recommendation ITU-R SA.1155 which specifies derived Io levels. It should be noted that this criterion was specified for interference from SRS earth stations per single ISS link whereas Recommendation ITU-R SA.1155 applies the protection criteria to the aggregate of all interference sources.</w:t>
      </w:r>
    </w:p>
    <w:p w:rsidR="00AA2BE3" w:rsidRPr="007D1EF7" w:rsidRDefault="00AA2BE3" w:rsidP="00192341">
      <w:pPr>
        <w:pStyle w:val="Headingb"/>
        <w:rPr>
          <w:lang w:val="en-US"/>
        </w:rPr>
      </w:pPr>
      <w:r w:rsidRPr="007D1EF7">
        <w:rPr>
          <w:lang w:val="en-US"/>
        </w:rPr>
        <w:lastRenderedPageBreak/>
        <w:t>Out-of-band:</w:t>
      </w:r>
    </w:p>
    <w:p w:rsidR="00AA2BE3" w:rsidRPr="007D1EF7" w:rsidRDefault="00AA2BE3" w:rsidP="00AA2BE3">
      <w:pPr>
        <w:rPr>
          <w:color w:val="000000"/>
          <w:szCs w:val="24"/>
          <w:lang w:val="en-US"/>
        </w:rPr>
      </w:pPr>
      <w:r w:rsidRPr="007D1EF7">
        <w:rPr>
          <w:i/>
          <w:iCs/>
          <w:color w:val="000000"/>
          <w:szCs w:val="24"/>
          <w:lang w:val="en-US"/>
        </w:rPr>
        <w:t>I</w:t>
      </w:r>
      <w:r w:rsidRPr="007D1EF7">
        <w:rPr>
          <w:color w:val="000000"/>
          <w:szCs w:val="24"/>
          <w:lang w:val="en-US"/>
        </w:rPr>
        <w:t>/</w:t>
      </w:r>
      <w:r w:rsidRPr="007D1EF7">
        <w:rPr>
          <w:i/>
          <w:iCs/>
          <w:color w:val="000000"/>
          <w:szCs w:val="24"/>
          <w:lang w:val="en-US"/>
        </w:rPr>
        <w:t xml:space="preserve">N </w:t>
      </w:r>
      <w:r w:rsidRPr="007D1EF7">
        <w:rPr>
          <w:color w:val="000000"/>
          <w:szCs w:val="24"/>
          <w:lang w:val="en-US"/>
        </w:rPr>
        <w:t>= –16 dB not to be exceeded for more than 0.01% of time, per HIBLEO-2 inter-satellite link in the 23.183-23.377 GHz band, taking into account the aggregated effect of all SRS earth stations in operation in the 22.55-23.15 GHz band.</w:t>
      </w:r>
    </w:p>
    <w:p w:rsidR="00AA2BE3" w:rsidRPr="007D1EF7" w:rsidRDefault="00AA2BE3" w:rsidP="00C364DC">
      <w:pPr>
        <w:pStyle w:val="Heading1"/>
        <w:rPr>
          <w:lang w:val="en-US"/>
        </w:rPr>
      </w:pPr>
      <w:bookmarkStart w:id="13" w:name="_Toc277668576"/>
      <w:r w:rsidRPr="007D1EF7">
        <w:rPr>
          <w:lang w:val="en-US"/>
        </w:rPr>
        <w:t>4</w:t>
      </w:r>
      <w:r w:rsidRPr="007D1EF7">
        <w:rPr>
          <w:lang w:val="en-US"/>
        </w:rPr>
        <w:tab/>
        <w:t>Summary of analysis methodology and results</w:t>
      </w:r>
      <w:bookmarkEnd w:id="13"/>
    </w:p>
    <w:p w:rsidR="00AA2BE3" w:rsidRPr="007D1EF7" w:rsidRDefault="00AA2BE3" w:rsidP="00C364DC">
      <w:pPr>
        <w:rPr>
          <w:lang w:val="en-US"/>
        </w:rPr>
      </w:pPr>
      <w:r w:rsidRPr="007D1EF7">
        <w:rPr>
          <w:lang w:val="en-US"/>
        </w:rPr>
        <w:t xml:space="preserve">Several independent simulation tools and assessment techniques were used comprising publicly available software tools, proprietary software, ITU-R adopted methodologies, combinations of assessment techniques and deterministic approaches. All contributions were based on the agreed protection requirements for HIBLEO-2 type systems, both in-band and </w:t>
      </w:r>
      <w:r w:rsidR="00C364DC" w:rsidRPr="007D1EF7">
        <w:rPr>
          <w:lang w:val="en-US"/>
        </w:rPr>
        <w:t>OoB</w:t>
      </w:r>
      <w:r w:rsidRPr="007D1EF7">
        <w:rPr>
          <w:lang w:val="en-US"/>
        </w:rPr>
        <w:t xml:space="preserve"> as well as on the characteristics described above.</w:t>
      </w:r>
    </w:p>
    <w:p w:rsidR="00AA2BE3" w:rsidRPr="007D1EF7" w:rsidRDefault="00AA2BE3" w:rsidP="00C364DC">
      <w:pPr>
        <w:pStyle w:val="Heading2"/>
        <w:rPr>
          <w:lang w:val="en-US"/>
        </w:rPr>
      </w:pPr>
      <w:bookmarkStart w:id="14" w:name="_Toc277668577"/>
      <w:r w:rsidRPr="007D1EF7">
        <w:rPr>
          <w:lang w:val="en-US"/>
        </w:rPr>
        <w:t>4.1</w:t>
      </w:r>
      <w:r w:rsidRPr="007D1EF7">
        <w:rPr>
          <w:lang w:val="en-US"/>
        </w:rPr>
        <w:tab/>
        <w:t>Summary for Study 1</w:t>
      </w:r>
      <w:bookmarkEnd w:id="14"/>
    </w:p>
    <w:p w:rsidR="00AA2BE3" w:rsidRPr="007D1EF7" w:rsidRDefault="00AA2BE3" w:rsidP="00AA2BE3">
      <w:pPr>
        <w:rPr>
          <w:lang w:val="en-US"/>
        </w:rPr>
      </w:pPr>
      <w:r w:rsidRPr="007D1EF7">
        <w:rPr>
          <w:lang w:val="en-US"/>
        </w:rPr>
        <w:t xml:space="preserve">Study 1 used the commercially available tool Visualyse 7.0. A summary of this study is contained in Annex 1. Three SRS earth stations were assumed transmitting simultaneously down to elevation angles of 5º. The simulated duration was 28 days with 1s time steps. Figure 2 shows the key results in terms of </w:t>
      </w:r>
      <w:r w:rsidRPr="007D1EF7">
        <w:rPr>
          <w:i/>
          <w:iCs/>
          <w:lang w:val="en-US"/>
        </w:rPr>
        <w:t>I</w:t>
      </w:r>
      <w:r w:rsidRPr="007D1EF7">
        <w:rPr>
          <w:vertAlign w:val="subscript"/>
          <w:lang w:val="en-US"/>
        </w:rPr>
        <w:t>0</w:t>
      </w:r>
      <w:r w:rsidRPr="007D1EF7">
        <w:rPr>
          <w:i/>
          <w:iCs/>
          <w:lang w:val="en-US"/>
        </w:rPr>
        <w:t>/N</w:t>
      </w:r>
      <w:r w:rsidRPr="007D1EF7">
        <w:rPr>
          <w:vertAlign w:val="subscript"/>
          <w:lang w:val="en-US"/>
        </w:rPr>
        <w:t>0</w:t>
      </w:r>
      <w:r w:rsidRPr="007D1EF7">
        <w:rPr>
          <w:lang w:val="en-US"/>
        </w:rPr>
        <w:t>. It can be seen that the in-band margin ranges between 37 and 39 dB.</w:t>
      </w:r>
    </w:p>
    <w:p w:rsidR="004B57AE" w:rsidRPr="007D1EF7" w:rsidRDefault="004B57AE" w:rsidP="00AA2BE3">
      <w:pPr>
        <w:rPr>
          <w:lang w:val="en-US"/>
        </w:rPr>
      </w:pPr>
    </w:p>
    <w:p w:rsidR="00AA2BE3" w:rsidRPr="007D1EF7" w:rsidRDefault="00AA2BE3" w:rsidP="00AA2BE3">
      <w:pPr>
        <w:pStyle w:val="FigureNo"/>
        <w:rPr>
          <w:lang w:val="en-US"/>
        </w:rPr>
      </w:pPr>
      <w:r w:rsidRPr="007D1EF7">
        <w:rPr>
          <w:lang w:val="en-US"/>
        </w:rPr>
        <w:t>Figure 2</w:t>
      </w:r>
    </w:p>
    <w:p w:rsidR="00AA2BE3" w:rsidRPr="007D1EF7" w:rsidRDefault="00AA2BE3" w:rsidP="00AA2BE3">
      <w:pPr>
        <w:pStyle w:val="Figuretitle"/>
        <w:rPr>
          <w:lang w:val="en-US"/>
        </w:rPr>
      </w:pPr>
      <w:r w:rsidRPr="007D1EF7">
        <w:rPr>
          <w:lang w:val="en-US"/>
        </w:rPr>
        <w:t>Results of interference assessment of Study 1</w:t>
      </w:r>
    </w:p>
    <w:p w:rsidR="00AA2BE3" w:rsidRPr="007D1EF7" w:rsidRDefault="00AA2BE3" w:rsidP="00C364DC">
      <w:pPr>
        <w:pStyle w:val="Figure"/>
        <w:rPr>
          <w:lang w:val="en-US"/>
        </w:rPr>
      </w:pPr>
      <w:r>
        <w:rPr>
          <w:noProof/>
          <w:lang w:val="en-US" w:eastAsia="zh-CN"/>
        </w:rPr>
        <w:drawing>
          <wp:inline distT="0" distB="0" distL="0" distR="0">
            <wp:extent cx="6043295" cy="2536190"/>
            <wp:effectExtent l="19050" t="0" r="0" b="0"/>
            <wp:docPr id="6" name="Picture 5" descr="CDF for interference SRS-Ir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F for interference SRS-Iridium"/>
                    <pic:cNvPicPr>
                      <a:picLocks noChangeAspect="1" noChangeArrowheads="1"/>
                    </pic:cNvPicPr>
                  </pic:nvPicPr>
                  <pic:blipFill>
                    <a:blip r:embed="rId19" cstate="print"/>
                    <a:srcRect/>
                    <a:stretch>
                      <a:fillRect/>
                    </a:stretch>
                  </pic:blipFill>
                  <pic:spPr bwMode="auto">
                    <a:xfrm>
                      <a:off x="0" y="0"/>
                      <a:ext cx="6043295" cy="2536190"/>
                    </a:xfrm>
                    <a:prstGeom prst="rect">
                      <a:avLst/>
                    </a:prstGeom>
                    <a:noFill/>
                    <a:ln w="9525">
                      <a:noFill/>
                      <a:miter lim="800000"/>
                      <a:headEnd/>
                      <a:tailEnd/>
                    </a:ln>
                  </pic:spPr>
                </pic:pic>
              </a:graphicData>
            </a:graphic>
          </wp:inline>
        </w:drawing>
      </w:r>
      <w:r w:rsidRPr="007D1EF7">
        <w:rPr>
          <w:lang w:val="en-US"/>
        </w:rPr>
        <w:t xml:space="preserve"> </w:t>
      </w:r>
    </w:p>
    <w:p w:rsidR="004B57AE" w:rsidRPr="007D1EF7" w:rsidRDefault="004B57AE" w:rsidP="00AA2BE3">
      <w:pPr>
        <w:rPr>
          <w:lang w:val="en-US"/>
        </w:rPr>
      </w:pPr>
    </w:p>
    <w:p w:rsidR="00AA2BE3" w:rsidRPr="007D1EF7" w:rsidRDefault="00AA2BE3" w:rsidP="00AA2BE3">
      <w:pPr>
        <w:rPr>
          <w:lang w:val="en-US"/>
        </w:rPr>
      </w:pPr>
      <w:r w:rsidRPr="007D1EF7">
        <w:rPr>
          <w:lang w:val="en-US"/>
        </w:rPr>
        <w:t>For O</w:t>
      </w:r>
      <w:r w:rsidR="00C364DC" w:rsidRPr="007D1EF7">
        <w:rPr>
          <w:lang w:val="en-US"/>
        </w:rPr>
        <w:t>o</w:t>
      </w:r>
      <w:r w:rsidRPr="007D1EF7">
        <w:rPr>
          <w:lang w:val="en-US"/>
        </w:rPr>
        <w:t>B emissions, the study concludes that no further analysis of the impact of O</w:t>
      </w:r>
      <w:r w:rsidR="00C364DC" w:rsidRPr="007D1EF7">
        <w:rPr>
          <w:lang w:val="en-US"/>
        </w:rPr>
        <w:t>o</w:t>
      </w:r>
      <w:r w:rsidRPr="007D1EF7">
        <w:rPr>
          <w:lang w:val="en-US"/>
        </w:rPr>
        <w:t>B SRS (E-s) earth station emissions is required in view of the large in-band margins. It is expected that consideration of O</w:t>
      </w:r>
      <w:r w:rsidR="00C364DC" w:rsidRPr="007D1EF7">
        <w:rPr>
          <w:lang w:val="en-US"/>
        </w:rPr>
        <w:t>o</w:t>
      </w:r>
      <w:r w:rsidRPr="007D1EF7">
        <w:rPr>
          <w:lang w:val="en-US"/>
        </w:rPr>
        <w:t>B SRS (E-s) emissions would show increased compatibility with HIBLEO-2 ISS services with a significant additional margin of protection.</w:t>
      </w:r>
    </w:p>
    <w:p w:rsidR="00AA2BE3" w:rsidRPr="007D1EF7" w:rsidRDefault="00AA2BE3" w:rsidP="00AA2BE3">
      <w:pPr>
        <w:pStyle w:val="Heading2"/>
        <w:rPr>
          <w:lang w:val="en-US"/>
        </w:rPr>
      </w:pPr>
      <w:bookmarkStart w:id="15" w:name="_Toc277668578"/>
      <w:r w:rsidRPr="007D1EF7">
        <w:rPr>
          <w:lang w:val="en-US"/>
        </w:rPr>
        <w:lastRenderedPageBreak/>
        <w:t>4.2</w:t>
      </w:r>
      <w:r w:rsidRPr="007D1EF7">
        <w:rPr>
          <w:lang w:val="en-US"/>
        </w:rPr>
        <w:tab/>
        <w:t>Summary for Study 2</w:t>
      </w:r>
      <w:bookmarkEnd w:id="15"/>
    </w:p>
    <w:p w:rsidR="00AA2BE3" w:rsidRPr="007D1EF7" w:rsidRDefault="00AA2BE3" w:rsidP="004B57AE">
      <w:pPr>
        <w:keepLines/>
        <w:rPr>
          <w:lang w:val="en-US"/>
        </w:rPr>
      </w:pPr>
      <w:r w:rsidRPr="007D1EF7">
        <w:rPr>
          <w:lang w:val="en-US"/>
        </w:rPr>
        <w:t xml:space="preserve">Study 2 used a computer-based proprietary dynamic simulation method. A summary of this study is contained in Annex 2. Eight individual earth stations were considered transmitting down to elevation angles of 5º. The simulated duration was 365 days. Table 4 shows the key results in terms of </w:t>
      </w:r>
      <w:r w:rsidRPr="007D1EF7">
        <w:rPr>
          <w:i/>
          <w:iCs/>
          <w:lang w:val="en-US"/>
        </w:rPr>
        <w:t>I</w:t>
      </w:r>
      <w:r w:rsidRPr="007D1EF7">
        <w:rPr>
          <w:vertAlign w:val="subscript"/>
          <w:lang w:val="en-US"/>
        </w:rPr>
        <w:t>0</w:t>
      </w:r>
      <w:r w:rsidRPr="007D1EF7">
        <w:rPr>
          <w:i/>
          <w:iCs/>
          <w:lang w:val="en-US"/>
        </w:rPr>
        <w:t>/N</w:t>
      </w:r>
      <w:r w:rsidRPr="007D1EF7">
        <w:rPr>
          <w:vertAlign w:val="subscript"/>
          <w:lang w:val="en-US"/>
        </w:rPr>
        <w:t>0</w:t>
      </w:r>
      <w:r w:rsidRPr="007D1EF7">
        <w:rPr>
          <w:lang w:val="en-US"/>
        </w:rPr>
        <w:t xml:space="preserve"> being exceeded for a percentage of time for link 1 out of 4, which all show similar results. The obtained mean percentage of 0.00030% for exceeding an </w:t>
      </w:r>
      <w:r w:rsidRPr="007D1EF7">
        <w:rPr>
          <w:i/>
          <w:iCs/>
          <w:lang w:val="en-US"/>
        </w:rPr>
        <w:t>I</w:t>
      </w:r>
      <w:r w:rsidRPr="007D1EF7">
        <w:rPr>
          <w:vertAlign w:val="subscript"/>
          <w:lang w:val="en-US"/>
        </w:rPr>
        <w:t>0</w:t>
      </w:r>
      <w:r w:rsidRPr="007D1EF7">
        <w:rPr>
          <w:i/>
          <w:iCs/>
          <w:lang w:val="en-US"/>
        </w:rPr>
        <w:t>/N</w:t>
      </w:r>
      <w:r w:rsidRPr="007D1EF7">
        <w:rPr>
          <w:vertAlign w:val="subscript"/>
          <w:lang w:val="en-US"/>
        </w:rPr>
        <w:t>0</w:t>
      </w:r>
      <w:r w:rsidRPr="007D1EF7">
        <w:rPr>
          <w:lang w:val="en-US"/>
        </w:rPr>
        <w:t xml:space="preserve"> of –10 dB matches with all other results and is equivalent to an in-band margin of around 38 dB. </w:t>
      </w:r>
    </w:p>
    <w:p w:rsidR="00AA2BE3" w:rsidRPr="007D1EF7" w:rsidRDefault="00AA2BE3" w:rsidP="00C364DC">
      <w:pPr>
        <w:rPr>
          <w:lang w:val="en-US"/>
        </w:rPr>
      </w:pPr>
      <w:r w:rsidRPr="007D1EF7">
        <w:rPr>
          <w:lang w:val="en-US"/>
        </w:rPr>
        <w:t>For O</w:t>
      </w:r>
      <w:r w:rsidR="00C364DC" w:rsidRPr="007D1EF7">
        <w:rPr>
          <w:lang w:val="en-US"/>
        </w:rPr>
        <w:t>o</w:t>
      </w:r>
      <w:r w:rsidRPr="007D1EF7">
        <w:rPr>
          <w:lang w:val="en-US"/>
        </w:rPr>
        <w:t xml:space="preserve">B emissions, no case could be identified over a period of one year where the </w:t>
      </w:r>
      <w:r w:rsidRPr="007D1EF7">
        <w:rPr>
          <w:i/>
          <w:iCs/>
          <w:lang w:val="en-US"/>
        </w:rPr>
        <w:t>I</w:t>
      </w:r>
      <w:r w:rsidRPr="007D1EF7">
        <w:rPr>
          <w:vertAlign w:val="subscript"/>
          <w:lang w:val="en-US"/>
        </w:rPr>
        <w:t>0</w:t>
      </w:r>
      <w:r w:rsidRPr="007D1EF7">
        <w:rPr>
          <w:i/>
          <w:iCs/>
          <w:lang w:val="en-US"/>
        </w:rPr>
        <w:t>/N</w:t>
      </w:r>
      <w:r w:rsidRPr="007D1EF7">
        <w:rPr>
          <w:vertAlign w:val="subscript"/>
          <w:lang w:val="en-US"/>
        </w:rPr>
        <w:t>0</w:t>
      </w:r>
      <w:r w:rsidRPr="007D1EF7">
        <w:rPr>
          <w:lang w:val="en-US"/>
        </w:rPr>
        <w:t xml:space="preserve"> level of </w:t>
      </w:r>
      <w:r w:rsidR="00DC4C77">
        <w:fldChar w:fldCharType="begin"/>
      </w:r>
      <w:r w:rsidR="00C364DC" w:rsidRPr="007D1EF7">
        <w:rPr>
          <w:lang w:val="en-US"/>
        </w:rPr>
        <w:instrText xml:space="preserve"> EQ  –16 dB </w:instrText>
      </w:r>
      <w:r w:rsidR="00DC4C77">
        <w:fldChar w:fldCharType="end"/>
      </w:r>
      <w:r w:rsidRPr="007D1EF7">
        <w:rPr>
          <w:lang w:val="en-US"/>
        </w:rPr>
        <w:t>would have been exceeded.</w:t>
      </w:r>
    </w:p>
    <w:p w:rsidR="004B57AE" w:rsidRPr="007D1EF7" w:rsidRDefault="004B57AE" w:rsidP="00C364DC">
      <w:pPr>
        <w:rPr>
          <w:lang w:val="en-US"/>
        </w:rPr>
      </w:pPr>
    </w:p>
    <w:p w:rsidR="00AA2BE3" w:rsidRPr="007D1EF7" w:rsidRDefault="00C364DC" w:rsidP="00AA2BE3">
      <w:pPr>
        <w:pStyle w:val="TableNo"/>
        <w:rPr>
          <w:lang w:val="en-US"/>
        </w:rPr>
      </w:pPr>
      <w:r w:rsidRPr="007D1EF7">
        <w:rPr>
          <w:lang w:val="en-US"/>
        </w:rPr>
        <w:t>TABLE</w:t>
      </w:r>
      <w:r w:rsidR="00AA2BE3" w:rsidRPr="007D1EF7">
        <w:rPr>
          <w:lang w:val="en-US"/>
        </w:rPr>
        <w:t xml:space="preserve"> 4</w:t>
      </w:r>
    </w:p>
    <w:p w:rsidR="00AA2BE3" w:rsidRPr="007D1EF7" w:rsidRDefault="00AA2BE3" w:rsidP="00AA2BE3">
      <w:pPr>
        <w:pStyle w:val="Tabletitle"/>
        <w:rPr>
          <w:lang w:val="en-US"/>
        </w:rPr>
      </w:pPr>
      <w:r w:rsidRPr="007D1EF7">
        <w:rPr>
          <w:lang w:val="en-US"/>
        </w:rPr>
        <w:t>Results of interference assessment of Study 2</w:t>
      </w:r>
    </w:p>
    <w:p w:rsidR="000F452F" w:rsidRDefault="00720C6D" w:rsidP="00720C6D">
      <w:pPr>
        <w:pStyle w:val="Figure"/>
      </w:pPr>
      <w:r w:rsidRPr="00720C6D">
        <w:rPr>
          <w:noProof/>
          <w:lang w:val="en-US" w:eastAsia="zh-CN"/>
        </w:rPr>
        <w:drawing>
          <wp:inline distT="0" distB="0" distL="0" distR="0">
            <wp:extent cx="5136515" cy="1772920"/>
            <wp:effectExtent l="19050" t="0" r="698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b="75674"/>
                    <a:stretch>
                      <a:fillRect/>
                    </a:stretch>
                  </pic:blipFill>
                  <pic:spPr bwMode="auto">
                    <a:xfrm>
                      <a:off x="0" y="0"/>
                      <a:ext cx="5136515" cy="1772920"/>
                    </a:xfrm>
                    <a:prstGeom prst="rect">
                      <a:avLst/>
                    </a:prstGeom>
                    <a:noFill/>
                    <a:ln w="9525">
                      <a:noFill/>
                      <a:miter lim="800000"/>
                      <a:headEnd/>
                      <a:tailEnd/>
                    </a:ln>
                  </pic:spPr>
                </pic:pic>
              </a:graphicData>
            </a:graphic>
          </wp:inline>
        </w:drawing>
      </w:r>
    </w:p>
    <w:p w:rsidR="006E5757" w:rsidRDefault="006E5757" w:rsidP="006E5757"/>
    <w:p w:rsidR="00AA2BE3" w:rsidRPr="007D1EF7" w:rsidRDefault="00AA2BE3" w:rsidP="00AA2BE3">
      <w:pPr>
        <w:pStyle w:val="Heading2"/>
        <w:rPr>
          <w:lang w:val="en-US"/>
        </w:rPr>
      </w:pPr>
      <w:bookmarkStart w:id="16" w:name="_Toc277668579"/>
      <w:r w:rsidRPr="007D1EF7">
        <w:rPr>
          <w:lang w:val="en-US"/>
        </w:rPr>
        <w:t>4.3</w:t>
      </w:r>
      <w:r w:rsidRPr="007D1EF7">
        <w:rPr>
          <w:lang w:val="en-US"/>
        </w:rPr>
        <w:tab/>
        <w:t>Summary for Study 3</w:t>
      </w:r>
      <w:bookmarkEnd w:id="16"/>
    </w:p>
    <w:p w:rsidR="00AA2BE3" w:rsidRPr="007D1EF7" w:rsidRDefault="00AA2BE3" w:rsidP="00AA2BE3">
      <w:pPr>
        <w:rPr>
          <w:lang w:val="en-US"/>
        </w:rPr>
      </w:pPr>
      <w:r w:rsidRPr="007D1EF7">
        <w:rPr>
          <w:lang w:val="en-US"/>
        </w:rPr>
        <w:t xml:space="preserve">Study 3 used the proprietary software tool RFIAT. A summary of this study is contained in Annex 3. Three SRS earth stations were assumed transmitting simultaneously down to elevation angles of 5º. The simulated duration was 365 days with 1s time steps. Figure 3 shows the key results in terms of </w:t>
      </w:r>
      <w:r w:rsidRPr="007D1EF7">
        <w:rPr>
          <w:i/>
          <w:iCs/>
          <w:lang w:val="en-US"/>
        </w:rPr>
        <w:t>I</w:t>
      </w:r>
      <w:r w:rsidRPr="007D1EF7">
        <w:rPr>
          <w:vertAlign w:val="subscript"/>
          <w:lang w:val="en-US"/>
        </w:rPr>
        <w:t>0</w:t>
      </w:r>
      <w:r w:rsidRPr="007D1EF7">
        <w:rPr>
          <w:i/>
          <w:iCs/>
          <w:lang w:val="en-US"/>
        </w:rPr>
        <w:t>/N</w:t>
      </w:r>
      <w:r w:rsidRPr="007D1EF7">
        <w:rPr>
          <w:vertAlign w:val="subscript"/>
          <w:lang w:val="en-US"/>
        </w:rPr>
        <w:t>0</w:t>
      </w:r>
      <w:r w:rsidRPr="007D1EF7">
        <w:rPr>
          <w:lang w:val="en-US"/>
        </w:rPr>
        <w:t xml:space="preserve">. It can be seen that the in-band margin is around 38 dB. </w:t>
      </w:r>
    </w:p>
    <w:p w:rsidR="00AA2BE3" w:rsidRPr="007D1EF7" w:rsidRDefault="00AA2BE3" w:rsidP="003071EA">
      <w:pPr>
        <w:rPr>
          <w:lang w:val="en-US"/>
        </w:rPr>
      </w:pPr>
      <w:r w:rsidRPr="007D1EF7">
        <w:rPr>
          <w:lang w:val="en-US"/>
        </w:rPr>
        <w:t>For O</w:t>
      </w:r>
      <w:r w:rsidR="003071EA" w:rsidRPr="007D1EF7">
        <w:rPr>
          <w:lang w:val="en-US"/>
        </w:rPr>
        <w:t>o</w:t>
      </w:r>
      <w:r w:rsidRPr="007D1EF7">
        <w:rPr>
          <w:lang w:val="en-US"/>
        </w:rPr>
        <w:t xml:space="preserve">B emissions, the study assumed a worst case of 15 earth stations transmitting simultaneously three channels each, hence 45 channels. In a hypothetical worst situation, it was assumed that all channels would operate at the highest possible Recommendation ITU-R SM.1541 specifications. The obtained margin was at least 47 dB with respect to the </w:t>
      </w:r>
      <w:r w:rsidR="003071EA" w:rsidRPr="007D1EF7">
        <w:rPr>
          <w:lang w:val="en-US"/>
        </w:rPr>
        <w:t>OoB</w:t>
      </w:r>
      <w:r w:rsidRPr="007D1EF7">
        <w:rPr>
          <w:lang w:val="en-US"/>
        </w:rPr>
        <w:t xml:space="preserve"> criteria. The study also showed that in reality, the </w:t>
      </w:r>
      <w:r w:rsidR="003071EA" w:rsidRPr="007D1EF7">
        <w:rPr>
          <w:lang w:val="en-US"/>
        </w:rPr>
        <w:t>OoB</w:t>
      </w:r>
      <w:r w:rsidRPr="007D1EF7">
        <w:rPr>
          <w:lang w:val="en-US"/>
        </w:rPr>
        <w:t xml:space="preserve"> emission levels will follow SFCG recommendations, resulting in a margin of at least 69 dB.</w:t>
      </w:r>
    </w:p>
    <w:p w:rsidR="00AA2BE3" w:rsidRPr="007D1EF7" w:rsidRDefault="00AA2BE3" w:rsidP="00F9071F">
      <w:pPr>
        <w:rPr>
          <w:lang w:val="en-US"/>
        </w:rPr>
      </w:pPr>
      <w:r w:rsidRPr="007D1EF7">
        <w:rPr>
          <w:lang w:val="en-US"/>
        </w:rPr>
        <w:t xml:space="preserve">This study also listed a number of mitigation techniques typically found in real systems and included interference apportionment for 3 services. Table 5 provides a summary also taking into account interference apportionment. It is then shown that actually available margins are in the range 40-48 dB for the in-band case and 78-91 dB for the </w:t>
      </w:r>
      <w:r w:rsidR="00F9071F" w:rsidRPr="007D1EF7">
        <w:rPr>
          <w:lang w:val="en-US"/>
        </w:rPr>
        <w:t>OoB</w:t>
      </w:r>
      <w:r w:rsidRPr="007D1EF7">
        <w:rPr>
          <w:lang w:val="en-US"/>
        </w:rPr>
        <w:t xml:space="preserve"> case.</w:t>
      </w:r>
    </w:p>
    <w:p w:rsidR="00AA2BE3" w:rsidRPr="007D1EF7" w:rsidRDefault="00AA2BE3" w:rsidP="00AA2BE3">
      <w:pPr>
        <w:pStyle w:val="FigureNo"/>
        <w:rPr>
          <w:lang w:val="en-US"/>
        </w:rPr>
      </w:pPr>
      <w:r w:rsidRPr="007D1EF7">
        <w:rPr>
          <w:lang w:val="en-US"/>
        </w:rPr>
        <w:lastRenderedPageBreak/>
        <w:t>Figure 3</w:t>
      </w:r>
    </w:p>
    <w:p w:rsidR="00AA2BE3" w:rsidRPr="007D1EF7" w:rsidRDefault="00AA2BE3" w:rsidP="00AA2BE3">
      <w:pPr>
        <w:pStyle w:val="Figuretitle"/>
        <w:rPr>
          <w:lang w:val="en-US"/>
        </w:rPr>
      </w:pPr>
      <w:r w:rsidRPr="007D1EF7">
        <w:rPr>
          <w:lang w:val="en-US"/>
        </w:rPr>
        <w:t>Results of interference assessment of Study 3</w:t>
      </w:r>
    </w:p>
    <w:p w:rsidR="00AA2BE3" w:rsidRPr="006C2078" w:rsidRDefault="00AA2BE3" w:rsidP="003071EA">
      <w:pPr>
        <w:pStyle w:val="Figure"/>
      </w:pPr>
      <w:r>
        <w:rPr>
          <w:noProof/>
          <w:lang w:val="en-US" w:eastAsia="zh-CN"/>
        </w:rPr>
        <w:drawing>
          <wp:inline distT="0" distB="0" distL="0" distR="0">
            <wp:extent cx="5725160" cy="298196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725160" cy="2981960"/>
                    </a:xfrm>
                    <a:prstGeom prst="rect">
                      <a:avLst/>
                    </a:prstGeom>
                    <a:noFill/>
                    <a:ln w="9525">
                      <a:noFill/>
                      <a:miter lim="800000"/>
                      <a:headEnd/>
                      <a:tailEnd/>
                    </a:ln>
                  </pic:spPr>
                </pic:pic>
              </a:graphicData>
            </a:graphic>
          </wp:inline>
        </w:drawing>
      </w:r>
    </w:p>
    <w:p w:rsidR="006E5757" w:rsidRDefault="006E5757" w:rsidP="006E5757"/>
    <w:p w:rsidR="006E5757" w:rsidRDefault="006E5757" w:rsidP="006E5757"/>
    <w:p w:rsidR="004B57AE" w:rsidRDefault="004B57AE" w:rsidP="006E5757"/>
    <w:p w:rsidR="00AA2BE3" w:rsidRPr="007D1EF7" w:rsidRDefault="003071EA" w:rsidP="00AA2BE3">
      <w:pPr>
        <w:pStyle w:val="TableNo"/>
        <w:rPr>
          <w:lang w:val="en-US"/>
        </w:rPr>
      </w:pPr>
      <w:r w:rsidRPr="007D1EF7">
        <w:rPr>
          <w:lang w:val="en-US"/>
        </w:rPr>
        <w:t>TABLE</w:t>
      </w:r>
      <w:r w:rsidR="00AA2BE3" w:rsidRPr="007D1EF7">
        <w:rPr>
          <w:lang w:val="en-US"/>
        </w:rPr>
        <w:t xml:space="preserve"> 5</w:t>
      </w:r>
    </w:p>
    <w:p w:rsidR="00AA2BE3" w:rsidRPr="007D1EF7" w:rsidRDefault="00AA2BE3" w:rsidP="00AA2BE3">
      <w:pPr>
        <w:pStyle w:val="Tabletitle"/>
        <w:rPr>
          <w:lang w:val="en-US"/>
        </w:rPr>
      </w:pPr>
      <w:r w:rsidRPr="007D1EF7">
        <w:rPr>
          <w:lang w:val="en-US"/>
        </w:rPr>
        <w:t>Additional mitigation factors and their impact on the actual margins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37"/>
        <w:gridCol w:w="1701"/>
        <w:gridCol w:w="1701"/>
      </w:tblGrid>
      <w:tr w:rsidR="00AA2BE3" w:rsidRPr="006C2078" w:rsidTr="003071EA">
        <w:trPr>
          <w:jc w:val="center"/>
        </w:trPr>
        <w:tc>
          <w:tcPr>
            <w:tcW w:w="6237" w:type="dxa"/>
          </w:tcPr>
          <w:p w:rsidR="00AA2BE3" w:rsidRPr="007D1EF7" w:rsidRDefault="00AA2BE3" w:rsidP="00BF3C71">
            <w:pPr>
              <w:rPr>
                <w:lang w:val="en-US"/>
              </w:rPr>
            </w:pPr>
          </w:p>
        </w:tc>
        <w:tc>
          <w:tcPr>
            <w:tcW w:w="1701" w:type="dxa"/>
          </w:tcPr>
          <w:p w:rsidR="00AA2BE3" w:rsidRPr="006C2078" w:rsidRDefault="00AA2BE3" w:rsidP="00192341">
            <w:pPr>
              <w:pStyle w:val="Tablehead"/>
            </w:pPr>
            <w:r w:rsidRPr="006C2078">
              <w:t>In-band</w:t>
            </w:r>
          </w:p>
        </w:tc>
        <w:tc>
          <w:tcPr>
            <w:tcW w:w="1701" w:type="dxa"/>
          </w:tcPr>
          <w:p w:rsidR="00AA2BE3" w:rsidRPr="006C2078" w:rsidRDefault="00AA2BE3" w:rsidP="00192341">
            <w:pPr>
              <w:pStyle w:val="Tablehead"/>
            </w:pPr>
            <w:r w:rsidRPr="006C2078">
              <w:t>Out-of-band</w:t>
            </w:r>
          </w:p>
        </w:tc>
      </w:tr>
      <w:tr w:rsidR="00AA2BE3" w:rsidRPr="006C2078" w:rsidTr="003071EA">
        <w:trPr>
          <w:jc w:val="center"/>
        </w:trPr>
        <w:tc>
          <w:tcPr>
            <w:tcW w:w="6237" w:type="dxa"/>
            <w:vAlign w:val="center"/>
          </w:tcPr>
          <w:p w:rsidR="00AA2BE3" w:rsidRPr="006C2078" w:rsidRDefault="00AA2BE3" w:rsidP="003071EA">
            <w:pPr>
              <w:pStyle w:val="Tabletext"/>
              <w:jc w:val="left"/>
            </w:pPr>
            <w:r w:rsidRPr="006C2078">
              <w:t>Obtained minimum margins (dB)</w:t>
            </w:r>
          </w:p>
        </w:tc>
        <w:tc>
          <w:tcPr>
            <w:tcW w:w="1701" w:type="dxa"/>
            <w:vAlign w:val="center"/>
          </w:tcPr>
          <w:p w:rsidR="00AA2BE3" w:rsidRPr="006C2078" w:rsidRDefault="00AA2BE3" w:rsidP="003071EA">
            <w:pPr>
              <w:pStyle w:val="Tabletext"/>
              <w:jc w:val="center"/>
            </w:pPr>
            <w:r w:rsidRPr="006C2078">
              <w:t>38</w:t>
            </w:r>
          </w:p>
        </w:tc>
        <w:tc>
          <w:tcPr>
            <w:tcW w:w="1701" w:type="dxa"/>
            <w:vAlign w:val="center"/>
          </w:tcPr>
          <w:p w:rsidR="00AA2BE3" w:rsidRPr="006C2078" w:rsidRDefault="00AA2BE3" w:rsidP="003071EA">
            <w:pPr>
              <w:pStyle w:val="Tabletext"/>
              <w:jc w:val="center"/>
            </w:pPr>
            <w:r w:rsidRPr="006C2078">
              <w:t>48</w:t>
            </w:r>
          </w:p>
        </w:tc>
      </w:tr>
      <w:tr w:rsidR="00AA2BE3" w:rsidRPr="006C2078" w:rsidTr="003071EA">
        <w:trPr>
          <w:jc w:val="center"/>
        </w:trPr>
        <w:tc>
          <w:tcPr>
            <w:tcW w:w="6237" w:type="dxa"/>
            <w:vAlign w:val="center"/>
          </w:tcPr>
          <w:p w:rsidR="00AA2BE3" w:rsidRPr="007D1EF7" w:rsidRDefault="00AA2BE3" w:rsidP="00720C6D">
            <w:pPr>
              <w:pStyle w:val="Tabletext"/>
              <w:jc w:val="left"/>
              <w:rPr>
                <w:lang w:val="en-US"/>
              </w:rPr>
            </w:pPr>
            <w:r w:rsidRPr="007D1EF7">
              <w:rPr>
                <w:lang w:val="en-US"/>
              </w:rPr>
              <w:t>Atmospheric attenuation for more than 99% of time</w:t>
            </w:r>
            <w:r w:rsidR="00720C6D" w:rsidRPr="007D1EF7">
              <w:rPr>
                <w:lang w:val="en-US"/>
              </w:rPr>
              <w:t xml:space="preserve"> </w:t>
            </w:r>
            <w:r w:rsidRPr="007D1EF7">
              <w:rPr>
                <w:lang w:val="en-US"/>
              </w:rPr>
              <w:t>and 5°</w:t>
            </w:r>
            <w:r w:rsidRPr="007D1EF7">
              <w:rPr>
                <w:lang w:val="en-US"/>
              </w:rPr>
              <w:noBreakHyphen/>
              <w:t>90° elevation angles (dB)</w:t>
            </w:r>
          </w:p>
        </w:tc>
        <w:tc>
          <w:tcPr>
            <w:tcW w:w="1701" w:type="dxa"/>
            <w:vAlign w:val="center"/>
          </w:tcPr>
          <w:p w:rsidR="00AA2BE3" w:rsidRPr="006C2078" w:rsidRDefault="00AA2BE3" w:rsidP="003071EA">
            <w:pPr>
              <w:pStyle w:val="Tabletext"/>
              <w:jc w:val="center"/>
            </w:pPr>
            <w:r w:rsidRPr="006C2078">
              <w:t>2-3</w:t>
            </w:r>
          </w:p>
        </w:tc>
        <w:tc>
          <w:tcPr>
            <w:tcW w:w="1701" w:type="dxa"/>
            <w:vAlign w:val="center"/>
          </w:tcPr>
          <w:p w:rsidR="00AA2BE3" w:rsidRPr="006C2078" w:rsidRDefault="00AA2BE3" w:rsidP="003071EA">
            <w:pPr>
              <w:pStyle w:val="Tabletext"/>
              <w:jc w:val="center"/>
            </w:pPr>
            <w:r w:rsidRPr="006C2078">
              <w:t>2-3</w:t>
            </w:r>
          </w:p>
        </w:tc>
      </w:tr>
      <w:tr w:rsidR="00AA2BE3" w:rsidRPr="006C2078" w:rsidTr="003071EA">
        <w:trPr>
          <w:jc w:val="center"/>
        </w:trPr>
        <w:tc>
          <w:tcPr>
            <w:tcW w:w="6237" w:type="dxa"/>
            <w:vAlign w:val="center"/>
          </w:tcPr>
          <w:p w:rsidR="00AA2BE3" w:rsidRPr="007D1EF7" w:rsidRDefault="00AA2BE3" w:rsidP="003071EA">
            <w:pPr>
              <w:pStyle w:val="Tabletext"/>
              <w:jc w:val="left"/>
              <w:rPr>
                <w:lang w:val="en-US"/>
              </w:rPr>
            </w:pPr>
            <w:r w:rsidRPr="007D1EF7">
              <w:rPr>
                <w:lang w:val="en-US"/>
              </w:rPr>
              <w:t>Average antenna gain reduction (dB)</w:t>
            </w:r>
          </w:p>
        </w:tc>
        <w:tc>
          <w:tcPr>
            <w:tcW w:w="1701" w:type="dxa"/>
            <w:vAlign w:val="center"/>
          </w:tcPr>
          <w:p w:rsidR="00AA2BE3" w:rsidRPr="006C2078" w:rsidRDefault="00AA2BE3" w:rsidP="003071EA">
            <w:pPr>
              <w:pStyle w:val="Tabletext"/>
              <w:jc w:val="center"/>
            </w:pPr>
            <w:r w:rsidRPr="006C2078">
              <w:t>3-4</w:t>
            </w:r>
          </w:p>
        </w:tc>
        <w:tc>
          <w:tcPr>
            <w:tcW w:w="1701" w:type="dxa"/>
            <w:vAlign w:val="center"/>
          </w:tcPr>
          <w:p w:rsidR="00AA2BE3" w:rsidRPr="006C2078" w:rsidRDefault="00AA2BE3" w:rsidP="003071EA">
            <w:pPr>
              <w:pStyle w:val="Tabletext"/>
              <w:jc w:val="center"/>
            </w:pPr>
            <w:r w:rsidRPr="006C2078">
              <w:t>3-4</w:t>
            </w:r>
          </w:p>
        </w:tc>
      </w:tr>
      <w:tr w:rsidR="00AA2BE3" w:rsidRPr="006C2078" w:rsidTr="003071EA">
        <w:trPr>
          <w:jc w:val="center"/>
        </w:trPr>
        <w:tc>
          <w:tcPr>
            <w:tcW w:w="6237" w:type="dxa"/>
            <w:vAlign w:val="center"/>
          </w:tcPr>
          <w:p w:rsidR="00AA2BE3" w:rsidRPr="007D1EF7" w:rsidRDefault="00AA2BE3" w:rsidP="003071EA">
            <w:pPr>
              <w:pStyle w:val="Tabletext"/>
              <w:jc w:val="left"/>
              <w:rPr>
                <w:lang w:val="en-US"/>
              </w:rPr>
            </w:pPr>
            <w:r w:rsidRPr="007D1EF7">
              <w:rPr>
                <w:lang w:val="en-US"/>
              </w:rPr>
              <w:t>Polarization discrimination in antenna side-lobe regions (dB)</w:t>
            </w:r>
          </w:p>
        </w:tc>
        <w:tc>
          <w:tcPr>
            <w:tcW w:w="1701" w:type="dxa"/>
            <w:vAlign w:val="center"/>
          </w:tcPr>
          <w:p w:rsidR="00AA2BE3" w:rsidRPr="006C2078" w:rsidRDefault="00AA2BE3" w:rsidP="003071EA">
            <w:pPr>
              <w:pStyle w:val="Tabletext"/>
              <w:jc w:val="center"/>
            </w:pPr>
            <w:r w:rsidRPr="006C2078">
              <w:t>1-3</w:t>
            </w:r>
          </w:p>
        </w:tc>
        <w:tc>
          <w:tcPr>
            <w:tcW w:w="1701" w:type="dxa"/>
            <w:vAlign w:val="center"/>
          </w:tcPr>
          <w:p w:rsidR="00AA2BE3" w:rsidRPr="006C2078" w:rsidRDefault="00AA2BE3" w:rsidP="003071EA">
            <w:pPr>
              <w:pStyle w:val="Tabletext"/>
              <w:jc w:val="center"/>
            </w:pPr>
            <w:r w:rsidRPr="006C2078">
              <w:t>1-3</w:t>
            </w:r>
          </w:p>
        </w:tc>
      </w:tr>
      <w:tr w:rsidR="00AA2BE3" w:rsidRPr="006C2078" w:rsidTr="003071EA">
        <w:trPr>
          <w:jc w:val="center"/>
        </w:trPr>
        <w:tc>
          <w:tcPr>
            <w:tcW w:w="6237" w:type="dxa"/>
            <w:vAlign w:val="center"/>
          </w:tcPr>
          <w:p w:rsidR="00AA2BE3" w:rsidRPr="007D1EF7" w:rsidRDefault="00AA2BE3" w:rsidP="00720C6D">
            <w:pPr>
              <w:pStyle w:val="Tabletext"/>
              <w:jc w:val="left"/>
              <w:rPr>
                <w:lang w:val="en-US"/>
              </w:rPr>
            </w:pPr>
            <w:r w:rsidRPr="007D1EF7">
              <w:rPr>
                <w:lang w:val="en-US"/>
              </w:rPr>
              <w:t>Elevation angles of 15°</w:t>
            </w:r>
            <w:r w:rsidRPr="007D1EF7">
              <w:rPr>
                <w:lang w:val="en-US"/>
              </w:rPr>
              <w:noBreakHyphen/>
              <w:t>25° in global network satellite</w:t>
            </w:r>
            <w:r w:rsidR="00720C6D" w:rsidRPr="007D1EF7">
              <w:rPr>
                <w:lang w:val="en-US"/>
              </w:rPr>
              <w:br/>
            </w:r>
            <w:r w:rsidRPr="007D1EF7">
              <w:rPr>
                <w:lang w:val="en-US"/>
              </w:rPr>
              <w:t>handover (dB)</w:t>
            </w:r>
          </w:p>
        </w:tc>
        <w:tc>
          <w:tcPr>
            <w:tcW w:w="1701" w:type="dxa"/>
            <w:vAlign w:val="center"/>
          </w:tcPr>
          <w:p w:rsidR="00AA2BE3" w:rsidRPr="006C2078" w:rsidRDefault="00AA2BE3" w:rsidP="003071EA">
            <w:pPr>
              <w:pStyle w:val="Tabletext"/>
              <w:jc w:val="center"/>
            </w:pPr>
            <w:r w:rsidRPr="006C2078">
              <w:t>1-2</w:t>
            </w:r>
          </w:p>
        </w:tc>
        <w:tc>
          <w:tcPr>
            <w:tcW w:w="1701" w:type="dxa"/>
            <w:vAlign w:val="center"/>
          </w:tcPr>
          <w:p w:rsidR="00AA2BE3" w:rsidRPr="006C2078" w:rsidRDefault="00AA2BE3" w:rsidP="003071EA">
            <w:pPr>
              <w:pStyle w:val="Tabletext"/>
              <w:jc w:val="center"/>
            </w:pPr>
            <w:r w:rsidRPr="006C2078">
              <w:t>1-2</w:t>
            </w:r>
          </w:p>
        </w:tc>
      </w:tr>
      <w:tr w:rsidR="00AA2BE3" w:rsidRPr="006C2078" w:rsidTr="003071EA">
        <w:trPr>
          <w:jc w:val="center"/>
        </w:trPr>
        <w:tc>
          <w:tcPr>
            <w:tcW w:w="6237" w:type="dxa"/>
            <w:vAlign w:val="center"/>
          </w:tcPr>
          <w:p w:rsidR="00AA2BE3" w:rsidRPr="007D1EF7" w:rsidRDefault="00AA2BE3" w:rsidP="003071EA">
            <w:pPr>
              <w:pStyle w:val="Tabletext"/>
              <w:jc w:val="left"/>
              <w:rPr>
                <w:lang w:val="en-US"/>
              </w:rPr>
            </w:pPr>
            <w:r w:rsidRPr="007D1EF7">
              <w:rPr>
                <w:lang w:val="en-US"/>
              </w:rPr>
              <w:t>Actual expected duty cycle between 50% and 100% (dB)</w:t>
            </w:r>
          </w:p>
        </w:tc>
        <w:tc>
          <w:tcPr>
            <w:tcW w:w="1701" w:type="dxa"/>
            <w:vAlign w:val="center"/>
          </w:tcPr>
          <w:p w:rsidR="00AA2BE3" w:rsidRPr="006C2078" w:rsidRDefault="00AA2BE3" w:rsidP="003071EA">
            <w:pPr>
              <w:pStyle w:val="Tabletext"/>
              <w:jc w:val="center"/>
            </w:pPr>
            <w:r w:rsidRPr="006C2078">
              <w:t>0-3</w:t>
            </w:r>
          </w:p>
        </w:tc>
        <w:tc>
          <w:tcPr>
            <w:tcW w:w="1701" w:type="dxa"/>
            <w:vAlign w:val="center"/>
          </w:tcPr>
          <w:p w:rsidR="00AA2BE3" w:rsidRPr="006C2078" w:rsidRDefault="00AA2BE3" w:rsidP="003071EA">
            <w:pPr>
              <w:pStyle w:val="Tabletext"/>
              <w:jc w:val="center"/>
            </w:pPr>
            <w:r w:rsidRPr="006C2078">
              <w:t>0-3</w:t>
            </w:r>
          </w:p>
        </w:tc>
      </w:tr>
      <w:tr w:rsidR="00AA2BE3" w:rsidRPr="006C2078" w:rsidTr="003071EA">
        <w:trPr>
          <w:jc w:val="center"/>
        </w:trPr>
        <w:tc>
          <w:tcPr>
            <w:tcW w:w="6237" w:type="dxa"/>
            <w:vAlign w:val="center"/>
          </w:tcPr>
          <w:p w:rsidR="00AA2BE3" w:rsidRPr="007D1EF7" w:rsidRDefault="00AA2BE3" w:rsidP="003071EA">
            <w:pPr>
              <w:pStyle w:val="Tabletext"/>
              <w:jc w:val="left"/>
              <w:rPr>
                <w:lang w:val="en-US"/>
              </w:rPr>
            </w:pPr>
            <w:r w:rsidRPr="007D1EF7">
              <w:rPr>
                <w:lang w:val="en-US"/>
              </w:rPr>
              <w:t>Interference apportionment between FS, ISS and SRS (dB)</w:t>
            </w:r>
          </w:p>
        </w:tc>
        <w:tc>
          <w:tcPr>
            <w:tcW w:w="1701" w:type="dxa"/>
            <w:vAlign w:val="center"/>
          </w:tcPr>
          <w:p w:rsidR="00AA2BE3" w:rsidRPr="006C2078" w:rsidRDefault="00AA2BE3" w:rsidP="003071EA">
            <w:pPr>
              <w:pStyle w:val="Tabletext"/>
              <w:jc w:val="center"/>
            </w:pPr>
            <w:r w:rsidRPr="006C2078">
              <w:t>−5</w:t>
            </w:r>
          </w:p>
        </w:tc>
        <w:tc>
          <w:tcPr>
            <w:tcW w:w="1701" w:type="dxa"/>
            <w:vAlign w:val="center"/>
          </w:tcPr>
          <w:p w:rsidR="00AA2BE3" w:rsidRPr="006C2078" w:rsidRDefault="00AA2BE3" w:rsidP="003071EA">
            <w:pPr>
              <w:pStyle w:val="Tabletext"/>
              <w:jc w:val="center"/>
            </w:pPr>
            <w:r w:rsidRPr="006C2078">
              <w:t>---</w:t>
            </w:r>
          </w:p>
        </w:tc>
      </w:tr>
      <w:tr w:rsidR="00AA2BE3" w:rsidRPr="006C2078" w:rsidTr="003071EA">
        <w:trPr>
          <w:jc w:val="center"/>
        </w:trPr>
        <w:tc>
          <w:tcPr>
            <w:tcW w:w="6237" w:type="dxa"/>
            <w:vAlign w:val="center"/>
          </w:tcPr>
          <w:p w:rsidR="00AA2BE3" w:rsidRPr="006C2078" w:rsidRDefault="00AA2BE3" w:rsidP="003071EA">
            <w:pPr>
              <w:pStyle w:val="Tabletext"/>
              <w:jc w:val="left"/>
            </w:pPr>
            <w:r w:rsidRPr="006C2078">
              <w:t>SFCG spectral mask compliance (dB)</w:t>
            </w:r>
          </w:p>
        </w:tc>
        <w:tc>
          <w:tcPr>
            <w:tcW w:w="1701" w:type="dxa"/>
            <w:vAlign w:val="center"/>
          </w:tcPr>
          <w:p w:rsidR="00AA2BE3" w:rsidRPr="006C2078" w:rsidRDefault="00AA2BE3" w:rsidP="003071EA">
            <w:pPr>
              <w:pStyle w:val="Tabletext"/>
              <w:jc w:val="center"/>
            </w:pPr>
            <w:r w:rsidRPr="006C2078">
              <w:t>---</w:t>
            </w:r>
          </w:p>
        </w:tc>
        <w:tc>
          <w:tcPr>
            <w:tcW w:w="1701" w:type="dxa"/>
            <w:vAlign w:val="center"/>
          </w:tcPr>
          <w:p w:rsidR="00AA2BE3" w:rsidRPr="006C2078" w:rsidRDefault="00AA2BE3" w:rsidP="003071EA">
            <w:pPr>
              <w:pStyle w:val="Tabletext"/>
              <w:jc w:val="center"/>
            </w:pPr>
            <w:r w:rsidRPr="006C2078">
              <w:t>20-23</w:t>
            </w:r>
          </w:p>
        </w:tc>
      </w:tr>
      <w:tr w:rsidR="00AA2BE3" w:rsidRPr="006C2078" w:rsidTr="003071EA">
        <w:trPr>
          <w:jc w:val="center"/>
        </w:trPr>
        <w:tc>
          <w:tcPr>
            <w:tcW w:w="6237" w:type="dxa"/>
            <w:vAlign w:val="center"/>
          </w:tcPr>
          <w:p w:rsidR="00AA2BE3" w:rsidRPr="007D1EF7" w:rsidRDefault="00AA2BE3" w:rsidP="00720C6D">
            <w:pPr>
              <w:pStyle w:val="Tabletext"/>
              <w:jc w:val="left"/>
              <w:rPr>
                <w:lang w:val="en-US"/>
              </w:rPr>
            </w:pPr>
            <w:r w:rsidRPr="007D1EF7">
              <w:rPr>
                <w:lang w:val="en-US"/>
              </w:rPr>
              <w:t>Spectral density reduction due to additional guardband</w:t>
            </w:r>
            <w:r w:rsidR="00720C6D" w:rsidRPr="007D1EF7">
              <w:rPr>
                <w:lang w:val="en-US"/>
              </w:rPr>
              <w:t xml:space="preserve"> </w:t>
            </w:r>
            <w:r w:rsidRPr="007D1EF7">
              <w:rPr>
                <w:lang w:val="en-US"/>
              </w:rPr>
              <w:t>at</w:t>
            </w:r>
            <w:r w:rsidR="00720C6D" w:rsidRPr="007D1EF7">
              <w:rPr>
                <w:lang w:val="en-US"/>
              </w:rPr>
              <w:br/>
            </w:r>
            <w:r w:rsidRPr="007D1EF7">
              <w:rPr>
                <w:lang w:val="en-US"/>
              </w:rPr>
              <w:t>23.15 GHz (dB)</w:t>
            </w:r>
          </w:p>
        </w:tc>
        <w:tc>
          <w:tcPr>
            <w:tcW w:w="1701" w:type="dxa"/>
            <w:vAlign w:val="center"/>
          </w:tcPr>
          <w:p w:rsidR="00AA2BE3" w:rsidRPr="006C2078" w:rsidRDefault="00AA2BE3" w:rsidP="003071EA">
            <w:pPr>
              <w:pStyle w:val="Tabletext"/>
              <w:jc w:val="center"/>
            </w:pPr>
            <w:r w:rsidRPr="006C2078">
              <w:t>---</w:t>
            </w:r>
          </w:p>
        </w:tc>
        <w:tc>
          <w:tcPr>
            <w:tcW w:w="1701" w:type="dxa"/>
            <w:vAlign w:val="center"/>
          </w:tcPr>
          <w:p w:rsidR="00AA2BE3" w:rsidRPr="006C2078" w:rsidRDefault="00AA2BE3" w:rsidP="003071EA">
            <w:pPr>
              <w:pStyle w:val="Tabletext"/>
              <w:jc w:val="center"/>
            </w:pPr>
            <w:r w:rsidRPr="006C2078">
              <w:t>3-5</w:t>
            </w:r>
          </w:p>
        </w:tc>
      </w:tr>
      <w:tr w:rsidR="00AA2BE3" w:rsidRPr="00506BA6" w:rsidTr="003071EA">
        <w:trPr>
          <w:jc w:val="center"/>
        </w:trPr>
        <w:tc>
          <w:tcPr>
            <w:tcW w:w="6237" w:type="dxa"/>
            <w:vAlign w:val="center"/>
          </w:tcPr>
          <w:p w:rsidR="00AA2BE3" w:rsidRPr="00506BA6" w:rsidRDefault="00AA2BE3" w:rsidP="003071EA">
            <w:pPr>
              <w:pStyle w:val="Tabletext"/>
              <w:jc w:val="left"/>
            </w:pPr>
            <w:r w:rsidRPr="00506BA6">
              <w:t>Expected actual margins (dB)</w:t>
            </w:r>
          </w:p>
        </w:tc>
        <w:tc>
          <w:tcPr>
            <w:tcW w:w="1701" w:type="dxa"/>
            <w:vAlign w:val="center"/>
          </w:tcPr>
          <w:p w:rsidR="00AA2BE3" w:rsidRPr="00506BA6" w:rsidRDefault="00AA2BE3" w:rsidP="003071EA">
            <w:pPr>
              <w:pStyle w:val="Tabletext"/>
              <w:jc w:val="center"/>
            </w:pPr>
            <w:r w:rsidRPr="00506BA6">
              <w:t>40-48</w:t>
            </w:r>
          </w:p>
        </w:tc>
        <w:tc>
          <w:tcPr>
            <w:tcW w:w="1701" w:type="dxa"/>
            <w:vAlign w:val="center"/>
          </w:tcPr>
          <w:p w:rsidR="00AA2BE3" w:rsidRPr="00506BA6" w:rsidRDefault="00AA2BE3" w:rsidP="003071EA">
            <w:pPr>
              <w:pStyle w:val="Tabletext"/>
              <w:jc w:val="center"/>
            </w:pPr>
            <w:r w:rsidRPr="00506BA6">
              <w:t>78-91</w:t>
            </w:r>
          </w:p>
        </w:tc>
      </w:tr>
    </w:tbl>
    <w:p w:rsidR="003071EA" w:rsidRDefault="003071EA" w:rsidP="003071EA">
      <w:pPr>
        <w:pStyle w:val="Tablefin"/>
      </w:pPr>
    </w:p>
    <w:p w:rsidR="00AA2BE3" w:rsidRPr="006C2078" w:rsidRDefault="00AA2BE3" w:rsidP="00AA2BE3">
      <w:pPr>
        <w:pStyle w:val="Heading2"/>
      </w:pPr>
      <w:bookmarkStart w:id="17" w:name="_Toc277668580"/>
      <w:r w:rsidRPr="006C2078">
        <w:lastRenderedPageBreak/>
        <w:t>4.4</w:t>
      </w:r>
      <w:r w:rsidRPr="006C2078">
        <w:tab/>
        <w:t>Summary for Study 4</w:t>
      </w:r>
      <w:bookmarkEnd w:id="17"/>
    </w:p>
    <w:p w:rsidR="00AA2BE3" w:rsidRPr="007D1EF7" w:rsidRDefault="00AA2BE3" w:rsidP="004B57AE">
      <w:pPr>
        <w:keepNext/>
        <w:keepLines/>
        <w:rPr>
          <w:lang w:val="en-US"/>
        </w:rPr>
      </w:pPr>
      <w:r w:rsidRPr="007D1EF7">
        <w:rPr>
          <w:lang w:val="en-US"/>
        </w:rPr>
        <w:t xml:space="preserve">Study 4 used the software tool STK in combination with </w:t>
      </w:r>
      <w:r w:rsidR="003071EA" w:rsidRPr="007D1EF7">
        <w:rPr>
          <w:lang w:val="en-US"/>
        </w:rPr>
        <w:t>MATLAB</w:t>
      </w:r>
      <w:r w:rsidRPr="007D1EF7">
        <w:rPr>
          <w:lang w:val="en-US"/>
        </w:rPr>
        <w:t xml:space="preserve">. A summary of this study is contained in Annex 4. Three SRS earth stations were assumed transmitting simultaneously down to elevation angles of 5º. The simulated duration was 31 days with 5s time steps. Figure 4 shows the key results in terms of </w:t>
      </w:r>
      <w:r w:rsidRPr="007D1EF7">
        <w:rPr>
          <w:i/>
          <w:iCs/>
          <w:lang w:val="en-US"/>
        </w:rPr>
        <w:t>I</w:t>
      </w:r>
      <w:r w:rsidRPr="007D1EF7">
        <w:rPr>
          <w:vertAlign w:val="subscript"/>
          <w:lang w:val="en-US"/>
        </w:rPr>
        <w:t>0</w:t>
      </w:r>
      <w:r w:rsidRPr="007D1EF7">
        <w:rPr>
          <w:i/>
          <w:iCs/>
          <w:lang w:val="en-US"/>
        </w:rPr>
        <w:t>/N</w:t>
      </w:r>
      <w:r w:rsidRPr="007D1EF7">
        <w:rPr>
          <w:vertAlign w:val="subscript"/>
          <w:lang w:val="en-US"/>
        </w:rPr>
        <w:t>0</w:t>
      </w:r>
      <w:r w:rsidRPr="007D1EF7">
        <w:rPr>
          <w:lang w:val="en-US"/>
        </w:rPr>
        <w:t xml:space="preserve"> for satellite 6. The obtained in-band margin is around 37</w:t>
      </w:r>
      <w:r w:rsidRPr="007D1EF7">
        <w:rPr>
          <w:lang w:val="en-US"/>
        </w:rPr>
        <w:noBreakHyphen/>
        <w:t xml:space="preserve">39 dB. </w:t>
      </w:r>
    </w:p>
    <w:p w:rsidR="004B57AE" w:rsidRPr="007D1EF7" w:rsidRDefault="004B57AE" w:rsidP="004B57AE">
      <w:pPr>
        <w:keepNext/>
        <w:keepLines/>
        <w:rPr>
          <w:lang w:val="en-US"/>
        </w:rPr>
      </w:pPr>
    </w:p>
    <w:p w:rsidR="00AA2BE3" w:rsidRPr="007D1EF7" w:rsidRDefault="00AA2BE3" w:rsidP="00AA2BE3">
      <w:pPr>
        <w:pStyle w:val="FigureNo"/>
        <w:rPr>
          <w:lang w:val="en-US"/>
        </w:rPr>
      </w:pPr>
      <w:r w:rsidRPr="007D1EF7">
        <w:rPr>
          <w:lang w:val="en-US"/>
        </w:rPr>
        <w:t>Figure 4</w:t>
      </w:r>
    </w:p>
    <w:p w:rsidR="00AA2BE3" w:rsidRPr="007D1EF7" w:rsidRDefault="00AA2BE3" w:rsidP="00AA2BE3">
      <w:pPr>
        <w:pStyle w:val="Figuretitle"/>
        <w:rPr>
          <w:lang w:val="en-US"/>
        </w:rPr>
      </w:pPr>
      <w:r w:rsidRPr="007D1EF7">
        <w:rPr>
          <w:lang w:val="en-US"/>
        </w:rPr>
        <w:t>Results of interference assessment of Study 4</w:t>
      </w:r>
    </w:p>
    <w:p w:rsidR="00AA2BE3" w:rsidRPr="006C2078" w:rsidRDefault="00AA2BE3" w:rsidP="003071EA">
      <w:pPr>
        <w:pStyle w:val="Figure"/>
      </w:pPr>
      <w:r>
        <w:rPr>
          <w:noProof/>
          <w:lang w:val="en-US" w:eastAsia="zh-CN"/>
        </w:rPr>
        <w:drawing>
          <wp:inline distT="0" distB="0" distL="0" distR="0">
            <wp:extent cx="4937760" cy="2910205"/>
            <wp:effectExtent l="19050" t="0" r="0" b="0"/>
            <wp:docPr id="9" name="Picture 9" descr="IRIDIU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RIDIUM 6"/>
                    <pic:cNvPicPr>
                      <a:picLocks noChangeAspect="1" noChangeArrowheads="1"/>
                    </pic:cNvPicPr>
                  </pic:nvPicPr>
                  <pic:blipFill>
                    <a:blip r:embed="rId22" cstate="print"/>
                    <a:srcRect/>
                    <a:stretch>
                      <a:fillRect/>
                    </a:stretch>
                  </pic:blipFill>
                  <pic:spPr bwMode="auto">
                    <a:xfrm>
                      <a:off x="0" y="0"/>
                      <a:ext cx="4937760" cy="2910205"/>
                    </a:xfrm>
                    <a:prstGeom prst="rect">
                      <a:avLst/>
                    </a:prstGeom>
                    <a:noFill/>
                    <a:ln w="9525">
                      <a:noFill/>
                      <a:miter lim="800000"/>
                      <a:headEnd/>
                      <a:tailEnd/>
                    </a:ln>
                  </pic:spPr>
                </pic:pic>
              </a:graphicData>
            </a:graphic>
          </wp:inline>
        </w:drawing>
      </w:r>
    </w:p>
    <w:p w:rsidR="004B57AE" w:rsidRDefault="004B57AE" w:rsidP="00AA2BE3"/>
    <w:p w:rsidR="00AA2BE3" w:rsidRPr="007D1EF7" w:rsidRDefault="00AA2BE3" w:rsidP="00AA2BE3">
      <w:pPr>
        <w:rPr>
          <w:lang w:val="en-US"/>
        </w:rPr>
      </w:pPr>
      <w:r w:rsidRPr="007D1EF7">
        <w:rPr>
          <w:lang w:val="en-US"/>
        </w:rPr>
        <w:t>For O</w:t>
      </w:r>
      <w:r w:rsidR="003071EA" w:rsidRPr="007D1EF7">
        <w:rPr>
          <w:lang w:val="en-US"/>
        </w:rPr>
        <w:t>o</w:t>
      </w:r>
      <w:r w:rsidRPr="007D1EF7">
        <w:rPr>
          <w:lang w:val="en-US"/>
        </w:rPr>
        <w:t xml:space="preserve">B emissions, the </w:t>
      </w:r>
      <w:r w:rsidRPr="007D1EF7">
        <w:rPr>
          <w:i/>
          <w:iCs/>
          <w:lang w:val="en-US"/>
        </w:rPr>
        <w:t>I</w:t>
      </w:r>
      <w:r w:rsidRPr="007D1EF7">
        <w:rPr>
          <w:vertAlign w:val="subscript"/>
          <w:lang w:val="en-US"/>
        </w:rPr>
        <w:t>0</w:t>
      </w:r>
      <w:r w:rsidRPr="007D1EF7">
        <w:rPr>
          <w:i/>
          <w:iCs/>
          <w:lang w:val="en-US"/>
        </w:rPr>
        <w:t>/N</w:t>
      </w:r>
      <w:r w:rsidRPr="007D1EF7">
        <w:rPr>
          <w:vertAlign w:val="subscript"/>
          <w:lang w:val="en-US"/>
        </w:rPr>
        <w:t>0</w:t>
      </w:r>
      <w:r w:rsidRPr="007D1EF7">
        <w:rPr>
          <w:lang w:val="en-US"/>
        </w:rPr>
        <w:t xml:space="preserve"> level for 0.01% of the time ranges from –37 to –32 dB. This is already 16 to 21 dB below the agreed protection criterion, without even considering any O</w:t>
      </w:r>
      <w:r w:rsidR="003071EA" w:rsidRPr="007D1EF7">
        <w:rPr>
          <w:lang w:val="en-US"/>
        </w:rPr>
        <w:t>o</w:t>
      </w:r>
      <w:r w:rsidRPr="007D1EF7">
        <w:rPr>
          <w:lang w:val="en-US"/>
        </w:rPr>
        <w:t>B attenuation. The actual interference would be much lower taking into account the O</w:t>
      </w:r>
      <w:r w:rsidR="003071EA" w:rsidRPr="007D1EF7">
        <w:rPr>
          <w:lang w:val="en-US"/>
        </w:rPr>
        <w:t>o</w:t>
      </w:r>
      <w:r w:rsidRPr="007D1EF7">
        <w:rPr>
          <w:lang w:val="en-US"/>
        </w:rPr>
        <w:t xml:space="preserve">B attenuation due to the modulation shape only, and any output filter that might be implemented on the SRS earth stations. This study also points out that atmospheric losses were not taken into account in the study which would further reduce interference levels. The study finally concludes that SRS earth stations used for Moon missions are compatible with HIBLEO-2 ISL without any further constraint. </w:t>
      </w:r>
    </w:p>
    <w:p w:rsidR="00AA2BE3" w:rsidRPr="007D1EF7" w:rsidRDefault="00AA2BE3" w:rsidP="00AA2BE3">
      <w:pPr>
        <w:pStyle w:val="Heading2"/>
        <w:rPr>
          <w:lang w:val="en-US"/>
        </w:rPr>
      </w:pPr>
      <w:bookmarkStart w:id="18" w:name="_Toc277668581"/>
      <w:r w:rsidRPr="007D1EF7">
        <w:rPr>
          <w:lang w:val="en-US"/>
        </w:rPr>
        <w:t>4.5</w:t>
      </w:r>
      <w:r w:rsidRPr="007D1EF7">
        <w:rPr>
          <w:lang w:val="en-US"/>
        </w:rPr>
        <w:tab/>
        <w:t>Summary for Study 5</w:t>
      </w:r>
      <w:bookmarkEnd w:id="18"/>
    </w:p>
    <w:p w:rsidR="00AA2BE3" w:rsidRPr="007D1EF7" w:rsidRDefault="00AA2BE3" w:rsidP="00720C6D">
      <w:pPr>
        <w:rPr>
          <w:lang w:val="en-US"/>
        </w:rPr>
      </w:pPr>
      <w:r w:rsidRPr="007D1EF7">
        <w:rPr>
          <w:lang w:val="en-US"/>
        </w:rPr>
        <w:t xml:space="preserve">Study 5 is a deterministic analysis using software tools based on MATLAB which are publicly available. A summary of this study is contained in Annex 5. Interference results are based on one SRS earth station transmitting down to elevation angles of 5º. The simulated durations were 84 days (three lunar months) and three consecutive periods of 28 days (one lunar month each). Time steps varied between 18s to identify time periods of interest for more detailed investigations and 0.06s for very detailed assessments. This study comprises several parts by assessing in-band as well as </w:t>
      </w:r>
      <w:r w:rsidR="00720C6D" w:rsidRPr="007D1EF7">
        <w:rPr>
          <w:lang w:val="en-US"/>
        </w:rPr>
        <w:t>OoB</w:t>
      </w:r>
      <w:r w:rsidRPr="007D1EF7">
        <w:rPr>
          <w:lang w:val="en-US"/>
        </w:rPr>
        <w:t xml:space="preserve"> interference to lunar missions and Lagrangian missions. The study considers also interference to single links as well as to the entire system. In addition, this study addresses performance limitations due to noise radiated by the Sun. For the lunar case based on a single ISS link, Fig. 5 shows the key results in terms of percentage for exceeding a specific </w:t>
      </w:r>
      <w:r w:rsidRPr="007D1EF7">
        <w:rPr>
          <w:i/>
          <w:iCs/>
          <w:lang w:val="en-US"/>
        </w:rPr>
        <w:t>I</w:t>
      </w:r>
      <w:r w:rsidRPr="007D1EF7">
        <w:rPr>
          <w:vertAlign w:val="subscript"/>
          <w:lang w:val="en-US"/>
        </w:rPr>
        <w:t>0</w:t>
      </w:r>
      <w:r w:rsidRPr="007D1EF7">
        <w:rPr>
          <w:i/>
          <w:iCs/>
          <w:lang w:val="en-US"/>
        </w:rPr>
        <w:t>/N</w:t>
      </w:r>
      <w:r w:rsidRPr="007D1EF7">
        <w:rPr>
          <w:vertAlign w:val="subscript"/>
          <w:lang w:val="en-US"/>
        </w:rPr>
        <w:t>0</w:t>
      </w:r>
      <w:r w:rsidRPr="007D1EF7">
        <w:rPr>
          <w:lang w:val="en-US"/>
        </w:rPr>
        <w:t xml:space="preserve">. It can be seen that an </w:t>
      </w:r>
      <w:r w:rsidRPr="007D1EF7">
        <w:rPr>
          <w:i/>
          <w:iCs/>
          <w:lang w:val="en-US"/>
        </w:rPr>
        <w:t>I</w:t>
      </w:r>
      <w:r w:rsidRPr="007D1EF7">
        <w:rPr>
          <w:vertAlign w:val="subscript"/>
          <w:lang w:val="en-US"/>
        </w:rPr>
        <w:t>0</w:t>
      </w:r>
      <w:r w:rsidRPr="007D1EF7">
        <w:rPr>
          <w:i/>
          <w:iCs/>
          <w:lang w:val="en-US"/>
        </w:rPr>
        <w:t>/N</w:t>
      </w:r>
      <w:r w:rsidRPr="007D1EF7">
        <w:rPr>
          <w:vertAlign w:val="subscript"/>
          <w:lang w:val="en-US"/>
        </w:rPr>
        <w:t>0</w:t>
      </w:r>
      <w:r w:rsidRPr="007D1EF7">
        <w:rPr>
          <w:lang w:val="en-US"/>
        </w:rPr>
        <w:t> =</w:t>
      </w:r>
      <w:r w:rsidR="003071EA" w:rsidRPr="007D1EF7">
        <w:rPr>
          <w:lang w:val="en-US"/>
        </w:rPr>
        <w:t> –</w:t>
      </w:r>
      <w:r w:rsidRPr="007D1EF7">
        <w:rPr>
          <w:lang w:val="en-US"/>
        </w:rPr>
        <w:t xml:space="preserve">10 dB would only be exceeded for around 4 </w:t>
      </w:r>
      <w:r w:rsidRPr="007D1EF7">
        <w:rPr>
          <w:rFonts w:ascii="Times" w:hAnsi="Times" w:cs="Times"/>
          <w:lang w:val="en-US"/>
        </w:rPr>
        <w:t>×</w:t>
      </w:r>
      <w:r w:rsidRPr="007D1EF7">
        <w:rPr>
          <w:lang w:val="en-US"/>
        </w:rPr>
        <w:t> 10</w:t>
      </w:r>
      <w:r w:rsidR="003071EA" w:rsidRPr="007D1EF7">
        <w:rPr>
          <w:vertAlign w:val="superscript"/>
          <w:lang w:val="en-US"/>
        </w:rPr>
        <w:t>–</w:t>
      </w:r>
      <w:r w:rsidRPr="007D1EF7">
        <w:rPr>
          <w:rFonts w:ascii="(Asiatische Schriftart verwende" w:hAnsi="(Asiatische Schriftart verwende"/>
          <w:vertAlign w:val="superscript"/>
          <w:lang w:val="en-US"/>
        </w:rPr>
        <w:t>5</w:t>
      </w:r>
      <w:r w:rsidRPr="007D1EF7">
        <w:rPr>
          <w:lang w:val="en-US"/>
        </w:rPr>
        <w:t xml:space="preserve">% of time which is roughly equivalent with an in-band margin of around 38 dB. </w:t>
      </w:r>
    </w:p>
    <w:p w:rsidR="00AA2BE3" w:rsidRPr="007D1EF7" w:rsidRDefault="00AA2BE3" w:rsidP="00AA2BE3">
      <w:pPr>
        <w:pStyle w:val="FigureNo"/>
        <w:rPr>
          <w:lang w:val="en-US"/>
        </w:rPr>
      </w:pPr>
      <w:r w:rsidRPr="007D1EF7">
        <w:rPr>
          <w:lang w:val="en-US"/>
        </w:rPr>
        <w:lastRenderedPageBreak/>
        <w:t>Figure 5</w:t>
      </w:r>
    </w:p>
    <w:p w:rsidR="00AA2BE3" w:rsidRPr="007D1EF7" w:rsidRDefault="00AA2BE3" w:rsidP="00AA2BE3">
      <w:pPr>
        <w:pStyle w:val="Figuretitle"/>
        <w:rPr>
          <w:lang w:val="en-US"/>
        </w:rPr>
      </w:pPr>
      <w:r w:rsidRPr="007D1EF7">
        <w:rPr>
          <w:lang w:val="en-US"/>
        </w:rPr>
        <w:t>Results of interference assessment of Study 5</w:t>
      </w:r>
    </w:p>
    <w:p w:rsidR="00AA2BE3" w:rsidRPr="006C2078" w:rsidRDefault="00AA2BE3" w:rsidP="003071EA">
      <w:pPr>
        <w:pStyle w:val="Figure"/>
      </w:pPr>
      <w:r>
        <w:rPr>
          <w:noProof/>
          <w:lang w:val="en-US" w:eastAsia="zh-CN"/>
        </w:rPr>
        <w:drawing>
          <wp:inline distT="0" distB="0" distL="0" distR="0">
            <wp:extent cx="4993640" cy="2830830"/>
            <wp:effectExtent l="1905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4993640" cy="2830830"/>
                    </a:xfrm>
                    <a:prstGeom prst="rect">
                      <a:avLst/>
                    </a:prstGeom>
                    <a:noFill/>
                    <a:ln w="9525">
                      <a:noFill/>
                      <a:miter lim="800000"/>
                      <a:headEnd/>
                      <a:tailEnd/>
                    </a:ln>
                  </pic:spPr>
                </pic:pic>
              </a:graphicData>
            </a:graphic>
          </wp:inline>
        </w:drawing>
      </w:r>
    </w:p>
    <w:p w:rsidR="00A47FF8" w:rsidRDefault="00A47FF8" w:rsidP="00AA2BE3"/>
    <w:p w:rsidR="00AA2BE3" w:rsidRPr="007D1EF7" w:rsidRDefault="00AA2BE3" w:rsidP="00AA2BE3">
      <w:pPr>
        <w:rPr>
          <w:lang w:val="en-US"/>
        </w:rPr>
      </w:pPr>
      <w:r w:rsidRPr="007D1EF7">
        <w:rPr>
          <w:lang w:val="en-US"/>
        </w:rPr>
        <w:t>For O</w:t>
      </w:r>
      <w:r w:rsidR="003071EA" w:rsidRPr="007D1EF7">
        <w:rPr>
          <w:lang w:val="en-US"/>
        </w:rPr>
        <w:t>o</w:t>
      </w:r>
      <w:r w:rsidRPr="007D1EF7">
        <w:rPr>
          <w:lang w:val="en-US"/>
        </w:rPr>
        <w:t>B emissions, it is concluded that large margins are available per link as well as per full HIBLEO-2 constellation and that no undue interference would be caused to non-GSO ISS links.</w:t>
      </w:r>
    </w:p>
    <w:p w:rsidR="00AA2BE3" w:rsidRPr="007D1EF7" w:rsidRDefault="00AA2BE3" w:rsidP="00AA2BE3">
      <w:pPr>
        <w:pStyle w:val="Heading2"/>
        <w:rPr>
          <w:lang w:val="en-US"/>
        </w:rPr>
      </w:pPr>
      <w:bookmarkStart w:id="19" w:name="_Toc277668582"/>
      <w:r w:rsidRPr="007D1EF7">
        <w:rPr>
          <w:lang w:val="en-US"/>
        </w:rPr>
        <w:t>4.6</w:t>
      </w:r>
      <w:r w:rsidRPr="007D1EF7">
        <w:rPr>
          <w:lang w:val="en-US"/>
        </w:rPr>
        <w:tab/>
        <w:t>Summary for Study 6</w:t>
      </w:r>
      <w:bookmarkEnd w:id="19"/>
    </w:p>
    <w:p w:rsidR="00AA2BE3" w:rsidRPr="007D1EF7" w:rsidRDefault="00AA2BE3" w:rsidP="00720C6D">
      <w:pPr>
        <w:rPr>
          <w:lang w:val="en-US"/>
        </w:rPr>
      </w:pPr>
      <w:r w:rsidRPr="007D1EF7">
        <w:rPr>
          <w:lang w:val="en-US"/>
        </w:rPr>
        <w:t>Study 6 used an analytic methodology contained in Recommendation ITU-R S.1529 which allows for assessment of low probability areas on the CDF curve at shorter computer times as compared to most other methods. A summary of this study is contained in Annex 6. Three SRS earth stations were assumed transmitting simultaneously down to elevation angles of 0º. This study examined co</w:t>
      </w:r>
      <w:r w:rsidRPr="007D1EF7">
        <w:rPr>
          <w:lang w:val="en-US"/>
        </w:rPr>
        <w:noBreakHyphen/>
        <w:t xml:space="preserve">frequency sharing. Figure 6 shows the key results in terms of </w:t>
      </w:r>
      <w:r w:rsidRPr="007D1EF7">
        <w:rPr>
          <w:i/>
          <w:iCs/>
          <w:lang w:val="en-US"/>
        </w:rPr>
        <w:t>I</w:t>
      </w:r>
      <w:r w:rsidRPr="007D1EF7">
        <w:rPr>
          <w:lang w:val="en-US"/>
        </w:rPr>
        <w:t>/</w:t>
      </w:r>
      <w:r w:rsidRPr="007D1EF7">
        <w:rPr>
          <w:i/>
          <w:iCs/>
          <w:lang w:val="en-US"/>
        </w:rPr>
        <w:t>N</w:t>
      </w:r>
      <w:r w:rsidRPr="007D1EF7">
        <w:rPr>
          <w:lang w:val="en-US"/>
        </w:rPr>
        <w:t xml:space="preserve"> with the reference asterisk being the in-band criterion of </w:t>
      </w:r>
      <w:r w:rsidRPr="007D1EF7">
        <w:rPr>
          <w:i/>
          <w:iCs/>
          <w:lang w:val="en-US"/>
        </w:rPr>
        <w:t>I</w:t>
      </w:r>
      <w:r w:rsidRPr="007D1EF7">
        <w:rPr>
          <w:lang w:val="en-US"/>
        </w:rPr>
        <w:t>/</w:t>
      </w:r>
      <w:r w:rsidRPr="007D1EF7">
        <w:rPr>
          <w:i/>
          <w:iCs/>
          <w:lang w:val="en-US"/>
        </w:rPr>
        <w:t xml:space="preserve">N </w:t>
      </w:r>
      <w:r w:rsidRPr="007D1EF7">
        <w:rPr>
          <w:lang w:val="en-US"/>
        </w:rPr>
        <w:t xml:space="preserve">= –10 dB for 0.1% of time, indicating a protection margin around 38 dB. It can also be seen in this figure that the margin with respect to the </w:t>
      </w:r>
      <w:r w:rsidR="003071EA" w:rsidRPr="007D1EF7">
        <w:rPr>
          <w:lang w:val="en-US"/>
        </w:rPr>
        <w:t>OoB</w:t>
      </w:r>
      <w:r w:rsidRPr="007D1EF7">
        <w:rPr>
          <w:lang w:val="en-US"/>
        </w:rPr>
        <w:t xml:space="preserve"> criterion of </w:t>
      </w:r>
      <w:r w:rsidR="00DC4C77">
        <w:fldChar w:fldCharType="begin"/>
      </w:r>
      <w:r w:rsidR="00720C6D" w:rsidRPr="007D1EF7">
        <w:rPr>
          <w:lang w:val="en-US"/>
        </w:rPr>
        <w:instrText xml:space="preserve"> EQ  </w:instrText>
      </w:r>
      <w:r w:rsidR="00720C6D" w:rsidRPr="007D1EF7">
        <w:rPr>
          <w:i/>
          <w:iCs/>
          <w:lang w:val="en-US"/>
        </w:rPr>
        <w:instrText>I</w:instrText>
      </w:r>
      <w:r w:rsidR="00720C6D" w:rsidRPr="007D1EF7">
        <w:rPr>
          <w:lang w:val="en-US"/>
        </w:rPr>
        <w:instrText>/</w:instrText>
      </w:r>
      <w:r w:rsidR="00720C6D" w:rsidRPr="007D1EF7">
        <w:rPr>
          <w:i/>
          <w:iCs/>
          <w:lang w:val="en-US"/>
        </w:rPr>
        <w:instrText>N</w:instrText>
      </w:r>
      <w:r w:rsidR="00720C6D" w:rsidRPr="007D1EF7">
        <w:rPr>
          <w:lang w:val="en-US"/>
        </w:rPr>
        <w:instrText xml:space="preserve"> = –16 dB </w:instrText>
      </w:r>
      <w:r w:rsidR="00DC4C77">
        <w:fldChar w:fldCharType="end"/>
      </w:r>
      <w:r w:rsidRPr="007D1EF7">
        <w:rPr>
          <w:lang w:val="en-US"/>
        </w:rPr>
        <w:t>for 0.01% of time is around 20 dB, to which signal attenuation due to spectral roll-off and filtering, of at least 35 dB, would be added if Recommendation ITU-R SM.1541 would be applied to a single carrier of 24 MHz operating at the upper edge of the band 22.55-23.15 GHz as assumed in several studies. If SFCG Recommendation 21-2 is applied, this attenuation would increase under the same conditions to 40 dB.</w:t>
      </w:r>
    </w:p>
    <w:p w:rsidR="00B4321F" w:rsidRPr="007D1EF7" w:rsidRDefault="00B4321F" w:rsidP="00B4321F">
      <w:pPr>
        <w:rPr>
          <w:lang w:val="en-US"/>
        </w:rPr>
      </w:pPr>
      <w:r w:rsidRPr="007D1EF7">
        <w:rPr>
          <w:lang w:val="en-US"/>
        </w:rPr>
        <w:t>This study also carried out a sensitivity analysis on the interference impact by varying operation angles of the earth stations, latitude of the SRS earth stations, earth station antenna size and the number of SRS earth stations.</w:t>
      </w:r>
    </w:p>
    <w:p w:rsidR="00B4321F" w:rsidRPr="007D1EF7" w:rsidRDefault="00B4321F" w:rsidP="00B4321F">
      <w:pPr>
        <w:rPr>
          <w:lang w:val="en-US"/>
        </w:rPr>
      </w:pPr>
      <w:r w:rsidRPr="007D1EF7">
        <w:rPr>
          <w:lang w:val="en-US"/>
        </w:rPr>
        <w:t>Regarding operational angles, the study considered a scenario where SRS earth stations would transmit to a spacecraft at the highest elevation angle in a 3 earth station global network consistent with practical operations which showed an increase in the protection margins up to 3 dB.</w:t>
      </w:r>
    </w:p>
    <w:p w:rsidR="00B4321F" w:rsidRPr="007D1EF7" w:rsidRDefault="00B4321F" w:rsidP="00B4321F">
      <w:pPr>
        <w:rPr>
          <w:lang w:val="en-US"/>
        </w:rPr>
      </w:pPr>
      <w:r w:rsidRPr="007D1EF7">
        <w:rPr>
          <w:lang w:val="en-US"/>
        </w:rPr>
        <w:t xml:space="preserve">The study on effect of latitude of the SRS earth station location on the statistical behaviour of the </w:t>
      </w:r>
      <w:r w:rsidRPr="007D1EF7">
        <w:rPr>
          <w:i/>
          <w:iCs/>
          <w:lang w:val="en-US"/>
        </w:rPr>
        <w:t>I</w:t>
      </w:r>
      <w:r w:rsidRPr="007D1EF7">
        <w:rPr>
          <w:lang w:val="en-US"/>
        </w:rPr>
        <w:t>/</w:t>
      </w:r>
      <w:r w:rsidRPr="007D1EF7">
        <w:rPr>
          <w:i/>
          <w:iCs/>
          <w:lang w:val="en-US"/>
        </w:rPr>
        <w:t>N</w:t>
      </w:r>
      <w:r w:rsidRPr="007D1EF7">
        <w:rPr>
          <w:lang w:val="en-US"/>
        </w:rPr>
        <w:t xml:space="preserve"> protection margin for the victim ISS link showed a 5 dB increase in the </w:t>
      </w:r>
      <w:r w:rsidRPr="007D1EF7">
        <w:rPr>
          <w:i/>
          <w:iCs/>
          <w:lang w:val="en-US"/>
        </w:rPr>
        <w:t>I</w:t>
      </w:r>
      <w:r w:rsidRPr="007D1EF7">
        <w:rPr>
          <w:lang w:val="en-US"/>
        </w:rPr>
        <w:t>/</w:t>
      </w:r>
      <w:r w:rsidRPr="007D1EF7">
        <w:rPr>
          <w:i/>
          <w:iCs/>
          <w:lang w:val="en-US"/>
        </w:rPr>
        <w:t>N</w:t>
      </w:r>
      <w:r w:rsidRPr="007D1EF7">
        <w:rPr>
          <w:lang w:val="en-US"/>
        </w:rPr>
        <w:t xml:space="preserve"> protection margin as the SRS earth station latitude was moved from around 35° to 0° and a 7 dB decrease in protection margin when the ES was moved from 35° to 70°. However, there are operational disadvantages to locating an ES transmitting to the moon or Lagrange points at high latitudes, so that this scenario is unlikely to occur. </w:t>
      </w:r>
    </w:p>
    <w:p w:rsidR="00AA2BE3" w:rsidRPr="007D1EF7" w:rsidRDefault="00AA2BE3" w:rsidP="00AA2BE3">
      <w:pPr>
        <w:pStyle w:val="FigureNo"/>
        <w:rPr>
          <w:lang w:val="en-US"/>
        </w:rPr>
      </w:pPr>
      <w:r w:rsidRPr="007D1EF7">
        <w:rPr>
          <w:lang w:val="en-US"/>
        </w:rPr>
        <w:lastRenderedPageBreak/>
        <w:t>Figure 6</w:t>
      </w:r>
    </w:p>
    <w:p w:rsidR="00AA2BE3" w:rsidRPr="007D1EF7" w:rsidRDefault="00AA2BE3" w:rsidP="00AA2BE3">
      <w:pPr>
        <w:pStyle w:val="Figuretitle"/>
        <w:rPr>
          <w:lang w:val="en-US"/>
        </w:rPr>
      </w:pPr>
      <w:r w:rsidRPr="007D1EF7">
        <w:rPr>
          <w:lang w:val="en-US"/>
        </w:rPr>
        <w:t>Results of interference assessment of Study 6</w:t>
      </w:r>
    </w:p>
    <w:p w:rsidR="00AA2BE3" w:rsidRPr="006C2078" w:rsidRDefault="00AA2BE3" w:rsidP="003071EA">
      <w:pPr>
        <w:pStyle w:val="Figure"/>
      </w:pPr>
      <w:r>
        <w:rPr>
          <w:noProof/>
          <w:lang w:val="en-US" w:eastAsia="zh-CN"/>
        </w:rPr>
        <w:drawing>
          <wp:inline distT="0" distB="0" distL="0" distR="0">
            <wp:extent cx="5995035" cy="4770755"/>
            <wp:effectExtent l="19050" t="0" r="571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995035" cy="4770755"/>
                    </a:xfrm>
                    <a:prstGeom prst="rect">
                      <a:avLst/>
                    </a:prstGeom>
                    <a:noFill/>
                    <a:ln w="9525">
                      <a:noFill/>
                      <a:miter lim="800000"/>
                      <a:headEnd/>
                      <a:tailEnd/>
                    </a:ln>
                  </pic:spPr>
                </pic:pic>
              </a:graphicData>
            </a:graphic>
          </wp:inline>
        </w:drawing>
      </w:r>
    </w:p>
    <w:p w:rsidR="00A47FF8" w:rsidRDefault="00A47FF8" w:rsidP="00AA2BE3"/>
    <w:p w:rsidR="00B4321F" w:rsidRDefault="00B4321F" w:rsidP="00AA2BE3"/>
    <w:p w:rsidR="00AA2BE3" w:rsidRPr="007D1EF7" w:rsidRDefault="00AA2BE3" w:rsidP="00AA2BE3">
      <w:pPr>
        <w:rPr>
          <w:lang w:val="en-US"/>
        </w:rPr>
      </w:pPr>
      <w:r w:rsidRPr="007D1EF7">
        <w:rPr>
          <w:lang w:val="en-US"/>
        </w:rPr>
        <w:t xml:space="preserve">The same study examined the effect of decreasing the SRS antenna size from 18 m to 10 m. This reduction in antenna size reduced the protection margin by 5.1 dB as the power is increased to compensate for the difference in antenna gain. </w:t>
      </w:r>
    </w:p>
    <w:p w:rsidR="00AA2BE3" w:rsidRPr="007D1EF7" w:rsidRDefault="00AA2BE3" w:rsidP="00A47FF8">
      <w:pPr>
        <w:keepLines/>
        <w:rPr>
          <w:lang w:val="en-US"/>
        </w:rPr>
      </w:pPr>
      <w:r w:rsidRPr="007D1EF7">
        <w:rPr>
          <w:lang w:val="en-US"/>
        </w:rPr>
        <w:t>A further hypothetical case was considered in which 15 SRS stations were modelled, located at 70° latitude and spread evenly in longitude, and operating co-frequency. Although such a case would not be possible for lunar missions, it indicated the sensitivity to increasing numbers of SRS stations operated on the same frequency channel. The result showed that the protection margin was reduced by approximately 7 dB.</w:t>
      </w:r>
    </w:p>
    <w:p w:rsidR="00AA2BE3" w:rsidRPr="007D1EF7" w:rsidRDefault="00AA2BE3" w:rsidP="00AA2BE3">
      <w:pPr>
        <w:rPr>
          <w:lang w:val="en-US"/>
        </w:rPr>
      </w:pPr>
      <w:r w:rsidRPr="007D1EF7">
        <w:rPr>
          <w:lang w:val="en-US"/>
        </w:rPr>
        <w:t xml:space="preserve">The study also examined the </w:t>
      </w:r>
      <w:r w:rsidR="009872B6" w:rsidRPr="007D1EF7">
        <w:rPr>
          <w:lang w:val="en-US"/>
        </w:rPr>
        <w:t>“</w:t>
      </w:r>
      <w:r w:rsidRPr="007D1EF7">
        <w:rPr>
          <w:lang w:val="en-US"/>
        </w:rPr>
        <w:t>Conditional</w:t>
      </w:r>
      <w:r w:rsidR="009872B6" w:rsidRPr="007D1EF7">
        <w:rPr>
          <w:lang w:val="en-US"/>
        </w:rPr>
        <w:t>”</w:t>
      </w:r>
      <w:r w:rsidRPr="007D1EF7">
        <w:rPr>
          <w:lang w:val="en-US"/>
        </w:rPr>
        <w:t xml:space="preserve"> </w:t>
      </w:r>
      <w:r w:rsidRPr="007D1EF7">
        <w:rPr>
          <w:i/>
          <w:iCs/>
          <w:lang w:val="en-US"/>
        </w:rPr>
        <w:t>I</w:t>
      </w:r>
      <w:r w:rsidRPr="007D1EF7">
        <w:rPr>
          <w:lang w:val="en-US"/>
        </w:rPr>
        <w:t>/</w:t>
      </w:r>
      <w:r w:rsidRPr="007D1EF7">
        <w:rPr>
          <w:i/>
          <w:iCs/>
          <w:lang w:val="en-US"/>
        </w:rPr>
        <w:t>N</w:t>
      </w:r>
      <w:r w:rsidRPr="007D1EF7">
        <w:rPr>
          <w:lang w:val="en-US"/>
        </w:rPr>
        <w:t xml:space="preserve"> cdf, which describes the </w:t>
      </w:r>
      <w:r w:rsidRPr="007D1EF7">
        <w:rPr>
          <w:i/>
          <w:iCs/>
          <w:lang w:val="en-US"/>
        </w:rPr>
        <w:t>I</w:t>
      </w:r>
      <w:r w:rsidRPr="007D1EF7">
        <w:rPr>
          <w:lang w:val="en-US"/>
        </w:rPr>
        <w:t>/</w:t>
      </w:r>
      <w:r w:rsidRPr="007D1EF7">
        <w:rPr>
          <w:i/>
          <w:iCs/>
          <w:lang w:val="en-US"/>
        </w:rPr>
        <w:t>N</w:t>
      </w:r>
      <w:r w:rsidRPr="007D1EF7">
        <w:rPr>
          <w:lang w:val="en-US"/>
        </w:rPr>
        <w:t xml:space="preserve"> distribution under the condition that the ISS link is receiving non-zero interference. Although there were no applicable protection criteria against which to measure the absolute impact, the results were found to be useful by describing the impact on the overall system. Results have indicated that there would be a difference of around 16 dB on the overall multi-link ISS system, compared to a single ISS link. </w:t>
      </w:r>
    </w:p>
    <w:p w:rsidR="00AA2BE3" w:rsidRPr="007D1EF7" w:rsidRDefault="00AA2BE3" w:rsidP="00AA2BE3">
      <w:pPr>
        <w:pStyle w:val="Heading2"/>
        <w:rPr>
          <w:lang w:val="en-US"/>
        </w:rPr>
      </w:pPr>
      <w:bookmarkStart w:id="20" w:name="_Toc277668583"/>
      <w:r w:rsidRPr="007D1EF7">
        <w:rPr>
          <w:lang w:val="en-US"/>
        </w:rPr>
        <w:lastRenderedPageBreak/>
        <w:t xml:space="preserve">4.7 </w:t>
      </w:r>
      <w:r w:rsidRPr="007D1EF7">
        <w:rPr>
          <w:lang w:val="en-US"/>
        </w:rPr>
        <w:tab/>
        <w:t>Summary for Study 7</w:t>
      </w:r>
      <w:bookmarkEnd w:id="20"/>
    </w:p>
    <w:p w:rsidR="00AA2BE3" w:rsidRPr="007D1EF7" w:rsidRDefault="00AA2BE3" w:rsidP="00B4321F">
      <w:pPr>
        <w:keepLines/>
        <w:rPr>
          <w:lang w:val="en-US"/>
        </w:rPr>
      </w:pPr>
      <w:r w:rsidRPr="007D1EF7">
        <w:rPr>
          <w:lang w:val="en-US"/>
        </w:rPr>
        <w:t xml:space="preserve">Study 7 used a NASA proprietary software tool and Visualyse 7 to verify the obtained results. A summary of this study is contained in Annex 7. Three SRS earth stations were assumed transmitting simultaneously down to elevation angles of 5º. The simulated duration was 365 days with 1s time steps. This study considered all potential 242 ISS links. Figure 7 shows the key results in terms of </w:t>
      </w:r>
      <w:r w:rsidRPr="007D1EF7">
        <w:rPr>
          <w:i/>
          <w:iCs/>
          <w:lang w:val="en-US"/>
        </w:rPr>
        <w:t>I</w:t>
      </w:r>
      <w:r w:rsidRPr="007D1EF7">
        <w:rPr>
          <w:vertAlign w:val="subscript"/>
          <w:lang w:val="en-US"/>
        </w:rPr>
        <w:t>0</w:t>
      </w:r>
      <w:r w:rsidRPr="007D1EF7">
        <w:rPr>
          <w:i/>
          <w:iCs/>
          <w:lang w:val="en-US"/>
        </w:rPr>
        <w:t>/N</w:t>
      </w:r>
      <w:r w:rsidRPr="007D1EF7">
        <w:rPr>
          <w:vertAlign w:val="subscript"/>
          <w:lang w:val="en-US"/>
        </w:rPr>
        <w:t>0</w:t>
      </w:r>
      <w:r w:rsidRPr="007D1EF7">
        <w:rPr>
          <w:lang w:val="en-US"/>
        </w:rPr>
        <w:t xml:space="preserve">. It can be seen that the in-band margin is around 38 dB. </w:t>
      </w:r>
    </w:p>
    <w:p w:rsidR="00A47FF8" w:rsidRPr="007D1EF7" w:rsidRDefault="00A47FF8" w:rsidP="00AA2BE3">
      <w:pPr>
        <w:rPr>
          <w:lang w:val="en-US"/>
        </w:rPr>
      </w:pPr>
    </w:p>
    <w:p w:rsidR="00B4321F" w:rsidRPr="007D1EF7" w:rsidRDefault="00B4321F" w:rsidP="00AA2BE3">
      <w:pPr>
        <w:rPr>
          <w:lang w:val="en-US"/>
        </w:rPr>
      </w:pPr>
    </w:p>
    <w:p w:rsidR="00AA2BE3" w:rsidRPr="007D1EF7" w:rsidRDefault="00AA2BE3" w:rsidP="00AA2BE3">
      <w:pPr>
        <w:pStyle w:val="FigureNo"/>
        <w:rPr>
          <w:lang w:val="en-US"/>
        </w:rPr>
      </w:pPr>
      <w:r w:rsidRPr="007D1EF7">
        <w:rPr>
          <w:lang w:val="en-US"/>
        </w:rPr>
        <w:t>Figure 7</w:t>
      </w:r>
    </w:p>
    <w:p w:rsidR="00AA2BE3" w:rsidRPr="007D1EF7" w:rsidRDefault="00AA2BE3" w:rsidP="00AA2BE3">
      <w:pPr>
        <w:pStyle w:val="Figuretitle"/>
        <w:rPr>
          <w:lang w:val="en-US"/>
        </w:rPr>
      </w:pPr>
      <w:r w:rsidRPr="007D1EF7">
        <w:rPr>
          <w:lang w:val="en-US"/>
        </w:rPr>
        <w:t>Results of in-band interference assessment of Study 7</w:t>
      </w:r>
    </w:p>
    <w:p w:rsidR="00AA2BE3" w:rsidRPr="006C2078" w:rsidRDefault="00AA2BE3" w:rsidP="009872B6">
      <w:pPr>
        <w:pStyle w:val="Figure"/>
      </w:pPr>
      <w:r>
        <w:rPr>
          <w:noProof/>
          <w:lang w:val="en-US" w:eastAsia="zh-CN"/>
        </w:rPr>
        <w:drawing>
          <wp:inline distT="0" distB="0" distL="0" distR="0">
            <wp:extent cx="5478145" cy="323596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478145" cy="3235960"/>
                    </a:xfrm>
                    <a:prstGeom prst="rect">
                      <a:avLst/>
                    </a:prstGeom>
                    <a:noFill/>
                    <a:ln w="9525">
                      <a:noFill/>
                      <a:miter lim="800000"/>
                      <a:headEnd/>
                      <a:tailEnd/>
                    </a:ln>
                  </pic:spPr>
                </pic:pic>
              </a:graphicData>
            </a:graphic>
          </wp:inline>
        </w:drawing>
      </w:r>
    </w:p>
    <w:p w:rsidR="00A47FF8" w:rsidRDefault="00A47FF8" w:rsidP="009872B6"/>
    <w:p w:rsidR="00AA2BE3" w:rsidRPr="007D1EF7" w:rsidRDefault="00AA2BE3" w:rsidP="00720C6D">
      <w:pPr>
        <w:keepNext/>
        <w:rPr>
          <w:lang w:val="en-US"/>
        </w:rPr>
      </w:pPr>
      <w:r w:rsidRPr="007D1EF7">
        <w:rPr>
          <w:lang w:val="en-US"/>
        </w:rPr>
        <w:lastRenderedPageBreak/>
        <w:t xml:space="preserve">Figure 8 shows the results for the </w:t>
      </w:r>
      <w:r w:rsidR="00720C6D" w:rsidRPr="007D1EF7">
        <w:rPr>
          <w:lang w:val="en-US"/>
        </w:rPr>
        <w:t>OoB</w:t>
      </w:r>
      <w:r w:rsidRPr="007D1EF7">
        <w:rPr>
          <w:lang w:val="en-US"/>
        </w:rPr>
        <w:t xml:space="preserve"> assessment. In this case the obtained margin is around 49 dB.</w:t>
      </w:r>
    </w:p>
    <w:p w:rsidR="00A47FF8" w:rsidRPr="007D1EF7" w:rsidRDefault="00A47FF8" w:rsidP="00A47FF8">
      <w:pPr>
        <w:keepNext/>
        <w:rPr>
          <w:lang w:val="en-US"/>
        </w:rPr>
      </w:pPr>
    </w:p>
    <w:p w:rsidR="00AA2BE3" w:rsidRPr="007D1EF7" w:rsidRDefault="00AA2BE3" w:rsidP="00AA2BE3">
      <w:pPr>
        <w:pStyle w:val="FigureNo"/>
        <w:rPr>
          <w:lang w:val="en-US"/>
        </w:rPr>
      </w:pPr>
      <w:r w:rsidRPr="007D1EF7">
        <w:rPr>
          <w:lang w:val="en-US"/>
        </w:rPr>
        <w:t>Figure 8</w:t>
      </w:r>
    </w:p>
    <w:p w:rsidR="00AA2BE3" w:rsidRPr="007D1EF7" w:rsidRDefault="00AA2BE3" w:rsidP="00AA2BE3">
      <w:pPr>
        <w:pStyle w:val="Figuretitle"/>
        <w:rPr>
          <w:lang w:val="en-US"/>
        </w:rPr>
      </w:pPr>
      <w:r w:rsidRPr="007D1EF7">
        <w:rPr>
          <w:lang w:val="en-US"/>
        </w:rPr>
        <w:t>Results of out-of-band interference assessment of Study 7</w:t>
      </w:r>
    </w:p>
    <w:p w:rsidR="00AA2BE3" w:rsidRPr="006C2078" w:rsidRDefault="00AA2BE3" w:rsidP="009872B6">
      <w:pPr>
        <w:pStyle w:val="Figure"/>
      </w:pPr>
      <w:r>
        <w:rPr>
          <w:noProof/>
          <w:lang w:val="en-US" w:eastAsia="zh-CN"/>
        </w:rPr>
        <w:drawing>
          <wp:inline distT="0" distB="0" distL="0" distR="0">
            <wp:extent cx="5446395" cy="3601720"/>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446395" cy="3601720"/>
                    </a:xfrm>
                    <a:prstGeom prst="rect">
                      <a:avLst/>
                    </a:prstGeom>
                    <a:noFill/>
                    <a:ln w="9525">
                      <a:noFill/>
                      <a:miter lim="800000"/>
                      <a:headEnd/>
                      <a:tailEnd/>
                    </a:ln>
                  </pic:spPr>
                </pic:pic>
              </a:graphicData>
            </a:graphic>
          </wp:inline>
        </w:drawing>
      </w:r>
    </w:p>
    <w:p w:rsidR="00A47FF8" w:rsidRDefault="00A47FF8" w:rsidP="00A47FF8"/>
    <w:p w:rsidR="00AA2BE3" w:rsidRPr="007D1EF7" w:rsidRDefault="00AA2BE3" w:rsidP="00AA2BE3">
      <w:pPr>
        <w:pStyle w:val="Heading1"/>
        <w:rPr>
          <w:lang w:val="en-US"/>
        </w:rPr>
      </w:pPr>
      <w:bookmarkStart w:id="21" w:name="_Toc277668584"/>
      <w:r w:rsidRPr="007D1EF7">
        <w:rPr>
          <w:lang w:val="en-US"/>
        </w:rPr>
        <w:t>5</w:t>
      </w:r>
      <w:r w:rsidRPr="007D1EF7">
        <w:rPr>
          <w:lang w:val="en-US"/>
        </w:rPr>
        <w:tab/>
        <w:t>Comparison of study results</w:t>
      </w:r>
      <w:bookmarkEnd w:id="21"/>
    </w:p>
    <w:p w:rsidR="00AA2BE3" w:rsidRPr="007D1EF7" w:rsidRDefault="00AA2BE3" w:rsidP="00AA2BE3">
      <w:pPr>
        <w:rPr>
          <w:lang w:val="en-US"/>
        </w:rPr>
      </w:pPr>
      <w:r w:rsidRPr="007D1EF7">
        <w:rPr>
          <w:lang w:val="en-US"/>
        </w:rPr>
        <w:t xml:space="preserve">Based on equal assumptions, all seven contributions resulted in obtaining very consistent margins differing by only around ±1 dB. Figure 9 shows an overview of the obtained results for the agreed in-band protection criterion of </w:t>
      </w:r>
      <w:r w:rsidRPr="007D1EF7">
        <w:rPr>
          <w:i/>
          <w:iCs/>
          <w:lang w:val="en-US"/>
        </w:rPr>
        <w:t>I</w:t>
      </w:r>
      <w:r w:rsidRPr="007D1EF7">
        <w:rPr>
          <w:vertAlign w:val="subscript"/>
          <w:lang w:val="en-US"/>
        </w:rPr>
        <w:t>0</w:t>
      </w:r>
      <w:r w:rsidRPr="007D1EF7">
        <w:rPr>
          <w:i/>
          <w:iCs/>
          <w:lang w:val="en-US"/>
        </w:rPr>
        <w:t>/N</w:t>
      </w:r>
      <w:r w:rsidRPr="007D1EF7">
        <w:rPr>
          <w:vertAlign w:val="subscript"/>
          <w:lang w:val="en-US"/>
        </w:rPr>
        <w:t>0</w:t>
      </w:r>
      <w:r w:rsidRPr="007D1EF7">
        <w:rPr>
          <w:lang w:val="en-US"/>
        </w:rPr>
        <w:t> = –10 dB not to be exceed for more than 0.1% of time.</w:t>
      </w:r>
    </w:p>
    <w:p w:rsidR="00B4321F" w:rsidRPr="007D1EF7" w:rsidRDefault="00B4321F" w:rsidP="00B4321F">
      <w:pPr>
        <w:rPr>
          <w:szCs w:val="24"/>
          <w:lang w:val="en-US"/>
        </w:rPr>
      </w:pPr>
      <w:r w:rsidRPr="007D1EF7">
        <w:rPr>
          <w:szCs w:val="24"/>
          <w:lang w:val="en-US"/>
        </w:rPr>
        <w:t>Figure 9 shows the results of the 7 compatibility studies. Since most of the studies have been referred to the cumulative interference effects into a single ISS-link of 3 SRS ES transmitting to the Moon, all the results have been normalized to these conditions where required.</w:t>
      </w:r>
    </w:p>
    <w:p w:rsidR="00B4321F" w:rsidRPr="007D1EF7" w:rsidRDefault="00B4321F" w:rsidP="00B4321F">
      <w:pPr>
        <w:rPr>
          <w:szCs w:val="24"/>
          <w:lang w:val="en-US"/>
        </w:rPr>
      </w:pPr>
      <w:r w:rsidRPr="007D1EF7">
        <w:rPr>
          <w:szCs w:val="24"/>
          <w:lang w:val="en-US"/>
        </w:rPr>
        <w:t xml:space="preserve">The dot at –10 dB and 0.1% identifies the required in-band protection criteria for the ISS link. The curves have been obtained from Figs 2 through 7 of the corresponding studies. </w:t>
      </w:r>
    </w:p>
    <w:p w:rsidR="00AA2BE3" w:rsidRPr="007D1EF7" w:rsidRDefault="00AA2BE3" w:rsidP="00AA2BE3">
      <w:pPr>
        <w:pStyle w:val="FigureNo"/>
        <w:rPr>
          <w:lang w:val="en-US"/>
        </w:rPr>
      </w:pPr>
      <w:r w:rsidRPr="007D1EF7">
        <w:rPr>
          <w:lang w:val="en-US"/>
        </w:rPr>
        <w:lastRenderedPageBreak/>
        <w:t>Figure 9</w:t>
      </w:r>
    </w:p>
    <w:p w:rsidR="00AA2BE3" w:rsidRPr="007D1EF7" w:rsidRDefault="00AA2BE3" w:rsidP="00AA2BE3">
      <w:pPr>
        <w:pStyle w:val="Figuretitle"/>
        <w:rPr>
          <w:lang w:val="en-US"/>
        </w:rPr>
      </w:pPr>
      <w:r w:rsidRPr="007D1EF7">
        <w:rPr>
          <w:lang w:val="en-US"/>
        </w:rPr>
        <w:t>Comparison of summary of results for in-band margins</w:t>
      </w:r>
    </w:p>
    <w:p w:rsidR="00720C6D" w:rsidRPr="007D1EF7" w:rsidRDefault="007D1EF7" w:rsidP="007D1EF7">
      <w:pPr>
        <w:pStyle w:val="Figure"/>
        <w:rPr>
          <w:b/>
        </w:rPr>
      </w:pPr>
      <w:r>
        <w:rPr>
          <w:caps w:val="0"/>
          <w:noProof/>
          <w:lang w:val="en-US" w:eastAsia="zh-CN"/>
        </w:rPr>
        <w:drawing>
          <wp:inline distT="0" distB="0" distL="0" distR="0">
            <wp:extent cx="5362575" cy="4514850"/>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cstate="print"/>
                    <a:srcRect/>
                    <a:stretch>
                      <a:fillRect/>
                    </a:stretch>
                  </pic:blipFill>
                  <pic:spPr bwMode="auto">
                    <a:xfrm>
                      <a:off x="0" y="0"/>
                      <a:ext cx="5362575" cy="4514850"/>
                    </a:xfrm>
                    <a:prstGeom prst="rect">
                      <a:avLst/>
                    </a:prstGeom>
                    <a:noFill/>
                    <a:ln w="9525">
                      <a:noFill/>
                      <a:miter lim="800000"/>
                      <a:headEnd/>
                      <a:tailEnd/>
                    </a:ln>
                  </pic:spPr>
                </pic:pic>
              </a:graphicData>
            </a:graphic>
          </wp:inline>
        </w:drawing>
      </w:r>
    </w:p>
    <w:p w:rsidR="00AA2BE3" w:rsidRPr="007D1EF7" w:rsidRDefault="00AA2BE3" w:rsidP="009872B6">
      <w:pPr>
        <w:pStyle w:val="AnnexNoTitle"/>
        <w:rPr>
          <w:lang w:val="en-US"/>
        </w:rPr>
      </w:pPr>
      <w:bookmarkStart w:id="22" w:name="_Toc277668585"/>
      <w:r w:rsidRPr="007D1EF7">
        <w:rPr>
          <w:lang w:val="en-US"/>
        </w:rPr>
        <w:t>Annex 1</w:t>
      </w:r>
      <w:r w:rsidR="009872B6" w:rsidRPr="007D1EF7">
        <w:rPr>
          <w:lang w:val="en-US"/>
        </w:rPr>
        <w:br/>
      </w:r>
      <w:r w:rsidR="009872B6" w:rsidRPr="007D1EF7">
        <w:rPr>
          <w:lang w:val="en-US"/>
        </w:rPr>
        <w:br/>
      </w:r>
      <w:r w:rsidRPr="007D1EF7">
        <w:rPr>
          <w:lang w:val="en-US"/>
        </w:rPr>
        <w:t>Summary of Study 1</w:t>
      </w:r>
      <w:bookmarkEnd w:id="22"/>
    </w:p>
    <w:p w:rsidR="00AA2BE3" w:rsidRPr="007D1EF7" w:rsidRDefault="00AA2BE3" w:rsidP="00AA2BE3">
      <w:pPr>
        <w:pStyle w:val="Heading1"/>
        <w:rPr>
          <w:lang w:val="en-US"/>
        </w:rPr>
      </w:pPr>
      <w:bookmarkStart w:id="23" w:name="_Toc277668586"/>
      <w:r w:rsidRPr="007D1EF7">
        <w:rPr>
          <w:lang w:val="en-US"/>
        </w:rPr>
        <w:t>1</w:t>
      </w:r>
      <w:r w:rsidRPr="007D1EF7">
        <w:rPr>
          <w:lang w:val="en-US"/>
        </w:rPr>
        <w:tab/>
        <w:t>System descriptions</w:t>
      </w:r>
      <w:bookmarkEnd w:id="23"/>
    </w:p>
    <w:p w:rsidR="00AA2BE3" w:rsidRPr="007D1EF7" w:rsidRDefault="00AA2BE3" w:rsidP="00AA2BE3">
      <w:pPr>
        <w:rPr>
          <w:lang w:val="en-US"/>
        </w:rPr>
      </w:pPr>
      <w:r w:rsidRPr="007D1EF7">
        <w:rPr>
          <w:lang w:val="en-US"/>
        </w:rPr>
        <w:t xml:space="preserve">The characteristics of the systems under consideration in this interference assessment, including their operational and technical parameters are as follows. </w:t>
      </w:r>
    </w:p>
    <w:p w:rsidR="00AA2BE3" w:rsidRPr="007D1EF7" w:rsidRDefault="00AA2BE3" w:rsidP="00AA2BE3">
      <w:pPr>
        <w:pStyle w:val="Heading2"/>
        <w:rPr>
          <w:lang w:val="en-US"/>
        </w:rPr>
      </w:pPr>
      <w:bookmarkStart w:id="24" w:name="_Toc277668587"/>
      <w:r w:rsidRPr="007D1EF7">
        <w:rPr>
          <w:lang w:val="en-US"/>
        </w:rPr>
        <w:t>1.1</w:t>
      </w:r>
      <w:r w:rsidRPr="007D1EF7">
        <w:rPr>
          <w:lang w:val="en-US"/>
        </w:rPr>
        <w:tab/>
        <w:t>SRS (Earth-to-space) system characteristics</w:t>
      </w:r>
      <w:bookmarkEnd w:id="24"/>
    </w:p>
    <w:p w:rsidR="00AA2BE3" w:rsidRPr="007D1EF7" w:rsidRDefault="00AA2BE3" w:rsidP="00AA2BE3">
      <w:pPr>
        <w:rPr>
          <w:color w:val="000000"/>
          <w:lang w:val="en-US"/>
        </w:rPr>
      </w:pPr>
      <w:r w:rsidRPr="007D1EF7">
        <w:rPr>
          <w:lang w:val="en-US"/>
        </w:rPr>
        <w:t xml:space="preserve">The characteristics of earth stations supporting SRS lunar exploration-type services are given in Table A1-1 which shows that a small number of earth stations deployed in different parts of the world could be considered as being part of a global network supporting a lunar mission. Equally, they may represent three different lunar missions conducted simultaneously by three different administrations. A large antenna with a very high antenna gain is assumed, characteristics necessary given that a reliable link is assumed to be maintained over a distance of nearly 400 000 km. It is also noted that a conservative (meaning with the potential to overestimate interference) antenna pattern is used for the SRS (E-s) earth stations. In reality, suppression of off-axis emissions of such large antennas may be well in excess of that specified in </w:t>
      </w:r>
      <w:r w:rsidRPr="007D1EF7">
        <w:rPr>
          <w:color w:val="000000"/>
          <w:lang w:val="en-US"/>
        </w:rPr>
        <w:t>Recommendation ITU R F.1245.</w:t>
      </w:r>
    </w:p>
    <w:p w:rsidR="00AA2BE3" w:rsidRPr="007D1EF7" w:rsidRDefault="009872B6" w:rsidP="00AA2BE3">
      <w:pPr>
        <w:pStyle w:val="TableNo"/>
        <w:rPr>
          <w:lang w:val="en-US"/>
        </w:rPr>
      </w:pPr>
      <w:r w:rsidRPr="007D1EF7">
        <w:rPr>
          <w:lang w:val="en-US"/>
        </w:rPr>
        <w:lastRenderedPageBreak/>
        <w:t>TABLE</w:t>
      </w:r>
      <w:r w:rsidR="00AA2BE3" w:rsidRPr="007D1EF7">
        <w:rPr>
          <w:lang w:val="en-US"/>
        </w:rPr>
        <w:t xml:space="preserve"> A1-1</w:t>
      </w:r>
    </w:p>
    <w:p w:rsidR="00AA2BE3" w:rsidRPr="007D1EF7" w:rsidRDefault="00AA2BE3" w:rsidP="00AA2BE3">
      <w:pPr>
        <w:pStyle w:val="Tabletitle"/>
        <w:rPr>
          <w:lang w:val="en-US"/>
        </w:rPr>
      </w:pPr>
      <w:r w:rsidRPr="007D1EF7">
        <w:rPr>
          <w:lang w:val="en-US"/>
        </w:rPr>
        <w:t>Characteristics of SRS earth stations under consideration in this report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8"/>
        <w:gridCol w:w="1701"/>
        <w:gridCol w:w="1702"/>
        <w:gridCol w:w="3119"/>
      </w:tblGrid>
      <w:tr w:rsidR="009872B6" w:rsidRPr="006C2078" w:rsidTr="00BF3C71">
        <w:trPr>
          <w:trHeight w:val="165"/>
          <w:jc w:val="center"/>
        </w:trPr>
        <w:tc>
          <w:tcPr>
            <w:tcW w:w="6520" w:type="dxa"/>
            <w:gridSpan w:val="3"/>
            <w:vAlign w:val="center"/>
          </w:tcPr>
          <w:p w:rsidR="009872B6" w:rsidRPr="006C2078" w:rsidRDefault="009872B6" w:rsidP="009872B6">
            <w:pPr>
              <w:pStyle w:val="Tablehead"/>
            </w:pPr>
            <w:r w:rsidRPr="006C2078">
              <w:t>Parameter</w:t>
            </w:r>
          </w:p>
        </w:tc>
        <w:tc>
          <w:tcPr>
            <w:tcW w:w="3118" w:type="dxa"/>
          </w:tcPr>
          <w:p w:rsidR="009872B6" w:rsidRPr="006C2078" w:rsidRDefault="009872B6" w:rsidP="009872B6">
            <w:pPr>
              <w:pStyle w:val="Tablehead"/>
            </w:pPr>
            <w:r>
              <w:t>Value</w:t>
            </w:r>
          </w:p>
        </w:tc>
      </w:tr>
      <w:tr w:rsidR="009872B6" w:rsidRPr="006C2078" w:rsidTr="009872B6">
        <w:trPr>
          <w:trHeight w:val="165"/>
          <w:jc w:val="center"/>
        </w:trPr>
        <w:tc>
          <w:tcPr>
            <w:tcW w:w="3118" w:type="dxa"/>
            <w:vMerge w:val="restart"/>
            <w:vAlign w:val="center"/>
          </w:tcPr>
          <w:p w:rsidR="009872B6" w:rsidRPr="006C2078" w:rsidRDefault="009872B6" w:rsidP="009872B6">
            <w:pPr>
              <w:pStyle w:val="Tabletext"/>
              <w:jc w:val="center"/>
            </w:pPr>
            <w:r w:rsidRPr="006C2078">
              <w:t>SRS earth station locations</w:t>
            </w:r>
          </w:p>
        </w:tc>
        <w:tc>
          <w:tcPr>
            <w:tcW w:w="1701" w:type="dxa"/>
            <w:vMerge w:val="restart"/>
            <w:vAlign w:val="center"/>
          </w:tcPr>
          <w:p w:rsidR="009872B6" w:rsidRPr="006C2078" w:rsidRDefault="009872B6" w:rsidP="009872B6">
            <w:pPr>
              <w:pStyle w:val="Tabletext"/>
              <w:jc w:val="center"/>
            </w:pPr>
            <w:r w:rsidRPr="006C2078">
              <w:t>Canberra</w:t>
            </w:r>
          </w:p>
        </w:tc>
        <w:tc>
          <w:tcPr>
            <w:tcW w:w="1701" w:type="dxa"/>
          </w:tcPr>
          <w:p w:rsidR="009872B6" w:rsidRPr="006C2078" w:rsidRDefault="009872B6" w:rsidP="009872B6">
            <w:pPr>
              <w:pStyle w:val="Tabletext"/>
              <w:jc w:val="center"/>
            </w:pPr>
            <w:r w:rsidRPr="006C2078">
              <w:t>Latitude</w:t>
            </w:r>
          </w:p>
        </w:tc>
        <w:tc>
          <w:tcPr>
            <w:tcW w:w="3118" w:type="dxa"/>
          </w:tcPr>
          <w:p w:rsidR="009872B6" w:rsidRPr="006C2078" w:rsidRDefault="009872B6" w:rsidP="009872B6">
            <w:pPr>
              <w:pStyle w:val="Tabletext"/>
              <w:jc w:val="center"/>
            </w:pPr>
            <w:r w:rsidRPr="006C2078">
              <w:t>–35.4041</w:t>
            </w:r>
            <w:r>
              <w:t>°</w:t>
            </w:r>
          </w:p>
        </w:tc>
      </w:tr>
      <w:tr w:rsidR="009872B6" w:rsidRPr="006C2078" w:rsidTr="009872B6">
        <w:trPr>
          <w:trHeight w:val="165"/>
          <w:jc w:val="center"/>
        </w:trPr>
        <w:tc>
          <w:tcPr>
            <w:tcW w:w="3118" w:type="dxa"/>
            <w:vMerge/>
          </w:tcPr>
          <w:p w:rsidR="009872B6" w:rsidRPr="006C2078" w:rsidRDefault="009872B6" w:rsidP="009872B6">
            <w:pPr>
              <w:jc w:val="center"/>
            </w:pPr>
          </w:p>
        </w:tc>
        <w:tc>
          <w:tcPr>
            <w:tcW w:w="1701" w:type="dxa"/>
            <w:vMerge/>
            <w:vAlign w:val="center"/>
          </w:tcPr>
          <w:p w:rsidR="009872B6" w:rsidRPr="006C2078" w:rsidRDefault="009872B6" w:rsidP="009872B6">
            <w:pPr>
              <w:jc w:val="center"/>
            </w:pPr>
          </w:p>
        </w:tc>
        <w:tc>
          <w:tcPr>
            <w:tcW w:w="1701" w:type="dxa"/>
          </w:tcPr>
          <w:p w:rsidR="009872B6" w:rsidRPr="006C2078" w:rsidRDefault="009872B6" w:rsidP="009872B6">
            <w:pPr>
              <w:pStyle w:val="Tabletext"/>
              <w:jc w:val="center"/>
            </w:pPr>
            <w:r w:rsidRPr="006C2078">
              <w:t>Longitude</w:t>
            </w:r>
          </w:p>
        </w:tc>
        <w:tc>
          <w:tcPr>
            <w:tcW w:w="3118" w:type="dxa"/>
          </w:tcPr>
          <w:p w:rsidR="009872B6" w:rsidRPr="006C2078" w:rsidRDefault="009872B6" w:rsidP="009872B6">
            <w:pPr>
              <w:pStyle w:val="Tabletext"/>
              <w:jc w:val="center"/>
            </w:pPr>
            <w:r w:rsidRPr="006C2078">
              <w:t>148.9802</w:t>
            </w:r>
            <w:r>
              <w:t>°</w:t>
            </w:r>
          </w:p>
        </w:tc>
      </w:tr>
      <w:tr w:rsidR="009872B6" w:rsidRPr="006C2078" w:rsidTr="009872B6">
        <w:trPr>
          <w:trHeight w:val="165"/>
          <w:jc w:val="center"/>
        </w:trPr>
        <w:tc>
          <w:tcPr>
            <w:tcW w:w="3118" w:type="dxa"/>
            <w:vMerge/>
          </w:tcPr>
          <w:p w:rsidR="009872B6" w:rsidRPr="006C2078" w:rsidRDefault="009872B6" w:rsidP="009872B6">
            <w:pPr>
              <w:jc w:val="center"/>
            </w:pPr>
          </w:p>
        </w:tc>
        <w:tc>
          <w:tcPr>
            <w:tcW w:w="1701" w:type="dxa"/>
            <w:vMerge w:val="restart"/>
            <w:vAlign w:val="center"/>
          </w:tcPr>
          <w:p w:rsidR="009872B6" w:rsidRPr="006C2078" w:rsidRDefault="009872B6" w:rsidP="009872B6">
            <w:pPr>
              <w:pStyle w:val="Tabletext"/>
              <w:jc w:val="center"/>
            </w:pPr>
            <w:r w:rsidRPr="006C2078">
              <w:t>Madrid, Spain</w:t>
            </w:r>
          </w:p>
        </w:tc>
        <w:tc>
          <w:tcPr>
            <w:tcW w:w="1701" w:type="dxa"/>
          </w:tcPr>
          <w:p w:rsidR="009872B6" w:rsidRPr="006C2078" w:rsidRDefault="009872B6" w:rsidP="009872B6">
            <w:pPr>
              <w:pStyle w:val="Tabletext"/>
              <w:jc w:val="center"/>
            </w:pPr>
            <w:r w:rsidRPr="006C2078">
              <w:t>Latitude</w:t>
            </w:r>
          </w:p>
        </w:tc>
        <w:tc>
          <w:tcPr>
            <w:tcW w:w="3118" w:type="dxa"/>
          </w:tcPr>
          <w:p w:rsidR="009872B6" w:rsidRPr="006C2078" w:rsidRDefault="009872B6" w:rsidP="009872B6">
            <w:pPr>
              <w:pStyle w:val="Tabletext"/>
              <w:jc w:val="center"/>
            </w:pPr>
            <w:r w:rsidRPr="006C2078">
              <w:t>~40.5</w:t>
            </w:r>
            <w:r>
              <w:t>°</w:t>
            </w:r>
          </w:p>
        </w:tc>
      </w:tr>
      <w:tr w:rsidR="009872B6" w:rsidRPr="006C2078" w:rsidTr="009872B6">
        <w:trPr>
          <w:trHeight w:val="165"/>
          <w:jc w:val="center"/>
        </w:trPr>
        <w:tc>
          <w:tcPr>
            <w:tcW w:w="3118" w:type="dxa"/>
            <w:vMerge/>
          </w:tcPr>
          <w:p w:rsidR="009872B6" w:rsidRPr="006C2078" w:rsidRDefault="009872B6" w:rsidP="009872B6">
            <w:pPr>
              <w:jc w:val="center"/>
            </w:pPr>
          </w:p>
        </w:tc>
        <w:tc>
          <w:tcPr>
            <w:tcW w:w="1701" w:type="dxa"/>
            <w:vMerge/>
            <w:vAlign w:val="center"/>
          </w:tcPr>
          <w:p w:rsidR="009872B6" w:rsidRPr="006C2078" w:rsidRDefault="009872B6" w:rsidP="009872B6">
            <w:pPr>
              <w:jc w:val="center"/>
            </w:pPr>
          </w:p>
        </w:tc>
        <w:tc>
          <w:tcPr>
            <w:tcW w:w="1701" w:type="dxa"/>
          </w:tcPr>
          <w:p w:rsidR="009872B6" w:rsidRPr="006C2078" w:rsidRDefault="009872B6" w:rsidP="009872B6">
            <w:pPr>
              <w:pStyle w:val="Tabletext"/>
              <w:jc w:val="center"/>
            </w:pPr>
            <w:r w:rsidRPr="006C2078">
              <w:t>Longitude</w:t>
            </w:r>
          </w:p>
        </w:tc>
        <w:tc>
          <w:tcPr>
            <w:tcW w:w="3118" w:type="dxa"/>
          </w:tcPr>
          <w:p w:rsidR="009872B6" w:rsidRPr="006C2078" w:rsidRDefault="009872B6" w:rsidP="00720C6D">
            <w:pPr>
              <w:pStyle w:val="Tabletext"/>
              <w:jc w:val="center"/>
            </w:pPr>
            <w:r w:rsidRPr="006C2078">
              <w:t>~</w:t>
            </w:r>
            <w:r w:rsidR="00720C6D">
              <w:t>–</w:t>
            </w:r>
            <w:r w:rsidRPr="006C2078">
              <w:t>3.75</w:t>
            </w:r>
            <w:r>
              <w:t>°</w:t>
            </w:r>
          </w:p>
        </w:tc>
      </w:tr>
      <w:tr w:rsidR="009872B6" w:rsidRPr="006C2078" w:rsidTr="009872B6">
        <w:trPr>
          <w:trHeight w:val="165"/>
          <w:jc w:val="center"/>
        </w:trPr>
        <w:tc>
          <w:tcPr>
            <w:tcW w:w="3118" w:type="dxa"/>
            <w:vMerge/>
          </w:tcPr>
          <w:p w:rsidR="009872B6" w:rsidRPr="006C2078" w:rsidRDefault="009872B6" w:rsidP="009872B6">
            <w:pPr>
              <w:jc w:val="center"/>
            </w:pPr>
          </w:p>
        </w:tc>
        <w:tc>
          <w:tcPr>
            <w:tcW w:w="1701" w:type="dxa"/>
            <w:vMerge w:val="restart"/>
            <w:vAlign w:val="center"/>
          </w:tcPr>
          <w:p w:rsidR="009872B6" w:rsidRPr="006C2078" w:rsidRDefault="009872B6" w:rsidP="009872B6">
            <w:pPr>
              <w:pStyle w:val="Tabletext"/>
              <w:jc w:val="center"/>
            </w:pPr>
            <w:r w:rsidRPr="006C2078">
              <w:t>California, USA</w:t>
            </w:r>
          </w:p>
        </w:tc>
        <w:tc>
          <w:tcPr>
            <w:tcW w:w="1701" w:type="dxa"/>
          </w:tcPr>
          <w:p w:rsidR="009872B6" w:rsidRPr="006C2078" w:rsidRDefault="009872B6" w:rsidP="009872B6">
            <w:pPr>
              <w:pStyle w:val="Tabletext"/>
              <w:jc w:val="center"/>
            </w:pPr>
            <w:r w:rsidRPr="006C2078">
              <w:t>Latitude</w:t>
            </w:r>
          </w:p>
        </w:tc>
        <w:tc>
          <w:tcPr>
            <w:tcW w:w="3118" w:type="dxa"/>
          </w:tcPr>
          <w:p w:rsidR="009872B6" w:rsidRPr="006C2078" w:rsidRDefault="009872B6" w:rsidP="009872B6">
            <w:pPr>
              <w:pStyle w:val="Tabletext"/>
              <w:jc w:val="center"/>
            </w:pPr>
            <w:r w:rsidRPr="006C2078">
              <w:t>~35.4</w:t>
            </w:r>
            <w:r>
              <w:t>°</w:t>
            </w:r>
          </w:p>
        </w:tc>
      </w:tr>
      <w:tr w:rsidR="009872B6" w:rsidRPr="006C2078" w:rsidTr="009872B6">
        <w:trPr>
          <w:trHeight w:val="165"/>
          <w:jc w:val="center"/>
        </w:trPr>
        <w:tc>
          <w:tcPr>
            <w:tcW w:w="3118" w:type="dxa"/>
            <w:vMerge/>
          </w:tcPr>
          <w:p w:rsidR="009872B6" w:rsidRPr="006C2078" w:rsidRDefault="009872B6" w:rsidP="009872B6">
            <w:pPr>
              <w:jc w:val="center"/>
            </w:pPr>
          </w:p>
        </w:tc>
        <w:tc>
          <w:tcPr>
            <w:tcW w:w="1701" w:type="dxa"/>
            <w:vMerge/>
          </w:tcPr>
          <w:p w:rsidR="009872B6" w:rsidRPr="006C2078" w:rsidRDefault="009872B6" w:rsidP="009872B6">
            <w:pPr>
              <w:jc w:val="center"/>
            </w:pPr>
          </w:p>
        </w:tc>
        <w:tc>
          <w:tcPr>
            <w:tcW w:w="1701" w:type="dxa"/>
          </w:tcPr>
          <w:p w:rsidR="009872B6" w:rsidRPr="006C2078" w:rsidRDefault="009872B6" w:rsidP="009872B6">
            <w:pPr>
              <w:pStyle w:val="Tabletext"/>
              <w:jc w:val="center"/>
            </w:pPr>
            <w:r w:rsidRPr="006C2078">
              <w:t>Longitude</w:t>
            </w:r>
          </w:p>
        </w:tc>
        <w:tc>
          <w:tcPr>
            <w:tcW w:w="3118" w:type="dxa"/>
          </w:tcPr>
          <w:p w:rsidR="009872B6" w:rsidRPr="006C2078" w:rsidRDefault="009872B6" w:rsidP="009872B6">
            <w:pPr>
              <w:pStyle w:val="Tabletext"/>
              <w:jc w:val="center"/>
            </w:pPr>
            <w:r w:rsidRPr="006C2078">
              <w:t>~</w:t>
            </w:r>
            <w:r w:rsidR="00720C6D">
              <w:t>–</w:t>
            </w:r>
            <w:r w:rsidRPr="006C2078">
              <w:t>116.9</w:t>
            </w:r>
            <w:r>
              <w:t>°</w:t>
            </w:r>
          </w:p>
        </w:tc>
      </w:tr>
      <w:tr w:rsidR="009872B6" w:rsidRPr="006C2078" w:rsidTr="009872B6">
        <w:trPr>
          <w:jc w:val="center"/>
        </w:trPr>
        <w:tc>
          <w:tcPr>
            <w:tcW w:w="6520" w:type="dxa"/>
            <w:gridSpan w:val="3"/>
          </w:tcPr>
          <w:p w:rsidR="009872B6" w:rsidRPr="006C2078" w:rsidRDefault="009872B6" w:rsidP="009872B6">
            <w:pPr>
              <w:pStyle w:val="Tabletext"/>
              <w:jc w:val="left"/>
            </w:pPr>
            <w:r w:rsidRPr="006C2078">
              <w:t>Transmitting antenna diameter</w:t>
            </w:r>
            <w:r>
              <w:t xml:space="preserve"> (m)</w:t>
            </w:r>
          </w:p>
        </w:tc>
        <w:tc>
          <w:tcPr>
            <w:tcW w:w="3118" w:type="dxa"/>
          </w:tcPr>
          <w:p w:rsidR="009872B6" w:rsidRPr="006C2078" w:rsidRDefault="009872B6" w:rsidP="009872B6">
            <w:pPr>
              <w:pStyle w:val="Tabletext"/>
              <w:jc w:val="center"/>
            </w:pPr>
            <w:r w:rsidRPr="006C2078">
              <w:t>18</w:t>
            </w:r>
          </w:p>
        </w:tc>
      </w:tr>
      <w:tr w:rsidR="009872B6" w:rsidRPr="006C2078" w:rsidTr="009872B6">
        <w:trPr>
          <w:jc w:val="center"/>
        </w:trPr>
        <w:tc>
          <w:tcPr>
            <w:tcW w:w="6520" w:type="dxa"/>
            <w:gridSpan w:val="3"/>
          </w:tcPr>
          <w:p w:rsidR="009872B6" w:rsidRPr="006C2078" w:rsidRDefault="009872B6" w:rsidP="009872B6">
            <w:pPr>
              <w:pStyle w:val="Tabletext"/>
              <w:jc w:val="left"/>
            </w:pPr>
            <w:r w:rsidRPr="006C2078">
              <w:t>Frequency</w:t>
            </w:r>
            <w:r>
              <w:t xml:space="preserve"> (GHz)</w:t>
            </w:r>
          </w:p>
        </w:tc>
        <w:tc>
          <w:tcPr>
            <w:tcW w:w="3118" w:type="dxa"/>
          </w:tcPr>
          <w:p w:rsidR="009872B6" w:rsidRPr="006C2078" w:rsidRDefault="009872B6" w:rsidP="009872B6">
            <w:pPr>
              <w:pStyle w:val="Tabletext"/>
              <w:jc w:val="center"/>
            </w:pPr>
            <w:r w:rsidRPr="006C2078">
              <w:t>23</w:t>
            </w:r>
          </w:p>
        </w:tc>
      </w:tr>
      <w:tr w:rsidR="009872B6" w:rsidRPr="006C2078" w:rsidTr="009872B6">
        <w:trPr>
          <w:jc w:val="center"/>
        </w:trPr>
        <w:tc>
          <w:tcPr>
            <w:tcW w:w="6520" w:type="dxa"/>
            <w:gridSpan w:val="3"/>
          </w:tcPr>
          <w:p w:rsidR="009872B6" w:rsidRPr="007D1EF7" w:rsidRDefault="009872B6" w:rsidP="009872B6">
            <w:pPr>
              <w:pStyle w:val="Tabletext"/>
              <w:jc w:val="left"/>
              <w:rPr>
                <w:lang w:val="en-US"/>
              </w:rPr>
            </w:pPr>
            <w:r w:rsidRPr="007D1EF7">
              <w:rPr>
                <w:lang w:val="en-US"/>
              </w:rPr>
              <w:t xml:space="preserve">Antenna gain </w:t>
            </w:r>
            <w:r w:rsidRPr="007D1EF7">
              <w:rPr>
                <w:i/>
                <w:lang w:val="en-US"/>
              </w:rPr>
              <w:t>G</w:t>
            </w:r>
            <w:r w:rsidRPr="007D1EF7">
              <w:rPr>
                <w:i/>
                <w:vertAlign w:val="subscript"/>
                <w:lang w:val="en-US"/>
              </w:rPr>
              <w:t>t</w:t>
            </w:r>
            <w:r w:rsidRPr="007D1EF7">
              <w:rPr>
                <w:i/>
                <w:lang w:val="en-US"/>
              </w:rPr>
              <w:t xml:space="preserve"> </w:t>
            </w:r>
            <w:r w:rsidRPr="007D1EF7">
              <w:rPr>
                <w:szCs w:val="22"/>
                <w:lang w:val="en-US"/>
              </w:rPr>
              <w:t>max/min (dBi)</w:t>
            </w:r>
          </w:p>
        </w:tc>
        <w:tc>
          <w:tcPr>
            <w:tcW w:w="3118" w:type="dxa"/>
          </w:tcPr>
          <w:p w:rsidR="009872B6" w:rsidRPr="006C2078" w:rsidRDefault="009872B6" w:rsidP="00FC1178">
            <w:pPr>
              <w:pStyle w:val="Tabletext"/>
              <w:jc w:val="center"/>
            </w:pPr>
            <w:r w:rsidRPr="006C2078">
              <w:t>70.4/</w:t>
            </w:r>
            <w:r w:rsidR="00FC1178">
              <w:t>–</w:t>
            </w:r>
            <w:r w:rsidRPr="006C2078">
              <w:t>10</w:t>
            </w:r>
          </w:p>
        </w:tc>
      </w:tr>
      <w:tr w:rsidR="009872B6" w:rsidRPr="006C2078" w:rsidTr="009872B6">
        <w:trPr>
          <w:jc w:val="center"/>
        </w:trPr>
        <w:tc>
          <w:tcPr>
            <w:tcW w:w="6520" w:type="dxa"/>
            <w:gridSpan w:val="3"/>
          </w:tcPr>
          <w:p w:rsidR="009872B6" w:rsidRPr="006C2078" w:rsidRDefault="009872B6" w:rsidP="00BF3C71">
            <w:pPr>
              <w:pStyle w:val="Tabletext"/>
              <w:jc w:val="left"/>
            </w:pPr>
            <w:r w:rsidRPr="006C2078">
              <w:t>Antenna pattern</w:t>
            </w:r>
          </w:p>
        </w:tc>
        <w:tc>
          <w:tcPr>
            <w:tcW w:w="3118" w:type="dxa"/>
          </w:tcPr>
          <w:p w:rsidR="009872B6" w:rsidRPr="006C2078" w:rsidRDefault="009872B6" w:rsidP="009872B6">
            <w:pPr>
              <w:pStyle w:val="Tabletext"/>
              <w:jc w:val="center"/>
            </w:pPr>
            <w:r>
              <w:rPr>
                <w:color w:val="000000"/>
              </w:rPr>
              <w:t>Recommendation</w:t>
            </w:r>
            <w:r w:rsidRPr="006C2078">
              <w:rPr>
                <w:color w:val="000000"/>
              </w:rPr>
              <w:t xml:space="preserve"> ITU-R F.1245</w:t>
            </w:r>
          </w:p>
        </w:tc>
      </w:tr>
      <w:tr w:rsidR="009872B6" w:rsidRPr="006C2078" w:rsidTr="009872B6">
        <w:trPr>
          <w:jc w:val="center"/>
        </w:trPr>
        <w:tc>
          <w:tcPr>
            <w:tcW w:w="6521" w:type="dxa"/>
            <w:gridSpan w:val="3"/>
          </w:tcPr>
          <w:p w:rsidR="009872B6" w:rsidRPr="009872B6" w:rsidRDefault="009872B6" w:rsidP="009872B6">
            <w:pPr>
              <w:pStyle w:val="Tabletext"/>
              <w:rPr>
                <w:iCs/>
                <w:vertAlign w:val="subscript"/>
              </w:rPr>
            </w:pPr>
            <w:r w:rsidRPr="006C2078">
              <w:t xml:space="preserve">Transmit power </w:t>
            </w:r>
            <w:r w:rsidRPr="006C2078">
              <w:rPr>
                <w:i/>
              </w:rPr>
              <w:t>P</w:t>
            </w:r>
            <w:r w:rsidRPr="006C2078">
              <w:rPr>
                <w:i/>
                <w:vertAlign w:val="subscript"/>
              </w:rPr>
              <w:t>SRS</w:t>
            </w:r>
            <w:r w:rsidRPr="009872B6">
              <w:rPr>
                <w:i/>
              </w:rPr>
              <w:t xml:space="preserve"> </w:t>
            </w:r>
            <w:r>
              <w:rPr>
                <w:iCs/>
              </w:rPr>
              <w:t>(dBW)</w:t>
            </w:r>
          </w:p>
        </w:tc>
        <w:tc>
          <w:tcPr>
            <w:tcW w:w="3119" w:type="dxa"/>
          </w:tcPr>
          <w:p w:rsidR="009872B6" w:rsidRPr="006C2078" w:rsidRDefault="009872B6" w:rsidP="009872B6">
            <w:pPr>
              <w:pStyle w:val="Tabletext"/>
              <w:jc w:val="center"/>
            </w:pPr>
            <w:r w:rsidRPr="006C2078">
              <w:t>11.1</w:t>
            </w:r>
          </w:p>
        </w:tc>
      </w:tr>
      <w:tr w:rsidR="009872B6" w:rsidRPr="006C2078" w:rsidTr="009872B6">
        <w:trPr>
          <w:jc w:val="center"/>
        </w:trPr>
        <w:tc>
          <w:tcPr>
            <w:tcW w:w="6521" w:type="dxa"/>
            <w:gridSpan w:val="3"/>
          </w:tcPr>
          <w:p w:rsidR="009872B6" w:rsidRPr="007D1EF7" w:rsidRDefault="009872B6" w:rsidP="00192341">
            <w:pPr>
              <w:pStyle w:val="Tabletext"/>
              <w:rPr>
                <w:lang w:val="en-US"/>
              </w:rPr>
            </w:pPr>
            <w:r w:rsidRPr="007D1EF7">
              <w:rPr>
                <w:lang w:val="en-US"/>
              </w:rPr>
              <w:t>Transmit power density (dBW/Hz)</w:t>
            </w:r>
          </w:p>
        </w:tc>
        <w:tc>
          <w:tcPr>
            <w:tcW w:w="3119" w:type="dxa"/>
          </w:tcPr>
          <w:p w:rsidR="009872B6" w:rsidRPr="006C2078" w:rsidRDefault="009872B6" w:rsidP="009872B6">
            <w:pPr>
              <w:pStyle w:val="Tabletext"/>
              <w:jc w:val="center"/>
            </w:pPr>
            <w:r w:rsidRPr="006C2078">
              <w:t>–59.7</w:t>
            </w:r>
          </w:p>
        </w:tc>
      </w:tr>
      <w:tr w:rsidR="009872B6" w:rsidRPr="006C2078" w:rsidTr="009872B6">
        <w:trPr>
          <w:jc w:val="center"/>
        </w:trPr>
        <w:tc>
          <w:tcPr>
            <w:tcW w:w="6521" w:type="dxa"/>
            <w:gridSpan w:val="3"/>
          </w:tcPr>
          <w:p w:rsidR="009872B6" w:rsidRPr="007D1EF7" w:rsidRDefault="009872B6" w:rsidP="00192341">
            <w:pPr>
              <w:pStyle w:val="Tabletext"/>
              <w:rPr>
                <w:lang w:val="en-US"/>
              </w:rPr>
            </w:pPr>
            <w:r w:rsidRPr="007D1EF7">
              <w:rPr>
                <w:lang w:val="en-US"/>
              </w:rPr>
              <w:t>e.i.r.p. density (maximum) (dBW/Hz)</w:t>
            </w:r>
          </w:p>
        </w:tc>
        <w:tc>
          <w:tcPr>
            <w:tcW w:w="3119" w:type="dxa"/>
          </w:tcPr>
          <w:p w:rsidR="009872B6" w:rsidRPr="006C2078" w:rsidRDefault="009872B6" w:rsidP="009872B6">
            <w:pPr>
              <w:pStyle w:val="Tabletext"/>
              <w:jc w:val="center"/>
            </w:pPr>
            <w:r w:rsidRPr="006C2078">
              <w:t>10.7</w:t>
            </w:r>
          </w:p>
        </w:tc>
      </w:tr>
    </w:tbl>
    <w:p w:rsidR="00AA2BE3" w:rsidRPr="006C2078" w:rsidRDefault="00AA2BE3" w:rsidP="009872B6">
      <w:pPr>
        <w:pStyle w:val="Tablefin"/>
      </w:pPr>
    </w:p>
    <w:p w:rsidR="00B4321F" w:rsidRDefault="00B4321F" w:rsidP="00AA2BE3"/>
    <w:p w:rsidR="00AA2BE3" w:rsidRPr="007D1EF7" w:rsidRDefault="00AA2BE3" w:rsidP="00AA2BE3">
      <w:pPr>
        <w:rPr>
          <w:lang w:val="en-US"/>
        </w:rPr>
      </w:pPr>
      <w:r w:rsidRPr="007D1EF7">
        <w:rPr>
          <w:lang w:val="en-US"/>
        </w:rPr>
        <w:t xml:space="preserve">Although the SRS receiving system under consideration in this </w:t>
      </w:r>
      <w:r w:rsidR="00472456" w:rsidRPr="007D1EF7">
        <w:rPr>
          <w:lang w:val="en-US"/>
        </w:rPr>
        <w:t>R</w:t>
      </w:r>
      <w:r w:rsidRPr="007D1EF7">
        <w:rPr>
          <w:lang w:val="en-US"/>
        </w:rPr>
        <w:t>eport is not identified as requiring protection (it is the interference from the SRS which is the primary consideration), its characteristics are included for completeness and given in Table A1-2.</w:t>
      </w:r>
    </w:p>
    <w:p w:rsidR="00B4321F" w:rsidRPr="007D1EF7" w:rsidRDefault="00B4321F" w:rsidP="00AA2BE3">
      <w:pPr>
        <w:rPr>
          <w:lang w:val="en-US"/>
        </w:rPr>
      </w:pPr>
    </w:p>
    <w:p w:rsidR="00AA2BE3" w:rsidRPr="007D1EF7" w:rsidRDefault="009872B6" w:rsidP="00AA2BE3">
      <w:pPr>
        <w:pStyle w:val="TableNo"/>
        <w:rPr>
          <w:lang w:val="en-US"/>
        </w:rPr>
      </w:pPr>
      <w:r w:rsidRPr="007D1EF7">
        <w:rPr>
          <w:lang w:val="en-US"/>
        </w:rPr>
        <w:t>TABLE</w:t>
      </w:r>
      <w:r w:rsidR="00AA2BE3" w:rsidRPr="007D1EF7">
        <w:rPr>
          <w:lang w:val="en-US"/>
        </w:rPr>
        <w:t xml:space="preserve"> A1-2</w:t>
      </w:r>
    </w:p>
    <w:p w:rsidR="00AA2BE3" w:rsidRPr="007D1EF7" w:rsidRDefault="00AA2BE3" w:rsidP="00AA2BE3">
      <w:pPr>
        <w:pStyle w:val="Tabletitle"/>
        <w:rPr>
          <w:lang w:val="en-US"/>
        </w:rPr>
      </w:pPr>
      <w:r w:rsidRPr="007D1EF7">
        <w:rPr>
          <w:lang w:val="en-US"/>
        </w:rPr>
        <w:t>SRS space segment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2"/>
        <w:gridCol w:w="2268"/>
      </w:tblGrid>
      <w:tr w:rsidR="009872B6" w:rsidRPr="006C2078" w:rsidTr="009872B6">
        <w:trPr>
          <w:jc w:val="center"/>
        </w:trPr>
        <w:tc>
          <w:tcPr>
            <w:tcW w:w="3402" w:type="dxa"/>
            <w:noWrap/>
            <w:vAlign w:val="bottom"/>
          </w:tcPr>
          <w:p w:rsidR="009872B6" w:rsidRPr="006C2078" w:rsidRDefault="009872B6" w:rsidP="00192341">
            <w:pPr>
              <w:pStyle w:val="Tablehead"/>
            </w:pPr>
            <w:r w:rsidRPr="006C2078">
              <w:t>Parameter</w:t>
            </w:r>
          </w:p>
        </w:tc>
        <w:tc>
          <w:tcPr>
            <w:tcW w:w="2268" w:type="dxa"/>
            <w:vAlign w:val="bottom"/>
          </w:tcPr>
          <w:p w:rsidR="009872B6" w:rsidRPr="006C2078" w:rsidRDefault="009872B6" w:rsidP="00192341">
            <w:pPr>
              <w:pStyle w:val="Tablehead"/>
            </w:pPr>
            <w:r w:rsidRPr="006C2078">
              <w:t>Value</w:t>
            </w:r>
          </w:p>
        </w:tc>
      </w:tr>
      <w:tr w:rsidR="009872B6" w:rsidRPr="006C2078" w:rsidTr="009872B6">
        <w:trPr>
          <w:jc w:val="center"/>
        </w:trPr>
        <w:tc>
          <w:tcPr>
            <w:tcW w:w="3402" w:type="dxa"/>
            <w:noWrap/>
            <w:vAlign w:val="bottom"/>
          </w:tcPr>
          <w:p w:rsidR="009872B6" w:rsidRPr="006C2078" w:rsidRDefault="009872B6" w:rsidP="00BF3C71">
            <w:pPr>
              <w:pStyle w:val="Tabletext"/>
            </w:pPr>
            <w:r w:rsidRPr="006C2078">
              <w:t>Mission type</w:t>
            </w:r>
          </w:p>
        </w:tc>
        <w:tc>
          <w:tcPr>
            <w:tcW w:w="2268" w:type="dxa"/>
          </w:tcPr>
          <w:p w:rsidR="009872B6" w:rsidRPr="006C2078" w:rsidRDefault="009872B6" w:rsidP="009872B6">
            <w:pPr>
              <w:pStyle w:val="Tabletext"/>
              <w:jc w:val="center"/>
            </w:pPr>
            <w:r w:rsidRPr="006C2078">
              <w:t>Lunar</w:t>
            </w:r>
          </w:p>
        </w:tc>
      </w:tr>
      <w:tr w:rsidR="009872B6" w:rsidRPr="006C2078" w:rsidTr="009872B6">
        <w:trPr>
          <w:jc w:val="center"/>
        </w:trPr>
        <w:tc>
          <w:tcPr>
            <w:tcW w:w="3402" w:type="dxa"/>
          </w:tcPr>
          <w:p w:rsidR="009872B6" w:rsidRPr="006C2078" w:rsidRDefault="009872B6" w:rsidP="00BF3C71">
            <w:pPr>
              <w:pStyle w:val="Tabletext"/>
            </w:pPr>
            <w:r w:rsidRPr="006C2078">
              <w:t>Orbital altitude</w:t>
            </w:r>
            <w:r>
              <w:t xml:space="preserve"> (km)</w:t>
            </w:r>
          </w:p>
        </w:tc>
        <w:tc>
          <w:tcPr>
            <w:tcW w:w="2268" w:type="dxa"/>
          </w:tcPr>
          <w:p w:rsidR="009872B6" w:rsidRPr="006C2078" w:rsidRDefault="009872B6" w:rsidP="009872B6">
            <w:pPr>
              <w:pStyle w:val="Tabletext"/>
              <w:jc w:val="center"/>
            </w:pPr>
            <w:r w:rsidRPr="006C2078">
              <w:t>384,400</w:t>
            </w:r>
          </w:p>
        </w:tc>
      </w:tr>
      <w:tr w:rsidR="009872B6" w:rsidRPr="006C2078" w:rsidTr="009872B6">
        <w:trPr>
          <w:jc w:val="center"/>
        </w:trPr>
        <w:tc>
          <w:tcPr>
            <w:tcW w:w="3402" w:type="dxa"/>
            <w:vAlign w:val="center"/>
          </w:tcPr>
          <w:p w:rsidR="009872B6" w:rsidRPr="009872B6" w:rsidRDefault="009872B6" w:rsidP="00720C6D">
            <w:pPr>
              <w:pStyle w:val="Tabletext"/>
            </w:pPr>
            <w:r w:rsidRPr="006C2078">
              <w:t>Inclination</w:t>
            </w:r>
            <w:r w:rsidR="00720C6D" w:rsidRPr="00720C6D">
              <w:rPr>
                <w:vertAlign w:val="superscript"/>
              </w:rPr>
              <w:t>(1)</w:t>
            </w:r>
            <w:r>
              <w:rPr>
                <w:sz w:val="24"/>
                <w:szCs w:val="18"/>
              </w:rPr>
              <w:t xml:space="preserve"> (degrees)</w:t>
            </w:r>
          </w:p>
        </w:tc>
        <w:tc>
          <w:tcPr>
            <w:tcW w:w="2268" w:type="dxa"/>
            <w:vAlign w:val="center"/>
          </w:tcPr>
          <w:p w:rsidR="009872B6" w:rsidRPr="006C2078" w:rsidRDefault="009872B6" w:rsidP="009872B6">
            <w:pPr>
              <w:pStyle w:val="Tabletext"/>
              <w:jc w:val="center"/>
            </w:pPr>
            <w:r w:rsidRPr="006C2078">
              <w:t>22</w:t>
            </w:r>
          </w:p>
        </w:tc>
      </w:tr>
      <w:tr w:rsidR="009872B6" w:rsidRPr="006C2078" w:rsidTr="009872B6">
        <w:trPr>
          <w:jc w:val="center"/>
        </w:trPr>
        <w:tc>
          <w:tcPr>
            <w:tcW w:w="3402" w:type="dxa"/>
          </w:tcPr>
          <w:p w:rsidR="009872B6" w:rsidRPr="006C2078" w:rsidRDefault="009872B6" w:rsidP="00BF3C71">
            <w:pPr>
              <w:pStyle w:val="Tabletext"/>
            </w:pPr>
            <w:r w:rsidRPr="006C2078">
              <w:t>Orbit type</w:t>
            </w:r>
          </w:p>
        </w:tc>
        <w:tc>
          <w:tcPr>
            <w:tcW w:w="2268" w:type="dxa"/>
          </w:tcPr>
          <w:p w:rsidR="009872B6" w:rsidRPr="006C2078" w:rsidRDefault="009872B6" w:rsidP="009872B6">
            <w:pPr>
              <w:pStyle w:val="Tabletext"/>
              <w:jc w:val="center"/>
            </w:pPr>
            <w:r w:rsidRPr="006C2078">
              <w:t>Circular</w:t>
            </w:r>
          </w:p>
        </w:tc>
      </w:tr>
      <w:tr w:rsidR="009872B6" w:rsidRPr="006C2078" w:rsidTr="009872B6">
        <w:trPr>
          <w:jc w:val="center"/>
        </w:trPr>
        <w:tc>
          <w:tcPr>
            <w:tcW w:w="3402" w:type="dxa"/>
          </w:tcPr>
          <w:p w:rsidR="009872B6" w:rsidRPr="006C2078" w:rsidRDefault="009872B6" w:rsidP="00BF3C71">
            <w:pPr>
              <w:pStyle w:val="Tabletext"/>
            </w:pPr>
            <w:r w:rsidRPr="006C2078">
              <w:t>Orbital inclination</w:t>
            </w:r>
            <w:r>
              <w:t xml:space="preserve"> (degrees)</w:t>
            </w:r>
          </w:p>
        </w:tc>
        <w:tc>
          <w:tcPr>
            <w:tcW w:w="2268" w:type="dxa"/>
          </w:tcPr>
          <w:p w:rsidR="009872B6" w:rsidRPr="006C2078" w:rsidRDefault="009872B6" w:rsidP="009872B6">
            <w:pPr>
              <w:pStyle w:val="Tabletext"/>
              <w:jc w:val="center"/>
            </w:pPr>
            <w:r w:rsidRPr="006C2078">
              <w:t>Non-specific</w:t>
            </w:r>
          </w:p>
        </w:tc>
      </w:tr>
      <w:tr w:rsidR="009872B6" w:rsidRPr="006C2078" w:rsidTr="009872B6">
        <w:trPr>
          <w:jc w:val="center"/>
        </w:trPr>
        <w:tc>
          <w:tcPr>
            <w:tcW w:w="3402" w:type="dxa"/>
          </w:tcPr>
          <w:p w:rsidR="009872B6" w:rsidRPr="006C2078" w:rsidRDefault="009872B6" w:rsidP="00BF3C71">
            <w:pPr>
              <w:pStyle w:val="Tabletext"/>
            </w:pPr>
            <w:r w:rsidRPr="006C2078">
              <w:t xml:space="preserve">Antenna gain </w:t>
            </w:r>
            <w:r>
              <w:t>(dBi)</w:t>
            </w:r>
          </w:p>
        </w:tc>
        <w:tc>
          <w:tcPr>
            <w:tcW w:w="2268" w:type="dxa"/>
          </w:tcPr>
          <w:p w:rsidR="009872B6" w:rsidRPr="006C2078" w:rsidRDefault="009872B6" w:rsidP="009872B6">
            <w:pPr>
              <w:pStyle w:val="Tabletext"/>
              <w:jc w:val="center"/>
            </w:pPr>
            <w:r w:rsidRPr="006C2078">
              <w:t>44.7</w:t>
            </w:r>
          </w:p>
        </w:tc>
      </w:tr>
      <w:tr w:rsidR="009872B6" w:rsidRPr="006C2078" w:rsidTr="009872B6">
        <w:trPr>
          <w:jc w:val="center"/>
        </w:trPr>
        <w:tc>
          <w:tcPr>
            <w:tcW w:w="3402" w:type="dxa"/>
            <w:tcBorders>
              <w:bottom w:val="single" w:sz="4" w:space="0" w:color="auto"/>
            </w:tcBorders>
          </w:tcPr>
          <w:p w:rsidR="009872B6" w:rsidRPr="006C2078" w:rsidRDefault="009872B6" w:rsidP="00BF3C71">
            <w:pPr>
              <w:pStyle w:val="Tabletext"/>
            </w:pPr>
            <w:r w:rsidRPr="006C2078">
              <w:t>Noise temperature</w:t>
            </w:r>
            <w:r>
              <w:t xml:space="preserve"> (K)</w:t>
            </w:r>
          </w:p>
        </w:tc>
        <w:tc>
          <w:tcPr>
            <w:tcW w:w="2268" w:type="dxa"/>
            <w:tcBorders>
              <w:bottom w:val="single" w:sz="4" w:space="0" w:color="auto"/>
            </w:tcBorders>
          </w:tcPr>
          <w:p w:rsidR="009872B6" w:rsidRPr="006C2078" w:rsidRDefault="009872B6" w:rsidP="009872B6">
            <w:pPr>
              <w:pStyle w:val="Tabletext"/>
              <w:jc w:val="center"/>
            </w:pPr>
            <w:r w:rsidRPr="006C2078">
              <w:t>410</w:t>
            </w:r>
          </w:p>
        </w:tc>
      </w:tr>
      <w:tr w:rsidR="009872B6" w:rsidRPr="003B6E9A" w:rsidTr="009872B6">
        <w:trPr>
          <w:jc w:val="center"/>
        </w:trPr>
        <w:tc>
          <w:tcPr>
            <w:tcW w:w="5670" w:type="dxa"/>
            <w:gridSpan w:val="2"/>
            <w:tcBorders>
              <w:left w:val="nil"/>
              <w:bottom w:val="nil"/>
              <w:right w:val="nil"/>
            </w:tcBorders>
          </w:tcPr>
          <w:p w:rsidR="009872B6" w:rsidRPr="007D1EF7" w:rsidRDefault="009872B6" w:rsidP="009872B6">
            <w:pPr>
              <w:pStyle w:val="Tablelegend"/>
              <w:rPr>
                <w:lang w:val="en-US"/>
              </w:rPr>
            </w:pPr>
            <w:r w:rsidRPr="007D1EF7">
              <w:rPr>
                <w:vertAlign w:val="superscript"/>
                <w:lang w:val="en-US"/>
              </w:rPr>
              <w:t>(1)</w:t>
            </w:r>
            <w:r w:rsidRPr="007D1EF7">
              <w:rPr>
                <w:lang w:val="en-US"/>
              </w:rPr>
              <w:tab/>
              <w:t>The average inclination of the Moon is used for simplicity. The actual inclination of the Moon varies between about 18°-28° over an 18.6 year period.</w:t>
            </w:r>
          </w:p>
        </w:tc>
      </w:tr>
    </w:tbl>
    <w:p w:rsidR="009872B6" w:rsidRDefault="009872B6" w:rsidP="009872B6">
      <w:pPr>
        <w:pStyle w:val="Tablefin"/>
      </w:pPr>
    </w:p>
    <w:p w:rsidR="00A47FF8" w:rsidRPr="007D1EF7" w:rsidRDefault="00A47FF8" w:rsidP="00192341">
      <w:pPr>
        <w:rPr>
          <w:lang w:val="en-US"/>
        </w:rPr>
      </w:pPr>
    </w:p>
    <w:p w:rsidR="00AA2BE3" w:rsidRPr="007D1EF7" w:rsidRDefault="00AA2BE3" w:rsidP="00FC1178">
      <w:pPr>
        <w:keepLines/>
        <w:rPr>
          <w:lang w:val="en-US"/>
        </w:rPr>
      </w:pPr>
      <w:r w:rsidRPr="007D1EF7">
        <w:rPr>
          <w:lang w:val="en-US"/>
        </w:rPr>
        <w:lastRenderedPageBreak/>
        <w:t>This shows that the SRS earth stations considered in this report are communicating with an object which is either located on the surface of the Moon, or in a low-orbit around the Moon. Given that the receiving characteristics are assumed to be the same for both scenarios, and that there is only a slight difference in angular distance between these two operational scenarios, Table A1-2 is considered, for the purposes of this report, to take account of both lunar-roving and lunar-orbiting missions.</w:t>
      </w:r>
    </w:p>
    <w:p w:rsidR="00AA2BE3" w:rsidRPr="007D1EF7" w:rsidRDefault="00AA2BE3" w:rsidP="00AA2BE3">
      <w:pPr>
        <w:pStyle w:val="Heading2"/>
        <w:rPr>
          <w:lang w:val="en-US"/>
        </w:rPr>
      </w:pPr>
      <w:bookmarkStart w:id="25" w:name="_Toc277668588"/>
      <w:r w:rsidRPr="007D1EF7">
        <w:rPr>
          <w:lang w:val="en-US"/>
        </w:rPr>
        <w:t>1.2</w:t>
      </w:r>
      <w:r w:rsidRPr="007D1EF7">
        <w:rPr>
          <w:lang w:val="en-US"/>
        </w:rPr>
        <w:tab/>
        <w:t>HIBLEO-2 ISS (s-s) characteristics</w:t>
      </w:r>
      <w:bookmarkEnd w:id="25"/>
    </w:p>
    <w:p w:rsidR="00AA2BE3" w:rsidRPr="007D1EF7" w:rsidRDefault="00AA2BE3" w:rsidP="00AA2BE3">
      <w:pPr>
        <w:rPr>
          <w:b/>
          <w:lang w:val="en-US"/>
        </w:rPr>
      </w:pPr>
      <w:r w:rsidRPr="007D1EF7">
        <w:rPr>
          <w:lang w:val="en-US"/>
        </w:rPr>
        <w:t xml:space="preserve">The characteristics of the non-GSO–non-GSO HIBLEO-2 type ISS links considered in this study are the same as in the introductory section of this </w:t>
      </w:r>
      <w:r w:rsidR="009872B6" w:rsidRPr="007D1EF7">
        <w:rPr>
          <w:lang w:val="en-US"/>
        </w:rPr>
        <w:t>R</w:t>
      </w:r>
      <w:r w:rsidRPr="007D1EF7">
        <w:rPr>
          <w:lang w:val="en-US"/>
        </w:rPr>
        <w:t xml:space="preserve">eport. </w:t>
      </w:r>
    </w:p>
    <w:p w:rsidR="00AA2BE3" w:rsidRPr="007D1EF7" w:rsidRDefault="00AA2BE3" w:rsidP="00AA2BE3">
      <w:pPr>
        <w:pStyle w:val="Heading1"/>
        <w:rPr>
          <w:lang w:val="en-US"/>
        </w:rPr>
      </w:pPr>
      <w:bookmarkStart w:id="26" w:name="_Toc277668589"/>
      <w:r w:rsidRPr="007D1EF7">
        <w:rPr>
          <w:lang w:val="en-US"/>
        </w:rPr>
        <w:t>2</w:t>
      </w:r>
      <w:r w:rsidRPr="007D1EF7">
        <w:rPr>
          <w:lang w:val="en-US"/>
        </w:rPr>
        <w:tab/>
        <w:t>Interference assessment</w:t>
      </w:r>
      <w:bookmarkEnd w:id="26"/>
    </w:p>
    <w:p w:rsidR="00AA2BE3" w:rsidRPr="007D1EF7" w:rsidRDefault="00AA2BE3" w:rsidP="00AA2BE3">
      <w:pPr>
        <w:rPr>
          <w:lang w:val="en-US"/>
        </w:rPr>
      </w:pPr>
      <w:r w:rsidRPr="007D1EF7">
        <w:rPr>
          <w:lang w:val="en-US"/>
        </w:rPr>
        <w:t>To assess the interference potential from SRS earth stations into ISS links of the HIBLEO-2 constellation, the level of interference is compared with the system noise temperature of the HIBLEO-2 constellation according to the following equation:</w:t>
      </w:r>
    </w:p>
    <w:p w:rsidR="00AA2BE3" w:rsidRPr="007D1EF7" w:rsidRDefault="00AA2BE3" w:rsidP="00AA2BE3">
      <w:pPr>
        <w:pStyle w:val="Equation"/>
        <w:rPr>
          <w:lang w:val="en-US"/>
        </w:rPr>
      </w:pPr>
      <w:r w:rsidRPr="007D1EF7">
        <w:rPr>
          <w:lang w:val="en-US"/>
        </w:rPr>
        <w:tab/>
      </w:r>
      <w:r w:rsidRPr="007D1EF7">
        <w:rPr>
          <w:lang w:val="en-US"/>
        </w:rPr>
        <w:tab/>
      </w:r>
      <w:r w:rsidR="009872B6" w:rsidRPr="001B57B5">
        <w:rPr>
          <w:position w:val="-12"/>
        </w:rPr>
        <w:object w:dxaOrig="3800" w:dyaOrig="360">
          <v:shape id="_x0000_i1028" type="#_x0000_t75" style="width:186pt;height:18.6pt" o:ole="">
            <v:imagedata r:id="rId28" o:title=""/>
          </v:shape>
          <o:OLEObject Type="Embed" ProgID="Equation.3" ShapeID="_x0000_i1028" DrawAspect="Content" ObjectID="_1355747836" r:id="rId29"/>
        </w:object>
      </w:r>
      <w:r w:rsidRPr="007D1EF7">
        <w:rPr>
          <w:lang w:val="en-US"/>
        </w:rPr>
        <w:tab/>
        <w:t>(1)</w:t>
      </w:r>
    </w:p>
    <w:p w:rsidR="00AA2BE3" w:rsidRPr="007D1EF7" w:rsidRDefault="00AA2BE3" w:rsidP="00192341">
      <w:pPr>
        <w:rPr>
          <w:lang w:val="en-US"/>
        </w:rPr>
      </w:pPr>
      <w:r w:rsidRPr="007D1EF7">
        <w:rPr>
          <w:lang w:val="en-US"/>
        </w:rPr>
        <w:t>where:</w:t>
      </w:r>
    </w:p>
    <w:p w:rsidR="00AA2BE3" w:rsidRPr="006C2078" w:rsidRDefault="00AA2BE3" w:rsidP="009872B6">
      <w:pPr>
        <w:pStyle w:val="Equationlegend"/>
      </w:pPr>
      <w:r>
        <w:rPr>
          <w:i/>
        </w:rPr>
        <w:tab/>
      </w:r>
      <w:r w:rsidRPr="006C2078">
        <w:rPr>
          <w:i/>
        </w:rPr>
        <w:t>I/N</w:t>
      </w:r>
      <w:r w:rsidR="009872B6">
        <w:rPr>
          <w:iCs/>
        </w:rPr>
        <w:t>:</w:t>
      </w:r>
      <w:r>
        <w:rPr>
          <w:i/>
        </w:rPr>
        <w:tab/>
      </w:r>
      <w:r w:rsidRPr="006C2078">
        <w:t>interference-to-noise ratio in the receiver of an HIB</w:t>
      </w:r>
      <w:r>
        <w:t>LEO-2 inter-satellite link (dB)</w:t>
      </w:r>
    </w:p>
    <w:p w:rsidR="00AA2BE3" w:rsidRPr="006C2078" w:rsidRDefault="00AA2BE3" w:rsidP="009872B6">
      <w:pPr>
        <w:pStyle w:val="Equationlegend"/>
      </w:pPr>
      <w:r>
        <w:rPr>
          <w:i/>
        </w:rPr>
        <w:tab/>
      </w:r>
      <w:r w:rsidRPr="006C2078">
        <w:rPr>
          <w:i/>
        </w:rPr>
        <w:t>P</w:t>
      </w:r>
      <w:r w:rsidRPr="006C2078">
        <w:rPr>
          <w:i/>
          <w:vertAlign w:val="subscript"/>
        </w:rPr>
        <w:t>SRS</w:t>
      </w:r>
      <w:r w:rsidR="009872B6" w:rsidRPr="009872B6">
        <w:rPr>
          <w:iCs/>
        </w:rPr>
        <w:t>:</w:t>
      </w:r>
      <w:r>
        <w:tab/>
      </w:r>
      <w:r w:rsidRPr="006C2078">
        <w:t xml:space="preserve">SRS earth station </w:t>
      </w:r>
      <w:r>
        <w:t>transmit power density (dBW/Hz)</w:t>
      </w:r>
    </w:p>
    <w:p w:rsidR="00AA2BE3" w:rsidRPr="006C2078" w:rsidRDefault="00AA2BE3" w:rsidP="00AA2BE3">
      <w:pPr>
        <w:pStyle w:val="Equationlegend"/>
      </w:pPr>
      <w:r>
        <w:rPr>
          <w:i/>
        </w:rPr>
        <w:tab/>
      </w:r>
      <w:r>
        <w:rPr>
          <w:i/>
        </w:rPr>
        <w:tab/>
      </w:r>
      <w:r w:rsidRPr="006C2078">
        <w:rPr>
          <w:i/>
        </w:rPr>
        <w:t>G</w:t>
      </w:r>
      <w:r w:rsidRPr="006C2078">
        <w:rPr>
          <w:i/>
          <w:vertAlign w:val="subscript"/>
        </w:rPr>
        <w:t>tx</w:t>
      </w:r>
      <w:r w:rsidRPr="001B57B5">
        <w:rPr>
          <w:iCs/>
        </w:rPr>
        <w:t>(θ)</w:t>
      </w:r>
      <w:r w:rsidRPr="006C2078">
        <w:t xml:space="preserve"> is the gain of an SRS earth station antenna in the direction of an HIBLEO-2 satellite, where θ is the angle between the main axis of the SRS beam and the direction </w:t>
      </w:r>
      <w:r>
        <w:t>of the HIBLEO-2 satellite (dBi)</w:t>
      </w:r>
    </w:p>
    <w:p w:rsidR="00AA2BE3" w:rsidRPr="006C2078" w:rsidRDefault="00AA2BE3" w:rsidP="009872B6">
      <w:pPr>
        <w:pStyle w:val="Equationlegend"/>
      </w:pPr>
      <w:r>
        <w:rPr>
          <w:i/>
        </w:rPr>
        <w:tab/>
      </w:r>
      <w:r w:rsidRPr="006C2078">
        <w:rPr>
          <w:i/>
        </w:rPr>
        <w:t>L</w:t>
      </w:r>
      <w:r w:rsidR="009872B6" w:rsidRPr="009872B6">
        <w:rPr>
          <w:iCs/>
        </w:rPr>
        <w:t>:</w:t>
      </w:r>
      <w:r>
        <w:tab/>
      </w:r>
      <w:r w:rsidRPr="006C2078">
        <w:t>propagation loss between an SRS earth station and an HIBLEO-2 satellite, which varies with time primarily due to the varying distance between SRS earth</w:t>
      </w:r>
      <w:r>
        <w:t xml:space="preserve"> station and ISS satellite (dB)</w:t>
      </w:r>
    </w:p>
    <w:p w:rsidR="00AA2BE3" w:rsidRPr="006C2078" w:rsidRDefault="00AA2BE3" w:rsidP="009872B6">
      <w:pPr>
        <w:pStyle w:val="Equationlegend"/>
      </w:pPr>
      <w:r>
        <w:rPr>
          <w:i/>
        </w:rPr>
        <w:tab/>
      </w:r>
      <w:r w:rsidRPr="006C2078">
        <w:rPr>
          <w:i/>
        </w:rPr>
        <w:t>G</w:t>
      </w:r>
      <w:r w:rsidRPr="006C2078">
        <w:rPr>
          <w:i/>
          <w:vertAlign w:val="subscript"/>
        </w:rPr>
        <w:t>rx</w:t>
      </w:r>
      <w:r w:rsidRPr="009872B6">
        <w:rPr>
          <w:iCs/>
        </w:rPr>
        <w:t>(</w:t>
      </w:r>
      <w:r w:rsidRPr="001B57B5">
        <w:rPr>
          <w:iCs/>
        </w:rPr>
        <w:t>φ</w:t>
      </w:r>
      <w:r w:rsidRPr="009872B6">
        <w:rPr>
          <w:iCs/>
        </w:rPr>
        <w:t>)</w:t>
      </w:r>
      <w:r w:rsidR="009872B6">
        <w:rPr>
          <w:iCs/>
        </w:rPr>
        <w:t>:</w:t>
      </w:r>
      <w:r>
        <w:tab/>
      </w:r>
      <w:r w:rsidRPr="006C2078">
        <w:t>gain of the receiving antenna of an HIBLEO-2 satellite in the direction of an SRS earth station, where φ is the angle between the main axis of the HIBLEO-2 ISS beam and the direction</w:t>
      </w:r>
      <w:r>
        <w:t xml:space="preserve"> of the SRS earth station (dBi)</w:t>
      </w:r>
    </w:p>
    <w:p w:rsidR="00AA2BE3" w:rsidRPr="006C2078" w:rsidRDefault="00AA2BE3" w:rsidP="00AA2BE3">
      <w:pPr>
        <w:pStyle w:val="Equationlegend"/>
      </w:pPr>
      <w:r>
        <w:rPr>
          <w:i/>
        </w:rPr>
        <w:tab/>
      </w:r>
      <w:r w:rsidRPr="006C2078">
        <w:rPr>
          <w:i/>
        </w:rPr>
        <w:t>kT</w:t>
      </w:r>
      <w:r w:rsidR="009872B6">
        <w:rPr>
          <w:iCs/>
        </w:rPr>
        <w:t>:</w:t>
      </w:r>
      <w:r>
        <w:tab/>
      </w:r>
      <w:r w:rsidRPr="006C2078">
        <w:t>represents the system noise floor density of the receiving system of the HIBLEO-2 inter</w:t>
      </w:r>
      <w:r w:rsidRPr="006C2078">
        <w:noBreakHyphen/>
        <w:t xml:space="preserve">satellite link, </w:t>
      </w:r>
      <w:r w:rsidRPr="006C2078">
        <w:rPr>
          <w:i/>
        </w:rPr>
        <w:t xml:space="preserve">k </w:t>
      </w:r>
      <w:r w:rsidRPr="006C2078">
        <w:t>is Boltzmann</w:t>
      </w:r>
      <w:r>
        <w:t>’s</w:t>
      </w:r>
      <w:r w:rsidRPr="006C2078">
        <w:t xml:space="preserve"> constant and </w:t>
      </w:r>
      <w:r w:rsidRPr="006C2078">
        <w:rPr>
          <w:i/>
        </w:rPr>
        <w:t xml:space="preserve">T </w:t>
      </w:r>
      <w:r w:rsidRPr="006C2078">
        <w:t>is the system noise temperature of the receiving system of the HIBLEO-2 inter-satellite link (dBW/Hz).</w:t>
      </w:r>
    </w:p>
    <w:p w:rsidR="00AA2BE3" w:rsidRPr="007D1EF7" w:rsidRDefault="00AA2BE3" w:rsidP="00AA2BE3">
      <w:pPr>
        <w:pStyle w:val="Heading1"/>
        <w:rPr>
          <w:lang w:val="en-US"/>
        </w:rPr>
      </w:pPr>
      <w:bookmarkStart w:id="27" w:name="_Toc277668590"/>
      <w:r w:rsidRPr="007D1EF7">
        <w:rPr>
          <w:lang w:val="en-US"/>
        </w:rPr>
        <w:t>3</w:t>
      </w:r>
      <w:r w:rsidRPr="007D1EF7">
        <w:rPr>
          <w:lang w:val="en-US"/>
        </w:rPr>
        <w:tab/>
        <w:t>Interference protection criteria</w:t>
      </w:r>
      <w:bookmarkEnd w:id="27"/>
    </w:p>
    <w:p w:rsidR="00AA2BE3" w:rsidRPr="007D1EF7" w:rsidRDefault="00AA2BE3" w:rsidP="00AA2BE3">
      <w:pPr>
        <w:rPr>
          <w:lang w:val="en-US"/>
        </w:rPr>
      </w:pPr>
      <w:r w:rsidRPr="007D1EF7">
        <w:rPr>
          <w:lang w:val="en-US"/>
        </w:rPr>
        <w:t>For studies of O</w:t>
      </w:r>
      <w:r w:rsidR="009872B6" w:rsidRPr="007D1EF7">
        <w:rPr>
          <w:lang w:val="en-US"/>
        </w:rPr>
        <w:t>o</w:t>
      </w:r>
      <w:r w:rsidRPr="007D1EF7">
        <w:rPr>
          <w:lang w:val="en-US"/>
        </w:rPr>
        <w:t xml:space="preserve">B interference from proposed SRS uplinks operating in 22.55-23.15 GHz into HIBLEO-2 inter-satellite links operating in 23.183-23.377 GHz, ITU-R adopted a protection criteria in the 23.183-23.377 GHz band of </w:t>
      </w:r>
      <w:r w:rsidRPr="007D1EF7">
        <w:rPr>
          <w:i/>
          <w:lang w:val="en-US"/>
        </w:rPr>
        <w:t>I</w:t>
      </w:r>
      <w:r w:rsidRPr="007D1EF7">
        <w:rPr>
          <w:lang w:val="en-US"/>
        </w:rPr>
        <w:t>/</w:t>
      </w:r>
      <w:r w:rsidRPr="007D1EF7">
        <w:rPr>
          <w:i/>
          <w:lang w:val="en-US"/>
        </w:rPr>
        <w:t>N</w:t>
      </w:r>
      <w:r w:rsidRPr="007D1EF7">
        <w:rPr>
          <w:lang w:val="en-US"/>
        </w:rPr>
        <w:t xml:space="preserve"> = –16 dB not to be exceeded more than 0.01% per HIBLEO</w:t>
      </w:r>
      <w:r w:rsidRPr="007D1EF7">
        <w:rPr>
          <w:lang w:val="en-US"/>
        </w:rPr>
        <w:noBreakHyphen/>
        <w:t xml:space="preserve">2 inter-satellite link be applied, taking into account the aggregated effect of all SRS earth stations in operation in the 22.55-23.15 GHz band. </w:t>
      </w:r>
    </w:p>
    <w:p w:rsidR="00AA2BE3" w:rsidRPr="007D1EF7" w:rsidRDefault="00AA2BE3" w:rsidP="00AA2BE3">
      <w:pPr>
        <w:rPr>
          <w:lang w:val="en-US"/>
        </w:rPr>
      </w:pPr>
      <w:r w:rsidRPr="007D1EF7">
        <w:rPr>
          <w:lang w:val="en-US"/>
        </w:rPr>
        <w:t>Recognizing that HIBLEO-2 shares its spectrum with other services, the above criterion does not apply now or in the future to the existing service sharing arrangements for systems operating in the part of the allocation in which the inter-satellite links of HIBLEO-2 operate. The protection criterion in Recommendation ITU-R SA.1155 applies to the existing systems with which HIBLEO</w:t>
      </w:r>
      <w:r w:rsidRPr="007D1EF7">
        <w:rPr>
          <w:lang w:val="en-US"/>
        </w:rPr>
        <w:noBreakHyphen/>
        <w:t>2 shares spectrum.</w:t>
      </w:r>
    </w:p>
    <w:p w:rsidR="00AA2BE3" w:rsidRPr="007D1EF7" w:rsidRDefault="00AA2BE3" w:rsidP="00AA2BE3">
      <w:pPr>
        <w:rPr>
          <w:lang w:val="en-US"/>
        </w:rPr>
      </w:pPr>
      <w:r w:rsidRPr="007D1EF7">
        <w:rPr>
          <w:lang w:val="en-US"/>
        </w:rPr>
        <w:lastRenderedPageBreak/>
        <w:t>ITU-R agreed that sharing studies between SRS uplinks and non-GSO-non-GSO ISS links operating co</w:t>
      </w:r>
      <w:r w:rsidRPr="007D1EF7">
        <w:rPr>
          <w:lang w:val="en-US"/>
        </w:rPr>
        <w:noBreakHyphen/>
        <w:t xml:space="preserve">frequency in the band 22.55-23.15 GHz should apply the value of </w:t>
      </w:r>
      <w:r w:rsidRPr="007D1EF7">
        <w:rPr>
          <w:i/>
          <w:lang w:val="en-US"/>
        </w:rPr>
        <w:t>I</w:t>
      </w:r>
      <w:r w:rsidRPr="007D1EF7">
        <w:rPr>
          <w:iCs/>
          <w:lang w:val="en-US"/>
        </w:rPr>
        <w:t>/</w:t>
      </w:r>
      <w:r w:rsidRPr="007D1EF7">
        <w:rPr>
          <w:i/>
          <w:lang w:val="en-US"/>
        </w:rPr>
        <w:t>N</w:t>
      </w:r>
      <w:r w:rsidRPr="007D1EF7">
        <w:rPr>
          <w:lang w:val="en-US"/>
        </w:rPr>
        <w:t xml:space="preserve"> = –10 dB not to be exceeded more than 0.1% per link as set forth in Recommendation ITU-R SA.1155.</w:t>
      </w:r>
    </w:p>
    <w:p w:rsidR="00AA2BE3" w:rsidRPr="007D1EF7" w:rsidRDefault="00AA2BE3" w:rsidP="00AA2BE3">
      <w:pPr>
        <w:rPr>
          <w:lang w:val="en-US"/>
        </w:rPr>
      </w:pPr>
      <w:r w:rsidRPr="007D1EF7">
        <w:rPr>
          <w:lang w:val="en-US"/>
        </w:rPr>
        <w:t>For adjacent band considerations, this assessment will initially assume that there is no frequency discrimination between the SRS and ISS. Subsequently, in the event that there is an excess of interference from the SRS into the ISS, further analysis will be performed into the effect of frequency separation of the two services.</w:t>
      </w:r>
    </w:p>
    <w:p w:rsidR="00AA2BE3" w:rsidRPr="007D1EF7" w:rsidRDefault="00AA2BE3" w:rsidP="00AA2BE3">
      <w:pPr>
        <w:pStyle w:val="Heading1"/>
        <w:rPr>
          <w:lang w:val="en-US"/>
        </w:rPr>
      </w:pPr>
      <w:bookmarkStart w:id="28" w:name="_Toc277668591"/>
      <w:r w:rsidRPr="007D1EF7">
        <w:rPr>
          <w:lang w:val="en-US"/>
        </w:rPr>
        <w:t>4</w:t>
      </w:r>
      <w:r w:rsidRPr="007D1EF7">
        <w:rPr>
          <w:lang w:val="en-US"/>
        </w:rPr>
        <w:tab/>
        <w:t>Interference analysis</w:t>
      </w:r>
      <w:bookmarkEnd w:id="28"/>
    </w:p>
    <w:p w:rsidR="00AA2BE3" w:rsidRPr="007D1EF7" w:rsidRDefault="00AA2BE3" w:rsidP="00AA2BE3">
      <w:pPr>
        <w:pStyle w:val="Heading2"/>
        <w:rPr>
          <w:lang w:val="en-US"/>
        </w:rPr>
      </w:pPr>
      <w:bookmarkStart w:id="29" w:name="_Toc277668592"/>
      <w:r w:rsidRPr="007D1EF7">
        <w:rPr>
          <w:lang w:val="en-US"/>
        </w:rPr>
        <w:t>4.1</w:t>
      </w:r>
      <w:r w:rsidRPr="007D1EF7">
        <w:rPr>
          <w:lang w:val="en-US"/>
        </w:rPr>
        <w:tab/>
        <w:t>Step-by-step simulation</w:t>
      </w:r>
      <w:bookmarkEnd w:id="29"/>
    </w:p>
    <w:p w:rsidR="00AA2BE3" w:rsidRPr="007D1EF7" w:rsidRDefault="00AA2BE3" w:rsidP="00720C6D">
      <w:pPr>
        <w:rPr>
          <w:lang w:val="en-US"/>
        </w:rPr>
      </w:pPr>
      <w:r w:rsidRPr="007D1EF7">
        <w:rPr>
          <w:lang w:val="en-US"/>
        </w:rPr>
        <w:t xml:space="preserve">The characteristics of Tables A1-1 and A1-2 are used to model the dynamics of the interfering SRS earth stations and victim ISS satellite links. An appropriate interval between calculations and simulation length are chosen, allowing a step-by-step calculation of the </w:t>
      </w:r>
      <w:r w:rsidRPr="007D1EF7">
        <w:rPr>
          <w:i/>
          <w:lang w:val="en-US"/>
        </w:rPr>
        <w:t>I</w:t>
      </w:r>
      <w:r w:rsidRPr="007D1EF7">
        <w:rPr>
          <w:iCs/>
          <w:lang w:val="en-US"/>
        </w:rPr>
        <w:t>/</w:t>
      </w:r>
      <w:r w:rsidRPr="007D1EF7">
        <w:rPr>
          <w:i/>
          <w:lang w:val="en-US"/>
        </w:rPr>
        <w:t>N</w:t>
      </w:r>
      <w:r w:rsidRPr="007D1EF7">
        <w:rPr>
          <w:lang w:val="en-US"/>
        </w:rPr>
        <w:t xml:space="preserve"> as per </w:t>
      </w:r>
      <w:r w:rsidR="009872B6" w:rsidRPr="007D1EF7">
        <w:rPr>
          <w:lang w:val="en-US"/>
        </w:rPr>
        <w:t>§</w:t>
      </w:r>
      <w:r w:rsidRPr="007D1EF7">
        <w:rPr>
          <w:lang w:val="en-US"/>
        </w:rPr>
        <w:t xml:space="preserve"> 3. In this way, the</w:t>
      </w:r>
      <w:r w:rsidR="009872B6" w:rsidRPr="007D1EF7">
        <w:rPr>
          <w:lang w:val="en-US"/>
        </w:rPr>
        <w:t xml:space="preserve"> </w:t>
      </w:r>
      <w:r w:rsidRPr="007D1EF7">
        <w:rPr>
          <w:lang w:val="en-US"/>
        </w:rPr>
        <w:t xml:space="preserve">cumulative distribution of the </w:t>
      </w:r>
      <w:r w:rsidRPr="007D1EF7">
        <w:rPr>
          <w:i/>
          <w:lang w:val="en-US"/>
        </w:rPr>
        <w:t>I</w:t>
      </w:r>
      <w:r w:rsidRPr="007D1EF7">
        <w:rPr>
          <w:iCs/>
          <w:lang w:val="en-US"/>
        </w:rPr>
        <w:t>/</w:t>
      </w:r>
      <w:r w:rsidRPr="007D1EF7">
        <w:rPr>
          <w:i/>
          <w:lang w:val="en-US"/>
        </w:rPr>
        <w:t>N</w:t>
      </w:r>
      <w:r w:rsidRPr="007D1EF7">
        <w:rPr>
          <w:lang w:val="en-US"/>
        </w:rPr>
        <w:t xml:space="preserve"> can be calculated and compared to the protection criteria in</w:t>
      </w:r>
      <w:r w:rsidR="00720C6D" w:rsidRPr="007D1EF7">
        <w:rPr>
          <w:lang w:val="en-US"/>
        </w:rPr>
        <w:t> </w:t>
      </w:r>
      <w:r w:rsidR="009872B6" w:rsidRPr="007D1EF7">
        <w:rPr>
          <w:lang w:val="en-US"/>
        </w:rPr>
        <w:t>§</w:t>
      </w:r>
      <w:r w:rsidRPr="007D1EF7">
        <w:rPr>
          <w:lang w:val="en-US"/>
        </w:rPr>
        <w:t> 4.</w:t>
      </w:r>
    </w:p>
    <w:p w:rsidR="00AA2BE3" w:rsidRPr="007D1EF7" w:rsidRDefault="00AA2BE3" w:rsidP="00AA2BE3">
      <w:pPr>
        <w:pStyle w:val="Heading2"/>
        <w:rPr>
          <w:lang w:val="en-US"/>
        </w:rPr>
      </w:pPr>
      <w:bookmarkStart w:id="30" w:name="_Toc277668593"/>
      <w:r w:rsidRPr="007D1EF7">
        <w:rPr>
          <w:lang w:val="en-US"/>
        </w:rPr>
        <w:t>4.2</w:t>
      </w:r>
      <w:r w:rsidRPr="007D1EF7">
        <w:rPr>
          <w:lang w:val="en-US"/>
        </w:rPr>
        <w:tab/>
        <w:t>Simulation assessment of interference</w:t>
      </w:r>
      <w:bookmarkEnd w:id="30"/>
      <w:r w:rsidRPr="007D1EF7">
        <w:rPr>
          <w:lang w:val="en-US"/>
        </w:rPr>
        <w:t xml:space="preserve"> </w:t>
      </w:r>
    </w:p>
    <w:p w:rsidR="00AA2BE3" w:rsidRPr="007D1EF7" w:rsidRDefault="00AA2BE3" w:rsidP="00AA2BE3">
      <w:pPr>
        <w:rPr>
          <w:lang w:val="en-US"/>
        </w:rPr>
      </w:pPr>
      <w:r w:rsidRPr="007D1EF7">
        <w:rPr>
          <w:lang w:val="en-US"/>
        </w:rPr>
        <w:t>A simulation has been performed to determine the time statistics of interference. An analysis of the results will be used to determine the compatibility of the proposed SRS (E-s) earth station emissions with co</w:t>
      </w:r>
      <w:r w:rsidRPr="007D1EF7">
        <w:rPr>
          <w:lang w:val="en-US"/>
        </w:rPr>
        <w:noBreakHyphen/>
        <w:t>frequency ISS receivers of the HIBLEO-2 constellation of satellites. Visualyse Professional Version 7 (Release 7.0.7.1) has been used to conduct this analysis, under the following conditions:</w:t>
      </w:r>
      <w:r w:rsidRPr="007D1EF7">
        <w:rPr>
          <w:color w:val="1F497D"/>
          <w:sz w:val="22"/>
          <w:szCs w:val="22"/>
          <w:lang w:val="en-US"/>
        </w:rPr>
        <w:t xml:space="preserve"> </w:t>
      </w:r>
    </w:p>
    <w:p w:rsidR="00AA2BE3" w:rsidRPr="007D1EF7" w:rsidRDefault="00AA2BE3" w:rsidP="009872B6">
      <w:pPr>
        <w:pStyle w:val="enumlev1"/>
        <w:rPr>
          <w:szCs w:val="22"/>
          <w:lang w:val="en-US"/>
        </w:rPr>
      </w:pPr>
      <w:r w:rsidRPr="007D1EF7">
        <w:rPr>
          <w:lang w:val="en-US"/>
        </w:rPr>
        <w:t>–</w:t>
      </w:r>
      <w:r w:rsidRPr="007D1EF7">
        <w:rPr>
          <w:lang w:val="en-US"/>
        </w:rPr>
        <w:tab/>
        <w:t>simulation length of 28 days, 16 h, 40 min, this length of time falling between the orbital period and synodic period of the Moon</w:t>
      </w:r>
      <w:r w:rsidRPr="007D1EF7">
        <w:rPr>
          <w:szCs w:val="22"/>
          <w:lang w:val="en-US"/>
        </w:rPr>
        <w:t>;</w:t>
      </w:r>
    </w:p>
    <w:p w:rsidR="00AA2BE3" w:rsidRPr="007D1EF7" w:rsidRDefault="00AA2BE3" w:rsidP="009872B6">
      <w:pPr>
        <w:pStyle w:val="enumlev1"/>
        <w:rPr>
          <w:lang w:val="en-US"/>
        </w:rPr>
      </w:pPr>
      <w:r w:rsidRPr="007D1EF7">
        <w:rPr>
          <w:szCs w:val="22"/>
          <w:lang w:val="en-US"/>
        </w:rPr>
        <w:t>_</w:t>
      </w:r>
      <w:r w:rsidRPr="007D1EF7">
        <w:rPr>
          <w:szCs w:val="22"/>
          <w:lang w:val="en-US"/>
        </w:rPr>
        <w:tab/>
      </w:r>
      <w:r w:rsidRPr="007D1EF7">
        <w:rPr>
          <w:lang w:val="en-US"/>
        </w:rPr>
        <w:t>constant visibility of at least two HIBLEO-2 satellites exists at latitudes around 35</w:t>
      </w:r>
      <w:r w:rsidR="009872B6" w:rsidRPr="007D1EF7">
        <w:rPr>
          <w:lang w:val="en-US"/>
        </w:rPr>
        <w:t>°</w:t>
      </w:r>
      <w:r w:rsidRPr="007D1EF7">
        <w:rPr>
          <w:lang w:val="en-US"/>
        </w:rPr>
        <w:t xml:space="preserve"> from at least one of the locations of Table A1-1 at any given point of time;</w:t>
      </w:r>
    </w:p>
    <w:p w:rsidR="00AA2BE3" w:rsidRPr="007D1EF7" w:rsidRDefault="00AA2BE3" w:rsidP="009872B6">
      <w:pPr>
        <w:pStyle w:val="enumlev1"/>
        <w:rPr>
          <w:lang w:val="en-US"/>
        </w:rPr>
      </w:pPr>
      <w:r w:rsidRPr="007D1EF7">
        <w:rPr>
          <w:lang w:val="en-US"/>
        </w:rPr>
        <w:t>–</w:t>
      </w:r>
      <w:r w:rsidRPr="007D1EF7">
        <w:rPr>
          <w:lang w:val="en-US"/>
        </w:rPr>
        <w:tab/>
        <w:t>time-step of 1 s between calculations, this interval being sufficient to capture interference events;</w:t>
      </w:r>
    </w:p>
    <w:p w:rsidR="00AA2BE3" w:rsidRPr="007D1EF7" w:rsidRDefault="00AA2BE3" w:rsidP="00AA2BE3">
      <w:pPr>
        <w:pStyle w:val="enumlev1"/>
        <w:rPr>
          <w:lang w:val="en-US"/>
        </w:rPr>
      </w:pPr>
      <w:r w:rsidRPr="007D1EF7">
        <w:rPr>
          <w:lang w:val="en-US"/>
        </w:rPr>
        <w:t>–</w:t>
      </w:r>
      <w:r w:rsidRPr="007D1EF7">
        <w:rPr>
          <w:lang w:val="en-US"/>
        </w:rPr>
        <w:tab/>
        <w:t>SRS and ISS with orbital and radiocommunications characteristics given in the relevant Tables;</w:t>
      </w:r>
    </w:p>
    <w:p w:rsidR="00AA2BE3" w:rsidRPr="007D1EF7" w:rsidRDefault="00AA2BE3" w:rsidP="00AA2BE3">
      <w:pPr>
        <w:pStyle w:val="enumlev1"/>
        <w:rPr>
          <w:lang w:val="en-US"/>
        </w:rPr>
      </w:pPr>
      <w:r w:rsidRPr="007D1EF7">
        <w:rPr>
          <w:lang w:val="en-US"/>
        </w:rPr>
        <w:t>–</w:t>
      </w:r>
      <w:r w:rsidRPr="007D1EF7">
        <w:rPr>
          <w:lang w:val="en-US"/>
        </w:rPr>
        <w:tab/>
        <w:t>free space propagation loss, with atmospheric absorption loss included, and calculated according to Recommendation ITU-R P.676 Attenuation by atmospheric gases;</w:t>
      </w:r>
    </w:p>
    <w:p w:rsidR="00AA2BE3" w:rsidRPr="007D1EF7" w:rsidRDefault="00AA2BE3" w:rsidP="00AA2BE3">
      <w:pPr>
        <w:pStyle w:val="enumlev1"/>
        <w:rPr>
          <w:lang w:val="en-US"/>
        </w:rPr>
      </w:pPr>
      <w:r w:rsidRPr="007D1EF7">
        <w:rPr>
          <w:lang w:val="en-US"/>
        </w:rPr>
        <w:t>–</w:t>
      </w:r>
      <w:r w:rsidRPr="007D1EF7">
        <w:rPr>
          <w:lang w:val="en-US"/>
        </w:rPr>
        <w:tab/>
        <w:t>temperature and water vapour density values calculated according to Recommendations ITU-R P.1510 and ITU-R P.836, and standard atmospheric pressure (1 013 hPa);</w:t>
      </w:r>
    </w:p>
    <w:p w:rsidR="00AA2BE3" w:rsidRPr="007D1EF7" w:rsidRDefault="00AA2BE3" w:rsidP="009872B6">
      <w:pPr>
        <w:pStyle w:val="enumlev1"/>
        <w:rPr>
          <w:lang w:val="en-US"/>
        </w:rPr>
      </w:pPr>
      <w:r w:rsidRPr="007D1EF7">
        <w:rPr>
          <w:lang w:val="en-US"/>
        </w:rPr>
        <w:t>–</w:t>
      </w:r>
      <w:r w:rsidRPr="007D1EF7">
        <w:rPr>
          <w:lang w:val="en-US"/>
        </w:rPr>
        <w:tab/>
        <w:t>time percentage of harmful interference calculated by the percentage of steps for which an ISS link exceeds the protection criteria;</w:t>
      </w:r>
    </w:p>
    <w:p w:rsidR="00AA2BE3" w:rsidRPr="007D1EF7" w:rsidRDefault="00AA2BE3" w:rsidP="00AA2BE3">
      <w:pPr>
        <w:pStyle w:val="enumlev1"/>
        <w:rPr>
          <w:lang w:val="en-US"/>
        </w:rPr>
      </w:pPr>
      <w:r w:rsidRPr="007D1EF7">
        <w:rPr>
          <w:lang w:val="en-US"/>
        </w:rPr>
        <w:t>–</w:t>
      </w:r>
      <w:r w:rsidRPr="007D1EF7">
        <w:rPr>
          <w:lang w:val="en-US"/>
        </w:rPr>
        <w:tab/>
        <w:t>no frequency separation, bandwidth advantage, or polarization discrimination has been assumed.</w:t>
      </w:r>
    </w:p>
    <w:p w:rsidR="00AA2BE3" w:rsidRPr="007D1EF7" w:rsidRDefault="00AA2BE3" w:rsidP="00AA2BE3">
      <w:pPr>
        <w:pStyle w:val="Heading1"/>
        <w:rPr>
          <w:lang w:val="en-US"/>
        </w:rPr>
      </w:pPr>
      <w:bookmarkStart w:id="31" w:name="_Toc277668594"/>
      <w:r w:rsidRPr="007D1EF7">
        <w:rPr>
          <w:lang w:val="en-US"/>
        </w:rPr>
        <w:t>5</w:t>
      </w:r>
      <w:r w:rsidRPr="007D1EF7">
        <w:rPr>
          <w:lang w:val="en-US"/>
        </w:rPr>
        <w:tab/>
        <w:t>Simulation results</w:t>
      </w:r>
      <w:bookmarkEnd w:id="31"/>
    </w:p>
    <w:p w:rsidR="00AA2BE3" w:rsidRPr="007D1EF7" w:rsidRDefault="00AA2BE3" w:rsidP="00AA2BE3">
      <w:pPr>
        <w:rPr>
          <w:color w:val="000080"/>
          <w:sz w:val="22"/>
          <w:szCs w:val="22"/>
          <w:lang w:val="en-US"/>
        </w:rPr>
      </w:pPr>
      <w:r w:rsidRPr="007D1EF7">
        <w:rPr>
          <w:lang w:val="en-US"/>
        </w:rPr>
        <w:t>Figure A1-1 shows the results of the interference assessment with an antenna pattern following the agreed HIBLEO-2 pattern. Six cumulative distribution functions, representing SRS (E-s) emissions into one ISS link selected randomly from each orbital plane, are displayed. Of note in Fig. A1-1 is that the in-band protection criterion (e.g. Recommendation ITU-R SA.1155) is met with a minimum margin of 37 dB.</w:t>
      </w:r>
    </w:p>
    <w:p w:rsidR="00AA2BE3" w:rsidRPr="007D1EF7" w:rsidRDefault="00AA2BE3" w:rsidP="00AA2BE3">
      <w:pPr>
        <w:rPr>
          <w:lang w:val="en-US"/>
        </w:rPr>
      </w:pPr>
      <w:r w:rsidRPr="007D1EF7">
        <w:rPr>
          <w:lang w:val="en-US"/>
        </w:rPr>
        <w:lastRenderedPageBreak/>
        <w:t>Furthermore, the O</w:t>
      </w:r>
      <w:r w:rsidR="009872B6" w:rsidRPr="007D1EF7">
        <w:rPr>
          <w:lang w:val="en-US"/>
        </w:rPr>
        <w:t>o</w:t>
      </w:r>
      <w:r w:rsidRPr="007D1EF7">
        <w:rPr>
          <w:lang w:val="en-US"/>
        </w:rPr>
        <w:t xml:space="preserve">B interference protection criterion of –16 dB, not to be exceeded for more than 0.01% of time, is achieved with a margin of at least 18 dB if applied to a co-frequency scenario. </w:t>
      </w:r>
    </w:p>
    <w:p w:rsidR="00AA2BE3" w:rsidRPr="007D1EF7" w:rsidRDefault="00AA2BE3" w:rsidP="00AA2BE3">
      <w:pPr>
        <w:rPr>
          <w:lang w:val="en-US"/>
        </w:rPr>
      </w:pPr>
      <w:r w:rsidRPr="007D1EF7">
        <w:rPr>
          <w:lang w:val="en-US"/>
        </w:rPr>
        <w:t>It should be stressed that this margin with respect to the O</w:t>
      </w:r>
      <w:r w:rsidR="009872B6" w:rsidRPr="007D1EF7">
        <w:rPr>
          <w:lang w:val="en-US"/>
        </w:rPr>
        <w:t>o</w:t>
      </w:r>
      <w:r w:rsidRPr="007D1EF7">
        <w:rPr>
          <w:lang w:val="en-US"/>
        </w:rPr>
        <w:t>B criterion assumes no suppression of O</w:t>
      </w:r>
      <w:r w:rsidR="009872B6" w:rsidRPr="007D1EF7">
        <w:rPr>
          <w:lang w:val="en-US"/>
        </w:rPr>
        <w:t>o</w:t>
      </w:r>
      <w:r w:rsidRPr="007D1EF7">
        <w:rPr>
          <w:lang w:val="en-US"/>
        </w:rPr>
        <w:t>B emissions. Several orders of magnitude of additional margin over the O</w:t>
      </w:r>
      <w:r w:rsidR="009872B6" w:rsidRPr="007D1EF7">
        <w:rPr>
          <w:lang w:val="en-US"/>
        </w:rPr>
        <w:t>o</w:t>
      </w:r>
      <w:r w:rsidRPr="007D1EF7">
        <w:rPr>
          <w:lang w:val="en-US"/>
        </w:rPr>
        <w:t>B protection criterion can therefore be assumed.</w:t>
      </w:r>
    </w:p>
    <w:p w:rsidR="00AA2BE3" w:rsidRPr="007D1EF7" w:rsidRDefault="00AA2BE3" w:rsidP="00AA2BE3">
      <w:pPr>
        <w:rPr>
          <w:lang w:val="en-US"/>
        </w:rPr>
      </w:pPr>
      <w:r w:rsidRPr="007D1EF7">
        <w:rPr>
          <w:lang w:val="en-US"/>
        </w:rPr>
        <w:t>Actual SRS earth station antenna patterns, which employ large antennas, will likely have a side-lobe performance exceeding that used to produce the above results. Further consideration of such increases in antenna performance is likely to show an even greater level of compatibility with HIBLEO-2 ISS links.</w:t>
      </w:r>
    </w:p>
    <w:p w:rsidR="00AA2BE3" w:rsidRPr="007D1EF7" w:rsidRDefault="00AA2BE3" w:rsidP="00AA2BE3">
      <w:pPr>
        <w:rPr>
          <w:lang w:val="en-US"/>
        </w:rPr>
      </w:pPr>
      <w:r w:rsidRPr="007D1EF7">
        <w:rPr>
          <w:lang w:val="en-US"/>
        </w:rPr>
        <w:t>Finally, with respect to O</w:t>
      </w:r>
      <w:r w:rsidR="009872B6" w:rsidRPr="007D1EF7">
        <w:rPr>
          <w:lang w:val="en-US"/>
        </w:rPr>
        <w:t>o</w:t>
      </w:r>
      <w:r w:rsidRPr="007D1EF7">
        <w:rPr>
          <w:lang w:val="en-US"/>
        </w:rPr>
        <w:t>B compatibility, consideration of all SRS earth stations in operation in the 22.55-23.15 GHz band is taken into account by considering emissions of three earth stations which transmit whenever in view of the Moon over a period of one month. Although the maximum number of SRS earth stations in the band may be greater than this, their aggregate effect will only slightly reduce the very high margin over the agreed O</w:t>
      </w:r>
      <w:r w:rsidR="009872B6" w:rsidRPr="007D1EF7">
        <w:rPr>
          <w:lang w:val="en-US"/>
        </w:rPr>
        <w:t>o</w:t>
      </w:r>
      <w:r w:rsidRPr="007D1EF7">
        <w:rPr>
          <w:lang w:val="en-US"/>
        </w:rPr>
        <w:t>B criterion for the HIBLEO-2 ISS, and will be offset by the considerations of SRS antenna pattern mentioned in the previous paragraph.</w:t>
      </w:r>
    </w:p>
    <w:p w:rsidR="00AA2BE3" w:rsidRPr="007D1EF7" w:rsidRDefault="00AA2BE3" w:rsidP="00AA2BE3">
      <w:pPr>
        <w:pStyle w:val="FigureNo"/>
        <w:rPr>
          <w:lang w:val="en-US"/>
        </w:rPr>
      </w:pPr>
      <w:r w:rsidRPr="007D1EF7">
        <w:rPr>
          <w:lang w:val="en-US"/>
        </w:rPr>
        <w:t>Figure A1-1</w:t>
      </w:r>
    </w:p>
    <w:p w:rsidR="00AA2BE3" w:rsidRPr="007D1EF7" w:rsidRDefault="00AA2BE3" w:rsidP="00AA2BE3">
      <w:pPr>
        <w:pStyle w:val="Figuretitle"/>
        <w:rPr>
          <w:lang w:val="en-US"/>
        </w:rPr>
      </w:pPr>
      <w:r w:rsidRPr="007D1EF7">
        <w:rPr>
          <w:lang w:val="en-US"/>
        </w:rPr>
        <w:t xml:space="preserve">Results of interference assessment </w:t>
      </w:r>
    </w:p>
    <w:p w:rsidR="00AA2BE3" w:rsidRPr="006C2078" w:rsidRDefault="00AA2BE3" w:rsidP="009872B6">
      <w:pPr>
        <w:pStyle w:val="Figure"/>
      </w:pPr>
      <w:r>
        <w:rPr>
          <w:noProof/>
          <w:lang w:val="en-US" w:eastAsia="zh-CN"/>
        </w:rPr>
        <w:drawing>
          <wp:inline distT="0" distB="0" distL="0" distR="0">
            <wp:extent cx="6043295" cy="2480945"/>
            <wp:effectExtent l="19050" t="0" r="0" b="0"/>
            <wp:docPr id="16" name="Picture 15" descr="CDF for interference SRS-Ir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F for interference SRS-Iridium"/>
                    <pic:cNvPicPr>
                      <a:picLocks noChangeAspect="1" noChangeArrowheads="1"/>
                    </pic:cNvPicPr>
                  </pic:nvPicPr>
                  <pic:blipFill>
                    <a:blip r:embed="rId19" cstate="print"/>
                    <a:srcRect/>
                    <a:stretch>
                      <a:fillRect/>
                    </a:stretch>
                  </pic:blipFill>
                  <pic:spPr bwMode="auto">
                    <a:xfrm>
                      <a:off x="0" y="0"/>
                      <a:ext cx="6043295" cy="2480945"/>
                    </a:xfrm>
                    <a:prstGeom prst="rect">
                      <a:avLst/>
                    </a:prstGeom>
                    <a:noFill/>
                    <a:ln w="9525">
                      <a:noFill/>
                      <a:miter lim="800000"/>
                      <a:headEnd/>
                      <a:tailEnd/>
                    </a:ln>
                  </pic:spPr>
                </pic:pic>
              </a:graphicData>
            </a:graphic>
          </wp:inline>
        </w:drawing>
      </w:r>
    </w:p>
    <w:p w:rsidR="00AA2BE3" w:rsidRPr="007D1EF7" w:rsidRDefault="00AA2BE3" w:rsidP="00AA2BE3">
      <w:pPr>
        <w:pStyle w:val="Heading1"/>
        <w:rPr>
          <w:lang w:val="en-US"/>
        </w:rPr>
      </w:pPr>
      <w:bookmarkStart w:id="32" w:name="_Toc277668595"/>
      <w:r w:rsidRPr="007D1EF7">
        <w:rPr>
          <w:lang w:val="en-US"/>
        </w:rPr>
        <w:t>6</w:t>
      </w:r>
      <w:r w:rsidRPr="007D1EF7">
        <w:rPr>
          <w:lang w:val="en-US"/>
        </w:rPr>
        <w:tab/>
        <w:t>Conclusion</w:t>
      </w:r>
      <w:bookmarkEnd w:id="32"/>
      <w:r w:rsidRPr="007D1EF7">
        <w:rPr>
          <w:lang w:val="en-US"/>
        </w:rPr>
        <w:t xml:space="preserve"> </w:t>
      </w:r>
    </w:p>
    <w:p w:rsidR="00AA2BE3" w:rsidRPr="007D1EF7" w:rsidRDefault="00AA2BE3" w:rsidP="00EB0992">
      <w:pPr>
        <w:rPr>
          <w:lang w:val="en-US"/>
        </w:rPr>
      </w:pPr>
      <w:r w:rsidRPr="007D1EF7">
        <w:rPr>
          <w:lang w:val="en-US"/>
        </w:rPr>
        <w:t>An analysis of the interference impact from the proposed SRS (E-s) into existing HIBLEO-2 ISS in a hypothetical co-frequency sharing scenario in the band 22.55-23.15 GHz has been performed in the form of a step-by-step simulation. The analysis utili</w:t>
      </w:r>
      <w:r w:rsidR="00EB0992" w:rsidRPr="007D1EF7">
        <w:rPr>
          <w:lang w:val="en-US"/>
        </w:rPr>
        <w:t>z</w:t>
      </w:r>
      <w:r w:rsidRPr="007D1EF7">
        <w:rPr>
          <w:lang w:val="en-US"/>
        </w:rPr>
        <w:t>ed the agreed HIBLEO-2 ISS O</w:t>
      </w:r>
      <w:r w:rsidR="009872B6" w:rsidRPr="007D1EF7">
        <w:rPr>
          <w:lang w:val="en-US"/>
        </w:rPr>
        <w:t>o</w:t>
      </w:r>
      <w:r w:rsidRPr="007D1EF7">
        <w:rPr>
          <w:lang w:val="en-US"/>
        </w:rPr>
        <w:t>B protection criteria. This protection criteria is more stringent than the in-band criteria agreed by WP 4A. The results of the analysis indicate that there is no harmful interference to HIBLEO-2 ISS.</w:t>
      </w:r>
    </w:p>
    <w:p w:rsidR="00AA2BE3" w:rsidRPr="007D1EF7" w:rsidRDefault="00AA2BE3" w:rsidP="00AA2BE3">
      <w:pPr>
        <w:rPr>
          <w:lang w:val="en-US"/>
        </w:rPr>
      </w:pPr>
      <w:r w:rsidRPr="007D1EF7">
        <w:rPr>
          <w:lang w:val="en-US"/>
        </w:rPr>
        <w:t>Given that this in-band study shows compatibility with a large margin of protection for HIBLEO-2 even when the O</w:t>
      </w:r>
      <w:r w:rsidR="009872B6" w:rsidRPr="007D1EF7">
        <w:rPr>
          <w:lang w:val="en-US"/>
        </w:rPr>
        <w:t>o</w:t>
      </w:r>
      <w:r w:rsidRPr="007D1EF7">
        <w:rPr>
          <w:lang w:val="en-US"/>
        </w:rPr>
        <w:t>B protection criteria is applied in an in-band/co-frequency scenario, no further analysis of the impact of O</w:t>
      </w:r>
      <w:r w:rsidR="009872B6" w:rsidRPr="007D1EF7">
        <w:rPr>
          <w:lang w:val="en-US"/>
        </w:rPr>
        <w:t>o</w:t>
      </w:r>
      <w:r w:rsidRPr="007D1EF7">
        <w:rPr>
          <w:lang w:val="en-US"/>
        </w:rPr>
        <w:t>B SRS (E-s) earth station emissions is required. It is expected that consideration of O</w:t>
      </w:r>
      <w:r w:rsidR="009872B6" w:rsidRPr="007D1EF7">
        <w:rPr>
          <w:lang w:val="en-US"/>
        </w:rPr>
        <w:t>o</w:t>
      </w:r>
      <w:r w:rsidRPr="007D1EF7">
        <w:rPr>
          <w:lang w:val="en-US"/>
        </w:rPr>
        <w:t>B SRS (E-s) emissions would show increased compatibility with HIBLEO-2 ISS services with a significant additional margin of protection.</w:t>
      </w:r>
    </w:p>
    <w:p w:rsidR="00AA2BE3" w:rsidRPr="007D1EF7" w:rsidRDefault="00AA2BE3" w:rsidP="00AA2BE3">
      <w:pPr>
        <w:rPr>
          <w:lang w:val="en-US"/>
        </w:rPr>
      </w:pPr>
      <w:r w:rsidRPr="007D1EF7">
        <w:rPr>
          <w:lang w:val="en-US"/>
        </w:rPr>
        <w:t>With respect to the HIBLEO-2 ISS, in-band and O</w:t>
      </w:r>
      <w:r w:rsidR="009872B6" w:rsidRPr="007D1EF7">
        <w:rPr>
          <w:lang w:val="en-US"/>
        </w:rPr>
        <w:t>o</w:t>
      </w:r>
      <w:r w:rsidRPr="007D1EF7">
        <w:rPr>
          <w:lang w:val="en-US"/>
        </w:rPr>
        <w:t>B compatibility exists with the proposed SRS (E-s) in 22.55-23.15 GHz, without undue constraint to HIBLEO-2 ISS.</w:t>
      </w:r>
    </w:p>
    <w:p w:rsidR="00A47FF8" w:rsidRPr="007D1EF7" w:rsidRDefault="00A47FF8">
      <w:pPr>
        <w:tabs>
          <w:tab w:val="clear" w:pos="794"/>
          <w:tab w:val="clear" w:pos="1191"/>
          <w:tab w:val="clear" w:pos="1588"/>
          <w:tab w:val="clear" w:pos="1985"/>
        </w:tabs>
        <w:overflowPunct/>
        <w:autoSpaceDE/>
        <w:autoSpaceDN/>
        <w:adjustRightInd/>
        <w:spacing w:before="0"/>
        <w:jc w:val="left"/>
        <w:textAlignment w:val="auto"/>
        <w:rPr>
          <w:b/>
          <w:sz w:val="28"/>
          <w:lang w:val="en-US"/>
        </w:rPr>
      </w:pPr>
    </w:p>
    <w:p w:rsidR="00AA2BE3" w:rsidRPr="007D1EF7" w:rsidRDefault="00AA2BE3" w:rsidP="009872B6">
      <w:pPr>
        <w:pStyle w:val="AnnexNoTitle"/>
        <w:rPr>
          <w:lang w:val="en-US"/>
        </w:rPr>
      </w:pPr>
      <w:bookmarkStart w:id="33" w:name="_Toc277668596"/>
      <w:r w:rsidRPr="007D1EF7">
        <w:rPr>
          <w:lang w:val="en-US"/>
        </w:rPr>
        <w:lastRenderedPageBreak/>
        <w:t>Annex 2</w:t>
      </w:r>
      <w:r w:rsidR="009872B6" w:rsidRPr="007D1EF7">
        <w:rPr>
          <w:lang w:val="en-US"/>
        </w:rPr>
        <w:br/>
      </w:r>
      <w:r w:rsidR="009872B6" w:rsidRPr="007D1EF7">
        <w:rPr>
          <w:lang w:val="en-US"/>
        </w:rPr>
        <w:br/>
      </w:r>
      <w:r w:rsidRPr="007D1EF7">
        <w:rPr>
          <w:lang w:val="en-US"/>
        </w:rPr>
        <w:t>Summary of Study 2</w:t>
      </w:r>
      <w:bookmarkEnd w:id="33"/>
    </w:p>
    <w:p w:rsidR="00AA2BE3" w:rsidRPr="007D1EF7" w:rsidRDefault="00AA2BE3" w:rsidP="00AA2BE3">
      <w:pPr>
        <w:pStyle w:val="Heading1"/>
        <w:rPr>
          <w:lang w:val="en-US" w:eastAsia="ja-JP"/>
        </w:rPr>
      </w:pPr>
      <w:bookmarkStart w:id="34" w:name="_Toc277668597"/>
      <w:r w:rsidRPr="007D1EF7">
        <w:rPr>
          <w:lang w:val="en-US" w:eastAsia="ja-JP"/>
        </w:rPr>
        <w:t>1</w:t>
      </w:r>
      <w:r w:rsidRPr="007D1EF7">
        <w:rPr>
          <w:lang w:val="en-US" w:eastAsia="ja-JP"/>
        </w:rPr>
        <w:tab/>
        <w:t>System characteristics</w:t>
      </w:r>
      <w:bookmarkEnd w:id="34"/>
    </w:p>
    <w:p w:rsidR="00AA2BE3" w:rsidRPr="007D1EF7" w:rsidRDefault="00AA2BE3" w:rsidP="00AA2BE3">
      <w:pPr>
        <w:pStyle w:val="Heading2"/>
        <w:rPr>
          <w:lang w:val="en-US"/>
        </w:rPr>
      </w:pPr>
      <w:bookmarkStart w:id="35" w:name="_Toc51045766"/>
      <w:bookmarkStart w:id="36" w:name="_Toc277668598"/>
      <w:r w:rsidRPr="007D1EF7">
        <w:rPr>
          <w:lang w:val="en-US"/>
        </w:rPr>
        <w:t>1.</w:t>
      </w:r>
      <w:r w:rsidRPr="007D1EF7">
        <w:rPr>
          <w:lang w:val="en-US" w:eastAsia="ja-JP"/>
        </w:rPr>
        <w:t>1</w:t>
      </w:r>
      <w:r w:rsidRPr="007D1EF7">
        <w:rPr>
          <w:lang w:val="en-US"/>
        </w:rPr>
        <w:tab/>
      </w:r>
      <w:r w:rsidRPr="007D1EF7">
        <w:rPr>
          <w:lang w:val="en-US" w:eastAsia="ja-JP"/>
        </w:rPr>
        <w:t xml:space="preserve">SRS </w:t>
      </w:r>
      <w:r w:rsidRPr="007D1EF7">
        <w:rPr>
          <w:lang w:val="en-US"/>
        </w:rPr>
        <w:t>earth station</w:t>
      </w:r>
      <w:r w:rsidRPr="007D1EF7">
        <w:rPr>
          <w:lang w:val="en-US" w:eastAsia="ja-JP"/>
        </w:rPr>
        <w:t xml:space="preserve"> and mission satellite </w:t>
      </w:r>
      <w:r w:rsidRPr="007D1EF7">
        <w:rPr>
          <w:lang w:val="en-US"/>
        </w:rPr>
        <w:t>characteristics</w:t>
      </w:r>
      <w:bookmarkEnd w:id="35"/>
      <w:bookmarkEnd w:id="36"/>
    </w:p>
    <w:p w:rsidR="00AA2BE3" w:rsidRPr="007D1EF7" w:rsidRDefault="00AA2BE3" w:rsidP="009872B6">
      <w:pPr>
        <w:rPr>
          <w:b/>
          <w:lang w:val="en-US" w:eastAsia="ja-JP"/>
        </w:rPr>
      </w:pPr>
      <w:r w:rsidRPr="007D1EF7">
        <w:rPr>
          <w:lang w:val="en-US" w:eastAsia="ja-JP"/>
        </w:rPr>
        <w:t xml:space="preserve">The introductory section of this </w:t>
      </w:r>
      <w:r w:rsidR="009872B6" w:rsidRPr="007D1EF7">
        <w:rPr>
          <w:lang w:val="en-US" w:eastAsia="ja-JP"/>
        </w:rPr>
        <w:t>R</w:t>
      </w:r>
      <w:r w:rsidRPr="007D1EF7">
        <w:rPr>
          <w:lang w:val="en-US" w:eastAsia="ja-JP"/>
        </w:rPr>
        <w:t xml:space="preserve">eport </w:t>
      </w:r>
      <w:r w:rsidRPr="007D1EF7">
        <w:rPr>
          <w:lang w:val="en-US"/>
        </w:rPr>
        <w:t xml:space="preserve">provides </w:t>
      </w:r>
      <w:r w:rsidRPr="007D1EF7">
        <w:rPr>
          <w:lang w:val="en-US" w:eastAsia="ja-JP"/>
        </w:rPr>
        <w:t xml:space="preserve">the </w:t>
      </w:r>
      <w:r w:rsidRPr="007D1EF7">
        <w:rPr>
          <w:lang w:val="en-US"/>
        </w:rPr>
        <w:t>SRS earth station and mission satellite characteristics for use in developing sharing studies within the 22.55</w:t>
      </w:r>
      <w:r w:rsidRPr="007D1EF7">
        <w:rPr>
          <w:lang w:val="en-US"/>
        </w:rPr>
        <w:noBreakHyphen/>
        <w:t>23.15 GHz band. These characteristics are representative of the technical and operating characteristics of earth stations and mission satellites supporting near-Earth, lunar, and Sun-Earth Lagrangian space research service (SRS) missions.</w:t>
      </w:r>
    </w:p>
    <w:p w:rsidR="00AA2BE3" w:rsidRPr="007D1EF7" w:rsidRDefault="00AA2BE3" w:rsidP="00AA2BE3">
      <w:pPr>
        <w:rPr>
          <w:lang w:val="en-US"/>
        </w:rPr>
      </w:pPr>
      <w:r w:rsidRPr="007D1EF7">
        <w:rPr>
          <w:lang w:val="en-US"/>
        </w:rPr>
        <w:t>The characteristics of the SRS earth station emissions in the 23 GHz band are summarized in Table A2-1a</w:t>
      </w:r>
      <w:r w:rsidR="009872B6" w:rsidRPr="007D1EF7">
        <w:rPr>
          <w:lang w:val="en-US"/>
        </w:rPr>
        <w:t>)</w:t>
      </w:r>
      <w:r w:rsidRPr="007D1EF7">
        <w:rPr>
          <w:lang w:val="en-US"/>
        </w:rPr>
        <w:t>. The SRS missions supported by these earth stations will be non-deep space SRS missions. The SRS earth station characteristics are based on supporting three types of space research missions: low-Earth orbiting (LEO) missions; Lunar missions; and Sun-Earth Lagrangian (L1/L2) missions. Table A2-1b</w:t>
      </w:r>
      <w:r w:rsidR="009872B6" w:rsidRPr="007D1EF7">
        <w:rPr>
          <w:lang w:val="en-US"/>
        </w:rPr>
        <w:t>)</w:t>
      </w:r>
      <w:r w:rsidRPr="007D1EF7">
        <w:rPr>
          <w:lang w:val="en-US"/>
        </w:rPr>
        <w:t xml:space="preserve"> lists the orbital and receiving characteristics of the</w:t>
      </w:r>
      <w:r w:rsidRPr="007D1EF7">
        <w:rPr>
          <w:lang w:val="en-US" w:eastAsia="ja-JP"/>
        </w:rPr>
        <w:t>se</w:t>
      </w:r>
      <w:r w:rsidRPr="007D1EF7">
        <w:rPr>
          <w:lang w:val="en-US"/>
        </w:rPr>
        <w:t xml:space="preserve"> mission satellites.</w:t>
      </w:r>
    </w:p>
    <w:p w:rsidR="00A47FF8" w:rsidRPr="007D1EF7" w:rsidRDefault="00A47FF8" w:rsidP="00AA2BE3">
      <w:pPr>
        <w:rPr>
          <w:lang w:val="en-US"/>
        </w:rPr>
      </w:pPr>
    </w:p>
    <w:p w:rsidR="00A47FF8" w:rsidRPr="007D1EF7" w:rsidRDefault="00A47FF8" w:rsidP="00AA2BE3">
      <w:pPr>
        <w:rPr>
          <w:lang w:val="en-US"/>
        </w:rPr>
      </w:pPr>
    </w:p>
    <w:p w:rsidR="00AA2BE3" w:rsidRPr="007D1EF7" w:rsidRDefault="009D5E0B" w:rsidP="00AA2BE3">
      <w:pPr>
        <w:pStyle w:val="TableNo"/>
        <w:rPr>
          <w:lang w:val="en-US"/>
        </w:rPr>
      </w:pPr>
      <w:r w:rsidRPr="007D1EF7">
        <w:rPr>
          <w:lang w:val="en-US"/>
        </w:rPr>
        <w:t>TABLE</w:t>
      </w:r>
      <w:r w:rsidR="00AA2BE3" w:rsidRPr="007D1EF7">
        <w:rPr>
          <w:lang w:val="en-US"/>
        </w:rPr>
        <w:t xml:space="preserve"> A2-1a</w:t>
      </w:r>
    </w:p>
    <w:p w:rsidR="00AA2BE3" w:rsidRPr="007D1EF7" w:rsidRDefault="00AA2BE3" w:rsidP="00AA2BE3">
      <w:pPr>
        <w:pStyle w:val="Tabletitle"/>
        <w:rPr>
          <w:lang w:val="en-US"/>
        </w:rPr>
      </w:pPr>
      <w:r w:rsidRPr="007D1EF7">
        <w:rPr>
          <w:lang w:val="en-US"/>
        </w:rPr>
        <w:t>Technical and operating characteristics of SRS earth stations support</w:t>
      </w:r>
      <w:r w:rsidRPr="007D1EF7">
        <w:rPr>
          <w:lang w:val="en-US" w:eastAsia="ja-JP"/>
        </w:rPr>
        <w:t>ing</w:t>
      </w:r>
      <w:r w:rsidRPr="007D1EF7">
        <w:rPr>
          <w:lang w:val="en-US"/>
        </w:rPr>
        <w:t xml:space="preserve"> example 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1"/>
        <w:gridCol w:w="1559"/>
        <w:gridCol w:w="1559"/>
        <w:gridCol w:w="1559"/>
      </w:tblGrid>
      <w:tr w:rsidR="009D5E0B" w:rsidRPr="006C2078" w:rsidTr="009D5E0B">
        <w:trPr>
          <w:jc w:val="center"/>
        </w:trPr>
        <w:tc>
          <w:tcPr>
            <w:tcW w:w="4961" w:type="dxa"/>
            <w:vAlign w:val="center"/>
          </w:tcPr>
          <w:p w:rsidR="009D5E0B" w:rsidRPr="006C2078" w:rsidRDefault="009D5E0B" w:rsidP="00192341">
            <w:pPr>
              <w:pStyle w:val="Tablehead"/>
            </w:pPr>
            <w:r w:rsidRPr="006C2078">
              <w:t>Parameter</w:t>
            </w:r>
          </w:p>
        </w:tc>
        <w:tc>
          <w:tcPr>
            <w:tcW w:w="1559" w:type="dxa"/>
            <w:gridSpan w:val="3"/>
            <w:vAlign w:val="center"/>
          </w:tcPr>
          <w:p w:rsidR="009D5E0B" w:rsidRPr="006C2078" w:rsidRDefault="009D5E0B" w:rsidP="00192341">
            <w:pPr>
              <w:pStyle w:val="Tablehead"/>
            </w:pPr>
            <w:r w:rsidRPr="006C2078">
              <w:t>Value</w:t>
            </w:r>
          </w:p>
        </w:tc>
      </w:tr>
      <w:tr w:rsidR="009D5E0B" w:rsidRPr="006C2078" w:rsidTr="009D5E0B">
        <w:trPr>
          <w:jc w:val="center"/>
        </w:trPr>
        <w:tc>
          <w:tcPr>
            <w:tcW w:w="4961" w:type="dxa"/>
            <w:vAlign w:val="center"/>
          </w:tcPr>
          <w:p w:rsidR="009D5E0B" w:rsidRPr="006C2078" w:rsidRDefault="009D5E0B" w:rsidP="009D5E0B">
            <w:pPr>
              <w:pStyle w:val="Tabletext"/>
              <w:jc w:val="left"/>
            </w:pPr>
            <w:r w:rsidRPr="006C2078">
              <w:t>Supported mission</w:t>
            </w:r>
          </w:p>
        </w:tc>
        <w:tc>
          <w:tcPr>
            <w:tcW w:w="1559" w:type="dxa"/>
            <w:vAlign w:val="center"/>
          </w:tcPr>
          <w:p w:rsidR="009D5E0B" w:rsidRPr="006C2078" w:rsidRDefault="009D5E0B" w:rsidP="009D5E0B">
            <w:pPr>
              <w:pStyle w:val="Tabletext"/>
              <w:jc w:val="center"/>
            </w:pPr>
            <w:r w:rsidRPr="006C2078">
              <w:t>LEO</w:t>
            </w:r>
          </w:p>
        </w:tc>
        <w:tc>
          <w:tcPr>
            <w:tcW w:w="1559" w:type="dxa"/>
            <w:vAlign w:val="center"/>
          </w:tcPr>
          <w:p w:rsidR="009D5E0B" w:rsidRPr="006C2078" w:rsidRDefault="009D5E0B" w:rsidP="009D5E0B">
            <w:pPr>
              <w:pStyle w:val="Tabletext"/>
              <w:jc w:val="center"/>
            </w:pPr>
            <w:r w:rsidRPr="006C2078">
              <w:t>Lunar</w:t>
            </w:r>
          </w:p>
        </w:tc>
        <w:tc>
          <w:tcPr>
            <w:tcW w:w="1559" w:type="dxa"/>
            <w:vAlign w:val="center"/>
          </w:tcPr>
          <w:p w:rsidR="009D5E0B" w:rsidRPr="006C2078" w:rsidRDefault="009D5E0B" w:rsidP="009D5E0B">
            <w:pPr>
              <w:pStyle w:val="Tabletext"/>
              <w:jc w:val="center"/>
            </w:pPr>
            <w:r w:rsidRPr="006C2078">
              <w:t>L1/L2</w:t>
            </w:r>
          </w:p>
        </w:tc>
      </w:tr>
      <w:tr w:rsidR="009D5E0B" w:rsidRPr="006C2078" w:rsidTr="009D5E0B">
        <w:trPr>
          <w:jc w:val="center"/>
        </w:trPr>
        <w:tc>
          <w:tcPr>
            <w:tcW w:w="4961" w:type="dxa"/>
            <w:vAlign w:val="center"/>
          </w:tcPr>
          <w:p w:rsidR="009D5E0B" w:rsidRPr="007D1EF7" w:rsidRDefault="009D5E0B" w:rsidP="009D5E0B">
            <w:pPr>
              <w:pStyle w:val="Tabletext"/>
              <w:jc w:val="left"/>
              <w:rPr>
                <w:lang w:val="en-US"/>
              </w:rPr>
            </w:pPr>
            <w:r w:rsidRPr="007D1EF7">
              <w:rPr>
                <w:lang w:val="en-US"/>
              </w:rPr>
              <w:t>SRS earth station latitude (degrees)</w:t>
            </w:r>
          </w:p>
        </w:tc>
        <w:tc>
          <w:tcPr>
            <w:tcW w:w="1559" w:type="dxa"/>
            <w:vAlign w:val="center"/>
          </w:tcPr>
          <w:p w:rsidR="009D5E0B" w:rsidRPr="006C2078" w:rsidRDefault="009D5E0B" w:rsidP="009D5E0B">
            <w:pPr>
              <w:pStyle w:val="Tabletext"/>
              <w:jc w:val="center"/>
            </w:pPr>
            <w:r w:rsidRPr="006C2078">
              <w:t>32.5 N</w:t>
            </w:r>
          </w:p>
        </w:tc>
        <w:tc>
          <w:tcPr>
            <w:tcW w:w="1559" w:type="dxa"/>
            <w:vAlign w:val="center"/>
          </w:tcPr>
          <w:p w:rsidR="009D5E0B" w:rsidRPr="006C2078" w:rsidRDefault="009D5E0B" w:rsidP="009D5E0B">
            <w:pPr>
              <w:pStyle w:val="Tabletext"/>
              <w:jc w:val="center"/>
            </w:pPr>
            <w:r w:rsidRPr="006C2078">
              <w:t>32.5 N</w:t>
            </w:r>
          </w:p>
        </w:tc>
        <w:tc>
          <w:tcPr>
            <w:tcW w:w="1559" w:type="dxa"/>
            <w:vAlign w:val="center"/>
          </w:tcPr>
          <w:p w:rsidR="009D5E0B" w:rsidRPr="006C2078" w:rsidRDefault="009D5E0B" w:rsidP="009D5E0B">
            <w:pPr>
              <w:pStyle w:val="Tabletext"/>
              <w:jc w:val="center"/>
            </w:pPr>
            <w:r w:rsidRPr="006C2078">
              <w:t>35.4 N</w:t>
            </w:r>
          </w:p>
        </w:tc>
      </w:tr>
      <w:tr w:rsidR="009D5E0B" w:rsidRPr="006C2078" w:rsidTr="009D5E0B">
        <w:trPr>
          <w:jc w:val="center"/>
        </w:trPr>
        <w:tc>
          <w:tcPr>
            <w:tcW w:w="4961" w:type="dxa"/>
            <w:vAlign w:val="center"/>
          </w:tcPr>
          <w:p w:rsidR="009D5E0B" w:rsidRPr="007D1EF7" w:rsidRDefault="009D5E0B" w:rsidP="009D5E0B">
            <w:pPr>
              <w:pStyle w:val="Tabletext"/>
              <w:jc w:val="left"/>
              <w:rPr>
                <w:lang w:val="en-US"/>
              </w:rPr>
            </w:pPr>
            <w:r w:rsidRPr="007D1EF7">
              <w:rPr>
                <w:lang w:val="en-US"/>
              </w:rPr>
              <w:t>SRS earth station longitude (degrees)</w:t>
            </w:r>
          </w:p>
        </w:tc>
        <w:tc>
          <w:tcPr>
            <w:tcW w:w="1559" w:type="dxa"/>
            <w:vAlign w:val="center"/>
          </w:tcPr>
          <w:p w:rsidR="009D5E0B" w:rsidRPr="006C2078" w:rsidRDefault="009D5E0B" w:rsidP="009D5E0B">
            <w:pPr>
              <w:pStyle w:val="Tabletext"/>
              <w:jc w:val="center"/>
            </w:pPr>
            <w:r w:rsidRPr="006C2078">
              <w:t>106.6 W</w:t>
            </w:r>
          </w:p>
        </w:tc>
        <w:tc>
          <w:tcPr>
            <w:tcW w:w="1559" w:type="dxa"/>
            <w:vAlign w:val="center"/>
          </w:tcPr>
          <w:p w:rsidR="009D5E0B" w:rsidRPr="006C2078" w:rsidRDefault="009D5E0B" w:rsidP="009D5E0B">
            <w:pPr>
              <w:pStyle w:val="Tabletext"/>
              <w:jc w:val="center"/>
            </w:pPr>
            <w:r w:rsidRPr="006C2078">
              <w:t>106.6 W</w:t>
            </w:r>
          </w:p>
        </w:tc>
        <w:tc>
          <w:tcPr>
            <w:tcW w:w="1559" w:type="dxa"/>
            <w:vAlign w:val="center"/>
          </w:tcPr>
          <w:p w:rsidR="009D5E0B" w:rsidRPr="006C2078" w:rsidRDefault="009D5E0B" w:rsidP="009D5E0B">
            <w:pPr>
              <w:pStyle w:val="Tabletext"/>
              <w:jc w:val="center"/>
            </w:pPr>
            <w:r w:rsidRPr="006C2078">
              <w:t>116.9 W</w:t>
            </w:r>
          </w:p>
        </w:tc>
      </w:tr>
      <w:tr w:rsidR="009D5E0B" w:rsidRPr="006C2078" w:rsidTr="009D5E0B">
        <w:trPr>
          <w:jc w:val="center"/>
        </w:trPr>
        <w:tc>
          <w:tcPr>
            <w:tcW w:w="4961" w:type="dxa"/>
            <w:vAlign w:val="center"/>
          </w:tcPr>
          <w:p w:rsidR="009D5E0B" w:rsidRPr="006C2078" w:rsidRDefault="009D5E0B" w:rsidP="009D5E0B">
            <w:pPr>
              <w:pStyle w:val="Tabletext"/>
              <w:jc w:val="left"/>
            </w:pPr>
            <w:r w:rsidRPr="006C2078">
              <w:t>Transmitting antenna diameter</w:t>
            </w:r>
            <w:r>
              <w:t xml:space="preserve"> (m)</w:t>
            </w:r>
          </w:p>
        </w:tc>
        <w:tc>
          <w:tcPr>
            <w:tcW w:w="1559" w:type="dxa"/>
            <w:vAlign w:val="center"/>
          </w:tcPr>
          <w:p w:rsidR="009D5E0B" w:rsidRPr="006C2078" w:rsidRDefault="009D5E0B" w:rsidP="009D5E0B">
            <w:pPr>
              <w:pStyle w:val="Tabletext"/>
              <w:jc w:val="center"/>
            </w:pPr>
            <w:r w:rsidRPr="006C2078">
              <w:t>10</w:t>
            </w:r>
          </w:p>
        </w:tc>
        <w:tc>
          <w:tcPr>
            <w:tcW w:w="1559" w:type="dxa"/>
            <w:vAlign w:val="center"/>
          </w:tcPr>
          <w:p w:rsidR="009D5E0B" w:rsidRPr="006C2078" w:rsidRDefault="009D5E0B" w:rsidP="009D5E0B">
            <w:pPr>
              <w:pStyle w:val="Tabletext"/>
              <w:jc w:val="center"/>
            </w:pPr>
            <w:r w:rsidRPr="006C2078">
              <w:t>18</w:t>
            </w:r>
          </w:p>
        </w:tc>
        <w:tc>
          <w:tcPr>
            <w:tcW w:w="1559" w:type="dxa"/>
            <w:vAlign w:val="center"/>
          </w:tcPr>
          <w:p w:rsidR="009D5E0B" w:rsidRPr="006C2078" w:rsidRDefault="009D5E0B" w:rsidP="009D5E0B">
            <w:pPr>
              <w:pStyle w:val="Tabletext"/>
              <w:jc w:val="center"/>
            </w:pPr>
            <w:r w:rsidRPr="006C2078">
              <w:t>34</w:t>
            </w:r>
          </w:p>
        </w:tc>
      </w:tr>
      <w:tr w:rsidR="009D5E0B" w:rsidRPr="006C2078" w:rsidTr="009D5E0B">
        <w:trPr>
          <w:jc w:val="center"/>
        </w:trPr>
        <w:tc>
          <w:tcPr>
            <w:tcW w:w="4961" w:type="dxa"/>
            <w:vAlign w:val="center"/>
          </w:tcPr>
          <w:p w:rsidR="009D5E0B" w:rsidRPr="006C2078" w:rsidRDefault="009D5E0B" w:rsidP="009D5E0B">
            <w:pPr>
              <w:pStyle w:val="Tabletext"/>
              <w:jc w:val="left"/>
            </w:pPr>
            <w:r w:rsidRPr="006C2078">
              <w:t>Antenna gain</w:t>
            </w:r>
            <w:r>
              <w:t xml:space="preserve"> (dBi)</w:t>
            </w:r>
          </w:p>
        </w:tc>
        <w:tc>
          <w:tcPr>
            <w:tcW w:w="1559" w:type="dxa"/>
            <w:vAlign w:val="center"/>
          </w:tcPr>
          <w:p w:rsidR="009D5E0B" w:rsidRPr="006C2078" w:rsidRDefault="009D5E0B" w:rsidP="009D5E0B">
            <w:pPr>
              <w:pStyle w:val="Tabletext"/>
              <w:jc w:val="center"/>
            </w:pPr>
            <w:r w:rsidRPr="006C2078">
              <w:t>65.3</w:t>
            </w:r>
          </w:p>
        </w:tc>
        <w:tc>
          <w:tcPr>
            <w:tcW w:w="1559" w:type="dxa"/>
            <w:vAlign w:val="center"/>
          </w:tcPr>
          <w:p w:rsidR="009D5E0B" w:rsidRPr="006C2078" w:rsidRDefault="009D5E0B" w:rsidP="009D5E0B">
            <w:pPr>
              <w:pStyle w:val="Tabletext"/>
              <w:jc w:val="center"/>
            </w:pPr>
            <w:r w:rsidRPr="006C2078">
              <w:t>70.4</w:t>
            </w:r>
          </w:p>
        </w:tc>
        <w:tc>
          <w:tcPr>
            <w:tcW w:w="1559" w:type="dxa"/>
            <w:vAlign w:val="center"/>
          </w:tcPr>
          <w:p w:rsidR="009D5E0B" w:rsidRPr="006C2078" w:rsidRDefault="009D5E0B" w:rsidP="009D5E0B">
            <w:pPr>
              <w:pStyle w:val="Tabletext"/>
              <w:jc w:val="center"/>
            </w:pPr>
            <w:r w:rsidRPr="006C2078">
              <w:t>75.9</w:t>
            </w:r>
          </w:p>
        </w:tc>
      </w:tr>
      <w:tr w:rsidR="009D5E0B" w:rsidRPr="006C2078" w:rsidTr="009D5E0B">
        <w:trPr>
          <w:jc w:val="center"/>
        </w:trPr>
        <w:tc>
          <w:tcPr>
            <w:tcW w:w="4961" w:type="dxa"/>
            <w:vAlign w:val="center"/>
          </w:tcPr>
          <w:p w:rsidR="009D5E0B" w:rsidRPr="007D1EF7" w:rsidRDefault="009D5E0B" w:rsidP="009D5E0B">
            <w:pPr>
              <w:pStyle w:val="Tabletext"/>
              <w:jc w:val="left"/>
              <w:rPr>
                <w:lang w:val="en-US" w:eastAsia="ja-JP"/>
              </w:rPr>
            </w:pPr>
            <w:r w:rsidRPr="007D1EF7">
              <w:rPr>
                <w:lang w:val="en-US"/>
              </w:rPr>
              <w:t>Off-axis antenna gain envelope</w:t>
            </w:r>
          </w:p>
        </w:tc>
        <w:tc>
          <w:tcPr>
            <w:tcW w:w="1559" w:type="dxa"/>
            <w:gridSpan w:val="3"/>
            <w:vAlign w:val="center"/>
          </w:tcPr>
          <w:p w:rsidR="009D5E0B" w:rsidRPr="006C2078" w:rsidRDefault="009D5E0B" w:rsidP="009D5E0B">
            <w:pPr>
              <w:pStyle w:val="Tabletext"/>
              <w:jc w:val="center"/>
              <w:rPr>
                <w:lang w:eastAsia="ja-JP"/>
              </w:rPr>
            </w:pPr>
            <w:r w:rsidRPr="006C2078">
              <w:rPr>
                <w:lang w:eastAsia="ja-JP"/>
              </w:rPr>
              <w:t>ITU RR Appendix</w:t>
            </w:r>
            <w:r w:rsidRPr="001B57B5">
              <w:rPr>
                <w:lang w:eastAsia="ja-JP"/>
              </w:rPr>
              <w:t xml:space="preserve"> 7</w:t>
            </w:r>
            <w:r w:rsidRPr="006C2078">
              <w:rPr>
                <w:lang w:eastAsia="ja-JP"/>
              </w:rPr>
              <w:t xml:space="preserve">, </w:t>
            </w:r>
            <w:r>
              <w:rPr>
                <w:lang w:eastAsia="ja-JP"/>
              </w:rPr>
              <w:t>Annex 4</w:t>
            </w:r>
            <w:r w:rsidRPr="009D5E0B">
              <w:rPr>
                <w:vertAlign w:val="superscript"/>
                <w:lang w:eastAsia="ja-JP"/>
              </w:rPr>
              <w:t>(1)</w:t>
            </w:r>
          </w:p>
        </w:tc>
      </w:tr>
      <w:tr w:rsidR="009D5E0B" w:rsidRPr="006C2078" w:rsidTr="009D5E0B">
        <w:trPr>
          <w:jc w:val="center"/>
        </w:trPr>
        <w:tc>
          <w:tcPr>
            <w:tcW w:w="4961" w:type="dxa"/>
            <w:vAlign w:val="center"/>
          </w:tcPr>
          <w:p w:rsidR="009D5E0B" w:rsidRPr="006C2078" w:rsidRDefault="009D5E0B" w:rsidP="009D5E0B">
            <w:pPr>
              <w:pStyle w:val="Tabletext"/>
              <w:jc w:val="left"/>
            </w:pPr>
            <w:r w:rsidRPr="006C2078">
              <w:t>Bandwidth</w:t>
            </w:r>
            <w:r>
              <w:t xml:space="preserve"> (MHz)</w:t>
            </w:r>
          </w:p>
        </w:tc>
        <w:tc>
          <w:tcPr>
            <w:tcW w:w="1559" w:type="dxa"/>
            <w:vAlign w:val="center"/>
          </w:tcPr>
          <w:p w:rsidR="009D5E0B" w:rsidRPr="006C2078" w:rsidRDefault="009D5E0B" w:rsidP="009D5E0B">
            <w:pPr>
              <w:pStyle w:val="Tabletext"/>
              <w:jc w:val="center"/>
            </w:pPr>
            <w:r w:rsidRPr="006C2078">
              <w:t>24</w:t>
            </w:r>
          </w:p>
        </w:tc>
        <w:tc>
          <w:tcPr>
            <w:tcW w:w="1559" w:type="dxa"/>
            <w:vAlign w:val="center"/>
          </w:tcPr>
          <w:p w:rsidR="009D5E0B" w:rsidRPr="006C2078" w:rsidRDefault="009D5E0B" w:rsidP="009D5E0B">
            <w:pPr>
              <w:pStyle w:val="Tabletext"/>
              <w:jc w:val="center"/>
            </w:pPr>
            <w:r w:rsidRPr="006C2078">
              <w:t>24</w:t>
            </w:r>
          </w:p>
        </w:tc>
        <w:tc>
          <w:tcPr>
            <w:tcW w:w="1559" w:type="dxa"/>
            <w:vAlign w:val="center"/>
          </w:tcPr>
          <w:p w:rsidR="009D5E0B" w:rsidRPr="006C2078" w:rsidRDefault="009D5E0B" w:rsidP="009D5E0B">
            <w:pPr>
              <w:pStyle w:val="Tabletext"/>
              <w:jc w:val="center"/>
            </w:pPr>
            <w:r w:rsidRPr="006C2078">
              <w:t>3</w:t>
            </w:r>
          </w:p>
        </w:tc>
      </w:tr>
      <w:tr w:rsidR="009D5E0B" w:rsidRPr="006C2078" w:rsidTr="009D5E0B">
        <w:trPr>
          <w:jc w:val="center"/>
        </w:trPr>
        <w:tc>
          <w:tcPr>
            <w:tcW w:w="4961" w:type="dxa"/>
            <w:vAlign w:val="center"/>
          </w:tcPr>
          <w:p w:rsidR="009D5E0B" w:rsidRPr="007D1EF7" w:rsidRDefault="009D5E0B" w:rsidP="009D5E0B">
            <w:pPr>
              <w:pStyle w:val="Tabletext"/>
              <w:jc w:val="left"/>
              <w:rPr>
                <w:lang w:val="en-US"/>
              </w:rPr>
            </w:pPr>
            <w:r w:rsidRPr="007D1EF7">
              <w:rPr>
                <w:lang w:val="en-US"/>
              </w:rPr>
              <w:t>Power at the antenna input (dBW)</w:t>
            </w:r>
          </w:p>
        </w:tc>
        <w:tc>
          <w:tcPr>
            <w:tcW w:w="1559" w:type="dxa"/>
            <w:vAlign w:val="center"/>
          </w:tcPr>
          <w:p w:rsidR="009D5E0B" w:rsidRPr="006C2078" w:rsidRDefault="009D5E0B" w:rsidP="009D5E0B">
            <w:pPr>
              <w:pStyle w:val="Tabletext"/>
              <w:jc w:val="center"/>
            </w:pPr>
            <w:r w:rsidRPr="006C2078">
              <w:t>0.0</w:t>
            </w:r>
          </w:p>
        </w:tc>
        <w:tc>
          <w:tcPr>
            <w:tcW w:w="1559" w:type="dxa"/>
            <w:vAlign w:val="center"/>
          </w:tcPr>
          <w:p w:rsidR="009D5E0B" w:rsidRPr="006C2078" w:rsidRDefault="009D5E0B" w:rsidP="009D5E0B">
            <w:pPr>
              <w:pStyle w:val="Tabletext"/>
              <w:jc w:val="center"/>
            </w:pPr>
            <w:r w:rsidRPr="006C2078">
              <w:t>11.1</w:t>
            </w:r>
          </w:p>
        </w:tc>
        <w:tc>
          <w:tcPr>
            <w:tcW w:w="1559" w:type="dxa"/>
            <w:vAlign w:val="center"/>
          </w:tcPr>
          <w:p w:rsidR="009D5E0B" w:rsidRPr="006C2078" w:rsidRDefault="009D5E0B" w:rsidP="009D5E0B">
            <w:pPr>
              <w:pStyle w:val="Tabletext"/>
              <w:jc w:val="center"/>
            </w:pPr>
            <w:r w:rsidRPr="006C2078">
              <w:t>0.0</w:t>
            </w:r>
          </w:p>
        </w:tc>
      </w:tr>
      <w:tr w:rsidR="009D5E0B" w:rsidRPr="006C2078" w:rsidTr="009D5E0B">
        <w:trPr>
          <w:jc w:val="center"/>
        </w:trPr>
        <w:tc>
          <w:tcPr>
            <w:tcW w:w="4961" w:type="dxa"/>
            <w:vAlign w:val="center"/>
          </w:tcPr>
          <w:p w:rsidR="009D5E0B" w:rsidRPr="007D1EF7" w:rsidRDefault="009D5E0B" w:rsidP="009D5E0B">
            <w:pPr>
              <w:pStyle w:val="Tabletext"/>
              <w:jc w:val="left"/>
              <w:rPr>
                <w:lang w:val="en-US"/>
              </w:rPr>
            </w:pPr>
            <w:r w:rsidRPr="007D1EF7">
              <w:rPr>
                <w:lang w:val="en-US"/>
              </w:rPr>
              <w:t>Power-spectral density at antenna input (dBW/Hz)</w:t>
            </w:r>
          </w:p>
        </w:tc>
        <w:tc>
          <w:tcPr>
            <w:tcW w:w="1559" w:type="dxa"/>
            <w:vAlign w:val="center"/>
          </w:tcPr>
          <w:p w:rsidR="009D5E0B" w:rsidRPr="006C2078" w:rsidRDefault="009D5E0B" w:rsidP="009D5E0B">
            <w:pPr>
              <w:pStyle w:val="Tabletext"/>
              <w:jc w:val="center"/>
            </w:pPr>
            <w:r w:rsidRPr="006C2078">
              <w:t>–70.8</w:t>
            </w:r>
          </w:p>
        </w:tc>
        <w:tc>
          <w:tcPr>
            <w:tcW w:w="1559" w:type="dxa"/>
            <w:vAlign w:val="center"/>
          </w:tcPr>
          <w:p w:rsidR="009D5E0B" w:rsidRPr="006C2078" w:rsidRDefault="009D5E0B" w:rsidP="009D5E0B">
            <w:pPr>
              <w:pStyle w:val="Tabletext"/>
              <w:jc w:val="center"/>
            </w:pPr>
            <w:r w:rsidRPr="006C2078">
              <w:t>–59.7</w:t>
            </w:r>
          </w:p>
        </w:tc>
        <w:tc>
          <w:tcPr>
            <w:tcW w:w="1559" w:type="dxa"/>
            <w:vAlign w:val="center"/>
          </w:tcPr>
          <w:p w:rsidR="009D5E0B" w:rsidRPr="006C2078" w:rsidRDefault="009D5E0B" w:rsidP="009D5E0B">
            <w:pPr>
              <w:pStyle w:val="Tabletext"/>
              <w:jc w:val="center"/>
            </w:pPr>
            <w:r w:rsidRPr="006C2078">
              <w:t>–61.4</w:t>
            </w:r>
          </w:p>
        </w:tc>
      </w:tr>
      <w:tr w:rsidR="009D5E0B" w:rsidRPr="006C2078" w:rsidTr="009D5E0B">
        <w:trPr>
          <w:jc w:val="center"/>
        </w:trPr>
        <w:tc>
          <w:tcPr>
            <w:tcW w:w="4961" w:type="dxa"/>
            <w:vAlign w:val="center"/>
          </w:tcPr>
          <w:p w:rsidR="009D5E0B" w:rsidRPr="006C2078" w:rsidRDefault="009D5E0B" w:rsidP="009D5E0B">
            <w:pPr>
              <w:pStyle w:val="Tabletext"/>
              <w:jc w:val="left"/>
            </w:pPr>
            <w:r w:rsidRPr="006C2078">
              <w:t>e</w:t>
            </w:r>
            <w:r>
              <w:t>.</w:t>
            </w:r>
            <w:r w:rsidRPr="006C2078">
              <w:t>i</w:t>
            </w:r>
            <w:r>
              <w:t>.</w:t>
            </w:r>
            <w:r w:rsidRPr="006C2078">
              <w:t>r</w:t>
            </w:r>
            <w:r>
              <w:t>.</w:t>
            </w:r>
            <w:r w:rsidRPr="006C2078">
              <w:t>p</w:t>
            </w:r>
            <w:r>
              <w:t xml:space="preserve">. </w:t>
            </w:r>
            <w:r w:rsidRPr="006C2078">
              <w:t>(dBW)</w:t>
            </w:r>
          </w:p>
        </w:tc>
        <w:tc>
          <w:tcPr>
            <w:tcW w:w="1559" w:type="dxa"/>
            <w:vAlign w:val="center"/>
          </w:tcPr>
          <w:p w:rsidR="009D5E0B" w:rsidRPr="006C2078" w:rsidRDefault="009D5E0B" w:rsidP="009D5E0B">
            <w:pPr>
              <w:pStyle w:val="Tabletext"/>
              <w:jc w:val="center"/>
            </w:pPr>
            <w:r w:rsidRPr="006C2078">
              <w:t>65.3</w:t>
            </w:r>
          </w:p>
        </w:tc>
        <w:tc>
          <w:tcPr>
            <w:tcW w:w="1559" w:type="dxa"/>
            <w:vAlign w:val="center"/>
          </w:tcPr>
          <w:p w:rsidR="009D5E0B" w:rsidRPr="006C2078" w:rsidRDefault="009D5E0B" w:rsidP="009D5E0B">
            <w:pPr>
              <w:pStyle w:val="Tabletext"/>
              <w:jc w:val="center"/>
            </w:pPr>
            <w:r w:rsidRPr="006C2078">
              <w:t>81.5</w:t>
            </w:r>
          </w:p>
        </w:tc>
        <w:tc>
          <w:tcPr>
            <w:tcW w:w="1559" w:type="dxa"/>
            <w:vAlign w:val="center"/>
          </w:tcPr>
          <w:p w:rsidR="009D5E0B" w:rsidRPr="006C2078" w:rsidRDefault="009D5E0B" w:rsidP="009D5E0B">
            <w:pPr>
              <w:pStyle w:val="Tabletext"/>
              <w:jc w:val="center"/>
            </w:pPr>
            <w:r w:rsidRPr="006C2078">
              <w:t>75.9</w:t>
            </w:r>
          </w:p>
        </w:tc>
      </w:tr>
      <w:tr w:rsidR="009D5E0B" w:rsidRPr="006C2078" w:rsidTr="009D5E0B">
        <w:trPr>
          <w:jc w:val="center"/>
        </w:trPr>
        <w:tc>
          <w:tcPr>
            <w:tcW w:w="4961" w:type="dxa"/>
            <w:vAlign w:val="center"/>
          </w:tcPr>
          <w:p w:rsidR="009D5E0B" w:rsidRPr="007D1EF7" w:rsidRDefault="009D5E0B" w:rsidP="009D5E0B">
            <w:pPr>
              <w:pStyle w:val="Tabletext"/>
              <w:jc w:val="left"/>
              <w:rPr>
                <w:lang w:val="en-US"/>
              </w:rPr>
            </w:pPr>
            <w:r w:rsidRPr="007D1EF7">
              <w:rPr>
                <w:lang w:val="en-US"/>
              </w:rPr>
              <w:t>e.i.r.p. density (dBW/Hz)</w:t>
            </w:r>
          </w:p>
        </w:tc>
        <w:tc>
          <w:tcPr>
            <w:tcW w:w="1559" w:type="dxa"/>
            <w:vAlign w:val="center"/>
          </w:tcPr>
          <w:p w:rsidR="009D5E0B" w:rsidRPr="006C2078" w:rsidRDefault="009D5E0B" w:rsidP="009D5E0B">
            <w:pPr>
              <w:pStyle w:val="Tabletext"/>
              <w:jc w:val="center"/>
            </w:pPr>
            <w:r w:rsidRPr="006C2078">
              <w:t>–5.5</w:t>
            </w:r>
          </w:p>
        </w:tc>
        <w:tc>
          <w:tcPr>
            <w:tcW w:w="1559" w:type="dxa"/>
            <w:vAlign w:val="center"/>
          </w:tcPr>
          <w:p w:rsidR="009D5E0B" w:rsidRPr="006C2078" w:rsidRDefault="009D5E0B" w:rsidP="009D5E0B">
            <w:pPr>
              <w:pStyle w:val="Tabletext"/>
              <w:jc w:val="center"/>
            </w:pPr>
            <w:r w:rsidRPr="006C2078">
              <w:t>10.7</w:t>
            </w:r>
          </w:p>
        </w:tc>
        <w:tc>
          <w:tcPr>
            <w:tcW w:w="1559" w:type="dxa"/>
            <w:vAlign w:val="center"/>
          </w:tcPr>
          <w:p w:rsidR="009D5E0B" w:rsidRPr="006C2078" w:rsidRDefault="009D5E0B" w:rsidP="009D5E0B">
            <w:pPr>
              <w:pStyle w:val="Tabletext"/>
              <w:jc w:val="center"/>
            </w:pPr>
            <w:r w:rsidRPr="006C2078">
              <w:t>14.5</w:t>
            </w:r>
          </w:p>
        </w:tc>
      </w:tr>
      <w:tr w:rsidR="00AA2BE3" w:rsidRPr="003B6E9A" w:rsidTr="009D5E0B">
        <w:trPr>
          <w:jc w:val="center"/>
        </w:trPr>
        <w:tc>
          <w:tcPr>
            <w:tcW w:w="4961" w:type="dxa"/>
            <w:gridSpan w:val="4"/>
            <w:tcBorders>
              <w:left w:val="nil"/>
              <w:bottom w:val="nil"/>
              <w:right w:val="nil"/>
            </w:tcBorders>
            <w:vAlign w:val="center"/>
          </w:tcPr>
          <w:p w:rsidR="00AA2BE3" w:rsidRPr="007D1EF7" w:rsidRDefault="009D5E0B" w:rsidP="00EB0992">
            <w:pPr>
              <w:pStyle w:val="Tablelegend"/>
              <w:rPr>
                <w:lang w:val="en-US"/>
              </w:rPr>
            </w:pPr>
            <w:r w:rsidRPr="007D1EF7">
              <w:rPr>
                <w:vertAlign w:val="superscript"/>
                <w:lang w:val="en-US"/>
              </w:rPr>
              <w:t>(1)</w:t>
            </w:r>
            <w:r w:rsidR="00AA2BE3" w:rsidRPr="007D1EF7">
              <w:rPr>
                <w:lang w:val="en-US"/>
              </w:rPr>
              <w:tab/>
              <w:t>In this study, ITU RR Appendix 7, Annex 4 is used instead of Annex III to RR App</w:t>
            </w:r>
            <w:r w:rsidRPr="007D1EF7">
              <w:rPr>
                <w:lang w:val="en-US"/>
              </w:rPr>
              <w:t>endix</w:t>
            </w:r>
            <w:r w:rsidR="00AA2BE3" w:rsidRPr="007D1EF7">
              <w:rPr>
                <w:lang w:val="en-US"/>
              </w:rPr>
              <w:t> 8/</w:t>
            </w:r>
            <w:r w:rsidRPr="007D1EF7">
              <w:rPr>
                <w:lang w:val="en-US"/>
              </w:rPr>
              <w:t xml:space="preserve"> Recommendation </w:t>
            </w:r>
            <w:r w:rsidR="00EB0992" w:rsidRPr="007D1EF7">
              <w:rPr>
                <w:lang w:val="en-US"/>
              </w:rPr>
              <w:t>ITU</w:t>
            </w:r>
            <w:r w:rsidRPr="007D1EF7">
              <w:rPr>
                <w:lang w:val="en-US"/>
              </w:rPr>
              <w:t xml:space="preserve">-R </w:t>
            </w:r>
            <w:r w:rsidR="00AA2BE3" w:rsidRPr="007D1EF7">
              <w:rPr>
                <w:lang w:val="en-US"/>
              </w:rPr>
              <w:t>F.1245 as the former better represents the actual antennas in use today.</w:t>
            </w:r>
          </w:p>
        </w:tc>
      </w:tr>
    </w:tbl>
    <w:p w:rsidR="00AA2BE3" w:rsidRDefault="00AA2BE3" w:rsidP="009D5E0B">
      <w:pPr>
        <w:pStyle w:val="Tablefin"/>
      </w:pPr>
    </w:p>
    <w:p w:rsidR="00AA2BE3" w:rsidRPr="007D1EF7" w:rsidRDefault="00AA2BE3" w:rsidP="009D5E0B">
      <w:pPr>
        <w:rPr>
          <w:lang w:val="en-US"/>
        </w:rPr>
      </w:pPr>
    </w:p>
    <w:p w:rsidR="00AA2BE3" w:rsidRPr="006C2078" w:rsidRDefault="009D5E0B" w:rsidP="00AA2BE3">
      <w:pPr>
        <w:pStyle w:val="TableNo"/>
      </w:pPr>
      <w:r w:rsidRPr="006C2078">
        <w:lastRenderedPageBreak/>
        <w:t>TABLE</w:t>
      </w:r>
      <w:r w:rsidR="00AA2BE3" w:rsidRPr="006C2078">
        <w:t xml:space="preserve"> A2-1b</w:t>
      </w:r>
    </w:p>
    <w:p w:rsidR="00AA2BE3" w:rsidRPr="006C2078" w:rsidRDefault="00AA2BE3" w:rsidP="00AA2BE3">
      <w:pPr>
        <w:pStyle w:val="Tabletitle"/>
      </w:pPr>
      <w:r w:rsidRPr="006C2078">
        <w:rPr>
          <w:lang w:eastAsia="ja-JP"/>
        </w:rPr>
        <w:t>Science m</w:t>
      </w:r>
      <w:r w:rsidRPr="006C2078">
        <w:t>ission satellite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1"/>
        <w:gridCol w:w="1559"/>
        <w:gridCol w:w="1559"/>
        <w:gridCol w:w="1560"/>
      </w:tblGrid>
      <w:tr w:rsidR="009D5E0B" w:rsidRPr="006C2078" w:rsidTr="009D5E0B">
        <w:trPr>
          <w:jc w:val="center"/>
        </w:trPr>
        <w:tc>
          <w:tcPr>
            <w:tcW w:w="4961" w:type="dxa"/>
            <w:vAlign w:val="center"/>
          </w:tcPr>
          <w:p w:rsidR="009D5E0B" w:rsidRPr="006C2078" w:rsidRDefault="009D5E0B" w:rsidP="00192341">
            <w:pPr>
              <w:pStyle w:val="Tablehead"/>
            </w:pPr>
            <w:r w:rsidRPr="006C2078">
              <w:t>Parameter</w:t>
            </w:r>
          </w:p>
        </w:tc>
        <w:tc>
          <w:tcPr>
            <w:tcW w:w="4677" w:type="dxa"/>
            <w:gridSpan w:val="3"/>
            <w:vAlign w:val="center"/>
          </w:tcPr>
          <w:p w:rsidR="009D5E0B" w:rsidRPr="006C2078" w:rsidRDefault="009D5E0B" w:rsidP="00192341">
            <w:pPr>
              <w:pStyle w:val="Tablehead"/>
            </w:pPr>
            <w:r w:rsidRPr="006C2078">
              <w:t>Values</w:t>
            </w:r>
          </w:p>
        </w:tc>
      </w:tr>
      <w:tr w:rsidR="009D5E0B" w:rsidRPr="006C2078" w:rsidTr="009D5E0B">
        <w:trPr>
          <w:jc w:val="center"/>
        </w:trPr>
        <w:tc>
          <w:tcPr>
            <w:tcW w:w="4961" w:type="dxa"/>
            <w:vAlign w:val="center"/>
          </w:tcPr>
          <w:p w:rsidR="009D5E0B" w:rsidRPr="006C2078" w:rsidRDefault="009D5E0B" w:rsidP="00192341">
            <w:pPr>
              <w:pStyle w:val="Tabletext"/>
            </w:pPr>
            <w:r w:rsidRPr="006C2078">
              <w:t>Mission type</w:t>
            </w:r>
          </w:p>
        </w:tc>
        <w:tc>
          <w:tcPr>
            <w:tcW w:w="1559" w:type="dxa"/>
            <w:vAlign w:val="center"/>
          </w:tcPr>
          <w:p w:rsidR="009D5E0B" w:rsidRPr="006C2078" w:rsidRDefault="009D5E0B" w:rsidP="009D5E0B">
            <w:pPr>
              <w:pStyle w:val="Tabletext"/>
              <w:jc w:val="center"/>
            </w:pPr>
            <w:r w:rsidRPr="006C2078">
              <w:t>LEO</w:t>
            </w:r>
          </w:p>
        </w:tc>
        <w:tc>
          <w:tcPr>
            <w:tcW w:w="1559" w:type="dxa"/>
            <w:vAlign w:val="center"/>
          </w:tcPr>
          <w:p w:rsidR="009D5E0B" w:rsidRPr="006C2078" w:rsidRDefault="009D5E0B" w:rsidP="009D5E0B">
            <w:pPr>
              <w:pStyle w:val="Tabletext"/>
              <w:jc w:val="center"/>
            </w:pPr>
            <w:r w:rsidRPr="006C2078">
              <w:t>Lunar</w:t>
            </w:r>
          </w:p>
        </w:tc>
        <w:tc>
          <w:tcPr>
            <w:tcW w:w="1559" w:type="dxa"/>
            <w:vAlign w:val="center"/>
          </w:tcPr>
          <w:p w:rsidR="009D5E0B" w:rsidRPr="006C2078" w:rsidRDefault="009D5E0B" w:rsidP="009D5E0B">
            <w:pPr>
              <w:pStyle w:val="Tabletext"/>
              <w:jc w:val="center"/>
            </w:pPr>
            <w:r w:rsidRPr="006C2078">
              <w:t>L1/L2</w:t>
            </w:r>
          </w:p>
        </w:tc>
      </w:tr>
      <w:tr w:rsidR="009D5E0B" w:rsidRPr="006C2078" w:rsidTr="009D5E0B">
        <w:trPr>
          <w:jc w:val="center"/>
        </w:trPr>
        <w:tc>
          <w:tcPr>
            <w:tcW w:w="4961" w:type="dxa"/>
            <w:vAlign w:val="center"/>
          </w:tcPr>
          <w:p w:rsidR="009D5E0B" w:rsidRPr="006C2078" w:rsidRDefault="009D5E0B" w:rsidP="00192341">
            <w:pPr>
              <w:pStyle w:val="Tabletext"/>
            </w:pPr>
            <w:r w:rsidRPr="006C2078">
              <w:t>Orbital altitude</w:t>
            </w:r>
            <w:r>
              <w:t xml:space="preserve"> (km)</w:t>
            </w:r>
          </w:p>
        </w:tc>
        <w:tc>
          <w:tcPr>
            <w:tcW w:w="1559" w:type="dxa"/>
            <w:vAlign w:val="center"/>
          </w:tcPr>
          <w:p w:rsidR="009D5E0B" w:rsidRPr="006C2078" w:rsidRDefault="009D5E0B" w:rsidP="009D5E0B">
            <w:pPr>
              <w:pStyle w:val="Tabletext"/>
              <w:jc w:val="center"/>
            </w:pPr>
            <w:r w:rsidRPr="006C2078">
              <w:t>700</w:t>
            </w:r>
          </w:p>
        </w:tc>
        <w:tc>
          <w:tcPr>
            <w:tcW w:w="1559" w:type="dxa"/>
            <w:vAlign w:val="center"/>
          </w:tcPr>
          <w:p w:rsidR="009D5E0B" w:rsidRPr="006C2078" w:rsidRDefault="009D5E0B" w:rsidP="009D5E0B">
            <w:pPr>
              <w:pStyle w:val="Tabletext"/>
              <w:jc w:val="center"/>
            </w:pPr>
            <w:r w:rsidRPr="006C2078">
              <w:t>384 400</w:t>
            </w:r>
          </w:p>
        </w:tc>
        <w:tc>
          <w:tcPr>
            <w:tcW w:w="1559" w:type="dxa"/>
            <w:vAlign w:val="center"/>
          </w:tcPr>
          <w:p w:rsidR="009D5E0B" w:rsidRPr="006C2078" w:rsidRDefault="009D5E0B" w:rsidP="009D5E0B">
            <w:pPr>
              <w:pStyle w:val="Tabletext"/>
              <w:jc w:val="center"/>
            </w:pPr>
            <w:r w:rsidRPr="006C2078">
              <w:t>1 500 000</w:t>
            </w:r>
          </w:p>
        </w:tc>
      </w:tr>
      <w:tr w:rsidR="009D5E0B" w:rsidRPr="006C2078" w:rsidTr="009D5E0B">
        <w:trPr>
          <w:jc w:val="center"/>
        </w:trPr>
        <w:tc>
          <w:tcPr>
            <w:tcW w:w="4961" w:type="dxa"/>
            <w:vAlign w:val="center"/>
          </w:tcPr>
          <w:p w:rsidR="009D5E0B" w:rsidRPr="006C2078" w:rsidRDefault="009D5E0B" w:rsidP="00192341">
            <w:pPr>
              <w:pStyle w:val="Tabletext"/>
            </w:pPr>
            <w:r w:rsidRPr="006C2078">
              <w:t>Orbit type</w:t>
            </w:r>
          </w:p>
        </w:tc>
        <w:tc>
          <w:tcPr>
            <w:tcW w:w="1559" w:type="dxa"/>
            <w:vAlign w:val="center"/>
          </w:tcPr>
          <w:p w:rsidR="009D5E0B" w:rsidRPr="006C2078" w:rsidRDefault="009D5E0B" w:rsidP="009D5E0B">
            <w:pPr>
              <w:pStyle w:val="Tabletext"/>
              <w:jc w:val="center"/>
            </w:pPr>
            <w:r w:rsidRPr="006C2078">
              <w:t>Circular</w:t>
            </w:r>
          </w:p>
        </w:tc>
        <w:tc>
          <w:tcPr>
            <w:tcW w:w="1559" w:type="dxa"/>
            <w:vAlign w:val="center"/>
          </w:tcPr>
          <w:p w:rsidR="009D5E0B" w:rsidRPr="006C2078" w:rsidRDefault="009D5E0B" w:rsidP="009D5E0B">
            <w:pPr>
              <w:pStyle w:val="Tabletext"/>
              <w:jc w:val="center"/>
            </w:pPr>
            <w:r w:rsidRPr="006C2078">
              <w:t>Circular</w:t>
            </w:r>
          </w:p>
        </w:tc>
        <w:tc>
          <w:tcPr>
            <w:tcW w:w="1559" w:type="dxa"/>
            <w:vAlign w:val="center"/>
          </w:tcPr>
          <w:p w:rsidR="009D5E0B" w:rsidRPr="006C2078" w:rsidRDefault="009D5E0B" w:rsidP="009D5E0B">
            <w:pPr>
              <w:pStyle w:val="Tabletext"/>
              <w:jc w:val="center"/>
            </w:pPr>
            <w:r w:rsidRPr="006C2078">
              <w:t>Halo</w:t>
            </w:r>
          </w:p>
        </w:tc>
      </w:tr>
      <w:tr w:rsidR="009D5E0B" w:rsidRPr="006C2078" w:rsidTr="009D5E0B">
        <w:trPr>
          <w:jc w:val="center"/>
        </w:trPr>
        <w:tc>
          <w:tcPr>
            <w:tcW w:w="4961" w:type="dxa"/>
            <w:vAlign w:val="center"/>
          </w:tcPr>
          <w:p w:rsidR="009D5E0B" w:rsidRPr="006C2078" w:rsidRDefault="009D5E0B" w:rsidP="00192341">
            <w:pPr>
              <w:pStyle w:val="Tabletext"/>
            </w:pPr>
            <w:r w:rsidRPr="006C2078">
              <w:rPr>
                <w:color w:val="000000"/>
              </w:rPr>
              <w:t>Orbital inclination</w:t>
            </w:r>
            <w:r>
              <w:rPr>
                <w:color w:val="000000"/>
              </w:rPr>
              <w:t xml:space="preserve"> (degrees)</w:t>
            </w:r>
          </w:p>
        </w:tc>
        <w:tc>
          <w:tcPr>
            <w:tcW w:w="1559" w:type="dxa"/>
            <w:vAlign w:val="center"/>
          </w:tcPr>
          <w:p w:rsidR="009D5E0B" w:rsidRPr="006C2078" w:rsidRDefault="009D5E0B" w:rsidP="009D5E0B">
            <w:pPr>
              <w:pStyle w:val="Tabletext"/>
              <w:jc w:val="center"/>
            </w:pPr>
            <w:r w:rsidRPr="006C2078">
              <w:t>98.2</w:t>
            </w:r>
          </w:p>
        </w:tc>
        <w:tc>
          <w:tcPr>
            <w:tcW w:w="1559" w:type="dxa"/>
            <w:vAlign w:val="center"/>
          </w:tcPr>
          <w:p w:rsidR="009D5E0B" w:rsidRPr="006C2078" w:rsidRDefault="009D5E0B" w:rsidP="009D5E0B">
            <w:pPr>
              <w:pStyle w:val="Tabletext"/>
              <w:jc w:val="center"/>
              <w:rPr>
                <w:lang w:eastAsia="ja-JP"/>
              </w:rPr>
            </w:pPr>
            <w:r w:rsidRPr="006C2078">
              <w:t>Non-specific</w:t>
            </w:r>
            <w:r w:rsidRPr="009D5E0B">
              <w:rPr>
                <w:vertAlign w:val="superscript"/>
                <w:lang w:eastAsia="ja-JP"/>
              </w:rPr>
              <w:t>(1)</w:t>
            </w:r>
          </w:p>
        </w:tc>
        <w:tc>
          <w:tcPr>
            <w:tcW w:w="1559" w:type="dxa"/>
            <w:vAlign w:val="center"/>
          </w:tcPr>
          <w:p w:rsidR="009D5E0B" w:rsidRPr="006C2078" w:rsidRDefault="009D5E0B" w:rsidP="009D5E0B">
            <w:pPr>
              <w:pStyle w:val="Tabletext"/>
              <w:ind w:left="-57" w:right="-57"/>
              <w:jc w:val="center"/>
            </w:pPr>
            <w:r w:rsidRPr="006C2078">
              <w:sym w:font="Symbol" w:char="F0BB"/>
            </w:r>
            <w:r>
              <w:t xml:space="preserve"> </w:t>
            </w:r>
            <w:r w:rsidRPr="006C2078">
              <w:t>0</w:t>
            </w:r>
            <w:r w:rsidRPr="006C2078">
              <w:rPr>
                <w:vertAlign w:val="superscript"/>
              </w:rPr>
              <w:t>o</w:t>
            </w:r>
            <w:r w:rsidRPr="006C2078">
              <w:t xml:space="preserve"> wrt ecliptic</w:t>
            </w:r>
          </w:p>
        </w:tc>
      </w:tr>
      <w:tr w:rsidR="009D5E0B" w:rsidRPr="006C2078" w:rsidTr="009D5E0B">
        <w:trPr>
          <w:jc w:val="center"/>
        </w:trPr>
        <w:tc>
          <w:tcPr>
            <w:tcW w:w="4961" w:type="dxa"/>
            <w:vAlign w:val="center"/>
          </w:tcPr>
          <w:p w:rsidR="009D5E0B" w:rsidRPr="006C2078" w:rsidRDefault="009D5E0B" w:rsidP="00192341">
            <w:pPr>
              <w:pStyle w:val="Tabletext"/>
            </w:pPr>
            <w:r w:rsidRPr="006C2078">
              <w:rPr>
                <w:color w:val="000000"/>
              </w:rPr>
              <w:t xml:space="preserve">Antenna gain </w:t>
            </w:r>
            <w:r>
              <w:rPr>
                <w:color w:val="000000"/>
              </w:rPr>
              <w:t>(dBi)</w:t>
            </w:r>
          </w:p>
        </w:tc>
        <w:tc>
          <w:tcPr>
            <w:tcW w:w="1559" w:type="dxa"/>
            <w:vAlign w:val="center"/>
          </w:tcPr>
          <w:p w:rsidR="009D5E0B" w:rsidRPr="006C2078" w:rsidRDefault="009D5E0B" w:rsidP="009D5E0B">
            <w:pPr>
              <w:pStyle w:val="Tabletext"/>
              <w:jc w:val="center"/>
            </w:pPr>
            <w:r w:rsidRPr="006C2078">
              <w:t>40.3</w:t>
            </w:r>
          </w:p>
        </w:tc>
        <w:tc>
          <w:tcPr>
            <w:tcW w:w="1559" w:type="dxa"/>
            <w:vAlign w:val="center"/>
          </w:tcPr>
          <w:p w:rsidR="009D5E0B" w:rsidRPr="006C2078" w:rsidRDefault="009D5E0B" w:rsidP="009D5E0B">
            <w:pPr>
              <w:pStyle w:val="Tabletext"/>
              <w:jc w:val="center"/>
            </w:pPr>
            <w:r w:rsidRPr="006C2078">
              <w:t>44.7</w:t>
            </w:r>
          </w:p>
        </w:tc>
        <w:tc>
          <w:tcPr>
            <w:tcW w:w="1559" w:type="dxa"/>
            <w:vAlign w:val="center"/>
          </w:tcPr>
          <w:p w:rsidR="009D5E0B" w:rsidRPr="006C2078" w:rsidRDefault="009D5E0B" w:rsidP="009D5E0B">
            <w:pPr>
              <w:pStyle w:val="Tabletext"/>
              <w:jc w:val="center"/>
            </w:pPr>
            <w:r w:rsidRPr="006C2078">
              <w:t>44.7</w:t>
            </w:r>
          </w:p>
        </w:tc>
      </w:tr>
      <w:tr w:rsidR="009D5E0B" w:rsidRPr="006C2078" w:rsidTr="009D5E0B">
        <w:trPr>
          <w:jc w:val="center"/>
        </w:trPr>
        <w:tc>
          <w:tcPr>
            <w:tcW w:w="4961" w:type="dxa"/>
            <w:vAlign w:val="center"/>
          </w:tcPr>
          <w:p w:rsidR="009D5E0B" w:rsidRPr="006C2078" w:rsidRDefault="009D5E0B" w:rsidP="00192341">
            <w:pPr>
              <w:pStyle w:val="Tabletext"/>
            </w:pPr>
            <w:r w:rsidRPr="006C2078">
              <w:t>Noise temperature</w:t>
            </w:r>
            <w:r>
              <w:t xml:space="preserve"> (K)</w:t>
            </w:r>
          </w:p>
        </w:tc>
        <w:tc>
          <w:tcPr>
            <w:tcW w:w="1559" w:type="dxa"/>
            <w:vAlign w:val="center"/>
          </w:tcPr>
          <w:p w:rsidR="009D5E0B" w:rsidRPr="006C2078" w:rsidRDefault="009D5E0B" w:rsidP="009D5E0B">
            <w:pPr>
              <w:pStyle w:val="Tabletext"/>
              <w:jc w:val="center"/>
            </w:pPr>
            <w:r w:rsidRPr="006C2078">
              <w:t>410</w:t>
            </w:r>
          </w:p>
        </w:tc>
        <w:tc>
          <w:tcPr>
            <w:tcW w:w="1559" w:type="dxa"/>
            <w:vAlign w:val="center"/>
          </w:tcPr>
          <w:p w:rsidR="009D5E0B" w:rsidRPr="006C2078" w:rsidRDefault="009D5E0B" w:rsidP="009D5E0B">
            <w:pPr>
              <w:pStyle w:val="Tabletext"/>
              <w:jc w:val="center"/>
            </w:pPr>
            <w:r w:rsidRPr="006C2078">
              <w:t>410</w:t>
            </w:r>
          </w:p>
        </w:tc>
        <w:tc>
          <w:tcPr>
            <w:tcW w:w="1559" w:type="dxa"/>
            <w:vAlign w:val="center"/>
          </w:tcPr>
          <w:p w:rsidR="009D5E0B" w:rsidRPr="006C2078" w:rsidRDefault="009D5E0B" w:rsidP="009D5E0B">
            <w:pPr>
              <w:pStyle w:val="Tabletext"/>
              <w:jc w:val="center"/>
            </w:pPr>
            <w:r w:rsidRPr="006C2078">
              <w:t>410</w:t>
            </w:r>
          </w:p>
        </w:tc>
      </w:tr>
      <w:tr w:rsidR="00AA2BE3" w:rsidRPr="003B6E9A" w:rsidTr="009D5E0B">
        <w:trPr>
          <w:jc w:val="center"/>
        </w:trPr>
        <w:tc>
          <w:tcPr>
            <w:tcW w:w="9639" w:type="dxa"/>
            <w:gridSpan w:val="4"/>
            <w:tcBorders>
              <w:left w:val="nil"/>
              <w:bottom w:val="nil"/>
              <w:right w:val="nil"/>
            </w:tcBorders>
            <w:vAlign w:val="center"/>
          </w:tcPr>
          <w:p w:rsidR="00AA2BE3" w:rsidRPr="007D1EF7" w:rsidRDefault="009D5E0B" w:rsidP="009D5E0B">
            <w:pPr>
              <w:pStyle w:val="Tablelegend"/>
              <w:rPr>
                <w:lang w:val="en-US"/>
              </w:rPr>
            </w:pPr>
            <w:r w:rsidRPr="007D1EF7">
              <w:rPr>
                <w:vertAlign w:val="superscript"/>
                <w:lang w:val="en-US"/>
              </w:rPr>
              <w:t>(1)</w:t>
            </w:r>
            <w:r w:rsidR="00AA2BE3" w:rsidRPr="007D1EF7">
              <w:rPr>
                <w:lang w:val="en-US" w:eastAsia="ja-JP"/>
              </w:rPr>
              <w:tab/>
            </w:r>
            <w:r w:rsidR="00AA2BE3" w:rsidRPr="007D1EF7">
              <w:rPr>
                <w:lang w:val="en-US"/>
              </w:rPr>
              <w:t>23.45</w:t>
            </w:r>
            <w:r w:rsidRPr="007D1EF7">
              <w:rPr>
                <w:lang w:val="en-US" w:eastAsia="ja-JP"/>
              </w:rPr>
              <w:t>°</w:t>
            </w:r>
            <w:r w:rsidR="00AA2BE3" w:rsidRPr="007D1EF7">
              <w:rPr>
                <w:lang w:val="en-US" w:eastAsia="ja-JP"/>
              </w:rPr>
              <w:t xml:space="preserve"> is used in this study.</w:t>
            </w:r>
          </w:p>
        </w:tc>
      </w:tr>
    </w:tbl>
    <w:p w:rsidR="009D5E0B" w:rsidRDefault="009D5E0B" w:rsidP="009D5E0B">
      <w:pPr>
        <w:pStyle w:val="Tablefin"/>
      </w:pPr>
    </w:p>
    <w:p w:rsidR="00AA2BE3" w:rsidRPr="007D1EF7" w:rsidRDefault="00AA2BE3" w:rsidP="00AA2BE3">
      <w:pPr>
        <w:pStyle w:val="Heading2"/>
        <w:rPr>
          <w:lang w:val="en-US" w:eastAsia="ja-JP"/>
        </w:rPr>
      </w:pPr>
      <w:bookmarkStart w:id="37" w:name="_Toc277668599"/>
      <w:r w:rsidRPr="007D1EF7">
        <w:rPr>
          <w:lang w:val="en-US"/>
        </w:rPr>
        <w:t>1.</w:t>
      </w:r>
      <w:r w:rsidRPr="007D1EF7">
        <w:rPr>
          <w:lang w:val="en-US" w:eastAsia="ja-JP"/>
        </w:rPr>
        <w:t>2</w:t>
      </w:r>
      <w:r w:rsidRPr="007D1EF7">
        <w:rPr>
          <w:lang w:val="en-US"/>
        </w:rPr>
        <w:tab/>
      </w:r>
      <w:r w:rsidRPr="007D1EF7">
        <w:rPr>
          <w:lang w:val="en-US" w:eastAsia="ja-JP"/>
        </w:rPr>
        <w:t>HIBLEO-2 system characteristics</w:t>
      </w:r>
      <w:bookmarkEnd w:id="37"/>
    </w:p>
    <w:p w:rsidR="00AA2BE3" w:rsidRPr="007D1EF7" w:rsidRDefault="00AA2BE3" w:rsidP="00AA2BE3">
      <w:pPr>
        <w:rPr>
          <w:bCs/>
          <w:lang w:val="en-US" w:eastAsia="ja-JP"/>
        </w:rPr>
      </w:pPr>
      <w:r w:rsidRPr="007D1EF7">
        <w:rPr>
          <w:bCs/>
          <w:lang w:val="en-US" w:eastAsia="ja-JP"/>
        </w:rPr>
        <w:t xml:space="preserve">System characteristics, protection criteria and antenna patterns used in this study are given in the introductory section of this </w:t>
      </w:r>
      <w:r w:rsidR="009D5E0B" w:rsidRPr="007D1EF7">
        <w:rPr>
          <w:bCs/>
          <w:lang w:val="en-US" w:eastAsia="ja-JP"/>
        </w:rPr>
        <w:t>R</w:t>
      </w:r>
      <w:r w:rsidRPr="007D1EF7">
        <w:rPr>
          <w:bCs/>
          <w:lang w:val="en-US" w:eastAsia="ja-JP"/>
        </w:rPr>
        <w:t>eport.</w:t>
      </w:r>
    </w:p>
    <w:p w:rsidR="00AA2BE3" w:rsidRPr="007D1EF7" w:rsidRDefault="00AA2BE3" w:rsidP="009D5E0B">
      <w:pPr>
        <w:pStyle w:val="Heading1"/>
        <w:rPr>
          <w:lang w:val="en-US" w:eastAsia="ja-JP"/>
        </w:rPr>
      </w:pPr>
      <w:bookmarkStart w:id="38" w:name="_Toc277668600"/>
      <w:r w:rsidRPr="007D1EF7">
        <w:rPr>
          <w:lang w:val="en-US" w:eastAsia="ja-JP"/>
        </w:rPr>
        <w:t>2</w:t>
      </w:r>
      <w:r w:rsidRPr="007D1EF7">
        <w:rPr>
          <w:lang w:val="en-US"/>
        </w:rPr>
        <w:tab/>
      </w:r>
      <w:r w:rsidRPr="007D1EF7">
        <w:rPr>
          <w:lang w:val="en-US" w:eastAsia="ja-JP"/>
        </w:rPr>
        <w:t>Analysis method and results</w:t>
      </w:r>
      <w:bookmarkEnd w:id="38"/>
    </w:p>
    <w:p w:rsidR="00AA2BE3" w:rsidRPr="007D1EF7" w:rsidRDefault="00AA2BE3" w:rsidP="009D5E0B">
      <w:pPr>
        <w:pStyle w:val="Heading2"/>
        <w:rPr>
          <w:lang w:val="en-US" w:eastAsia="ja-JP"/>
        </w:rPr>
      </w:pPr>
      <w:bookmarkStart w:id="39" w:name="_Toc277668601"/>
      <w:r w:rsidRPr="007D1EF7">
        <w:rPr>
          <w:lang w:val="en-US" w:eastAsia="ja-JP"/>
        </w:rPr>
        <w:t>2.1</w:t>
      </w:r>
      <w:r w:rsidRPr="007D1EF7">
        <w:rPr>
          <w:lang w:val="en-US" w:eastAsia="ja-JP"/>
        </w:rPr>
        <w:tab/>
        <w:t>Configuration for computer simulation</w:t>
      </w:r>
      <w:bookmarkEnd w:id="39"/>
    </w:p>
    <w:p w:rsidR="00AA2BE3" w:rsidRPr="007D1EF7" w:rsidRDefault="00AA2BE3" w:rsidP="00AA2BE3">
      <w:pPr>
        <w:rPr>
          <w:lang w:val="en-US" w:eastAsia="ja-JP"/>
        </w:rPr>
      </w:pPr>
      <w:r w:rsidRPr="007D1EF7">
        <w:rPr>
          <w:lang w:val="en-US" w:eastAsia="ja-JP"/>
        </w:rPr>
        <w:t>This computer-based dynamic simulation simulated the followings, for a period of one-year, to identify the interference events caused for one HIBLEO-2 satellite which is receiving four ISL signals from the nearest four HIBLEO-2 satellites.</w:t>
      </w:r>
    </w:p>
    <w:p w:rsidR="00AA2BE3" w:rsidRPr="007D1EF7" w:rsidRDefault="00AA2BE3" w:rsidP="00AA2BE3">
      <w:pPr>
        <w:pStyle w:val="enumlev1"/>
        <w:rPr>
          <w:lang w:val="en-US" w:eastAsia="ja-JP"/>
        </w:rPr>
      </w:pPr>
      <w:r w:rsidRPr="007D1EF7">
        <w:rPr>
          <w:lang w:val="en-US" w:eastAsia="ja-JP"/>
        </w:rPr>
        <w:t>–</w:t>
      </w:r>
      <w:r w:rsidRPr="007D1EF7">
        <w:rPr>
          <w:lang w:val="en-US" w:eastAsia="ja-JP"/>
        </w:rPr>
        <w:tab/>
        <w:t>orbits of HIBLEO-2 satellites;</w:t>
      </w:r>
    </w:p>
    <w:p w:rsidR="00AA2BE3" w:rsidRPr="007D1EF7" w:rsidRDefault="00AA2BE3" w:rsidP="00AA2BE3">
      <w:pPr>
        <w:pStyle w:val="enumlev1"/>
        <w:rPr>
          <w:lang w:val="en-US" w:eastAsia="ja-JP"/>
        </w:rPr>
      </w:pPr>
      <w:r w:rsidRPr="007D1EF7">
        <w:rPr>
          <w:lang w:val="en-US" w:eastAsia="ja-JP"/>
        </w:rPr>
        <w:t>–</w:t>
      </w:r>
      <w:r w:rsidRPr="007D1EF7">
        <w:rPr>
          <w:lang w:val="en-US" w:eastAsia="ja-JP"/>
        </w:rPr>
        <w:tab/>
        <w:t>pointing direction of HIBLEO-2 satellite antennas together with their antenna patterns;</w:t>
      </w:r>
    </w:p>
    <w:p w:rsidR="00AA2BE3" w:rsidRPr="007D1EF7" w:rsidRDefault="00AA2BE3" w:rsidP="00AA2BE3">
      <w:pPr>
        <w:pStyle w:val="enumlev1"/>
        <w:rPr>
          <w:lang w:val="en-US" w:eastAsia="ja-JP"/>
        </w:rPr>
      </w:pPr>
      <w:r w:rsidRPr="007D1EF7">
        <w:rPr>
          <w:lang w:val="en-US" w:eastAsia="ja-JP"/>
        </w:rPr>
        <w:t>–</w:t>
      </w:r>
      <w:r w:rsidRPr="007D1EF7">
        <w:rPr>
          <w:lang w:val="en-US" w:eastAsia="ja-JP"/>
        </w:rPr>
        <w:tab/>
        <w:t>pointing direction of SRS earth station antennas together with their antenna patterns when SRS earth stations are transmitting uplink signals to lunar satellites.</w:t>
      </w:r>
    </w:p>
    <w:p w:rsidR="00AA2BE3" w:rsidRPr="007D1EF7" w:rsidRDefault="00AA2BE3" w:rsidP="00AA2BE3">
      <w:pPr>
        <w:rPr>
          <w:lang w:val="en-US" w:eastAsia="ja-JP"/>
        </w:rPr>
      </w:pPr>
      <w:r w:rsidRPr="007D1EF7">
        <w:rPr>
          <w:lang w:val="en-US" w:eastAsia="ja-JP"/>
        </w:rPr>
        <w:t xml:space="preserve">Figure A2-1 shows this configuration. </w:t>
      </w:r>
    </w:p>
    <w:p w:rsidR="00B4321F" w:rsidRPr="007D1EF7" w:rsidRDefault="00B4321F" w:rsidP="00B4321F">
      <w:pPr>
        <w:rPr>
          <w:lang w:val="en-US" w:eastAsia="ja-JP"/>
        </w:rPr>
      </w:pPr>
      <w:r w:rsidRPr="007D1EF7">
        <w:rPr>
          <w:lang w:val="en-US" w:eastAsia="ja-JP"/>
        </w:rPr>
        <w:t>In this simulation, HIBLEO satellite No. 13 is selected as a representative case, which is receiving ISL signals from the nearest four HIBLEO satellites of No. 12, No. 2, No. 25 and No. 14, as shown in Fig. A2-2.</w:t>
      </w:r>
    </w:p>
    <w:p w:rsidR="00B4321F" w:rsidRPr="007D1EF7" w:rsidRDefault="00B4321F" w:rsidP="00B4321F">
      <w:pPr>
        <w:pStyle w:val="Heading2"/>
        <w:rPr>
          <w:lang w:val="en-US" w:eastAsia="ja-JP"/>
        </w:rPr>
      </w:pPr>
      <w:bookmarkStart w:id="40" w:name="_Toc277668602"/>
      <w:r w:rsidRPr="007D1EF7">
        <w:rPr>
          <w:lang w:val="en-US" w:eastAsia="ja-JP"/>
        </w:rPr>
        <w:t>2.2</w:t>
      </w:r>
      <w:r w:rsidRPr="007D1EF7">
        <w:rPr>
          <w:lang w:val="en-US" w:eastAsia="ja-JP"/>
        </w:rPr>
        <w:tab/>
        <w:t>In-band sharing study</w:t>
      </w:r>
      <w:bookmarkEnd w:id="40"/>
    </w:p>
    <w:p w:rsidR="00B4321F" w:rsidRPr="007D1EF7" w:rsidRDefault="00B4321F" w:rsidP="00B4321F">
      <w:pPr>
        <w:rPr>
          <w:lang w:val="en-US" w:eastAsia="ja-JP"/>
        </w:rPr>
      </w:pPr>
      <w:r w:rsidRPr="007D1EF7">
        <w:rPr>
          <w:lang w:val="en-US" w:eastAsia="ja-JP"/>
        </w:rPr>
        <w:t xml:space="preserve">While the HIBLEO-2 ISL frequencies do not overlap with the proposed SRS band in the </w:t>
      </w:r>
      <w:r w:rsidRPr="007D1EF7">
        <w:rPr>
          <w:lang w:val="en-US"/>
        </w:rPr>
        <w:t>22.55</w:t>
      </w:r>
      <w:r w:rsidRPr="007D1EF7">
        <w:rPr>
          <w:lang w:val="en-US"/>
        </w:rPr>
        <w:noBreakHyphen/>
        <w:t>23.15 GHz</w:t>
      </w:r>
      <w:r w:rsidRPr="007D1EF7">
        <w:rPr>
          <w:lang w:val="en-US" w:eastAsia="ja-JP"/>
        </w:rPr>
        <w:t>, this analysis assumes two situations for both the in-band and out-of-band cases.</w:t>
      </w:r>
    </w:p>
    <w:p w:rsidR="00B4321F" w:rsidRPr="007D1EF7" w:rsidRDefault="00B4321F" w:rsidP="00B4321F">
      <w:pPr>
        <w:rPr>
          <w:lang w:val="en-US" w:eastAsia="ja-JP"/>
        </w:rPr>
      </w:pPr>
      <w:r w:rsidRPr="007D1EF7">
        <w:rPr>
          <w:lang w:val="en-US" w:eastAsia="ja-JP"/>
        </w:rPr>
        <w:t xml:space="preserve">For the in-band studies, the PSD value for the lunar mission in Table A2-1a is used for computer simulation. </w:t>
      </w:r>
    </w:p>
    <w:p w:rsidR="00B4321F" w:rsidRPr="007D1EF7" w:rsidRDefault="00B4321F" w:rsidP="00B4321F">
      <w:pPr>
        <w:rPr>
          <w:lang w:val="en-US" w:eastAsia="ja-JP"/>
        </w:rPr>
      </w:pPr>
      <w:r w:rsidRPr="007D1EF7">
        <w:rPr>
          <w:lang w:val="en-US" w:eastAsia="ja-JP"/>
        </w:rPr>
        <w:t>The simulation results are summarized in Table A2-2. The</w:t>
      </w:r>
      <w:r w:rsidRPr="007D1EF7">
        <w:rPr>
          <w:lang w:val="en-US"/>
        </w:rPr>
        <w:t xml:space="preserve"> HIBLEO-2 protection criterion for </w:t>
      </w:r>
      <w:r w:rsidRPr="007D1EF7">
        <w:rPr>
          <w:lang w:val="en-US" w:eastAsia="ja-JP"/>
        </w:rPr>
        <w:t>the in</w:t>
      </w:r>
      <w:r w:rsidRPr="007D1EF7">
        <w:rPr>
          <w:lang w:val="en-US"/>
        </w:rPr>
        <w:t>-band</w:t>
      </w:r>
      <w:r w:rsidRPr="007D1EF7">
        <w:rPr>
          <w:lang w:val="en-US" w:eastAsia="ja-JP"/>
        </w:rPr>
        <w:t>,</w:t>
      </w:r>
      <w:r w:rsidRPr="007D1EF7">
        <w:rPr>
          <w:i/>
          <w:iCs/>
          <w:lang w:val="en-US"/>
        </w:rPr>
        <w:t xml:space="preserve"> I</w:t>
      </w:r>
      <w:r w:rsidRPr="007D1EF7">
        <w:rPr>
          <w:lang w:val="en-US"/>
        </w:rPr>
        <w:t>/</w:t>
      </w:r>
      <w:r w:rsidRPr="007D1EF7">
        <w:rPr>
          <w:i/>
          <w:iCs/>
          <w:lang w:val="en-US"/>
        </w:rPr>
        <w:t xml:space="preserve">N </w:t>
      </w:r>
      <w:r w:rsidRPr="007D1EF7">
        <w:rPr>
          <w:lang w:val="en-US"/>
        </w:rPr>
        <w:t>= –10 dB not to be exceeded for more than 0.1% of time per link</w:t>
      </w:r>
      <w:r w:rsidRPr="007D1EF7">
        <w:rPr>
          <w:lang w:val="en-US" w:eastAsia="ja-JP"/>
        </w:rPr>
        <w:t>,</w:t>
      </w:r>
      <w:r w:rsidRPr="007D1EF7">
        <w:rPr>
          <w:lang w:val="en-US"/>
        </w:rPr>
        <w:t xml:space="preserve"> is</w:t>
      </w:r>
      <w:r w:rsidRPr="007D1EF7">
        <w:rPr>
          <w:lang w:val="en-US" w:eastAsia="ja-JP"/>
        </w:rPr>
        <w:t xml:space="preserve"> satisfied for all </w:t>
      </w:r>
      <w:r w:rsidRPr="007D1EF7">
        <w:rPr>
          <w:lang w:val="en-US"/>
        </w:rPr>
        <w:t>HIBLEO-2</w:t>
      </w:r>
      <w:r w:rsidRPr="007D1EF7">
        <w:rPr>
          <w:lang w:val="en-US" w:eastAsia="ja-JP"/>
        </w:rPr>
        <w:t xml:space="preserve"> ISLs.</w:t>
      </w:r>
    </w:p>
    <w:p w:rsidR="00B4321F" w:rsidRPr="007D1EF7" w:rsidRDefault="00B4321F" w:rsidP="00B4321F">
      <w:pPr>
        <w:rPr>
          <w:lang w:val="en-US" w:eastAsia="ja-JP"/>
        </w:rPr>
      </w:pPr>
      <w:r w:rsidRPr="007D1EF7">
        <w:rPr>
          <w:lang w:val="en-US" w:eastAsia="ja-JP"/>
        </w:rPr>
        <w:t>The largest total interference time percentage caused by SRS aggregate uplinks is 0.00032%, which is far below the 0.1%.</w:t>
      </w:r>
    </w:p>
    <w:p w:rsidR="00AA2BE3" w:rsidRPr="007D1EF7" w:rsidRDefault="00AA2BE3" w:rsidP="00AA2BE3">
      <w:pPr>
        <w:pStyle w:val="FigureNo"/>
        <w:rPr>
          <w:lang w:val="en-US"/>
        </w:rPr>
      </w:pPr>
      <w:r w:rsidRPr="007D1EF7">
        <w:rPr>
          <w:lang w:val="en-US" w:eastAsia="ja-JP"/>
        </w:rPr>
        <w:lastRenderedPageBreak/>
        <w:t>FIGURE</w:t>
      </w:r>
      <w:r w:rsidRPr="007D1EF7">
        <w:rPr>
          <w:lang w:val="en-US"/>
        </w:rPr>
        <w:t xml:space="preserve"> A2-1</w:t>
      </w:r>
    </w:p>
    <w:p w:rsidR="00AA2BE3" w:rsidRPr="007D1EF7" w:rsidRDefault="00AA2BE3" w:rsidP="00AA2BE3">
      <w:pPr>
        <w:pStyle w:val="Figuretitle"/>
        <w:rPr>
          <w:lang w:val="en-US"/>
        </w:rPr>
      </w:pPr>
      <w:r w:rsidRPr="007D1EF7">
        <w:rPr>
          <w:lang w:val="en-US"/>
        </w:rPr>
        <w:t>HIBLEO-2 satellites interfered with by SRS uplink stations</w:t>
      </w:r>
    </w:p>
    <w:p w:rsidR="00AA2BE3" w:rsidRPr="006C2078" w:rsidRDefault="00AA2BE3" w:rsidP="009D5E0B">
      <w:pPr>
        <w:pStyle w:val="Figure"/>
        <w:rPr>
          <w:lang w:eastAsia="ja-JP"/>
        </w:rPr>
      </w:pPr>
      <w:r>
        <w:rPr>
          <w:noProof/>
          <w:lang w:val="en-US" w:eastAsia="zh-CN"/>
        </w:rPr>
        <w:drawing>
          <wp:inline distT="0" distB="0" distL="0" distR="0">
            <wp:extent cx="6146165" cy="4572000"/>
            <wp:effectExtent l="1905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6146165" cy="4572000"/>
                    </a:xfrm>
                    <a:prstGeom prst="rect">
                      <a:avLst/>
                    </a:prstGeom>
                    <a:noFill/>
                    <a:ln w="9525">
                      <a:noFill/>
                      <a:miter lim="800000"/>
                      <a:headEnd/>
                      <a:tailEnd/>
                    </a:ln>
                  </pic:spPr>
                </pic:pic>
              </a:graphicData>
            </a:graphic>
          </wp:inline>
        </w:drawing>
      </w:r>
    </w:p>
    <w:p w:rsidR="00AA2BE3" w:rsidRPr="007D1EF7" w:rsidRDefault="00AA2BE3" w:rsidP="00AA2BE3">
      <w:pPr>
        <w:pStyle w:val="FigureNo"/>
        <w:rPr>
          <w:lang w:val="en-US"/>
        </w:rPr>
      </w:pPr>
      <w:r w:rsidRPr="007D1EF7">
        <w:rPr>
          <w:lang w:val="en-US" w:eastAsia="ja-JP"/>
        </w:rPr>
        <w:t>FIGURE</w:t>
      </w:r>
      <w:r w:rsidRPr="007D1EF7">
        <w:rPr>
          <w:lang w:val="en-US"/>
        </w:rPr>
        <w:t xml:space="preserve"> A2-</w:t>
      </w:r>
      <w:r w:rsidRPr="007D1EF7">
        <w:rPr>
          <w:lang w:val="en-US" w:eastAsia="ja-JP"/>
        </w:rPr>
        <w:t>2</w:t>
      </w:r>
    </w:p>
    <w:p w:rsidR="00AA2BE3" w:rsidRPr="007D1EF7" w:rsidRDefault="00AA2BE3" w:rsidP="00AA2BE3">
      <w:pPr>
        <w:pStyle w:val="Figuretitle"/>
        <w:rPr>
          <w:lang w:val="en-US"/>
        </w:rPr>
      </w:pPr>
      <w:r w:rsidRPr="007D1EF7">
        <w:rPr>
          <w:lang w:val="en-US"/>
        </w:rPr>
        <w:t>ISL for HIBLEO-2 satellite No. 13</w:t>
      </w:r>
    </w:p>
    <w:p w:rsidR="00AA2BE3" w:rsidRPr="006C2078" w:rsidRDefault="00AA2BE3" w:rsidP="009D5E0B">
      <w:pPr>
        <w:pStyle w:val="Figure"/>
        <w:rPr>
          <w:lang w:eastAsia="ja-JP"/>
        </w:rPr>
      </w:pPr>
      <w:r>
        <w:rPr>
          <w:noProof/>
          <w:lang w:val="en-US" w:eastAsia="zh-CN"/>
        </w:rPr>
        <w:drawing>
          <wp:inline distT="0" distB="0" distL="0" distR="0">
            <wp:extent cx="4723130" cy="2973705"/>
            <wp:effectExtent l="0" t="0" r="0" b="0"/>
            <wp:docPr id="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a:stretch>
                      <a:fillRect/>
                    </a:stretch>
                  </pic:blipFill>
                  <pic:spPr bwMode="auto">
                    <a:xfrm>
                      <a:off x="0" y="0"/>
                      <a:ext cx="4723130" cy="2973705"/>
                    </a:xfrm>
                    <a:prstGeom prst="rect">
                      <a:avLst/>
                    </a:prstGeom>
                    <a:noFill/>
                    <a:ln w="9525">
                      <a:noFill/>
                      <a:miter lim="800000"/>
                      <a:headEnd/>
                      <a:tailEnd/>
                    </a:ln>
                  </pic:spPr>
                </pic:pic>
              </a:graphicData>
            </a:graphic>
          </wp:inline>
        </w:drawing>
      </w:r>
    </w:p>
    <w:p w:rsidR="00A47FF8" w:rsidRDefault="00A47FF8" w:rsidP="00AA2BE3">
      <w:pPr>
        <w:rPr>
          <w:lang w:eastAsia="ja-JP"/>
        </w:rPr>
      </w:pPr>
    </w:p>
    <w:p w:rsidR="00AA2BE3" w:rsidRPr="007D1EF7" w:rsidRDefault="00AA2BE3" w:rsidP="00AA2BE3">
      <w:pPr>
        <w:pStyle w:val="TableNo"/>
        <w:rPr>
          <w:lang w:val="en-US"/>
        </w:rPr>
      </w:pPr>
      <w:r w:rsidRPr="007D1EF7">
        <w:rPr>
          <w:lang w:val="en-US"/>
        </w:rPr>
        <w:lastRenderedPageBreak/>
        <w:t>TABLE A2-2</w:t>
      </w:r>
    </w:p>
    <w:p w:rsidR="00AA2BE3" w:rsidRPr="007D1EF7" w:rsidRDefault="00AA2BE3" w:rsidP="00AA2BE3">
      <w:pPr>
        <w:pStyle w:val="Tabletitle"/>
        <w:rPr>
          <w:lang w:val="en-US" w:eastAsia="ja-JP"/>
        </w:rPr>
      </w:pPr>
      <w:r w:rsidRPr="007D1EF7">
        <w:rPr>
          <w:lang w:val="en-US"/>
        </w:rPr>
        <w:t>Results</w:t>
      </w:r>
      <w:r w:rsidRPr="007D1EF7">
        <w:rPr>
          <w:lang w:val="en-US" w:eastAsia="ja-JP"/>
        </w:rPr>
        <w:t xml:space="preserve"> for in-band case</w:t>
      </w:r>
    </w:p>
    <w:p w:rsidR="00AA2BE3" w:rsidRDefault="00EB0992" w:rsidP="00EB0992">
      <w:pPr>
        <w:pStyle w:val="Figure"/>
        <w:rPr>
          <w:noProof/>
          <w:lang w:eastAsia="de-DE"/>
        </w:rPr>
      </w:pPr>
      <w:r w:rsidRPr="00EB0992">
        <w:rPr>
          <w:noProof/>
          <w:lang w:val="en-US" w:eastAsia="zh-CN"/>
        </w:rPr>
        <w:drawing>
          <wp:inline distT="0" distB="0" distL="0" distR="0">
            <wp:extent cx="5136515" cy="7355205"/>
            <wp:effectExtent l="19050" t="0" r="6985" b="0"/>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5136515" cy="7355205"/>
                    </a:xfrm>
                    <a:prstGeom prst="rect">
                      <a:avLst/>
                    </a:prstGeom>
                    <a:noFill/>
                    <a:ln w="9525">
                      <a:noFill/>
                      <a:miter lim="800000"/>
                      <a:headEnd/>
                      <a:tailEnd/>
                    </a:ln>
                  </pic:spPr>
                </pic:pic>
              </a:graphicData>
            </a:graphic>
          </wp:inline>
        </w:drawing>
      </w:r>
    </w:p>
    <w:p w:rsidR="009D5E0B" w:rsidRPr="006C2078" w:rsidRDefault="009D5E0B" w:rsidP="009D5E0B">
      <w:pPr>
        <w:pStyle w:val="Tablefin"/>
        <w:rPr>
          <w:noProof/>
          <w:lang w:eastAsia="de-DE"/>
        </w:rPr>
      </w:pPr>
    </w:p>
    <w:p w:rsidR="00AA2BE3" w:rsidRPr="007D1EF7" w:rsidRDefault="00AA2BE3" w:rsidP="00AA2BE3">
      <w:pPr>
        <w:pStyle w:val="Heading2"/>
        <w:rPr>
          <w:lang w:val="en-US" w:eastAsia="ja-JP"/>
        </w:rPr>
      </w:pPr>
      <w:bookmarkStart w:id="41" w:name="_Toc277668603"/>
      <w:r w:rsidRPr="007D1EF7">
        <w:rPr>
          <w:lang w:val="en-US" w:eastAsia="ja-JP"/>
        </w:rPr>
        <w:lastRenderedPageBreak/>
        <w:t>2.3</w:t>
      </w:r>
      <w:r w:rsidRPr="007D1EF7">
        <w:rPr>
          <w:lang w:val="en-US" w:eastAsia="ja-JP"/>
        </w:rPr>
        <w:tab/>
        <w:t>Out-of-band sharing study</w:t>
      </w:r>
      <w:bookmarkEnd w:id="41"/>
    </w:p>
    <w:p w:rsidR="00AA2BE3" w:rsidRPr="007D1EF7" w:rsidRDefault="00AA2BE3" w:rsidP="00EB0992">
      <w:pPr>
        <w:rPr>
          <w:lang w:val="en-US" w:eastAsia="ja-JP"/>
        </w:rPr>
      </w:pPr>
      <w:r w:rsidRPr="007D1EF7">
        <w:rPr>
          <w:lang w:val="en-US" w:eastAsia="ja-JP"/>
        </w:rPr>
        <w:t xml:space="preserve">For the </w:t>
      </w:r>
      <w:r w:rsidR="004D108E" w:rsidRPr="007D1EF7">
        <w:rPr>
          <w:lang w:val="en-US" w:eastAsia="ja-JP"/>
        </w:rPr>
        <w:t>OoB</w:t>
      </w:r>
      <w:r w:rsidRPr="007D1EF7">
        <w:rPr>
          <w:lang w:val="en-US" w:eastAsia="ja-JP"/>
        </w:rPr>
        <w:t xml:space="preserve"> case, the following conditions are assumed in order to calculate the largest </w:t>
      </w:r>
      <w:r w:rsidR="00EB0992" w:rsidRPr="007D1EF7">
        <w:rPr>
          <w:lang w:val="en-US" w:eastAsia="ja-JP"/>
        </w:rPr>
        <w:t>OoB</w:t>
      </w:r>
      <w:r w:rsidRPr="007D1EF7">
        <w:rPr>
          <w:lang w:val="en-US" w:eastAsia="ja-JP"/>
        </w:rPr>
        <w:t xml:space="preserve"> a</w:t>
      </w:r>
      <w:r w:rsidRPr="007D1EF7">
        <w:rPr>
          <w:lang w:val="en-US"/>
        </w:rPr>
        <w:t>ggregate PSD</w:t>
      </w:r>
      <w:r w:rsidRPr="007D1EF7">
        <w:rPr>
          <w:lang w:val="en-US" w:eastAsia="ja-JP"/>
        </w:rPr>
        <w:t xml:space="preserve"> value under a conceivable future scenario where many lunar missions are being supported by all 8 SRS stations:</w:t>
      </w:r>
    </w:p>
    <w:p w:rsidR="00AA2BE3" w:rsidRPr="007D1EF7" w:rsidRDefault="00AA2BE3" w:rsidP="00AA2BE3">
      <w:pPr>
        <w:pStyle w:val="enumlev1"/>
        <w:rPr>
          <w:lang w:val="en-US" w:eastAsia="ja-JP"/>
        </w:rPr>
      </w:pPr>
      <w:r w:rsidRPr="007D1EF7">
        <w:rPr>
          <w:lang w:val="en-US" w:eastAsia="ja-JP"/>
        </w:rPr>
        <w:t>a)</w:t>
      </w:r>
      <w:r w:rsidRPr="007D1EF7">
        <w:rPr>
          <w:lang w:val="en-US" w:eastAsia="ja-JP"/>
        </w:rPr>
        <w:tab/>
        <w:t>All SRS stations are simultaneously transmitting</w:t>
      </w:r>
      <w:r w:rsidRPr="007D1EF7">
        <w:rPr>
          <w:lang w:val="en-US"/>
        </w:rPr>
        <w:t xml:space="preserve"> </w:t>
      </w:r>
      <w:r w:rsidRPr="007D1EF7">
        <w:rPr>
          <w:lang w:val="en-US" w:eastAsia="ja-JP"/>
        </w:rPr>
        <w:t>four up</w:t>
      </w:r>
      <w:r w:rsidRPr="007D1EF7">
        <w:rPr>
          <w:lang w:val="en-US"/>
        </w:rPr>
        <w:t>link</w:t>
      </w:r>
      <w:r w:rsidRPr="007D1EF7">
        <w:rPr>
          <w:lang w:val="en-US" w:eastAsia="ja-JP"/>
        </w:rPr>
        <w:t xml:space="preserve"> channels with o</w:t>
      </w:r>
      <w:r w:rsidRPr="007D1EF7">
        <w:rPr>
          <w:lang w:val="en-US"/>
        </w:rPr>
        <w:t xml:space="preserve">ne 24 MHz carrier and three 12 MHz carriers as explained in the introductory section of this </w:t>
      </w:r>
      <w:r w:rsidR="00EB0992" w:rsidRPr="007D1EF7">
        <w:rPr>
          <w:lang w:val="en-US"/>
        </w:rPr>
        <w:t>R</w:t>
      </w:r>
      <w:r w:rsidRPr="007D1EF7">
        <w:rPr>
          <w:lang w:val="en-US"/>
        </w:rPr>
        <w:t>eport.</w:t>
      </w:r>
    </w:p>
    <w:p w:rsidR="00AA2BE3" w:rsidRPr="007D1EF7" w:rsidRDefault="00AA2BE3" w:rsidP="00AA2BE3">
      <w:pPr>
        <w:pStyle w:val="enumlev1"/>
        <w:rPr>
          <w:lang w:val="en-US" w:eastAsia="ja-JP"/>
        </w:rPr>
      </w:pPr>
      <w:r w:rsidRPr="007D1EF7">
        <w:rPr>
          <w:lang w:val="en-US" w:eastAsia="ja-JP"/>
        </w:rPr>
        <w:t>b)</w:t>
      </w:r>
      <w:r w:rsidRPr="007D1EF7">
        <w:rPr>
          <w:lang w:val="en-US" w:eastAsia="ja-JP"/>
        </w:rPr>
        <w:tab/>
        <w:t>All SRS stations have</w:t>
      </w:r>
      <w:r w:rsidRPr="007D1EF7">
        <w:rPr>
          <w:lang w:val="en-US"/>
        </w:rPr>
        <w:t xml:space="preserve"> the same antenna size and power-spectral density </w:t>
      </w:r>
      <w:r w:rsidRPr="007D1EF7">
        <w:rPr>
          <w:lang w:val="en-US" w:eastAsia="ja-JP"/>
        </w:rPr>
        <w:t>for each uplink channel.</w:t>
      </w:r>
    </w:p>
    <w:p w:rsidR="00AA2BE3" w:rsidRPr="007D1EF7" w:rsidRDefault="00AA2BE3" w:rsidP="00AA2BE3">
      <w:pPr>
        <w:pStyle w:val="enumlev1"/>
        <w:rPr>
          <w:lang w:val="en-US" w:eastAsia="ja-JP"/>
        </w:rPr>
      </w:pPr>
      <w:r w:rsidRPr="007D1EF7">
        <w:rPr>
          <w:lang w:val="en-US" w:eastAsia="ja-JP"/>
        </w:rPr>
        <w:t>c)</w:t>
      </w:r>
      <w:r w:rsidRPr="007D1EF7">
        <w:rPr>
          <w:lang w:val="en-US" w:eastAsia="ja-JP"/>
        </w:rPr>
        <w:tab/>
        <w:t>The out-of-band a</w:t>
      </w:r>
      <w:r w:rsidRPr="007D1EF7">
        <w:rPr>
          <w:lang w:val="en-US"/>
        </w:rPr>
        <w:t>ggregate PSD</w:t>
      </w:r>
      <w:r w:rsidRPr="007D1EF7">
        <w:rPr>
          <w:lang w:val="en-US" w:eastAsia="ja-JP"/>
        </w:rPr>
        <w:t xml:space="preserve"> for each SRS station is </w:t>
      </w:r>
      <w:r w:rsidRPr="007D1EF7">
        <w:rPr>
          <w:lang w:val="en-US"/>
        </w:rPr>
        <w:t xml:space="preserve">calculated by totalling </w:t>
      </w:r>
      <w:r w:rsidRPr="007D1EF7">
        <w:rPr>
          <w:lang w:val="en-US" w:eastAsia="ja-JP"/>
        </w:rPr>
        <w:t>the</w:t>
      </w:r>
      <w:r w:rsidRPr="007D1EF7">
        <w:rPr>
          <w:lang w:val="en-US"/>
        </w:rPr>
        <w:t xml:space="preserve"> individual </w:t>
      </w:r>
      <w:r w:rsidRPr="007D1EF7">
        <w:rPr>
          <w:lang w:val="en-US" w:eastAsia="ja-JP"/>
        </w:rPr>
        <w:t xml:space="preserve">out-of-band </w:t>
      </w:r>
      <w:r w:rsidRPr="007D1EF7">
        <w:rPr>
          <w:lang w:val="en-US"/>
        </w:rPr>
        <w:t xml:space="preserve">PSD values </w:t>
      </w:r>
      <w:r w:rsidRPr="007D1EF7">
        <w:rPr>
          <w:lang w:val="en-US" w:eastAsia="ja-JP"/>
        </w:rPr>
        <w:t xml:space="preserve">to represent </w:t>
      </w:r>
      <w:r w:rsidRPr="007D1EF7">
        <w:rPr>
          <w:lang w:val="en-US"/>
        </w:rPr>
        <w:t xml:space="preserve">the </w:t>
      </w:r>
      <w:r w:rsidRPr="007D1EF7">
        <w:rPr>
          <w:lang w:val="en-US" w:eastAsia="ja-JP"/>
        </w:rPr>
        <w:t xml:space="preserve">total of </w:t>
      </w:r>
      <w:r w:rsidRPr="007D1EF7">
        <w:rPr>
          <w:lang w:val="en-US"/>
        </w:rPr>
        <w:t>four carriers.</w:t>
      </w:r>
    </w:p>
    <w:p w:rsidR="00AA2BE3" w:rsidRPr="007D1EF7" w:rsidRDefault="00AA2BE3" w:rsidP="00AA2BE3">
      <w:pPr>
        <w:rPr>
          <w:lang w:val="en-US" w:eastAsia="ja-JP"/>
        </w:rPr>
      </w:pPr>
      <w:r w:rsidRPr="007D1EF7">
        <w:rPr>
          <w:lang w:val="en-US" w:eastAsia="ja-JP"/>
        </w:rPr>
        <w:t>The largest out-of-band a</w:t>
      </w:r>
      <w:r w:rsidRPr="007D1EF7">
        <w:rPr>
          <w:lang w:val="en-US"/>
        </w:rPr>
        <w:t>ggregate PSD</w:t>
      </w:r>
      <w:r w:rsidRPr="007D1EF7">
        <w:rPr>
          <w:lang w:val="en-US" w:eastAsia="ja-JP"/>
        </w:rPr>
        <w:t xml:space="preserve"> values are –92.3 to –95.7dBW/Hz, which are about 35 dB less than the in-band PSD values.</w:t>
      </w:r>
    </w:p>
    <w:p w:rsidR="00AA2BE3" w:rsidRPr="007D1EF7" w:rsidRDefault="00AA2BE3" w:rsidP="004D108E">
      <w:pPr>
        <w:rPr>
          <w:lang w:val="en-US" w:eastAsia="ja-JP"/>
        </w:rPr>
      </w:pPr>
      <w:r w:rsidRPr="007D1EF7">
        <w:rPr>
          <w:lang w:val="en-US" w:eastAsia="ja-JP"/>
        </w:rPr>
        <w:t>The simulation results show that there are no interference events occurring over a period of 1 year for every HIBLEO-2 ISL link. For all links shown in Fig. A2-2, the HIBLEO-2 criteria,</w:t>
      </w:r>
      <w:r w:rsidR="004D108E" w:rsidRPr="007D1EF7">
        <w:rPr>
          <w:lang w:val="en-US" w:eastAsia="ja-JP"/>
        </w:rPr>
        <w:t xml:space="preserve"> </w:t>
      </w:r>
      <w:r w:rsidR="00DC4C77">
        <w:rPr>
          <w:lang w:eastAsia="ja-JP"/>
        </w:rPr>
        <w:fldChar w:fldCharType="begin"/>
      </w:r>
      <w:r w:rsidR="004D108E" w:rsidRPr="007D1EF7">
        <w:rPr>
          <w:lang w:val="en-US" w:eastAsia="ja-JP"/>
        </w:rPr>
        <w:instrText xml:space="preserve"> EQ  </w:instrText>
      </w:r>
      <w:r w:rsidR="004D108E" w:rsidRPr="007D1EF7">
        <w:rPr>
          <w:i/>
          <w:iCs/>
          <w:szCs w:val="24"/>
          <w:lang w:val="en-US"/>
        </w:rPr>
        <w:instrText>I</w:instrText>
      </w:r>
      <w:r w:rsidR="004D108E" w:rsidRPr="007D1EF7">
        <w:rPr>
          <w:szCs w:val="24"/>
          <w:lang w:val="en-US"/>
        </w:rPr>
        <w:instrText>/</w:instrText>
      </w:r>
      <w:r w:rsidR="004D108E" w:rsidRPr="007D1EF7">
        <w:rPr>
          <w:i/>
          <w:iCs/>
          <w:szCs w:val="24"/>
          <w:lang w:val="en-US"/>
        </w:rPr>
        <w:instrText>N</w:instrText>
      </w:r>
      <w:r w:rsidR="004D108E" w:rsidRPr="007D1EF7">
        <w:rPr>
          <w:lang w:val="en-US"/>
        </w:rPr>
        <w:instrText xml:space="preserve"> = –16 dB</w:instrText>
      </w:r>
      <w:r w:rsidR="004D108E" w:rsidRPr="007D1EF7">
        <w:rPr>
          <w:lang w:val="en-US" w:eastAsia="ja-JP"/>
        </w:rPr>
        <w:instrText xml:space="preserve"> </w:instrText>
      </w:r>
      <w:r w:rsidR="00DC4C77">
        <w:rPr>
          <w:lang w:eastAsia="ja-JP"/>
        </w:rPr>
        <w:fldChar w:fldCharType="end"/>
      </w:r>
      <w:r w:rsidRPr="007D1EF7">
        <w:rPr>
          <w:lang w:val="en-US"/>
        </w:rPr>
        <w:t>not to be exceeded for more than 0.01% of time</w:t>
      </w:r>
      <w:r w:rsidRPr="007D1EF7">
        <w:rPr>
          <w:lang w:val="en-US" w:eastAsia="ja-JP"/>
        </w:rPr>
        <w:t xml:space="preserve"> </w:t>
      </w:r>
      <w:r w:rsidRPr="007D1EF7">
        <w:rPr>
          <w:lang w:val="en-US"/>
        </w:rPr>
        <w:t xml:space="preserve">per HIBLEO-2 </w:t>
      </w:r>
      <w:r w:rsidRPr="007D1EF7">
        <w:rPr>
          <w:lang w:val="en-US" w:eastAsia="ja-JP"/>
        </w:rPr>
        <w:t>ISL</w:t>
      </w:r>
      <w:r w:rsidRPr="007D1EF7">
        <w:rPr>
          <w:lang w:val="en-US"/>
        </w:rPr>
        <w:t xml:space="preserve"> in the 23.183</w:t>
      </w:r>
      <w:r w:rsidRPr="007D1EF7">
        <w:rPr>
          <w:lang w:val="en-US"/>
        </w:rPr>
        <w:noBreakHyphen/>
        <w:t>23.377 GHz</w:t>
      </w:r>
      <w:r w:rsidRPr="007D1EF7">
        <w:rPr>
          <w:lang w:val="en-US" w:eastAsia="ja-JP"/>
        </w:rPr>
        <w:t>, is not exceeded.</w:t>
      </w:r>
    </w:p>
    <w:p w:rsidR="00AA2BE3" w:rsidRPr="007D1EF7" w:rsidRDefault="00AA2BE3" w:rsidP="00192341">
      <w:pPr>
        <w:pStyle w:val="Heading1"/>
        <w:rPr>
          <w:lang w:val="en-US"/>
        </w:rPr>
      </w:pPr>
      <w:bookmarkStart w:id="42" w:name="_Toc277668604"/>
      <w:r w:rsidRPr="007D1EF7">
        <w:rPr>
          <w:lang w:val="en-US" w:eastAsia="ja-JP"/>
        </w:rPr>
        <w:t>3</w:t>
      </w:r>
      <w:r w:rsidRPr="007D1EF7">
        <w:rPr>
          <w:lang w:val="en-US"/>
        </w:rPr>
        <w:tab/>
        <w:t>Conclusions</w:t>
      </w:r>
      <w:bookmarkEnd w:id="42"/>
    </w:p>
    <w:p w:rsidR="00AA2BE3" w:rsidRPr="007D1EF7" w:rsidRDefault="00AA2BE3" w:rsidP="00AA2BE3">
      <w:pPr>
        <w:rPr>
          <w:lang w:val="en-US"/>
        </w:rPr>
      </w:pPr>
      <w:r w:rsidRPr="007D1EF7">
        <w:rPr>
          <w:lang w:val="en-US" w:eastAsia="ja-JP"/>
        </w:rPr>
        <w:t xml:space="preserve">As demonstrated in this study, the </w:t>
      </w:r>
      <w:r w:rsidRPr="007D1EF7">
        <w:rPr>
          <w:lang w:val="en-US"/>
        </w:rPr>
        <w:t xml:space="preserve">sharing between the SRS (Earth-to-space) and the inter-satellite </w:t>
      </w:r>
      <w:r w:rsidRPr="007D1EF7">
        <w:rPr>
          <w:lang w:val="en-US" w:eastAsia="ja-JP"/>
        </w:rPr>
        <w:t xml:space="preserve">link of the </w:t>
      </w:r>
      <w:r w:rsidRPr="007D1EF7">
        <w:rPr>
          <w:lang w:val="en-US"/>
        </w:rPr>
        <w:t xml:space="preserve">HIBLEO-2 </w:t>
      </w:r>
      <w:r w:rsidRPr="007D1EF7">
        <w:rPr>
          <w:lang w:val="en-US" w:eastAsia="ja-JP"/>
        </w:rPr>
        <w:t xml:space="preserve">system </w:t>
      </w:r>
      <w:r w:rsidRPr="007D1EF7">
        <w:rPr>
          <w:lang w:val="en-US"/>
        </w:rPr>
        <w:t>in the 23.183–23.377 GHz</w:t>
      </w:r>
      <w:r w:rsidRPr="007D1EF7" w:rsidDel="00524C0B">
        <w:rPr>
          <w:lang w:val="en-US"/>
        </w:rPr>
        <w:t xml:space="preserve"> </w:t>
      </w:r>
      <w:r w:rsidRPr="007D1EF7">
        <w:rPr>
          <w:lang w:val="en-US"/>
        </w:rPr>
        <w:t>band</w:t>
      </w:r>
      <w:r w:rsidRPr="007D1EF7">
        <w:rPr>
          <w:lang w:val="en-US" w:eastAsia="ja-JP"/>
        </w:rPr>
        <w:t xml:space="preserve">, as well as future HIBLEO-type system in the </w:t>
      </w:r>
      <w:r w:rsidRPr="007D1EF7">
        <w:rPr>
          <w:lang w:val="en-US"/>
        </w:rPr>
        <w:t>22.55</w:t>
      </w:r>
      <w:r w:rsidRPr="007D1EF7">
        <w:rPr>
          <w:lang w:val="en-US"/>
        </w:rPr>
        <w:noBreakHyphen/>
        <w:t>23.</w:t>
      </w:r>
      <w:r w:rsidRPr="007D1EF7">
        <w:rPr>
          <w:lang w:val="en-US" w:eastAsia="ja-JP"/>
        </w:rPr>
        <w:t>5</w:t>
      </w:r>
      <w:r w:rsidRPr="007D1EF7">
        <w:rPr>
          <w:lang w:val="en-US"/>
        </w:rPr>
        <w:t>5 GHz band</w:t>
      </w:r>
      <w:r w:rsidRPr="007D1EF7">
        <w:rPr>
          <w:lang w:val="en-US" w:eastAsia="ja-JP"/>
        </w:rPr>
        <w:t>, are</w:t>
      </w:r>
      <w:r w:rsidRPr="007D1EF7">
        <w:rPr>
          <w:lang w:val="en-US"/>
        </w:rPr>
        <w:t xml:space="preserve"> feasible with no constraints on the SRS.</w:t>
      </w:r>
    </w:p>
    <w:p w:rsidR="00A47FF8" w:rsidRPr="007D1EF7" w:rsidRDefault="00A47FF8" w:rsidP="00AA2BE3">
      <w:pPr>
        <w:rPr>
          <w:lang w:val="en-US"/>
        </w:rPr>
      </w:pPr>
    </w:p>
    <w:p w:rsidR="00A47FF8" w:rsidRPr="007D1EF7" w:rsidRDefault="00A47FF8" w:rsidP="00AA2BE3">
      <w:pPr>
        <w:rPr>
          <w:lang w:val="en-US"/>
        </w:rPr>
      </w:pPr>
    </w:p>
    <w:p w:rsidR="00A47FF8" w:rsidRPr="007D1EF7" w:rsidRDefault="00A47FF8" w:rsidP="00AA2BE3">
      <w:pPr>
        <w:rPr>
          <w:lang w:val="en-US"/>
        </w:rPr>
      </w:pPr>
    </w:p>
    <w:p w:rsidR="00B4321F" w:rsidRPr="007D1EF7" w:rsidRDefault="00B4321F" w:rsidP="00AA2BE3">
      <w:pPr>
        <w:rPr>
          <w:lang w:val="en-US"/>
        </w:rPr>
      </w:pPr>
    </w:p>
    <w:p w:rsidR="00AA2BE3" w:rsidRPr="007D1EF7" w:rsidRDefault="00AA2BE3" w:rsidP="004D108E">
      <w:pPr>
        <w:pStyle w:val="AnnexNoTitle"/>
        <w:rPr>
          <w:lang w:val="en-US"/>
        </w:rPr>
      </w:pPr>
      <w:bookmarkStart w:id="43" w:name="_Toc277668605"/>
      <w:r w:rsidRPr="007D1EF7">
        <w:rPr>
          <w:lang w:val="en-US"/>
        </w:rPr>
        <w:t>Annex 3</w:t>
      </w:r>
      <w:r w:rsidR="004D108E" w:rsidRPr="007D1EF7">
        <w:rPr>
          <w:lang w:val="en-US"/>
        </w:rPr>
        <w:br/>
      </w:r>
      <w:r w:rsidR="004D108E" w:rsidRPr="007D1EF7">
        <w:rPr>
          <w:lang w:val="en-US"/>
        </w:rPr>
        <w:br/>
      </w:r>
      <w:r w:rsidRPr="007D1EF7">
        <w:rPr>
          <w:lang w:val="en-US"/>
        </w:rPr>
        <w:t>Summary of Study 3</w:t>
      </w:r>
      <w:bookmarkEnd w:id="43"/>
    </w:p>
    <w:p w:rsidR="00AA2BE3" w:rsidRPr="007D1EF7" w:rsidRDefault="00AA2BE3" w:rsidP="00192341">
      <w:pPr>
        <w:pStyle w:val="Heading1"/>
        <w:rPr>
          <w:szCs w:val="28"/>
          <w:lang w:val="en-US"/>
        </w:rPr>
      </w:pPr>
      <w:bookmarkStart w:id="44" w:name="_Toc277668606"/>
      <w:r w:rsidRPr="007D1EF7">
        <w:rPr>
          <w:szCs w:val="28"/>
          <w:lang w:val="en-US"/>
        </w:rPr>
        <w:t>1</w:t>
      </w:r>
      <w:r w:rsidRPr="007D1EF7">
        <w:rPr>
          <w:szCs w:val="28"/>
          <w:lang w:val="en-US"/>
        </w:rPr>
        <w:tab/>
        <w:t>Characteristics of potential SRS systems</w:t>
      </w:r>
      <w:bookmarkEnd w:id="44"/>
      <w:r w:rsidRPr="007D1EF7">
        <w:rPr>
          <w:szCs w:val="28"/>
          <w:lang w:val="en-US"/>
        </w:rPr>
        <w:t xml:space="preserve"> </w:t>
      </w:r>
    </w:p>
    <w:p w:rsidR="00AA2BE3" w:rsidRPr="007D1EF7" w:rsidRDefault="00AA2BE3" w:rsidP="00AA2BE3">
      <w:pPr>
        <w:rPr>
          <w:lang w:val="en-US"/>
        </w:rPr>
      </w:pPr>
      <w:r w:rsidRPr="007D1EF7">
        <w:rPr>
          <w:lang w:val="en-US"/>
        </w:rPr>
        <w:t xml:space="preserve">Table A3-1 contains expected characteristics of the SRS earth station emissions in the 23 GHz band. The use of SRS earth stations in this band will focus on support of lunar missions with antenna diameters of around 18 m. In addition, also Lagrangian point missions are planned to be supported by earth stations with antenna diameters between 26 and 35 m. Cebreros has been used as a typical earth station to be used by ESA. Low-Earth orbiting missions are generally supported by antennas with around 10 m diameter. </w:t>
      </w:r>
    </w:p>
    <w:p w:rsidR="00B4321F" w:rsidRPr="007D1EF7" w:rsidRDefault="00B4321F">
      <w:pPr>
        <w:tabs>
          <w:tab w:val="clear" w:pos="794"/>
          <w:tab w:val="clear" w:pos="1191"/>
          <w:tab w:val="clear" w:pos="1588"/>
          <w:tab w:val="clear" w:pos="1985"/>
        </w:tabs>
        <w:overflowPunct/>
        <w:autoSpaceDE/>
        <w:autoSpaceDN/>
        <w:adjustRightInd/>
        <w:spacing w:before="0"/>
        <w:jc w:val="left"/>
        <w:textAlignment w:val="auto"/>
        <w:rPr>
          <w:lang w:val="en-US"/>
        </w:rPr>
      </w:pPr>
      <w:r w:rsidRPr="007D1EF7">
        <w:rPr>
          <w:lang w:val="en-US"/>
        </w:rPr>
        <w:br w:type="page"/>
      </w:r>
    </w:p>
    <w:p w:rsidR="00AA2BE3" w:rsidRPr="007D1EF7" w:rsidRDefault="004D108E" w:rsidP="00AA2BE3">
      <w:pPr>
        <w:pStyle w:val="TableNo"/>
        <w:rPr>
          <w:lang w:val="en-US"/>
        </w:rPr>
      </w:pPr>
      <w:r w:rsidRPr="007D1EF7">
        <w:rPr>
          <w:lang w:val="en-US"/>
        </w:rPr>
        <w:lastRenderedPageBreak/>
        <w:t>TABLE</w:t>
      </w:r>
      <w:r w:rsidR="00AA2BE3" w:rsidRPr="007D1EF7">
        <w:rPr>
          <w:lang w:val="en-US"/>
        </w:rPr>
        <w:t xml:space="preserve"> A3-1</w:t>
      </w:r>
    </w:p>
    <w:p w:rsidR="00AA2BE3" w:rsidRPr="007D1EF7" w:rsidRDefault="00AA2BE3" w:rsidP="00AA2BE3">
      <w:pPr>
        <w:pStyle w:val="Tabletitle"/>
        <w:rPr>
          <w:lang w:val="en-US"/>
        </w:rPr>
      </w:pPr>
      <w:r w:rsidRPr="007D1EF7">
        <w:rPr>
          <w:lang w:val="en-US"/>
        </w:rPr>
        <w:t>Technical and operating characteristics of SRS earth stations to support example 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1"/>
        <w:gridCol w:w="1559"/>
        <w:gridCol w:w="1559"/>
        <w:gridCol w:w="1560"/>
      </w:tblGrid>
      <w:tr w:rsidR="00501A83" w:rsidRPr="006C2078" w:rsidTr="00501A83">
        <w:trPr>
          <w:jc w:val="center"/>
        </w:trPr>
        <w:tc>
          <w:tcPr>
            <w:tcW w:w="4961" w:type="dxa"/>
            <w:vAlign w:val="center"/>
          </w:tcPr>
          <w:p w:rsidR="00501A83" w:rsidRPr="006C2078" w:rsidRDefault="00501A83" w:rsidP="00192341">
            <w:pPr>
              <w:pStyle w:val="Tablehead"/>
            </w:pPr>
            <w:r w:rsidRPr="006C2078">
              <w:t>Parameter</w:t>
            </w:r>
          </w:p>
        </w:tc>
        <w:tc>
          <w:tcPr>
            <w:tcW w:w="4678" w:type="dxa"/>
            <w:gridSpan w:val="3"/>
            <w:vAlign w:val="center"/>
          </w:tcPr>
          <w:p w:rsidR="00501A83" w:rsidRPr="006C2078" w:rsidRDefault="00501A83" w:rsidP="00192341">
            <w:pPr>
              <w:pStyle w:val="Tablehead"/>
            </w:pPr>
            <w:r w:rsidRPr="006C2078">
              <w:t>Value</w:t>
            </w:r>
          </w:p>
        </w:tc>
      </w:tr>
      <w:tr w:rsidR="00501A83" w:rsidRPr="006C2078" w:rsidTr="00501A83">
        <w:trPr>
          <w:jc w:val="center"/>
        </w:trPr>
        <w:tc>
          <w:tcPr>
            <w:tcW w:w="4961" w:type="dxa"/>
            <w:vAlign w:val="center"/>
          </w:tcPr>
          <w:p w:rsidR="00501A83" w:rsidRPr="006C2078" w:rsidRDefault="00501A83" w:rsidP="00501A83">
            <w:pPr>
              <w:pStyle w:val="Tabletext"/>
              <w:jc w:val="left"/>
            </w:pPr>
            <w:r w:rsidRPr="006C2078">
              <w:t>Supported mission</w:t>
            </w:r>
          </w:p>
        </w:tc>
        <w:tc>
          <w:tcPr>
            <w:tcW w:w="1559" w:type="dxa"/>
            <w:vAlign w:val="center"/>
          </w:tcPr>
          <w:p w:rsidR="00501A83" w:rsidRPr="006C2078" w:rsidRDefault="00501A83" w:rsidP="00501A83">
            <w:pPr>
              <w:pStyle w:val="Tabletext"/>
              <w:jc w:val="center"/>
            </w:pPr>
            <w:r w:rsidRPr="006C2078">
              <w:t>LEO</w:t>
            </w:r>
          </w:p>
        </w:tc>
        <w:tc>
          <w:tcPr>
            <w:tcW w:w="1559" w:type="dxa"/>
            <w:vAlign w:val="center"/>
          </w:tcPr>
          <w:p w:rsidR="00501A83" w:rsidRPr="006C2078" w:rsidRDefault="00501A83" w:rsidP="00501A83">
            <w:pPr>
              <w:pStyle w:val="Tabletext"/>
              <w:jc w:val="center"/>
            </w:pPr>
            <w:r w:rsidRPr="006C2078">
              <w:t>Lunar</w:t>
            </w:r>
          </w:p>
        </w:tc>
        <w:tc>
          <w:tcPr>
            <w:tcW w:w="1560" w:type="dxa"/>
            <w:vAlign w:val="center"/>
          </w:tcPr>
          <w:p w:rsidR="00501A83" w:rsidRPr="006C2078" w:rsidRDefault="00501A83" w:rsidP="00501A83">
            <w:pPr>
              <w:pStyle w:val="Tabletext"/>
              <w:jc w:val="center"/>
            </w:pPr>
            <w:r w:rsidRPr="006C2078">
              <w:t>L1/L2</w:t>
            </w:r>
          </w:p>
        </w:tc>
      </w:tr>
      <w:tr w:rsidR="00501A83" w:rsidRPr="006C2078" w:rsidTr="00501A83">
        <w:trPr>
          <w:jc w:val="center"/>
        </w:trPr>
        <w:tc>
          <w:tcPr>
            <w:tcW w:w="4961" w:type="dxa"/>
            <w:vAlign w:val="center"/>
          </w:tcPr>
          <w:p w:rsidR="00501A83" w:rsidRPr="007D1EF7" w:rsidRDefault="00501A83" w:rsidP="00501A83">
            <w:pPr>
              <w:pStyle w:val="Tabletext"/>
              <w:jc w:val="left"/>
              <w:rPr>
                <w:lang w:val="en-US"/>
              </w:rPr>
            </w:pPr>
            <w:r w:rsidRPr="007D1EF7">
              <w:rPr>
                <w:lang w:val="en-US"/>
              </w:rPr>
              <w:t>SRS earth station latitude (degrees)</w:t>
            </w:r>
          </w:p>
        </w:tc>
        <w:tc>
          <w:tcPr>
            <w:tcW w:w="1559" w:type="dxa"/>
            <w:vAlign w:val="center"/>
          </w:tcPr>
          <w:p w:rsidR="00501A83" w:rsidRPr="006C2078" w:rsidRDefault="00501A83" w:rsidP="00501A83">
            <w:pPr>
              <w:pStyle w:val="Tabletext"/>
              <w:jc w:val="center"/>
            </w:pPr>
            <w:r w:rsidRPr="006C2078">
              <w:t>40.45 N</w:t>
            </w:r>
          </w:p>
        </w:tc>
        <w:tc>
          <w:tcPr>
            <w:tcW w:w="1559" w:type="dxa"/>
            <w:vAlign w:val="center"/>
          </w:tcPr>
          <w:p w:rsidR="00501A83" w:rsidRPr="006C2078" w:rsidRDefault="00501A83" w:rsidP="00501A83">
            <w:pPr>
              <w:pStyle w:val="Tabletext"/>
              <w:jc w:val="center"/>
            </w:pPr>
            <w:r w:rsidRPr="006C2078">
              <w:t>40.45 N</w:t>
            </w:r>
          </w:p>
        </w:tc>
        <w:tc>
          <w:tcPr>
            <w:tcW w:w="1560" w:type="dxa"/>
            <w:vAlign w:val="center"/>
          </w:tcPr>
          <w:p w:rsidR="00501A83" w:rsidRPr="006C2078" w:rsidRDefault="00501A83" w:rsidP="00501A83">
            <w:pPr>
              <w:pStyle w:val="Tabletext"/>
              <w:jc w:val="center"/>
            </w:pPr>
            <w:r w:rsidRPr="006C2078">
              <w:t>40.45 N</w:t>
            </w:r>
          </w:p>
        </w:tc>
      </w:tr>
      <w:tr w:rsidR="00501A83" w:rsidRPr="006C2078" w:rsidTr="00501A83">
        <w:trPr>
          <w:jc w:val="center"/>
        </w:trPr>
        <w:tc>
          <w:tcPr>
            <w:tcW w:w="4961" w:type="dxa"/>
            <w:vAlign w:val="center"/>
          </w:tcPr>
          <w:p w:rsidR="00501A83" w:rsidRPr="007D1EF7" w:rsidRDefault="00501A83" w:rsidP="00501A83">
            <w:pPr>
              <w:pStyle w:val="Tabletext"/>
              <w:jc w:val="left"/>
              <w:rPr>
                <w:lang w:val="en-US"/>
              </w:rPr>
            </w:pPr>
            <w:r w:rsidRPr="007D1EF7">
              <w:rPr>
                <w:lang w:val="en-US"/>
              </w:rPr>
              <w:t>SRS earth station longitude (degrees)</w:t>
            </w:r>
          </w:p>
        </w:tc>
        <w:tc>
          <w:tcPr>
            <w:tcW w:w="1559" w:type="dxa"/>
            <w:vAlign w:val="center"/>
          </w:tcPr>
          <w:p w:rsidR="00501A83" w:rsidRPr="006C2078" w:rsidRDefault="00501A83" w:rsidP="00501A83">
            <w:pPr>
              <w:pStyle w:val="Tabletext"/>
              <w:jc w:val="center"/>
            </w:pPr>
            <w:r w:rsidRPr="006C2078">
              <w:t>4.37 W</w:t>
            </w:r>
          </w:p>
        </w:tc>
        <w:tc>
          <w:tcPr>
            <w:tcW w:w="1559" w:type="dxa"/>
            <w:vAlign w:val="center"/>
          </w:tcPr>
          <w:p w:rsidR="00501A83" w:rsidRPr="006C2078" w:rsidRDefault="00501A83" w:rsidP="00501A83">
            <w:pPr>
              <w:pStyle w:val="Tabletext"/>
              <w:jc w:val="center"/>
            </w:pPr>
            <w:r w:rsidRPr="006C2078">
              <w:t>4.37 W</w:t>
            </w:r>
          </w:p>
        </w:tc>
        <w:tc>
          <w:tcPr>
            <w:tcW w:w="1560" w:type="dxa"/>
            <w:vAlign w:val="center"/>
          </w:tcPr>
          <w:p w:rsidR="00501A83" w:rsidRPr="006C2078" w:rsidRDefault="00501A83" w:rsidP="00501A83">
            <w:pPr>
              <w:pStyle w:val="Tabletext"/>
              <w:jc w:val="center"/>
            </w:pPr>
            <w:r w:rsidRPr="006C2078">
              <w:t>4.37 W</w:t>
            </w:r>
          </w:p>
        </w:tc>
      </w:tr>
      <w:tr w:rsidR="00501A83" w:rsidRPr="006C2078" w:rsidTr="00501A83">
        <w:trPr>
          <w:jc w:val="center"/>
        </w:trPr>
        <w:tc>
          <w:tcPr>
            <w:tcW w:w="4961" w:type="dxa"/>
            <w:vAlign w:val="center"/>
          </w:tcPr>
          <w:p w:rsidR="00501A83" w:rsidRPr="006C2078" w:rsidRDefault="00501A83" w:rsidP="00501A83">
            <w:pPr>
              <w:pStyle w:val="Tabletext"/>
              <w:jc w:val="left"/>
            </w:pPr>
            <w:r w:rsidRPr="006C2078">
              <w:t>Transmitting antenna diameter</w:t>
            </w:r>
            <w:r>
              <w:t xml:space="preserve"> (m)</w:t>
            </w:r>
          </w:p>
        </w:tc>
        <w:tc>
          <w:tcPr>
            <w:tcW w:w="1559" w:type="dxa"/>
            <w:vAlign w:val="center"/>
          </w:tcPr>
          <w:p w:rsidR="00501A83" w:rsidRPr="006C2078" w:rsidRDefault="00501A83" w:rsidP="00501A83">
            <w:pPr>
              <w:pStyle w:val="Tabletext"/>
              <w:jc w:val="center"/>
            </w:pPr>
            <w:r w:rsidRPr="006C2078">
              <w:t>10</w:t>
            </w:r>
          </w:p>
        </w:tc>
        <w:tc>
          <w:tcPr>
            <w:tcW w:w="1559" w:type="dxa"/>
            <w:vAlign w:val="center"/>
          </w:tcPr>
          <w:p w:rsidR="00501A83" w:rsidRPr="006C2078" w:rsidRDefault="00501A83" w:rsidP="00501A83">
            <w:pPr>
              <w:pStyle w:val="Tabletext"/>
              <w:jc w:val="center"/>
            </w:pPr>
            <w:r w:rsidRPr="006C2078">
              <w:t>18</w:t>
            </w:r>
          </w:p>
        </w:tc>
        <w:tc>
          <w:tcPr>
            <w:tcW w:w="1560" w:type="dxa"/>
            <w:vAlign w:val="center"/>
          </w:tcPr>
          <w:p w:rsidR="00501A83" w:rsidRPr="006C2078" w:rsidRDefault="00501A83" w:rsidP="00501A83">
            <w:pPr>
              <w:pStyle w:val="Tabletext"/>
              <w:jc w:val="center"/>
            </w:pPr>
            <w:r w:rsidRPr="006C2078">
              <w:t>35</w:t>
            </w:r>
          </w:p>
        </w:tc>
      </w:tr>
      <w:tr w:rsidR="00501A83" w:rsidRPr="006C2078" w:rsidTr="00501A83">
        <w:trPr>
          <w:jc w:val="center"/>
        </w:trPr>
        <w:tc>
          <w:tcPr>
            <w:tcW w:w="4961" w:type="dxa"/>
            <w:vAlign w:val="center"/>
          </w:tcPr>
          <w:p w:rsidR="00501A83" w:rsidRPr="006C2078" w:rsidRDefault="00501A83" w:rsidP="00501A83">
            <w:pPr>
              <w:pStyle w:val="Tabletext"/>
              <w:jc w:val="left"/>
            </w:pPr>
            <w:r w:rsidRPr="006C2078">
              <w:t>Antenna gain</w:t>
            </w:r>
            <w:r>
              <w:t xml:space="preserve"> (dBi)</w:t>
            </w:r>
          </w:p>
        </w:tc>
        <w:tc>
          <w:tcPr>
            <w:tcW w:w="1559" w:type="dxa"/>
            <w:vAlign w:val="center"/>
          </w:tcPr>
          <w:p w:rsidR="00501A83" w:rsidRPr="006C2078" w:rsidRDefault="00501A83" w:rsidP="00501A83">
            <w:pPr>
              <w:pStyle w:val="Tabletext"/>
              <w:jc w:val="center"/>
            </w:pPr>
            <w:r w:rsidRPr="006C2078">
              <w:t>65.3</w:t>
            </w:r>
          </w:p>
        </w:tc>
        <w:tc>
          <w:tcPr>
            <w:tcW w:w="1559" w:type="dxa"/>
            <w:vAlign w:val="center"/>
          </w:tcPr>
          <w:p w:rsidR="00501A83" w:rsidRPr="006C2078" w:rsidRDefault="00501A83" w:rsidP="00501A83">
            <w:pPr>
              <w:pStyle w:val="Tabletext"/>
              <w:jc w:val="center"/>
            </w:pPr>
            <w:r w:rsidRPr="006C2078">
              <w:t>70.4</w:t>
            </w:r>
          </w:p>
        </w:tc>
        <w:tc>
          <w:tcPr>
            <w:tcW w:w="1560" w:type="dxa"/>
            <w:vAlign w:val="center"/>
          </w:tcPr>
          <w:p w:rsidR="00501A83" w:rsidRPr="006C2078" w:rsidRDefault="00501A83" w:rsidP="00501A83">
            <w:pPr>
              <w:pStyle w:val="Tabletext"/>
              <w:jc w:val="center"/>
            </w:pPr>
            <w:r w:rsidRPr="006C2078">
              <w:t>75.9</w:t>
            </w:r>
          </w:p>
        </w:tc>
      </w:tr>
      <w:tr w:rsidR="00AA2BE3" w:rsidRPr="003B6E9A" w:rsidTr="00501A83">
        <w:trPr>
          <w:jc w:val="center"/>
        </w:trPr>
        <w:tc>
          <w:tcPr>
            <w:tcW w:w="4961" w:type="dxa"/>
            <w:vAlign w:val="center"/>
          </w:tcPr>
          <w:p w:rsidR="00AA2BE3" w:rsidRPr="007D1EF7" w:rsidRDefault="00AA2BE3" w:rsidP="00501A83">
            <w:pPr>
              <w:pStyle w:val="Tabletext"/>
              <w:jc w:val="left"/>
              <w:rPr>
                <w:lang w:val="en-US"/>
              </w:rPr>
            </w:pPr>
            <w:r w:rsidRPr="007D1EF7">
              <w:rPr>
                <w:lang w:val="en-US"/>
              </w:rPr>
              <w:t>Off-axis antenna gain pattern</w:t>
            </w:r>
          </w:p>
        </w:tc>
        <w:tc>
          <w:tcPr>
            <w:tcW w:w="4678" w:type="dxa"/>
            <w:gridSpan w:val="3"/>
            <w:vAlign w:val="center"/>
          </w:tcPr>
          <w:p w:rsidR="00AA2BE3" w:rsidRPr="007D1EF7" w:rsidRDefault="00AA2BE3" w:rsidP="00501A83">
            <w:pPr>
              <w:pStyle w:val="Tabletext"/>
              <w:jc w:val="center"/>
              <w:rPr>
                <w:lang w:val="en-US"/>
              </w:rPr>
            </w:pPr>
            <w:r w:rsidRPr="007D1EF7">
              <w:rPr>
                <w:lang w:val="en-US"/>
              </w:rPr>
              <w:t>Recommendation ITU-R F.1245</w:t>
            </w:r>
            <w:r w:rsidRPr="007D1EF7">
              <w:rPr>
                <w:lang w:val="en-US"/>
              </w:rPr>
              <w:br/>
              <w:t>for dynamic interference situations</w:t>
            </w:r>
          </w:p>
        </w:tc>
      </w:tr>
      <w:tr w:rsidR="00501A83" w:rsidRPr="006C2078" w:rsidTr="00501A83">
        <w:trPr>
          <w:jc w:val="center"/>
        </w:trPr>
        <w:tc>
          <w:tcPr>
            <w:tcW w:w="4961" w:type="dxa"/>
            <w:vAlign w:val="bottom"/>
          </w:tcPr>
          <w:p w:rsidR="00501A83" w:rsidRPr="006C2078" w:rsidRDefault="00501A83" w:rsidP="00501A83">
            <w:pPr>
              <w:pStyle w:val="Tabletext"/>
              <w:jc w:val="left"/>
            </w:pPr>
            <w:r w:rsidRPr="006C2078">
              <w:t>Bandwidth(MHz)</w:t>
            </w:r>
          </w:p>
        </w:tc>
        <w:tc>
          <w:tcPr>
            <w:tcW w:w="1559" w:type="dxa"/>
          </w:tcPr>
          <w:p w:rsidR="00501A83" w:rsidRPr="006C2078" w:rsidRDefault="00501A83" w:rsidP="00501A83">
            <w:pPr>
              <w:pStyle w:val="Tabletext"/>
              <w:jc w:val="center"/>
            </w:pPr>
            <w:r w:rsidRPr="006C2078">
              <w:t>24</w:t>
            </w:r>
          </w:p>
        </w:tc>
        <w:tc>
          <w:tcPr>
            <w:tcW w:w="1559" w:type="dxa"/>
            <w:vAlign w:val="bottom"/>
          </w:tcPr>
          <w:p w:rsidR="00501A83" w:rsidRPr="006C2078" w:rsidRDefault="00501A83" w:rsidP="00501A83">
            <w:pPr>
              <w:pStyle w:val="Tabletext"/>
              <w:jc w:val="center"/>
            </w:pPr>
            <w:r w:rsidRPr="006C2078">
              <w:t>24</w:t>
            </w:r>
          </w:p>
        </w:tc>
        <w:tc>
          <w:tcPr>
            <w:tcW w:w="1559" w:type="dxa"/>
            <w:vAlign w:val="bottom"/>
          </w:tcPr>
          <w:p w:rsidR="00501A83" w:rsidRPr="006C2078" w:rsidRDefault="00501A83" w:rsidP="00501A83">
            <w:pPr>
              <w:pStyle w:val="Tabletext"/>
              <w:jc w:val="center"/>
            </w:pPr>
            <w:r w:rsidRPr="006C2078">
              <w:t>3</w:t>
            </w:r>
          </w:p>
        </w:tc>
      </w:tr>
      <w:tr w:rsidR="00501A83" w:rsidRPr="006C2078" w:rsidTr="00501A83">
        <w:trPr>
          <w:jc w:val="center"/>
        </w:trPr>
        <w:tc>
          <w:tcPr>
            <w:tcW w:w="4961" w:type="dxa"/>
            <w:vAlign w:val="bottom"/>
          </w:tcPr>
          <w:p w:rsidR="00501A83" w:rsidRPr="007D1EF7" w:rsidRDefault="00501A83" w:rsidP="00501A83">
            <w:pPr>
              <w:pStyle w:val="Tabletext"/>
              <w:jc w:val="left"/>
              <w:rPr>
                <w:lang w:val="en-US"/>
              </w:rPr>
            </w:pPr>
            <w:r w:rsidRPr="007D1EF7">
              <w:rPr>
                <w:lang w:val="en-US"/>
              </w:rPr>
              <w:t>Power at the antenna input (dBW)</w:t>
            </w:r>
          </w:p>
        </w:tc>
        <w:tc>
          <w:tcPr>
            <w:tcW w:w="1559" w:type="dxa"/>
          </w:tcPr>
          <w:p w:rsidR="00501A83" w:rsidRPr="006C2078" w:rsidRDefault="00501A83" w:rsidP="00501A83">
            <w:pPr>
              <w:pStyle w:val="Tabletext"/>
              <w:jc w:val="center"/>
            </w:pPr>
            <w:r w:rsidRPr="006C2078">
              <w:t>0.0</w:t>
            </w:r>
          </w:p>
        </w:tc>
        <w:tc>
          <w:tcPr>
            <w:tcW w:w="1559" w:type="dxa"/>
            <w:vAlign w:val="bottom"/>
          </w:tcPr>
          <w:p w:rsidR="00501A83" w:rsidRPr="006C2078" w:rsidRDefault="00501A83" w:rsidP="00501A83">
            <w:pPr>
              <w:pStyle w:val="Tabletext"/>
              <w:jc w:val="center"/>
            </w:pPr>
            <w:r w:rsidRPr="006C2078">
              <w:t>11.1</w:t>
            </w:r>
          </w:p>
        </w:tc>
        <w:tc>
          <w:tcPr>
            <w:tcW w:w="1559" w:type="dxa"/>
            <w:vAlign w:val="bottom"/>
          </w:tcPr>
          <w:p w:rsidR="00501A83" w:rsidRPr="006C2078" w:rsidRDefault="00501A83" w:rsidP="00501A83">
            <w:pPr>
              <w:pStyle w:val="Tabletext"/>
              <w:jc w:val="center"/>
            </w:pPr>
            <w:r w:rsidRPr="006C2078">
              <w:t>0.0</w:t>
            </w:r>
          </w:p>
        </w:tc>
      </w:tr>
      <w:tr w:rsidR="00501A83" w:rsidRPr="006C2078" w:rsidTr="00501A83">
        <w:trPr>
          <w:jc w:val="center"/>
        </w:trPr>
        <w:tc>
          <w:tcPr>
            <w:tcW w:w="4961" w:type="dxa"/>
            <w:vAlign w:val="bottom"/>
          </w:tcPr>
          <w:p w:rsidR="00501A83" w:rsidRPr="007D1EF7" w:rsidRDefault="00501A83" w:rsidP="00501A83">
            <w:pPr>
              <w:pStyle w:val="Tabletext"/>
              <w:jc w:val="left"/>
              <w:rPr>
                <w:lang w:val="en-US"/>
              </w:rPr>
            </w:pPr>
            <w:r w:rsidRPr="007D1EF7">
              <w:rPr>
                <w:lang w:val="en-US"/>
              </w:rPr>
              <w:t>Power-spectral density at antenna input (dBW/Hz)</w:t>
            </w:r>
          </w:p>
        </w:tc>
        <w:tc>
          <w:tcPr>
            <w:tcW w:w="1559" w:type="dxa"/>
            <w:vAlign w:val="bottom"/>
          </w:tcPr>
          <w:p w:rsidR="00501A83" w:rsidRPr="006C2078" w:rsidRDefault="00501A83" w:rsidP="00501A83">
            <w:pPr>
              <w:pStyle w:val="Tabletext"/>
              <w:jc w:val="center"/>
            </w:pPr>
            <w:r w:rsidRPr="006C2078">
              <w:t>–70.8</w:t>
            </w:r>
          </w:p>
        </w:tc>
        <w:tc>
          <w:tcPr>
            <w:tcW w:w="1559" w:type="dxa"/>
            <w:vAlign w:val="bottom"/>
          </w:tcPr>
          <w:p w:rsidR="00501A83" w:rsidRPr="006C2078" w:rsidRDefault="00501A83" w:rsidP="00501A83">
            <w:pPr>
              <w:pStyle w:val="Tabletext"/>
              <w:jc w:val="center"/>
            </w:pPr>
            <w:r w:rsidRPr="006C2078">
              <w:t>–59.7</w:t>
            </w:r>
          </w:p>
        </w:tc>
        <w:tc>
          <w:tcPr>
            <w:tcW w:w="1559" w:type="dxa"/>
            <w:vAlign w:val="bottom"/>
          </w:tcPr>
          <w:p w:rsidR="00501A83" w:rsidRPr="006C2078" w:rsidRDefault="00501A83" w:rsidP="00501A83">
            <w:pPr>
              <w:pStyle w:val="Tabletext"/>
              <w:jc w:val="center"/>
            </w:pPr>
            <w:r w:rsidRPr="006C2078">
              <w:t>–61.4</w:t>
            </w:r>
          </w:p>
        </w:tc>
      </w:tr>
      <w:tr w:rsidR="00501A83" w:rsidRPr="006C2078" w:rsidTr="00501A83">
        <w:trPr>
          <w:jc w:val="center"/>
        </w:trPr>
        <w:tc>
          <w:tcPr>
            <w:tcW w:w="4961" w:type="dxa"/>
            <w:vAlign w:val="bottom"/>
          </w:tcPr>
          <w:p w:rsidR="00501A83" w:rsidRPr="006C2078" w:rsidRDefault="00501A83" w:rsidP="00501A83">
            <w:pPr>
              <w:pStyle w:val="Tabletext"/>
              <w:jc w:val="left"/>
            </w:pPr>
            <w:r w:rsidRPr="006C2078">
              <w:t>e</w:t>
            </w:r>
            <w:r>
              <w:t>.</w:t>
            </w:r>
            <w:r w:rsidRPr="006C2078">
              <w:t>i</w:t>
            </w:r>
            <w:r>
              <w:t>.</w:t>
            </w:r>
            <w:r w:rsidRPr="006C2078">
              <w:t>r</w:t>
            </w:r>
            <w:r>
              <w:t>.</w:t>
            </w:r>
            <w:r w:rsidRPr="006C2078">
              <w:t>p</w:t>
            </w:r>
            <w:r>
              <w:t xml:space="preserve">. </w:t>
            </w:r>
            <w:r w:rsidRPr="006C2078">
              <w:t>(dBW)</w:t>
            </w:r>
          </w:p>
        </w:tc>
        <w:tc>
          <w:tcPr>
            <w:tcW w:w="1559" w:type="dxa"/>
          </w:tcPr>
          <w:p w:rsidR="00501A83" w:rsidRPr="006C2078" w:rsidRDefault="00501A83" w:rsidP="00501A83">
            <w:pPr>
              <w:pStyle w:val="Tabletext"/>
              <w:jc w:val="center"/>
            </w:pPr>
            <w:r w:rsidRPr="006C2078">
              <w:t>65.3</w:t>
            </w:r>
          </w:p>
        </w:tc>
        <w:tc>
          <w:tcPr>
            <w:tcW w:w="1559" w:type="dxa"/>
            <w:vAlign w:val="bottom"/>
          </w:tcPr>
          <w:p w:rsidR="00501A83" w:rsidRPr="006C2078" w:rsidRDefault="00501A83" w:rsidP="00501A83">
            <w:pPr>
              <w:pStyle w:val="Tabletext"/>
              <w:jc w:val="center"/>
            </w:pPr>
            <w:r w:rsidRPr="006C2078">
              <w:t>81.5</w:t>
            </w:r>
          </w:p>
        </w:tc>
        <w:tc>
          <w:tcPr>
            <w:tcW w:w="1559" w:type="dxa"/>
            <w:vAlign w:val="bottom"/>
          </w:tcPr>
          <w:p w:rsidR="00501A83" w:rsidRPr="006C2078" w:rsidRDefault="00501A83" w:rsidP="00501A83">
            <w:pPr>
              <w:pStyle w:val="Tabletext"/>
              <w:jc w:val="center"/>
            </w:pPr>
            <w:r w:rsidRPr="006C2078">
              <w:t>75.9</w:t>
            </w:r>
          </w:p>
        </w:tc>
      </w:tr>
      <w:tr w:rsidR="00501A83" w:rsidRPr="006C2078" w:rsidTr="00501A83">
        <w:trPr>
          <w:jc w:val="center"/>
        </w:trPr>
        <w:tc>
          <w:tcPr>
            <w:tcW w:w="4961" w:type="dxa"/>
            <w:vAlign w:val="bottom"/>
          </w:tcPr>
          <w:p w:rsidR="00501A83" w:rsidRPr="007D1EF7" w:rsidRDefault="00501A83" w:rsidP="00501A83">
            <w:pPr>
              <w:pStyle w:val="Tabletext"/>
              <w:jc w:val="left"/>
              <w:rPr>
                <w:lang w:val="en-US"/>
              </w:rPr>
            </w:pPr>
            <w:r w:rsidRPr="007D1EF7">
              <w:rPr>
                <w:lang w:val="en-US"/>
              </w:rPr>
              <w:t>e.i.r.p. density (dBW/Hz)</w:t>
            </w:r>
          </w:p>
        </w:tc>
        <w:tc>
          <w:tcPr>
            <w:tcW w:w="1559" w:type="dxa"/>
          </w:tcPr>
          <w:p w:rsidR="00501A83" w:rsidRPr="006C2078" w:rsidRDefault="00501A83" w:rsidP="00501A83">
            <w:pPr>
              <w:pStyle w:val="Tabletext"/>
              <w:jc w:val="center"/>
            </w:pPr>
            <w:r w:rsidRPr="006C2078">
              <w:t>–5.5</w:t>
            </w:r>
          </w:p>
        </w:tc>
        <w:tc>
          <w:tcPr>
            <w:tcW w:w="1559" w:type="dxa"/>
            <w:vAlign w:val="bottom"/>
          </w:tcPr>
          <w:p w:rsidR="00501A83" w:rsidRPr="006C2078" w:rsidRDefault="00501A83" w:rsidP="00501A83">
            <w:pPr>
              <w:pStyle w:val="Tabletext"/>
              <w:jc w:val="center"/>
            </w:pPr>
            <w:r w:rsidRPr="006C2078">
              <w:t>10.7</w:t>
            </w:r>
          </w:p>
        </w:tc>
        <w:tc>
          <w:tcPr>
            <w:tcW w:w="1559" w:type="dxa"/>
            <w:vAlign w:val="bottom"/>
          </w:tcPr>
          <w:p w:rsidR="00501A83" w:rsidRPr="006C2078" w:rsidRDefault="00501A83" w:rsidP="00501A83">
            <w:pPr>
              <w:pStyle w:val="Tabletext"/>
              <w:jc w:val="center"/>
            </w:pPr>
            <w:r w:rsidRPr="006C2078">
              <w:t>14.5</w:t>
            </w:r>
          </w:p>
        </w:tc>
      </w:tr>
    </w:tbl>
    <w:p w:rsidR="00501A83" w:rsidRDefault="00501A83" w:rsidP="00B4321F">
      <w:pPr>
        <w:pStyle w:val="Tablefin"/>
      </w:pPr>
    </w:p>
    <w:p w:rsidR="00B4321F" w:rsidRPr="00B4321F" w:rsidRDefault="00B4321F" w:rsidP="00B4321F">
      <w:pPr>
        <w:rPr>
          <w:lang w:val="en-GB"/>
        </w:rPr>
      </w:pPr>
    </w:p>
    <w:p w:rsidR="00A47FF8" w:rsidRPr="007D1EF7" w:rsidRDefault="00A47FF8" w:rsidP="00A47FF8">
      <w:pPr>
        <w:rPr>
          <w:lang w:val="en-US"/>
        </w:rPr>
      </w:pPr>
      <w:r w:rsidRPr="007D1EF7">
        <w:rPr>
          <w:lang w:val="en-US"/>
        </w:rPr>
        <w:t xml:space="preserve">It is expected that worldwide a very limited number of SRS earth stations will be operated. Over the next few decades, some 10-15 earth stations may use this band mainly for support of lunar missions. They are almost exclusively deployed around mid-latitudes for mission specific reasons. </w:t>
      </w:r>
    </w:p>
    <w:p w:rsidR="00AA2BE3" w:rsidRPr="007D1EF7" w:rsidRDefault="00AA2BE3" w:rsidP="00192341">
      <w:pPr>
        <w:pStyle w:val="Heading1"/>
        <w:rPr>
          <w:szCs w:val="28"/>
          <w:lang w:val="en-US"/>
        </w:rPr>
      </w:pPr>
      <w:bookmarkStart w:id="45" w:name="_Toc277668607"/>
      <w:r w:rsidRPr="007D1EF7">
        <w:rPr>
          <w:szCs w:val="28"/>
          <w:lang w:val="en-US"/>
        </w:rPr>
        <w:t>2</w:t>
      </w:r>
      <w:r w:rsidRPr="007D1EF7">
        <w:rPr>
          <w:szCs w:val="28"/>
          <w:lang w:val="en-US"/>
        </w:rPr>
        <w:tab/>
        <w:t>Assumed characteristics for the HIBLEO-2/Ka system</w:t>
      </w:r>
      <w:bookmarkEnd w:id="45"/>
    </w:p>
    <w:p w:rsidR="00AA2BE3" w:rsidRPr="007D1EF7" w:rsidRDefault="00AA2BE3" w:rsidP="00AA2BE3">
      <w:pPr>
        <w:rPr>
          <w:lang w:val="en-US"/>
        </w:rPr>
      </w:pPr>
      <w:r w:rsidRPr="007D1EF7">
        <w:rPr>
          <w:lang w:val="en-US"/>
        </w:rPr>
        <w:t xml:space="preserve">The characteristics provided in the main body of this </w:t>
      </w:r>
      <w:r w:rsidR="00EB0992" w:rsidRPr="007D1EF7">
        <w:rPr>
          <w:lang w:val="en-US"/>
        </w:rPr>
        <w:t>R</w:t>
      </w:r>
      <w:r w:rsidRPr="007D1EF7">
        <w:rPr>
          <w:lang w:val="en-US"/>
        </w:rPr>
        <w:t xml:space="preserve">eport have been used. </w:t>
      </w:r>
    </w:p>
    <w:p w:rsidR="00AA2BE3" w:rsidRPr="007D1EF7" w:rsidRDefault="00AA2BE3" w:rsidP="00192341">
      <w:pPr>
        <w:pStyle w:val="Heading1"/>
        <w:rPr>
          <w:szCs w:val="28"/>
          <w:lang w:val="en-US"/>
        </w:rPr>
      </w:pPr>
      <w:bookmarkStart w:id="46" w:name="_Toc277668608"/>
      <w:r w:rsidRPr="007D1EF7">
        <w:rPr>
          <w:szCs w:val="28"/>
          <w:lang w:val="en-US"/>
        </w:rPr>
        <w:t>3</w:t>
      </w:r>
      <w:r w:rsidRPr="007D1EF7">
        <w:rPr>
          <w:szCs w:val="28"/>
          <w:lang w:val="en-US"/>
        </w:rPr>
        <w:tab/>
        <w:t>Assessment of interference to the HIBLEO-2/Ka satellite system</w:t>
      </w:r>
      <w:bookmarkEnd w:id="46"/>
    </w:p>
    <w:p w:rsidR="00AA2BE3" w:rsidRPr="007D1EF7" w:rsidRDefault="00AA2BE3" w:rsidP="00AA2BE3">
      <w:pPr>
        <w:rPr>
          <w:lang w:val="en-US"/>
        </w:rPr>
      </w:pPr>
      <w:r w:rsidRPr="007D1EF7">
        <w:rPr>
          <w:lang w:val="en-US"/>
        </w:rPr>
        <w:t>Figure A3-1 illustrates the potential interference configurations. The HIBLEO-2/Ka satellites may receive part of the SRS uplink signal through its side-lobes on both in-plane links as well as cross</w:t>
      </w:r>
      <w:r w:rsidRPr="007D1EF7">
        <w:rPr>
          <w:lang w:val="en-US"/>
        </w:rPr>
        <w:noBreakHyphen/>
        <w:t xml:space="preserve">plane links. </w:t>
      </w:r>
    </w:p>
    <w:p w:rsidR="00B4321F" w:rsidRPr="007D1EF7" w:rsidRDefault="00B4321F" w:rsidP="00B4321F">
      <w:pPr>
        <w:rPr>
          <w:noProof/>
          <w:lang w:val="en-US"/>
        </w:rPr>
      </w:pPr>
      <w:r w:rsidRPr="007D1EF7">
        <w:rPr>
          <w:lang w:val="en-US"/>
        </w:rPr>
        <w:t>For ESA SRS missions, Cebreros in the centre of Spain (</w:t>
      </w:r>
      <w:r w:rsidRPr="006C2078">
        <w:t>φ</w:t>
      </w:r>
      <w:r w:rsidRPr="007D1EF7">
        <w:rPr>
          <w:lang w:val="en-US"/>
        </w:rPr>
        <w:t xml:space="preserve"> = 40.45°, </w:t>
      </w:r>
      <w:r w:rsidRPr="006C2078">
        <w:t>λ</w:t>
      </w:r>
      <w:r w:rsidRPr="007D1EF7">
        <w:rPr>
          <w:lang w:val="en-US"/>
        </w:rPr>
        <w:t> = −4.37°), New Norcia in Australia (</w:t>
      </w:r>
      <w:r w:rsidRPr="006C2078">
        <w:t>φ</w:t>
      </w:r>
      <w:r w:rsidRPr="007D1EF7">
        <w:rPr>
          <w:lang w:val="en-US"/>
        </w:rPr>
        <w:t xml:space="preserve"> = −31.05°, </w:t>
      </w:r>
      <w:r w:rsidRPr="006C2078">
        <w:t>λ</w:t>
      </w:r>
      <w:r w:rsidRPr="007D1EF7">
        <w:rPr>
          <w:lang w:val="en-US"/>
        </w:rPr>
        <w:t> = 116.19°) and Malargue in Argentina (</w:t>
      </w:r>
      <w:r w:rsidRPr="006C2078">
        <w:t>φ</w:t>
      </w:r>
      <w:r w:rsidRPr="007D1EF7">
        <w:rPr>
          <w:lang w:val="en-US"/>
        </w:rPr>
        <w:t xml:space="preserve"> = −35.77°, </w:t>
      </w:r>
      <w:r w:rsidRPr="006C2078">
        <w:t>λ</w:t>
      </w:r>
      <w:r w:rsidRPr="007D1EF7">
        <w:rPr>
          <w:lang w:val="en-US"/>
        </w:rPr>
        <w:t xml:space="preserve"> = −69.37°) would be typical locations to support missions to Lagrangian points or, potentially, to the Moon. In view of the long distances to L1 and L2, the power flux density of the received signals is rather low, requiring large earth stations up to 35 m. Lunar missions can be supported by smaller antennas around 18 m. Typical operations would be based on 3 earth stations supporting one satellite with the satellite being handed over between earth stations at elevation angles between 15° and 25°. </w:t>
      </w:r>
    </w:p>
    <w:p w:rsidR="00B4321F" w:rsidRPr="007D1EF7" w:rsidRDefault="00B4321F" w:rsidP="00B4321F">
      <w:pPr>
        <w:rPr>
          <w:lang w:val="en-US"/>
        </w:rPr>
      </w:pPr>
      <w:r w:rsidRPr="007D1EF7">
        <w:rPr>
          <w:lang w:val="en-US"/>
        </w:rPr>
        <w:t>Simulations have been conducted with ESA’s radio frequency interference assessment tool (RFIAT). Minimum durations of 1 month were agreed for the simulations. In order to obtain smoother curves, simulated durations were increased to 1 year at time steps of 1 s. For the simulations, a hypothetical worst case minimum elevation angle of 5° has been assumed for all three earth stations.</w:t>
      </w:r>
    </w:p>
    <w:p w:rsidR="00AA2BE3" w:rsidRPr="007D1EF7" w:rsidRDefault="00AA2BE3" w:rsidP="00AA2BE3">
      <w:pPr>
        <w:pStyle w:val="FigureNo"/>
        <w:rPr>
          <w:lang w:val="en-US"/>
        </w:rPr>
      </w:pPr>
      <w:r w:rsidRPr="007D1EF7">
        <w:rPr>
          <w:lang w:val="en-US"/>
        </w:rPr>
        <w:lastRenderedPageBreak/>
        <w:t>FIGURE A3-1</w:t>
      </w:r>
    </w:p>
    <w:p w:rsidR="00AA2BE3" w:rsidRPr="007D1EF7" w:rsidRDefault="00AA2BE3" w:rsidP="00AA2BE3">
      <w:pPr>
        <w:pStyle w:val="Figuretitle"/>
        <w:rPr>
          <w:lang w:val="en-US"/>
        </w:rPr>
      </w:pPr>
      <w:r w:rsidRPr="007D1EF7">
        <w:rPr>
          <w:lang w:val="en-US"/>
        </w:rPr>
        <w:t>Potential interference cases between SRS missions and HIBLEO-2/Ka links</w:t>
      </w:r>
    </w:p>
    <w:p w:rsidR="00AA2BE3" w:rsidRPr="007D1EF7" w:rsidRDefault="00DC4C77" w:rsidP="00AA2BE3">
      <w:pPr>
        <w:pStyle w:val="Figure"/>
        <w:rPr>
          <w:lang w:val="en-US"/>
        </w:rPr>
      </w:pPr>
      <w:r>
        <w:rPr>
          <w:noProof/>
          <w:lang w:val="en-US"/>
        </w:rPr>
        <w:pict>
          <v:shapetype id="_x0000_t202" coordsize="21600,21600" o:spt="202" path="m,l,21600r21600,l21600,xe">
            <v:stroke joinstyle="miter"/>
            <v:path gradientshapeok="t" o:connecttype="rect"/>
          </v:shapetype>
          <v:shape id="_x0000_s1027" type="#_x0000_t202" style="position:absolute;left:0;text-align:left;margin-left:-3.2pt;margin-top:47.4pt;width:81pt;height:45.75pt;z-index:251661312" filled="f" stroked="f">
            <v:textbox style="mso-next-textbox:#_x0000_s1027">
              <w:txbxContent>
                <w:p w:rsidR="00B4321F" w:rsidRDefault="00B4321F" w:rsidP="00AA2BE3">
                  <w:pPr>
                    <w:jc w:val="center"/>
                    <w:rPr>
                      <w:sz w:val="20"/>
                      <w:lang w:val="de-DE"/>
                    </w:rPr>
                  </w:pPr>
                  <w:r>
                    <w:rPr>
                      <w:b/>
                      <w:bCs/>
                      <w:sz w:val="20"/>
                      <w:lang w:val="de-DE"/>
                    </w:rPr>
                    <w:t>HIBLEO-2</w:t>
                  </w:r>
                </w:p>
                <w:p w:rsidR="00B4321F" w:rsidRPr="00BB672F" w:rsidRDefault="00B4321F" w:rsidP="00AA2BE3">
                  <w:pPr>
                    <w:jc w:val="center"/>
                    <w:rPr>
                      <w:sz w:val="20"/>
                      <w:lang w:val="de-DE"/>
                    </w:rPr>
                  </w:pPr>
                  <w:r>
                    <w:rPr>
                      <w:b/>
                      <w:bCs/>
                      <w:sz w:val="20"/>
                      <w:lang w:val="de-DE"/>
                    </w:rPr>
                    <w:t>Satellite 1</w:t>
                  </w:r>
                </w:p>
              </w:txbxContent>
            </v:textbox>
          </v:shape>
        </w:pict>
      </w:r>
      <w:r w:rsidR="00AA2BE3">
        <w:rPr>
          <w:noProof/>
          <w:lang w:val="en-US" w:eastAsia="zh-CN"/>
        </w:rPr>
        <w:drawing>
          <wp:inline distT="0" distB="0" distL="0" distR="0">
            <wp:extent cx="6075045" cy="36258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6075045" cy="3625850"/>
                    </a:xfrm>
                    <a:prstGeom prst="rect">
                      <a:avLst/>
                    </a:prstGeom>
                    <a:noFill/>
                    <a:ln w="9525">
                      <a:noFill/>
                      <a:miter lim="800000"/>
                      <a:headEnd/>
                      <a:tailEnd/>
                    </a:ln>
                  </pic:spPr>
                </pic:pic>
              </a:graphicData>
            </a:graphic>
          </wp:inline>
        </w:drawing>
      </w:r>
      <w:r w:rsidR="00AA2BE3" w:rsidRPr="007D1EF7">
        <w:rPr>
          <w:lang w:val="en-US"/>
        </w:rPr>
        <w:t xml:space="preserve"> </w:t>
      </w:r>
    </w:p>
    <w:p w:rsidR="00B4321F" w:rsidRPr="007D1EF7" w:rsidRDefault="00B4321F" w:rsidP="00AA2BE3">
      <w:pPr>
        <w:rPr>
          <w:lang w:val="en-US"/>
        </w:rPr>
      </w:pPr>
    </w:p>
    <w:p w:rsidR="00AA2BE3" w:rsidRPr="007D1EF7" w:rsidRDefault="00AA2BE3" w:rsidP="00AA2BE3">
      <w:pPr>
        <w:rPr>
          <w:lang w:val="en-US"/>
        </w:rPr>
      </w:pPr>
      <w:r w:rsidRPr="007D1EF7">
        <w:rPr>
          <w:lang w:val="en-US"/>
        </w:rPr>
        <w:t>The number of inter-satellite links affected by potential interference from one worst case SRS channel, either co-channel in case of an in-band situation or the nearest channel in case of an out</w:t>
      </w:r>
      <w:r w:rsidRPr="007D1EF7">
        <w:rPr>
          <w:lang w:val="en-US"/>
        </w:rPr>
        <w:noBreakHyphen/>
        <w:t>of</w:t>
      </w:r>
      <w:r w:rsidRPr="007D1EF7">
        <w:rPr>
          <w:lang w:val="en-US"/>
        </w:rPr>
        <w:noBreakHyphen/>
        <w:t>band situation, can be estimated to be on the order of 16. This number can be derived taking into account that the HIBLEO-2 system operates on 8 channels, does not transmit across seam-lines, does not operate inter-planer links above mid-latitudes and does not operate on all intra-planer links in the polar regions. Other factors such as unavailability of satellites or reduced traffic per channel may also apply. It is difficult to estimate the actual activity factor as no detailed information has been provided but it appears safe to assume that the total links fully operational at any time do not exceed 50%. This leaves around 16 links per channel operational at any time. Consequently, 8 different inter-planer links and 8 intra-planer links were randomly selected as shown in Table A3</w:t>
      </w:r>
      <w:r w:rsidRPr="007D1EF7">
        <w:rPr>
          <w:lang w:val="en-US"/>
        </w:rPr>
        <w:noBreakHyphen/>
        <w:t xml:space="preserve">2. Earlier studies concluded already that there is little difference between the various inter-satellite links as long as the simulated duration is sufficiently long. </w:t>
      </w:r>
    </w:p>
    <w:p w:rsidR="00AA2BE3" w:rsidRPr="007D1EF7" w:rsidRDefault="00501A83" w:rsidP="00AA2BE3">
      <w:pPr>
        <w:pStyle w:val="TableNo"/>
        <w:rPr>
          <w:lang w:val="en-US"/>
        </w:rPr>
      </w:pPr>
      <w:r w:rsidRPr="007D1EF7">
        <w:rPr>
          <w:lang w:val="en-US"/>
        </w:rPr>
        <w:t>TABLE</w:t>
      </w:r>
      <w:r w:rsidR="00AA2BE3" w:rsidRPr="007D1EF7">
        <w:rPr>
          <w:lang w:val="en-US"/>
        </w:rPr>
        <w:t xml:space="preserve"> A3-2</w:t>
      </w:r>
    </w:p>
    <w:p w:rsidR="00AA2BE3" w:rsidRPr="007D1EF7" w:rsidRDefault="00AA2BE3" w:rsidP="00AA2BE3">
      <w:pPr>
        <w:pStyle w:val="Tabletitle"/>
        <w:rPr>
          <w:lang w:val="en-US"/>
        </w:rPr>
      </w:pPr>
      <w:r w:rsidRPr="007D1EF7">
        <w:rPr>
          <w:lang w:val="en-US"/>
        </w:rPr>
        <w:t>Inter-satellite links considered in assessment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1559"/>
        <w:gridCol w:w="1559"/>
        <w:gridCol w:w="1559"/>
        <w:gridCol w:w="1559"/>
      </w:tblGrid>
      <w:tr w:rsidR="00AA2BE3" w:rsidRPr="006C2078" w:rsidTr="00501A83">
        <w:trPr>
          <w:jc w:val="center"/>
        </w:trPr>
        <w:tc>
          <w:tcPr>
            <w:tcW w:w="3402" w:type="dxa"/>
            <w:vAlign w:val="bottom"/>
          </w:tcPr>
          <w:p w:rsidR="00AA2BE3" w:rsidRPr="006C2078" w:rsidRDefault="00AA2BE3" w:rsidP="00192341">
            <w:pPr>
              <w:pStyle w:val="Tabletext"/>
            </w:pPr>
            <w:r w:rsidRPr="006C2078">
              <w:t>Transmitting satellites</w:t>
            </w:r>
          </w:p>
        </w:tc>
        <w:tc>
          <w:tcPr>
            <w:tcW w:w="1559" w:type="dxa"/>
          </w:tcPr>
          <w:p w:rsidR="00AA2BE3" w:rsidRPr="006C2078" w:rsidRDefault="00AA2BE3" w:rsidP="00501A83">
            <w:pPr>
              <w:pStyle w:val="Tabletext"/>
              <w:jc w:val="center"/>
            </w:pPr>
            <w:r w:rsidRPr="006C2078">
              <w:t>2, 12, 14, 25</w:t>
            </w:r>
          </w:p>
        </w:tc>
        <w:tc>
          <w:tcPr>
            <w:tcW w:w="1559" w:type="dxa"/>
          </w:tcPr>
          <w:p w:rsidR="00AA2BE3" w:rsidRPr="006C2078" w:rsidRDefault="00AA2BE3" w:rsidP="00501A83">
            <w:pPr>
              <w:pStyle w:val="Tabletext"/>
              <w:jc w:val="center"/>
            </w:pPr>
            <w:r w:rsidRPr="006C2078">
              <w:t>10, 19, 21, 32</w:t>
            </w:r>
          </w:p>
        </w:tc>
        <w:tc>
          <w:tcPr>
            <w:tcW w:w="1559" w:type="dxa"/>
          </w:tcPr>
          <w:p w:rsidR="00AA2BE3" w:rsidRPr="006C2078" w:rsidRDefault="00AA2BE3" w:rsidP="00501A83">
            <w:pPr>
              <w:pStyle w:val="Tabletext"/>
              <w:jc w:val="center"/>
            </w:pPr>
            <w:r w:rsidRPr="006C2078">
              <w:t>19, 30, 32, 41</w:t>
            </w:r>
          </w:p>
        </w:tc>
        <w:tc>
          <w:tcPr>
            <w:tcW w:w="1559" w:type="dxa"/>
          </w:tcPr>
          <w:p w:rsidR="00AA2BE3" w:rsidRPr="006C2078" w:rsidRDefault="00AA2BE3" w:rsidP="00501A83">
            <w:pPr>
              <w:pStyle w:val="Tabletext"/>
              <w:jc w:val="center"/>
            </w:pPr>
            <w:r w:rsidRPr="006C2078">
              <w:t>32, 41, 43, 54</w:t>
            </w:r>
          </w:p>
        </w:tc>
      </w:tr>
      <w:tr w:rsidR="00AA2BE3" w:rsidRPr="006C2078" w:rsidTr="00501A83">
        <w:trPr>
          <w:jc w:val="center"/>
        </w:trPr>
        <w:tc>
          <w:tcPr>
            <w:tcW w:w="3402" w:type="dxa"/>
            <w:vAlign w:val="bottom"/>
          </w:tcPr>
          <w:p w:rsidR="00AA2BE3" w:rsidRPr="006C2078" w:rsidRDefault="00AA2BE3" w:rsidP="00192341">
            <w:pPr>
              <w:pStyle w:val="Tabletext"/>
            </w:pPr>
            <w:r w:rsidRPr="006C2078">
              <w:t>Receiving satellite</w:t>
            </w:r>
          </w:p>
        </w:tc>
        <w:tc>
          <w:tcPr>
            <w:tcW w:w="1559" w:type="dxa"/>
          </w:tcPr>
          <w:p w:rsidR="00AA2BE3" w:rsidRPr="006C2078" w:rsidRDefault="00AA2BE3" w:rsidP="00501A83">
            <w:pPr>
              <w:pStyle w:val="Tabletext"/>
              <w:jc w:val="center"/>
            </w:pPr>
            <w:r w:rsidRPr="006C2078">
              <w:t>13</w:t>
            </w:r>
          </w:p>
        </w:tc>
        <w:tc>
          <w:tcPr>
            <w:tcW w:w="1559" w:type="dxa"/>
          </w:tcPr>
          <w:p w:rsidR="00AA2BE3" w:rsidRPr="006C2078" w:rsidRDefault="00AA2BE3" w:rsidP="00501A83">
            <w:pPr>
              <w:pStyle w:val="Tabletext"/>
              <w:jc w:val="center"/>
            </w:pPr>
            <w:r w:rsidRPr="006C2078">
              <w:t>20</w:t>
            </w:r>
          </w:p>
        </w:tc>
        <w:tc>
          <w:tcPr>
            <w:tcW w:w="1559" w:type="dxa"/>
          </w:tcPr>
          <w:p w:rsidR="00AA2BE3" w:rsidRPr="006C2078" w:rsidRDefault="00AA2BE3" w:rsidP="00501A83">
            <w:pPr>
              <w:pStyle w:val="Tabletext"/>
              <w:jc w:val="center"/>
            </w:pPr>
            <w:r w:rsidRPr="006C2078">
              <w:t>31</w:t>
            </w:r>
          </w:p>
        </w:tc>
        <w:tc>
          <w:tcPr>
            <w:tcW w:w="1559" w:type="dxa"/>
          </w:tcPr>
          <w:p w:rsidR="00AA2BE3" w:rsidRPr="006C2078" w:rsidRDefault="00AA2BE3" w:rsidP="00501A83">
            <w:pPr>
              <w:pStyle w:val="Tabletext"/>
              <w:jc w:val="center"/>
            </w:pPr>
            <w:r w:rsidRPr="006C2078">
              <w:t>42</w:t>
            </w:r>
          </w:p>
        </w:tc>
      </w:tr>
    </w:tbl>
    <w:p w:rsidR="00501A83" w:rsidRDefault="00501A83" w:rsidP="00501A83">
      <w:pPr>
        <w:pStyle w:val="Tablefin"/>
      </w:pPr>
    </w:p>
    <w:p w:rsidR="00AA2BE3" w:rsidRPr="007D1EF7" w:rsidRDefault="00AA2BE3" w:rsidP="00AA2BE3">
      <w:pPr>
        <w:pStyle w:val="Heading2"/>
        <w:rPr>
          <w:lang w:val="en-US"/>
        </w:rPr>
      </w:pPr>
      <w:bookmarkStart w:id="47" w:name="_Toc277668609"/>
      <w:r w:rsidRPr="007D1EF7">
        <w:rPr>
          <w:lang w:val="en-US"/>
        </w:rPr>
        <w:lastRenderedPageBreak/>
        <w:t>3.1</w:t>
      </w:r>
      <w:r w:rsidRPr="007D1EF7">
        <w:rPr>
          <w:lang w:val="en-US"/>
        </w:rPr>
        <w:tab/>
        <w:t>In-band assessment of interference to HIBLEO-Ka satellite system</w:t>
      </w:r>
      <w:bookmarkEnd w:id="47"/>
    </w:p>
    <w:p w:rsidR="00AA2BE3" w:rsidRPr="007D1EF7" w:rsidRDefault="00AA2BE3" w:rsidP="00B4321F">
      <w:pPr>
        <w:keepLines/>
        <w:rPr>
          <w:lang w:val="en-US"/>
        </w:rPr>
      </w:pPr>
      <w:r w:rsidRPr="007D1EF7">
        <w:rPr>
          <w:lang w:val="en-US"/>
        </w:rPr>
        <w:t>Figure A3-2 shows the interference-to-noise density ratios for the 16 links and the average of all curves. It can be seen that 1 s simulations steps result in smooth and reliable cumulative distribution functions down to at least 10</w:t>
      </w:r>
      <w:r w:rsidRPr="007D1EF7">
        <w:rPr>
          <w:vertAlign w:val="superscript"/>
          <w:lang w:val="en-US"/>
        </w:rPr>
        <w:t>−6</w:t>
      </w:r>
      <w:r w:rsidRPr="007D1EF7">
        <w:rPr>
          <w:lang w:val="en-US"/>
        </w:rPr>
        <w:t xml:space="preserve">, i.e. 0.0001%. The simulations last around 1 hour per link and the results are based on 31.5 million samples each. The reference protection requirement of </w:t>
      </w:r>
      <w:r w:rsidR="00DC4C77">
        <w:fldChar w:fldCharType="begin"/>
      </w:r>
      <w:r w:rsidR="00EB0992" w:rsidRPr="007D1EF7">
        <w:rPr>
          <w:lang w:val="en-US"/>
        </w:rPr>
        <w:instrText xml:space="preserve"> EQ  </w:instrText>
      </w:r>
      <w:r w:rsidR="00EB0992" w:rsidRPr="007D1EF7">
        <w:rPr>
          <w:i/>
          <w:iCs/>
          <w:lang w:val="en-US"/>
        </w:rPr>
        <w:instrText>I</w:instrText>
      </w:r>
      <w:r w:rsidR="00EB0992" w:rsidRPr="007D1EF7">
        <w:rPr>
          <w:vertAlign w:val="subscript"/>
          <w:lang w:val="en-US"/>
        </w:rPr>
        <w:instrText>0</w:instrText>
      </w:r>
      <w:r w:rsidR="00EB0992" w:rsidRPr="007D1EF7">
        <w:rPr>
          <w:i/>
          <w:iCs/>
          <w:lang w:val="en-US"/>
        </w:rPr>
        <w:instrText>/N</w:instrText>
      </w:r>
      <w:r w:rsidR="00EB0992" w:rsidRPr="007D1EF7">
        <w:rPr>
          <w:vertAlign w:val="subscript"/>
          <w:lang w:val="en-US"/>
        </w:rPr>
        <w:instrText>0</w:instrText>
      </w:r>
      <w:r w:rsidR="00EB0992" w:rsidRPr="007D1EF7">
        <w:rPr>
          <w:lang w:val="en-US"/>
        </w:rPr>
        <w:instrText xml:space="preserve"> = –10 dB </w:instrText>
      </w:r>
      <w:r w:rsidR="00DC4C77">
        <w:fldChar w:fldCharType="end"/>
      </w:r>
      <w:r w:rsidRPr="007D1EF7">
        <w:rPr>
          <w:lang w:val="en-US"/>
        </w:rPr>
        <w:t xml:space="preserve">is shown as a red circle. A margin of around 38 dB is available for co-channel operations of three SRS earth stations down to hypothetical elevation angles of 5°. </w:t>
      </w:r>
    </w:p>
    <w:p w:rsidR="00B4321F" w:rsidRPr="007D1EF7" w:rsidRDefault="00B4321F" w:rsidP="00B4321F">
      <w:pPr>
        <w:keepLines/>
        <w:rPr>
          <w:lang w:val="en-US"/>
        </w:rPr>
      </w:pPr>
    </w:p>
    <w:p w:rsidR="00AA2BE3" w:rsidRPr="007D1EF7" w:rsidRDefault="00AA2BE3" w:rsidP="00AA2BE3">
      <w:pPr>
        <w:pStyle w:val="FigureNo"/>
        <w:rPr>
          <w:lang w:val="en-US"/>
        </w:rPr>
      </w:pPr>
      <w:r w:rsidRPr="007D1EF7">
        <w:rPr>
          <w:lang w:val="en-US"/>
        </w:rPr>
        <w:t>Figure A3-2</w:t>
      </w:r>
    </w:p>
    <w:p w:rsidR="00AA2BE3" w:rsidRPr="007D1EF7" w:rsidRDefault="00AA2BE3" w:rsidP="00AA2BE3">
      <w:pPr>
        <w:pStyle w:val="Figuretitle"/>
        <w:rPr>
          <w:lang w:val="en-US"/>
        </w:rPr>
      </w:pPr>
      <w:r w:rsidRPr="007D1EF7">
        <w:rPr>
          <w:i/>
          <w:iCs/>
          <w:lang w:val="en-US"/>
        </w:rPr>
        <w:t>I</w:t>
      </w:r>
      <w:r w:rsidRPr="007D1EF7">
        <w:rPr>
          <w:vertAlign w:val="subscript"/>
          <w:lang w:val="en-US"/>
        </w:rPr>
        <w:t>0</w:t>
      </w:r>
      <w:r w:rsidRPr="007D1EF7">
        <w:rPr>
          <w:i/>
          <w:iCs/>
          <w:lang w:val="en-US"/>
        </w:rPr>
        <w:t>/N</w:t>
      </w:r>
      <w:r w:rsidRPr="007D1EF7">
        <w:rPr>
          <w:vertAlign w:val="subscript"/>
          <w:lang w:val="en-US"/>
        </w:rPr>
        <w:t>0</w:t>
      </w:r>
      <w:r w:rsidRPr="007D1EF7">
        <w:rPr>
          <w:lang w:val="en-US"/>
        </w:rPr>
        <w:t xml:space="preserve"> ratios for selected set of 16 inter-satellite links</w:t>
      </w:r>
    </w:p>
    <w:p w:rsidR="00AA2BE3" w:rsidRPr="007D1EF7" w:rsidRDefault="00AA2BE3" w:rsidP="00501A83">
      <w:pPr>
        <w:pStyle w:val="Figure"/>
        <w:rPr>
          <w:lang w:val="en-US"/>
        </w:rPr>
      </w:pPr>
      <w:r>
        <w:rPr>
          <w:noProof/>
          <w:lang w:val="en-US" w:eastAsia="zh-CN"/>
        </w:rPr>
        <w:drawing>
          <wp:anchor distT="0" distB="0" distL="114300" distR="114300" simplePos="0" relativeHeight="251660288" behindDoc="0" locked="0" layoutInCell="1" allowOverlap="1">
            <wp:simplePos x="0" y="0"/>
            <wp:positionH relativeFrom="column">
              <wp:posOffset>173990</wp:posOffset>
            </wp:positionH>
            <wp:positionV relativeFrom="paragraph">
              <wp:posOffset>35560</wp:posOffset>
            </wp:positionV>
            <wp:extent cx="5753100" cy="2886075"/>
            <wp:effectExtent l="0" t="0" r="0" b="0"/>
            <wp:wrapTopAndBottom/>
            <wp:docPr id="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cstate="print"/>
                    <a:srcRect/>
                    <a:stretch>
                      <a:fillRect/>
                    </a:stretch>
                  </pic:blipFill>
                  <pic:spPr bwMode="auto">
                    <a:xfrm>
                      <a:off x="0" y="0"/>
                      <a:ext cx="5753100" cy="2886075"/>
                    </a:xfrm>
                    <a:prstGeom prst="rect">
                      <a:avLst/>
                    </a:prstGeom>
                    <a:noFill/>
                  </pic:spPr>
                </pic:pic>
              </a:graphicData>
            </a:graphic>
          </wp:anchor>
        </w:drawing>
      </w:r>
    </w:p>
    <w:p w:rsidR="00B4321F" w:rsidRPr="007D1EF7" w:rsidRDefault="00B4321F" w:rsidP="00B4321F">
      <w:pPr>
        <w:rPr>
          <w:lang w:val="en-US"/>
        </w:rPr>
      </w:pPr>
      <w:bookmarkStart w:id="48" w:name="_Toc277668610"/>
    </w:p>
    <w:p w:rsidR="00AA2BE3" w:rsidRPr="007D1EF7" w:rsidRDefault="00AA2BE3" w:rsidP="00AA2BE3">
      <w:pPr>
        <w:pStyle w:val="Heading2"/>
        <w:rPr>
          <w:lang w:val="en-US"/>
        </w:rPr>
      </w:pPr>
      <w:r w:rsidRPr="007D1EF7">
        <w:rPr>
          <w:lang w:val="en-US"/>
        </w:rPr>
        <w:t>3.2</w:t>
      </w:r>
      <w:r w:rsidRPr="007D1EF7">
        <w:rPr>
          <w:lang w:val="en-US"/>
        </w:rPr>
        <w:tab/>
        <w:t>Out-of-band assessment of interference to HIBLEO-2 satellite system</w:t>
      </w:r>
      <w:bookmarkEnd w:id="48"/>
    </w:p>
    <w:p w:rsidR="00AA2BE3" w:rsidRPr="007D1EF7" w:rsidRDefault="00AA2BE3" w:rsidP="00AA2BE3">
      <w:pPr>
        <w:rPr>
          <w:lang w:val="en-US"/>
        </w:rPr>
      </w:pPr>
      <w:r w:rsidRPr="007D1EF7">
        <w:rPr>
          <w:lang w:val="en-US"/>
        </w:rPr>
        <w:t xml:space="preserve">Regarding out-of-band interference, the agreed protection criterion is </w:t>
      </w:r>
      <w:r w:rsidRPr="007D1EF7">
        <w:rPr>
          <w:i/>
          <w:iCs/>
          <w:lang w:val="en-US"/>
        </w:rPr>
        <w:t>I</w:t>
      </w:r>
      <w:r w:rsidRPr="007D1EF7">
        <w:rPr>
          <w:vertAlign w:val="subscript"/>
          <w:lang w:val="en-US"/>
        </w:rPr>
        <w:t>0</w:t>
      </w:r>
      <w:r w:rsidRPr="007D1EF7">
        <w:rPr>
          <w:i/>
          <w:iCs/>
          <w:lang w:val="en-US"/>
        </w:rPr>
        <w:t>/N</w:t>
      </w:r>
      <w:r w:rsidRPr="007D1EF7">
        <w:rPr>
          <w:vertAlign w:val="subscript"/>
          <w:lang w:val="en-US"/>
        </w:rPr>
        <w:t>0</w:t>
      </w:r>
      <w:r w:rsidRPr="007D1EF7">
        <w:rPr>
          <w:lang w:val="en-US"/>
        </w:rPr>
        <w:t xml:space="preserve"> = −16 dB not to be exceeded for more than 0.01% of time per inter-satellite link. The above derived Io levels will be reduced by typical spectral roll-off functions. Minimum specifications to be met are contained in Recommendation ITU-R SM.1541. At 1.5 times of the necessary bandwidth, the level has to be reduced to −30 dB. At 2.5 times the necessary bandwidth, the level would be lower than −42 dB. </w:t>
      </w:r>
    </w:p>
    <w:p w:rsidR="00AA2BE3" w:rsidRPr="007D1EF7" w:rsidRDefault="00AA2BE3" w:rsidP="00AA2BE3">
      <w:pPr>
        <w:rPr>
          <w:lang w:val="en-US"/>
        </w:rPr>
      </w:pPr>
      <w:r w:rsidRPr="007D1EF7">
        <w:rPr>
          <w:lang w:val="en-US"/>
        </w:rPr>
        <w:t>Actually applicable specifications are more stringent. Spectral masks internationally agreed by the Space Frequency Coordination Group (SFCG REC 21-2) specify levels of −60 dB at 3 times the data rate from the carrier frequency. Figure A3-3 shows the relevant O</w:t>
      </w:r>
      <w:r w:rsidR="00501A83" w:rsidRPr="007D1EF7">
        <w:rPr>
          <w:lang w:val="en-US"/>
        </w:rPr>
        <w:t>o</w:t>
      </w:r>
      <w:r w:rsidRPr="007D1EF7">
        <w:rPr>
          <w:lang w:val="en-US"/>
        </w:rPr>
        <w:t>B masks and typically associated spectral power density levels.</w:t>
      </w:r>
    </w:p>
    <w:p w:rsidR="00AA2BE3" w:rsidRPr="007D1EF7" w:rsidRDefault="00AA2BE3" w:rsidP="00AA2BE3">
      <w:pPr>
        <w:pStyle w:val="FigureNo"/>
        <w:rPr>
          <w:lang w:val="en-US"/>
        </w:rPr>
      </w:pPr>
      <w:r w:rsidRPr="007D1EF7">
        <w:rPr>
          <w:lang w:val="en-US"/>
        </w:rPr>
        <w:lastRenderedPageBreak/>
        <w:t>Figure A3-3</w:t>
      </w:r>
    </w:p>
    <w:p w:rsidR="00AA2BE3" w:rsidRPr="007D1EF7" w:rsidRDefault="00AA2BE3" w:rsidP="00AA2BE3">
      <w:pPr>
        <w:pStyle w:val="Figuretitle"/>
        <w:rPr>
          <w:lang w:val="en-US"/>
        </w:rPr>
      </w:pPr>
      <w:r w:rsidRPr="007D1EF7">
        <w:rPr>
          <w:lang w:val="en-US"/>
        </w:rPr>
        <w:t xml:space="preserve">Out-of-band spectral power density levels and relevant masks </w:t>
      </w:r>
    </w:p>
    <w:p w:rsidR="00AA2BE3" w:rsidRPr="006C2078" w:rsidRDefault="00AA2BE3" w:rsidP="00AA2BE3">
      <w:pPr>
        <w:pStyle w:val="Figure"/>
      </w:pPr>
      <w:r>
        <w:rPr>
          <w:noProof/>
          <w:lang w:val="en-US" w:eastAsia="zh-CN"/>
        </w:rPr>
        <w:drawing>
          <wp:inline distT="0" distB="0" distL="0" distR="0">
            <wp:extent cx="6043295" cy="3729355"/>
            <wp:effectExtent l="0" t="0" r="0" b="0"/>
            <wp:docPr id="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srcRect/>
                    <a:stretch>
                      <a:fillRect/>
                    </a:stretch>
                  </pic:blipFill>
                  <pic:spPr bwMode="auto">
                    <a:xfrm>
                      <a:off x="0" y="0"/>
                      <a:ext cx="6043295" cy="3729355"/>
                    </a:xfrm>
                    <a:prstGeom prst="rect">
                      <a:avLst/>
                    </a:prstGeom>
                    <a:noFill/>
                    <a:ln w="9525">
                      <a:noFill/>
                      <a:miter lim="800000"/>
                      <a:headEnd/>
                      <a:tailEnd/>
                    </a:ln>
                  </pic:spPr>
                </pic:pic>
              </a:graphicData>
            </a:graphic>
          </wp:inline>
        </w:drawing>
      </w:r>
    </w:p>
    <w:p w:rsidR="00B4321F" w:rsidRDefault="00B4321F" w:rsidP="00AA2BE3"/>
    <w:p w:rsidR="00AA2BE3" w:rsidRPr="007D1EF7" w:rsidRDefault="00AA2BE3" w:rsidP="00AA2BE3">
      <w:pPr>
        <w:rPr>
          <w:lang w:val="en-US"/>
        </w:rPr>
      </w:pPr>
      <w:r w:rsidRPr="007D1EF7">
        <w:rPr>
          <w:lang w:val="en-US"/>
        </w:rPr>
        <w:t>All SRS earth stations have been taken into account for out-of-band interference. Assuming 15 earth stations and each of them transmitting with maximum power on 3 different channels, a very pessimistic number of 45 channels may be active within the entire SRS allocation.</w:t>
      </w:r>
    </w:p>
    <w:p w:rsidR="00AA2BE3" w:rsidRPr="007D1EF7" w:rsidRDefault="00AA2BE3" w:rsidP="00AA2BE3">
      <w:pPr>
        <w:rPr>
          <w:lang w:val="en-US"/>
        </w:rPr>
      </w:pPr>
      <w:r w:rsidRPr="007D1EF7">
        <w:rPr>
          <w:lang w:val="en-US"/>
        </w:rPr>
        <w:t>Considering an available guardband of 33 MHz between 23.15 GHz and 23.183 GHz, the lower boundary of the first HIBLEO-2 channel at 23.183 GHz, and a maximum 24 MHz SRS channel just below 23.15 GHz without any guardband, it can be safely assumed that mean out-of-band emissions over the entire channel bandwidth will be at least 35 dB below the maximum power-spectral density for the highest channel used by 3 earth stations. In a hypothetical worst case, it may be assumed that the other 14 channels would operate at the highest possible Recommendation ITU</w:t>
      </w:r>
      <w:r w:rsidRPr="007D1EF7">
        <w:rPr>
          <w:lang w:val="en-US"/>
        </w:rPr>
        <w:noBreakHyphen/>
        <w:t>R SM.1541 specifications of −42 dB. The cumulative impact of all 15 channels would then be −29 dB below the maximum in</w:t>
      </w:r>
      <w:r w:rsidRPr="007D1EF7">
        <w:rPr>
          <w:lang w:val="en-US"/>
        </w:rPr>
        <w:noBreakHyphen/>
        <w:t xml:space="preserve">band level. In reality, any SRS channels below the highest channel will show spectral densities orders of magnitude lower than −35 dB within the HIBLEO-2 channels. </w:t>
      </w:r>
    </w:p>
    <w:p w:rsidR="00AA2BE3" w:rsidRPr="007D1EF7" w:rsidRDefault="00AA2BE3" w:rsidP="00AA2BE3">
      <w:pPr>
        <w:rPr>
          <w:lang w:val="en-US"/>
        </w:rPr>
      </w:pPr>
      <w:r w:rsidRPr="007D1EF7">
        <w:rPr>
          <w:lang w:val="en-US"/>
        </w:rPr>
        <w:t xml:space="preserve">Assuming 15 earth stations transmitting on 3 SRS channels, each would result in a margin of at least 48 dB with respect to the proposed out-of-band criteria. In reality, the out-of-band emission levels will follow the SFCG recommendation, leading to an average spectrum level well below −50 dB and hence a margin of at least 69 dB. </w:t>
      </w:r>
    </w:p>
    <w:p w:rsidR="00AA2BE3" w:rsidRPr="007D1EF7" w:rsidRDefault="00AA2BE3" w:rsidP="00AA2BE3">
      <w:pPr>
        <w:pStyle w:val="Heading1"/>
        <w:rPr>
          <w:szCs w:val="28"/>
          <w:lang w:val="en-US"/>
        </w:rPr>
      </w:pPr>
      <w:bookmarkStart w:id="49" w:name="_Toc277668611"/>
      <w:r w:rsidRPr="007D1EF7">
        <w:rPr>
          <w:szCs w:val="28"/>
          <w:lang w:val="en-US"/>
        </w:rPr>
        <w:t>4</w:t>
      </w:r>
      <w:r w:rsidRPr="007D1EF7">
        <w:rPr>
          <w:szCs w:val="28"/>
          <w:lang w:val="en-US"/>
        </w:rPr>
        <w:tab/>
        <w:t>Summary and technical discussions</w:t>
      </w:r>
      <w:bookmarkEnd w:id="49"/>
    </w:p>
    <w:p w:rsidR="00AA2BE3" w:rsidRPr="007D1EF7" w:rsidRDefault="00AA2BE3" w:rsidP="00AA2BE3">
      <w:pPr>
        <w:rPr>
          <w:lang w:val="en-US"/>
        </w:rPr>
      </w:pPr>
      <w:r w:rsidRPr="007D1EF7">
        <w:rPr>
          <w:lang w:val="en-US"/>
        </w:rPr>
        <w:t xml:space="preserve">Figure A3-4 shows the average interference–to-noise density obtained from the 16 arbitrarily selected HIBLEO-2/Ka inter-satellite links which is approximately the number of active links per channel. Regarding in-band interference, it can be seen that a margin of around 38 dB is available with respect to an </w:t>
      </w:r>
      <w:r w:rsidRPr="007D1EF7">
        <w:rPr>
          <w:i/>
          <w:iCs/>
          <w:lang w:val="en-US"/>
        </w:rPr>
        <w:t>I</w:t>
      </w:r>
      <w:r w:rsidRPr="007D1EF7">
        <w:rPr>
          <w:vertAlign w:val="subscript"/>
          <w:lang w:val="en-US"/>
        </w:rPr>
        <w:t>0</w:t>
      </w:r>
      <w:r w:rsidRPr="007D1EF7">
        <w:rPr>
          <w:i/>
          <w:iCs/>
          <w:lang w:val="en-US"/>
        </w:rPr>
        <w:t>/N</w:t>
      </w:r>
      <w:r w:rsidRPr="007D1EF7">
        <w:rPr>
          <w:vertAlign w:val="subscript"/>
          <w:lang w:val="en-US"/>
        </w:rPr>
        <w:t>0</w:t>
      </w:r>
      <w:r w:rsidRPr="007D1EF7">
        <w:rPr>
          <w:lang w:val="en-US"/>
        </w:rPr>
        <w:t xml:space="preserve"> = −10 dB criterion agreed by ITU-R. </w:t>
      </w:r>
    </w:p>
    <w:p w:rsidR="00AA2BE3" w:rsidRPr="007D1EF7" w:rsidRDefault="00AA2BE3" w:rsidP="00AA2BE3">
      <w:pPr>
        <w:pStyle w:val="FigureNo"/>
        <w:rPr>
          <w:lang w:val="en-US"/>
        </w:rPr>
      </w:pPr>
      <w:r w:rsidRPr="007D1EF7">
        <w:rPr>
          <w:lang w:val="en-US"/>
        </w:rPr>
        <w:lastRenderedPageBreak/>
        <w:t>Figure A3-4</w:t>
      </w:r>
    </w:p>
    <w:p w:rsidR="00AA2BE3" w:rsidRPr="007D1EF7" w:rsidRDefault="00AA2BE3" w:rsidP="00AA2BE3">
      <w:pPr>
        <w:pStyle w:val="Figuretitle"/>
        <w:rPr>
          <w:lang w:val="en-US"/>
        </w:rPr>
      </w:pPr>
      <w:r w:rsidRPr="007D1EF7">
        <w:rPr>
          <w:i/>
          <w:iCs/>
          <w:lang w:val="en-US"/>
        </w:rPr>
        <w:t>I</w:t>
      </w:r>
      <w:r w:rsidRPr="007D1EF7">
        <w:rPr>
          <w:vertAlign w:val="subscript"/>
          <w:lang w:val="en-US"/>
        </w:rPr>
        <w:t>0</w:t>
      </w:r>
      <w:r w:rsidRPr="007D1EF7">
        <w:rPr>
          <w:i/>
          <w:iCs/>
          <w:lang w:val="en-US"/>
        </w:rPr>
        <w:t>/N</w:t>
      </w:r>
      <w:r w:rsidRPr="007D1EF7">
        <w:rPr>
          <w:vertAlign w:val="subscript"/>
          <w:lang w:val="en-US"/>
        </w:rPr>
        <w:t>0</w:t>
      </w:r>
      <w:r w:rsidRPr="007D1EF7">
        <w:rPr>
          <w:lang w:val="en-US"/>
        </w:rPr>
        <w:t xml:space="preserve"> levels originating from SRS earth stations supporting a Lunar Mission </w:t>
      </w:r>
    </w:p>
    <w:p w:rsidR="00B4321F" w:rsidRPr="007D1EF7" w:rsidRDefault="00B4321F" w:rsidP="00AA2BE3">
      <w:pPr>
        <w:pStyle w:val="Figure"/>
        <w:rPr>
          <w:lang w:val="en-US"/>
        </w:rPr>
      </w:pPr>
    </w:p>
    <w:p w:rsidR="00AA2BE3" w:rsidRPr="006C2078" w:rsidRDefault="00AA2BE3" w:rsidP="00AA2BE3">
      <w:pPr>
        <w:pStyle w:val="Figure"/>
      </w:pPr>
      <w:r>
        <w:rPr>
          <w:noProof/>
          <w:lang w:val="en-US" w:eastAsia="zh-CN"/>
        </w:rPr>
        <w:drawing>
          <wp:inline distT="0" distB="0" distL="0" distR="0">
            <wp:extent cx="5987415" cy="3721100"/>
            <wp:effectExtent l="0" t="0" r="0" b="0"/>
            <wp:docPr id="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srcRect/>
                    <a:stretch>
                      <a:fillRect/>
                    </a:stretch>
                  </pic:blipFill>
                  <pic:spPr bwMode="auto">
                    <a:xfrm>
                      <a:off x="0" y="0"/>
                      <a:ext cx="5987415" cy="3721100"/>
                    </a:xfrm>
                    <a:prstGeom prst="rect">
                      <a:avLst/>
                    </a:prstGeom>
                    <a:noFill/>
                    <a:ln w="9525">
                      <a:noFill/>
                      <a:miter lim="800000"/>
                      <a:headEnd/>
                      <a:tailEnd/>
                    </a:ln>
                  </pic:spPr>
                </pic:pic>
              </a:graphicData>
            </a:graphic>
          </wp:inline>
        </w:drawing>
      </w:r>
    </w:p>
    <w:p w:rsidR="00AA2BE3" w:rsidRPr="007D1EF7" w:rsidRDefault="00AA2BE3" w:rsidP="00192341">
      <w:pPr>
        <w:rPr>
          <w:lang w:val="en-US"/>
        </w:rPr>
      </w:pPr>
      <w:r w:rsidRPr="007D1EF7">
        <w:rPr>
          <w:lang w:val="en-US"/>
        </w:rPr>
        <w:t xml:space="preserve">Although ITU-R proposed to consider the </w:t>
      </w:r>
      <w:r w:rsidRPr="007D1EF7">
        <w:rPr>
          <w:i/>
          <w:iCs/>
          <w:lang w:val="en-US"/>
        </w:rPr>
        <w:t>I</w:t>
      </w:r>
      <w:r w:rsidRPr="007D1EF7">
        <w:rPr>
          <w:vertAlign w:val="subscript"/>
          <w:lang w:val="en-US"/>
        </w:rPr>
        <w:t>0</w:t>
      </w:r>
      <w:r w:rsidRPr="007D1EF7">
        <w:rPr>
          <w:i/>
          <w:iCs/>
          <w:lang w:val="en-US"/>
        </w:rPr>
        <w:t>/N</w:t>
      </w:r>
      <w:r w:rsidRPr="007D1EF7">
        <w:rPr>
          <w:vertAlign w:val="subscript"/>
          <w:lang w:val="en-US"/>
        </w:rPr>
        <w:t>0</w:t>
      </w:r>
      <w:r w:rsidRPr="007D1EF7">
        <w:rPr>
          <w:lang w:val="en-US"/>
        </w:rPr>
        <w:t xml:space="preserve"> criterion exclusively for SRS links, it may be noted that Recommendation ITU-R SA.1155 addresses aggregate interference per link. In an in-band situation, it is therefore not uncommon to apportion the allowed interference on an equal basis to all services using the band. Considering that the band would be used by the FS, ISS and SRS, a 5 dB margin reduction could be taken into consideration for the in-band sharing situation. An allocation is also available to the mobile service but no MS systems are known to use the band.</w:t>
      </w:r>
    </w:p>
    <w:p w:rsidR="00AA2BE3" w:rsidRPr="007D1EF7" w:rsidRDefault="00AA2BE3" w:rsidP="00AA2BE3">
      <w:pPr>
        <w:rPr>
          <w:lang w:val="en-US"/>
        </w:rPr>
      </w:pPr>
      <w:r w:rsidRPr="007D1EF7">
        <w:rPr>
          <w:lang w:val="en-US"/>
        </w:rPr>
        <w:t>Regarding out-of-band interference, minimum margins based on the criterion agreed by ITU-R and specifications contained in Recommendation ITU-R SM.1541 are at least 48 dB in a hypothetical worst case. Typical margins based on actually applicable spectral mask in accordance with SFCG Recommendation 21-2 are around 70 dB. It may be noted that even the originally claimed 0.001% of time with reference to the entire HIBLEO-2 system could be met with large margins.</w:t>
      </w:r>
    </w:p>
    <w:p w:rsidR="00AA2BE3" w:rsidRPr="007D1EF7" w:rsidRDefault="00AA2BE3" w:rsidP="00AA2BE3">
      <w:pPr>
        <w:rPr>
          <w:lang w:val="en-US"/>
        </w:rPr>
      </w:pPr>
      <w:r w:rsidRPr="007D1EF7">
        <w:rPr>
          <w:lang w:val="en-US"/>
        </w:rPr>
        <w:t xml:space="preserve">Interference resulting from spurious emissions is insignificant as compared to out-of-band emissions in view of the low levels of −54 dBW permitted by RR Appendix 3. </w:t>
      </w:r>
    </w:p>
    <w:p w:rsidR="00AA2BE3" w:rsidRPr="007D1EF7" w:rsidRDefault="00AA2BE3" w:rsidP="00AA2BE3">
      <w:pPr>
        <w:rPr>
          <w:lang w:val="en-US"/>
        </w:rPr>
      </w:pPr>
      <w:r w:rsidRPr="007D1EF7">
        <w:rPr>
          <w:lang w:val="en-US"/>
        </w:rPr>
        <w:t>All above derived minimum margins are based on worst case assumptions. In a realistic situation, additional mitigation factors will be available. Actual average antenna gains will be around 3 dB lower due to laws of physics and atmospheric attenuation of 2-3 dB will reduce SRS signals in particular at lower elevation angles, where the more critical interference events would occur. Reception of interference via far antenna sidelobes is often subject to 1-3 dB polarization discrimination. In addition, Lunar and Lagrangian satellites are often handed over to the next earth station in a global network long before the minimum elevation angle of 5° is reached. Furthermore, the SRS earth stations are unlikely to transmit continuously. A duty cycle of 50% may be representative for many missions. Table A3-3 shows a summary of additional mitigation factors and their estimated interference reduction.</w:t>
      </w:r>
    </w:p>
    <w:p w:rsidR="00AA2BE3" w:rsidRPr="007D1EF7" w:rsidRDefault="00501A83" w:rsidP="00AA2BE3">
      <w:pPr>
        <w:pStyle w:val="TableNo"/>
        <w:rPr>
          <w:lang w:val="en-US"/>
        </w:rPr>
      </w:pPr>
      <w:r w:rsidRPr="007D1EF7">
        <w:rPr>
          <w:lang w:val="en-US"/>
        </w:rPr>
        <w:lastRenderedPageBreak/>
        <w:t>TABLE</w:t>
      </w:r>
      <w:r w:rsidR="00AA2BE3" w:rsidRPr="007D1EF7">
        <w:rPr>
          <w:lang w:val="en-US"/>
        </w:rPr>
        <w:t xml:space="preserve"> A3-3</w:t>
      </w:r>
    </w:p>
    <w:p w:rsidR="00AA2BE3" w:rsidRPr="007D1EF7" w:rsidRDefault="00AA2BE3" w:rsidP="00AA2BE3">
      <w:pPr>
        <w:pStyle w:val="Tabletitle"/>
        <w:rPr>
          <w:lang w:val="en-US"/>
        </w:rPr>
      </w:pPr>
      <w:r w:rsidRPr="007D1EF7">
        <w:rPr>
          <w:lang w:val="en-US"/>
        </w:rPr>
        <w:t>Additional mitigation factors and their impact on the actual margins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37"/>
        <w:gridCol w:w="1701"/>
        <w:gridCol w:w="1701"/>
      </w:tblGrid>
      <w:tr w:rsidR="00AA2BE3" w:rsidRPr="006C2078" w:rsidTr="00501A83">
        <w:trPr>
          <w:jc w:val="center"/>
        </w:trPr>
        <w:tc>
          <w:tcPr>
            <w:tcW w:w="6237" w:type="dxa"/>
          </w:tcPr>
          <w:p w:rsidR="00AA2BE3" w:rsidRPr="007D1EF7" w:rsidRDefault="00AA2BE3" w:rsidP="00501A83">
            <w:pPr>
              <w:pStyle w:val="Tablehead"/>
              <w:jc w:val="left"/>
              <w:rPr>
                <w:lang w:val="en-US"/>
              </w:rPr>
            </w:pPr>
          </w:p>
        </w:tc>
        <w:tc>
          <w:tcPr>
            <w:tcW w:w="1701" w:type="dxa"/>
          </w:tcPr>
          <w:p w:rsidR="00AA2BE3" w:rsidRPr="006C2078" w:rsidRDefault="00AA2BE3" w:rsidP="00192341">
            <w:pPr>
              <w:pStyle w:val="Tablehead"/>
            </w:pPr>
            <w:r w:rsidRPr="006C2078">
              <w:t>In-band</w:t>
            </w:r>
          </w:p>
        </w:tc>
        <w:tc>
          <w:tcPr>
            <w:tcW w:w="1701" w:type="dxa"/>
          </w:tcPr>
          <w:p w:rsidR="00AA2BE3" w:rsidRPr="006C2078" w:rsidRDefault="00AA2BE3" w:rsidP="00192341">
            <w:pPr>
              <w:pStyle w:val="Tablehead"/>
            </w:pPr>
            <w:r w:rsidRPr="006C2078">
              <w:t>Out-of-band</w:t>
            </w:r>
          </w:p>
        </w:tc>
      </w:tr>
      <w:tr w:rsidR="00AA2BE3" w:rsidRPr="006C2078" w:rsidTr="00501A83">
        <w:trPr>
          <w:jc w:val="center"/>
        </w:trPr>
        <w:tc>
          <w:tcPr>
            <w:tcW w:w="6237" w:type="dxa"/>
            <w:vAlign w:val="center"/>
          </w:tcPr>
          <w:p w:rsidR="00AA2BE3" w:rsidRPr="006C2078" w:rsidRDefault="00AA2BE3" w:rsidP="00501A83">
            <w:pPr>
              <w:pStyle w:val="Tabletext"/>
              <w:jc w:val="left"/>
            </w:pPr>
            <w:r w:rsidRPr="006C2078">
              <w:t>Obtained minimum margins (dB)</w:t>
            </w:r>
          </w:p>
        </w:tc>
        <w:tc>
          <w:tcPr>
            <w:tcW w:w="1701" w:type="dxa"/>
            <w:vAlign w:val="center"/>
          </w:tcPr>
          <w:p w:rsidR="00AA2BE3" w:rsidRPr="006C2078" w:rsidRDefault="00AA2BE3" w:rsidP="00501A83">
            <w:pPr>
              <w:pStyle w:val="Tabletext"/>
              <w:jc w:val="center"/>
            </w:pPr>
            <w:r w:rsidRPr="006C2078">
              <w:t>38</w:t>
            </w:r>
          </w:p>
        </w:tc>
        <w:tc>
          <w:tcPr>
            <w:tcW w:w="1701" w:type="dxa"/>
            <w:vAlign w:val="center"/>
          </w:tcPr>
          <w:p w:rsidR="00AA2BE3" w:rsidRPr="006C2078" w:rsidRDefault="00AA2BE3" w:rsidP="00501A83">
            <w:pPr>
              <w:pStyle w:val="Tabletext"/>
              <w:jc w:val="center"/>
            </w:pPr>
            <w:r w:rsidRPr="006C2078">
              <w:t>48</w:t>
            </w:r>
          </w:p>
        </w:tc>
      </w:tr>
      <w:tr w:rsidR="00AA2BE3" w:rsidRPr="006C2078" w:rsidTr="00501A83">
        <w:trPr>
          <w:jc w:val="center"/>
        </w:trPr>
        <w:tc>
          <w:tcPr>
            <w:tcW w:w="6237" w:type="dxa"/>
            <w:vAlign w:val="center"/>
          </w:tcPr>
          <w:p w:rsidR="00AA2BE3" w:rsidRPr="007D1EF7" w:rsidRDefault="00AA2BE3" w:rsidP="00501A83">
            <w:pPr>
              <w:pStyle w:val="Tabletext"/>
              <w:jc w:val="left"/>
              <w:rPr>
                <w:lang w:val="en-US"/>
              </w:rPr>
            </w:pPr>
            <w:r w:rsidRPr="007D1EF7">
              <w:rPr>
                <w:lang w:val="en-US"/>
              </w:rPr>
              <w:t>Atmospheric attenuation for more than 99% of time</w:t>
            </w:r>
            <w:r w:rsidR="00501A83" w:rsidRPr="007D1EF7">
              <w:rPr>
                <w:lang w:val="en-US"/>
              </w:rPr>
              <w:br/>
            </w:r>
            <w:r w:rsidRPr="007D1EF7">
              <w:rPr>
                <w:lang w:val="en-US"/>
              </w:rPr>
              <w:t>and 5°</w:t>
            </w:r>
            <w:r w:rsidRPr="007D1EF7">
              <w:rPr>
                <w:lang w:val="en-US"/>
              </w:rPr>
              <w:noBreakHyphen/>
              <w:t>90° elevation angles (dB)</w:t>
            </w:r>
          </w:p>
        </w:tc>
        <w:tc>
          <w:tcPr>
            <w:tcW w:w="1701" w:type="dxa"/>
            <w:vAlign w:val="center"/>
          </w:tcPr>
          <w:p w:rsidR="00AA2BE3" w:rsidRPr="006C2078" w:rsidRDefault="00AA2BE3" w:rsidP="00501A83">
            <w:pPr>
              <w:pStyle w:val="Tabletext"/>
              <w:jc w:val="center"/>
            </w:pPr>
            <w:r w:rsidRPr="006C2078">
              <w:t>2-3</w:t>
            </w:r>
          </w:p>
        </w:tc>
        <w:tc>
          <w:tcPr>
            <w:tcW w:w="1701" w:type="dxa"/>
            <w:vAlign w:val="center"/>
          </w:tcPr>
          <w:p w:rsidR="00AA2BE3" w:rsidRPr="006C2078" w:rsidRDefault="00AA2BE3" w:rsidP="00501A83">
            <w:pPr>
              <w:pStyle w:val="Tabletext"/>
              <w:jc w:val="center"/>
            </w:pPr>
            <w:r w:rsidRPr="006C2078">
              <w:t>2-3</w:t>
            </w:r>
          </w:p>
        </w:tc>
      </w:tr>
      <w:tr w:rsidR="00AA2BE3" w:rsidRPr="006C2078" w:rsidTr="00501A83">
        <w:trPr>
          <w:jc w:val="center"/>
        </w:trPr>
        <w:tc>
          <w:tcPr>
            <w:tcW w:w="6237" w:type="dxa"/>
            <w:vAlign w:val="center"/>
          </w:tcPr>
          <w:p w:rsidR="00AA2BE3" w:rsidRPr="007D1EF7" w:rsidRDefault="00AA2BE3" w:rsidP="00501A83">
            <w:pPr>
              <w:pStyle w:val="Tabletext"/>
              <w:jc w:val="left"/>
              <w:rPr>
                <w:lang w:val="en-US"/>
              </w:rPr>
            </w:pPr>
            <w:r w:rsidRPr="007D1EF7">
              <w:rPr>
                <w:lang w:val="en-US"/>
              </w:rPr>
              <w:t>Average antenna gain reduction (dB)</w:t>
            </w:r>
          </w:p>
        </w:tc>
        <w:tc>
          <w:tcPr>
            <w:tcW w:w="1701" w:type="dxa"/>
            <w:vAlign w:val="center"/>
          </w:tcPr>
          <w:p w:rsidR="00AA2BE3" w:rsidRPr="006C2078" w:rsidRDefault="00AA2BE3" w:rsidP="00501A83">
            <w:pPr>
              <w:pStyle w:val="Tabletext"/>
              <w:jc w:val="center"/>
            </w:pPr>
            <w:r w:rsidRPr="006C2078">
              <w:t>3-4</w:t>
            </w:r>
          </w:p>
        </w:tc>
        <w:tc>
          <w:tcPr>
            <w:tcW w:w="1701" w:type="dxa"/>
            <w:vAlign w:val="center"/>
          </w:tcPr>
          <w:p w:rsidR="00AA2BE3" w:rsidRPr="006C2078" w:rsidRDefault="00AA2BE3" w:rsidP="00501A83">
            <w:pPr>
              <w:pStyle w:val="Tabletext"/>
              <w:jc w:val="center"/>
            </w:pPr>
            <w:r w:rsidRPr="006C2078">
              <w:t>3-4</w:t>
            </w:r>
          </w:p>
        </w:tc>
      </w:tr>
      <w:tr w:rsidR="00AA2BE3" w:rsidRPr="006C2078" w:rsidTr="00501A83">
        <w:trPr>
          <w:jc w:val="center"/>
        </w:trPr>
        <w:tc>
          <w:tcPr>
            <w:tcW w:w="6237" w:type="dxa"/>
            <w:vAlign w:val="center"/>
          </w:tcPr>
          <w:p w:rsidR="00AA2BE3" w:rsidRPr="007D1EF7" w:rsidRDefault="00AA2BE3" w:rsidP="00501A83">
            <w:pPr>
              <w:pStyle w:val="Tabletext"/>
              <w:jc w:val="left"/>
              <w:rPr>
                <w:lang w:val="en-US"/>
              </w:rPr>
            </w:pPr>
            <w:r w:rsidRPr="007D1EF7">
              <w:rPr>
                <w:lang w:val="en-US"/>
              </w:rPr>
              <w:t>Polarization discrimination in antenna side-lobe regions (dB)</w:t>
            </w:r>
          </w:p>
        </w:tc>
        <w:tc>
          <w:tcPr>
            <w:tcW w:w="1701" w:type="dxa"/>
            <w:vAlign w:val="center"/>
          </w:tcPr>
          <w:p w:rsidR="00AA2BE3" w:rsidRPr="006C2078" w:rsidRDefault="00AA2BE3" w:rsidP="00501A83">
            <w:pPr>
              <w:pStyle w:val="Tabletext"/>
              <w:jc w:val="center"/>
            </w:pPr>
            <w:r w:rsidRPr="006C2078">
              <w:t>1-3</w:t>
            </w:r>
          </w:p>
        </w:tc>
        <w:tc>
          <w:tcPr>
            <w:tcW w:w="1701" w:type="dxa"/>
            <w:vAlign w:val="center"/>
          </w:tcPr>
          <w:p w:rsidR="00AA2BE3" w:rsidRPr="006C2078" w:rsidRDefault="00AA2BE3" w:rsidP="00501A83">
            <w:pPr>
              <w:pStyle w:val="Tabletext"/>
              <w:jc w:val="center"/>
            </w:pPr>
            <w:r w:rsidRPr="006C2078">
              <w:t>1-3</w:t>
            </w:r>
          </w:p>
        </w:tc>
      </w:tr>
      <w:tr w:rsidR="00AA2BE3" w:rsidRPr="006C2078" w:rsidTr="00501A83">
        <w:trPr>
          <w:jc w:val="center"/>
        </w:trPr>
        <w:tc>
          <w:tcPr>
            <w:tcW w:w="6237" w:type="dxa"/>
            <w:vAlign w:val="center"/>
          </w:tcPr>
          <w:p w:rsidR="00AA2BE3" w:rsidRPr="007D1EF7" w:rsidRDefault="00AA2BE3" w:rsidP="00501A83">
            <w:pPr>
              <w:pStyle w:val="Tabletext"/>
              <w:jc w:val="left"/>
              <w:rPr>
                <w:lang w:val="en-US"/>
              </w:rPr>
            </w:pPr>
            <w:r w:rsidRPr="007D1EF7">
              <w:rPr>
                <w:lang w:val="en-US"/>
              </w:rPr>
              <w:t>Elevation angles of 15°</w:t>
            </w:r>
            <w:r w:rsidRPr="007D1EF7">
              <w:rPr>
                <w:lang w:val="en-US"/>
              </w:rPr>
              <w:noBreakHyphen/>
              <w:t>25° in global network satellite</w:t>
            </w:r>
            <w:r w:rsidR="00501A83" w:rsidRPr="007D1EF7">
              <w:rPr>
                <w:lang w:val="en-US"/>
              </w:rPr>
              <w:br/>
            </w:r>
            <w:r w:rsidRPr="007D1EF7">
              <w:rPr>
                <w:lang w:val="en-US"/>
              </w:rPr>
              <w:t>handover (dB)</w:t>
            </w:r>
          </w:p>
        </w:tc>
        <w:tc>
          <w:tcPr>
            <w:tcW w:w="1701" w:type="dxa"/>
            <w:vAlign w:val="center"/>
          </w:tcPr>
          <w:p w:rsidR="00AA2BE3" w:rsidRPr="006C2078" w:rsidRDefault="00AA2BE3" w:rsidP="00501A83">
            <w:pPr>
              <w:pStyle w:val="Tabletext"/>
              <w:jc w:val="center"/>
            </w:pPr>
            <w:r w:rsidRPr="006C2078">
              <w:t>1-2</w:t>
            </w:r>
          </w:p>
        </w:tc>
        <w:tc>
          <w:tcPr>
            <w:tcW w:w="1701" w:type="dxa"/>
            <w:vAlign w:val="center"/>
          </w:tcPr>
          <w:p w:rsidR="00AA2BE3" w:rsidRPr="006C2078" w:rsidRDefault="00AA2BE3" w:rsidP="00501A83">
            <w:pPr>
              <w:pStyle w:val="Tabletext"/>
              <w:jc w:val="center"/>
            </w:pPr>
            <w:r w:rsidRPr="006C2078">
              <w:t>1-2</w:t>
            </w:r>
          </w:p>
        </w:tc>
      </w:tr>
      <w:tr w:rsidR="00AA2BE3" w:rsidRPr="006C2078" w:rsidTr="00501A83">
        <w:trPr>
          <w:jc w:val="center"/>
        </w:trPr>
        <w:tc>
          <w:tcPr>
            <w:tcW w:w="6237" w:type="dxa"/>
            <w:vAlign w:val="center"/>
          </w:tcPr>
          <w:p w:rsidR="00AA2BE3" w:rsidRPr="007D1EF7" w:rsidRDefault="00AA2BE3" w:rsidP="00501A83">
            <w:pPr>
              <w:pStyle w:val="Tabletext"/>
              <w:jc w:val="left"/>
              <w:rPr>
                <w:lang w:val="en-US"/>
              </w:rPr>
            </w:pPr>
            <w:r w:rsidRPr="007D1EF7">
              <w:rPr>
                <w:lang w:val="en-US"/>
              </w:rPr>
              <w:t>Actual expected duty cycle between 50% and 100% (dB)</w:t>
            </w:r>
          </w:p>
        </w:tc>
        <w:tc>
          <w:tcPr>
            <w:tcW w:w="1701" w:type="dxa"/>
            <w:vAlign w:val="center"/>
          </w:tcPr>
          <w:p w:rsidR="00AA2BE3" w:rsidRPr="006C2078" w:rsidRDefault="00AA2BE3" w:rsidP="00501A83">
            <w:pPr>
              <w:pStyle w:val="Tabletext"/>
              <w:jc w:val="center"/>
            </w:pPr>
            <w:r w:rsidRPr="006C2078">
              <w:t>0-3</w:t>
            </w:r>
          </w:p>
        </w:tc>
        <w:tc>
          <w:tcPr>
            <w:tcW w:w="1701" w:type="dxa"/>
            <w:vAlign w:val="center"/>
          </w:tcPr>
          <w:p w:rsidR="00AA2BE3" w:rsidRPr="006C2078" w:rsidRDefault="00AA2BE3" w:rsidP="00501A83">
            <w:pPr>
              <w:pStyle w:val="Tabletext"/>
              <w:jc w:val="center"/>
            </w:pPr>
            <w:r w:rsidRPr="006C2078">
              <w:t>0-3</w:t>
            </w:r>
          </w:p>
        </w:tc>
      </w:tr>
      <w:tr w:rsidR="00AA2BE3" w:rsidRPr="006C2078" w:rsidTr="00501A83">
        <w:trPr>
          <w:jc w:val="center"/>
        </w:trPr>
        <w:tc>
          <w:tcPr>
            <w:tcW w:w="6237" w:type="dxa"/>
            <w:vAlign w:val="center"/>
          </w:tcPr>
          <w:p w:rsidR="00AA2BE3" w:rsidRPr="007D1EF7" w:rsidRDefault="00AA2BE3" w:rsidP="00501A83">
            <w:pPr>
              <w:pStyle w:val="Tabletext"/>
              <w:jc w:val="left"/>
              <w:rPr>
                <w:lang w:val="en-US"/>
              </w:rPr>
            </w:pPr>
            <w:r w:rsidRPr="007D1EF7">
              <w:rPr>
                <w:lang w:val="en-US"/>
              </w:rPr>
              <w:t>Interference apportionment between FS, ISS and SRS (dB)</w:t>
            </w:r>
          </w:p>
        </w:tc>
        <w:tc>
          <w:tcPr>
            <w:tcW w:w="1701" w:type="dxa"/>
            <w:vAlign w:val="center"/>
          </w:tcPr>
          <w:p w:rsidR="00AA2BE3" w:rsidRPr="006C2078" w:rsidRDefault="00AA2BE3" w:rsidP="00501A83">
            <w:pPr>
              <w:pStyle w:val="Tabletext"/>
              <w:jc w:val="center"/>
            </w:pPr>
            <w:r w:rsidRPr="006C2078">
              <w:t>−5</w:t>
            </w:r>
          </w:p>
        </w:tc>
        <w:tc>
          <w:tcPr>
            <w:tcW w:w="1701" w:type="dxa"/>
            <w:vAlign w:val="center"/>
          </w:tcPr>
          <w:p w:rsidR="00AA2BE3" w:rsidRPr="006C2078" w:rsidRDefault="00AA2BE3" w:rsidP="00501A83">
            <w:pPr>
              <w:pStyle w:val="Tabletext"/>
              <w:jc w:val="center"/>
            </w:pPr>
            <w:r w:rsidRPr="006C2078">
              <w:t>---</w:t>
            </w:r>
          </w:p>
        </w:tc>
      </w:tr>
      <w:tr w:rsidR="00AA2BE3" w:rsidRPr="006C2078" w:rsidTr="00501A83">
        <w:trPr>
          <w:jc w:val="center"/>
        </w:trPr>
        <w:tc>
          <w:tcPr>
            <w:tcW w:w="6237" w:type="dxa"/>
            <w:vAlign w:val="center"/>
          </w:tcPr>
          <w:p w:rsidR="00AA2BE3" w:rsidRPr="006C2078" w:rsidRDefault="00AA2BE3" w:rsidP="00501A83">
            <w:pPr>
              <w:pStyle w:val="Tabletext"/>
              <w:jc w:val="left"/>
            </w:pPr>
            <w:r w:rsidRPr="006C2078">
              <w:t>SFCG spectral mask compliance (dB)</w:t>
            </w:r>
          </w:p>
        </w:tc>
        <w:tc>
          <w:tcPr>
            <w:tcW w:w="1701" w:type="dxa"/>
            <w:vAlign w:val="center"/>
          </w:tcPr>
          <w:p w:rsidR="00AA2BE3" w:rsidRPr="006C2078" w:rsidRDefault="00AA2BE3" w:rsidP="00501A83">
            <w:pPr>
              <w:pStyle w:val="Tabletext"/>
              <w:jc w:val="center"/>
            </w:pPr>
            <w:r w:rsidRPr="006C2078">
              <w:t>---</w:t>
            </w:r>
          </w:p>
        </w:tc>
        <w:tc>
          <w:tcPr>
            <w:tcW w:w="1701" w:type="dxa"/>
            <w:vAlign w:val="center"/>
          </w:tcPr>
          <w:p w:rsidR="00AA2BE3" w:rsidRPr="006C2078" w:rsidRDefault="00AA2BE3" w:rsidP="00501A83">
            <w:pPr>
              <w:pStyle w:val="Tabletext"/>
              <w:jc w:val="center"/>
            </w:pPr>
            <w:r w:rsidRPr="006C2078">
              <w:t>20-23</w:t>
            </w:r>
          </w:p>
        </w:tc>
      </w:tr>
      <w:tr w:rsidR="00AA2BE3" w:rsidRPr="006C2078" w:rsidTr="00501A83">
        <w:trPr>
          <w:jc w:val="center"/>
        </w:trPr>
        <w:tc>
          <w:tcPr>
            <w:tcW w:w="6237" w:type="dxa"/>
            <w:vAlign w:val="center"/>
          </w:tcPr>
          <w:p w:rsidR="00AA2BE3" w:rsidRPr="007D1EF7" w:rsidRDefault="00AA2BE3" w:rsidP="00501A83">
            <w:pPr>
              <w:pStyle w:val="Tabletext"/>
              <w:jc w:val="left"/>
              <w:rPr>
                <w:lang w:val="en-US"/>
              </w:rPr>
            </w:pPr>
            <w:r w:rsidRPr="007D1EF7">
              <w:rPr>
                <w:lang w:val="en-US"/>
              </w:rPr>
              <w:t>Spectral density reduction due to additional guardband</w:t>
            </w:r>
            <w:r w:rsidR="00501A83" w:rsidRPr="007D1EF7">
              <w:rPr>
                <w:lang w:val="en-US"/>
              </w:rPr>
              <w:br/>
            </w:r>
            <w:r w:rsidRPr="007D1EF7">
              <w:rPr>
                <w:lang w:val="en-US"/>
              </w:rPr>
              <w:t>at 23.15 GHz (dB)</w:t>
            </w:r>
          </w:p>
        </w:tc>
        <w:tc>
          <w:tcPr>
            <w:tcW w:w="1701" w:type="dxa"/>
            <w:vAlign w:val="center"/>
          </w:tcPr>
          <w:p w:rsidR="00AA2BE3" w:rsidRPr="006C2078" w:rsidRDefault="00AA2BE3" w:rsidP="00501A83">
            <w:pPr>
              <w:pStyle w:val="Tabletext"/>
              <w:jc w:val="center"/>
            </w:pPr>
            <w:r w:rsidRPr="006C2078">
              <w:t>---</w:t>
            </w:r>
          </w:p>
        </w:tc>
        <w:tc>
          <w:tcPr>
            <w:tcW w:w="1701" w:type="dxa"/>
            <w:vAlign w:val="center"/>
          </w:tcPr>
          <w:p w:rsidR="00AA2BE3" w:rsidRPr="006C2078" w:rsidRDefault="00AA2BE3" w:rsidP="00501A83">
            <w:pPr>
              <w:pStyle w:val="Tabletext"/>
              <w:jc w:val="center"/>
            </w:pPr>
            <w:r w:rsidRPr="006C2078">
              <w:t>3-5</w:t>
            </w:r>
          </w:p>
        </w:tc>
      </w:tr>
      <w:tr w:rsidR="00AA2BE3" w:rsidRPr="00B21247" w:rsidTr="00501A83">
        <w:trPr>
          <w:jc w:val="center"/>
        </w:trPr>
        <w:tc>
          <w:tcPr>
            <w:tcW w:w="6237" w:type="dxa"/>
            <w:vAlign w:val="center"/>
          </w:tcPr>
          <w:p w:rsidR="00AA2BE3" w:rsidRPr="00B21247" w:rsidRDefault="00AA2BE3" w:rsidP="00501A83">
            <w:pPr>
              <w:pStyle w:val="Tabletext"/>
              <w:jc w:val="left"/>
            </w:pPr>
            <w:r w:rsidRPr="00B21247">
              <w:t>Expected actual margins (dB)</w:t>
            </w:r>
          </w:p>
        </w:tc>
        <w:tc>
          <w:tcPr>
            <w:tcW w:w="1701" w:type="dxa"/>
            <w:vAlign w:val="center"/>
          </w:tcPr>
          <w:p w:rsidR="00AA2BE3" w:rsidRPr="00B21247" w:rsidRDefault="00AA2BE3" w:rsidP="00501A83">
            <w:pPr>
              <w:pStyle w:val="Tabletext"/>
              <w:jc w:val="center"/>
            </w:pPr>
            <w:r w:rsidRPr="00B21247">
              <w:t>40-48</w:t>
            </w:r>
          </w:p>
        </w:tc>
        <w:tc>
          <w:tcPr>
            <w:tcW w:w="1701" w:type="dxa"/>
            <w:vAlign w:val="center"/>
          </w:tcPr>
          <w:p w:rsidR="00AA2BE3" w:rsidRPr="00B21247" w:rsidRDefault="00AA2BE3" w:rsidP="00501A83">
            <w:pPr>
              <w:pStyle w:val="Tabletext"/>
              <w:jc w:val="center"/>
            </w:pPr>
            <w:r w:rsidRPr="00B21247">
              <w:t>78-91</w:t>
            </w:r>
          </w:p>
        </w:tc>
      </w:tr>
    </w:tbl>
    <w:p w:rsidR="00501A83" w:rsidRDefault="00501A83" w:rsidP="00501A83">
      <w:pPr>
        <w:pStyle w:val="Tablefin"/>
      </w:pPr>
    </w:p>
    <w:p w:rsidR="00B4321F" w:rsidRPr="00B4321F" w:rsidRDefault="00B4321F" w:rsidP="00B4321F">
      <w:pPr>
        <w:rPr>
          <w:lang w:val="en-GB"/>
        </w:rPr>
      </w:pPr>
    </w:p>
    <w:p w:rsidR="00AA2BE3" w:rsidRPr="006C2078" w:rsidRDefault="00AA2BE3" w:rsidP="00501A83">
      <w:pPr>
        <w:pStyle w:val="Heading1"/>
      </w:pPr>
      <w:bookmarkStart w:id="50" w:name="_Toc277668612"/>
      <w:r w:rsidRPr="006C2078">
        <w:t>5</w:t>
      </w:r>
      <w:r w:rsidRPr="006C2078">
        <w:tab/>
        <w:t>Conclusions</w:t>
      </w:r>
      <w:bookmarkEnd w:id="50"/>
    </w:p>
    <w:p w:rsidR="00AA2BE3" w:rsidRPr="007D1EF7" w:rsidRDefault="00AA2BE3" w:rsidP="00AA2BE3">
      <w:pPr>
        <w:pStyle w:val="enumlev1"/>
        <w:rPr>
          <w:lang w:val="en-US"/>
        </w:rPr>
      </w:pPr>
      <w:r w:rsidRPr="007D1EF7">
        <w:rPr>
          <w:lang w:val="en-US"/>
        </w:rPr>
        <w:t>−</w:t>
      </w:r>
      <w:r w:rsidRPr="007D1EF7">
        <w:rPr>
          <w:lang w:val="en-US"/>
        </w:rPr>
        <w:tab/>
        <w:t>In-band sharing with a potential future HIBLEO-Ka system is feasible. Protection criteria based on Recommendation ITU-R SA.1155 can be met with a minimum worst case margin of 38 dB. Actual margins are expected to lie in the range 40</w:t>
      </w:r>
      <w:r w:rsidRPr="007D1EF7">
        <w:rPr>
          <w:lang w:val="en-US"/>
        </w:rPr>
        <w:noBreakHyphen/>
        <w:t xml:space="preserve">48 dB The large margins are basically due to the facts that SRS earth station antenna beam widths are extremely narrow and that main beam coupling with inter-satellite link antennas can never occur. </w:t>
      </w:r>
    </w:p>
    <w:p w:rsidR="00AA2BE3" w:rsidRPr="007D1EF7" w:rsidRDefault="00AA2BE3" w:rsidP="00AA2BE3">
      <w:pPr>
        <w:pStyle w:val="enumlev1"/>
        <w:rPr>
          <w:lang w:val="en-US"/>
        </w:rPr>
      </w:pPr>
      <w:r w:rsidRPr="007D1EF7">
        <w:rPr>
          <w:lang w:val="en-US"/>
        </w:rPr>
        <w:t>−</w:t>
      </w:r>
      <w:r w:rsidRPr="007D1EF7">
        <w:rPr>
          <w:lang w:val="en-US"/>
        </w:rPr>
        <w:tab/>
        <w:t>Out-of-band compatibility with the existing HIBLEO-2 system based on criteria recommended by Working Party 4A can be achieved with a hypothetical minimum margin of around 48 dB if all SRS channels would emit at the highest possible levels contained in Recommendation ITU-R SM.1541. In reality, all SFCG member agencies apply SFCG Recommendation 21-2 and only the highest SRS channel will generate dominant interference. This alone would result in a minimum O</w:t>
      </w:r>
      <w:r w:rsidR="00501A83" w:rsidRPr="007D1EF7">
        <w:rPr>
          <w:lang w:val="en-US"/>
        </w:rPr>
        <w:t>o</w:t>
      </w:r>
      <w:r w:rsidRPr="007D1EF7">
        <w:rPr>
          <w:lang w:val="en-US"/>
        </w:rPr>
        <w:t>B margin of around 69 dB. Taking into account several additional mitigation factors results in expected actual margins between 78</w:t>
      </w:r>
      <w:r w:rsidRPr="007D1EF7">
        <w:rPr>
          <w:lang w:val="en-US"/>
        </w:rPr>
        <w:noBreakHyphen/>
        <w:t xml:space="preserve">91 dB. </w:t>
      </w:r>
    </w:p>
    <w:p w:rsidR="00B4321F" w:rsidRPr="007D1EF7" w:rsidRDefault="00B4321F">
      <w:pPr>
        <w:tabs>
          <w:tab w:val="clear" w:pos="794"/>
          <w:tab w:val="clear" w:pos="1191"/>
          <w:tab w:val="clear" w:pos="1588"/>
          <w:tab w:val="clear" w:pos="1985"/>
        </w:tabs>
        <w:overflowPunct/>
        <w:autoSpaceDE/>
        <w:autoSpaceDN/>
        <w:adjustRightInd/>
        <w:spacing w:before="0"/>
        <w:jc w:val="left"/>
        <w:textAlignment w:val="auto"/>
        <w:rPr>
          <w:b/>
          <w:sz w:val="28"/>
          <w:lang w:val="en-US"/>
        </w:rPr>
      </w:pPr>
      <w:bookmarkStart w:id="51" w:name="_Toc277668613"/>
      <w:r w:rsidRPr="007D1EF7">
        <w:rPr>
          <w:lang w:val="en-US"/>
        </w:rPr>
        <w:br w:type="page"/>
      </w:r>
    </w:p>
    <w:p w:rsidR="00AA2BE3" w:rsidRPr="007D1EF7" w:rsidRDefault="00AA2BE3" w:rsidP="00501A83">
      <w:pPr>
        <w:pStyle w:val="AnnexNoTitle"/>
        <w:rPr>
          <w:lang w:val="en-US"/>
        </w:rPr>
      </w:pPr>
      <w:r w:rsidRPr="007D1EF7">
        <w:rPr>
          <w:lang w:val="en-US"/>
        </w:rPr>
        <w:lastRenderedPageBreak/>
        <w:t>Annex 4</w:t>
      </w:r>
      <w:r w:rsidR="00501A83" w:rsidRPr="007D1EF7">
        <w:rPr>
          <w:lang w:val="en-US"/>
        </w:rPr>
        <w:br/>
      </w:r>
      <w:r w:rsidR="00501A83" w:rsidRPr="007D1EF7">
        <w:rPr>
          <w:lang w:val="en-US"/>
        </w:rPr>
        <w:br/>
      </w:r>
      <w:r w:rsidRPr="007D1EF7">
        <w:rPr>
          <w:lang w:val="en-US"/>
        </w:rPr>
        <w:t>Summary of Study 4</w:t>
      </w:r>
      <w:bookmarkEnd w:id="51"/>
    </w:p>
    <w:p w:rsidR="00AA2BE3" w:rsidRPr="007D1EF7" w:rsidRDefault="00AA2BE3" w:rsidP="00AA2BE3">
      <w:pPr>
        <w:pStyle w:val="Heading1"/>
        <w:rPr>
          <w:lang w:val="en-US"/>
        </w:rPr>
      </w:pPr>
      <w:bookmarkStart w:id="52" w:name="_Toc277668614"/>
      <w:r w:rsidRPr="007D1EF7">
        <w:rPr>
          <w:lang w:val="en-US"/>
        </w:rPr>
        <w:t>1</w:t>
      </w:r>
      <w:r w:rsidRPr="007D1EF7">
        <w:rPr>
          <w:lang w:val="en-US"/>
        </w:rPr>
        <w:tab/>
        <w:t>HIBLEO-2 ISL characteristics</w:t>
      </w:r>
      <w:bookmarkEnd w:id="52"/>
    </w:p>
    <w:p w:rsidR="00AA2BE3" w:rsidRPr="007D1EF7" w:rsidRDefault="00AA2BE3" w:rsidP="00AA2BE3">
      <w:pPr>
        <w:rPr>
          <w:lang w:val="en-US"/>
        </w:rPr>
      </w:pPr>
      <w:r w:rsidRPr="007D1EF7">
        <w:rPr>
          <w:lang w:val="en-US"/>
        </w:rPr>
        <w:t xml:space="preserve">The system characteristics as contained in the introductory section of this </w:t>
      </w:r>
      <w:r w:rsidR="00EB0992" w:rsidRPr="007D1EF7">
        <w:rPr>
          <w:lang w:val="en-US"/>
        </w:rPr>
        <w:t>R</w:t>
      </w:r>
      <w:r w:rsidRPr="007D1EF7">
        <w:rPr>
          <w:lang w:val="en-US"/>
        </w:rPr>
        <w:t xml:space="preserve">eport have been used. </w:t>
      </w:r>
    </w:p>
    <w:p w:rsidR="00AA2BE3" w:rsidRPr="007D1EF7" w:rsidRDefault="00AA2BE3" w:rsidP="00AA2BE3">
      <w:pPr>
        <w:pStyle w:val="Heading1"/>
        <w:rPr>
          <w:lang w:val="en-US"/>
        </w:rPr>
      </w:pPr>
      <w:bookmarkStart w:id="53" w:name="_Toc277668615"/>
      <w:r w:rsidRPr="007D1EF7">
        <w:rPr>
          <w:lang w:val="en-US"/>
        </w:rPr>
        <w:t>2</w:t>
      </w:r>
      <w:r w:rsidRPr="007D1EF7">
        <w:rPr>
          <w:lang w:val="en-US"/>
        </w:rPr>
        <w:tab/>
        <w:t>SRS earth station characteristics</w:t>
      </w:r>
      <w:bookmarkEnd w:id="53"/>
    </w:p>
    <w:p w:rsidR="00AA2BE3" w:rsidRPr="007D1EF7" w:rsidRDefault="00AA2BE3" w:rsidP="00AA2BE3">
      <w:pPr>
        <w:rPr>
          <w:lang w:val="en-US"/>
        </w:rPr>
      </w:pPr>
      <w:r w:rsidRPr="007D1EF7">
        <w:rPr>
          <w:lang w:val="en-US"/>
        </w:rPr>
        <w:t>The characteristics of the SRS earth station emissions in the 23 GHz band are summarized in Table A4-1.</w:t>
      </w:r>
    </w:p>
    <w:p w:rsidR="00AA2BE3" w:rsidRPr="007D1EF7" w:rsidRDefault="00501A83" w:rsidP="00AA2BE3">
      <w:pPr>
        <w:pStyle w:val="TableNo"/>
        <w:rPr>
          <w:lang w:val="en-US"/>
        </w:rPr>
      </w:pPr>
      <w:r w:rsidRPr="007D1EF7">
        <w:rPr>
          <w:lang w:val="en-US"/>
        </w:rPr>
        <w:t>TABLE</w:t>
      </w:r>
      <w:r w:rsidR="00AA2BE3" w:rsidRPr="007D1EF7">
        <w:rPr>
          <w:lang w:val="en-US"/>
        </w:rPr>
        <w:t xml:space="preserve"> A4-1</w:t>
      </w:r>
    </w:p>
    <w:p w:rsidR="00AA2BE3" w:rsidRPr="007D1EF7" w:rsidRDefault="00AA2BE3" w:rsidP="00AA2BE3">
      <w:pPr>
        <w:pStyle w:val="Tabletitle"/>
        <w:rPr>
          <w:lang w:val="en-US"/>
        </w:rPr>
      </w:pPr>
      <w:r w:rsidRPr="007D1EF7">
        <w:rPr>
          <w:lang w:val="en-US"/>
        </w:rPr>
        <w:t>Technical and operating characteristics of SRS earth stations to support example 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1"/>
        <w:gridCol w:w="1559"/>
        <w:gridCol w:w="1559"/>
        <w:gridCol w:w="1560"/>
      </w:tblGrid>
      <w:tr w:rsidR="00BD064A" w:rsidRPr="006C2078" w:rsidTr="00BD064A">
        <w:trPr>
          <w:jc w:val="center"/>
        </w:trPr>
        <w:tc>
          <w:tcPr>
            <w:tcW w:w="4961" w:type="dxa"/>
            <w:vAlign w:val="center"/>
          </w:tcPr>
          <w:p w:rsidR="00BD064A" w:rsidRPr="006C2078" w:rsidRDefault="00BD064A" w:rsidP="00192341">
            <w:pPr>
              <w:pStyle w:val="Tablehead"/>
            </w:pPr>
            <w:r w:rsidRPr="006C2078">
              <w:t>Parameter</w:t>
            </w:r>
          </w:p>
        </w:tc>
        <w:tc>
          <w:tcPr>
            <w:tcW w:w="4677" w:type="dxa"/>
            <w:gridSpan w:val="3"/>
            <w:vAlign w:val="center"/>
          </w:tcPr>
          <w:p w:rsidR="00BD064A" w:rsidRPr="006C2078" w:rsidRDefault="00BD064A" w:rsidP="00192341">
            <w:pPr>
              <w:pStyle w:val="Tablehead"/>
            </w:pPr>
            <w:r w:rsidRPr="006C2078">
              <w:t>Value</w:t>
            </w:r>
          </w:p>
        </w:tc>
      </w:tr>
      <w:tr w:rsidR="00BD064A" w:rsidRPr="006C2078" w:rsidTr="00BD064A">
        <w:trPr>
          <w:jc w:val="center"/>
        </w:trPr>
        <w:tc>
          <w:tcPr>
            <w:tcW w:w="4961" w:type="dxa"/>
            <w:vAlign w:val="center"/>
          </w:tcPr>
          <w:p w:rsidR="00BD064A" w:rsidRPr="006C2078" w:rsidRDefault="00BD064A" w:rsidP="00BD064A">
            <w:pPr>
              <w:pStyle w:val="Tabletext"/>
              <w:jc w:val="left"/>
            </w:pPr>
            <w:r w:rsidRPr="006C2078">
              <w:t>Supported mission</w:t>
            </w:r>
          </w:p>
        </w:tc>
        <w:tc>
          <w:tcPr>
            <w:tcW w:w="1559" w:type="dxa"/>
            <w:vAlign w:val="center"/>
          </w:tcPr>
          <w:p w:rsidR="00BD064A" w:rsidRPr="006C2078" w:rsidRDefault="00BD064A" w:rsidP="00BD064A">
            <w:pPr>
              <w:pStyle w:val="Tabletext"/>
              <w:jc w:val="center"/>
            </w:pPr>
            <w:r w:rsidRPr="006C2078">
              <w:t>LEO</w:t>
            </w:r>
          </w:p>
        </w:tc>
        <w:tc>
          <w:tcPr>
            <w:tcW w:w="1559" w:type="dxa"/>
            <w:vAlign w:val="center"/>
          </w:tcPr>
          <w:p w:rsidR="00BD064A" w:rsidRPr="006C2078" w:rsidRDefault="00BD064A" w:rsidP="00BD064A">
            <w:pPr>
              <w:pStyle w:val="Tabletext"/>
              <w:jc w:val="center"/>
            </w:pPr>
            <w:r w:rsidRPr="006C2078">
              <w:t>Lunar</w:t>
            </w:r>
          </w:p>
        </w:tc>
        <w:tc>
          <w:tcPr>
            <w:tcW w:w="1559" w:type="dxa"/>
            <w:vAlign w:val="center"/>
          </w:tcPr>
          <w:p w:rsidR="00BD064A" w:rsidRPr="006C2078" w:rsidRDefault="00BD064A" w:rsidP="00BD064A">
            <w:pPr>
              <w:pStyle w:val="Tabletext"/>
              <w:jc w:val="center"/>
            </w:pPr>
            <w:r w:rsidRPr="006C2078">
              <w:t>L1/L2</w:t>
            </w:r>
          </w:p>
        </w:tc>
      </w:tr>
      <w:tr w:rsidR="00BD064A" w:rsidRPr="006C2078" w:rsidTr="00BD064A">
        <w:trPr>
          <w:jc w:val="center"/>
        </w:trPr>
        <w:tc>
          <w:tcPr>
            <w:tcW w:w="4961" w:type="dxa"/>
            <w:vAlign w:val="center"/>
          </w:tcPr>
          <w:p w:rsidR="00BD064A" w:rsidRPr="006C2078" w:rsidRDefault="00BD064A" w:rsidP="00BD064A">
            <w:pPr>
              <w:pStyle w:val="Tabletext"/>
              <w:jc w:val="left"/>
            </w:pPr>
            <w:r w:rsidRPr="006C2078">
              <w:t>Transmitting antenna diameter</w:t>
            </w:r>
            <w:r>
              <w:t xml:space="preserve"> (m)</w:t>
            </w:r>
          </w:p>
        </w:tc>
        <w:tc>
          <w:tcPr>
            <w:tcW w:w="1559" w:type="dxa"/>
            <w:vAlign w:val="center"/>
          </w:tcPr>
          <w:p w:rsidR="00BD064A" w:rsidRPr="006C2078" w:rsidRDefault="00BD064A" w:rsidP="00BD064A">
            <w:pPr>
              <w:pStyle w:val="Tabletext"/>
              <w:jc w:val="center"/>
            </w:pPr>
            <w:r w:rsidRPr="006C2078">
              <w:t>10</w:t>
            </w:r>
          </w:p>
        </w:tc>
        <w:tc>
          <w:tcPr>
            <w:tcW w:w="1559" w:type="dxa"/>
            <w:vAlign w:val="center"/>
          </w:tcPr>
          <w:p w:rsidR="00BD064A" w:rsidRPr="006C2078" w:rsidRDefault="00BD064A" w:rsidP="00BD064A">
            <w:pPr>
              <w:pStyle w:val="Tabletext"/>
              <w:jc w:val="center"/>
            </w:pPr>
            <w:r w:rsidRPr="006C2078">
              <w:t>18</w:t>
            </w:r>
          </w:p>
        </w:tc>
        <w:tc>
          <w:tcPr>
            <w:tcW w:w="1559" w:type="dxa"/>
            <w:vAlign w:val="center"/>
          </w:tcPr>
          <w:p w:rsidR="00BD064A" w:rsidRPr="006C2078" w:rsidRDefault="00BD064A" w:rsidP="00BD064A">
            <w:pPr>
              <w:pStyle w:val="Tabletext"/>
              <w:jc w:val="center"/>
            </w:pPr>
            <w:r w:rsidRPr="006C2078">
              <w:t>34</w:t>
            </w:r>
          </w:p>
        </w:tc>
      </w:tr>
      <w:tr w:rsidR="00BD064A" w:rsidRPr="006C2078" w:rsidTr="00BD064A">
        <w:trPr>
          <w:jc w:val="center"/>
        </w:trPr>
        <w:tc>
          <w:tcPr>
            <w:tcW w:w="4961" w:type="dxa"/>
            <w:vAlign w:val="center"/>
          </w:tcPr>
          <w:p w:rsidR="00BD064A" w:rsidRPr="006C2078" w:rsidRDefault="00BD064A" w:rsidP="00BD064A">
            <w:pPr>
              <w:pStyle w:val="Tabletext"/>
              <w:jc w:val="left"/>
            </w:pPr>
            <w:r w:rsidRPr="006C2078">
              <w:t>Antenna gain</w:t>
            </w:r>
            <w:r>
              <w:t xml:space="preserve"> (dBi)</w:t>
            </w:r>
          </w:p>
        </w:tc>
        <w:tc>
          <w:tcPr>
            <w:tcW w:w="1559" w:type="dxa"/>
            <w:vAlign w:val="center"/>
          </w:tcPr>
          <w:p w:rsidR="00BD064A" w:rsidRPr="006C2078" w:rsidRDefault="00BD064A" w:rsidP="00BD064A">
            <w:pPr>
              <w:pStyle w:val="Tabletext"/>
              <w:jc w:val="center"/>
            </w:pPr>
            <w:r w:rsidRPr="006C2078">
              <w:t>65.3</w:t>
            </w:r>
          </w:p>
        </w:tc>
        <w:tc>
          <w:tcPr>
            <w:tcW w:w="1559" w:type="dxa"/>
            <w:vAlign w:val="center"/>
          </w:tcPr>
          <w:p w:rsidR="00BD064A" w:rsidRPr="006C2078" w:rsidRDefault="00BD064A" w:rsidP="00BD064A">
            <w:pPr>
              <w:pStyle w:val="Tabletext"/>
              <w:jc w:val="center"/>
            </w:pPr>
            <w:r w:rsidRPr="006C2078">
              <w:t>70.4</w:t>
            </w:r>
          </w:p>
        </w:tc>
        <w:tc>
          <w:tcPr>
            <w:tcW w:w="1559" w:type="dxa"/>
            <w:vAlign w:val="center"/>
          </w:tcPr>
          <w:p w:rsidR="00BD064A" w:rsidRPr="006C2078" w:rsidRDefault="00BD064A" w:rsidP="00BD064A">
            <w:pPr>
              <w:pStyle w:val="Tabletext"/>
              <w:jc w:val="center"/>
            </w:pPr>
            <w:r w:rsidRPr="006C2078">
              <w:t>75.9</w:t>
            </w:r>
          </w:p>
        </w:tc>
      </w:tr>
      <w:tr w:rsidR="00BD064A" w:rsidRPr="006C2078" w:rsidTr="00BD064A">
        <w:trPr>
          <w:jc w:val="center"/>
        </w:trPr>
        <w:tc>
          <w:tcPr>
            <w:tcW w:w="4961" w:type="dxa"/>
            <w:vAlign w:val="center"/>
          </w:tcPr>
          <w:p w:rsidR="00BD064A" w:rsidRPr="007D1EF7" w:rsidRDefault="00BD064A" w:rsidP="00BD064A">
            <w:pPr>
              <w:pStyle w:val="Tabletext"/>
              <w:jc w:val="left"/>
              <w:rPr>
                <w:lang w:val="en-US"/>
              </w:rPr>
            </w:pPr>
            <w:r w:rsidRPr="007D1EF7">
              <w:rPr>
                <w:lang w:val="en-US"/>
              </w:rPr>
              <w:t>Off-axis antenna gain envelope</w:t>
            </w:r>
            <w:r w:rsidRPr="007D1EF7">
              <w:rPr>
                <w:vertAlign w:val="superscript"/>
                <w:lang w:val="en-US"/>
              </w:rPr>
              <w:t>(1)</w:t>
            </w:r>
          </w:p>
        </w:tc>
        <w:tc>
          <w:tcPr>
            <w:tcW w:w="4677" w:type="dxa"/>
            <w:gridSpan w:val="3"/>
            <w:vAlign w:val="center"/>
          </w:tcPr>
          <w:p w:rsidR="00BD064A" w:rsidRPr="006C2078" w:rsidRDefault="00BD064A" w:rsidP="00BD064A">
            <w:pPr>
              <w:pStyle w:val="Tabletext"/>
              <w:jc w:val="center"/>
            </w:pPr>
            <w:r w:rsidRPr="006C2078">
              <w:t xml:space="preserve">Annex III to </w:t>
            </w:r>
            <w:r w:rsidRPr="006C2078">
              <w:rPr>
                <w:bCs/>
              </w:rPr>
              <w:t>RR</w:t>
            </w:r>
            <w:r>
              <w:rPr>
                <w:bCs/>
              </w:rPr>
              <w:t xml:space="preserve"> </w:t>
            </w:r>
            <w:r w:rsidRPr="006C2078">
              <w:rPr>
                <w:bCs/>
              </w:rPr>
              <w:t>App</w:t>
            </w:r>
            <w:r>
              <w:rPr>
                <w:bCs/>
              </w:rPr>
              <w:t xml:space="preserve">endix </w:t>
            </w:r>
            <w:r w:rsidRPr="006C2078">
              <w:t>8/</w:t>
            </w:r>
            <w:r>
              <w:br/>
              <w:t xml:space="preserve">Recommendation ITU-R </w:t>
            </w:r>
            <w:r w:rsidRPr="006C2078">
              <w:t>F.1245</w:t>
            </w:r>
          </w:p>
        </w:tc>
      </w:tr>
      <w:tr w:rsidR="00BD064A" w:rsidRPr="006C2078" w:rsidTr="00BD064A">
        <w:trPr>
          <w:jc w:val="center"/>
        </w:trPr>
        <w:tc>
          <w:tcPr>
            <w:tcW w:w="4961" w:type="dxa"/>
            <w:vAlign w:val="center"/>
          </w:tcPr>
          <w:p w:rsidR="00BD064A" w:rsidRPr="006C2078" w:rsidRDefault="00BD064A" w:rsidP="00BD064A">
            <w:pPr>
              <w:pStyle w:val="Tabletext"/>
              <w:jc w:val="left"/>
            </w:pPr>
            <w:r w:rsidRPr="006C2078">
              <w:t>Bandwidth</w:t>
            </w:r>
            <w:r>
              <w:t xml:space="preserve"> (MHz)</w:t>
            </w:r>
          </w:p>
        </w:tc>
        <w:tc>
          <w:tcPr>
            <w:tcW w:w="1559" w:type="dxa"/>
            <w:vAlign w:val="center"/>
          </w:tcPr>
          <w:p w:rsidR="00BD064A" w:rsidRPr="006C2078" w:rsidRDefault="00BD064A" w:rsidP="00BD064A">
            <w:pPr>
              <w:pStyle w:val="Tabletext"/>
              <w:jc w:val="center"/>
            </w:pPr>
            <w:r w:rsidRPr="006C2078">
              <w:t>24</w:t>
            </w:r>
          </w:p>
        </w:tc>
        <w:tc>
          <w:tcPr>
            <w:tcW w:w="1559" w:type="dxa"/>
            <w:vAlign w:val="center"/>
          </w:tcPr>
          <w:p w:rsidR="00BD064A" w:rsidRPr="006C2078" w:rsidRDefault="00BD064A" w:rsidP="00BD064A">
            <w:pPr>
              <w:pStyle w:val="Tabletext"/>
              <w:jc w:val="center"/>
            </w:pPr>
            <w:r w:rsidRPr="006C2078">
              <w:t>24</w:t>
            </w:r>
          </w:p>
        </w:tc>
        <w:tc>
          <w:tcPr>
            <w:tcW w:w="1559" w:type="dxa"/>
            <w:vAlign w:val="center"/>
          </w:tcPr>
          <w:p w:rsidR="00BD064A" w:rsidRPr="006C2078" w:rsidRDefault="00BD064A" w:rsidP="00BD064A">
            <w:pPr>
              <w:pStyle w:val="Tabletext"/>
              <w:jc w:val="center"/>
            </w:pPr>
            <w:r w:rsidRPr="006C2078">
              <w:t>3</w:t>
            </w:r>
          </w:p>
        </w:tc>
      </w:tr>
      <w:tr w:rsidR="00BD064A" w:rsidRPr="006C2078" w:rsidTr="00BD064A">
        <w:trPr>
          <w:jc w:val="center"/>
        </w:trPr>
        <w:tc>
          <w:tcPr>
            <w:tcW w:w="4961" w:type="dxa"/>
            <w:vAlign w:val="center"/>
          </w:tcPr>
          <w:p w:rsidR="00BD064A" w:rsidRPr="007D1EF7" w:rsidRDefault="00BD064A" w:rsidP="00BD064A">
            <w:pPr>
              <w:pStyle w:val="Tabletext"/>
              <w:jc w:val="left"/>
              <w:rPr>
                <w:lang w:val="en-US"/>
              </w:rPr>
            </w:pPr>
            <w:r w:rsidRPr="007D1EF7">
              <w:rPr>
                <w:lang w:val="en-US"/>
              </w:rPr>
              <w:t>Power at the antenna input (dBW)</w:t>
            </w:r>
          </w:p>
        </w:tc>
        <w:tc>
          <w:tcPr>
            <w:tcW w:w="1559" w:type="dxa"/>
            <w:vAlign w:val="center"/>
          </w:tcPr>
          <w:p w:rsidR="00BD064A" w:rsidRPr="006C2078" w:rsidRDefault="00BD064A" w:rsidP="00BD064A">
            <w:pPr>
              <w:pStyle w:val="Tabletext"/>
              <w:jc w:val="center"/>
            </w:pPr>
            <w:r w:rsidRPr="006C2078">
              <w:t>0.0</w:t>
            </w:r>
          </w:p>
        </w:tc>
        <w:tc>
          <w:tcPr>
            <w:tcW w:w="1559" w:type="dxa"/>
            <w:vAlign w:val="center"/>
          </w:tcPr>
          <w:p w:rsidR="00BD064A" w:rsidRPr="006C2078" w:rsidRDefault="00BD064A" w:rsidP="00BD064A">
            <w:pPr>
              <w:pStyle w:val="Tabletext"/>
              <w:jc w:val="center"/>
            </w:pPr>
            <w:r w:rsidRPr="006C2078">
              <w:t>11.1</w:t>
            </w:r>
          </w:p>
        </w:tc>
        <w:tc>
          <w:tcPr>
            <w:tcW w:w="1559" w:type="dxa"/>
            <w:vAlign w:val="center"/>
          </w:tcPr>
          <w:p w:rsidR="00BD064A" w:rsidRPr="006C2078" w:rsidRDefault="00BD064A" w:rsidP="00BD064A">
            <w:pPr>
              <w:pStyle w:val="Tabletext"/>
              <w:jc w:val="center"/>
            </w:pPr>
            <w:r w:rsidRPr="006C2078">
              <w:t>0.0</w:t>
            </w:r>
          </w:p>
        </w:tc>
      </w:tr>
      <w:tr w:rsidR="00BD064A" w:rsidRPr="006C2078" w:rsidTr="00BD064A">
        <w:trPr>
          <w:jc w:val="center"/>
        </w:trPr>
        <w:tc>
          <w:tcPr>
            <w:tcW w:w="4961" w:type="dxa"/>
            <w:vAlign w:val="center"/>
          </w:tcPr>
          <w:p w:rsidR="00BD064A" w:rsidRPr="007D1EF7" w:rsidRDefault="00BD064A" w:rsidP="00BD064A">
            <w:pPr>
              <w:pStyle w:val="Tabletext"/>
              <w:jc w:val="left"/>
              <w:rPr>
                <w:lang w:val="en-US"/>
              </w:rPr>
            </w:pPr>
            <w:r w:rsidRPr="007D1EF7">
              <w:rPr>
                <w:lang w:val="en-US"/>
              </w:rPr>
              <w:t>Power-spectral density at antenna input (dBW/Hz)</w:t>
            </w:r>
          </w:p>
        </w:tc>
        <w:tc>
          <w:tcPr>
            <w:tcW w:w="1559" w:type="dxa"/>
            <w:vAlign w:val="center"/>
          </w:tcPr>
          <w:p w:rsidR="00BD064A" w:rsidRPr="006C2078" w:rsidRDefault="00BD064A" w:rsidP="00BD064A">
            <w:pPr>
              <w:pStyle w:val="Tabletext"/>
              <w:jc w:val="center"/>
            </w:pPr>
            <w:r w:rsidRPr="006C2078">
              <w:t>–70.8</w:t>
            </w:r>
          </w:p>
        </w:tc>
        <w:tc>
          <w:tcPr>
            <w:tcW w:w="1559" w:type="dxa"/>
            <w:vAlign w:val="center"/>
          </w:tcPr>
          <w:p w:rsidR="00BD064A" w:rsidRPr="006C2078" w:rsidRDefault="00BD064A" w:rsidP="00BD064A">
            <w:pPr>
              <w:pStyle w:val="Tabletext"/>
              <w:jc w:val="center"/>
            </w:pPr>
            <w:r w:rsidRPr="006C2078">
              <w:t>–59.7</w:t>
            </w:r>
          </w:p>
        </w:tc>
        <w:tc>
          <w:tcPr>
            <w:tcW w:w="1559" w:type="dxa"/>
            <w:vAlign w:val="center"/>
          </w:tcPr>
          <w:p w:rsidR="00BD064A" w:rsidRPr="006C2078" w:rsidRDefault="00BD064A" w:rsidP="00BD064A">
            <w:pPr>
              <w:pStyle w:val="Tabletext"/>
              <w:jc w:val="center"/>
            </w:pPr>
            <w:r w:rsidRPr="006C2078">
              <w:t>–61.4</w:t>
            </w:r>
          </w:p>
        </w:tc>
      </w:tr>
      <w:tr w:rsidR="00BD064A" w:rsidRPr="006C2078" w:rsidTr="00BD064A">
        <w:trPr>
          <w:jc w:val="center"/>
        </w:trPr>
        <w:tc>
          <w:tcPr>
            <w:tcW w:w="4961" w:type="dxa"/>
            <w:vAlign w:val="center"/>
          </w:tcPr>
          <w:p w:rsidR="00BD064A" w:rsidRPr="006C2078" w:rsidRDefault="00BD064A" w:rsidP="00BD064A">
            <w:pPr>
              <w:pStyle w:val="Tabletext"/>
              <w:jc w:val="left"/>
            </w:pPr>
            <w:r w:rsidRPr="006C2078">
              <w:t>e</w:t>
            </w:r>
            <w:r>
              <w:t>.</w:t>
            </w:r>
            <w:r w:rsidRPr="006C2078">
              <w:t>i</w:t>
            </w:r>
            <w:r>
              <w:t>.</w:t>
            </w:r>
            <w:r w:rsidRPr="006C2078">
              <w:t>r</w:t>
            </w:r>
            <w:r>
              <w:t>.</w:t>
            </w:r>
            <w:r w:rsidRPr="006C2078">
              <w:t>p</w:t>
            </w:r>
            <w:r>
              <w:t xml:space="preserve">. </w:t>
            </w:r>
            <w:r w:rsidRPr="006C2078">
              <w:t>(dBW)</w:t>
            </w:r>
          </w:p>
        </w:tc>
        <w:tc>
          <w:tcPr>
            <w:tcW w:w="1559" w:type="dxa"/>
            <w:vAlign w:val="center"/>
          </w:tcPr>
          <w:p w:rsidR="00BD064A" w:rsidRPr="006C2078" w:rsidRDefault="00BD064A" w:rsidP="00BD064A">
            <w:pPr>
              <w:pStyle w:val="Tabletext"/>
              <w:jc w:val="center"/>
            </w:pPr>
            <w:r w:rsidRPr="006C2078">
              <w:t>65.3</w:t>
            </w:r>
          </w:p>
        </w:tc>
        <w:tc>
          <w:tcPr>
            <w:tcW w:w="1559" w:type="dxa"/>
            <w:vAlign w:val="center"/>
          </w:tcPr>
          <w:p w:rsidR="00BD064A" w:rsidRPr="006C2078" w:rsidRDefault="00BD064A" w:rsidP="00BD064A">
            <w:pPr>
              <w:pStyle w:val="Tabletext"/>
              <w:jc w:val="center"/>
            </w:pPr>
            <w:r w:rsidRPr="006C2078">
              <w:t>81.5</w:t>
            </w:r>
          </w:p>
        </w:tc>
        <w:tc>
          <w:tcPr>
            <w:tcW w:w="1559" w:type="dxa"/>
            <w:vAlign w:val="center"/>
          </w:tcPr>
          <w:p w:rsidR="00BD064A" w:rsidRPr="006C2078" w:rsidRDefault="00BD064A" w:rsidP="00BD064A">
            <w:pPr>
              <w:pStyle w:val="Tabletext"/>
              <w:jc w:val="center"/>
            </w:pPr>
            <w:r w:rsidRPr="006C2078">
              <w:t>75.9</w:t>
            </w:r>
          </w:p>
        </w:tc>
      </w:tr>
      <w:tr w:rsidR="00BD064A" w:rsidRPr="006C2078" w:rsidTr="00BD064A">
        <w:trPr>
          <w:jc w:val="center"/>
        </w:trPr>
        <w:tc>
          <w:tcPr>
            <w:tcW w:w="4961" w:type="dxa"/>
            <w:vAlign w:val="center"/>
          </w:tcPr>
          <w:p w:rsidR="00BD064A" w:rsidRPr="007D1EF7" w:rsidRDefault="00BD064A" w:rsidP="00BD064A">
            <w:pPr>
              <w:pStyle w:val="Tabletext"/>
              <w:jc w:val="left"/>
              <w:rPr>
                <w:lang w:val="en-US"/>
              </w:rPr>
            </w:pPr>
            <w:r w:rsidRPr="007D1EF7">
              <w:rPr>
                <w:lang w:val="en-US"/>
              </w:rPr>
              <w:t>e.i.r.p. density (dBW/Hz)</w:t>
            </w:r>
          </w:p>
        </w:tc>
        <w:tc>
          <w:tcPr>
            <w:tcW w:w="1559" w:type="dxa"/>
            <w:vAlign w:val="center"/>
          </w:tcPr>
          <w:p w:rsidR="00BD064A" w:rsidRPr="006C2078" w:rsidRDefault="00BD064A" w:rsidP="00BD064A">
            <w:pPr>
              <w:pStyle w:val="Tabletext"/>
              <w:jc w:val="center"/>
            </w:pPr>
            <w:r w:rsidRPr="006C2078">
              <w:t>–5.5</w:t>
            </w:r>
          </w:p>
        </w:tc>
        <w:tc>
          <w:tcPr>
            <w:tcW w:w="1559" w:type="dxa"/>
            <w:vAlign w:val="center"/>
          </w:tcPr>
          <w:p w:rsidR="00BD064A" w:rsidRPr="006C2078" w:rsidRDefault="00BD064A" w:rsidP="00BD064A">
            <w:pPr>
              <w:pStyle w:val="Tabletext"/>
              <w:jc w:val="center"/>
            </w:pPr>
            <w:r w:rsidRPr="006C2078">
              <w:t>10.7</w:t>
            </w:r>
          </w:p>
        </w:tc>
        <w:tc>
          <w:tcPr>
            <w:tcW w:w="1559" w:type="dxa"/>
            <w:vAlign w:val="center"/>
          </w:tcPr>
          <w:p w:rsidR="00BD064A" w:rsidRPr="006C2078" w:rsidRDefault="00BD064A" w:rsidP="00BD064A">
            <w:pPr>
              <w:pStyle w:val="Tabletext"/>
              <w:jc w:val="center"/>
            </w:pPr>
            <w:r w:rsidRPr="006C2078">
              <w:t>14.5</w:t>
            </w:r>
          </w:p>
        </w:tc>
      </w:tr>
      <w:tr w:rsidR="00AA2BE3" w:rsidRPr="003B6E9A" w:rsidTr="00BD064A">
        <w:trPr>
          <w:jc w:val="center"/>
        </w:trPr>
        <w:tc>
          <w:tcPr>
            <w:tcW w:w="9639" w:type="dxa"/>
            <w:gridSpan w:val="4"/>
            <w:tcBorders>
              <w:left w:val="nil"/>
              <w:bottom w:val="nil"/>
              <w:right w:val="nil"/>
            </w:tcBorders>
            <w:vAlign w:val="center"/>
          </w:tcPr>
          <w:p w:rsidR="00AA2BE3" w:rsidRPr="007D1EF7" w:rsidRDefault="00BD064A" w:rsidP="00192341">
            <w:pPr>
              <w:pStyle w:val="Tablelegend"/>
              <w:rPr>
                <w:lang w:val="en-US"/>
              </w:rPr>
            </w:pPr>
            <w:r w:rsidRPr="007D1EF7">
              <w:rPr>
                <w:vertAlign w:val="superscript"/>
                <w:lang w:val="en-US"/>
              </w:rPr>
              <w:t>(1)</w:t>
            </w:r>
            <w:r w:rsidR="00AA2BE3" w:rsidRPr="007D1EF7">
              <w:rPr>
                <w:lang w:val="en-US"/>
              </w:rPr>
              <w:tab/>
              <w:t>Annex III should be used for static interference analyses and Recommendation ITU-R F.1245 should be used for dynamic interference analyses.</w:t>
            </w:r>
          </w:p>
        </w:tc>
      </w:tr>
    </w:tbl>
    <w:p w:rsidR="00BD064A" w:rsidRDefault="00BD064A" w:rsidP="00BD064A">
      <w:pPr>
        <w:pStyle w:val="Tablefin"/>
      </w:pPr>
    </w:p>
    <w:p w:rsidR="00AA2BE3" w:rsidRPr="007D1EF7" w:rsidRDefault="00AA2BE3" w:rsidP="00AA2BE3">
      <w:pPr>
        <w:rPr>
          <w:lang w:val="en-US"/>
        </w:rPr>
      </w:pPr>
      <w:r w:rsidRPr="007D1EF7">
        <w:rPr>
          <w:lang w:val="en-US"/>
        </w:rPr>
        <w:t>Recommendation ITU-R F.1245 was used to model an average antenna pattern.</w:t>
      </w:r>
    </w:p>
    <w:p w:rsidR="00AA2BE3" w:rsidRPr="007D1EF7" w:rsidRDefault="00AA2BE3" w:rsidP="00AA2BE3">
      <w:pPr>
        <w:pStyle w:val="Heading1"/>
        <w:rPr>
          <w:lang w:val="en-US"/>
        </w:rPr>
      </w:pPr>
      <w:bookmarkStart w:id="54" w:name="_Toc277668616"/>
      <w:r w:rsidRPr="007D1EF7">
        <w:rPr>
          <w:lang w:val="en-US"/>
        </w:rPr>
        <w:t>3</w:t>
      </w:r>
      <w:r w:rsidRPr="007D1EF7">
        <w:rPr>
          <w:lang w:val="en-US"/>
        </w:rPr>
        <w:tab/>
        <w:t>Simulation and results</w:t>
      </w:r>
      <w:bookmarkEnd w:id="54"/>
    </w:p>
    <w:p w:rsidR="00AA2BE3" w:rsidRPr="007D1EF7" w:rsidRDefault="00AA2BE3" w:rsidP="00BD064A">
      <w:pPr>
        <w:rPr>
          <w:lang w:val="en-US"/>
        </w:rPr>
      </w:pPr>
      <w:r w:rsidRPr="007D1EF7">
        <w:rPr>
          <w:lang w:val="en-US"/>
        </w:rPr>
        <w:t xml:space="preserve">A simulation was performed over 1 month with a time step of 5 s taking into account 3 SRS earth stations following the Moon based in Canberra, Goldstone and Madrid, and one HIBLEO-2 satellite connected to the other 4 adjacent satellites. </w:t>
      </w:r>
    </w:p>
    <w:p w:rsidR="00AA2BE3" w:rsidRPr="007D1EF7" w:rsidRDefault="00AA2BE3" w:rsidP="00AA2BE3">
      <w:pPr>
        <w:rPr>
          <w:lang w:val="en-US"/>
        </w:rPr>
      </w:pPr>
      <w:r w:rsidRPr="007D1EF7">
        <w:rPr>
          <w:lang w:val="en-US"/>
        </w:rPr>
        <w:t>No atmospheric attenuation was taken into account in the SRS to ISS path, noting that the frequency band used by ISL links corresponds to an absorption line with attenuations from 0.5 dB (at zenith) to more than 10 dB for low-elevation paths. This would drastically reduce the interference level determined here.</w:t>
      </w:r>
    </w:p>
    <w:p w:rsidR="00AA2BE3" w:rsidRPr="007D1EF7" w:rsidRDefault="00AA2BE3" w:rsidP="00AA2BE3">
      <w:pPr>
        <w:rPr>
          <w:lang w:val="en-US"/>
        </w:rPr>
      </w:pPr>
      <w:r w:rsidRPr="007D1EF7">
        <w:rPr>
          <w:lang w:val="en-US"/>
        </w:rPr>
        <w:t>The simulation was performed assuming that the SRS earth station is transmitting within the same band as the ISL. No out-of-band attenuation factor was therefore considered.</w:t>
      </w:r>
    </w:p>
    <w:p w:rsidR="00AA2BE3" w:rsidRPr="007D1EF7" w:rsidRDefault="00AA2BE3" w:rsidP="00A47FF8">
      <w:pPr>
        <w:keepLines/>
        <w:rPr>
          <w:lang w:val="en-US"/>
        </w:rPr>
      </w:pPr>
      <w:r w:rsidRPr="007D1EF7">
        <w:rPr>
          <w:lang w:val="en-US"/>
        </w:rPr>
        <w:lastRenderedPageBreak/>
        <w:t>Figures A4-2 and A4-3 give the simulation results for HIBLEO-2 satellite 6, randomly chosen. Figure A4-2 gives an overview of the interference events vs. time, with a zoom on a particular pike, whereas Fig. A4-3 gives the cumulative distribution function obtained for all 4 crosslinks of the satellite.</w:t>
      </w:r>
    </w:p>
    <w:p w:rsidR="00A47FF8" w:rsidRPr="007D1EF7" w:rsidRDefault="00A47FF8" w:rsidP="00A47FF8">
      <w:pPr>
        <w:keepLines/>
        <w:rPr>
          <w:lang w:val="en-US"/>
        </w:rPr>
      </w:pPr>
    </w:p>
    <w:p w:rsidR="00AA2BE3" w:rsidRPr="006C2078" w:rsidRDefault="00AA2BE3" w:rsidP="00AA2BE3">
      <w:pPr>
        <w:pStyle w:val="FigureNo"/>
      </w:pPr>
      <w:r w:rsidRPr="006C2078">
        <w:t>Figure A4-1</w:t>
      </w:r>
    </w:p>
    <w:p w:rsidR="00AA2BE3" w:rsidRPr="006C2078" w:rsidRDefault="00AA2BE3" w:rsidP="00AA2BE3">
      <w:pPr>
        <w:pStyle w:val="Figuretitle"/>
      </w:pPr>
      <w:r w:rsidRPr="006C2078">
        <w:t>Simulation scenario</w:t>
      </w:r>
    </w:p>
    <w:p w:rsidR="00AA2BE3" w:rsidRPr="006C2078" w:rsidRDefault="00AA2BE3" w:rsidP="00BD064A">
      <w:pPr>
        <w:pStyle w:val="Figure"/>
      </w:pPr>
      <w:r>
        <w:rPr>
          <w:noProof/>
          <w:lang w:val="en-US" w:eastAsia="zh-CN"/>
        </w:rPr>
        <w:drawing>
          <wp:inline distT="0" distB="0" distL="0" distR="0">
            <wp:extent cx="5685155" cy="3999230"/>
            <wp:effectExtent l="19050" t="0" r="0" b="0"/>
            <wp:docPr id="23" name="Picture 4" descr="t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to"/>
                    <pic:cNvPicPr>
                      <a:picLocks noChangeAspect="1" noChangeArrowheads="1"/>
                    </pic:cNvPicPr>
                  </pic:nvPicPr>
                  <pic:blipFill>
                    <a:blip r:embed="rId35" cstate="print"/>
                    <a:srcRect/>
                    <a:stretch>
                      <a:fillRect/>
                    </a:stretch>
                  </pic:blipFill>
                  <pic:spPr bwMode="auto">
                    <a:xfrm>
                      <a:off x="0" y="0"/>
                      <a:ext cx="5685155" cy="3999230"/>
                    </a:xfrm>
                    <a:prstGeom prst="rect">
                      <a:avLst/>
                    </a:prstGeom>
                    <a:noFill/>
                    <a:ln w="9525">
                      <a:noFill/>
                      <a:miter lim="800000"/>
                      <a:headEnd/>
                      <a:tailEnd/>
                    </a:ln>
                  </pic:spPr>
                </pic:pic>
              </a:graphicData>
            </a:graphic>
          </wp:inline>
        </w:drawing>
      </w:r>
    </w:p>
    <w:p w:rsidR="00AA2BE3" w:rsidRPr="007D1EF7" w:rsidRDefault="00AA2BE3" w:rsidP="00AA2BE3">
      <w:pPr>
        <w:pStyle w:val="FigureNo"/>
        <w:rPr>
          <w:lang w:val="en-US"/>
        </w:rPr>
      </w:pPr>
      <w:r w:rsidRPr="007D1EF7">
        <w:rPr>
          <w:lang w:val="en-US"/>
        </w:rPr>
        <w:lastRenderedPageBreak/>
        <w:t>Figure A4-2</w:t>
      </w:r>
    </w:p>
    <w:p w:rsidR="00AA2BE3" w:rsidRPr="007D1EF7" w:rsidRDefault="00AA2BE3" w:rsidP="00BD064A">
      <w:pPr>
        <w:pStyle w:val="Figuretitle"/>
        <w:rPr>
          <w:lang w:val="en-US"/>
        </w:rPr>
      </w:pPr>
      <w:r>
        <w:rPr>
          <w:noProof/>
          <w:lang w:val="en-US" w:eastAsia="zh-CN"/>
        </w:rPr>
        <w:drawing>
          <wp:inline distT="0" distB="0" distL="0" distR="0">
            <wp:extent cx="5741035" cy="3792855"/>
            <wp:effectExtent l="19050" t="0" r="0" b="0"/>
            <wp:docPr id="24" name="Picture 42" descr="IRIDIUM North v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RIDIUM North vs time"/>
                    <pic:cNvPicPr>
                      <a:picLocks noChangeAspect="1" noChangeArrowheads="1"/>
                    </pic:cNvPicPr>
                  </pic:nvPicPr>
                  <pic:blipFill>
                    <a:blip r:embed="rId36" cstate="print"/>
                    <a:srcRect/>
                    <a:stretch>
                      <a:fillRect/>
                    </a:stretch>
                  </pic:blipFill>
                  <pic:spPr bwMode="auto">
                    <a:xfrm>
                      <a:off x="0" y="0"/>
                      <a:ext cx="5741035" cy="3792855"/>
                    </a:xfrm>
                    <a:prstGeom prst="rect">
                      <a:avLst/>
                    </a:prstGeom>
                    <a:noFill/>
                    <a:ln w="9525">
                      <a:noFill/>
                      <a:miter lim="800000"/>
                      <a:headEnd/>
                      <a:tailEnd/>
                    </a:ln>
                  </pic:spPr>
                </pic:pic>
              </a:graphicData>
            </a:graphic>
          </wp:inline>
        </w:drawing>
      </w:r>
      <w:r w:rsidRPr="007D1EF7">
        <w:rPr>
          <w:lang w:val="en-US"/>
        </w:rPr>
        <w:t>Interference over noise vs. time for HIBLEO-2 satellite 6</w:t>
      </w:r>
    </w:p>
    <w:p w:rsidR="00AA2BE3" w:rsidRPr="006C2078" w:rsidRDefault="00AA2BE3" w:rsidP="00BD064A">
      <w:pPr>
        <w:pStyle w:val="Figure"/>
      </w:pPr>
      <w:r>
        <w:rPr>
          <w:noProof/>
          <w:lang w:val="en-US" w:eastAsia="zh-CN"/>
        </w:rPr>
        <w:drawing>
          <wp:inline distT="0" distB="0" distL="0" distR="0">
            <wp:extent cx="5741035" cy="3792855"/>
            <wp:effectExtent l="19050" t="0" r="0" b="0"/>
            <wp:docPr id="25" name="Picture 45" descr="IRIDIUM North vs time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RIDIUM North vs time zoom"/>
                    <pic:cNvPicPr>
                      <a:picLocks noChangeAspect="1" noChangeArrowheads="1"/>
                    </pic:cNvPicPr>
                  </pic:nvPicPr>
                  <pic:blipFill>
                    <a:blip r:embed="rId37" cstate="print"/>
                    <a:srcRect/>
                    <a:stretch>
                      <a:fillRect/>
                    </a:stretch>
                  </pic:blipFill>
                  <pic:spPr bwMode="auto">
                    <a:xfrm>
                      <a:off x="0" y="0"/>
                      <a:ext cx="5741035" cy="3792855"/>
                    </a:xfrm>
                    <a:prstGeom prst="rect">
                      <a:avLst/>
                    </a:prstGeom>
                    <a:noFill/>
                    <a:ln w="9525">
                      <a:noFill/>
                      <a:miter lim="800000"/>
                      <a:headEnd/>
                      <a:tailEnd/>
                    </a:ln>
                  </pic:spPr>
                </pic:pic>
              </a:graphicData>
            </a:graphic>
          </wp:inline>
        </w:drawing>
      </w:r>
    </w:p>
    <w:p w:rsidR="00AA2BE3" w:rsidRPr="006C2078" w:rsidRDefault="00AA2BE3" w:rsidP="00AA2BE3">
      <w:pPr>
        <w:pStyle w:val="FigureNo"/>
      </w:pPr>
      <w:r w:rsidRPr="006C2078">
        <w:lastRenderedPageBreak/>
        <w:t>Figure A4-3</w:t>
      </w:r>
    </w:p>
    <w:p w:rsidR="00AA2BE3" w:rsidRPr="006C2078" w:rsidRDefault="00AA2BE3" w:rsidP="00AA2BE3">
      <w:pPr>
        <w:pStyle w:val="Figuretitle"/>
      </w:pPr>
      <w:r w:rsidRPr="006C2078">
        <w:t>Interference over noise cumulative distribution function for HIBLEO-2 satellite 6</w:t>
      </w:r>
    </w:p>
    <w:p w:rsidR="00AA2BE3" w:rsidRPr="006C2078" w:rsidRDefault="00DC4C77" w:rsidP="00BD064A">
      <w:pPr>
        <w:pStyle w:val="Figure"/>
      </w:pPr>
      <w:r>
        <w:rPr>
          <w:noProof/>
          <w:lang w:val="en-US"/>
        </w:rPr>
        <w:pict>
          <v:rect id="_x0000_s1028" style="position:absolute;left:0;text-align:left;margin-left:294pt;margin-top:293.4pt;width:9.75pt;height:18.75pt;z-index:251662336" stroked="f"/>
        </w:pict>
      </w:r>
      <w:r w:rsidR="00AA2BE3">
        <w:rPr>
          <w:noProof/>
          <w:lang w:val="en-US" w:eastAsia="zh-CN"/>
        </w:rPr>
        <w:drawing>
          <wp:inline distT="0" distB="0" distL="0" distR="0">
            <wp:extent cx="5741035" cy="3792855"/>
            <wp:effectExtent l="19050" t="0" r="0" b="0"/>
            <wp:docPr id="26" name="Picture 48" descr="IRIDIU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RIDIUM 6"/>
                    <pic:cNvPicPr>
                      <a:picLocks noChangeAspect="1" noChangeArrowheads="1"/>
                    </pic:cNvPicPr>
                  </pic:nvPicPr>
                  <pic:blipFill>
                    <a:blip r:embed="rId22" cstate="print"/>
                    <a:srcRect/>
                    <a:stretch>
                      <a:fillRect/>
                    </a:stretch>
                  </pic:blipFill>
                  <pic:spPr bwMode="auto">
                    <a:xfrm>
                      <a:off x="0" y="0"/>
                      <a:ext cx="5741035" cy="3792855"/>
                    </a:xfrm>
                    <a:prstGeom prst="rect">
                      <a:avLst/>
                    </a:prstGeom>
                    <a:noFill/>
                    <a:ln w="9525">
                      <a:noFill/>
                      <a:miter lim="800000"/>
                      <a:headEnd/>
                      <a:tailEnd/>
                    </a:ln>
                  </pic:spPr>
                </pic:pic>
              </a:graphicData>
            </a:graphic>
          </wp:inline>
        </w:drawing>
      </w:r>
    </w:p>
    <w:p w:rsidR="00AA2BE3" w:rsidRPr="006C2078" w:rsidRDefault="00AA2BE3" w:rsidP="00AA2BE3"/>
    <w:p w:rsidR="00AA2BE3" w:rsidRPr="007D1EF7" w:rsidRDefault="00AA2BE3" w:rsidP="00AA2BE3">
      <w:pPr>
        <w:rPr>
          <w:lang w:val="en-US"/>
        </w:rPr>
      </w:pPr>
      <w:r w:rsidRPr="007D1EF7">
        <w:rPr>
          <w:lang w:val="en-US"/>
        </w:rPr>
        <w:t>Figures A4-4 and A4-5 give the simulation results for HIBLEO-2 satellite 13, determined to be the one with the highest occurrence of SRS stations main beam interception. Figure A4-4 gives an overview of the interference events vs. time, with a zoom on a particular pike, whereas Fig. A4-5 gives the cumulative distribution function obtained for all 4 crosslinks of the satellite.</w:t>
      </w:r>
    </w:p>
    <w:p w:rsidR="00AA2BE3" w:rsidRPr="007D1EF7" w:rsidRDefault="00AA2BE3" w:rsidP="00AA2BE3">
      <w:pPr>
        <w:pStyle w:val="FigureNo"/>
        <w:rPr>
          <w:lang w:val="en-US"/>
        </w:rPr>
      </w:pPr>
      <w:r w:rsidRPr="007D1EF7">
        <w:rPr>
          <w:lang w:val="en-US"/>
        </w:rPr>
        <w:lastRenderedPageBreak/>
        <w:t>Figure A4-4</w:t>
      </w:r>
    </w:p>
    <w:p w:rsidR="00AA2BE3" w:rsidRPr="007D1EF7" w:rsidRDefault="00AA2BE3" w:rsidP="00AA2BE3">
      <w:pPr>
        <w:pStyle w:val="Figuretitle"/>
        <w:rPr>
          <w:lang w:val="en-US"/>
        </w:rPr>
      </w:pPr>
      <w:r w:rsidRPr="007D1EF7">
        <w:rPr>
          <w:lang w:val="en-US"/>
        </w:rPr>
        <w:t>Interference over noise vs. time for HIBLEO-2 satellite 13</w:t>
      </w:r>
    </w:p>
    <w:p w:rsidR="00AA2BE3" w:rsidRPr="006C2078" w:rsidRDefault="00AA2BE3" w:rsidP="00BD064A">
      <w:pPr>
        <w:pStyle w:val="Figure"/>
      </w:pPr>
      <w:r>
        <w:rPr>
          <w:noProof/>
          <w:lang w:val="en-US" w:eastAsia="zh-CN"/>
        </w:rPr>
        <w:drawing>
          <wp:inline distT="0" distB="0" distL="0" distR="0">
            <wp:extent cx="5653405" cy="4269740"/>
            <wp:effectExtent l="19050" t="0" r="4445" b="0"/>
            <wp:docPr id="27" name="Picture 8" descr="IRIDIUM 13 North v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RIDIUM 13 North vs time"/>
                    <pic:cNvPicPr>
                      <a:picLocks noChangeAspect="1" noChangeArrowheads="1"/>
                    </pic:cNvPicPr>
                  </pic:nvPicPr>
                  <pic:blipFill>
                    <a:blip r:embed="rId38" cstate="print"/>
                    <a:srcRect/>
                    <a:stretch>
                      <a:fillRect/>
                    </a:stretch>
                  </pic:blipFill>
                  <pic:spPr bwMode="auto">
                    <a:xfrm>
                      <a:off x="0" y="0"/>
                      <a:ext cx="5653405" cy="4269740"/>
                    </a:xfrm>
                    <a:prstGeom prst="rect">
                      <a:avLst/>
                    </a:prstGeom>
                    <a:noFill/>
                    <a:ln w="9525">
                      <a:noFill/>
                      <a:miter lim="800000"/>
                      <a:headEnd/>
                      <a:tailEnd/>
                    </a:ln>
                  </pic:spPr>
                </pic:pic>
              </a:graphicData>
            </a:graphic>
          </wp:inline>
        </w:drawing>
      </w:r>
    </w:p>
    <w:p w:rsidR="00AA2BE3" w:rsidRPr="006C2078" w:rsidRDefault="00AA2BE3" w:rsidP="00BD064A">
      <w:pPr>
        <w:pStyle w:val="Figure"/>
      </w:pPr>
      <w:r>
        <w:rPr>
          <w:noProof/>
          <w:lang w:val="en-US" w:eastAsia="zh-CN"/>
        </w:rPr>
        <w:drawing>
          <wp:inline distT="0" distB="0" distL="0" distR="0">
            <wp:extent cx="5741035" cy="3792855"/>
            <wp:effectExtent l="19050" t="0" r="0" b="0"/>
            <wp:docPr id="28" name="Picture 28" descr="IRIDIUM 13 v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RIDIUM 13 vs time"/>
                    <pic:cNvPicPr>
                      <a:picLocks noChangeAspect="1" noChangeArrowheads="1"/>
                    </pic:cNvPicPr>
                  </pic:nvPicPr>
                  <pic:blipFill>
                    <a:blip r:embed="rId39" cstate="print"/>
                    <a:srcRect/>
                    <a:stretch>
                      <a:fillRect/>
                    </a:stretch>
                  </pic:blipFill>
                  <pic:spPr bwMode="auto">
                    <a:xfrm>
                      <a:off x="0" y="0"/>
                      <a:ext cx="5741035" cy="3792855"/>
                    </a:xfrm>
                    <a:prstGeom prst="rect">
                      <a:avLst/>
                    </a:prstGeom>
                    <a:noFill/>
                    <a:ln w="9525">
                      <a:noFill/>
                      <a:miter lim="800000"/>
                      <a:headEnd/>
                      <a:tailEnd/>
                    </a:ln>
                  </pic:spPr>
                </pic:pic>
              </a:graphicData>
            </a:graphic>
          </wp:inline>
        </w:drawing>
      </w:r>
    </w:p>
    <w:p w:rsidR="00AA2BE3" w:rsidRPr="006C2078" w:rsidRDefault="00AA2BE3" w:rsidP="00AA2BE3">
      <w:pPr>
        <w:pStyle w:val="FigureNo"/>
      </w:pPr>
      <w:r w:rsidRPr="006C2078">
        <w:lastRenderedPageBreak/>
        <w:t>Figure A4-5</w:t>
      </w:r>
    </w:p>
    <w:p w:rsidR="00AA2BE3" w:rsidRPr="006C2078" w:rsidRDefault="00AA2BE3" w:rsidP="00AA2BE3">
      <w:pPr>
        <w:pStyle w:val="Figuretitle"/>
      </w:pPr>
      <w:r w:rsidRPr="006C2078">
        <w:t>Interference over noise cumulative distribution function for HIBLEO-2 satellite 13</w:t>
      </w:r>
    </w:p>
    <w:p w:rsidR="00AA2BE3" w:rsidRPr="006C2078" w:rsidRDefault="00DC4C77" w:rsidP="00BD064A">
      <w:pPr>
        <w:pStyle w:val="Figure"/>
      </w:pPr>
      <w:r>
        <w:rPr>
          <w:noProof/>
          <w:lang w:val="en-US"/>
        </w:rPr>
        <w:pict>
          <v:rect id="_x0000_s1029" style="position:absolute;left:0;text-align:left;margin-left:294pt;margin-top:293.4pt;width:9.75pt;height:18.75pt;z-index:251663360" stroked="f"/>
        </w:pict>
      </w:r>
      <w:r w:rsidR="00AA2BE3">
        <w:rPr>
          <w:noProof/>
          <w:lang w:val="en-US" w:eastAsia="zh-CN"/>
        </w:rPr>
        <w:drawing>
          <wp:inline distT="0" distB="0" distL="0" distR="0">
            <wp:extent cx="5741035" cy="3872230"/>
            <wp:effectExtent l="19050" t="0" r="0" b="0"/>
            <wp:docPr id="29" name="Picture 29" descr="IRIDIU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RIDIUM 13"/>
                    <pic:cNvPicPr>
                      <a:picLocks noChangeAspect="1" noChangeArrowheads="1"/>
                    </pic:cNvPicPr>
                  </pic:nvPicPr>
                  <pic:blipFill>
                    <a:blip r:embed="rId40" cstate="print"/>
                    <a:srcRect/>
                    <a:stretch>
                      <a:fillRect/>
                    </a:stretch>
                  </pic:blipFill>
                  <pic:spPr bwMode="auto">
                    <a:xfrm>
                      <a:off x="0" y="0"/>
                      <a:ext cx="5741035" cy="3872230"/>
                    </a:xfrm>
                    <a:prstGeom prst="rect">
                      <a:avLst/>
                    </a:prstGeom>
                    <a:noFill/>
                    <a:ln w="9525">
                      <a:noFill/>
                      <a:miter lim="800000"/>
                      <a:headEnd/>
                      <a:tailEnd/>
                    </a:ln>
                  </pic:spPr>
                </pic:pic>
              </a:graphicData>
            </a:graphic>
          </wp:inline>
        </w:drawing>
      </w:r>
    </w:p>
    <w:p w:rsidR="00A47FF8" w:rsidRDefault="00A47FF8" w:rsidP="00BD064A"/>
    <w:p w:rsidR="00AA2BE3" w:rsidRPr="007D1EF7" w:rsidRDefault="00AA2BE3" w:rsidP="00BD064A">
      <w:pPr>
        <w:rPr>
          <w:lang w:val="en-US"/>
        </w:rPr>
      </w:pPr>
      <w:r w:rsidRPr="007D1EF7">
        <w:rPr>
          <w:lang w:val="en-US"/>
        </w:rPr>
        <w:t>The level of interference over noise for 0.1% of the time is from –49 to −47 dB. There is therefore a 37 to 39 dB margin with regard to the agreed in-band protection criterion within ITU-R (</w:t>
      </w:r>
      <w:r w:rsidRPr="007D1EF7">
        <w:rPr>
          <w:i/>
          <w:lang w:val="en-US"/>
        </w:rPr>
        <w:t>I</w:t>
      </w:r>
      <w:r w:rsidRPr="007D1EF7">
        <w:rPr>
          <w:iCs/>
          <w:lang w:val="en-US"/>
        </w:rPr>
        <w:t>/</w:t>
      </w:r>
      <w:r w:rsidRPr="007D1EF7">
        <w:rPr>
          <w:i/>
          <w:lang w:val="en-US"/>
        </w:rPr>
        <w:t>N</w:t>
      </w:r>
      <w:r w:rsidRPr="007D1EF7">
        <w:rPr>
          <w:lang w:val="en-US"/>
        </w:rPr>
        <w:t xml:space="preserve"> of </w:t>
      </w:r>
      <w:r w:rsidR="00DC4C77">
        <w:fldChar w:fldCharType="begin"/>
      </w:r>
      <w:r w:rsidR="00BD064A" w:rsidRPr="007D1EF7">
        <w:rPr>
          <w:lang w:val="en-US"/>
        </w:rPr>
        <w:instrText xml:space="preserve"> EQ  –10 dB,</w:instrText>
      </w:r>
      <w:r w:rsidR="00DC4C77">
        <w:fldChar w:fldCharType="end"/>
      </w:r>
      <w:r w:rsidRPr="007D1EF7">
        <w:rPr>
          <w:lang w:val="en-US"/>
        </w:rPr>
        <w:t xml:space="preserve"> 0.1% of the time).</w:t>
      </w:r>
    </w:p>
    <w:p w:rsidR="00AA2BE3" w:rsidRPr="007D1EF7" w:rsidRDefault="00AA2BE3" w:rsidP="00AA2BE3">
      <w:pPr>
        <w:rPr>
          <w:lang w:val="en-US"/>
        </w:rPr>
      </w:pPr>
      <w:r w:rsidRPr="007D1EF7">
        <w:rPr>
          <w:lang w:val="en-US"/>
        </w:rPr>
        <w:t>The level of interference over noise for 0.01% of the time is from –37 to –32 dB. This is already 16 to 21 dB below the protection criterion agreed by WP 4A (–16 dB, 0.01% of the time), without even considering any O</w:t>
      </w:r>
      <w:r w:rsidR="00BD064A" w:rsidRPr="007D1EF7">
        <w:rPr>
          <w:lang w:val="en-US"/>
        </w:rPr>
        <w:t>o</w:t>
      </w:r>
      <w:r w:rsidRPr="007D1EF7">
        <w:rPr>
          <w:lang w:val="en-US"/>
        </w:rPr>
        <w:t>B attenuation. The actual interference would be much lower taking into account the O</w:t>
      </w:r>
      <w:r w:rsidR="00EB0992" w:rsidRPr="007D1EF7">
        <w:rPr>
          <w:lang w:val="en-US"/>
        </w:rPr>
        <w:t>o</w:t>
      </w:r>
      <w:r w:rsidRPr="007D1EF7">
        <w:rPr>
          <w:lang w:val="en-US"/>
        </w:rPr>
        <w:t xml:space="preserve">B attenuation due to the modulation shape only, and any output filter that might be implemented on the SRS earth stations. </w:t>
      </w:r>
    </w:p>
    <w:p w:rsidR="00AA2BE3" w:rsidRPr="007D1EF7" w:rsidRDefault="00AA2BE3" w:rsidP="00AA2BE3">
      <w:pPr>
        <w:rPr>
          <w:lang w:val="en-US"/>
        </w:rPr>
      </w:pPr>
      <w:r w:rsidRPr="007D1EF7">
        <w:rPr>
          <w:lang w:val="en-US"/>
        </w:rPr>
        <w:t>Additional atmospheric losses were not taken into account in the study and would further reduce the level of interference.</w:t>
      </w:r>
    </w:p>
    <w:p w:rsidR="00AA2BE3" w:rsidRPr="007D1EF7" w:rsidRDefault="00AA2BE3" w:rsidP="00AA2BE3">
      <w:pPr>
        <w:pStyle w:val="Heading1"/>
        <w:rPr>
          <w:lang w:val="en-US"/>
        </w:rPr>
      </w:pPr>
      <w:bookmarkStart w:id="55" w:name="_Toc277668617"/>
      <w:r w:rsidRPr="007D1EF7">
        <w:rPr>
          <w:lang w:val="en-US"/>
        </w:rPr>
        <w:t>4</w:t>
      </w:r>
      <w:r w:rsidRPr="007D1EF7">
        <w:rPr>
          <w:lang w:val="en-US"/>
        </w:rPr>
        <w:tab/>
        <w:t>Conclusion</w:t>
      </w:r>
      <w:bookmarkEnd w:id="55"/>
    </w:p>
    <w:p w:rsidR="00AA2BE3" w:rsidRPr="007D1EF7" w:rsidRDefault="00AA2BE3" w:rsidP="00AA2BE3">
      <w:pPr>
        <w:rPr>
          <w:lang w:val="en-US"/>
        </w:rPr>
      </w:pPr>
      <w:r w:rsidRPr="007D1EF7">
        <w:rPr>
          <w:lang w:val="en-US"/>
        </w:rPr>
        <w:t xml:space="preserve">The results of the simulation above, the important atmospheric attenuations for this frequency band, as well as the out-of-band signal attenuation due to the SRS earth station transmitter modulation shape, show that SRS earth stations used for Moon missions are compatible with HIBLEO-2 ISL without any further constraint. </w:t>
      </w:r>
    </w:p>
    <w:p w:rsidR="00AA2BE3" w:rsidRPr="007D1EF7" w:rsidRDefault="00AA2BE3" w:rsidP="00BD064A">
      <w:pPr>
        <w:pStyle w:val="AnnexNoTitle"/>
        <w:rPr>
          <w:lang w:val="en-US"/>
        </w:rPr>
      </w:pPr>
      <w:bookmarkStart w:id="56" w:name="_Toc277668618"/>
      <w:r w:rsidRPr="007D1EF7">
        <w:rPr>
          <w:lang w:val="en-US"/>
        </w:rPr>
        <w:lastRenderedPageBreak/>
        <w:t xml:space="preserve">Annex 5 </w:t>
      </w:r>
      <w:r w:rsidR="00BD064A" w:rsidRPr="007D1EF7">
        <w:rPr>
          <w:lang w:val="en-US"/>
        </w:rPr>
        <w:br/>
      </w:r>
      <w:r w:rsidR="00BD064A" w:rsidRPr="007D1EF7">
        <w:rPr>
          <w:lang w:val="en-US"/>
        </w:rPr>
        <w:br/>
      </w:r>
      <w:r w:rsidRPr="007D1EF7">
        <w:rPr>
          <w:lang w:val="en-US"/>
        </w:rPr>
        <w:t>Summary of Study 5</w:t>
      </w:r>
      <w:bookmarkEnd w:id="56"/>
    </w:p>
    <w:p w:rsidR="00AA2BE3" w:rsidRPr="007D1EF7" w:rsidRDefault="00AA2BE3" w:rsidP="00AA2BE3">
      <w:pPr>
        <w:pStyle w:val="Heading1"/>
        <w:rPr>
          <w:lang w:val="en-US"/>
        </w:rPr>
      </w:pPr>
      <w:bookmarkStart w:id="57" w:name="_Toc277668619"/>
      <w:r w:rsidRPr="007D1EF7">
        <w:rPr>
          <w:lang w:val="en-US"/>
        </w:rPr>
        <w:t>1</w:t>
      </w:r>
      <w:r w:rsidRPr="007D1EF7">
        <w:rPr>
          <w:lang w:val="en-US"/>
        </w:rPr>
        <w:tab/>
        <w:t>Introduction</w:t>
      </w:r>
      <w:bookmarkEnd w:id="57"/>
    </w:p>
    <w:p w:rsidR="00AA2BE3" w:rsidRPr="007D1EF7" w:rsidRDefault="00AA2BE3" w:rsidP="00BD064A">
      <w:pPr>
        <w:rPr>
          <w:lang w:val="en-US"/>
        </w:rPr>
      </w:pPr>
      <w:r w:rsidRPr="007D1EF7">
        <w:rPr>
          <w:lang w:val="en-US"/>
        </w:rPr>
        <w:t xml:space="preserve">This </w:t>
      </w:r>
      <w:r w:rsidR="00BD064A" w:rsidRPr="007D1EF7">
        <w:rPr>
          <w:lang w:val="en-US"/>
        </w:rPr>
        <w:t>Repor</w:t>
      </w:r>
      <w:r w:rsidRPr="007D1EF7">
        <w:rPr>
          <w:lang w:val="en-US"/>
        </w:rPr>
        <w:t>t presents a methodology based on the numerical simulation of the analytical formulas involved in the calculations of RF interference when complex scenarios of satellite constellations of many satellites and very directive Earth antennas tracking the Moon or the Sun are involved</w:t>
      </w:r>
      <w:r w:rsidR="00BD064A">
        <w:rPr>
          <w:rStyle w:val="FootnoteReference"/>
        </w:rPr>
        <w:footnoteReference w:id="1"/>
      </w:r>
      <w:r w:rsidRPr="007D1EF7">
        <w:rPr>
          <w:lang w:val="en-US"/>
        </w:rPr>
        <w:t>.</w:t>
      </w:r>
    </w:p>
    <w:p w:rsidR="00AA2BE3" w:rsidRPr="007D1EF7" w:rsidRDefault="00AA2BE3" w:rsidP="00AA2BE3">
      <w:pPr>
        <w:rPr>
          <w:lang w:val="en-US"/>
        </w:rPr>
      </w:pPr>
      <w:r w:rsidRPr="007D1EF7">
        <w:rPr>
          <w:lang w:val="en-US"/>
        </w:rPr>
        <w:t>Part I presents the methodology to be used using a simplified example of the ISS antenna pattern in the Moon scenario. Simulations have been modelled with a time series approach implementing the appropriate analytical equations representing the radiocommunication links performance as well as the geometrical orbits of the Earth, the Moon, the L2 point and the entire HIBLEO-2 satellite constellation. It should be emphasized the insight that this method provides to the experimenter in the course of designing the appropriate MATLAB programs for the scenario being studied.</w:t>
      </w:r>
    </w:p>
    <w:p w:rsidR="00AA2BE3" w:rsidRPr="007D1EF7" w:rsidRDefault="00AA2BE3" w:rsidP="00AA2BE3">
      <w:pPr>
        <w:rPr>
          <w:lang w:val="en-US"/>
        </w:rPr>
      </w:pPr>
      <w:r w:rsidRPr="007D1EF7">
        <w:rPr>
          <w:lang w:val="en-US"/>
        </w:rPr>
        <w:t xml:space="preserve">Results for a worst-case interference scenario caused by one SRS ES transmitting to the Moon into the inter-satellite links of the HIBLEO-2 constellation have been simulated for an SRS ES antenna diameter of 18 m and PSD input to the antenna of </w:t>
      </w:r>
      <w:r w:rsidRPr="007D1EF7">
        <w:rPr>
          <w:bCs/>
          <w:lang w:val="en-US"/>
        </w:rPr>
        <w:t>–59.7 dB(W/Hz)</w:t>
      </w:r>
      <w:r w:rsidRPr="007D1EF7">
        <w:rPr>
          <w:lang w:val="en-US"/>
        </w:rPr>
        <w:t>. Long-term availabilities have been found to vary from 99.9989% (</w:t>
      </w:r>
      <w:r w:rsidRPr="007D1EF7">
        <w:rPr>
          <w:i/>
          <w:iCs/>
          <w:lang w:val="en-US"/>
        </w:rPr>
        <w:t>I</w:t>
      </w:r>
      <w:r w:rsidRPr="007D1EF7">
        <w:rPr>
          <w:lang w:val="en-US"/>
        </w:rPr>
        <w:t>/</w:t>
      </w:r>
      <w:r w:rsidRPr="007D1EF7">
        <w:rPr>
          <w:i/>
          <w:iCs/>
          <w:lang w:val="en-US"/>
        </w:rPr>
        <w:t>N</w:t>
      </w:r>
      <w:r w:rsidRPr="007D1EF7">
        <w:rPr>
          <w:vertAlign w:val="subscript"/>
          <w:lang w:val="en-US"/>
        </w:rPr>
        <w:t>0</w:t>
      </w:r>
      <w:r w:rsidRPr="007D1EF7">
        <w:rPr>
          <w:lang w:val="en-US"/>
        </w:rPr>
        <w:t xml:space="preserve"> = –2.5 dB) to 99.92% (</w:t>
      </w:r>
      <w:r w:rsidRPr="007D1EF7">
        <w:rPr>
          <w:i/>
          <w:iCs/>
          <w:lang w:val="en-US"/>
        </w:rPr>
        <w:t>I</w:t>
      </w:r>
      <w:r w:rsidRPr="007D1EF7">
        <w:rPr>
          <w:lang w:val="en-US"/>
        </w:rPr>
        <w:t>/</w:t>
      </w:r>
      <w:r w:rsidRPr="007D1EF7">
        <w:rPr>
          <w:i/>
          <w:iCs/>
          <w:lang w:val="en-US"/>
        </w:rPr>
        <w:t>N</w:t>
      </w:r>
      <w:r w:rsidRPr="007D1EF7">
        <w:rPr>
          <w:vertAlign w:val="subscript"/>
          <w:lang w:val="en-US"/>
        </w:rPr>
        <w:t>0</w:t>
      </w:r>
      <w:r w:rsidRPr="007D1EF7">
        <w:rPr>
          <w:lang w:val="en-US"/>
        </w:rPr>
        <w:t xml:space="preserve"> = –14.5 dB). Short-term interference events have also been quantified. Since the percentage of interference is a </w:t>
      </w:r>
      <w:r w:rsidR="009872B6" w:rsidRPr="007D1EF7">
        <w:rPr>
          <w:lang w:val="en-US"/>
        </w:rPr>
        <w:t>“</w:t>
      </w:r>
      <w:r w:rsidRPr="007D1EF7">
        <w:rPr>
          <w:lang w:val="en-US"/>
        </w:rPr>
        <w:t>per-link</w:t>
      </w:r>
      <w:r w:rsidR="009872B6" w:rsidRPr="007D1EF7">
        <w:rPr>
          <w:lang w:val="en-US"/>
        </w:rPr>
        <w:t>”</w:t>
      </w:r>
      <w:r w:rsidRPr="007D1EF7">
        <w:rPr>
          <w:lang w:val="en-US"/>
        </w:rPr>
        <w:t xml:space="preserve"> basis, semi-log plots relating the </w:t>
      </w:r>
      <w:r w:rsidRPr="007D1EF7">
        <w:rPr>
          <w:i/>
          <w:iCs/>
          <w:lang w:val="en-US"/>
        </w:rPr>
        <w:t>I</w:t>
      </w:r>
      <w:r w:rsidRPr="007D1EF7">
        <w:rPr>
          <w:lang w:val="en-US"/>
        </w:rPr>
        <w:t>/</w:t>
      </w:r>
      <w:r w:rsidRPr="007D1EF7">
        <w:rPr>
          <w:i/>
          <w:iCs/>
          <w:lang w:val="en-US"/>
        </w:rPr>
        <w:t>N</w:t>
      </w:r>
      <w:r w:rsidRPr="007D1EF7">
        <w:rPr>
          <w:vertAlign w:val="subscript"/>
          <w:lang w:val="en-US"/>
        </w:rPr>
        <w:t>0</w:t>
      </w:r>
      <w:r w:rsidRPr="007D1EF7">
        <w:rPr>
          <w:lang w:val="en-US"/>
        </w:rPr>
        <w:t xml:space="preserve"> of the ISS forward link receiver to the in-band interference are provided for this scenario in Fig. A5-7 showing a margin much greater than 12 dB for in-band sharing. </w:t>
      </w:r>
    </w:p>
    <w:p w:rsidR="00AA2BE3" w:rsidRPr="007D1EF7" w:rsidRDefault="00AA2BE3" w:rsidP="00AA2BE3">
      <w:pPr>
        <w:rPr>
          <w:lang w:val="en-US"/>
        </w:rPr>
      </w:pPr>
      <w:r w:rsidRPr="007D1EF7">
        <w:rPr>
          <w:lang w:val="en-US"/>
        </w:rPr>
        <w:t xml:space="preserve">Results for an interference scenario with a PSD of –61.4 dB(W/Hz) input to a 34 m SRS ES antenna transmitting to the Lagrangian L2 point showed that the worst-case long-term availability (30 days, </w:t>
      </w:r>
      <w:r w:rsidR="009872B6" w:rsidRPr="007D1EF7">
        <w:rPr>
          <w:lang w:val="en-US"/>
        </w:rPr>
        <w:t>“</w:t>
      </w:r>
      <w:r w:rsidRPr="007D1EF7">
        <w:rPr>
          <w:lang w:val="en-US"/>
        </w:rPr>
        <w:t>Winter</w:t>
      </w:r>
      <w:r w:rsidR="009872B6" w:rsidRPr="007D1EF7">
        <w:rPr>
          <w:lang w:val="en-US"/>
        </w:rPr>
        <w:t>”</w:t>
      </w:r>
      <w:r w:rsidRPr="007D1EF7">
        <w:rPr>
          <w:lang w:val="en-US"/>
        </w:rPr>
        <w:t>) may vary from 99.9988% (</w:t>
      </w:r>
      <w:r w:rsidRPr="007D1EF7">
        <w:rPr>
          <w:i/>
          <w:iCs/>
          <w:lang w:val="en-US"/>
        </w:rPr>
        <w:t>I</w:t>
      </w:r>
      <w:r w:rsidRPr="007D1EF7">
        <w:rPr>
          <w:lang w:val="en-US"/>
        </w:rPr>
        <w:t>/</w:t>
      </w:r>
      <w:r w:rsidRPr="007D1EF7">
        <w:rPr>
          <w:i/>
          <w:iCs/>
          <w:lang w:val="en-US"/>
        </w:rPr>
        <w:t>N</w:t>
      </w:r>
      <w:r w:rsidRPr="007D1EF7">
        <w:rPr>
          <w:vertAlign w:val="subscript"/>
          <w:lang w:val="en-US"/>
        </w:rPr>
        <w:t>0</w:t>
      </w:r>
      <w:r w:rsidRPr="007D1EF7">
        <w:rPr>
          <w:lang w:val="en-US"/>
        </w:rPr>
        <w:t xml:space="preserve"> = –2.5 dB) to 99.9942% (</w:t>
      </w:r>
      <w:r w:rsidRPr="007D1EF7">
        <w:rPr>
          <w:i/>
          <w:iCs/>
          <w:lang w:val="en-US"/>
        </w:rPr>
        <w:t>I</w:t>
      </w:r>
      <w:r w:rsidRPr="007D1EF7">
        <w:rPr>
          <w:lang w:val="en-US"/>
        </w:rPr>
        <w:t>/</w:t>
      </w:r>
      <w:r w:rsidRPr="007D1EF7">
        <w:rPr>
          <w:i/>
          <w:iCs/>
          <w:lang w:val="en-US"/>
        </w:rPr>
        <w:t>N</w:t>
      </w:r>
      <w:r w:rsidRPr="007D1EF7">
        <w:rPr>
          <w:vertAlign w:val="subscript"/>
          <w:lang w:val="en-US"/>
        </w:rPr>
        <w:t>0</w:t>
      </w:r>
      <w:r w:rsidRPr="007D1EF7">
        <w:rPr>
          <w:lang w:val="en-US"/>
        </w:rPr>
        <w:t xml:space="preserve"> = –14.5 dB). Margins for this scenario are even larger than those of the Moon scenario.</w:t>
      </w:r>
    </w:p>
    <w:p w:rsidR="00AA2BE3" w:rsidRPr="007D1EF7" w:rsidRDefault="00AA2BE3" w:rsidP="00AA2BE3">
      <w:pPr>
        <w:rPr>
          <w:lang w:val="en-US"/>
        </w:rPr>
      </w:pPr>
      <w:r w:rsidRPr="007D1EF7">
        <w:rPr>
          <w:lang w:val="en-US"/>
        </w:rPr>
        <w:t xml:space="preserve">Based on the agreed protection criteria, these results confirm the feasibility of sharing. Furthermore, the results yielded by this deterministic approach have an excellent agreement with the statistical method results, thus providing an appropriate verification tool. </w:t>
      </w:r>
    </w:p>
    <w:p w:rsidR="00AA2BE3" w:rsidRPr="007D1EF7" w:rsidRDefault="00AA2BE3" w:rsidP="00AA2BE3">
      <w:pPr>
        <w:rPr>
          <w:lang w:val="en-US"/>
        </w:rPr>
      </w:pPr>
    </w:p>
    <w:p w:rsidR="00AA2BE3" w:rsidRPr="007D1EF7" w:rsidRDefault="00AA2BE3" w:rsidP="00192341">
      <w:pPr>
        <w:rPr>
          <w:caps/>
          <w:sz w:val="28"/>
          <w:lang w:val="en-US"/>
        </w:rPr>
      </w:pPr>
      <w:r w:rsidRPr="007D1EF7">
        <w:rPr>
          <w:lang w:val="en-US"/>
        </w:rPr>
        <w:br w:type="page"/>
      </w:r>
    </w:p>
    <w:p w:rsidR="00AA2BE3" w:rsidRPr="007D1EF7" w:rsidRDefault="00AA2BE3" w:rsidP="00BD064A">
      <w:pPr>
        <w:pStyle w:val="PartNo"/>
        <w:rPr>
          <w:lang w:val="en-US"/>
        </w:rPr>
      </w:pPr>
      <w:bookmarkStart w:id="58" w:name="_Toc277668620"/>
      <w:r w:rsidRPr="007D1EF7">
        <w:rPr>
          <w:lang w:val="en-US"/>
        </w:rPr>
        <w:lastRenderedPageBreak/>
        <w:t>PART I</w:t>
      </w:r>
      <w:bookmarkEnd w:id="58"/>
    </w:p>
    <w:p w:rsidR="00AA2BE3" w:rsidRPr="007D1EF7" w:rsidRDefault="00AA2BE3" w:rsidP="00AA2BE3">
      <w:pPr>
        <w:pStyle w:val="Parttitle"/>
        <w:rPr>
          <w:lang w:val="en-US"/>
        </w:rPr>
      </w:pPr>
      <w:r w:rsidRPr="007D1EF7">
        <w:rPr>
          <w:lang w:val="en-US"/>
        </w:rPr>
        <w:t>Scenarios and simulations description</w:t>
      </w:r>
    </w:p>
    <w:p w:rsidR="00AA2BE3" w:rsidRPr="007D1EF7" w:rsidRDefault="00AA2BE3" w:rsidP="00AA2BE3">
      <w:pPr>
        <w:pStyle w:val="Heading1"/>
        <w:rPr>
          <w:lang w:val="en-US"/>
        </w:rPr>
      </w:pPr>
      <w:bookmarkStart w:id="59" w:name="_Toc277668621"/>
      <w:r w:rsidRPr="007D1EF7">
        <w:rPr>
          <w:lang w:val="en-US"/>
        </w:rPr>
        <w:t>2</w:t>
      </w:r>
      <w:r w:rsidRPr="007D1EF7">
        <w:rPr>
          <w:lang w:val="en-US"/>
        </w:rPr>
        <w:tab/>
        <w:t>Interference scenario of the space research service transmissions to the Moon into space-to-space links of the inter-satellite service</w:t>
      </w:r>
      <w:bookmarkEnd w:id="59"/>
    </w:p>
    <w:p w:rsidR="00AA2BE3" w:rsidRPr="007D1EF7" w:rsidRDefault="00AA2BE3" w:rsidP="00AA2BE3">
      <w:pPr>
        <w:rPr>
          <w:lang w:val="en-US"/>
        </w:rPr>
      </w:pPr>
      <w:r w:rsidRPr="007D1EF7">
        <w:rPr>
          <w:lang w:val="en-US"/>
        </w:rPr>
        <w:t>Figure A5-1 shows a simplified version of the scenario to be analysed. Only 2 satellites comprising a single forward-link out of the 11 per plane are shown. A third satellite of an adjacent orbit completes the only cross-link shown out of the 11 operational between the two adjacent orbits. A more complete description of the satellite constellation will be given later.</w:t>
      </w:r>
    </w:p>
    <w:p w:rsidR="00AA2BE3" w:rsidRPr="007D1EF7" w:rsidRDefault="00AA2BE3" w:rsidP="00AA2BE3">
      <w:pPr>
        <w:pStyle w:val="FigureNo"/>
        <w:rPr>
          <w:lang w:val="en-US"/>
        </w:rPr>
      </w:pPr>
      <w:r w:rsidRPr="007D1EF7">
        <w:rPr>
          <w:lang w:val="en-US"/>
        </w:rPr>
        <w:t>Figure A5-1</w:t>
      </w:r>
    </w:p>
    <w:p w:rsidR="00AA2BE3" w:rsidRPr="007D1EF7" w:rsidRDefault="00AA2BE3" w:rsidP="00AA2BE3">
      <w:pPr>
        <w:pStyle w:val="Figuretitle"/>
        <w:rPr>
          <w:lang w:val="en-US"/>
        </w:rPr>
      </w:pPr>
      <w:r w:rsidRPr="007D1EF7">
        <w:rPr>
          <w:lang w:val="en-US"/>
        </w:rPr>
        <w:t>The interference scenario</w:t>
      </w:r>
    </w:p>
    <w:p w:rsidR="00BD064A" w:rsidRPr="007D1EF7" w:rsidRDefault="00DC4C77" w:rsidP="00BD064A">
      <w:pPr>
        <w:pStyle w:val="Figure"/>
        <w:rPr>
          <w:lang w:val="en-US"/>
        </w:rPr>
      </w:pPr>
      <w:r>
        <w:rPr>
          <w:noProof/>
          <w:lang w:val="en-US"/>
        </w:rPr>
        <w:pict>
          <v:shape id="_x0000_s1030" type="#_x0000_t75" style="position:absolute;left:0;text-align:left;margin-left:-3pt;margin-top:27.1pt;width:434.2pt;height:302.25pt;z-index:251664384">
            <v:imagedata r:id="rId41" o:title=""/>
            <w10:wrap type="topAndBottom"/>
          </v:shape>
          <o:OLEObject Type="Embed" ProgID="Word.Picture.8" ShapeID="_x0000_s1030" DrawAspect="Content" ObjectID="_1355747858" r:id="rId42"/>
        </w:pict>
      </w:r>
    </w:p>
    <w:p w:rsidR="00BD064A" w:rsidRPr="007D1EF7" w:rsidRDefault="00BD064A" w:rsidP="00192341">
      <w:pPr>
        <w:rPr>
          <w:lang w:val="en-US"/>
        </w:rPr>
      </w:pPr>
    </w:p>
    <w:p w:rsidR="00AA2BE3" w:rsidRPr="007D1EF7" w:rsidRDefault="00AA2BE3" w:rsidP="00192341">
      <w:pPr>
        <w:rPr>
          <w:lang w:val="en-US"/>
        </w:rPr>
      </w:pPr>
      <w:r w:rsidRPr="007D1EF7">
        <w:rPr>
          <w:lang w:val="en-US"/>
        </w:rPr>
        <w:t>The space research service earth station (SRS ES) will be transmitting through a very directive antenna towards the Moon. Therefore these emissions will reach the victim satellite with a different spectral power flux density (SPFD, dB (W/(Hz m</w:t>
      </w:r>
      <w:r w:rsidRPr="007D1EF7">
        <w:rPr>
          <w:vertAlign w:val="superscript"/>
          <w:lang w:val="en-US"/>
        </w:rPr>
        <w:t>2</w:t>
      </w:r>
      <w:r w:rsidRPr="007D1EF7">
        <w:rPr>
          <w:lang w:val="en-US"/>
        </w:rPr>
        <w:t>)) as a function of the SRS ES antenna off-axis angle (</w:t>
      </w:r>
      <w:r w:rsidRPr="00B21247">
        <w:t>α</w:t>
      </w:r>
      <w:r w:rsidRPr="007D1EF7">
        <w:rPr>
          <w:lang w:val="en-US"/>
        </w:rPr>
        <w:t>). As shown in Fig. A5-1 two totally different interference scenarios will be analysed depending on the inter-satellite link considered. The interference into the 11 forward-links that will depend on the inter-satellite antenna off-axis angle (</w:t>
      </w:r>
      <w:r w:rsidRPr="00B21247">
        <w:t>β</w:t>
      </w:r>
      <w:r w:rsidRPr="007D1EF7">
        <w:rPr>
          <w:lang w:val="en-US"/>
        </w:rPr>
        <w:t>) will be first analysed to finalize with the analysis of the interference into the 11 cross-links with off-axis angle (</w:t>
      </w:r>
      <w:r w:rsidRPr="00B21247">
        <w:t>γ</w:t>
      </w:r>
      <w:r w:rsidRPr="007D1EF7">
        <w:rPr>
          <w:lang w:val="en-US"/>
        </w:rPr>
        <w:t>).</w:t>
      </w:r>
    </w:p>
    <w:p w:rsidR="00AA2BE3" w:rsidRPr="007D1EF7" w:rsidRDefault="00AA2BE3" w:rsidP="00AA2BE3">
      <w:pPr>
        <w:rPr>
          <w:lang w:val="en-US"/>
        </w:rPr>
      </w:pPr>
      <w:r w:rsidRPr="007D1EF7">
        <w:rPr>
          <w:lang w:val="en-US"/>
        </w:rPr>
        <w:t>Further details to complete these scenarios will be provided in next paragraphs.</w:t>
      </w:r>
    </w:p>
    <w:p w:rsidR="00AA2BE3" w:rsidRPr="007D1EF7" w:rsidRDefault="00AA2BE3" w:rsidP="00AA2BE3">
      <w:pPr>
        <w:pStyle w:val="Heading2"/>
        <w:rPr>
          <w:lang w:val="en-US"/>
        </w:rPr>
      </w:pPr>
      <w:bookmarkStart w:id="60" w:name="_Toc277668622"/>
      <w:r w:rsidRPr="007D1EF7">
        <w:rPr>
          <w:lang w:val="en-US"/>
        </w:rPr>
        <w:lastRenderedPageBreak/>
        <w:t>2.1</w:t>
      </w:r>
      <w:r w:rsidRPr="007D1EF7">
        <w:rPr>
          <w:lang w:val="en-US"/>
        </w:rPr>
        <w:tab/>
        <w:t>The Earth</w:t>
      </w:r>
      <w:bookmarkEnd w:id="60"/>
    </w:p>
    <w:p w:rsidR="00AA2BE3" w:rsidRPr="007D1EF7" w:rsidRDefault="00AA2BE3" w:rsidP="00BD064A">
      <w:pPr>
        <w:rPr>
          <w:lang w:val="en-US"/>
        </w:rPr>
      </w:pPr>
      <w:r w:rsidRPr="007D1EF7">
        <w:rPr>
          <w:lang w:val="en-US"/>
        </w:rPr>
        <w:t>The Earth is considered to be a perfect sphere of 6 378 km of radius that is rotating with a period of 1 440 min around the North-South polar axis. The three-dimensional scenario described in paragraph above will be referred to the centre of the Earth.</w:t>
      </w:r>
    </w:p>
    <w:p w:rsidR="00AA2BE3" w:rsidRPr="007D1EF7" w:rsidRDefault="00AA2BE3" w:rsidP="00BD064A">
      <w:pPr>
        <w:rPr>
          <w:lang w:val="en-US"/>
        </w:rPr>
      </w:pPr>
      <w:r w:rsidRPr="007D1EF7">
        <w:rPr>
          <w:lang w:val="en-US"/>
        </w:rPr>
        <w:t xml:space="preserve">Table A5-1 summarizes the </w:t>
      </w:r>
      <w:r w:rsidRPr="007D1EF7">
        <w:rPr>
          <w:bCs/>
          <w:lang w:val="en-US"/>
        </w:rPr>
        <w:t>space research service earth station (SRS ES)</w:t>
      </w:r>
      <w:r w:rsidRPr="007D1EF7">
        <w:rPr>
          <w:lang w:val="en-US"/>
        </w:rPr>
        <w:t xml:space="preserve"> parameters used in this simulation. </w:t>
      </w:r>
    </w:p>
    <w:p w:rsidR="00A47FF8" w:rsidRPr="007D1EF7" w:rsidRDefault="00A47FF8" w:rsidP="00BD064A">
      <w:pPr>
        <w:rPr>
          <w:lang w:val="en-US"/>
        </w:rPr>
      </w:pPr>
    </w:p>
    <w:p w:rsidR="00AA2BE3" w:rsidRPr="007D1EF7" w:rsidRDefault="00BD064A" w:rsidP="00AA2BE3">
      <w:pPr>
        <w:pStyle w:val="TableNo"/>
        <w:rPr>
          <w:lang w:val="en-US"/>
        </w:rPr>
      </w:pPr>
      <w:r w:rsidRPr="007D1EF7">
        <w:rPr>
          <w:lang w:val="en-US"/>
        </w:rPr>
        <w:t>TABLE</w:t>
      </w:r>
      <w:r w:rsidR="00AA2BE3" w:rsidRPr="007D1EF7">
        <w:rPr>
          <w:lang w:val="en-US"/>
        </w:rPr>
        <w:t xml:space="preserve"> A5-1</w:t>
      </w:r>
    </w:p>
    <w:p w:rsidR="00AA2BE3" w:rsidRPr="007D1EF7" w:rsidRDefault="00AA2BE3" w:rsidP="00AA2BE3">
      <w:pPr>
        <w:pStyle w:val="Tabletitle"/>
        <w:rPr>
          <w:lang w:val="en-US"/>
        </w:rPr>
      </w:pPr>
      <w:r w:rsidRPr="007D1EF7">
        <w:rPr>
          <w:lang w:val="en-US"/>
        </w:rPr>
        <w:t>Summary of SRS ES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2835"/>
      </w:tblGrid>
      <w:tr w:rsidR="00BD064A" w:rsidRPr="006C2078" w:rsidTr="00BD064A">
        <w:trPr>
          <w:jc w:val="center"/>
        </w:trPr>
        <w:tc>
          <w:tcPr>
            <w:tcW w:w="5103" w:type="dxa"/>
          </w:tcPr>
          <w:p w:rsidR="00BD064A" w:rsidRPr="006C2078" w:rsidRDefault="00BD064A" w:rsidP="00BD064A">
            <w:pPr>
              <w:pStyle w:val="Tabletext"/>
              <w:jc w:val="left"/>
            </w:pPr>
            <w:r w:rsidRPr="006C2078">
              <w:t>Operating frequency</w:t>
            </w:r>
            <w:r>
              <w:t xml:space="preserve"> (GHz)</w:t>
            </w:r>
          </w:p>
        </w:tc>
        <w:tc>
          <w:tcPr>
            <w:tcW w:w="2835" w:type="dxa"/>
          </w:tcPr>
          <w:p w:rsidR="00BD064A" w:rsidRPr="006C2078" w:rsidRDefault="00BD064A" w:rsidP="00BD064A">
            <w:pPr>
              <w:pStyle w:val="Tabletext"/>
              <w:jc w:val="center"/>
            </w:pPr>
            <w:r w:rsidRPr="006C2078">
              <w:t>23.1</w:t>
            </w:r>
          </w:p>
        </w:tc>
      </w:tr>
      <w:tr w:rsidR="00BD064A" w:rsidRPr="006C2078" w:rsidTr="00BD064A">
        <w:trPr>
          <w:jc w:val="center"/>
        </w:trPr>
        <w:tc>
          <w:tcPr>
            <w:tcW w:w="5103" w:type="dxa"/>
          </w:tcPr>
          <w:p w:rsidR="00BD064A" w:rsidRPr="006C2078" w:rsidRDefault="00BD064A" w:rsidP="00BD064A">
            <w:pPr>
              <w:pStyle w:val="Tabletext"/>
              <w:jc w:val="left"/>
            </w:pPr>
            <w:r w:rsidRPr="006C2078">
              <w:t>SRS ES latitude</w:t>
            </w:r>
            <w:r>
              <w:t xml:space="preserve"> (degrees)</w:t>
            </w:r>
          </w:p>
        </w:tc>
        <w:tc>
          <w:tcPr>
            <w:tcW w:w="2835" w:type="dxa"/>
          </w:tcPr>
          <w:p w:rsidR="00BD064A" w:rsidRPr="006C2078" w:rsidRDefault="00BD064A" w:rsidP="00BD064A">
            <w:pPr>
              <w:pStyle w:val="Tabletext"/>
              <w:jc w:val="center"/>
            </w:pPr>
            <w:r w:rsidRPr="006C2078">
              <w:t>32.5 N</w:t>
            </w:r>
          </w:p>
        </w:tc>
      </w:tr>
      <w:tr w:rsidR="00BD064A" w:rsidRPr="006C2078" w:rsidTr="00BD064A">
        <w:trPr>
          <w:jc w:val="center"/>
        </w:trPr>
        <w:tc>
          <w:tcPr>
            <w:tcW w:w="5103" w:type="dxa"/>
          </w:tcPr>
          <w:p w:rsidR="00BD064A" w:rsidRPr="006C2078" w:rsidRDefault="00BD064A" w:rsidP="00BD064A">
            <w:pPr>
              <w:pStyle w:val="Tabletext"/>
              <w:jc w:val="left"/>
            </w:pPr>
            <w:r w:rsidRPr="006C2078">
              <w:t>SRS ES longitude</w:t>
            </w:r>
            <w:r>
              <w:t xml:space="preserve"> (degrees)</w:t>
            </w:r>
          </w:p>
        </w:tc>
        <w:tc>
          <w:tcPr>
            <w:tcW w:w="2835" w:type="dxa"/>
          </w:tcPr>
          <w:p w:rsidR="00BD064A" w:rsidRPr="006C2078" w:rsidRDefault="00BD064A" w:rsidP="00BD064A">
            <w:pPr>
              <w:pStyle w:val="Tabletext"/>
              <w:jc w:val="center"/>
            </w:pPr>
            <w:r w:rsidRPr="006C2078">
              <w:t>106.6 W</w:t>
            </w:r>
          </w:p>
        </w:tc>
      </w:tr>
      <w:tr w:rsidR="00BD064A" w:rsidRPr="006C2078" w:rsidTr="00BD064A">
        <w:trPr>
          <w:jc w:val="center"/>
        </w:trPr>
        <w:tc>
          <w:tcPr>
            <w:tcW w:w="5103" w:type="dxa"/>
          </w:tcPr>
          <w:p w:rsidR="00BD064A" w:rsidRPr="006C2078" w:rsidRDefault="00BD064A" w:rsidP="00BD064A">
            <w:pPr>
              <w:pStyle w:val="Tabletext"/>
              <w:jc w:val="left"/>
            </w:pPr>
            <w:r w:rsidRPr="006C2078">
              <w:t>Antenna diameter</w:t>
            </w:r>
            <w:r>
              <w:t xml:space="preserve"> (m)</w:t>
            </w:r>
          </w:p>
        </w:tc>
        <w:tc>
          <w:tcPr>
            <w:tcW w:w="2835" w:type="dxa"/>
          </w:tcPr>
          <w:p w:rsidR="00BD064A" w:rsidRPr="006C2078" w:rsidRDefault="00BD064A" w:rsidP="00BD064A">
            <w:pPr>
              <w:pStyle w:val="Tabletext"/>
              <w:jc w:val="center"/>
            </w:pPr>
            <w:r w:rsidRPr="006C2078">
              <w:t>18</w:t>
            </w:r>
          </w:p>
        </w:tc>
      </w:tr>
      <w:tr w:rsidR="00BD064A" w:rsidRPr="006C2078" w:rsidTr="00BD064A">
        <w:trPr>
          <w:jc w:val="center"/>
        </w:trPr>
        <w:tc>
          <w:tcPr>
            <w:tcW w:w="5103" w:type="dxa"/>
          </w:tcPr>
          <w:p w:rsidR="00BD064A" w:rsidRPr="006C2078" w:rsidRDefault="00BD064A" w:rsidP="00BD064A">
            <w:pPr>
              <w:pStyle w:val="Tabletext"/>
              <w:jc w:val="left"/>
            </w:pPr>
            <w:r w:rsidRPr="006C2078">
              <w:t>Maximum antenna gain</w:t>
            </w:r>
            <w:r>
              <w:t xml:space="preserve"> (dBi)</w:t>
            </w:r>
          </w:p>
        </w:tc>
        <w:tc>
          <w:tcPr>
            <w:tcW w:w="2835" w:type="dxa"/>
          </w:tcPr>
          <w:p w:rsidR="00BD064A" w:rsidRPr="006C2078" w:rsidRDefault="00BD064A" w:rsidP="00BD064A">
            <w:pPr>
              <w:pStyle w:val="Tabletext"/>
              <w:jc w:val="center"/>
            </w:pPr>
            <w:r w:rsidRPr="006C2078">
              <w:t>70.4</w:t>
            </w:r>
          </w:p>
        </w:tc>
      </w:tr>
      <w:tr w:rsidR="00BD064A" w:rsidRPr="006C2078" w:rsidTr="00BD064A">
        <w:trPr>
          <w:jc w:val="center"/>
        </w:trPr>
        <w:tc>
          <w:tcPr>
            <w:tcW w:w="5103" w:type="dxa"/>
          </w:tcPr>
          <w:p w:rsidR="00BD064A" w:rsidRPr="007D1EF7" w:rsidRDefault="00BD064A" w:rsidP="00BD064A">
            <w:pPr>
              <w:pStyle w:val="Tabletext"/>
              <w:jc w:val="left"/>
              <w:rPr>
                <w:lang w:val="en-US"/>
              </w:rPr>
            </w:pPr>
            <w:r w:rsidRPr="007D1EF7">
              <w:rPr>
                <w:lang w:val="en-US"/>
              </w:rPr>
              <w:t>Power-spectral density at antenna input (dB(W/Hz))</w:t>
            </w:r>
          </w:p>
        </w:tc>
        <w:tc>
          <w:tcPr>
            <w:tcW w:w="2835" w:type="dxa"/>
          </w:tcPr>
          <w:p w:rsidR="00BD064A" w:rsidRPr="006C2078" w:rsidRDefault="00BD064A" w:rsidP="00BD064A">
            <w:pPr>
              <w:pStyle w:val="Tabletext"/>
              <w:jc w:val="center"/>
            </w:pPr>
            <w:r w:rsidRPr="006C2078">
              <w:t>–47.9</w:t>
            </w:r>
          </w:p>
        </w:tc>
      </w:tr>
    </w:tbl>
    <w:p w:rsidR="00BD064A" w:rsidRDefault="00BD064A" w:rsidP="00BD064A">
      <w:pPr>
        <w:pStyle w:val="Tablefin"/>
      </w:pPr>
    </w:p>
    <w:p w:rsidR="00A47FF8" w:rsidRPr="00A47FF8" w:rsidRDefault="00A47FF8" w:rsidP="00A47FF8">
      <w:pPr>
        <w:rPr>
          <w:lang w:val="en-GB"/>
        </w:rPr>
      </w:pPr>
    </w:p>
    <w:p w:rsidR="00AA2BE3" w:rsidRPr="007D1EF7" w:rsidRDefault="00AA2BE3" w:rsidP="00192341">
      <w:pPr>
        <w:rPr>
          <w:lang w:val="en-US"/>
        </w:rPr>
      </w:pPr>
      <w:r w:rsidRPr="007D1EF7">
        <w:rPr>
          <w:lang w:val="en-US"/>
        </w:rPr>
        <w:t>The SRS ES antenna pattern used corresponds with the one in the RR Appendix 8, Annex III.</w:t>
      </w:r>
    </w:p>
    <w:p w:rsidR="00AA2BE3" w:rsidRPr="007D1EF7" w:rsidRDefault="00AA2BE3" w:rsidP="00AA2BE3">
      <w:pPr>
        <w:pStyle w:val="Heading2"/>
        <w:rPr>
          <w:lang w:val="en-US"/>
        </w:rPr>
      </w:pPr>
      <w:bookmarkStart w:id="61" w:name="_Toc277668623"/>
      <w:r w:rsidRPr="007D1EF7">
        <w:rPr>
          <w:lang w:val="en-US"/>
        </w:rPr>
        <w:t>2.2</w:t>
      </w:r>
      <w:r w:rsidRPr="007D1EF7">
        <w:rPr>
          <w:lang w:val="en-US"/>
        </w:rPr>
        <w:tab/>
        <w:t>The near-Earth satellite constellation</w:t>
      </w:r>
      <w:bookmarkEnd w:id="61"/>
    </w:p>
    <w:p w:rsidR="00AA2BE3" w:rsidRPr="007D1EF7" w:rsidRDefault="00AA2BE3" w:rsidP="00AA2BE3">
      <w:pPr>
        <w:rPr>
          <w:lang w:val="en-US"/>
        </w:rPr>
      </w:pPr>
      <w:r w:rsidRPr="007D1EF7">
        <w:rPr>
          <w:lang w:val="en-US"/>
        </w:rPr>
        <w:t>The near-Earth satellite constellation to be modelled is the HIBLEO-2 constellation with technical characteristics similar to the IRIDIUM constellation as published by the FCC in the Motorola application dated December 3, 1990.</w:t>
      </w:r>
    </w:p>
    <w:p w:rsidR="00AA2BE3" w:rsidRPr="007D1EF7" w:rsidRDefault="00AA2BE3" w:rsidP="00BD064A">
      <w:pPr>
        <w:rPr>
          <w:lang w:val="en-US"/>
        </w:rPr>
      </w:pPr>
      <w:r w:rsidRPr="007D1EF7">
        <w:rPr>
          <w:lang w:val="en-US"/>
        </w:rPr>
        <w:t>The asymmetric HIBLEO-2 constellation at an altitude of 780 km, inclination angle of 86.5</w:t>
      </w:r>
      <w:r w:rsidR="00BD064A" w:rsidRPr="007D1EF7">
        <w:rPr>
          <w:lang w:val="en-US"/>
        </w:rPr>
        <w:t>°</w:t>
      </w:r>
      <w:r w:rsidRPr="007D1EF7">
        <w:rPr>
          <w:lang w:val="en-US"/>
        </w:rPr>
        <w:t xml:space="preserve"> and orbital period of 100.45 min will be composed of 6 planes spaced 31.6</w:t>
      </w:r>
      <w:r w:rsidR="00BD064A" w:rsidRPr="007D1EF7">
        <w:rPr>
          <w:lang w:val="en-US"/>
        </w:rPr>
        <w:t>°</w:t>
      </w:r>
      <w:r w:rsidRPr="007D1EF7">
        <w:rPr>
          <w:lang w:val="en-US"/>
        </w:rPr>
        <w:t xml:space="preserve"> in the Right Ascension of the Ascending Node (RAAN). The 11 satellites per plane will be symmetrically spaced 32.7</w:t>
      </w:r>
      <w:r w:rsidR="00BD064A" w:rsidRPr="007D1EF7">
        <w:rPr>
          <w:lang w:val="en-US"/>
        </w:rPr>
        <w:t>°</w:t>
      </w:r>
      <w:r w:rsidRPr="007D1EF7">
        <w:rPr>
          <w:lang w:val="en-US"/>
        </w:rPr>
        <w:t xml:space="preserve"> with the appropriate phasing factor between the circular orbits of each plane to maximize the separation between satellites at the orbits crossing points.</w:t>
      </w:r>
    </w:p>
    <w:p w:rsidR="00AA2BE3" w:rsidRPr="007D1EF7" w:rsidRDefault="00AA2BE3" w:rsidP="00AA2BE3">
      <w:pPr>
        <w:rPr>
          <w:lang w:val="en-US"/>
        </w:rPr>
      </w:pPr>
      <w:r w:rsidRPr="007D1EF7">
        <w:rPr>
          <w:lang w:val="en-US"/>
        </w:rPr>
        <w:t xml:space="preserve">The antenna pattern to be used at this time will be composed of two main parts: the </w:t>
      </w:r>
      <w:r w:rsidR="009872B6" w:rsidRPr="007D1EF7">
        <w:rPr>
          <w:lang w:val="en-US"/>
        </w:rPr>
        <w:t>“</w:t>
      </w:r>
      <w:r w:rsidRPr="007D1EF7">
        <w:rPr>
          <w:lang w:val="en-US"/>
        </w:rPr>
        <w:t>back-lobe</w:t>
      </w:r>
      <w:r w:rsidR="009872B6" w:rsidRPr="007D1EF7">
        <w:rPr>
          <w:lang w:val="en-US"/>
        </w:rPr>
        <w:t>”</w:t>
      </w:r>
      <w:r w:rsidRPr="007D1EF7">
        <w:rPr>
          <w:lang w:val="en-US"/>
        </w:rPr>
        <w:t xml:space="preserve"> antenna gain of –10 dBi for off-axis angles between 36</w:t>
      </w:r>
      <w:r w:rsidR="00BD064A" w:rsidRPr="007D1EF7">
        <w:rPr>
          <w:lang w:val="en-US"/>
        </w:rPr>
        <w:t>°</w:t>
      </w:r>
      <w:r w:rsidRPr="007D1EF7">
        <w:rPr>
          <w:lang w:val="en-US"/>
        </w:rPr>
        <w:t xml:space="preserve"> to 180</w:t>
      </w:r>
      <w:r w:rsidR="00BD064A" w:rsidRPr="007D1EF7">
        <w:rPr>
          <w:lang w:val="en-US"/>
        </w:rPr>
        <w:t>°</w:t>
      </w:r>
      <w:r w:rsidRPr="007D1EF7">
        <w:rPr>
          <w:lang w:val="en-US"/>
        </w:rPr>
        <w:t xml:space="preserve"> and gains above 0 dBi for off</w:t>
      </w:r>
      <w:r w:rsidRPr="007D1EF7">
        <w:rPr>
          <w:lang w:val="en-US"/>
        </w:rPr>
        <w:noBreakHyphen/>
        <w:t>axis angles smaller than 36</w:t>
      </w:r>
      <w:r w:rsidR="00BD064A" w:rsidRPr="007D1EF7">
        <w:rPr>
          <w:lang w:val="en-US"/>
        </w:rPr>
        <w:t>°</w:t>
      </w:r>
      <w:r w:rsidRPr="007D1EF7">
        <w:rPr>
          <w:lang w:val="en-US"/>
        </w:rPr>
        <w:t xml:space="preserve"> A more detailed antenna pattern will be used and described again in Parts II, III and IV. The equations implemented in the simulations used in this Part I are: </w:t>
      </w:r>
    </w:p>
    <w:p w:rsidR="00AA2BE3" w:rsidRPr="007D1EF7" w:rsidRDefault="00BD064A" w:rsidP="00BD064A">
      <w:pPr>
        <w:tabs>
          <w:tab w:val="clear" w:pos="1191"/>
          <w:tab w:val="clear" w:pos="1588"/>
          <w:tab w:val="clear" w:pos="1985"/>
          <w:tab w:val="left" w:pos="3686"/>
          <w:tab w:val="left" w:pos="5557"/>
          <w:tab w:val="left" w:pos="5727"/>
        </w:tabs>
        <w:rPr>
          <w:iCs/>
          <w:lang w:val="en-US"/>
        </w:rPr>
      </w:pPr>
      <w:r w:rsidRPr="007D1EF7">
        <w:rPr>
          <w:i/>
          <w:lang w:val="en-US"/>
        </w:rPr>
        <w:tab/>
      </w:r>
      <w:r w:rsidR="00AA2BE3" w:rsidRPr="007D1EF7">
        <w:rPr>
          <w:i/>
          <w:lang w:val="en-US"/>
        </w:rPr>
        <w:t>G</w:t>
      </w:r>
      <w:r w:rsidR="00AA2BE3" w:rsidRPr="007D1EF7">
        <w:rPr>
          <w:iCs/>
          <w:lang w:val="en-US"/>
        </w:rPr>
        <w:t>(</w:t>
      </w:r>
      <w:r>
        <w:rPr>
          <w:iCs/>
        </w:rPr>
        <w:sym w:font="Symbol" w:char="F071"/>
      </w:r>
      <w:r w:rsidR="00AA2BE3" w:rsidRPr="007D1EF7">
        <w:rPr>
          <w:iCs/>
          <w:lang w:val="en-US"/>
        </w:rPr>
        <w:t>)</w:t>
      </w:r>
      <w:r w:rsidRPr="007D1EF7">
        <w:rPr>
          <w:iCs/>
          <w:lang w:val="en-US"/>
        </w:rPr>
        <w:t xml:space="preserve"> </w:t>
      </w:r>
      <w:r w:rsidR="00AA2BE3" w:rsidRPr="007D1EF7">
        <w:rPr>
          <w:iCs/>
          <w:lang w:val="en-US"/>
        </w:rPr>
        <w:t>=</w:t>
      </w:r>
      <w:r w:rsidRPr="007D1EF7">
        <w:rPr>
          <w:iCs/>
          <w:lang w:val="en-US"/>
        </w:rPr>
        <w:t xml:space="preserve"> </w:t>
      </w:r>
      <w:r w:rsidR="00AA2BE3" w:rsidRPr="007D1EF7">
        <w:rPr>
          <w:iCs/>
          <w:lang w:val="en-US"/>
        </w:rPr>
        <w:t>36.7</w:t>
      </w:r>
      <w:r w:rsidR="00AA2BE3" w:rsidRPr="007D1EF7">
        <w:rPr>
          <w:iCs/>
          <w:lang w:val="en-US"/>
        </w:rPr>
        <w:tab/>
        <w:t>dBi</w:t>
      </w:r>
      <w:r w:rsidR="00AA2BE3" w:rsidRPr="007D1EF7">
        <w:rPr>
          <w:iCs/>
          <w:lang w:val="en-US"/>
        </w:rPr>
        <w:tab/>
      </w:r>
      <w:r w:rsidRPr="007D1EF7">
        <w:rPr>
          <w:iCs/>
          <w:lang w:val="en-US"/>
        </w:rPr>
        <w:tab/>
      </w:r>
      <w:r>
        <w:rPr>
          <w:iCs/>
        </w:rPr>
        <w:sym w:font="Symbol" w:char="F071"/>
      </w:r>
      <w:r w:rsidR="00AA2BE3" w:rsidRPr="007D1EF7">
        <w:rPr>
          <w:iCs/>
          <w:lang w:val="en-US"/>
        </w:rPr>
        <w:t xml:space="preserve"> &lt;</w:t>
      </w:r>
      <w:r w:rsidRPr="007D1EF7">
        <w:rPr>
          <w:iCs/>
          <w:lang w:val="en-US"/>
        </w:rPr>
        <w:t xml:space="preserve"> </w:t>
      </w:r>
      <w:r w:rsidR="00AA2BE3" w:rsidRPr="007D1EF7">
        <w:rPr>
          <w:iCs/>
          <w:lang w:val="en-US"/>
        </w:rPr>
        <w:t>1.2</w:t>
      </w:r>
      <w:r w:rsidRPr="007D1EF7">
        <w:rPr>
          <w:iCs/>
          <w:lang w:val="en-US"/>
        </w:rPr>
        <w:t>°</w:t>
      </w:r>
    </w:p>
    <w:p w:rsidR="00AA2BE3" w:rsidRPr="007D1EF7" w:rsidRDefault="00BD064A" w:rsidP="00EB0992">
      <w:pPr>
        <w:tabs>
          <w:tab w:val="clear" w:pos="1191"/>
          <w:tab w:val="clear" w:pos="1588"/>
          <w:tab w:val="clear" w:pos="1985"/>
          <w:tab w:val="left" w:pos="3686"/>
          <w:tab w:val="left" w:pos="5103"/>
          <w:tab w:val="left" w:pos="5557"/>
          <w:tab w:val="left" w:pos="5727"/>
        </w:tabs>
        <w:rPr>
          <w:iCs/>
          <w:lang w:val="en-US"/>
        </w:rPr>
      </w:pPr>
      <w:r w:rsidRPr="007D1EF7">
        <w:rPr>
          <w:i/>
          <w:lang w:val="en-US"/>
        </w:rPr>
        <w:tab/>
      </w:r>
      <w:r w:rsidR="00AA2BE3" w:rsidRPr="007D1EF7">
        <w:rPr>
          <w:i/>
          <w:lang w:val="en-US"/>
        </w:rPr>
        <w:t>G</w:t>
      </w:r>
      <w:r w:rsidR="00AA2BE3" w:rsidRPr="007D1EF7">
        <w:rPr>
          <w:iCs/>
          <w:lang w:val="en-US"/>
        </w:rPr>
        <w:t>(</w:t>
      </w:r>
      <w:r>
        <w:rPr>
          <w:iCs/>
        </w:rPr>
        <w:sym w:font="Symbol" w:char="F071"/>
      </w:r>
      <w:r w:rsidR="00AA2BE3" w:rsidRPr="007D1EF7">
        <w:rPr>
          <w:iCs/>
          <w:lang w:val="en-US"/>
        </w:rPr>
        <w:t>)</w:t>
      </w:r>
      <w:r w:rsidRPr="007D1EF7">
        <w:rPr>
          <w:iCs/>
          <w:lang w:val="en-US"/>
        </w:rPr>
        <w:t xml:space="preserve"> </w:t>
      </w:r>
      <w:r w:rsidR="00AA2BE3" w:rsidRPr="007D1EF7">
        <w:rPr>
          <w:iCs/>
          <w:lang w:val="en-US"/>
        </w:rPr>
        <w:t>=</w:t>
      </w:r>
      <w:r w:rsidRPr="007D1EF7">
        <w:rPr>
          <w:iCs/>
          <w:lang w:val="en-US"/>
        </w:rPr>
        <w:t xml:space="preserve"> </w:t>
      </w:r>
      <w:r w:rsidR="00AA2BE3" w:rsidRPr="007D1EF7">
        <w:rPr>
          <w:iCs/>
          <w:lang w:val="en-US"/>
        </w:rPr>
        <w:t>36.7-3</w:t>
      </w:r>
      <w:r w:rsidR="00EB0992" w:rsidRPr="007D1EF7">
        <w:rPr>
          <w:iCs/>
          <w:lang w:val="en-US"/>
        </w:rPr>
        <w:t xml:space="preserve"> </w:t>
      </w:r>
      <w:r w:rsidR="00EB0992">
        <w:rPr>
          <w:iCs/>
        </w:rPr>
        <w:sym w:font="Symbol" w:char="F0B4"/>
      </w:r>
      <w:r w:rsidR="00EB0992" w:rsidRPr="007D1EF7">
        <w:rPr>
          <w:iCs/>
          <w:lang w:val="en-US"/>
        </w:rPr>
        <w:t xml:space="preserve"> </w:t>
      </w:r>
      <w:r w:rsidR="00AA2BE3" w:rsidRPr="007D1EF7">
        <w:rPr>
          <w:iCs/>
          <w:lang w:val="en-US"/>
        </w:rPr>
        <w:t>(</w:t>
      </w:r>
      <w:r>
        <w:rPr>
          <w:iCs/>
        </w:rPr>
        <w:sym w:font="Symbol" w:char="F071"/>
      </w:r>
      <w:r w:rsidR="00AA2BE3" w:rsidRPr="007D1EF7">
        <w:rPr>
          <w:iCs/>
          <w:lang w:val="en-US"/>
        </w:rPr>
        <w:t>/1.2)</w:t>
      </w:r>
      <w:r w:rsidR="00AA2BE3" w:rsidRPr="007D1EF7">
        <w:rPr>
          <w:iCs/>
          <w:vertAlign w:val="superscript"/>
          <w:lang w:val="en-US"/>
        </w:rPr>
        <w:t>2</w:t>
      </w:r>
      <w:r w:rsidR="00AA2BE3" w:rsidRPr="007D1EF7">
        <w:rPr>
          <w:iCs/>
          <w:vertAlign w:val="superscript"/>
          <w:lang w:val="en-US"/>
        </w:rPr>
        <w:tab/>
      </w:r>
      <w:r w:rsidR="00AA2BE3" w:rsidRPr="007D1EF7">
        <w:rPr>
          <w:iCs/>
          <w:lang w:val="en-US"/>
        </w:rPr>
        <w:t>dBi</w:t>
      </w:r>
      <w:r w:rsidR="00AA2BE3" w:rsidRPr="007D1EF7">
        <w:rPr>
          <w:iCs/>
          <w:lang w:val="en-US"/>
        </w:rPr>
        <w:tab/>
        <w:t>1.2</w:t>
      </w:r>
      <w:r w:rsidRPr="007D1EF7">
        <w:rPr>
          <w:iCs/>
          <w:lang w:val="en-US"/>
        </w:rPr>
        <w:t>°</w:t>
      </w:r>
      <w:r w:rsidRPr="007D1EF7">
        <w:rPr>
          <w:iCs/>
          <w:lang w:val="en-US"/>
        </w:rPr>
        <w:tab/>
      </w:r>
      <w:r w:rsidR="00AA2BE3" w:rsidRPr="00B21247">
        <w:rPr>
          <w:rFonts w:ascii="Symbol" w:hAnsi="Symbol"/>
          <w:iCs/>
        </w:rPr>
        <w:t></w:t>
      </w:r>
      <w:r w:rsidRPr="007D1EF7">
        <w:rPr>
          <w:rFonts w:asciiTheme="majorBidi" w:hAnsiTheme="majorBidi" w:cstheme="majorBidi"/>
          <w:iCs/>
          <w:lang w:val="en-US"/>
        </w:rPr>
        <w:tab/>
      </w:r>
      <w:r>
        <w:rPr>
          <w:rFonts w:asciiTheme="majorBidi" w:hAnsiTheme="majorBidi" w:cstheme="majorBidi"/>
          <w:iCs/>
        </w:rPr>
        <w:sym w:font="Symbol" w:char="F071"/>
      </w:r>
      <w:r w:rsidR="00AA2BE3" w:rsidRPr="007D1EF7">
        <w:rPr>
          <w:iCs/>
          <w:lang w:val="en-US"/>
        </w:rPr>
        <w:t xml:space="preserve"> &lt;</w:t>
      </w:r>
      <w:r w:rsidRPr="007D1EF7">
        <w:rPr>
          <w:iCs/>
          <w:lang w:val="en-US"/>
        </w:rPr>
        <w:t xml:space="preserve"> </w:t>
      </w:r>
      <w:r w:rsidR="00AA2BE3" w:rsidRPr="007D1EF7">
        <w:rPr>
          <w:iCs/>
          <w:lang w:val="en-US"/>
        </w:rPr>
        <w:t>3.1</w:t>
      </w:r>
      <w:r w:rsidRPr="007D1EF7">
        <w:rPr>
          <w:iCs/>
          <w:lang w:val="en-US"/>
        </w:rPr>
        <w:t>°</w:t>
      </w:r>
    </w:p>
    <w:p w:rsidR="00AA2BE3" w:rsidRPr="007D1EF7" w:rsidRDefault="00BD064A" w:rsidP="00BD064A">
      <w:pPr>
        <w:tabs>
          <w:tab w:val="clear" w:pos="1191"/>
          <w:tab w:val="clear" w:pos="1588"/>
          <w:tab w:val="clear" w:pos="1985"/>
          <w:tab w:val="left" w:pos="3686"/>
          <w:tab w:val="left" w:pos="5103"/>
          <w:tab w:val="left" w:pos="5557"/>
        </w:tabs>
        <w:rPr>
          <w:iCs/>
          <w:lang w:val="en-US"/>
        </w:rPr>
      </w:pPr>
      <w:r w:rsidRPr="007D1EF7">
        <w:rPr>
          <w:i/>
          <w:lang w:val="en-US"/>
        </w:rPr>
        <w:tab/>
      </w:r>
      <w:r w:rsidR="00AA2BE3" w:rsidRPr="007D1EF7">
        <w:rPr>
          <w:i/>
          <w:lang w:val="en-US"/>
        </w:rPr>
        <w:t>G</w:t>
      </w:r>
      <w:r w:rsidR="00AA2BE3" w:rsidRPr="007D1EF7">
        <w:rPr>
          <w:iCs/>
          <w:lang w:val="en-US"/>
        </w:rPr>
        <w:t>(</w:t>
      </w:r>
      <w:r>
        <w:rPr>
          <w:iCs/>
        </w:rPr>
        <w:sym w:font="Symbol" w:char="F071"/>
      </w:r>
      <w:r w:rsidR="00AA2BE3" w:rsidRPr="007D1EF7">
        <w:rPr>
          <w:iCs/>
          <w:lang w:val="en-US"/>
        </w:rPr>
        <w:t>)</w:t>
      </w:r>
      <w:r w:rsidRPr="007D1EF7">
        <w:rPr>
          <w:iCs/>
          <w:lang w:val="en-US"/>
        </w:rPr>
        <w:t xml:space="preserve"> </w:t>
      </w:r>
      <w:r w:rsidR="00AA2BE3" w:rsidRPr="007D1EF7">
        <w:rPr>
          <w:iCs/>
          <w:lang w:val="en-US"/>
        </w:rPr>
        <w:t>=</w:t>
      </w:r>
      <w:r w:rsidRPr="007D1EF7">
        <w:rPr>
          <w:iCs/>
          <w:lang w:val="en-US"/>
        </w:rPr>
        <w:t xml:space="preserve"> </w:t>
      </w:r>
      <w:r w:rsidR="00AA2BE3" w:rsidRPr="007D1EF7">
        <w:rPr>
          <w:iCs/>
          <w:lang w:val="en-US"/>
        </w:rPr>
        <w:t>17</w:t>
      </w:r>
      <w:r w:rsidR="00AA2BE3" w:rsidRPr="007D1EF7">
        <w:rPr>
          <w:iCs/>
          <w:lang w:val="en-US"/>
        </w:rPr>
        <w:tab/>
      </w:r>
      <w:r w:rsidRPr="007D1EF7">
        <w:rPr>
          <w:iCs/>
          <w:lang w:val="en-US"/>
        </w:rPr>
        <w:t>dBi</w:t>
      </w:r>
      <w:r w:rsidRPr="007D1EF7">
        <w:rPr>
          <w:iCs/>
          <w:lang w:val="en-US"/>
        </w:rPr>
        <w:tab/>
      </w:r>
      <w:r w:rsidR="00AA2BE3" w:rsidRPr="007D1EF7">
        <w:rPr>
          <w:iCs/>
          <w:lang w:val="en-US"/>
        </w:rPr>
        <w:t>3.1</w:t>
      </w:r>
      <w:r w:rsidRPr="007D1EF7">
        <w:rPr>
          <w:iCs/>
          <w:lang w:val="en-US"/>
        </w:rPr>
        <w:t>°</w:t>
      </w:r>
      <w:r w:rsidRPr="007D1EF7">
        <w:rPr>
          <w:iCs/>
          <w:lang w:val="en-US"/>
        </w:rPr>
        <w:tab/>
      </w:r>
      <w:r w:rsidR="00AA2BE3" w:rsidRPr="00B21247">
        <w:rPr>
          <w:rFonts w:ascii="Symbol" w:hAnsi="Symbol"/>
          <w:iCs/>
        </w:rPr>
        <w:t></w:t>
      </w:r>
      <w:r w:rsidRPr="007D1EF7">
        <w:rPr>
          <w:rFonts w:asciiTheme="majorBidi" w:hAnsiTheme="majorBidi" w:cstheme="majorBidi"/>
          <w:iCs/>
          <w:lang w:val="en-US"/>
        </w:rPr>
        <w:tab/>
      </w:r>
      <w:r>
        <w:rPr>
          <w:rFonts w:asciiTheme="majorBidi" w:hAnsiTheme="majorBidi" w:cstheme="majorBidi"/>
          <w:iCs/>
        </w:rPr>
        <w:sym w:font="Symbol" w:char="F071"/>
      </w:r>
      <w:r w:rsidR="00AA2BE3" w:rsidRPr="007D1EF7">
        <w:rPr>
          <w:iCs/>
          <w:lang w:val="en-US"/>
        </w:rPr>
        <w:t xml:space="preserve"> &lt;</w:t>
      </w:r>
      <w:r w:rsidRPr="007D1EF7">
        <w:rPr>
          <w:iCs/>
          <w:lang w:val="en-US"/>
        </w:rPr>
        <w:t xml:space="preserve"> </w:t>
      </w:r>
      <w:r w:rsidR="00AA2BE3" w:rsidRPr="007D1EF7">
        <w:rPr>
          <w:iCs/>
          <w:lang w:val="en-US"/>
        </w:rPr>
        <w:t>7.6</w:t>
      </w:r>
      <w:r w:rsidRPr="007D1EF7">
        <w:rPr>
          <w:iCs/>
          <w:lang w:val="en-US"/>
        </w:rPr>
        <w:t>°</w:t>
      </w:r>
    </w:p>
    <w:p w:rsidR="00AA2BE3" w:rsidRPr="007D1EF7" w:rsidRDefault="00BD064A" w:rsidP="00BD064A">
      <w:pPr>
        <w:tabs>
          <w:tab w:val="clear" w:pos="1191"/>
          <w:tab w:val="clear" w:pos="1588"/>
          <w:tab w:val="clear" w:pos="1985"/>
          <w:tab w:val="left" w:pos="3686"/>
          <w:tab w:val="left" w:pos="5103"/>
          <w:tab w:val="left" w:pos="5557"/>
        </w:tabs>
        <w:rPr>
          <w:iCs/>
          <w:lang w:val="en-US"/>
        </w:rPr>
      </w:pPr>
      <w:r w:rsidRPr="007D1EF7">
        <w:rPr>
          <w:i/>
          <w:lang w:val="en-US"/>
        </w:rPr>
        <w:tab/>
      </w:r>
      <w:r w:rsidR="00AA2BE3" w:rsidRPr="007D1EF7">
        <w:rPr>
          <w:i/>
          <w:lang w:val="en-US"/>
        </w:rPr>
        <w:t>G</w:t>
      </w:r>
      <w:r w:rsidR="00AA2BE3" w:rsidRPr="007D1EF7">
        <w:rPr>
          <w:iCs/>
          <w:lang w:val="en-US"/>
        </w:rPr>
        <w:t>(</w:t>
      </w:r>
      <w:r>
        <w:rPr>
          <w:iCs/>
        </w:rPr>
        <w:sym w:font="Symbol" w:char="F071"/>
      </w:r>
      <w:r w:rsidR="00AA2BE3" w:rsidRPr="007D1EF7">
        <w:rPr>
          <w:iCs/>
          <w:lang w:val="en-US"/>
        </w:rPr>
        <w:t>)</w:t>
      </w:r>
      <w:r w:rsidRPr="007D1EF7">
        <w:rPr>
          <w:iCs/>
          <w:lang w:val="en-US"/>
        </w:rPr>
        <w:t xml:space="preserve"> </w:t>
      </w:r>
      <w:r w:rsidR="00AA2BE3" w:rsidRPr="007D1EF7">
        <w:rPr>
          <w:iCs/>
          <w:lang w:val="en-US"/>
        </w:rPr>
        <w:t>=</w:t>
      </w:r>
      <w:r w:rsidRPr="007D1EF7">
        <w:rPr>
          <w:iCs/>
          <w:lang w:val="en-US"/>
        </w:rPr>
        <w:t xml:space="preserve"> </w:t>
      </w:r>
      <w:r w:rsidR="00AA2BE3" w:rsidRPr="007D1EF7">
        <w:rPr>
          <w:iCs/>
          <w:lang w:val="en-US"/>
        </w:rPr>
        <w:t>39-25 log(</w:t>
      </w:r>
      <w:r>
        <w:rPr>
          <w:iCs/>
        </w:rPr>
        <w:sym w:font="Symbol" w:char="F071"/>
      </w:r>
      <w:r w:rsidR="00AA2BE3" w:rsidRPr="007D1EF7">
        <w:rPr>
          <w:iCs/>
          <w:lang w:val="en-US"/>
        </w:rPr>
        <w:t>)</w:t>
      </w:r>
      <w:r w:rsidR="00AA2BE3" w:rsidRPr="007D1EF7">
        <w:rPr>
          <w:iCs/>
          <w:lang w:val="en-US"/>
        </w:rPr>
        <w:tab/>
        <w:t>dBi</w:t>
      </w:r>
      <w:r w:rsidR="00AA2BE3" w:rsidRPr="007D1EF7">
        <w:rPr>
          <w:iCs/>
          <w:lang w:val="en-US"/>
        </w:rPr>
        <w:tab/>
        <w:t>7.6</w:t>
      </w:r>
      <w:r w:rsidRPr="007D1EF7">
        <w:rPr>
          <w:iCs/>
          <w:lang w:val="en-US"/>
        </w:rPr>
        <w:t>°</w:t>
      </w:r>
      <w:r w:rsidRPr="007D1EF7">
        <w:rPr>
          <w:iCs/>
          <w:lang w:val="en-US"/>
        </w:rPr>
        <w:tab/>
      </w:r>
      <w:r w:rsidR="00AA2BE3" w:rsidRPr="00B21247">
        <w:rPr>
          <w:rFonts w:ascii="Symbol" w:hAnsi="Symbol"/>
          <w:iCs/>
        </w:rPr>
        <w:t></w:t>
      </w:r>
      <w:r w:rsidRPr="007D1EF7">
        <w:rPr>
          <w:rFonts w:asciiTheme="majorBidi" w:hAnsiTheme="majorBidi" w:cstheme="majorBidi"/>
          <w:iCs/>
          <w:lang w:val="en-US"/>
        </w:rPr>
        <w:tab/>
      </w:r>
      <w:r>
        <w:rPr>
          <w:rFonts w:asciiTheme="majorBidi" w:hAnsiTheme="majorBidi" w:cstheme="majorBidi"/>
          <w:iCs/>
        </w:rPr>
        <w:sym w:font="Symbol" w:char="F071"/>
      </w:r>
      <w:r w:rsidR="00AA2BE3" w:rsidRPr="007D1EF7">
        <w:rPr>
          <w:iCs/>
          <w:lang w:val="en-US"/>
        </w:rPr>
        <w:t xml:space="preserve"> &lt;</w:t>
      </w:r>
      <w:r w:rsidRPr="007D1EF7">
        <w:rPr>
          <w:iCs/>
          <w:lang w:val="en-US"/>
        </w:rPr>
        <w:t xml:space="preserve"> </w:t>
      </w:r>
      <w:r w:rsidR="00AA2BE3" w:rsidRPr="007D1EF7">
        <w:rPr>
          <w:iCs/>
          <w:lang w:val="en-US"/>
        </w:rPr>
        <w:t>36</w:t>
      </w:r>
      <w:r w:rsidRPr="007D1EF7">
        <w:rPr>
          <w:iCs/>
          <w:lang w:val="en-US"/>
        </w:rPr>
        <w:t>°</w:t>
      </w:r>
    </w:p>
    <w:p w:rsidR="00AA2BE3" w:rsidRPr="007D1EF7" w:rsidRDefault="00BD064A" w:rsidP="00BD064A">
      <w:pPr>
        <w:tabs>
          <w:tab w:val="clear" w:pos="1191"/>
          <w:tab w:val="clear" w:pos="1588"/>
          <w:tab w:val="clear" w:pos="1985"/>
          <w:tab w:val="left" w:pos="3686"/>
          <w:tab w:val="left" w:pos="5103"/>
          <w:tab w:val="left" w:pos="5557"/>
        </w:tabs>
        <w:rPr>
          <w:iCs/>
          <w:lang w:val="en-US"/>
        </w:rPr>
      </w:pPr>
      <w:r w:rsidRPr="007D1EF7">
        <w:rPr>
          <w:i/>
          <w:lang w:val="en-US"/>
        </w:rPr>
        <w:tab/>
      </w:r>
      <w:r w:rsidR="00AA2BE3" w:rsidRPr="007D1EF7">
        <w:rPr>
          <w:i/>
          <w:lang w:val="en-US"/>
        </w:rPr>
        <w:t>G</w:t>
      </w:r>
      <w:r w:rsidR="00AA2BE3" w:rsidRPr="007D1EF7">
        <w:rPr>
          <w:iCs/>
          <w:lang w:val="en-US"/>
        </w:rPr>
        <w:t>(</w:t>
      </w:r>
      <w:r>
        <w:rPr>
          <w:iCs/>
        </w:rPr>
        <w:sym w:font="Symbol" w:char="F071"/>
      </w:r>
      <w:r w:rsidR="00AA2BE3" w:rsidRPr="007D1EF7">
        <w:rPr>
          <w:iCs/>
          <w:lang w:val="en-US"/>
        </w:rPr>
        <w:t>)</w:t>
      </w:r>
      <w:r w:rsidRPr="007D1EF7">
        <w:rPr>
          <w:iCs/>
          <w:lang w:val="en-US"/>
        </w:rPr>
        <w:t xml:space="preserve"> </w:t>
      </w:r>
      <w:r w:rsidR="00AA2BE3" w:rsidRPr="007D1EF7">
        <w:rPr>
          <w:iCs/>
          <w:lang w:val="en-US"/>
        </w:rPr>
        <w:t>=</w:t>
      </w:r>
      <w:r w:rsidRPr="007D1EF7">
        <w:rPr>
          <w:iCs/>
          <w:lang w:val="en-US"/>
        </w:rPr>
        <w:t xml:space="preserve"> </w:t>
      </w:r>
      <w:r w:rsidR="00AA2BE3" w:rsidRPr="007D1EF7">
        <w:rPr>
          <w:iCs/>
          <w:lang w:val="en-US"/>
        </w:rPr>
        <w:t>–10</w:t>
      </w:r>
      <w:r w:rsidR="00AA2BE3" w:rsidRPr="007D1EF7">
        <w:rPr>
          <w:iCs/>
          <w:lang w:val="en-US"/>
        </w:rPr>
        <w:tab/>
        <w:t>dBi</w:t>
      </w:r>
      <w:r w:rsidR="00AA2BE3" w:rsidRPr="007D1EF7">
        <w:rPr>
          <w:iCs/>
          <w:lang w:val="en-US"/>
        </w:rPr>
        <w:tab/>
        <w:t>36</w:t>
      </w:r>
      <w:r w:rsidRPr="007D1EF7">
        <w:rPr>
          <w:iCs/>
          <w:lang w:val="en-US"/>
        </w:rPr>
        <w:t>°</w:t>
      </w:r>
      <w:r w:rsidRPr="007D1EF7">
        <w:rPr>
          <w:iCs/>
          <w:lang w:val="en-US"/>
        </w:rPr>
        <w:tab/>
      </w:r>
      <w:r w:rsidR="00AA2BE3" w:rsidRPr="00B21247">
        <w:rPr>
          <w:rFonts w:ascii="Symbol" w:hAnsi="Symbol"/>
          <w:iCs/>
        </w:rPr>
        <w:t></w:t>
      </w:r>
      <w:r w:rsidRPr="007D1EF7">
        <w:rPr>
          <w:rFonts w:asciiTheme="majorBidi" w:hAnsiTheme="majorBidi" w:cstheme="majorBidi"/>
          <w:iCs/>
          <w:lang w:val="en-US"/>
        </w:rPr>
        <w:tab/>
      </w:r>
      <w:r>
        <w:rPr>
          <w:rFonts w:asciiTheme="majorBidi" w:hAnsiTheme="majorBidi" w:cstheme="majorBidi"/>
          <w:iCs/>
        </w:rPr>
        <w:sym w:font="Symbol" w:char="F071"/>
      </w:r>
      <w:r w:rsidR="00AA2BE3" w:rsidRPr="007D1EF7">
        <w:rPr>
          <w:iCs/>
          <w:lang w:val="en-US"/>
        </w:rPr>
        <w:t xml:space="preserve"> &lt;</w:t>
      </w:r>
      <w:r w:rsidRPr="007D1EF7">
        <w:rPr>
          <w:iCs/>
          <w:lang w:val="en-US"/>
        </w:rPr>
        <w:t xml:space="preserve"> </w:t>
      </w:r>
      <w:r w:rsidR="00AA2BE3" w:rsidRPr="007D1EF7">
        <w:rPr>
          <w:iCs/>
          <w:lang w:val="en-US"/>
        </w:rPr>
        <w:t>180</w:t>
      </w:r>
      <w:r w:rsidRPr="007D1EF7">
        <w:rPr>
          <w:iCs/>
          <w:lang w:val="en-US"/>
        </w:rPr>
        <w:t>°</w:t>
      </w:r>
    </w:p>
    <w:p w:rsidR="00AA2BE3" w:rsidRPr="007D1EF7" w:rsidRDefault="00AA2BE3" w:rsidP="00BD064A">
      <w:pPr>
        <w:rPr>
          <w:lang w:val="en-US"/>
        </w:rPr>
      </w:pPr>
      <w:r w:rsidRPr="007D1EF7">
        <w:rPr>
          <w:lang w:val="en-US"/>
        </w:rPr>
        <w:t>The system noise temperature of all inter-satellite receiver links will be considered to be 720.3 K equivalent to a PSD of –200 dB(W/Hz).</w:t>
      </w:r>
    </w:p>
    <w:p w:rsidR="00AA2BE3" w:rsidRPr="007D1EF7" w:rsidRDefault="00AA2BE3" w:rsidP="00AA2BE3">
      <w:pPr>
        <w:pStyle w:val="FigureNo"/>
        <w:rPr>
          <w:lang w:val="en-US"/>
        </w:rPr>
      </w:pPr>
      <w:r w:rsidRPr="007D1EF7">
        <w:rPr>
          <w:lang w:val="en-US"/>
        </w:rPr>
        <w:lastRenderedPageBreak/>
        <w:t>Figure A5-2</w:t>
      </w:r>
    </w:p>
    <w:p w:rsidR="00AA2BE3" w:rsidRPr="007D1EF7" w:rsidRDefault="00AA2BE3" w:rsidP="00AA2BE3">
      <w:pPr>
        <w:pStyle w:val="Figuretitle"/>
        <w:rPr>
          <w:lang w:val="en-US"/>
        </w:rPr>
      </w:pPr>
      <w:r w:rsidRPr="007D1EF7">
        <w:rPr>
          <w:lang w:val="en-US"/>
        </w:rPr>
        <w:t>Stereographic representation (azimuth, elevation) of the Moon’s limits</w:t>
      </w:r>
    </w:p>
    <w:p w:rsidR="00AA2BE3" w:rsidRPr="006C2078" w:rsidRDefault="00AA2BE3" w:rsidP="0091532E">
      <w:pPr>
        <w:pStyle w:val="Figure"/>
      </w:pPr>
      <w:r>
        <w:rPr>
          <w:noProof/>
          <w:lang w:val="en-US" w:eastAsia="zh-CN"/>
        </w:rPr>
        <w:drawing>
          <wp:inline distT="0" distB="0" distL="0" distR="0">
            <wp:extent cx="3235960" cy="2353310"/>
            <wp:effectExtent l="19050" t="0" r="2540" b="0"/>
            <wp:docPr id="3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cstate="print"/>
                    <a:srcRect/>
                    <a:stretch>
                      <a:fillRect/>
                    </a:stretch>
                  </pic:blipFill>
                  <pic:spPr bwMode="auto">
                    <a:xfrm>
                      <a:off x="0" y="0"/>
                      <a:ext cx="3235960" cy="2353310"/>
                    </a:xfrm>
                    <a:prstGeom prst="rect">
                      <a:avLst/>
                    </a:prstGeom>
                    <a:noFill/>
                    <a:ln w="9525">
                      <a:noFill/>
                      <a:miter lim="800000"/>
                      <a:headEnd/>
                      <a:tailEnd/>
                    </a:ln>
                  </pic:spPr>
                </pic:pic>
              </a:graphicData>
            </a:graphic>
          </wp:inline>
        </w:drawing>
      </w:r>
    </w:p>
    <w:p w:rsidR="00AA2BE3" w:rsidRPr="007D1EF7" w:rsidRDefault="00AA2BE3" w:rsidP="00AA2BE3">
      <w:pPr>
        <w:pStyle w:val="Heading2"/>
        <w:rPr>
          <w:lang w:val="en-US"/>
        </w:rPr>
      </w:pPr>
      <w:bookmarkStart w:id="62" w:name="_Toc277668624"/>
      <w:r w:rsidRPr="007D1EF7">
        <w:rPr>
          <w:lang w:val="en-US"/>
        </w:rPr>
        <w:t>2.3</w:t>
      </w:r>
      <w:r w:rsidRPr="007D1EF7">
        <w:rPr>
          <w:lang w:val="en-US"/>
        </w:rPr>
        <w:tab/>
        <w:t>Maximum PSD, dB(W/Hz), interference allowed by HIBLEO-2 inter-satellite links</w:t>
      </w:r>
      <w:bookmarkEnd w:id="62"/>
    </w:p>
    <w:p w:rsidR="00AA2BE3" w:rsidRPr="007D1EF7" w:rsidRDefault="00AA2BE3" w:rsidP="00EB0992">
      <w:pPr>
        <w:rPr>
          <w:lang w:val="en-US"/>
        </w:rPr>
      </w:pPr>
      <w:r w:rsidRPr="007D1EF7">
        <w:rPr>
          <w:lang w:val="en-US"/>
        </w:rPr>
        <w:t xml:space="preserve">Maximum </w:t>
      </w:r>
      <w:r w:rsidRPr="007D1EF7">
        <w:rPr>
          <w:i/>
          <w:iCs/>
          <w:lang w:val="en-US"/>
        </w:rPr>
        <w:t>I</w:t>
      </w:r>
      <w:r w:rsidRPr="007D1EF7">
        <w:rPr>
          <w:lang w:val="en-US"/>
        </w:rPr>
        <w:t>/</w:t>
      </w:r>
      <w:r w:rsidRPr="007D1EF7">
        <w:rPr>
          <w:i/>
          <w:iCs/>
          <w:lang w:val="en-US"/>
        </w:rPr>
        <w:t>N</w:t>
      </w:r>
      <w:r w:rsidRPr="007D1EF7">
        <w:rPr>
          <w:vertAlign w:val="subscript"/>
          <w:lang w:val="en-US"/>
        </w:rPr>
        <w:t>0</w:t>
      </w:r>
      <w:r w:rsidRPr="007D1EF7">
        <w:rPr>
          <w:lang w:val="en-US"/>
        </w:rPr>
        <w:t xml:space="preserve"> allowed by the inter-satellite receivers of these near-Earth constellations were at the time subjected to discussions and since this Part I will serve the purpose of describing some particularities of the scenario to be simulated, a maximum of </w:t>
      </w:r>
      <w:r w:rsidRPr="007D1EF7">
        <w:rPr>
          <w:i/>
          <w:iCs/>
          <w:lang w:val="en-US"/>
        </w:rPr>
        <w:t>I</w:t>
      </w:r>
      <w:r w:rsidRPr="007D1EF7">
        <w:rPr>
          <w:lang w:val="en-US"/>
        </w:rPr>
        <w:t>/</w:t>
      </w:r>
      <w:r w:rsidRPr="007D1EF7">
        <w:rPr>
          <w:i/>
          <w:iCs/>
          <w:lang w:val="en-US"/>
        </w:rPr>
        <w:t>N</w:t>
      </w:r>
      <w:r w:rsidRPr="007D1EF7">
        <w:rPr>
          <w:vertAlign w:val="subscript"/>
          <w:lang w:val="en-US"/>
        </w:rPr>
        <w:t>0</w:t>
      </w:r>
      <w:r w:rsidRPr="007D1EF7">
        <w:rPr>
          <w:lang w:val="en-US"/>
        </w:rPr>
        <w:t xml:space="preserve"> = –2 dB at the inter-satellite links will be allowed. The main reason for choosing this </w:t>
      </w:r>
      <w:r w:rsidRPr="007D1EF7">
        <w:rPr>
          <w:i/>
          <w:iCs/>
          <w:lang w:val="en-US"/>
        </w:rPr>
        <w:t>I</w:t>
      </w:r>
      <w:r w:rsidRPr="007D1EF7">
        <w:rPr>
          <w:lang w:val="en-US"/>
        </w:rPr>
        <w:t>/</w:t>
      </w:r>
      <w:r w:rsidRPr="007D1EF7">
        <w:rPr>
          <w:i/>
          <w:iCs/>
          <w:lang w:val="en-US"/>
        </w:rPr>
        <w:t>N</w:t>
      </w:r>
      <w:r w:rsidRPr="007D1EF7">
        <w:rPr>
          <w:vertAlign w:val="subscript"/>
          <w:lang w:val="en-US"/>
        </w:rPr>
        <w:t>0</w:t>
      </w:r>
      <w:r w:rsidRPr="007D1EF7">
        <w:rPr>
          <w:lang w:val="en-US"/>
        </w:rPr>
        <w:t xml:space="preserve"> is the Sun effects on the main beam of the HIBLEO-2 receiver presented in ITU-R documentation and summarized in next paragraph. Results for </w:t>
      </w:r>
      <w:r w:rsidRPr="007D1EF7">
        <w:rPr>
          <w:i/>
          <w:iCs/>
          <w:lang w:val="en-US"/>
        </w:rPr>
        <w:t>I</w:t>
      </w:r>
      <w:r w:rsidRPr="007D1EF7">
        <w:rPr>
          <w:lang w:val="en-US"/>
        </w:rPr>
        <w:t>/</w:t>
      </w:r>
      <w:r w:rsidRPr="007D1EF7">
        <w:rPr>
          <w:i/>
          <w:iCs/>
          <w:lang w:val="en-US"/>
        </w:rPr>
        <w:t>N</w:t>
      </w:r>
      <w:r w:rsidRPr="007D1EF7">
        <w:rPr>
          <w:vertAlign w:val="subscript"/>
          <w:lang w:val="en-US"/>
        </w:rPr>
        <w:t>0</w:t>
      </w:r>
      <w:r w:rsidRPr="007D1EF7">
        <w:rPr>
          <w:lang w:val="en-US"/>
        </w:rPr>
        <w:t xml:space="preserve"> as large as –22.5 dB will be presented in Part II for an update of the systems characteristics on this Moon scenario anal</w:t>
      </w:r>
      <w:r w:rsidRPr="007D1EF7">
        <w:rPr>
          <w:iCs/>
          <w:lang w:val="en-US"/>
        </w:rPr>
        <w:t>y</w:t>
      </w:r>
      <w:r w:rsidR="00EB0992" w:rsidRPr="007D1EF7">
        <w:rPr>
          <w:iCs/>
          <w:lang w:val="en-US"/>
        </w:rPr>
        <w:t>z</w:t>
      </w:r>
      <w:r w:rsidRPr="007D1EF7">
        <w:rPr>
          <w:iCs/>
          <w:lang w:val="en-US"/>
        </w:rPr>
        <w:t>e</w:t>
      </w:r>
      <w:r w:rsidRPr="007D1EF7">
        <w:rPr>
          <w:lang w:val="en-US"/>
        </w:rPr>
        <w:t>d here.</w:t>
      </w:r>
    </w:p>
    <w:p w:rsidR="00AA2BE3" w:rsidRPr="007D1EF7" w:rsidRDefault="00AA2BE3" w:rsidP="00BF3C71">
      <w:pPr>
        <w:pStyle w:val="Heading3"/>
        <w:rPr>
          <w:lang w:val="en-US"/>
        </w:rPr>
      </w:pPr>
      <w:bookmarkStart w:id="63" w:name="_Toc277668625"/>
      <w:r w:rsidRPr="007D1EF7">
        <w:rPr>
          <w:lang w:val="en-US"/>
        </w:rPr>
        <w:t>2.3.1</w:t>
      </w:r>
      <w:r w:rsidRPr="007D1EF7">
        <w:rPr>
          <w:lang w:val="en-US"/>
        </w:rPr>
        <w:tab/>
        <w:t>Sun effects conclusions</w:t>
      </w:r>
      <w:bookmarkEnd w:id="63"/>
    </w:p>
    <w:p w:rsidR="00AA2BE3" w:rsidRPr="007D1EF7" w:rsidRDefault="00AA2BE3" w:rsidP="0091532E">
      <w:pPr>
        <w:rPr>
          <w:lang w:val="en-US"/>
        </w:rPr>
      </w:pPr>
      <w:r w:rsidRPr="007D1EF7">
        <w:rPr>
          <w:lang w:val="en-US"/>
        </w:rPr>
        <w:t xml:space="preserve">Sun radiation into space-to-space forward-links and cross-links of a typical satellite constellation such as HIBLEO-2 with 6 planes and 11 satellites per plane operating around 23 GHz show that interference of about </w:t>
      </w:r>
      <w:r w:rsidRPr="007D1EF7">
        <w:rPr>
          <w:i/>
          <w:iCs/>
          <w:lang w:val="en-US"/>
        </w:rPr>
        <w:t>I</w:t>
      </w:r>
      <w:r w:rsidRPr="007D1EF7">
        <w:rPr>
          <w:lang w:val="en-US"/>
        </w:rPr>
        <w:t>/</w:t>
      </w:r>
      <w:r w:rsidRPr="007D1EF7">
        <w:rPr>
          <w:i/>
          <w:iCs/>
          <w:lang w:val="en-US"/>
        </w:rPr>
        <w:t>N</w:t>
      </w:r>
      <w:r w:rsidRPr="007D1EF7">
        <w:rPr>
          <w:vertAlign w:val="subscript"/>
          <w:lang w:val="en-US"/>
        </w:rPr>
        <w:t>0</w:t>
      </w:r>
      <w:r w:rsidRPr="007D1EF7">
        <w:rPr>
          <w:lang w:val="en-US"/>
        </w:rPr>
        <w:t xml:space="preserve"> = –2 dB will be encountered in both ISS link types with long term interference of about 0.1% per plane for the forward-links and 0.06% for cross-links. These interference events will last from 36 s to 30 s approximately and will not be present in the Earth’s central zone with latitudes smaller than 50</w:t>
      </w:r>
      <w:r w:rsidR="0091532E" w:rsidRPr="007D1EF7">
        <w:rPr>
          <w:lang w:val="en-US"/>
        </w:rPr>
        <w:t>°</w:t>
      </w:r>
      <w:r w:rsidRPr="007D1EF7">
        <w:rPr>
          <w:lang w:val="en-US"/>
        </w:rPr>
        <w:t>.</w:t>
      </w:r>
    </w:p>
    <w:p w:rsidR="00AA2BE3" w:rsidRPr="007D1EF7" w:rsidRDefault="00AA2BE3" w:rsidP="00AA2BE3">
      <w:pPr>
        <w:rPr>
          <w:lang w:val="en-US"/>
        </w:rPr>
      </w:pPr>
      <w:r w:rsidRPr="007D1EF7">
        <w:rPr>
          <w:lang w:val="en-US"/>
        </w:rPr>
        <w:t xml:space="preserve">Since the space-to-space link budgets will have to be designed for this </w:t>
      </w:r>
      <w:r w:rsidRPr="007D1EF7">
        <w:rPr>
          <w:i/>
          <w:iCs/>
          <w:lang w:val="en-US"/>
        </w:rPr>
        <w:t>I</w:t>
      </w:r>
      <w:r w:rsidRPr="007D1EF7">
        <w:rPr>
          <w:lang w:val="en-US"/>
        </w:rPr>
        <w:t>/</w:t>
      </w:r>
      <w:r w:rsidRPr="007D1EF7">
        <w:rPr>
          <w:i/>
          <w:iCs/>
          <w:lang w:val="en-US"/>
        </w:rPr>
        <w:t>N</w:t>
      </w:r>
      <w:r w:rsidRPr="007D1EF7">
        <w:rPr>
          <w:vertAlign w:val="subscript"/>
          <w:lang w:val="en-US"/>
        </w:rPr>
        <w:t>0</w:t>
      </w:r>
      <w:r w:rsidRPr="007D1EF7">
        <w:rPr>
          <w:lang w:val="en-US"/>
        </w:rPr>
        <w:t xml:space="preserve"> = –2 dB (see the FCC document), there will be an excess margin of approximately 2 dB when the Sun radiation is not in the receiving antenna main lobe. Therefore to facilitate sharing of this space-to-space links with the space research service (SRS) transmissions to the Moon and to the L2 Lagrange</w:t>
      </w:r>
      <w:r w:rsidRPr="007D1EF7">
        <w:rPr>
          <w:b/>
          <w:bCs/>
          <w:i/>
          <w:iCs/>
          <w:lang w:val="en-US"/>
        </w:rPr>
        <w:t xml:space="preserve"> </w:t>
      </w:r>
      <w:r w:rsidRPr="007D1EF7">
        <w:rPr>
          <w:lang w:val="en-US"/>
        </w:rPr>
        <w:t>point, this excess margin may be made available to improve the possibility of sharing with these systems whenever their emissions are not coincident with those of the Sun into the bore-sight of the victim HIBLEO-2 antenna.</w:t>
      </w:r>
    </w:p>
    <w:p w:rsidR="00AA2BE3" w:rsidRPr="007D1EF7" w:rsidRDefault="00AA2BE3" w:rsidP="00AA2BE3">
      <w:pPr>
        <w:pStyle w:val="Heading2"/>
        <w:rPr>
          <w:lang w:val="en-US"/>
        </w:rPr>
      </w:pPr>
      <w:bookmarkStart w:id="64" w:name="_Toc277668626"/>
      <w:r w:rsidRPr="007D1EF7">
        <w:rPr>
          <w:lang w:val="en-US"/>
        </w:rPr>
        <w:t>2.4</w:t>
      </w:r>
      <w:r w:rsidRPr="007D1EF7">
        <w:rPr>
          <w:lang w:val="en-US"/>
        </w:rPr>
        <w:tab/>
        <w:t>The Moon</w:t>
      </w:r>
      <w:bookmarkEnd w:id="64"/>
    </w:p>
    <w:p w:rsidR="00AA2BE3" w:rsidRPr="007D1EF7" w:rsidRDefault="00AA2BE3" w:rsidP="00EB0992">
      <w:pPr>
        <w:rPr>
          <w:lang w:val="en-US"/>
        </w:rPr>
      </w:pPr>
      <w:r w:rsidRPr="007D1EF7">
        <w:rPr>
          <w:lang w:val="en-US"/>
        </w:rPr>
        <w:t>Since the scenario considered will be referred to the centre of the Earth, the Moon will be in a theoretical circular orbit rotating around the Earth with an inclination with respect to the Earth’s polar axis of 28.6</w:t>
      </w:r>
      <w:r w:rsidR="0091532E" w:rsidRPr="007D1EF7">
        <w:rPr>
          <w:lang w:val="en-US"/>
        </w:rPr>
        <w:t>°</w:t>
      </w:r>
      <w:r w:rsidRPr="007D1EF7">
        <w:rPr>
          <w:lang w:val="en-US"/>
        </w:rPr>
        <w:t xml:space="preserve"> and a period of 28 days with a RAAN = 92.5</w:t>
      </w:r>
      <w:r w:rsidR="0091532E" w:rsidRPr="007D1EF7">
        <w:rPr>
          <w:lang w:val="en-US"/>
        </w:rPr>
        <w:t>°</w:t>
      </w:r>
      <w:r w:rsidRPr="007D1EF7">
        <w:rPr>
          <w:lang w:val="en-US"/>
        </w:rPr>
        <w:t xml:space="preserve"> and an argument of latitude of</w:t>
      </w:r>
      <w:r w:rsidR="00EB0992" w:rsidRPr="007D1EF7">
        <w:rPr>
          <w:lang w:val="en-US"/>
        </w:rPr>
        <w:t> </w:t>
      </w:r>
      <w:r w:rsidR="00DC4C77">
        <w:fldChar w:fldCharType="begin"/>
      </w:r>
      <w:r w:rsidR="0091532E" w:rsidRPr="007D1EF7">
        <w:rPr>
          <w:lang w:val="en-US"/>
        </w:rPr>
        <w:instrText xml:space="preserve"> EQ  –69.3°</w:instrText>
      </w:r>
      <w:r w:rsidR="00DC4C77">
        <w:fldChar w:fldCharType="end"/>
      </w:r>
      <w:r w:rsidRPr="007D1EF7">
        <w:rPr>
          <w:lang w:val="en-US"/>
        </w:rPr>
        <w:t xml:space="preserve"> at the epoch considered in previous paragraph for the HIBLEO-2 constellation to be simulated in this scenario.</w:t>
      </w:r>
    </w:p>
    <w:p w:rsidR="00AA2BE3" w:rsidRPr="007D1EF7" w:rsidRDefault="00AA2BE3" w:rsidP="00BF3C71">
      <w:pPr>
        <w:keepNext/>
        <w:rPr>
          <w:lang w:val="en-US"/>
        </w:rPr>
      </w:pPr>
      <w:r w:rsidRPr="007D1EF7">
        <w:rPr>
          <w:lang w:val="en-US"/>
        </w:rPr>
        <w:lastRenderedPageBreak/>
        <w:t>Figure A5-2 shows the local horizon limits (azimuth and elevation) when the Moon is tracked from an SRS ES located at 32.5 N and 106.6 W.</w:t>
      </w:r>
    </w:p>
    <w:p w:rsidR="00AA2BE3" w:rsidRPr="007D1EF7" w:rsidRDefault="00AA2BE3" w:rsidP="00192341">
      <w:pPr>
        <w:pStyle w:val="Heading1"/>
        <w:rPr>
          <w:lang w:val="en-US"/>
        </w:rPr>
      </w:pPr>
      <w:bookmarkStart w:id="65" w:name="_Toc277668627"/>
      <w:r w:rsidRPr="007D1EF7">
        <w:rPr>
          <w:lang w:val="en-US"/>
        </w:rPr>
        <w:t>3</w:t>
      </w:r>
      <w:r w:rsidRPr="007D1EF7">
        <w:rPr>
          <w:lang w:val="en-US"/>
        </w:rPr>
        <w:tab/>
        <w:t>SRS ES interference into HIBLEO-2 forward-links</w:t>
      </w:r>
      <w:r w:rsidR="00192341" w:rsidRPr="007D1EF7">
        <w:rPr>
          <w:lang w:val="en-US"/>
        </w:rPr>
        <w:t> –</w:t>
      </w:r>
      <w:r w:rsidRPr="007D1EF7">
        <w:rPr>
          <w:lang w:val="en-US"/>
        </w:rPr>
        <w:t xml:space="preserve"> The simulation</w:t>
      </w:r>
      <w:bookmarkEnd w:id="65"/>
    </w:p>
    <w:p w:rsidR="00AA2BE3" w:rsidRPr="007D1EF7" w:rsidRDefault="00AA2BE3" w:rsidP="0091532E">
      <w:pPr>
        <w:rPr>
          <w:i/>
          <w:iCs/>
          <w:lang w:val="en-US"/>
        </w:rPr>
      </w:pPr>
      <w:r w:rsidRPr="007D1EF7">
        <w:rPr>
          <w:lang w:val="en-US"/>
        </w:rPr>
        <w:t>Above described scenario has been modelled with the appropriate analytical equations</w:t>
      </w:r>
      <w:r w:rsidRPr="007D1EF7">
        <w:rPr>
          <w:vertAlign w:val="superscript"/>
          <w:lang w:val="en-US"/>
        </w:rPr>
        <w:t>1</w:t>
      </w:r>
      <w:r w:rsidRPr="007D1EF7">
        <w:rPr>
          <w:lang w:val="en-US"/>
        </w:rPr>
        <w:t xml:space="preserve"> in a time series referred to the same epoch for the Earth, the Moon and the HIBLEO-2 satellite constellation. The minimum SRS ES elevation angle is set to 5</w:t>
      </w:r>
      <w:r w:rsidR="0091532E" w:rsidRPr="007D1EF7">
        <w:rPr>
          <w:lang w:val="en-US"/>
        </w:rPr>
        <w:t>°</w:t>
      </w:r>
      <w:r w:rsidRPr="007D1EF7">
        <w:rPr>
          <w:lang w:val="en-US"/>
        </w:rPr>
        <w:t>, which will be the elevation limit for the SRS ES when tracking the Moon. On the contrary the minimum elevation angle for the HIBLEO-2 constellation when viewed from the SRS ES location will be –22</w:t>
      </w:r>
      <w:r w:rsidR="0091532E" w:rsidRPr="007D1EF7">
        <w:rPr>
          <w:lang w:val="en-US"/>
        </w:rPr>
        <w:t>°</w:t>
      </w:r>
      <w:r w:rsidRPr="007D1EF7">
        <w:rPr>
          <w:lang w:val="en-US"/>
        </w:rPr>
        <w:t>. Note that this minimum elevation angle is necessary not to miss any of the 11 forward-links receivers when the corresponding transmitting HIBLEO-2 satellite is below the SRS ES horizon.</w:t>
      </w:r>
    </w:p>
    <w:p w:rsidR="00AA2BE3" w:rsidRPr="007D1EF7" w:rsidRDefault="00AA2BE3" w:rsidP="0091532E">
      <w:pPr>
        <w:rPr>
          <w:lang w:val="en-US"/>
        </w:rPr>
      </w:pPr>
      <w:r w:rsidRPr="007D1EF7">
        <w:rPr>
          <w:lang w:val="en-US"/>
        </w:rPr>
        <w:t>Time increment (</w:t>
      </w:r>
      <w:r w:rsidRPr="006C2078">
        <w:t>Δ</w:t>
      </w:r>
      <w:r w:rsidRPr="007D1EF7">
        <w:rPr>
          <w:i/>
          <w:iCs/>
          <w:lang w:val="en-US"/>
        </w:rPr>
        <w:t>t</w:t>
      </w:r>
      <w:r w:rsidRPr="007D1EF7">
        <w:rPr>
          <w:lang w:val="en-US"/>
        </w:rPr>
        <w:t>) used in this time series simulations is of concern since very small (</w:t>
      </w:r>
      <w:r w:rsidRPr="006C2078">
        <w:t>Δ</w:t>
      </w:r>
      <w:r w:rsidRPr="007D1EF7">
        <w:rPr>
          <w:i/>
          <w:iCs/>
          <w:lang w:val="en-US"/>
        </w:rPr>
        <w:t>t</w:t>
      </w:r>
      <w:r w:rsidRPr="007D1EF7">
        <w:rPr>
          <w:lang w:val="en-US"/>
        </w:rPr>
        <w:t>) will provide very detailed results but the simulation will take a long time, unpractical to obtaining the first results to properly characterize the scenario analy</w:t>
      </w:r>
      <w:r w:rsidR="0091532E" w:rsidRPr="007D1EF7">
        <w:rPr>
          <w:lang w:val="en-US"/>
        </w:rPr>
        <w:t>z</w:t>
      </w:r>
      <w:r w:rsidRPr="007D1EF7">
        <w:rPr>
          <w:lang w:val="en-US"/>
        </w:rPr>
        <w:t xml:space="preserve">ed. In this direction the following paragraphs will determine some parameters of interest to help determine an optimum time increment. </w:t>
      </w:r>
    </w:p>
    <w:p w:rsidR="00AA2BE3" w:rsidRPr="007D1EF7" w:rsidRDefault="00AA2BE3" w:rsidP="00AA2BE3">
      <w:pPr>
        <w:pStyle w:val="Heading2"/>
        <w:rPr>
          <w:lang w:val="en-US"/>
        </w:rPr>
      </w:pPr>
      <w:bookmarkStart w:id="66" w:name="_Toc277668628"/>
      <w:r w:rsidRPr="007D1EF7">
        <w:rPr>
          <w:lang w:val="en-US"/>
        </w:rPr>
        <w:t>3.1</w:t>
      </w:r>
      <w:r w:rsidRPr="007D1EF7">
        <w:rPr>
          <w:lang w:val="en-US"/>
        </w:rPr>
        <w:tab/>
        <w:t>Omnidirectional transmissions; SRS ES antenna gain limits in the forward-links scenario</w:t>
      </w:r>
      <w:bookmarkEnd w:id="66"/>
    </w:p>
    <w:p w:rsidR="00AA2BE3" w:rsidRPr="007D1EF7" w:rsidRDefault="00AA2BE3" w:rsidP="00AA2BE3">
      <w:pPr>
        <w:rPr>
          <w:lang w:val="en-US"/>
        </w:rPr>
      </w:pPr>
      <w:r w:rsidRPr="007D1EF7">
        <w:rPr>
          <w:lang w:val="en-US"/>
        </w:rPr>
        <w:t xml:space="preserve">As it will be shown later, it will be of interest to determine the limits on the SRS ES antenna gain that will produce interference events on the scenario being considered. </w:t>
      </w:r>
    </w:p>
    <w:p w:rsidR="00AA2BE3" w:rsidRPr="007D1EF7" w:rsidRDefault="00AA2BE3" w:rsidP="0091532E">
      <w:pPr>
        <w:rPr>
          <w:lang w:val="en-US"/>
        </w:rPr>
      </w:pPr>
      <w:r w:rsidRPr="007D1EF7">
        <w:rPr>
          <w:lang w:val="en-US"/>
        </w:rPr>
        <w:t>Thus a simulation was run assuming that the PSD input to the SRS ES antenna is –47.9 dB</w:t>
      </w:r>
      <w:r w:rsidR="0091532E" w:rsidRPr="007D1EF7">
        <w:rPr>
          <w:lang w:val="en-US"/>
        </w:rPr>
        <w:t>(</w:t>
      </w:r>
      <w:r w:rsidRPr="007D1EF7">
        <w:rPr>
          <w:lang w:val="en-US"/>
        </w:rPr>
        <w:t>W/Hz</w:t>
      </w:r>
      <w:r w:rsidR="0091532E" w:rsidRPr="007D1EF7">
        <w:rPr>
          <w:lang w:val="en-US"/>
        </w:rPr>
        <w:t>)</w:t>
      </w:r>
      <w:r w:rsidRPr="007D1EF7">
        <w:rPr>
          <w:lang w:val="en-US"/>
        </w:rPr>
        <w:t xml:space="preserve"> (maximum expected power for SRS ES transmissions at the time. </w:t>
      </w:r>
      <w:r w:rsidRPr="007D1EF7">
        <w:rPr>
          <w:bCs/>
          <w:lang w:val="en-US"/>
        </w:rPr>
        <w:t>Note that the actual maximum is</w:t>
      </w:r>
      <w:r w:rsidR="0091532E" w:rsidRPr="007D1EF7">
        <w:rPr>
          <w:bCs/>
          <w:lang w:val="en-US"/>
        </w:rPr>
        <w:t xml:space="preserve"> –</w:t>
      </w:r>
      <w:r w:rsidRPr="007D1EF7">
        <w:rPr>
          <w:bCs/>
          <w:lang w:val="en-US"/>
        </w:rPr>
        <w:t>57.9 dB(W/Hz) to be used in Part II ) and that the radiation diag</w:t>
      </w:r>
      <w:r w:rsidRPr="007D1EF7">
        <w:rPr>
          <w:lang w:val="en-US"/>
        </w:rPr>
        <w:t>ram of the SRS ES antenna corresponds to an omnidirectional antenna (with variable gain) instead of the actual very directive antenna. The omnidirectional antenna gain value was varied to find that a gain of 20 dBi would not produce any interference larger than –202 dB(W/Hz) at the HIBLEO-2 forward-link receiver at any pointing direction above the SRS ES horizon (5</w:t>
      </w:r>
      <w:r w:rsidR="0091532E" w:rsidRPr="007D1EF7">
        <w:rPr>
          <w:lang w:val="en-US"/>
        </w:rPr>
        <w:t>°</w:t>
      </w:r>
      <w:r w:rsidRPr="007D1EF7">
        <w:rPr>
          <w:lang w:val="en-US"/>
        </w:rPr>
        <w:t xml:space="preserve"> elevation) as is shown in Fig. A5-3. From that figure that relates the PSD at the HIBLEO-2 receiver with the SRS ES antenna elevation, it is found that the worst-case interference will be concentrated for SRS ES elevations below approximately 45</w:t>
      </w:r>
      <w:r w:rsidR="0091532E" w:rsidRPr="007D1EF7">
        <w:rPr>
          <w:lang w:val="en-US"/>
        </w:rPr>
        <w:t>°</w:t>
      </w:r>
      <w:r w:rsidRPr="007D1EF7">
        <w:rPr>
          <w:lang w:val="en-US"/>
        </w:rPr>
        <w:t>. Note that the cluster of points above the continuous curve is a consequence of the HIBLEO</w:t>
      </w:r>
      <w:r w:rsidRPr="007D1EF7">
        <w:rPr>
          <w:lang w:val="en-US"/>
        </w:rPr>
        <w:noBreakHyphen/>
        <w:t>2 antenna gains above 0 dBi.</w:t>
      </w:r>
    </w:p>
    <w:p w:rsidR="00AA2BE3" w:rsidRPr="007D1EF7" w:rsidRDefault="00AA2BE3" w:rsidP="00AA2BE3">
      <w:pPr>
        <w:rPr>
          <w:lang w:val="en-US"/>
        </w:rPr>
      </w:pPr>
      <w:r w:rsidRPr="007D1EF7">
        <w:rPr>
          <w:lang w:val="en-US"/>
        </w:rPr>
        <w:t>For elevation angles above 45</w:t>
      </w:r>
      <w:r w:rsidR="0091532E" w:rsidRPr="007D1EF7">
        <w:rPr>
          <w:lang w:val="en-US"/>
        </w:rPr>
        <w:t>°</w:t>
      </w:r>
      <w:r w:rsidRPr="007D1EF7">
        <w:rPr>
          <w:lang w:val="en-US"/>
        </w:rPr>
        <w:t xml:space="preserve"> the SRS ES antenna gain needed to reach the –202 dB(W/Hz) at the HIBLEO-2 receiver would be decreasing from approximately 36 dBi at 45</w:t>
      </w:r>
      <w:r w:rsidR="0091532E" w:rsidRPr="007D1EF7">
        <w:rPr>
          <w:lang w:val="en-US"/>
        </w:rPr>
        <w:t>°</w:t>
      </w:r>
      <w:r w:rsidRPr="007D1EF7">
        <w:rPr>
          <w:lang w:val="en-US"/>
        </w:rPr>
        <w:t xml:space="preserve"> elevation to 33.5 dBi at 70</w:t>
      </w:r>
      <w:r w:rsidR="0091532E" w:rsidRPr="007D1EF7">
        <w:rPr>
          <w:lang w:val="en-US"/>
        </w:rPr>
        <w:t>°</w:t>
      </w:r>
      <w:r w:rsidRPr="007D1EF7">
        <w:rPr>
          <w:lang w:val="en-US"/>
        </w:rPr>
        <w:t xml:space="preserve"> elevation.</w:t>
      </w:r>
    </w:p>
    <w:p w:rsidR="00B4321F" w:rsidRPr="007D1EF7" w:rsidRDefault="00B4321F" w:rsidP="00B4321F">
      <w:pPr>
        <w:pStyle w:val="Heading2"/>
        <w:rPr>
          <w:lang w:val="en-US"/>
        </w:rPr>
      </w:pPr>
      <w:bookmarkStart w:id="67" w:name="_Toc277668629"/>
      <w:r w:rsidRPr="007D1EF7">
        <w:rPr>
          <w:lang w:val="en-US"/>
        </w:rPr>
        <w:t>3.2</w:t>
      </w:r>
      <w:r w:rsidRPr="007D1EF7">
        <w:rPr>
          <w:lang w:val="en-US"/>
        </w:rPr>
        <w:tab/>
        <w:t>HIBLEO-2 antenna gain limits in the forward-links scenario</w:t>
      </w:r>
      <w:bookmarkEnd w:id="67"/>
    </w:p>
    <w:p w:rsidR="00B4321F" w:rsidRPr="007D1EF7" w:rsidRDefault="00B4321F" w:rsidP="00B4321F">
      <w:pPr>
        <w:rPr>
          <w:lang w:val="en-US"/>
        </w:rPr>
      </w:pPr>
      <w:r w:rsidRPr="007D1EF7">
        <w:rPr>
          <w:lang w:val="en-US"/>
        </w:rPr>
        <w:t>It was noted above that the largest interference events always happen at the most southern and northern latitudes of the SRS ES when the SRS ES bore-sight is at an angle of approximately 13° with respect to the HIBLEO-2 antenna bore-sight forward-link (</w:t>
      </w:r>
      <w:r w:rsidRPr="00695EC1">
        <w:t>β</w:t>
      </w:r>
      <w:r w:rsidRPr="007D1EF7">
        <w:rPr>
          <w:lang w:val="en-US"/>
        </w:rPr>
        <w:t>, see Fig. A5-1) which is the minimum coupling angle (maximum HIBLEO-2 antenna gain of approximately 12 dBi) to be encountered in this scenario.</w:t>
      </w:r>
    </w:p>
    <w:p w:rsidR="00B4321F" w:rsidRPr="007D1EF7" w:rsidRDefault="00B4321F" w:rsidP="00B4321F">
      <w:pPr>
        <w:rPr>
          <w:lang w:val="en-US"/>
        </w:rPr>
      </w:pPr>
      <w:r w:rsidRPr="007D1EF7">
        <w:rPr>
          <w:lang w:val="en-US"/>
        </w:rPr>
        <w:t>Figure A5-4 shows the HIBLEO-2 antenna forward-link gain as a function of azimuth and elevation when viewed from the SRS ES site (32.5 N; 106.6 W, minimum elevation angle of 5°). It is noticeable that the maximum HIBLEO-2 antenna gain happens in the ascending and descending direction (nodes) of the HIBLEO-2 spacecrafts in the orbits shown.</w:t>
      </w:r>
    </w:p>
    <w:p w:rsidR="00AA2BE3" w:rsidRPr="007D1EF7" w:rsidRDefault="00AA2BE3" w:rsidP="00AA2BE3">
      <w:pPr>
        <w:pStyle w:val="FigureNo"/>
        <w:rPr>
          <w:lang w:val="en-US"/>
        </w:rPr>
      </w:pPr>
      <w:r w:rsidRPr="007D1EF7">
        <w:rPr>
          <w:lang w:val="en-US"/>
        </w:rPr>
        <w:lastRenderedPageBreak/>
        <w:t>Figure A5-3</w:t>
      </w:r>
    </w:p>
    <w:p w:rsidR="00AA2BE3" w:rsidRPr="007D1EF7" w:rsidRDefault="00AA2BE3" w:rsidP="00EB0992">
      <w:pPr>
        <w:pStyle w:val="Figuretitle"/>
        <w:rPr>
          <w:lang w:val="en-US"/>
        </w:rPr>
      </w:pPr>
      <w:r w:rsidRPr="007D1EF7">
        <w:rPr>
          <w:lang w:val="en-US"/>
        </w:rPr>
        <w:t>PSD produced by an omnidirectional transmission of 20 dBi</w:t>
      </w:r>
    </w:p>
    <w:p w:rsidR="00AA2BE3" w:rsidRPr="006C2078" w:rsidRDefault="00AA2BE3" w:rsidP="0091532E">
      <w:pPr>
        <w:pStyle w:val="Figure"/>
      </w:pPr>
      <w:r>
        <w:rPr>
          <w:noProof/>
          <w:lang w:val="en-US" w:eastAsia="zh-CN"/>
        </w:rPr>
        <w:drawing>
          <wp:inline distT="0" distB="0" distL="0" distR="0">
            <wp:extent cx="3418840" cy="2544445"/>
            <wp:effectExtent l="19050" t="0" r="0" b="0"/>
            <wp:docPr id="3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cstate="print"/>
                    <a:srcRect/>
                    <a:stretch>
                      <a:fillRect/>
                    </a:stretch>
                  </pic:blipFill>
                  <pic:spPr bwMode="auto">
                    <a:xfrm>
                      <a:off x="0" y="0"/>
                      <a:ext cx="3418840" cy="2544445"/>
                    </a:xfrm>
                    <a:prstGeom prst="rect">
                      <a:avLst/>
                    </a:prstGeom>
                    <a:noFill/>
                    <a:ln w="9525">
                      <a:noFill/>
                      <a:miter lim="800000"/>
                      <a:headEnd/>
                      <a:tailEnd/>
                    </a:ln>
                  </pic:spPr>
                </pic:pic>
              </a:graphicData>
            </a:graphic>
          </wp:inline>
        </w:drawing>
      </w:r>
    </w:p>
    <w:p w:rsidR="00A47FF8" w:rsidRDefault="00A47FF8" w:rsidP="00A47FF8"/>
    <w:p w:rsidR="00AA2BE3" w:rsidRPr="007D1EF7" w:rsidRDefault="00AA2BE3" w:rsidP="00AA2BE3">
      <w:pPr>
        <w:pStyle w:val="FigureNo"/>
        <w:rPr>
          <w:lang w:val="en-US"/>
        </w:rPr>
      </w:pPr>
      <w:r w:rsidRPr="007D1EF7">
        <w:rPr>
          <w:lang w:val="en-US"/>
        </w:rPr>
        <w:t>Figure A5-4</w:t>
      </w:r>
    </w:p>
    <w:p w:rsidR="00AA2BE3" w:rsidRPr="007D1EF7" w:rsidRDefault="00AA2BE3" w:rsidP="0091532E">
      <w:pPr>
        <w:pStyle w:val="Figuretitle"/>
        <w:rPr>
          <w:lang w:val="en-US"/>
        </w:rPr>
      </w:pPr>
      <w:r w:rsidRPr="007D1EF7">
        <w:rPr>
          <w:lang w:val="en-US"/>
        </w:rPr>
        <w:t>HIBLEO-2 antenna gains as a function of azimuth and elevation (ES at )</w:t>
      </w:r>
      <w:r w:rsidR="0091532E" w:rsidRPr="007D1EF7">
        <w:rPr>
          <w:lang w:val="en-US"/>
        </w:rPr>
        <w:br/>
      </w:r>
      <w:r w:rsidRPr="007D1EF7">
        <w:rPr>
          <w:lang w:val="en-US"/>
        </w:rPr>
        <w:t>13 dBi&gt;Red&gt;12 dBi; black&gt;9di; blue&gt; 6 dBi; green&gt;3 dBi;</w:t>
      </w:r>
      <w:r w:rsidR="0091532E" w:rsidRPr="007D1EF7">
        <w:rPr>
          <w:lang w:val="en-US"/>
        </w:rPr>
        <w:br/>
      </w:r>
      <w:r w:rsidRPr="007D1EF7">
        <w:rPr>
          <w:lang w:val="en-US"/>
        </w:rPr>
        <w:t>yellow&gt;0 dBi; white = –10 dBi</w:t>
      </w:r>
    </w:p>
    <w:p w:rsidR="00AA2BE3" w:rsidRPr="006C2078" w:rsidRDefault="00AA2BE3" w:rsidP="0091532E">
      <w:pPr>
        <w:pStyle w:val="Figure"/>
      </w:pPr>
      <w:r>
        <w:rPr>
          <w:noProof/>
          <w:lang w:val="en-US" w:eastAsia="zh-CN"/>
        </w:rPr>
        <w:drawing>
          <wp:inline distT="0" distB="0" distL="0" distR="0">
            <wp:extent cx="3458845" cy="2592070"/>
            <wp:effectExtent l="19050" t="0" r="8255" b="0"/>
            <wp:docPr id="3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cstate="print"/>
                    <a:srcRect/>
                    <a:stretch>
                      <a:fillRect/>
                    </a:stretch>
                  </pic:blipFill>
                  <pic:spPr bwMode="auto">
                    <a:xfrm>
                      <a:off x="0" y="0"/>
                      <a:ext cx="3458845" cy="2592070"/>
                    </a:xfrm>
                    <a:prstGeom prst="rect">
                      <a:avLst/>
                    </a:prstGeom>
                    <a:noFill/>
                    <a:ln w="9525">
                      <a:noFill/>
                      <a:miter lim="800000"/>
                      <a:headEnd/>
                      <a:tailEnd/>
                    </a:ln>
                  </pic:spPr>
                </pic:pic>
              </a:graphicData>
            </a:graphic>
          </wp:inline>
        </w:drawing>
      </w:r>
    </w:p>
    <w:p w:rsidR="00EC61F5" w:rsidRPr="007D1EF7" w:rsidRDefault="00EC61F5" w:rsidP="00EC61F5">
      <w:pPr>
        <w:pStyle w:val="Heading2"/>
        <w:rPr>
          <w:lang w:val="en-US"/>
        </w:rPr>
      </w:pPr>
      <w:bookmarkStart w:id="68" w:name="_Toc277668630"/>
      <w:r w:rsidRPr="007D1EF7">
        <w:rPr>
          <w:lang w:val="en-US"/>
        </w:rPr>
        <w:t>3.3</w:t>
      </w:r>
      <w:r w:rsidRPr="007D1EF7">
        <w:rPr>
          <w:lang w:val="en-US"/>
        </w:rPr>
        <w:tab/>
        <w:t>Optimum time increment (</w:t>
      </w:r>
      <w:r w:rsidRPr="00B21247">
        <w:t>Δ</w:t>
      </w:r>
      <w:r w:rsidRPr="007D1EF7">
        <w:rPr>
          <w:i/>
          <w:iCs/>
          <w:lang w:val="en-US"/>
        </w:rPr>
        <w:t>t</w:t>
      </w:r>
      <w:r w:rsidRPr="007D1EF7">
        <w:rPr>
          <w:lang w:val="en-US"/>
        </w:rPr>
        <w:t>) for simulations of the forward-links scenario</w:t>
      </w:r>
      <w:bookmarkEnd w:id="68"/>
    </w:p>
    <w:p w:rsidR="00EC61F5" w:rsidRPr="007D1EF7" w:rsidRDefault="00EC61F5" w:rsidP="00EC61F5">
      <w:pPr>
        <w:rPr>
          <w:lang w:val="en-US"/>
        </w:rPr>
      </w:pPr>
      <w:r w:rsidRPr="007D1EF7">
        <w:rPr>
          <w:lang w:val="en-US"/>
        </w:rPr>
        <w:t>Simplifying the antenna symmetric radiation patterns to the back-lobe region (36° to 180° off-axis) where in general the antenna gains are around –10 dBi and the main-lobe (from 0° to 36° off-axis) with larger antenna gains, the potential couplings of the SRS ES to the HIBLEO-2 antenna gains to be considered would be:</w:t>
      </w:r>
    </w:p>
    <w:p w:rsidR="00EC61F5" w:rsidRPr="007D1EF7" w:rsidRDefault="00EC61F5" w:rsidP="00EC61F5">
      <w:pPr>
        <w:pStyle w:val="enumlev1"/>
        <w:rPr>
          <w:lang w:val="en-US"/>
        </w:rPr>
      </w:pPr>
      <w:r w:rsidRPr="007D1EF7">
        <w:rPr>
          <w:lang w:val="en-US"/>
        </w:rPr>
        <w:t>1.</w:t>
      </w:r>
      <w:r w:rsidRPr="007D1EF7">
        <w:rPr>
          <w:lang w:val="en-US"/>
        </w:rPr>
        <w:tab/>
        <w:t>main-beam to main-beam;</w:t>
      </w:r>
    </w:p>
    <w:p w:rsidR="00EC61F5" w:rsidRPr="007D1EF7" w:rsidRDefault="00EC61F5" w:rsidP="00EC61F5">
      <w:pPr>
        <w:pStyle w:val="enumlev1"/>
        <w:rPr>
          <w:lang w:val="en-US"/>
        </w:rPr>
      </w:pPr>
      <w:r w:rsidRPr="007D1EF7">
        <w:rPr>
          <w:lang w:val="en-US"/>
        </w:rPr>
        <w:t>2.</w:t>
      </w:r>
      <w:r w:rsidRPr="007D1EF7">
        <w:rPr>
          <w:lang w:val="en-US"/>
        </w:rPr>
        <w:tab/>
        <w:t>main-beam to back-lobe;</w:t>
      </w:r>
    </w:p>
    <w:p w:rsidR="00EC61F5" w:rsidRPr="007D1EF7" w:rsidRDefault="00EC61F5" w:rsidP="00EC61F5">
      <w:pPr>
        <w:pStyle w:val="enumlev1"/>
        <w:rPr>
          <w:lang w:val="en-US"/>
        </w:rPr>
      </w:pPr>
      <w:r w:rsidRPr="007D1EF7">
        <w:rPr>
          <w:lang w:val="en-US"/>
        </w:rPr>
        <w:t>3.</w:t>
      </w:r>
      <w:r w:rsidRPr="007D1EF7">
        <w:rPr>
          <w:lang w:val="en-US"/>
        </w:rPr>
        <w:tab/>
        <w:t>back-lobe to main beam;</w:t>
      </w:r>
    </w:p>
    <w:p w:rsidR="00EC61F5" w:rsidRPr="007D1EF7" w:rsidRDefault="00EC61F5" w:rsidP="00EC61F5">
      <w:pPr>
        <w:pStyle w:val="enumlev1"/>
        <w:rPr>
          <w:lang w:val="en-US"/>
        </w:rPr>
      </w:pPr>
      <w:r w:rsidRPr="007D1EF7">
        <w:rPr>
          <w:lang w:val="en-US"/>
        </w:rPr>
        <w:t>4.</w:t>
      </w:r>
      <w:r w:rsidRPr="007D1EF7">
        <w:rPr>
          <w:lang w:val="en-US"/>
        </w:rPr>
        <w:tab/>
        <w:t>back-lobe to back-lobe.</w:t>
      </w:r>
    </w:p>
    <w:p w:rsidR="00EC61F5" w:rsidRPr="007D1EF7" w:rsidRDefault="00EC61F5" w:rsidP="008323DF">
      <w:pPr>
        <w:rPr>
          <w:lang w:val="en-US"/>
        </w:rPr>
      </w:pPr>
      <w:r w:rsidRPr="007D1EF7">
        <w:rPr>
          <w:lang w:val="en-US"/>
        </w:rPr>
        <w:lastRenderedPageBreak/>
        <w:t>Comparing Fig. A5-2 (Moon’s coordinates limits) and Fig. A5-4 (HIBLEO-2 antenna gains) it is deduced that the northern area where the HIBLEO-2 antenna gain is larger than –10 dBi back-lobe gain, the only possible coupling will be No. 4 since this area is totally out of the SRS ES Moon’s visibility coordinates. As for the small southern area where the HIBLEO-2 antenna gain is larger than the –10 dBi back-lobe gain all of the above antenna gain couplings may be present. This situation will be analy</w:t>
      </w:r>
      <w:r w:rsidR="00A545B8" w:rsidRPr="007D1EF7">
        <w:rPr>
          <w:lang w:val="en-US"/>
        </w:rPr>
        <w:t>z</w:t>
      </w:r>
      <w:r w:rsidRPr="007D1EF7">
        <w:rPr>
          <w:lang w:val="en-US"/>
        </w:rPr>
        <w:t>ed in a later paragraph.</w:t>
      </w:r>
    </w:p>
    <w:p w:rsidR="00AA2BE3" w:rsidRPr="007D1EF7" w:rsidRDefault="00AA2BE3" w:rsidP="00AA2BE3">
      <w:pPr>
        <w:rPr>
          <w:lang w:val="en-US"/>
        </w:rPr>
      </w:pPr>
      <w:r w:rsidRPr="007D1EF7">
        <w:rPr>
          <w:lang w:val="en-US"/>
        </w:rPr>
        <w:t>In spite of what has been said above the simulations to be run will automatically consider all four coupling modes.</w:t>
      </w:r>
    </w:p>
    <w:p w:rsidR="00AA2BE3" w:rsidRPr="007D1EF7" w:rsidRDefault="00AA2BE3" w:rsidP="0091532E">
      <w:pPr>
        <w:rPr>
          <w:lang w:val="en-US"/>
        </w:rPr>
      </w:pPr>
      <w:r w:rsidRPr="007D1EF7">
        <w:rPr>
          <w:lang w:val="en-US"/>
        </w:rPr>
        <w:t>The SRS ES antenna gain of 45 dBi corresponds approximately to an off-axis SRS ES antenna angle of 0.3</w:t>
      </w:r>
      <w:r w:rsidR="0091532E" w:rsidRPr="007D1EF7">
        <w:rPr>
          <w:lang w:val="en-US"/>
        </w:rPr>
        <w:t>°</w:t>
      </w:r>
      <w:r w:rsidRPr="007D1EF7">
        <w:rPr>
          <w:lang w:val="en-US"/>
        </w:rPr>
        <w:t xml:space="preserve"> as deduced from the antenna pattern used. Note that this off-axis bore-sight angle translates into a geocentric angle of approximately 0.15</w:t>
      </w:r>
      <w:r w:rsidR="0091532E" w:rsidRPr="007D1EF7">
        <w:rPr>
          <w:lang w:val="en-US"/>
        </w:rPr>
        <w:t>°</w:t>
      </w:r>
      <w:r w:rsidRPr="007D1EF7">
        <w:rPr>
          <w:lang w:val="en-US"/>
        </w:rPr>
        <w:t xml:space="preserve"> (Bore-sight to central angle ratio of 2). The 34 dBi translates to an off-axis angle of 0.8</w:t>
      </w:r>
      <w:r w:rsidR="0091532E" w:rsidRPr="007D1EF7">
        <w:rPr>
          <w:lang w:val="en-US"/>
        </w:rPr>
        <w:t>°</w:t>
      </w:r>
      <w:r w:rsidRPr="007D1EF7">
        <w:rPr>
          <w:lang w:val="en-US"/>
        </w:rPr>
        <w:t xml:space="preserve"> and with a Bore-sight to central angle ratio of 8 to a geocentric angle of 0.1</w:t>
      </w:r>
      <w:r w:rsidR="0091532E" w:rsidRPr="007D1EF7">
        <w:rPr>
          <w:lang w:val="en-US"/>
        </w:rPr>
        <w:t>°</w:t>
      </w:r>
      <w:r w:rsidRPr="007D1EF7">
        <w:rPr>
          <w:lang w:val="en-US"/>
        </w:rPr>
        <w:t>. Therefore the SRS ES antenna beam-width when seen from the centre of the Earth will be twice these values, or approximately 0.3</w:t>
      </w:r>
      <w:r w:rsidR="0091532E" w:rsidRPr="007D1EF7">
        <w:rPr>
          <w:lang w:val="en-US"/>
        </w:rPr>
        <w:t>°</w:t>
      </w:r>
      <w:r w:rsidRPr="007D1EF7">
        <w:rPr>
          <w:lang w:val="en-US"/>
        </w:rPr>
        <w:t xml:space="preserve">. </w:t>
      </w:r>
    </w:p>
    <w:p w:rsidR="00AA2BE3" w:rsidRPr="007D1EF7" w:rsidRDefault="00AA2BE3" w:rsidP="00CE72D7">
      <w:pPr>
        <w:rPr>
          <w:lang w:val="en-US"/>
        </w:rPr>
      </w:pPr>
      <w:r w:rsidRPr="007D1EF7">
        <w:rPr>
          <w:lang w:val="en-US"/>
        </w:rPr>
        <w:t>Since all the interference events are referred to the HIBLEO-2 constellation with circular orbits of an approximate period of 100 min, this geocentric angle of 0.3</w:t>
      </w:r>
      <w:r w:rsidR="0091532E" w:rsidRPr="007D1EF7">
        <w:rPr>
          <w:lang w:val="en-US"/>
        </w:rPr>
        <w:t>°</w:t>
      </w:r>
      <w:r w:rsidRPr="007D1EF7">
        <w:rPr>
          <w:lang w:val="en-US"/>
        </w:rPr>
        <w:t xml:space="preserve"> translates in a time interval (</w:t>
      </w:r>
      <w:r w:rsidRPr="00B21247">
        <w:t>Δ</w:t>
      </w:r>
      <w:r w:rsidRPr="007D1EF7">
        <w:rPr>
          <w:i/>
          <w:iCs/>
          <w:lang w:val="en-US"/>
        </w:rPr>
        <w:t>t</w:t>
      </w:r>
      <w:r w:rsidRPr="007D1EF7">
        <w:rPr>
          <w:lang w:val="en-US"/>
        </w:rPr>
        <w:t>) of approximately of 100 min/360</w:t>
      </w:r>
      <w:r w:rsidR="00CE72D7" w:rsidRPr="007D1EF7">
        <w:rPr>
          <w:lang w:val="en-US"/>
        </w:rPr>
        <w:t>°</w:t>
      </w:r>
      <w:r w:rsidRPr="007D1EF7">
        <w:rPr>
          <w:lang w:val="en-US"/>
        </w:rPr>
        <w:t xml:space="preserve"> * 0.3</w:t>
      </w:r>
      <w:r w:rsidR="0091532E" w:rsidRPr="007D1EF7">
        <w:rPr>
          <w:lang w:val="en-US"/>
        </w:rPr>
        <w:t>°</w:t>
      </w:r>
      <w:r w:rsidRPr="007D1EF7">
        <w:rPr>
          <w:lang w:val="en-US"/>
        </w:rPr>
        <w:t xml:space="preserve"> = 0.08 min.</w:t>
      </w:r>
    </w:p>
    <w:p w:rsidR="00AA2BE3" w:rsidRPr="007D1EF7" w:rsidRDefault="00AA2BE3" w:rsidP="00AA2BE3">
      <w:pPr>
        <w:rPr>
          <w:lang w:val="en-US"/>
        </w:rPr>
      </w:pPr>
      <w:r w:rsidRPr="007D1EF7">
        <w:rPr>
          <w:lang w:val="en-US"/>
        </w:rPr>
        <w:t>Time increment (</w:t>
      </w:r>
      <w:r w:rsidRPr="00B21247">
        <w:t>Δ</w:t>
      </w:r>
      <w:r w:rsidRPr="007D1EF7">
        <w:rPr>
          <w:i/>
          <w:iCs/>
          <w:lang w:val="en-US"/>
        </w:rPr>
        <w:t>t</w:t>
      </w:r>
      <w:r w:rsidRPr="007D1EF7">
        <w:rPr>
          <w:lang w:val="en-US"/>
        </w:rPr>
        <w:t>) used in these time series simulations is of concern since very small (</w:t>
      </w:r>
      <w:r w:rsidRPr="00B21247">
        <w:t>Δ</w:t>
      </w:r>
      <w:r w:rsidRPr="007D1EF7">
        <w:rPr>
          <w:i/>
          <w:iCs/>
          <w:lang w:val="en-US"/>
        </w:rPr>
        <w:t>t</w:t>
      </w:r>
      <w:r w:rsidRPr="007D1EF7">
        <w:rPr>
          <w:lang w:val="en-US"/>
        </w:rPr>
        <w:t>) will provide very detailed results but the simulation will take a long time, unpractical to obtaining the first results and properly characterize the scenario. On the contrary, if the (</w:t>
      </w:r>
      <w:r w:rsidRPr="00B21247">
        <w:t>Δ</w:t>
      </w:r>
      <w:r w:rsidRPr="007D1EF7">
        <w:rPr>
          <w:i/>
          <w:iCs/>
          <w:lang w:val="en-US"/>
        </w:rPr>
        <w:t>t</w:t>
      </w:r>
      <w:r w:rsidRPr="007D1EF7">
        <w:rPr>
          <w:lang w:val="en-US"/>
        </w:rPr>
        <w:t>) used is large, the simulation completion will be short and useful at the cost of loosing important events only made visible for very small (</w:t>
      </w:r>
      <w:r w:rsidRPr="00B21247">
        <w:t>Δ</w:t>
      </w:r>
      <w:r w:rsidRPr="007D1EF7">
        <w:rPr>
          <w:i/>
          <w:iCs/>
          <w:lang w:val="en-US"/>
        </w:rPr>
        <w:t>t</w:t>
      </w:r>
      <w:r w:rsidRPr="007D1EF7">
        <w:rPr>
          <w:lang w:val="en-US"/>
        </w:rPr>
        <w:t>). Therefore a combination of both approaches will be taken; that is to start with the longest (</w:t>
      </w:r>
      <w:r w:rsidRPr="00B21247">
        <w:t>Δ</w:t>
      </w:r>
      <w:r w:rsidRPr="007D1EF7">
        <w:rPr>
          <w:i/>
          <w:iCs/>
          <w:lang w:val="en-US"/>
        </w:rPr>
        <w:t>t</w:t>
      </w:r>
      <w:r w:rsidRPr="007D1EF7">
        <w:rPr>
          <w:lang w:val="en-US"/>
        </w:rPr>
        <w:t>) necessary for detecting all the events of interest to concentrate subsequently in smaller time spans with very small (</w:t>
      </w:r>
      <w:r w:rsidRPr="00B21247">
        <w:t>Δ</w:t>
      </w:r>
      <w:r w:rsidRPr="007D1EF7">
        <w:rPr>
          <w:i/>
          <w:iCs/>
          <w:lang w:val="en-US"/>
        </w:rPr>
        <w:t>t</w:t>
      </w:r>
      <w:r w:rsidRPr="007D1EF7">
        <w:rPr>
          <w:lang w:val="en-US"/>
        </w:rPr>
        <w:t>) to properly characterize them.</w:t>
      </w:r>
    </w:p>
    <w:p w:rsidR="00AA2BE3" w:rsidRPr="007D1EF7" w:rsidRDefault="00AA2BE3" w:rsidP="00192341">
      <w:pPr>
        <w:rPr>
          <w:lang w:val="en-US"/>
        </w:rPr>
      </w:pPr>
      <w:r w:rsidRPr="007D1EF7">
        <w:rPr>
          <w:lang w:val="en-US"/>
        </w:rPr>
        <w:t>Using this time increment (</w:t>
      </w:r>
      <w:r w:rsidRPr="00B21247">
        <w:t>Δ</w:t>
      </w:r>
      <w:r w:rsidRPr="007D1EF7">
        <w:rPr>
          <w:i/>
          <w:iCs/>
          <w:lang w:val="en-US"/>
        </w:rPr>
        <w:t>t</w:t>
      </w:r>
      <w:r w:rsidRPr="007D1EF7">
        <w:rPr>
          <w:lang w:val="en-US"/>
        </w:rPr>
        <w:t>) = 0.08 min = 5 s would find all the interference events of interest in a single simulation but it makes the simulation to last an unpractical long time. A longer (</w:t>
      </w:r>
      <w:r w:rsidRPr="00B21247">
        <w:t>Δ</w:t>
      </w:r>
      <w:r w:rsidRPr="007D1EF7">
        <w:rPr>
          <w:i/>
          <w:iCs/>
          <w:lang w:val="en-US"/>
        </w:rPr>
        <w:t>t</w:t>
      </w:r>
      <w:r w:rsidRPr="007D1EF7">
        <w:rPr>
          <w:lang w:val="en-US"/>
        </w:rPr>
        <w:t>) = 0.3 min makes the simulation to last a reasonable time. This (</w:t>
      </w:r>
      <w:r w:rsidRPr="00B21247">
        <w:t>Δ</w:t>
      </w:r>
      <w:r w:rsidRPr="007D1EF7">
        <w:rPr>
          <w:i/>
          <w:iCs/>
          <w:lang w:val="en-US"/>
        </w:rPr>
        <w:t>t</w:t>
      </w:r>
      <w:r w:rsidRPr="007D1EF7">
        <w:rPr>
          <w:lang w:val="en-US"/>
        </w:rPr>
        <w:t>) corresponds approximately to a geocentr</w:t>
      </w:r>
      <w:r w:rsidR="0091532E" w:rsidRPr="007D1EF7">
        <w:rPr>
          <w:lang w:val="en-US"/>
        </w:rPr>
        <w:t>ic angle of:</w:t>
      </w:r>
    </w:p>
    <w:p w:rsidR="00EC61F5" w:rsidRDefault="00EC61F5" w:rsidP="00EC61F5">
      <w:pPr>
        <w:pStyle w:val="Blanc"/>
      </w:pPr>
    </w:p>
    <w:p w:rsidR="00AA2BE3" w:rsidRPr="007D1EF7" w:rsidRDefault="0091532E" w:rsidP="0091532E">
      <w:pPr>
        <w:pStyle w:val="Equation"/>
        <w:rPr>
          <w:lang w:val="en-US"/>
        </w:rPr>
      </w:pPr>
      <w:r w:rsidRPr="007D1EF7">
        <w:rPr>
          <w:lang w:val="en-US"/>
        </w:rPr>
        <w:tab/>
      </w:r>
      <w:r w:rsidRPr="007D1EF7">
        <w:rPr>
          <w:lang w:val="en-US"/>
        </w:rPr>
        <w:tab/>
      </w:r>
      <w:r w:rsidR="00AA2BE3" w:rsidRPr="007D1EF7">
        <w:rPr>
          <w:lang w:val="en-US"/>
        </w:rPr>
        <w:t>360</w:t>
      </w:r>
      <w:r w:rsidRPr="007D1EF7">
        <w:rPr>
          <w:lang w:val="en-US"/>
        </w:rPr>
        <w:t>°</w:t>
      </w:r>
      <w:r w:rsidR="00AA2BE3" w:rsidRPr="007D1EF7">
        <w:rPr>
          <w:lang w:val="en-US"/>
        </w:rPr>
        <w:t>/ 100 min * 0.3 min = 1</w:t>
      </w:r>
      <w:r w:rsidRPr="007D1EF7">
        <w:rPr>
          <w:lang w:val="en-US"/>
        </w:rPr>
        <w:t>°</w:t>
      </w:r>
    </w:p>
    <w:p w:rsidR="00EC61F5" w:rsidRDefault="00EC61F5" w:rsidP="00EC61F5">
      <w:pPr>
        <w:pStyle w:val="Blanc"/>
      </w:pPr>
    </w:p>
    <w:p w:rsidR="00AA2BE3" w:rsidRPr="007D1EF7" w:rsidRDefault="00AA2BE3" w:rsidP="00192341">
      <w:pPr>
        <w:rPr>
          <w:lang w:val="en-US"/>
        </w:rPr>
      </w:pPr>
      <w:r w:rsidRPr="007D1EF7">
        <w:rPr>
          <w:lang w:val="en-US"/>
        </w:rPr>
        <w:t>which in turn translates into a minimum SRS ES antenna bore-sight angle of approximately 2</w:t>
      </w:r>
      <w:r w:rsidR="0091532E" w:rsidRPr="007D1EF7">
        <w:rPr>
          <w:lang w:val="en-US"/>
        </w:rPr>
        <w:t>°</w:t>
      </w:r>
      <w:r w:rsidRPr="007D1EF7">
        <w:rPr>
          <w:lang w:val="en-US"/>
        </w:rPr>
        <w:t xml:space="preserve"> at 5</w:t>
      </w:r>
      <w:r w:rsidR="0091532E" w:rsidRPr="007D1EF7">
        <w:rPr>
          <w:lang w:val="en-US"/>
        </w:rPr>
        <w:t>°</w:t>
      </w:r>
      <w:r w:rsidRPr="007D1EF7">
        <w:rPr>
          <w:lang w:val="en-US"/>
        </w:rPr>
        <w:t xml:space="preserve"> elevation and 9</w:t>
      </w:r>
      <w:r w:rsidR="0091532E" w:rsidRPr="007D1EF7">
        <w:rPr>
          <w:lang w:val="en-US"/>
        </w:rPr>
        <w:t>°</w:t>
      </w:r>
      <w:r w:rsidRPr="007D1EF7">
        <w:rPr>
          <w:lang w:val="en-US"/>
        </w:rPr>
        <w:t xml:space="preserve"> at 70</w:t>
      </w:r>
      <w:r w:rsidR="0091532E" w:rsidRPr="007D1EF7">
        <w:rPr>
          <w:lang w:val="en-US"/>
        </w:rPr>
        <w:t>°</w:t>
      </w:r>
      <w:r w:rsidRPr="007D1EF7">
        <w:rPr>
          <w:lang w:val="en-US"/>
        </w:rPr>
        <w:t xml:space="preserve"> elevation corresponding to SRS ES antenna off</w:t>
      </w:r>
      <w:r w:rsidRPr="007D1EF7">
        <w:rPr>
          <w:lang w:val="en-US"/>
        </w:rPr>
        <w:noBreakHyphen/>
        <w:t>axis of 1</w:t>
      </w:r>
      <w:r w:rsidR="0091532E" w:rsidRPr="007D1EF7">
        <w:rPr>
          <w:lang w:val="en-US"/>
        </w:rPr>
        <w:t>°</w:t>
      </w:r>
      <w:r w:rsidRPr="007D1EF7">
        <w:rPr>
          <w:lang w:val="en-US"/>
        </w:rPr>
        <w:t xml:space="preserve"> (30 dBi) and 4.5</w:t>
      </w:r>
      <w:r w:rsidR="0091532E" w:rsidRPr="007D1EF7">
        <w:rPr>
          <w:lang w:val="en-US"/>
        </w:rPr>
        <w:t>°</w:t>
      </w:r>
      <w:r w:rsidRPr="007D1EF7">
        <w:rPr>
          <w:lang w:val="en-US"/>
        </w:rPr>
        <w:t xml:space="preserve"> (15 dBi) respectively.</w:t>
      </w:r>
    </w:p>
    <w:p w:rsidR="00AA2BE3" w:rsidRPr="007D1EF7" w:rsidRDefault="00AA2BE3" w:rsidP="00AA2BE3">
      <w:pPr>
        <w:pStyle w:val="Heading2"/>
        <w:rPr>
          <w:lang w:val="en-US"/>
        </w:rPr>
      </w:pPr>
      <w:bookmarkStart w:id="69" w:name="_Toc277668631"/>
      <w:r w:rsidRPr="007D1EF7">
        <w:rPr>
          <w:lang w:val="en-US"/>
        </w:rPr>
        <w:t>3.4</w:t>
      </w:r>
      <w:r w:rsidRPr="007D1EF7">
        <w:rPr>
          <w:lang w:val="en-US"/>
        </w:rPr>
        <w:tab/>
        <w:t>Long-term interference of SRS ES transmissions into HIBLEO-2 constellation</w:t>
      </w:r>
      <w:bookmarkEnd w:id="69"/>
    </w:p>
    <w:p w:rsidR="00AA2BE3" w:rsidRPr="007D1EF7" w:rsidRDefault="00AA2BE3" w:rsidP="00AA2BE3">
      <w:pPr>
        <w:rPr>
          <w:lang w:val="en-US"/>
        </w:rPr>
      </w:pPr>
      <w:r w:rsidRPr="007D1EF7">
        <w:rPr>
          <w:lang w:val="en-US"/>
        </w:rPr>
        <w:t>The interfering events found with a (</w:t>
      </w:r>
      <w:r w:rsidRPr="00B3358F">
        <w:t>Δ</w:t>
      </w:r>
      <w:r w:rsidRPr="007D1EF7">
        <w:rPr>
          <w:i/>
          <w:iCs/>
          <w:lang w:val="en-US"/>
        </w:rPr>
        <w:t>t</w:t>
      </w:r>
      <w:r w:rsidRPr="007D1EF7">
        <w:rPr>
          <w:lang w:val="en-US"/>
        </w:rPr>
        <w:t>) = 0.3 min will surely be missing some of those corresponding to larger SRS ES antenna gains, therefore a second simulation with a (</w:t>
      </w:r>
      <w:r w:rsidRPr="00B3358F">
        <w:t>Δ</w:t>
      </w:r>
      <w:r w:rsidRPr="007D1EF7">
        <w:rPr>
          <w:i/>
          <w:iCs/>
          <w:lang w:val="en-US"/>
        </w:rPr>
        <w:t>t</w:t>
      </w:r>
      <w:r w:rsidRPr="007D1EF7">
        <w:rPr>
          <w:lang w:val="en-US"/>
        </w:rPr>
        <w:t>) much smaller will have to be performed. In order to shorten this second simulation it is convenient to remove those events with SRS ES antenna gains smaller than the 15 dBi antenna gain just found above.</w:t>
      </w:r>
    </w:p>
    <w:p w:rsidR="00AA2BE3" w:rsidRPr="007D1EF7" w:rsidRDefault="00AA2BE3" w:rsidP="00AA2BE3">
      <w:pPr>
        <w:rPr>
          <w:bCs/>
          <w:strike/>
          <w:lang w:val="en-US"/>
        </w:rPr>
      </w:pPr>
      <w:r w:rsidRPr="007D1EF7">
        <w:rPr>
          <w:lang w:val="en-US"/>
        </w:rPr>
        <w:t>All the 6 x 11 orbital planes were simulated each one at a time but keeping their corresponding epoch. It must be emphasized that the common epoch used as well as the one assigned to the Earth and Moon was carefully chosen</w:t>
      </w:r>
      <w:r w:rsidRPr="007D1EF7">
        <w:rPr>
          <w:b/>
          <w:lang w:val="en-US"/>
        </w:rPr>
        <w:t xml:space="preserve"> </w:t>
      </w:r>
      <w:r w:rsidRPr="007D1EF7">
        <w:rPr>
          <w:bCs/>
          <w:lang w:val="en-US"/>
        </w:rPr>
        <w:t>so that at least one interfering event produced by the SZRS ES main beam antenna was assured (at 24 603 min of plane 1 satellite 9). The simulation was run for 28 days (the approximate period of the Moon) and the epoch of each one of the interference events noted.</w:t>
      </w:r>
    </w:p>
    <w:p w:rsidR="00AA2BE3" w:rsidRPr="007D1EF7" w:rsidRDefault="00AA2BE3" w:rsidP="00EC61F5">
      <w:pPr>
        <w:keepLines/>
        <w:rPr>
          <w:lang w:val="en-US"/>
        </w:rPr>
      </w:pPr>
      <w:r w:rsidRPr="007D1EF7">
        <w:rPr>
          <w:bCs/>
          <w:lang w:val="en-US"/>
        </w:rPr>
        <w:lastRenderedPageBreak/>
        <w:t>There exists the possibility of a larger antenna gain being missed on the middle of the time span used (</w:t>
      </w:r>
      <w:r w:rsidRPr="00B21247">
        <w:rPr>
          <w:bCs/>
        </w:rPr>
        <w:t>Δ</w:t>
      </w:r>
      <w:r w:rsidRPr="007D1EF7">
        <w:rPr>
          <w:bCs/>
          <w:i/>
          <w:iCs/>
          <w:lang w:val="en-US"/>
        </w:rPr>
        <w:t>t</w:t>
      </w:r>
      <w:r w:rsidRPr="007D1EF7">
        <w:rPr>
          <w:bCs/>
          <w:lang w:val="en-US"/>
        </w:rPr>
        <w:t>) = 0.3 min. Since the epoch of each one of these interference is now known, inspection of a time span of i.e. ±0.6 min at a time interval (</w:t>
      </w:r>
      <w:r w:rsidRPr="00B21247">
        <w:rPr>
          <w:bCs/>
        </w:rPr>
        <w:t>Δ</w:t>
      </w:r>
      <w:r w:rsidRPr="007D1EF7">
        <w:rPr>
          <w:bCs/>
          <w:i/>
          <w:iCs/>
          <w:lang w:val="en-US"/>
        </w:rPr>
        <w:t>t</w:t>
      </w:r>
      <w:r w:rsidRPr="007D1EF7">
        <w:rPr>
          <w:bCs/>
          <w:lang w:val="en-US"/>
        </w:rPr>
        <w:t>) = 0.001 min may be done in a reasonable time. Note that this small time interval is approximately equivalent to an angle of 0.004</w:t>
      </w:r>
      <w:r w:rsidR="0091532E" w:rsidRPr="007D1EF7">
        <w:rPr>
          <w:bCs/>
          <w:lang w:val="en-US"/>
        </w:rPr>
        <w:t>°</w:t>
      </w:r>
      <w:r w:rsidRPr="007D1EF7">
        <w:rPr>
          <w:bCs/>
          <w:lang w:val="en-US"/>
        </w:rPr>
        <w:t>, at the HIBLEO</w:t>
      </w:r>
      <w:r w:rsidR="0091532E" w:rsidRPr="007D1EF7">
        <w:rPr>
          <w:bCs/>
          <w:lang w:val="en-US"/>
        </w:rPr>
        <w:noBreakHyphen/>
      </w:r>
      <w:r w:rsidRPr="007D1EF7">
        <w:rPr>
          <w:bCs/>
          <w:lang w:val="en-US"/>
        </w:rPr>
        <w:t>2 orbit, which in turn translates into a SRS ES bore-sight angle between 0.008</w:t>
      </w:r>
      <w:r w:rsidR="0091532E" w:rsidRPr="007D1EF7">
        <w:rPr>
          <w:bCs/>
          <w:lang w:val="en-US"/>
        </w:rPr>
        <w:t>°</w:t>
      </w:r>
      <w:r w:rsidRPr="007D1EF7">
        <w:rPr>
          <w:bCs/>
          <w:lang w:val="en-US"/>
        </w:rPr>
        <w:t xml:space="preserve"> and 0.04</w:t>
      </w:r>
      <w:r w:rsidR="0091532E" w:rsidRPr="007D1EF7">
        <w:rPr>
          <w:bCs/>
          <w:lang w:val="en-US"/>
        </w:rPr>
        <w:t>°</w:t>
      </w:r>
      <w:r w:rsidRPr="007D1EF7">
        <w:rPr>
          <w:bCs/>
          <w:lang w:val="en-US"/>
        </w:rPr>
        <w:t xml:space="preserve"> which may resolve the SRS ES main-beam antenna (0.066</w:t>
      </w:r>
      <w:r w:rsidR="0091532E" w:rsidRPr="007D1EF7">
        <w:rPr>
          <w:bCs/>
          <w:lang w:val="en-US"/>
        </w:rPr>
        <w:t>°</w:t>
      </w:r>
      <w:r w:rsidRPr="007D1EF7">
        <w:rPr>
          <w:bCs/>
          <w:lang w:val="en-US"/>
        </w:rPr>
        <w:t>).</w:t>
      </w:r>
      <w:r w:rsidRPr="007D1EF7">
        <w:rPr>
          <w:lang w:val="en-US"/>
        </w:rPr>
        <w:t xml:space="preserve"> This small time interval will also define precisely the short-term interference event structure.</w:t>
      </w:r>
    </w:p>
    <w:p w:rsidR="00AA2BE3" w:rsidRPr="007D1EF7" w:rsidRDefault="00AA2BE3" w:rsidP="00AA2BE3">
      <w:pPr>
        <w:rPr>
          <w:bCs/>
          <w:lang w:val="en-US"/>
        </w:rPr>
      </w:pPr>
      <w:r w:rsidRPr="007D1EF7">
        <w:rPr>
          <w:bCs/>
          <w:lang w:val="en-US"/>
        </w:rPr>
        <w:t>A detailed example of the process just described above follows. A reduced set of important parameters obtained in the simulation for all orbital planes was noted. Table A5- 2 is included as an example showing results only for orbital planes 1, 2 and 3. Each column represents:</w:t>
      </w:r>
    </w:p>
    <w:p w:rsidR="00AA2BE3" w:rsidRPr="007D1EF7" w:rsidRDefault="00AA2BE3" w:rsidP="0091532E">
      <w:pPr>
        <w:pStyle w:val="enumlev1"/>
        <w:rPr>
          <w:lang w:val="en-US"/>
        </w:rPr>
      </w:pPr>
      <w:r w:rsidRPr="007D1EF7">
        <w:rPr>
          <w:lang w:val="en-US"/>
        </w:rPr>
        <w:t>1</w:t>
      </w:r>
      <w:r w:rsidR="0091532E" w:rsidRPr="007D1EF7">
        <w:rPr>
          <w:lang w:val="en-US"/>
        </w:rPr>
        <w:t>.</w:t>
      </w:r>
      <w:r w:rsidRPr="007D1EF7">
        <w:rPr>
          <w:lang w:val="en-US"/>
        </w:rPr>
        <w:tab/>
        <w:t>time in minutes (epoch)</w:t>
      </w:r>
      <w:r w:rsidR="0091532E" w:rsidRPr="007D1EF7">
        <w:rPr>
          <w:lang w:val="en-US"/>
        </w:rPr>
        <w:t>;</w:t>
      </w:r>
    </w:p>
    <w:p w:rsidR="00AA2BE3" w:rsidRPr="007D1EF7" w:rsidRDefault="00AA2BE3" w:rsidP="0091532E">
      <w:pPr>
        <w:pStyle w:val="enumlev1"/>
        <w:rPr>
          <w:lang w:val="en-US"/>
        </w:rPr>
      </w:pPr>
      <w:r w:rsidRPr="007D1EF7">
        <w:rPr>
          <w:lang w:val="en-US"/>
        </w:rPr>
        <w:t>2</w:t>
      </w:r>
      <w:r w:rsidR="0091532E" w:rsidRPr="007D1EF7">
        <w:rPr>
          <w:lang w:val="en-US"/>
        </w:rPr>
        <w:t>.</w:t>
      </w:r>
      <w:r w:rsidRPr="007D1EF7">
        <w:rPr>
          <w:lang w:val="en-US"/>
        </w:rPr>
        <w:tab/>
        <w:t>day number</w:t>
      </w:r>
      <w:r w:rsidR="0091532E" w:rsidRPr="007D1EF7">
        <w:rPr>
          <w:lang w:val="en-US"/>
        </w:rPr>
        <w:t>;</w:t>
      </w:r>
    </w:p>
    <w:p w:rsidR="00AA2BE3" w:rsidRPr="007D1EF7" w:rsidRDefault="00AA2BE3" w:rsidP="0091532E">
      <w:pPr>
        <w:pStyle w:val="enumlev1"/>
        <w:rPr>
          <w:lang w:val="en-US"/>
        </w:rPr>
      </w:pPr>
      <w:r w:rsidRPr="007D1EF7">
        <w:rPr>
          <w:lang w:val="en-US"/>
        </w:rPr>
        <w:t>3</w:t>
      </w:r>
      <w:r w:rsidR="0091532E" w:rsidRPr="007D1EF7">
        <w:rPr>
          <w:lang w:val="en-US"/>
        </w:rPr>
        <w:t>.</w:t>
      </w:r>
      <w:r w:rsidRPr="007D1EF7">
        <w:rPr>
          <w:lang w:val="en-US"/>
        </w:rPr>
        <w:tab/>
        <w:t>PSD dB(W/Hz) at the HIBLEO-2 receiver</w:t>
      </w:r>
      <w:r w:rsidR="0091532E" w:rsidRPr="007D1EF7">
        <w:rPr>
          <w:lang w:val="en-US"/>
        </w:rPr>
        <w:t>;</w:t>
      </w:r>
    </w:p>
    <w:p w:rsidR="00AA2BE3" w:rsidRPr="007D1EF7" w:rsidRDefault="00AA2BE3" w:rsidP="0091532E">
      <w:pPr>
        <w:pStyle w:val="enumlev1"/>
        <w:rPr>
          <w:lang w:val="en-US"/>
        </w:rPr>
      </w:pPr>
      <w:r w:rsidRPr="007D1EF7">
        <w:rPr>
          <w:lang w:val="en-US"/>
        </w:rPr>
        <w:t>4</w:t>
      </w:r>
      <w:r w:rsidR="0091532E" w:rsidRPr="007D1EF7">
        <w:rPr>
          <w:lang w:val="en-US"/>
        </w:rPr>
        <w:t>.</w:t>
      </w:r>
      <w:r w:rsidRPr="007D1EF7">
        <w:rPr>
          <w:lang w:val="en-US"/>
        </w:rPr>
        <w:tab/>
        <w:t>HIBLEO-2 plane number</w:t>
      </w:r>
      <w:r w:rsidR="0091532E" w:rsidRPr="007D1EF7">
        <w:rPr>
          <w:lang w:val="en-US"/>
        </w:rPr>
        <w:t>;</w:t>
      </w:r>
    </w:p>
    <w:p w:rsidR="00AA2BE3" w:rsidRPr="007D1EF7" w:rsidRDefault="00AA2BE3" w:rsidP="0091532E">
      <w:pPr>
        <w:pStyle w:val="enumlev1"/>
        <w:rPr>
          <w:lang w:val="en-US"/>
        </w:rPr>
      </w:pPr>
      <w:r w:rsidRPr="007D1EF7">
        <w:rPr>
          <w:lang w:val="en-US"/>
        </w:rPr>
        <w:t>5</w:t>
      </w:r>
      <w:r w:rsidR="0091532E" w:rsidRPr="007D1EF7">
        <w:rPr>
          <w:lang w:val="en-US"/>
        </w:rPr>
        <w:t>.</w:t>
      </w:r>
      <w:r w:rsidRPr="007D1EF7">
        <w:rPr>
          <w:lang w:val="en-US"/>
        </w:rPr>
        <w:tab/>
        <w:t>HIBLEO-2 satellite number</w:t>
      </w:r>
      <w:r w:rsidR="0091532E" w:rsidRPr="007D1EF7">
        <w:rPr>
          <w:lang w:val="en-US"/>
        </w:rPr>
        <w:t>;</w:t>
      </w:r>
    </w:p>
    <w:p w:rsidR="00AA2BE3" w:rsidRPr="007D1EF7" w:rsidRDefault="00AA2BE3" w:rsidP="0091532E">
      <w:pPr>
        <w:pStyle w:val="enumlev1"/>
        <w:rPr>
          <w:lang w:val="en-US"/>
        </w:rPr>
      </w:pPr>
      <w:r w:rsidRPr="007D1EF7">
        <w:rPr>
          <w:lang w:val="en-US"/>
        </w:rPr>
        <w:t>6</w:t>
      </w:r>
      <w:r w:rsidR="0091532E" w:rsidRPr="007D1EF7">
        <w:rPr>
          <w:lang w:val="en-US"/>
        </w:rPr>
        <w:t>.</w:t>
      </w:r>
      <w:r w:rsidRPr="007D1EF7">
        <w:rPr>
          <w:lang w:val="en-US"/>
        </w:rPr>
        <w:tab/>
        <w:t>HIBLEO-2 antenna gain (dBi)</w:t>
      </w:r>
      <w:r w:rsidR="0091532E" w:rsidRPr="007D1EF7">
        <w:rPr>
          <w:lang w:val="en-US"/>
        </w:rPr>
        <w:t>;</w:t>
      </w:r>
    </w:p>
    <w:p w:rsidR="00AA2BE3" w:rsidRPr="007D1EF7" w:rsidRDefault="00AA2BE3" w:rsidP="0091532E">
      <w:pPr>
        <w:pStyle w:val="enumlev1"/>
        <w:rPr>
          <w:lang w:val="en-US"/>
        </w:rPr>
      </w:pPr>
      <w:r w:rsidRPr="007D1EF7">
        <w:rPr>
          <w:lang w:val="en-US"/>
        </w:rPr>
        <w:t>7</w:t>
      </w:r>
      <w:r w:rsidR="0091532E" w:rsidRPr="007D1EF7">
        <w:rPr>
          <w:lang w:val="en-US"/>
        </w:rPr>
        <w:t>.</w:t>
      </w:r>
      <w:r w:rsidRPr="007D1EF7">
        <w:rPr>
          <w:lang w:val="en-US"/>
        </w:rPr>
        <w:tab/>
        <w:t>SRS ES antenna gain (dBi)</w:t>
      </w:r>
      <w:r w:rsidR="0091532E" w:rsidRPr="007D1EF7">
        <w:rPr>
          <w:lang w:val="en-US"/>
        </w:rPr>
        <w:t>;</w:t>
      </w:r>
    </w:p>
    <w:p w:rsidR="00AA2BE3" w:rsidRPr="007D1EF7" w:rsidRDefault="00AA2BE3" w:rsidP="0091532E">
      <w:pPr>
        <w:pStyle w:val="enumlev1"/>
        <w:rPr>
          <w:lang w:val="en-US"/>
        </w:rPr>
      </w:pPr>
      <w:r w:rsidRPr="007D1EF7">
        <w:rPr>
          <w:lang w:val="en-US"/>
        </w:rPr>
        <w:t>8</w:t>
      </w:r>
      <w:r w:rsidR="0091532E" w:rsidRPr="007D1EF7">
        <w:rPr>
          <w:lang w:val="en-US"/>
        </w:rPr>
        <w:t>.</w:t>
      </w:r>
      <w:r w:rsidRPr="007D1EF7">
        <w:rPr>
          <w:lang w:val="en-US"/>
        </w:rPr>
        <w:tab/>
        <w:t>longitude of HIBLEO-2 s/c foot print on Earth (deg</w:t>
      </w:r>
      <w:r w:rsidR="0091532E" w:rsidRPr="007D1EF7">
        <w:rPr>
          <w:lang w:val="en-US"/>
        </w:rPr>
        <w:t>rees</w:t>
      </w:r>
      <w:r w:rsidRPr="007D1EF7">
        <w:rPr>
          <w:lang w:val="en-US"/>
        </w:rPr>
        <w:t>)</w:t>
      </w:r>
      <w:r w:rsidR="0091532E" w:rsidRPr="007D1EF7">
        <w:rPr>
          <w:lang w:val="en-US"/>
        </w:rPr>
        <w:t>;</w:t>
      </w:r>
    </w:p>
    <w:p w:rsidR="00AA2BE3" w:rsidRPr="007D1EF7" w:rsidRDefault="00AA2BE3" w:rsidP="0091532E">
      <w:pPr>
        <w:pStyle w:val="enumlev1"/>
        <w:rPr>
          <w:lang w:val="en-US"/>
        </w:rPr>
      </w:pPr>
      <w:r w:rsidRPr="007D1EF7">
        <w:rPr>
          <w:lang w:val="en-US"/>
        </w:rPr>
        <w:t>9</w:t>
      </w:r>
      <w:r w:rsidR="0091532E" w:rsidRPr="007D1EF7">
        <w:rPr>
          <w:lang w:val="en-US"/>
        </w:rPr>
        <w:t>.</w:t>
      </w:r>
      <w:r w:rsidRPr="007D1EF7">
        <w:rPr>
          <w:lang w:val="en-US"/>
        </w:rPr>
        <w:tab/>
        <w:t>latitude of HIBLEO-2 s/c foot print on Earth (deg</w:t>
      </w:r>
      <w:r w:rsidR="0091532E" w:rsidRPr="007D1EF7">
        <w:rPr>
          <w:lang w:val="en-US"/>
        </w:rPr>
        <w:t>rees</w:t>
      </w:r>
      <w:r w:rsidRPr="007D1EF7">
        <w:rPr>
          <w:lang w:val="en-US"/>
        </w:rPr>
        <w:t>)</w:t>
      </w:r>
      <w:r w:rsidR="0091532E" w:rsidRPr="007D1EF7">
        <w:rPr>
          <w:lang w:val="en-US"/>
        </w:rPr>
        <w:t>;</w:t>
      </w:r>
    </w:p>
    <w:p w:rsidR="00AA2BE3" w:rsidRPr="007D1EF7" w:rsidRDefault="00AA2BE3" w:rsidP="0091532E">
      <w:pPr>
        <w:pStyle w:val="enumlev1"/>
        <w:rPr>
          <w:lang w:val="en-US"/>
        </w:rPr>
      </w:pPr>
      <w:r w:rsidRPr="007D1EF7">
        <w:rPr>
          <w:lang w:val="en-US"/>
        </w:rPr>
        <w:t>10</w:t>
      </w:r>
      <w:r w:rsidR="0091532E" w:rsidRPr="007D1EF7">
        <w:rPr>
          <w:lang w:val="en-US"/>
        </w:rPr>
        <w:t>.</w:t>
      </w:r>
      <w:r w:rsidRPr="007D1EF7">
        <w:rPr>
          <w:lang w:val="en-US"/>
        </w:rPr>
        <w:tab/>
        <w:t>HIBLEO-2 s/c azi</w:t>
      </w:r>
      <w:r w:rsidR="0091532E" w:rsidRPr="007D1EF7">
        <w:rPr>
          <w:lang w:val="en-US"/>
        </w:rPr>
        <w:t>muth as seen from SRS ES (degrees);</w:t>
      </w:r>
    </w:p>
    <w:p w:rsidR="00AA2BE3" w:rsidRPr="007D1EF7" w:rsidRDefault="00AA2BE3" w:rsidP="0091532E">
      <w:pPr>
        <w:pStyle w:val="enumlev1"/>
        <w:rPr>
          <w:lang w:val="en-US"/>
        </w:rPr>
      </w:pPr>
      <w:r w:rsidRPr="007D1EF7">
        <w:rPr>
          <w:lang w:val="en-US"/>
        </w:rPr>
        <w:t>11</w:t>
      </w:r>
      <w:r w:rsidR="0091532E" w:rsidRPr="007D1EF7">
        <w:rPr>
          <w:lang w:val="en-US"/>
        </w:rPr>
        <w:t>.</w:t>
      </w:r>
      <w:r w:rsidRPr="007D1EF7">
        <w:rPr>
          <w:lang w:val="en-US"/>
        </w:rPr>
        <w:tab/>
        <w:t>HIBLEO-2 s/c elevation as seen from SRS ES (deg</w:t>
      </w:r>
      <w:r w:rsidR="0091532E" w:rsidRPr="007D1EF7">
        <w:rPr>
          <w:lang w:val="en-US"/>
        </w:rPr>
        <w:t>rees</w:t>
      </w:r>
      <w:r w:rsidRPr="007D1EF7">
        <w:rPr>
          <w:lang w:val="en-US"/>
        </w:rPr>
        <w:t>)</w:t>
      </w:r>
      <w:r w:rsidR="0091532E" w:rsidRPr="007D1EF7">
        <w:rPr>
          <w:lang w:val="en-US"/>
        </w:rPr>
        <w:t>;</w:t>
      </w:r>
    </w:p>
    <w:p w:rsidR="00AA2BE3" w:rsidRPr="007D1EF7" w:rsidRDefault="00AA2BE3" w:rsidP="0091532E">
      <w:pPr>
        <w:pStyle w:val="enumlev1"/>
        <w:rPr>
          <w:lang w:val="en-US"/>
        </w:rPr>
      </w:pPr>
      <w:r w:rsidRPr="007D1EF7">
        <w:rPr>
          <w:lang w:val="en-US"/>
        </w:rPr>
        <w:t>12</w:t>
      </w:r>
      <w:r w:rsidR="0091532E" w:rsidRPr="007D1EF7">
        <w:rPr>
          <w:lang w:val="en-US"/>
        </w:rPr>
        <w:t>.</w:t>
      </w:r>
      <w:r w:rsidRPr="007D1EF7">
        <w:rPr>
          <w:lang w:val="en-US"/>
        </w:rPr>
        <w:tab/>
        <w:t>Number of events larger than –202 dB(W/Hz)</w:t>
      </w:r>
      <w:r w:rsidR="0091532E" w:rsidRPr="007D1EF7">
        <w:rPr>
          <w:lang w:val="en-US"/>
        </w:rPr>
        <w:t>;</w:t>
      </w:r>
    </w:p>
    <w:p w:rsidR="00AA2BE3" w:rsidRPr="007D1EF7" w:rsidRDefault="00AA2BE3" w:rsidP="0091532E">
      <w:pPr>
        <w:pStyle w:val="enumlev1"/>
        <w:rPr>
          <w:lang w:val="en-US"/>
        </w:rPr>
      </w:pPr>
      <w:r w:rsidRPr="007D1EF7">
        <w:rPr>
          <w:lang w:val="en-US"/>
        </w:rPr>
        <w:t>13</w:t>
      </w:r>
      <w:r w:rsidR="0091532E" w:rsidRPr="007D1EF7">
        <w:rPr>
          <w:lang w:val="en-US"/>
        </w:rPr>
        <w:t>.</w:t>
      </w:r>
      <w:r w:rsidRPr="007D1EF7">
        <w:rPr>
          <w:lang w:val="en-US"/>
        </w:rPr>
        <w:tab/>
        <w:t>Interfering time</w:t>
      </w:r>
      <w:r w:rsidR="0091532E" w:rsidRPr="007D1EF7">
        <w:rPr>
          <w:lang w:val="en-US"/>
        </w:rPr>
        <w:t xml:space="preserve"> (</w:t>
      </w:r>
      <w:r w:rsidRPr="007D1EF7">
        <w:rPr>
          <w:lang w:val="en-US"/>
        </w:rPr>
        <w:t>s</w:t>
      </w:r>
      <w:r w:rsidR="0091532E" w:rsidRPr="007D1EF7">
        <w:rPr>
          <w:lang w:val="en-US"/>
        </w:rPr>
        <w:t>)</w:t>
      </w:r>
      <w:r w:rsidRPr="007D1EF7">
        <w:rPr>
          <w:lang w:val="en-US"/>
        </w:rPr>
        <w:t>.</w:t>
      </w:r>
    </w:p>
    <w:p w:rsidR="00EC61F5" w:rsidRPr="007D1EF7" w:rsidRDefault="00EC61F5" w:rsidP="0091532E">
      <w:pPr>
        <w:pStyle w:val="enumlev1"/>
        <w:rPr>
          <w:lang w:val="en-US"/>
        </w:rPr>
      </w:pPr>
    </w:p>
    <w:p w:rsidR="00AA2BE3" w:rsidRPr="007D1EF7" w:rsidRDefault="0091532E" w:rsidP="00AA2BE3">
      <w:pPr>
        <w:pStyle w:val="TableNo"/>
        <w:rPr>
          <w:lang w:val="en-US"/>
        </w:rPr>
      </w:pPr>
      <w:r w:rsidRPr="007D1EF7">
        <w:rPr>
          <w:lang w:val="en-US"/>
        </w:rPr>
        <w:t>TABLE</w:t>
      </w:r>
      <w:r w:rsidR="00AA2BE3" w:rsidRPr="007D1EF7">
        <w:rPr>
          <w:lang w:val="en-US"/>
        </w:rPr>
        <w:t xml:space="preserve"> A5-2</w:t>
      </w:r>
    </w:p>
    <w:p w:rsidR="00AA2BE3" w:rsidRPr="007D1EF7" w:rsidRDefault="00AA2BE3" w:rsidP="00AA2BE3">
      <w:pPr>
        <w:pStyle w:val="Tabletitle"/>
        <w:rPr>
          <w:lang w:val="en-US"/>
        </w:rPr>
      </w:pPr>
      <w:r w:rsidRPr="007D1EF7">
        <w:rPr>
          <w:lang w:val="en-US"/>
        </w:rPr>
        <w:t>Interference events for planes 1 through 3 (</w:t>
      </w:r>
      <w:r w:rsidRPr="00472456">
        <w:t>Δ</w:t>
      </w:r>
      <w:r w:rsidRPr="007D1EF7">
        <w:rPr>
          <w:i/>
          <w:iCs/>
          <w:lang w:val="en-US"/>
        </w:rPr>
        <w:t>t</w:t>
      </w:r>
      <w:r w:rsidRPr="007D1EF7">
        <w:rPr>
          <w:lang w:val="en-US"/>
        </w:rPr>
        <w:t xml:space="preserve"> = 0.06 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7"/>
        <w:gridCol w:w="877"/>
        <w:gridCol w:w="877"/>
        <w:gridCol w:w="876"/>
        <w:gridCol w:w="876"/>
        <w:gridCol w:w="876"/>
        <w:gridCol w:w="876"/>
        <w:gridCol w:w="876"/>
        <w:gridCol w:w="876"/>
        <w:gridCol w:w="876"/>
        <w:gridCol w:w="876"/>
      </w:tblGrid>
      <w:tr w:rsidR="00AA2BE3" w:rsidRPr="006C2078" w:rsidTr="0091532E">
        <w:trPr>
          <w:jc w:val="center"/>
        </w:trPr>
        <w:tc>
          <w:tcPr>
            <w:tcW w:w="947" w:type="dxa"/>
            <w:vAlign w:val="center"/>
          </w:tcPr>
          <w:p w:rsidR="00AA2BE3" w:rsidRPr="0091532E" w:rsidRDefault="00AA2BE3" w:rsidP="00A47FF8">
            <w:pPr>
              <w:pStyle w:val="Tabletext"/>
              <w:keepNext/>
              <w:jc w:val="center"/>
              <w:rPr>
                <w:sz w:val="18"/>
              </w:rPr>
            </w:pPr>
            <w:r w:rsidRPr="0091532E">
              <w:rPr>
                <w:sz w:val="18"/>
              </w:rPr>
              <w:t>3765.7</w:t>
            </w:r>
          </w:p>
        </w:tc>
        <w:tc>
          <w:tcPr>
            <w:tcW w:w="947" w:type="dxa"/>
            <w:vAlign w:val="center"/>
          </w:tcPr>
          <w:p w:rsidR="00AA2BE3" w:rsidRPr="0091532E" w:rsidRDefault="00AA2BE3" w:rsidP="00A47FF8">
            <w:pPr>
              <w:pStyle w:val="Tabletext"/>
              <w:keepNext/>
              <w:jc w:val="center"/>
              <w:rPr>
                <w:sz w:val="18"/>
              </w:rPr>
            </w:pPr>
            <w:r w:rsidRPr="0091532E">
              <w:rPr>
                <w:sz w:val="18"/>
              </w:rPr>
              <w:t>9474.6</w:t>
            </w:r>
          </w:p>
        </w:tc>
        <w:tc>
          <w:tcPr>
            <w:tcW w:w="947" w:type="dxa"/>
            <w:vAlign w:val="center"/>
          </w:tcPr>
          <w:p w:rsidR="00AA2BE3" w:rsidRPr="0091532E" w:rsidRDefault="00AA2BE3" w:rsidP="00A47FF8">
            <w:pPr>
              <w:pStyle w:val="Tabletext"/>
              <w:keepNext/>
              <w:jc w:val="center"/>
              <w:rPr>
                <w:sz w:val="18"/>
              </w:rPr>
            </w:pPr>
            <w:r w:rsidRPr="0091532E">
              <w:rPr>
                <w:sz w:val="18"/>
              </w:rPr>
              <w:t>16618</w:t>
            </w:r>
          </w:p>
        </w:tc>
        <w:tc>
          <w:tcPr>
            <w:tcW w:w="947" w:type="dxa"/>
            <w:vAlign w:val="center"/>
          </w:tcPr>
          <w:p w:rsidR="00AA2BE3" w:rsidRPr="0091532E" w:rsidRDefault="00AA2BE3" w:rsidP="00A47FF8">
            <w:pPr>
              <w:pStyle w:val="Tabletext"/>
              <w:keepNext/>
              <w:jc w:val="center"/>
              <w:rPr>
                <w:sz w:val="18"/>
              </w:rPr>
            </w:pPr>
            <w:r w:rsidRPr="0091532E">
              <w:rPr>
                <w:sz w:val="18"/>
              </w:rPr>
              <w:t>24603</w:t>
            </w:r>
          </w:p>
        </w:tc>
        <w:tc>
          <w:tcPr>
            <w:tcW w:w="947" w:type="dxa"/>
            <w:vAlign w:val="center"/>
          </w:tcPr>
          <w:p w:rsidR="00AA2BE3" w:rsidRPr="0091532E" w:rsidRDefault="00AA2BE3" w:rsidP="00A47FF8">
            <w:pPr>
              <w:pStyle w:val="Tabletext"/>
              <w:keepNext/>
              <w:jc w:val="center"/>
              <w:rPr>
                <w:sz w:val="18"/>
              </w:rPr>
            </w:pPr>
            <w:r w:rsidRPr="0091532E">
              <w:rPr>
                <w:sz w:val="18"/>
              </w:rPr>
              <w:t>6782.8</w:t>
            </w:r>
          </w:p>
        </w:tc>
        <w:tc>
          <w:tcPr>
            <w:tcW w:w="947" w:type="dxa"/>
            <w:vAlign w:val="center"/>
          </w:tcPr>
          <w:p w:rsidR="00AA2BE3" w:rsidRPr="0091532E" w:rsidRDefault="00AA2BE3" w:rsidP="00A47FF8">
            <w:pPr>
              <w:pStyle w:val="Tabletext"/>
              <w:keepNext/>
              <w:jc w:val="center"/>
              <w:rPr>
                <w:sz w:val="18"/>
              </w:rPr>
            </w:pPr>
            <w:r w:rsidRPr="0091532E">
              <w:rPr>
                <w:sz w:val="18"/>
              </w:rPr>
              <w:t>34771</w:t>
            </w:r>
          </w:p>
        </w:tc>
        <w:tc>
          <w:tcPr>
            <w:tcW w:w="947" w:type="dxa"/>
            <w:vAlign w:val="center"/>
          </w:tcPr>
          <w:p w:rsidR="00AA2BE3" w:rsidRPr="0091532E" w:rsidRDefault="00AA2BE3" w:rsidP="00A47FF8">
            <w:pPr>
              <w:pStyle w:val="Tabletext"/>
              <w:keepNext/>
              <w:jc w:val="center"/>
              <w:rPr>
                <w:sz w:val="18"/>
              </w:rPr>
            </w:pPr>
            <w:r w:rsidRPr="0091532E">
              <w:rPr>
                <w:sz w:val="18"/>
              </w:rPr>
              <w:t>9800</w:t>
            </w:r>
          </w:p>
        </w:tc>
        <w:tc>
          <w:tcPr>
            <w:tcW w:w="947" w:type="dxa"/>
            <w:vAlign w:val="center"/>
          </w:tcPr>
          <w:p w:rsidR="00AA2BE3" w:rsidRPr="0091532E" w:rsidRDefault="00AA2BE3" w:rsidP="00A47FF8">
            <w:pPr>
              <w:pStyle w:val="Tabletext"/>
              <w:keepNext/>
              <w:jc w:val="center"/>
              <w:rPr>
                <w:sz w:val="18"/>
              </w:rPr>
            </w:pPr>
            <w:r w:rsidRPr="0091532E">
              <w:rPr>
                <w:sz w:val="18"/>
              </w:rPr>
              <w:t>11206</w:t>
            </w:r>
          </w:p>
        </w:tc>
        <w:tc>
          <w:tcPr>
            <w:tcW w:w="947" w:type="dxa"/>
            <w:vAlign w:val="center"/>
          </w:tcPr>
          <w:p w:rsidR="00AA2BE3" w:rsidRPr="0091532E" w:rsidRDefault="00AA2BE3" w:rsidP="00A47FF8">
            <w:pPr>
              <w:pStyle w:val="Tabletext"/>
              <w:keepNext/>
              <w:jc w:val="center"/>
              <w:rPr>
                <w:sz w:val="18"/>
              </w:rPr>
            </w:pPr>
            <w:r w:rsidRPr="0091532E">
              <w:rPr>
                <w:sz w:val="18"/>
              </w:rPr>
              <w:t>21215</w:t>
            </w:r>
          </w:p>
        </w:tc>
        <w:tc>
          <w:tcPr>
            <w:tcW w:w="947" w:type="dxa"/>
            <w:vAlign w:val="center"/>
          </w:tcPr>
          <w:p w:rsidR="00AA2BE3" w:rsidRPr="0091532E" w:rsidRDefault="00AA2BE3" w:rsidP="00A47FF8">
            <w:pPr>
              <w:pStyle w:val="Tabletext"/>
              <w:keepNext/>
              <w:jc w:val="center"/>
              <w:rPr>
                <w:sz w:val="18"/>
              </w:rPr>
            </w:pPr>
            <w:r w:rsidRPr="0091532E">
              <w:rPr>
                <w:sz w:val="18"/>
              </w:rPr>
              <w:t>30664</w:t>
            </w:r>
          </w:p>
        </w:tc>
        <w:tc>
          <w:tcPr>
            <w:tcW w:w="947" w:type="dxa"/>
            <w:vAlign w:val="center"/>
          </w:tcPr>
          <w:p w:rsidR="00AA2BE3" w:rsidRPr="0091532E" w:rsidRDefault="00AA2BE3" w:rsidP="00A47FF8">
            <w:pPr>
              <w:pStyle w:val="Tabletext"/>
              <w:keepNext/>
              <w:jc w:val="center"/>
              <w:rPr>
                <w:sz w:val="18"/>
              </w:rPr>
            </w:pPr>
            <w:r w:rsidRPr="0091532E">
              <w:rPr>
                <w:sz w:val="18"/>
              </w:rPr>
              <w:t>37779</w:t>
            </w:r>
          </w:p>
        </w:tc>
      </w:tr>
      <w:tr w:rsidR="00AA2BE3" w:rsidRPr="006C2078" w:rsidTr="0091532E">
        <w:trPr>
          <w:jc w:val="center"/>
        </w:trPr>
        <w:tc>
          <w:tcPr>
            <w:tcW w:w="947" w:type="dxa"/>
            <w:vAlign w:val="center"/>
          </w:tcPr>
          <w:p w:rsidR="00AA2BE3" w:rsidRPr="0091532E" w:rsidRDefault="00AA2BE3" w:rsidP="00A47FF8">
            <w:pPr>
              <w:pStyle w:val="Tabletext"/>
              <w:keepNext/>
              <w:jc w:val="center"/>
              <w:rPr>
                <w:sz w:val="18"/>
              </w:rPr>
            </w:pPr>
            <w:r w:rsidRPr="0091532E">
              <w:rPr>
                <w:sz w:val="18"/>
              </w:rPr>
              <w:t>2.6151</w:t>
            </w:r>
          </w:p>
        </w:tc>
        <w:tc>
          <w:tcPr>
            <w:tcW w:w="947" w:type="dxa"/>
            <w:vAlign w:val="center"/>
          </w:tcPr>
          <w:p w:rsidR="00AA2BE3" w:rsidRPr="0091532E" w:rsidRDefault="00AA2BE3" w:rsidP="00A47FF8">
            <w:pPr>
              <w:pStyle w:val="Tabletext"/>
              <w:keepNext/>
              <w:jc w:val="center"/>
              <w:rPr>
                <w:sz w:val="18"/>
              </w:rPr>
            </w:pPr>
            <w:r w:rsidRPr="0091532E">
              <w:rPr>
                <w:sz w:val="18"/>
              </w:rPr>
              <w:t>6.5796</w:t>
            </w:r>
          </w:p>
        </w:tc>
        <w:tc>
          <w:tcPr>
            <w:tcW w:w="947" w:type="dxa"/>
            <w:vAlign w:val="center"/>
          </w:tcPr>
          <w:p w:rsidR="00AA2BE3" w:rsidRPr="0091532E" w:rsidRDefault="00AA2BE3" w:rsidP="00A47FF8">
            <w:pPr>
              <w:pStyle w:val="Tabletext"/>
              <w:keepNext/>
              <w:jc w:val="center"/>
              <w:rPr>
                <w:sz w:val="18"/>
              </w:rPr>
            </w:pPr>
            <w:r w:rsidRPr="0091532E">
              <w:rPr>
                <w:sz w:val="18"/>
              </w:rPr>
              <w:t>11.54</w:t>
            </w:r>
          </w:p>
        </w:tc>
        <w:tc>
          <w:tcPr>
            <w:tcW w:w="947" w:type="dxa"/>
            <w:vAlign w:val="center"/>
          </w:tcPr>
          <w:p w:rsidR="00AA2BE3" w:rsidRPr="0091532E" w:rsidRDefault="00AA2BE3" w:rsidP="00A47FF8">
            <w:pPr>
              <w:pStyle w:val="Tabletext"/>
              <w:keepNext/>
              <w:jc w:val="center"/>
              <w:rPr>
                <w:sz w:val="18"/>
              </w:rPr>
            </w:pPr>
            <w:r w:rsidRPr="0091532E">
              <w:rPr>
                <w:sz w:val="18"/>
              </w:rPr>
              <w:t>17.085</w:t>
            </w:r>
          </w:p>
        </w:tc>
        <w:tc>
          <w:tcPr>
            <w:tcW w:w="947" w:type="dxa"/>
            <w:vAlign w:val="center"/>
          </w:tcPr>
          <w:p w:rsidR="00AA2BE3" w:rsidRPr="0091532E" w:rsidRDefault="00AA2BE3" w:rsidP="00A47FF8">
            <w:pPr>
              <w:pStyle w:val="Tabletext"/>
              <w:keepNext/>
              <w:jc w:val="center"/>
              <w:rPr>
                <w:sz w:val="18"/>
              </w:rPr>
            </w:pPr>
            <w:r w:rsidRPr="0091532E">
              <w:rPr>
                <w:sz w:val="18"/>
              </w:rPr>
              <w:t>4.7103</w:t>
            </w:r>
          </w:p>
        </w:tc>
        <w:tc>
          <w:tcPr>
            <w:tcW w:w="947" w:type="dxa"/>
            <w:vAlign w:val="center"/>
          </w:tcPr>
          <w:p w:rsidR="00AA2BE3" w:rsidRPr="0091532E" w:rsidRDefault="00AA2BE3" w:rsidP="00A47FF8">
            <w:pPr>
              <w:pStyle w:val="Tabletext"/>
              <w:keepNext/>
              <w:jc w:val="center"/>
              <w:rPr>
                <w:sz w:val="18"/>
              </w:rPr>
            </w:pPr>
            <w:r w:rsidRPr="0091532E">
              <w:rPr>
                <w:sz w:val="18"/>
              </w:rPr>
              <w:t>24.147</w:t>
            </w:r>
          </w:p>
        </w:tc>
        <w:tc>
          <w:tcPr>
            <w:tcW w:w="947" w:type="dxa"/>
            <w:vAlign w:val="center"/>
          </w:tcPr>
          <w:p w:rsidR="00AA2BE3" w:rsidRPr="0091532E" w:rsidRDefault="00AA2BE3" w:rsidP="00A47FF8">
            <w:pPr>
              <w:pStyle w:val="Tabletext"/>
              <w:keepNext/>
              <w:jc w:val="center"/>
              <w:rPr>
                <w:sz w:val="18"/>
              </w:rPr>
            </w:pPr>
            <w:r w:rsidRPr="0091532E">
              <w:rPr>
                <w:sz w:val="18"/>
              </w:rPr>
              <w:t>6.8056</w:t>
            </w:r>
          </w:p>
        </w:tc>
        <w:tc>
          <w:tcPr>
            <w:tcW w:w="947" w:type="dxa"/>
            <w:vAlign w:val="center"/>
          </w:tcPr>
          <w:p w:rsidR="00AA2BE3" w:rsidRPr="0091532E" w:rsidRDefault="00AA2BE3" w:rsidP="00A47FF8">
            <w:pPr>
              <w:pStyle w:val="Tabletext"/>
              <w:keepNext/>
              <w:jc w:val="center"/>
              <w:rPr>
                <w:sz w:val="18"/>
              </w:rPr>
            </w:pPr>
            <w:r w:rsidRPr="0091532E">
              <w:rPr>
                <w:sz w:val="18"/>
              </w:rPr>
              <w:t>7.7822</w:t>
            </w:r>
          </w:p>
        </w:tc>
        <w:tc>
          <w:tcPr>
            <w:tcW w:w="947" w:type="dxa"/>
            <w:vAlign w:val="center"/>
          </w:tcPr>
          <w:p w:rsidR="00AA2BE3" w:rsidRPr="0091532E" w:rsidRDefault="00AA2BE3" w:rsidP="00A47FF8">
            <w:pPr>
              <w:pStyle w:val="Tabletext"/>
              <w:keepNext/>
              <w:jc w:val="center"/>
              <w:rPr>
                <w:sz w:val="18"/>
              </w:rPr>
            </w:pPr>
            <w:r w:rsidRPr="0091532E">
              <w:rPr>
                <w:sz w:val="18"/>
              </w:rPr>
              <w:t>14.733</w:t>
            </w:r>
          </w:p>
        </w:tc>
        <w:tc>
          <w:tcPr>
            <w:tcW w:w="947" w:type="dxa"/>
            <w:vAlign w:val="center"/>
          </w:tcPr>
          <w:p w:rsidR="00AA2BE3" w:rsidRPr="0091532E" w:rsidRDefault="00AA2BE3" w:rsidP="00A47FF8">
            <w:pPr>
              <w:pStyle w:val="Tabletext"/>
              <w:keepNext/>
              <w:jc w:val="center"/>
              <w:rPr>
                <w:sz w:val="18"/>
              </w:rPr>
            </w:pPr>
            <w:r w:rsidRPr="0091532E">
              <w:rPr>
                <w:sz w:val="18"/>
              </w:rPr>
              <w:t>21.295</w:t>
            </w:r>
          </w:p>
        </w:tc>
        <w:tc>
          <w:tcPr>
            <w:tcW w:w="947" w:type="dxa"/>
            <w:vAlign w:val="center"/>
          </w:tcPr>
          <w:p w:rsidR="00AA2BE3" w:rsidRPr="0091532E" w:rsidRDefault="00AA2BE3" w:rsidP="00A47FF8">
            <w:pPr>
              <w:pStyle w:val="Tabletext"/>
              <w:keepNext/>
              <w:jc w:val="center"/>
              <w:rPr>
                <w:sz w:val="18"/>
              </w:rPr>
            </w:pPr>
            <w:r w:rsidRPr="0091532E">
              <w:rPr>
                <w:sz w:val="18"/>
              </w:rPr>
              <w:t>26.235</w:t>
            </w:r>
          </w:p>
        </w:tc>
      </w:tr>
      <w:tr w:rsidR="00AA2BE3" w:rsidRPr="006C2078" w:rsidTr="0091532E">
        <w:trPr>
          <w:jc w:val="center"/>
        </w:trPr>
        <w:tc>
          <w:tcPr>
            <w:tcW w:w="947" w:type="dxa"/>
            <w:vAlign w:val="center"/>
          </w:tcPr>
          <w:p w:rsidR="00AA2BE3" w:rsidRPr="0091532E" w:rsidRDefault="00AA2BE3" w:rsidP="00A47FF8">
            <w:pPr>
              <w:pStyle w:val="Tabletext"/>
              <w:keepNext/>
              <w:jc w:val="center"/>
              <w:rPr>
                <w:sz w:val="18"/>
              </w:rPr>
            </w:pPr>
            <w:r w:rsidRPr="0091532E">
              <w:rPr>
                <w:sz w:val="18"/>
              </w:rPr>
              <w:t>–193.77</w:t>
            </w:r>
          </w:p>
        </w:tc>
        <w:tc>
          <w:tcPr>
            <w:tcW w:w="947" w:type="dxa"/>
            <w:vAlign w:val="center"/>
          </w:tcPr>
          <w:p w:rsidR="00AA2BE3" w:rsidRPr="0091532E" w:rsidRDefault="00AA2BE3" w:rsidP="00A47FF8">
            <w:pPr>
              <w:pStyle w:val="Tabletext"/>
              <w:keepNext/>
              <w:jc w:val="center"/>
              <w:rPr>
                <w:sz w:val="18"/>
              </w:rPr>
            </w:pPr>
            <w:r w:rsidRPr="0091532E">
              <w:rPr>
                <w:sz w:val="18"/>
              </w:rPr>
              <w:t>–196.45</w:t>
            </w:r>
          </w:p>
        </w:tc>
        <w:tc>
          <w:tcPr>
            <w:tcW w:w="947" w:type="dxa"/>
            <w:vAlign w:val="center"/>
          </w:tcPr>
          <w:p w:rsidR="00AA2BE3" w:rsidRPr="0091532E" w:rsidRDefault="00AA2BE3" w:rsidP="00A47FF8">
            <w:pPr>
              <w:pStyle w:val="Tabletext"/>
              <w:keepNext/>
              <w:jc w:val="center"/>
              <w:rPr>
                <w:sz w:val="18"/>
              </w:rPr>
            </w:pPr>
            <w:r w:rsidRPr="0091532E">
              <w:rPr>
                <w:sz w:val="18"/>
              </w:rPr>
              <w:t>–193.25</w:t>
            </w:r>
          </w:p>
        </w:tc>
        <w:tc>
          <w:tcPr>
            <w:tcW w:w="947" w:type="dxa"/>
            <w:vAlign w:val="center"/>
          </w:tcPr>
          <w:p w:rsidR="00AA2BE3" w:rsidRPr="0091532E" w:rsidRDefault="00AA2BE3" w:rsidP="00A47FF8">
            <w:pPr>
              <w:pStyle w:val="Tabletext"/>
              <w:keepNext/>
              <w:jc w:val="center"/>
              <w:rPr>
                <w:sz w:val="18"/>
              </w:rPr>
            </w:pPr>
            <w:r w:rsidRPr="0091532E">
              <w:rPr>
                <w:sz w:val="18"/>
              </w:rPr>
              <w:t>–169.04</w:t>
            </w:r>
          </w:p>
        </w:tc>
        <w:tc>
          <w:tcPr>
            <w:tcW w:w="947" w:type="dxa"/>
            <w:vAlign w:val="center"/>
          </w:tcPr>
          <w:p w:rsidR="00AA2BE3" w:rsidRPr="0091532E" w:rsidRDefault="00AA2BE3" w:rsidP="00A47FF8">
            <w:pPr>
              <w:pStyle w:val="Tabletext"/>
              <w:keepNext/>
              <w:jc w:val="center"/>
              <w:rPr>
                <w:sz w:val="18"/>
              </w:rPr>
            </w:pPr>
            <w:r w:rsidRPr="0091532E">
              <w:rPr>
                <w:sz w:val="18"/>
              </w:rPr>
              <w:t>–193.78</w:t>
            </w:r>
          </w:p>
        </w:tc>
        <w:tc>
          <w:tcPr>
            <w:tcW w:w="947" w:type="dxa"/>
            <w:vAlign w:val="center"/>
          </w:tcPr>
          <w:p w:rsidR="00AA2BE3" w:rsidRPr="0091532E" w:rsidRDefault="00AA2BE3" w:rsidP="00A47FF8">
            <w:pPr>
              <w:pStyle w:val="Tabletext"/>
              <w:keepNext/>
              <w:jc w:val="center"/>
              <w:rPr>
                <w:sz w:val="18"/>
              </w:rPr>
            </w:pPr>
            <w:r w:rsidRPr="0091532E">
              <w:rPr>
                <w:sz w:val="18"/>
              </w:rPr>
              <w:t>–193.3</w:t>
            </w:r>
          </w:p>
        </w:tc>
        <w:tc>
          <w:tcPr>
            <w:tcW w:w="947" w:type="dxa"/>
            <w:vAlign w:val="center"/>
          </w:tcPr>
          <w:p w:rsidR="00AA2BE3" w:rsidRPr="0091532E" w:rsidRDefault="00AA2BE3" w:rsidP="00A47FF8">
            <w:pPr>
              <w:pStyle w:val="Tabletext"/>
              <w:keepNext/>
              <w:jc w:val="center"/>
              <w:rPr>
                <w:sz w:val="18"/>
              </w:rPr>
            </w:pPr>
            <w:r w:rsidRPr="0091532E">
              <w:rPr>
                <w:sz w:val="18"/>
              </w:rPr>
              <w:t>–185.33</w:t>
            </w:r>
          </w:p>
        </w:tc>
        <w:tc>
          <w:tcPr>
            <w:tcW w:w="947" w:type="dxa"/>
            <w:vAlign w:val="center"/>
          </w:tcPr>
          <w:p w:rsidR="00AA2BE3" w:rsidRPr="0091532E" w:rsidRDefault="00AA2BE3" w:rsidP="00A47FF8">
            <w:pPr>
              <w:pStyle w:val="Tabletext"/>
              <w:keepNext/>
              <w:jc w:val="center"/>
              <w:rPr>
                <w:sz w:val="18"/>
              </w:rPr>
            </w:pPr>
            <w:r w:rsidRPr="0091532E">
              <w:rPr>
                <w:sz w:val="18"/>
              </w:rPr>
              <w:t>–190.15</w:t>
            </w:r>
          </w:p>
        </w:tc>
        <w:tc>
          <w:tcPr>
            <w:tcW w:w="947" w:type="dxa"/>
            <w:vAlign w:val="center"/>
          </w:tcPr>
          <w:p w:rsidR="00AA2BE3" w:rsidRPr="0091532E" w:rsidRDefault="00AA2BE3" w:rsidP="00A47FF8">
            <w:pPr>
              <w:pStyle w:val="Tabletext"/>
              <w:keepNext/>
              <w:jc w:val="center"/>
              <w:rPr>
                <w:sz w:val="18"/>
              </w:rPr>
            </w:pPr>
            <w:r w:rsidRPr="0091532E">
              <w:rPr>
                <w:sz w:val="18"/>
              </w:rPr>
              <w:t>–192.43</w:t>
            </w:r>
          </w:p>
        </w:tc>
        <w:tc>
          <w:tcPr>
            <w:tcW w:w="947" w:type="dxa"/>
            <w:vAlign w:val="center"/>
          </w:tcPr>
          <w:p w:rsidR="00AA2BE3" w:rsidRPr="0091532E" w:rsidRDefault="00AA2BE3" w:rsidP="00A47FF8">
            <w:pPr>
              <w:pStyle w:val="Tabletext"/>
              <w:keepNext/>
              <w:jc w:val="center"/>
              <w:rPr>
                <w:sz w:val="18"/>
              </w:rPr>
            </w:pPr>
            <w:r w:rsidRPr="0091532E">
              <w:rPr>
                <w:sz w:val="18"/>
              </w:rPr>
              <w:t>–195.14</w:t>
            </w:r>
          </w:p>
        </w:tc>
        <w:tc>
          <w:tcPr>
            <w:tcW w:w="947" w:type="dxa"/>
            <w:vAlign w:val="center"/>
          </w:tcPr>
          <w:p w:rsidR="00AA2BE3" w:rsidRPr="0091532E" w:rsidRDefault="00AA2BE3" w:rsidP="00A47FF8">
            <w:pPr>
              <w:pStyle w:val="Tabletext"/>
              <w:keepNext/>
              <w:jc w:val="center"/>
              <w:rPr>
                <w:sz w:val="18"/>
              </w:rPr>
            </w:pPr>
            <w:r w:rsidRPr="0091532E">
              <w:rPr>
                <w:sz w:val="18"/>
              </w:rPr>
              <w:t>–197.3</w:t>
            </w:r>
          </w:p>
        </w:tc>
      </w:tr>
      <w:tr w:rsidR="00AA2BE3" w:rsidRPr="006C2078" w:rsidTr="0091532E">
        <w:trPr>
          <w:jc w:val="center"/>
        </w:trPr>
        <w:tc>
          <w:tcPr>
            <w:tcW w:w="947" w:type="dxa"/>
            <w:vAlign w:val="center"/>
          </w:tcPr>
          <w:p w:rsidR="00AA2BE3" w:rsidRPr="0091532E" w:rsidRDefault="00AA2BE3" w:rsidP="00A47FF8">
            <w:pPr>
              <w:pStyle w:val="Tabletext"/>
              <w:keepNext/>
              <w:jc w:val="center"/>
              <w:rPr>
                <w:sz w:val="18"/>
              </w:rPr>
            </w:pPr>
            <w:r w:rsidRPr="0091532E">
              <w:rPr>
                <w:sz w:val="18"/>
              </w:rPr>
              <w:t>1</w:t>
            </w:r>
          </w:p>
        </w:tc>
        <w:tc>
          <w:tcPr>
            <w:tcW w:w="947" w:type="dxa"/>
            <w:vAlign w:val="center"/>
          </w:tcPr>
          <w:p w:rsidR="00AA2BE3" w:rsidRPr="0091532E" w:rsidRDefault="00AA2BE3" w:rsidP="00A47FF8">
            <w:pPr>
              <w:pStyle w:val="Tabletext"/>
              <w:keepNext/>
              <w:jc w:val="center"/>
              <w:rPr>
                <w:sz w:val="18"/>
              </w:rPr>
            </w:pPr>
            <w:r w:rsidRPr="0091532E">
              <w:rPr>
                <w:sz w:val="18"/>
              </w:rPr>
              <w:t>1</w:t>
            </w:r>
          </w:p>
        </w:tc>
        <w:tc>
          <w:tcPr>
            <w:tcW w:w="947" w:type="dxa"/>
            <w:vAlign w:val="center"/>
          </w:tcPr>
          <w:p w:rsidR="00AA2BE3" w:rsidRPr="0091532E" w:rsidRDefault="00AA2BE3" w:rsidP="00A47FF8">
            <w:pPr>
              <w:pStyle w:val="Tabletext"/>
              <w:keepNext/>
              <w:jc w:val="center"/>
              <w:rPr>
                <w:sz w:val="18"/>
              </w:rPr>
            </w:pPr>
            <w:r w:rsidRPr="0091532E">
              <w:rPr>
                <w:sz w:val="18"/>
              </w:rPr>
              <w:t>1</w:t>
            </w:r>
          </w:p>
        </w:tc>
        <w:tc>
          <w:tcPr>
            <w:tcW w:w="947" w:type="dxa"/>
            <w:vAlign w:val="center"/>
          </w:tcPr>
          <w:p w:rsidR="00AA2BE3" w:rsidRPr="0091532E" w:rsidRDefault="00AA2BE3" w:rsidP="00A47FF8">
            <w:pPr>
              <w:pStyle w:val="Tabletext"/>
              <w:keepNext/>
              <w:jc w:val="center"/>
              <w:rPr>
                <w:sz w:val="18"/>
              </w:rPr>
            </w:pPr>
            <w:r w:rsidRPr="0091532E">
              <w:rPr>
                <w:sz w:val="18"/>
              </w:rPr>
              <w:t>1</w:t>
            </w:r>
          </w:p>
        </w:tc>
        <w:tc>
          <w:tcPr>
            <w:tcW w:w="947" w:type="dxa"/>
            <w:vAlign w:val="center"/>
          </w:tcPr>
          <w:p w:rsidR="00AA2BE3" w:rsidRPr="0091532E" w:rsidRDefault="00AA2BE3" w:rsidP="00A47FF8">
            <w:pPr>
              <w:pStyle w:val="Tabletext"/>
              <w:keepNext/>
              <w:jc w:val="center"/>
              <w:rPr>
                <w:sz w:val="18"/>
              </w:rPr>
            </w:pPr>
            <w:r w:rsidRPr="0091532E">
              <w:rPr>
                <w:sz w:val="18"/>
              </w:rPr>
              <w:t>2</w:t>
            </w:r>
          </w:p>
        </w:tc>
        <w:tc>
          <w:tcPr>
            <w:tcW w:w="947" w:type="dxa"/>
            <w:vAlign w:val="center"/>
          </w:tcPr>
          <w:p w:rsidR="00AA2BE3" w:rsidRPr="0091532E" w:rsidRDefault="00AA2BE3" w:rsidP="00A47FF8">
            <w:pPr>
              <w:pStyle w:val="Tabletext"/>
              <w:keepNext/>
              <w:jc w:val="center"/>
              <w:rPr>
                <w:sz w:val="18"/>
              </w:rPr>
            </w:pPr>
            <w:r w:rsidRPr="0091532E">
              <w:rPr>
                <w:sz w:val="18"/>
              </w:rPr>
              <w:t>2</w:t>
            </w:r>
          </w:p>
        </w:tc>
        <w:tc>
          <w:tcPr>
            <w:tcW w:w="947" w:type="dxa"/>
            <w:vAlign w:val="center"/>
          </w:tcPr>
          <w:p w:rsidR="00AA2BE3" w:rsidRPr="0091532E" w:rsidRDefault="00AA2BE3" w:rsidP="00A47FF8">
            <w:pPr>
              <w:pStyle w:val="Tabletext"/>
              <w:keepNext/>
              <w:jc w:val="center"/>
              <w:rPr>
                <w:sz w:val="18"/>
              </w:rPr>
            </w:pPr>
            <w:r w:rsidRPr="0091532E">
              <w:rPr>
                <w:sz w:val="18"/>
              </w:rPr>
              <w:t>3</w:t>
            </w:r>
          </w:p>
        </w:tc>
        <w:tc>
          <w:tcPr>
            <w:tcW w:w="947" w:type="dxa"/>
            <w:vAlign w:val="center"/>
          </w:tcPr>
          <w:p w:rsidR="00AA2BE3" w:rsidRPr="0091532E" w:rsidRDefault="00AA2BE3" w:rsidP="00A47FF8">
            <w:pPr>
              <w:pStyle w:val="Tabletext"/>
              <w:keepNext/>
              <w:jc w:val="center"/>
              <w:rPr>
                <w:sz w:val="18"/>
              </w:rPr>
            </w:pPr>
            <w:r w:rsidRPr="0091532E">
              <w:rPr>
                <w:sz w:val="18"/>
              </w:rPr>
              <w:t>3</w:t>
            </w:r>
          </w:p>
        </w:tc>
        <w:tc>
          <w:tcPr>
            <w:tcW w:w="947" w:type="dxa"/>
            <w:vAlign w:val="center"/>
          </w:tcPr>
          <w:p w:rsidR="00AA2BE3" w:rsidRPr="0091532E" w:rsidRDefault="00AA2BE3" w:rsidP="00A47FF8">
            <w:pPr>
              <w:pStyle w:val="Tabletext"/>
              <w:keepNext/>
              <w:jc w:val="center"/>
              <w:rPr>
                <w:sz w:val="18"/>
              </w:rPr>
            </w:pPr>
            <w:r w:rsidRPr="0091532E">
              <w:rPr>
                <w:sz w:val="18"/>
              </w:rPr>
              <w:t>3</w:t>
            </w:r>
          </w:p>
        </w:tc>
        <w:tc>
          <w:tcPr>
            <w:tcW w:w="947" w:type="dxa"/>
            <w:vAlign w:val="center"/>
          </w:tcPr>
          <w:p w:rsidR="00AA2BE3" w:rsidRPr="0091532E" w:rsidRDefault="00AA2BE3" w:rsidP="00A47FF8">
            <w:pPr>
              <w:pStyle w:val="Tabletext"/>
              <w:keepNext/>
              <w:jc w:val="center"/>
              <w:rPr>
                <w:sz w:val="18"/>
              </w:rPr>
            </w:pPr>
            <w:r w:rsidRPr="0091532E">
              <w:rPr>
                <w:sz w:val="18"/>
              </w:rPr>
              <w:t>3</w:t>
            </w:r>
          </w:p>
        </w:tc>
        <w:tc>
          <w:tcPr>
            <w:tcW w:w="947" w:type="dxa"/>
            <w:vAlign w:val="center"/>
          </w:tcPr>
          <w:p w:rsidR="00AA2BE3" w:rsidRPr="0091532E" w:rsidRDefault="00AA2BE3" w:rsidP="00A47FF8">
            <w:pPr>
              <w:pStyle w:val="Tabletext"/>
              <w:keepNext/>
              <w:jc w:val="center"/>
              <w:rPr>
                <w:sz w:val="18"/>
              </w:rPr>
            </w:pPr>
            <w:r w:rsidRPr="0091532E">
              <w:rPr>
                <w:sz w:val="18"/>
              </w:rPr>
              <w:t>3</w:t>
            </w:r>
          </w:p>
        </w:tc>
      </w:tr>
      <w:tr w:rsidR="00AA2BE3" w:rsidRPr="006C2078" w:rsidTr="0091532E">
        <w:trPr>
          <w:jc w:val="center"/>
        </w:trPr>
        <w:tc>
          <w:tcPr>
            <w:tcW w:w="947" w:type="dxa"/>
            <w:vAlign w:val="center"/>
          </w:tcPr>
          <w:p w:rsidR="00AA2BE3" w:rsidRPr="0091532E" w:rsidRDefault="00AA2BE3" w:rsidP="00A47FF8">
            <w:pPr>
              <w:pStyle w:val="Tabletext"/>
              <w:keepNext/>
              <w:jc w:val="center"/>
              <w:rPr>
                <w:sz w:val="18"/>
              </w:rPr>
            </w:pPr>
            <w:r w:rsidRPr="0091532E">
              <w:rPr>
                <w:sz w:val="18"/>
              </w:rPr>
              <w:t>10</w:t>
            </w:r>
          </w:p>
        </w:tc>
        <w:tc>
          <w:tcPr>
            <w:tcW w:w="947" w:type="dxa"/>
            <w:vAlign w:val="center"/>
          </w:tcPr>
          <w:p w:rsidR="00AA2BE3" w:rsidRPr="0091532E" w:rsidRDefault="00AA2BE3" w:rsidP="00A47FF8">
            <w:pPr>
              <w:pStyle w:val="Tabletext"/>
              <w:keepNext/>
              <w:jc w:val="center"/>
              <w:rPr>
                <w:sz w:val="18"/>
              </w:rPr>
            </w:pPr>
            <w:r w:rsidRPr="0091532E">
              <w:rPr>
                <w:sz w:val="18"/>
              </w:rPr>
              <w:t>1</w:t>
            </w:r>
          </w:p>
        </w:tc>
        <w:tc>
          <w:tcPr>
            <w:tcW w:w="947" w:type="dxa"/>
            <w:vAlign w:val="center"/>
          </w:tcPr>
          <w:p w:rsidR="00AA2BE3" w:rsidRPr="0091532E" w:rsidRDefault="00AA2BE3" w:rsidP="00A47FF8">
            <w:pPr>
              <w:pStyle w:val="Tabletext"/>
              <w:keepNext/>
              <w:jc w:val="center"/>
              <w:rPr>
                <w:sz w:val="18"/>
              </w:rPr>
            </w:pPr>
            <w:r w:rsidRPr="0091532E">
              <w:rPr>
                <w:sz w:val="18"/>
              </w:rPr>
              <w:t>11</w:t>
            </w:r>
          </w:p>
        </w:tc>
        <w:tc>
          <w:tcPr>
            <w:tcW w:w="947" w:type="dxa"/>
            <w:vAlign w:val="center"/>
          </w:tcPr>
          <w:p w:rsidR="00AA2BE3" w:rsidRPr="0091532E" w:rsidRDefault="00AA2BE3" w:rsidP="00A47FF8">
            <w:pPr>
              <w:pStyle w:val="Tabletext"/>
              <w:keepNext/>
              <w:jc w:val="center"/>
              <w:rPr>
                <w:sz w:val="18"/>
              </w:rPr>
            </w:pPr>
            <w:r w:rsidRPr="0091532E">
              <w:rPr>
                <w:sz w:val="18"/>
              </w:rPr>
              <w:t>9</w:t>
            </w:r>
          </w:p>
        </w:tc>
        <w:tc>
          <w:tcPr>
            <w:tcW w:w="947" w:type="dxa"/>
            <w:vAlign w:val="center"/>
          </w:tcPr>
          <w:p w:rsidR="00AA2BE3" w:rsidRPr="0091532E" w:rsidRDefault="00AA2BE3" w:rsidP="00A47FF8">
            <w:pPr>
              <w:pStyle w:val="Tabletext"/>
              <w:keepNext/>
              <w:jc w:val="center"/>
              <w:rPr>
                <w:sz w:val="18"/>
              </w:rPr>
            </w:pPr>
            <w:r w:rsidRPr="0091532E">
              <w:rPr>
                <w:sz w:val="18"/>
              </w:rPr>
              <w:t>9</w:t>
            </w:r>
          </w:p>
        </w:tc>
        <w:tc>
          <w:tcPr>
            <w:tcW w:w="947" w:type="dxa"/>
            <w:vAlign w:val="center"/>
          </w:tcPr>
          <w:p w:rsidR="00AA2BE3" w:rsidRPr="0091532E" w:rsidRDefault="00AA2BE3" w:rsidP="00A47FF8">
            <w:pPr>
              <w:pStyle w:val="Tabletext"/>
              <w:keepNext/>
              <w:jc w:val="center"/>
              <w:rPr>
                <w:sz w:val="18"/>
              </w:rPr>
            </w:pPr>
            <w:r w:rsidRPr="0091532E">
              <w:rPr>
                <w:sz w:val="18"/>
              </w:rPr>
              <w:t>6</w:t>
            </w:r>
          </w:p>
        </w:tc>
        <w:tc>
          <w:tcPr>
            <w:tcW w:w="947" w:type="dxa"/>
            <w:vAlign w:val="center"/>
          </w:tcPr>
          <w:p w:rsidR="00AA2BE3" w:rsidRPr="0091532E" w:rsidRDefault="00AA2BE3" w:rsidP="00A47FF8">
            <w:pPr>
              <w:pStyle w:val="Tabletext"/>
              <w:keepNext/>
              <w:jc w:val="center"/>
              <w:rPr>
                <w:sz w:val="18"/>
              </w:rPr>
            </w:pPr>
            <w:r w:rsidRPr="0091532E">
              <w:rPr>
                <w:sz w:val="18"/>
              </w:rPr>
              <w:t>8</w:t>
            </w:r>
          </w:p>
        </w:tc>
        <w:tc>
          <w:tcPr>
            <w:tcW w:w="947" w:type="dxa"/>
            <w:vAlign w:val="center"/>
          </w:tcPr>
          <w:p w:rsidR="00AA2BE3" w:rsidRPr="0091532E" w:rsidRDefault="00AA2BE3" w:rsidP="00A47FF8">
            <w:pPr>
              <w:pStyle w:val="Tabletext"/>
              <w:keepNext/>
              <w:jc w:val="center"/>
              <w:rPr>
                <w:sz w:val="18"/>
              </w:rPr>
            </w:pPr>
            <w:r w:rsidRPr="0091532E">
              <w:rPr>
                <w:sz w:val="18"/>
              </w:rPr>
              <w:t>8</w:t>
            </w:r>
          </w:p>
        </w:tc>
        <w:tc>
          <w:tcPr>
            <w:tcW w:w="947" w:type="dxa"/>
            <w:vAlign w:val="center"/>
          </w:tcPr>
          <w:p w:rsidR="00AA2BE3" w:rsidRPr="0091532E" w:rsidRDefault="00AA2BE3" w:rsidP="00A47FF8">
            <w:pPr>
              <w:pStyle w:val="Tabletext"/>
              <w:keepNext/>
              <w:jc w:val="center"/>
              <w:rPr>
                <w:sz w:val="18"/>
              </w:rPr>
            </w:pPr>
            <w:r w:rsidRPr="0091532E">
              <w:rPr>
                <w:sz w:val="18"/>
              </w:rPr>
              <w:t>1</w:t>
            </w:r>
          </w:p>
        </w:tc>
        <w:tc>
          <w:tcPr>
            <w:tcW w:w="947" w:type="dxa"/>
            <w:vAlign w:val="center"/>
          </w:tcPr>
          <w:p w:rsidR="00AA2BE3" w:rsidRPr="0091532E" w:rsidRDefault="00AA2BE3" w:rsidP="00A47FF8">
            <w:pPr>
              <w:pStyle w:val="Tabletext"/>
              <w:keepNext/>
              <w:jc w:val="center"/>
              <w:rPr>
                <w:sz w:val="18"/>
              </w:rPr>
            </w:pPr>
            <w:r w:rsidRPr="0091532E">
              <w:rPr>
                <w:sz w:val="18"/>
              </w:rPr>
              <w:t>4</w:t>
            </w:r>
          </w:p>
        </w:tc>
        <w:tc>
          <w:tcPr>
            <w:tcW w:w="947" w:type="dxa"/>
            <w:vAlign w:val="center"/>
          </w:tcPr>
          <w:p w:rsidR="00AA2BE3" w:rsidRPr="0091532E" w:rsidRDefault="00AA2BE3" w:rsidP="00A47FF8">
            <w:pPr>
              <w:pStyle w:val="Tabletext"/>
              <w:keepNext/>
              <w:jc w:val="center"/>
              <w:rPr>
                <w:sz w:val="18"/>
              </w:rPr>
            </w:pPr>
            <w:r w:rsidRPr="0091532E">
              <w:rPr>
                <w:sz w:val="18"/>
              </w:rPr>
              <w:t>6</w:t>
            </w:r>
          </w:p>
        </w:tc>
      </w:tr>
      <w:tr w:rsidR="00AA2BE3" w:rsidRPr="006C2078" w:rsidTr="0091532E">
        <w:trPr>
          <w:jc w:val="center"/>
        </w:trPr>
        <w:tc>
          <w:tcPr>
            <w:tcW w:w="947" w:type="dxa"/>
            <w:vAlign w:val="center"/>
          </w:tcPr>
          <w:p w:rsidR="00AA2BE3" w:rsidRPr="0091532E" w:rsidRDefault="00AA2BE3" w:rsidP="00A47FF8">
            <w:pPr>
              <w:pStyle w:val="Tabletext"/>
              <w:keepNext/>
              <w:jc w:val="center"/>
              <w:rPr>
                <w:sz w:val="18"/>
              </w:rPr>
            </w:pPr>
            <w:r w:rsidRPr="0091532E">
              <w:rPr>
                <w:sz w:val="18"/>
              </w:rPr>
              <w:t>–10</w:t>
            </w:r>
          </w:p>
        </w:tc>
        <w:tc>
          <w:tcPr>
            <w:tcW w:w="947" w:type="dxa"/>
            <w:vAlign w:val="center"/>
          </w:tcPr>
          <w:p w:rsidR="00AA2BE3" w:rsidRPr="0091532E" w:rsidRDefault="00AA2BE3" w:rsidP="00A47FF8">
            <w:pPr>
              <w:pStyle w:val="Tabletext"/>
              <w:keepNext/>
              <w:jc w:val="center"/>
              <w:rPr>
                <w:sz w:val="18"/>
              </w:rPr>
            </w:pPr>
            <w:r w:rsidRPr="0091532E">
              <w:rPr>
                <w:sz w:val="18"/>
              </w:rPr>
              <w:t>–10</w:t>
            </w:r>
          </w:p>
        </w:tc>
        <w:tc>
          <w:tcPr>
            <w:tcW w:w="947" w:type="dxa"/>
            <w:vAlign w:val="center"/>
          </w:tcPr>
          <w:p w:rsidR="00AA2BE3" w:rsidRPr="0091532E" w:rsidRDefault="00AA2BE3" w:rsidP="00A47FF8">
            <w:pPr>
              <w:pStyle w:val="Tabletext"/>
              <w:keepNext/>
              <w:jc w:val="center"/>
              <w:rPr>
                <w:sz w:val="18"/>
              </w:rPr>
            </w:pPr>
            <w:r w:rsidRPr="0091532E">
              <w:rPr>
                <w:sz w:val="18"/>
              </w:rPr>
              <w:t>–10</w:t>
            </w:r>
          </w:p>
        </w:tc>
        <w:tc>
          <w:tcPr>
            <w:tcW w:w="947" w:type="dxa"/>
            <w:vAlign w:val="center"/>
          </w:tcPr>
          <w:p w:rsidR="00AA2BE3" w:rsidRPr="0091532E" w:rsidRDefault="00AA2BE3" w:rsidP="00A47FF8">
            <w:pPr>
              <w:pStyle w:val="Tabletext"/>
              <w:keepNext/>
              <w:jc w:val="center"/>
              <w:rPr>
                <w:sz w:val="18"/>
              </w:rPr>
            </w:pPr>
            <w:r w:rsidRPr="0091532E">
              <w:rPr>
                <w:sz w:val="18"/>
              </w:rPr>
              <w:t>-10</w:t>
            </w:r>
          </w:p>
        </w:tc>
        <w:tc>
          <w:tcPr>
            <w:tcW w:w="947" w:type="dxa"/>
            <w:vAlign w:val="center"/>
          </w:tcPr>
          <w:p w:rsidR="00AA2BE3" w:rsidRPr="0091532E" w:rsidRDefault="00AA2BE3" w:rsidP="00A47FF8">
            <w:pPr>
              <w:pStyle w:val="Tabletext"/>
              <w:keepNext/>
              <w:jc w:val="center"/>
              <w:rPr>
                <w:sz w:val="18"/>
              </w:rPr>
            </w:pPr>
            <w:r w:rsidRPr="0091532E">
              <w:rPr>
                <w:sz w:val="18"/>
              </w:rPr>
              <w:t>–10</w:t>
            </w:r>
          </w:p>
        </w:tc>
        <w:tc>
          <w:tcPr>
            <w:tcW w:w="947" w:type="dxa"/>
            <w:vAlign w:val="center"/>
          </w:tcPr>
          <w:p w:rsidR="00AA2BE3" w:rsidRPr="0091532E" w:rsidRDefault="00AA2BE3" w:rsidP="00A47FF8">
            <w:pPr>
              <w:pStyle w:val="Tabletext"/>
              <w:keepNext/>
              <w:jc w:val="center"/>
              <w:rPr>
                <w:sz w:val="18"/>
              </w:rPr>
            </w:pPr>
            <w:r w:rsidRPr="0091532E">
              <w:rPr>
                <w:sz w:val="18"/>
              </w:rPr>
              <w:t>–10</w:t>
            </w:r>
          </w:p>
        </w:tc>
        <w:tc>
          <w:tcPr>
            <w:tcW w:w="947" w:type="dxa"/>
            <w:vAlign w:val="center"/>
          </w:tcPr>
          <w:p w:rsidR="00AA2BE3" w:rsidRPr="0091532E" w:rsidRDefault="00AA2BE3" w:rsidP="00A47FF8">
            <w:pPr>
              <w:pStyle w:val="Tabletext"/>
              <w:keepNext/>
              <w:jc w:val="center"/>
              <w:rPr>
                <w:sz w:val="18"/>
              </w:rPr>
            </w:pPr>
            <w:r w:rsidRPr="0091532E">
              <w:rPr>
                <w:sz w:val="18"/>
              </w:rPr>
              <w:t>–10</w:t>
            </w:r>
          </w:p>
        </w:tc>
        <w:tc>
          <w:tcPr>
            <w:tcW w:w="947" w:type="dxa"/>
            <w:vAlign w:val="center"/>
          </w:tcPr>
          <w:p w:rsidR="00AA2BE3" w:rsidRPr="0091532E" w:rsidRDefault="00AA2BE3" w:rsidP="00A47FF8">
            <w:pPr>
              <w:pStyle w:val="Tabletext"/>
              <w:keepNext/>
              <w:jc w:val="center"/>
              <w:rPr>
                <w:sz w:val="18"/>
              </w:rPr>
            </w:pPr>
            <w:r w:rsidRPr="0091532E">
              <w:rPr>
                <w:sz w:val="18"/>
              </w:rPr>
              <w:t>–10</w:t>
            </w:r>
          </w:p>
        </w:tc>
        <w:tc>
          <w:tcPr>
            <w:tcW w:w="947" w:type="dxa"/>
            <w:vAlign w:val="center"/>
          </w:tcPr>
          <w:p w:rsidR="00AA2BE3" w:rsidRPr="0091532E" w:rsidRDefault="00AA2BE3" w:rsidP="00A47FF8">
            <w:pPr>
              <w:pStyle w:val="Tabletext"/>
              <w:keepNext/>
              <w:jc w:val="center"/>
              <w:rPr>
                <w:sz w:val="18"/>
              </w:rPr>
            </w:pPr>
            <w:r w:rsidRPr="0091532E">
              <w:rPr>
                <w:sz w:val="18"/>
              </w:rPr>
              <w:t>–10</w:t>
            </w:r>
          </w:p>
        </w:tc>
        <w:tc>
          <w:tcPr>
            <w:tcW w:w="947" w:type="dxa"/>
            <w:vAlign w:val="center"/>
          </w:tcPr>
          <w:p w:rsidR="00AA2BE3" w:rsidRPr="0091532E" w:rsidRDefault="00AA2BE3" w:rsidP="00A47FF8">
            <w:pPr>
              <w:pStyle w:val="Tabletext"/>
              <w:keepNext/>
              <w:jc w:val="center"/>
              <w:rPr>
                <w:sz w:val="18"/>
              </w:rPr>
            </w:pPr>
            <w:r w:rsidRPr="0091532E">
              <w:rPr>
                <w:sz w:val="18"/>
              </w:rPr>
              <w:t>-10</w:t>
            </w:r>
          </w:p>
        </w:tc>
        <w:tc>
          <w:tcPr>
            <w:tcW w:w="947" w:type="dxa"/>
            <w:vAlign w:val="center"/>
          </w:tcPr>
          <w:p w:rsidR="00AA2BE3" w:rsidRPr="0091532E" w:rsidRDefault="00AA2BE3" w:rsidP="00A47FF8">
            <w:pPr>
              <w:pStyle w:val="Tabletext"/>
              <w:keepNext/>
              <w:jc w:val="center"/>
              <w:rPr>
                <w:sz w:val="18"/>
              </w:rPr>
            </w:pPr>
            <w:r w:rsidRPr="0091532E">
              <w:rPr>
                <w:sz w:val="18"/>
              </w:rPr>
              <w:t>-10</w:t>
            </w:r>
          </w:p>
        </w:tc>
      </w:tr>
      <w:tr w:rsidR="00AA2BE3" w:rsidRPr="006C2078" w:rsidTr="0091532E">
        <w:trPr>
          <w:jc w:val="center"/>
        </w:trPr>
        <w:tc>
          <w:tcPr>
            <w:tcW w:w="947" w:type="dxa"/>
            <w:vAlign w:val="center"/>
          </w:tcPr>
          <w:p w:rsidR="00AA2BE3" w:rsidRPr="0091532E" w:rsidRDefault="00AA2BE3" w:rsidP="0091532E">
            <w:pPr>
              <w:pStyle w:val="Tabletext"/>
              <w:jc w:val="center"/>
              <w:rPr>
                <w:sz w:val="18"/>
              </w:rPr>
            </w:pPr>
            <w:r w:rsidRPr="0091532E">
              <w:rPr>
                <w:sz w:val="18"/>
              </w:rPr>
              <w:t>49.126</w:t>
            </w:r>
          </w:p>
        </w:tc>
        <w:tc>
          <w:tcPr>
            <w:tcW w:w="947" w:type="dxa"/>
            <w:vAlign w:val="center"/>
          </w:tcPr>
          <w:p w:rsidR="00AA2BE3" w:rsidRPr="0091532E" w:rsidRDefault="00AA2BE3" w:rsidP="0091532E">
            <w:pPr>
              <w:pStyle w:val="Tabletext"/>
              <w:jc w:val="center"/>
              <w:rPr>
                <w:sz w:val="18"/>
              </w:rPr>
            </w:pPr>
            <w:r w:rsidRPr="0091532E">
              <w:rPr>
                <w:sz w:val="18"/>
              </w:rPr>
              <w:t>39.821</w:t>
            </w:r>
          </w:p>
        </w:tc>
        <w:tc>
          <w:tcPr>
            <w:tcW w:w="947" w:type="dxa"/>
            <w:vAlign w:val="center"/>
          </w:tcPr>
          <w:p w:rsidR="00AA2BE3" w:rsidRPr="0091532E" w:rsidRDefault="00AA2BE3" w:rsidP="0091532E">
            <w:pPr>
              <w:pStyle w:val="Tabletext"/>
              <w:jc w:val="center"/>
              <w:rPr>
                <w:sz w:val="18"/>
              </w:rPr>
            </w:pPr>
            <w:r w:rsidRPr="0091532E">
              <w:rPr>
                <w:sz w:val="18"/>
              </w:rPr>
              <w:t>49.126</w:t>
            </w:r>
          </w:p>
        </w:tc>
        <w:tc>
          <w:tcPr>
            <w:tcW w:w="947" w:type="dxa"/>
            <w:vAlign w:val="center"/>
          </w:tcPr>
          <w:p w:rsidR="00AA2BE3" w:rsidRPr="0091532E" w:rsidRDefault="00AA2BE3" w:rsidP="0091532E">
            <w:pPr>
              <w:pStyle w:val="Tabletext"/>
              <w:jc w:val="center"/>
              <w:rPr>
                <w:sz w:val="18"/>
              </w:rPr>
            </w:pPr>
            <w:r w:rsidRPr="0091532E">
              <w:rPr>
                <w:sz w:val="18"/>
              </w:rPr>
              <w:t>68.464</w:t>
            </w:r>
          </w:p>
        </w:tc>
        <w:tc>
          <w:tcPr>
            <w:tcW w:w="947" w:type="dxa"/>
            <w:vAlign w:val="center"/>
          </w:tcPr>
          <w:p w:rsidR="00AA2BE3" w:rsidRPr="0091532E" w:rsidRDefault="00AA2BE3" w:rsidP="0091532E">
            <w:pPr>
              <w:pStyle w:val="Tabletext"/>
              <w:jc w:val="center"/>
              <w:rPr>
                <w:sz w:val="18"/>
              </w:rPr>
            </w:pPr>
            <w:r w:rsidRPr="0091532E">
              <w:rPr>
                <w:sz w:val="18"/>
              </w:rPr>
              <w:t>49.126</w:t>
            </w:r>
          </w:p>
        </w:tc>
        <w:tc>
          <w:tcPr>
            <w:tcW w:w="947" w:type="dxa"/>
            <w:vAlign w:val="center"/>
          </w:tcPr>
          <w:p w:rsidR="00AA2BE3" w:rsidRPr="0091532E" w:rsidRDefault="00AA2BE3" w:rsidP="0091532E">
            <w:pPr>
              <w:pStyle w:val="Tabletext"/>
              <w:jc w:val="center"/>
              <w:rPr>
                <w:sz w:val="18"/>
              </w:rPr>
            </w:pPr>
            <w:r w:rsidRPr="0091532E">
              <w:rPr>
                <w:sz w:val="18"/>
              </w:rPr>
              <w:t>47.347</w:t>
            </w:r>
          </w:p>
        </w:tc>
        <w:tc>
          <w:tcPr>
            <w:tcW w:w="947" w:type="dxa"/>
            <w:vAlign w:val="center"/>
          </w:tcPr>
          <w:p w:rsidR="00AA2BE3" w:rsidRPr="0091532E" w:rsidRDefault="00AA2BE3" w:rsidP="0091532E">
            <w:pPr>
              <w:pStyle w:val="Tabletext"/>
              <w:jc w:val="center"/>
              <w:rPr>
                <w:sz w:val="18"/>
              </w:rPr>
            </w:pPr>
            <w:r w:rsidRPr="0091532E">
              <w:rPr>
                <w:sz w:val="18"/>
              </w:rPr>
              <w:t>57.988</w:t>
            </w:r>
          </w:p>
        </w:tc>
        <w:tc>
          <w:tcPr>
            <w:tcW w:w="947" w:type="dxa"/>
            <w:vAlign w:val="center"/>
          </w:tcPr>
          <w:p w:rsidR="00AA2BE3" w:rsidRPr="0091532E" w:rsidRDefault="00AA2BE3" w:rsidP="0091532E">
            <w:pPr>
              <w:pStyle w:val="Tabletext"/>
              <w:jc w:val="center"/>
              <w:rPr>
                <w:sz w:val="18"/>
              </w:rPr>
            </w:pPr>
            <w:r w:rsidRPr="0091532E">
              <w:rPr>
                <w:sz w:val="18"/>
              </w:rPr>
              <w:t>49.126</w:t>
            </w:r>
          </w:p>
        </w:tc>
        <w:tc>
          <w:tcPr>
            <w:tcW w:w="947" w:type="dxa"/>
            <w:vAlign w:val="center"/>
          </w:tcPr>
          <w:p w:rsidR="00AA2BE3" w:rsidRPr="0091532E" w:rsidRDefault="00AA2BE3" w:rsidP="0091532E">
            <w:pPr>
              <w:pStyle w:val="Tabletext"/>
              <w:jc w:val="center"/>
              <w:rPr>
                <w:sz w:val="18"/>
              </w:rPr>
            </w:pPr>
            <w:r w:rsidRPr="0091532E">
              <w:rPr>
                <w:sz w:val="18"/>
              </w:rPr>
              <w:t>46.541</w:t>
            </w:r>
          </w:p>
        </w:tc>
        <w:tc>
          <w:tcPr>
            <w:tcW w:w="947" w:type="dxa"/>
            <w:vAlign w:val="center"/>
          </w:tcPr>
          <w:p w:rsidR="00AA2BE3" w:rsidRPr="0091532E" w:rsidRDefault="00AA2BE3" w:rsidP="0091532E">
            <w:pPr>
              <w:pStyle w:val="Tabletext"/>
              <w:jc w:val="center"/>
              <w:rPr>
                <w:sz w:val="18"/>
              </w:rPr>
            </w:pPr>
            <w:r w:rsidRPr="0091532E">
              <w:rPr>
                <w:sz w:val="18"/>
              </w:rPr>
              <w:t>49.126</w:t>
            </w:r>
          </w:p>
        </w:tc>
        <w:tc>
          <w:tcPr>
            <w:tcW w:w="947" w:type="dxa"/>
            <w:vAlign w:val="center"/>
          </w:tcPr>
          <w:p w:rsidR="00AA2BE3" w:rsidRPr="0091532E" w:rsidRDefault="00AA2BE3" w:rsidP="0091532E">
            <w:pPr>
              <w:pStyle w:val="Tabletext"/>
              <w:jc w:val="center"/>
              <w:rPr>
                <w:sz w:val="18"/>
              </w:rPr>
            </w:pPr>
            <w:r w:rsidRPr="0091532E">
              <w:rPr>
                <w:sz w:val="18"/>
              </w:rPr>
              <w:t>44.028</w:t>
            </w:r>
          </w:p>
        </w:tc>
      </w:tr>
      <w:tr w:rsidR="00AA2BE3" w:rsidRPr="006C2078" w:rsidTr="0091532E">
        <w:trPr>
          <w:jc w:val="center"/>
        </w:trPr>
        <w:tc>
          <w:tcPr>
            <w:tcW w:w="947" w:type="dxa"/>
            <w:vAlign w:val="center"/>
          </w:tcPr>
          <w:p w:rsidR="00AA2BE3" w:rsidRPr="0091532E" w:rsidRDefault="00AA2BE3" w:rsidP="0091532E">
            <w:pPr>
              <w:pStyle w:val="Tabletext"/>
              <w:jc w:val="center"/>
              <w:rPr>
                <w:sz w:val="18"/>
              </w:rPr>
            </w:pPr>
            <w:r w:rsidRPr="0091532E">
              <w:rPr>
                <w:sz w:val="18"/>
              </w:rPr>
              <w:t>–119.36</w:t>
            </w:r>
          </w:p>
        </w:tc>
        <w:tc>
          <w:tcPr>
            <w:tcW w:w="947" w:type="dxa"/>
            <w:vAlign w:val="center"/>
          </w:tcPr>
          <w:p w:rsidR="00AA2BE3" w:rsidRPr="0091532E" w:rsidRDefault="00AA2BE3" w:rsidP="0091532E">
            <w:pPr>
              <w:pStyle w:val="Tabletext"/>
              <w:jc w:val="center"/>
              <w:rPr>
                <w:sz w:val="18"/>
              </w:rPr>
            </w:pPr>
            <w:r w:rsidRPr="0091532E">
              <w:rPr>
                <w:sz w:val="18"/>
              </w:rPr>
              <w:t>–106.16</w:t>
            </w:r>
          </w:p>
        </w:tc>
        <w:tc>
          <w:tcPr>
            <w:tcW w:w="947" w:type="dxa"/>
            <w:vAlign w:val="center"/>
          </w:tcPr>
          <w:p w:rsidR="00AA2BE3" w:rsidRPr="0091532E" w:rsidRDefault="00AA2BE3" w:rsidP="0091532E">
            <w:pPr>
              <w:pStyle w:val="Tabletext"/>
              <w:jc w:val="center"/>
              <w:rPr>
                <w:sz w:val="18"/>
              </w:rPr>
            </w:pPr>
            <w:r w:rsidRPr="0091532E">
              <w:rPr>
                <w:sz w:val="18"/>
              </w:rPr>
              <w:t>–91.303</w:t>
            </w:r>
          </w:p>
        </w:tc>
        <w:tc>
          <w:tcPr>
            <w:tcW w:w="947" w:type="dxa"/>
            <w:vAlign w:val="center"/>
          </w:tcPr>
          <w:p w:rsidR="00AA2BE3" w:rsidRPr="0091532E" w:rsidRDefault="00AA2BE3" w:rsidP="0091532E">
            <w:pPr>
              <w:pStyle w:val="Tabletext"/>
              <w:jc w:val="center"/>
              <w:rPr>
                <w:sz w:val="18"/>
              </w:rPr>
            </w:pPr>
            <w:r w:rsidRPr="0091532E">
              <w:rPr>
                <w:sz w:val="18"/>
              </w:rPr>
              <w:t>–112.27</w:t>
            </w:r>
          </w:p>
        </w:tc>
        <w:tc>
          <w:tcPr>
            <w:tcW w:w="947" w:type="dxa"/>
            <w:vAlign w:val="center"/>
          </w:tcPr>
          <w:p w:rsidR="00AA2BE3" w:rsidRPr="0091532E" w:rsidRDefault="00AA2BE3" w:rsidP="0091532E">
            <w:pPr>
              <w:pStyle w:val="Tabletext"/>
              <w:jc w:val="center"/>
              <w:rPr>
                <w:sz w:val="18"/>
              </w:rPr>
            </w:pPr>
            <w:r w:rsidRPr="0091532E">
              <w:rPr>
                <w:sz w:val="18"/>
              </w:rPr>
              <w:t>–121.78</w:t>
            </w:r>
          </w:p>
        </w:tc>
        <w:tc>
          <w:tcPr>
            <w:tcW w:w="947" w:type="dxa"/>
            <w:vAlign w:val="center"/>
          </w:tcPr>
          <w:p w:rsidR="00AA2BE3" w:rsidRPr="0091532E" w:rsidRDefault="00AA2BE3" w:rsidP="0091532E">
            <w:pPr>
              <w:pStyle w:val="Tabletext"/>
              <w:jc w:val="center"/>
              <w:rPr>
                <w:sz w:val="18"/>
              </w:rPr>
            </w:pPr>
            <w:r w:rsidRPr="0091532E">
              <w:rPr>
                <w:sz w:val="18"/>
              </w:rPr>
              <w:t>–102.2</w:t>
            </w:r>
          </w:p>
        </w:tc>
        <w:tc>
          <w:tcPr>
            <w:tcW w:w="947" w:type="dxa"/>
            <w:vAlign w:val="center"/>
          </w:tcPr>
          <w:p w:rsidR="00AA2BE3" w:rsidRPr="0091532E" w:rsidRDefault="00AA2BE3" w:rsidP="0091532E">
            <w:pPr>
              <w:pStyle w:val="Tabletext"/>
              <w:jc w:val="center"/>
              <w:rPr>
                <w:sz w:val="18"/>
              </w:rPr>
            </w:pPr>
            <w:r w:rsidRPr="0091532E">
              <w:rPr>
                <w:sz w:val="18"/>
              </w:rPr>
              <w:t>–124.18</w:t>
            </w:r>
          </w:p>
        </w:tc>
        <w:tc>
          <w:tcPr>
            <w:tcW w:w="947" w:type="dxa"/>
            <w:vAlign w:val="center"/>
          </w:tcPr>
          <w:p w:rsidR="00AA2BE3" w:rsidRPr="0091532E" w:rsidRDefault="00AA2BE3" w:rsidP="0091532E">
            <w:pPr>
              <w:pStyle w:val="Tabletext"/>
              <w:jc w:val="center"/>
              <w:rPr>
                <w:sz w:val="18"/>
              </w:rPr>
            </w:pPr>
            <w:r w:rsidRPr="0091532E">
              <w:rPr>
                <w:sz w:val="18"/>
              </w:rPr>
              <w:t>–115.75</w:t>
            </w:r>
          </w:p>
        </w:tc>
        <w:tc>
          <w:tcPr>
            <w:tcW w:w="947" w:type="dxa"/>
            <w:vAlign w:val="center"/>
          </w:tcPr>
          <w:p w:rsidR="00AA2BE3" w:rsidRPr="0091532E" w:rsidRDefault="00AA2BE3" w:rsidP="0091532E">
            <w:pPr>
              <w:pStyle w:val="Tabletext"/>
              <w:jc w:val="center"/>
              <w:rPr>
                <w:sz w:val="18"/>
              </w:rPr>
            </w:pPr>
            <w:r w:rsidRPr="0091532E">
              <w:rPr>
                <w:sz w:val="18"/>
              </w:rPr>
              <w:t>–97.825</w:t>
            </w:r>
          </w:p>
        </w:tc>
        <w:tc>
          <w:tcPr>
            <w:tcW w:w="947" w:type="dxa"/>
            <w:vAlign w:val="center"/>
          </w:tcPr>
          <w:p w:rsidR="00AA2BE3" w:rsidRPr="0091532E" w:rsidRDefault="00AA2BE3" w:rsidP="0091532E">
            <w:pPr>
              <w:pStyle w:val="Tabletext"/>
              <w:jc w:val="center"/>
              <w:rPr>
                <w:sz w:val="18"/>
              </w:rPr>
            </w:pPr>
            <w:r w:rsidRPr="0091532E">
              <w:rPr>
                <w:sz w:val="18"/>
              </w:rPr>
              <w:t>–123.95</w:t>
            </w:r>
          </w:p>
        </w:tc>
        <w:tc>
          <w:tcPr>
            <w:tcW w:w="947" w:type="dxa"/>
            <w:vAlign w:val="center"/>
          </w:tcPr>
          <w:p w:rsidR="00AA2BE3" w:rsidRPr="0091532E" w:rsidRDefault="00AA2BE3" w:rsidP="0091532E">
            <w:pPr>
              <w:pStyle w:val="Tabletext"/>
              <w:jc w:val="center"/>
              <w:rPr>
                <w:sz w:val="18"/>
              </w:rPr>
            </w:pPr>
            <w:r w:rsidRPr="0091532E">
              <w:rPr>
                <w:sz w:val="18"/>
              </w:rPr>
              <w:t>–102.36</w:t>
            </w:r>
          </w:p>
        </w:tc>
      </w:tr>
      <w:tr w:rsidR="00AA2BE3" w:rsidRPr="006C2078" w:rsidTr="0091532E">
        <w:trPr>
          <w:jc w:val="center"/>
        </w:trPr>
        <w:tc>
          <w:tcPr>
            <w:tcW w:w="947" w:type="dxa"/>
            <w:vAlign w:val="center"/>
          </w:tcPr>
          <w:p w:rsidR="00AA2BE3" w:rsidRPr="0091532E" w:rsidRDefault="00AA2BE3" w:rsidP="0091532E">
            <w:pPr>
              <w:pStyle w:val="Tabletext"/>
              <w:jc w:val="center"/>
              <w:rPr>
                <w:sz w:val="18"/>
              </w:rPr>
            </w:pPr>
            <w:r w:rsidRPr="0091532E">
              <w:rPr>
                <w:sz w:val="18"/>
              </w:rPr>
              <w:t>23.891</w:t>
            </w:r>
          </w:p>
        </w:tc>
        <w:tc>
          <w:tcPr>
            <w:tcW w:w="947" w:type="dxa"/>
            <w:vAlign w:val="center"/>
          </w:tcPr>
          <w:p w:rsidR="00AA2BE3" w:rsidRPr="0091532E" w:rsidRDefault="00AA2BE3" w:rsidP="0091532E">
            <w:pPr>
              <w:pStyle w:val="Tabletext"/>
              <w:jc w:val="center"/>
              <w:rPr>
                <w:sz w:val="18"/>
              </w:rPr>
            </w:pPr>
            <w:r w:rsidRPr="0091532E">
              <w:rPr>
                <w:sz w:val="18"/>
              </w:rPr>
              <w:t>29.524</w:t>
            </w:r>
          </w:p>
        </w:tc>
        <w:tc>
          <w:tcPr>
            <w:tcW w:w="947" w:type="dxa"/>
            <w:vAlign w:val="center"/>
          </w:tcPr>
          <w:p w:rsidR="00AA2BE3" w:rsidRPr="0091532E" w:rsidRDefault="00AA2BE3" w:rsidP="0091532E">
            <w:pPr>
              <w:pStyle w:val="Tabletext"/>
              <w:jc w:val="center"/>
              <w:rPr>
                <w:sz w:val="18"/>
              </w:rPr>
            </w:pPr>
            <w:r w:rsidRPr="0091532E">
              <w:rPr>
                <w:sz w:val="18"/>
              </w:rPr>
              <w:t>36.159</w:t>
            </w:r>
          </w:p>
        </w:tc>
        <w:tc>
          <w:tcPr>
            <w:tcW w:w="947" w:type="dxa"/>
            <w:vAlign w:val="center"/>
          </w:tcPr>
          <w:p w:rsidR="00AA2BE3" w:rsidRPr="0091532E" w:rsidRDefault="00AA2BE3" w:rsidP="0091532E">
            <w:pPr>
              <w:pStyle w:val="Tabletext"/>
              <w:jc w:val="center"/>
              <w:rPr>
                <w:sz w:val="18"/>
              </w:rPr>
            </w:pPr>
            <w:r w:rsidRPr="0091532E">
              <w:rPr>
                <w:sz w:val="18"/>
              </w:rPr>
              <w:t>30.753</w:t>
            </w:r>
          </w:p>
        </w:tc>
        <w:tc>
          <w:tcPr>
            <w:tcW w:w="947" w:type="dxa"/>
            <w:vAlign w:val="center"/>
          </w:tcPr>
          <w:p w:rsidR="00AA2BE3" w:rsidRPr="0091532E" w:rsidRDefault="00AA2BE3" w:rsidP="0091532E">
            <w:pPr>
              <w:pStyle w:val="Tabletext"/>
              <w:jc w:val="center"/>
              <w:rPr>
                <w:sz w:val="18"/>
              </w:rPr>
            </w:pPr>
            <w:r w:rsidRPr="0091532E">
              <w:rPr>
                <w:sz w:val="18"/>
              </w:rPr>
              <w:t>27.224</w:t>
            </w:r>
          </w:p>
        </w:tc>
        <w:tc>
          <w:tcPr>
            <w:tcW w:w="947" w:type="dxa"/>
            <w:vAlign w:val="center"/>
          </w:tcPr>
          <w:p w:rsidR="00AA2BE3" w:rsidRPr="0091532E" w:rsidRDefault="00AA2BE3" w:rsidP="0091532E">
            <w:pPr>
              <w:pStyle w:val="Tabletext"/>
              <w:jc w:val="center"/>
              <w:rPr>
                <w:sz w:val="18"/>
              </w:rPr>
            </w:pPr>
            <w:r w:rsidRPr="0091532E">
              <w:rPr>
                <w:sz w:val="18"/>
              </w:rPr>
              <w:t>23.218</w:t>
            </w:r>
          </w:p>
        </w:tc>
        <w:tc>
          <w:tcPr>
            <w:tcW w:w="947" w:type="dxa"/>
            <w:vAlign w:val="center"/>
          </w:tcPr>
          <w:p w:rsidR="00AA2BE3" w:rsidRPr="0091532E" w:rsidRDefault="00AA2BE3" w:rsidP="0091532E">
            <w:pPr>
              <w:pStyle w:val="Tabletext"/>
              <w:jc w:val="center"/>
              <w:rPr>
                <w:sz w:val="18"/>
              </w:rPr>
            </w:pPr>
            <w:r w:rsidRPr="0091532E">
              <w:rPr>
                <w:sz w:val="18"/>
              </w:rPr>
              <w:t>31.072</w:t>
            </w:r>
          </w:p>
        </w:tc>
        <w:tc>
          <w:tcPr>
            <w:tcW w:w="947" w:type="dxa"/>
            <w:vAlign w:val="center"/>
          </w:tcPr>
          <w:p w:rsidR="00AA2BE3" w:rsidRPr="0091532E" w:rsidRDefault="00AA2BE3" w:rsidP="0091532E">
            <w:pPr>
              <w:pStyle w:val="Tabletext"/>
              <w:jc w:val="center"/>
              <w:rPr>
                <w:sz w:val="18"/>
              </w:rPr>
            </w:pPr>
            <w:r w:rsidRPr="0091532E">
              <w:rPr>
                <w:sz w:val="18"/>
              </w:rPr>
              <w:t>31.278</w:t>
            </w:r>
          </w:p>
        </w:tc>
        <w:tc>
          <w:tcPr>
            <w:tcW w:w="947" w:type="dxa"/>
            <w:vAlign w:val="center"/>
          </w:tcPr>
          <w:p w:rsidR="00AA2BE3" w:rsidRPr="0091532E" w:rsidRDefault="00AA2BE3" w:rsidP="0091532E">
            <w:pPr>
              <w:pStyle w:val="Tabletext"/>
              <w:jc w:val="center"/>
              <w:rPr>
                <w:sz w:val="18"/>
              </w:rPr>
            </w:pPr>
            <w:r w:rsidRPr="0091532E">
              <w:rPr>
                <w:sz w:val="18"/>
              </w:rPr>
              <w:t>33.081</w:t>
            </w:r>
          </w:p>
        </w:tc>
        <w:tc>
          <w:tcPr>
            <w:tcW w:w="947" w:type="dxa"/>
            <w:vAlign w:val="center"/>
          </w:tcPr>
          <w:p w:rsidR="00AA2BE3" w:rsidRPr="0091532E" w:rsidRDefault="00AA2BE3" w:rsidP="0091532E">
            <w:pPr>
              <w:pStyle w:val="Tabletext"/>
              <w:jc w:val="center"/>
              <w:rPr>
                <w:sz w:val="18"/>
              </w:rPr>
            </w:pPr>
            <w:r w:rsidRPr="0091532E">
              <w:rPr>
                <w:sz w:val="18"/>
              </w:rPr>
              <w:t>24.75</w:t>
            </w:r>
          </w:p>
        </w:tc>
        <w:tc>
          <w:tcPr>
            <w:tcW w:w="947" w:type="dxa"/>
            <w:vAlign w:val="center"/>
          </w:tcPr>
          <w:p w:rsidR="00AA2BE3" w:rsidRPr="0091532E" w:rsidRDefault="00AA2BE3" w:rsidP="0091532E">
            <w:pPr>
              <w:pStyle w:val="Tabletext"/>
              <w:jc w:val="center"/>
              <w:rPr>
                <w:sz w:val="18"/>
              </w:rPr>
            </w:pPr>
            <w:r w:rsidRPr="0091532E">
              <w:rPr>
                <w:sz w:val="18"/>
              </w:rPr>
              <w:t>21.934</w:t>
            </w:r>
          </w:p>
        </w:tc>
      </w:tr>
      <w:tr w:rsidR="00AA2BE3" w:rsidRPr="006C2078" w:rsidTr="0091532E">
        <w:trPr>
          <w:jc w:val="center"/>
        </w:trPr>
        <w:tc>
          <w:tcPr>
            <w:tcW w:w="947" w:type="dxa"/>
            <w:vAlign w:val="center"/>
          </w:tcPr>
          <w:p w:rsidR="00AA2BE3" w:rsidRPr="0091532E" w:rsidRDefault="00AA2BE3" w:rsidP="0091532E">
            <w:pPr>
              <w:pStyle w:val="Tabletext"/>
              <w:jc w:val="center"/>
              <w:rPr>
                <w:sz w:val="18"/>
              </w:rPr>
            </w:pPr>
            <w:r w:rsidRPr="0091532E">
              <w:rPr>
                <w:sz w:val="18"/>
              </w:rPr>
              <w:t>235.73</w:t>
            </w:r>
          </w:p>
        </w:tc>
        <w:tc>
          <w:tcPr>
            <w:tcW w:w="947" w:type="dxa"/>
            <w:vAlign w:val="center"/>
          </w:tcPr>
          <w:p w:rsidR="00AA2BE3" w:rsidRPr="0091532E" w:rsidRDefault="00AA2BE3" w:rsidP="0091532E">
            <w:pPr>
              <w:pStyle w:val="Tabletext"/>
              <w:jc w:val="center"/>
              <w:rPr>
                <w:sz w:val="18"/>
              </w:rPr>
            </w:pPr>
            <w:r w:rsidRPr="0091532E">
              <w:rPr>
                <w:sz w:val="18"/>
              </w:rPr>
              <w:t>172.59</w:t>
            </w:r>
          </w:p>
        </w:tc>
        <w:tc>
          <w:tcPr>
            <w:tcW w:w="947" w:type="dxa"/>
            <w:vAlign w:val="center"/>
          </w:tcPr>
          <w:p w:rsidR="00AA2BE3" w:rsidRPr="0091532E" w:rsidRDefault="00AA2BE3" w:rsidP="0091532E">
            <w:pPr>
              <w:pStyle w:val="Tabletext"/>
              <w:jc w:val="center"/>
              <w:rPr>
                <w:sz w:val="18"/>
              </w:rPr>
            </w:pPr>
            <w:r w:rsidRPr="0091532E">
              <w:rPr>
                <w:sz w:val="18"/>
              </w:rPr>
              <w:t>69.608</w:t>
            </w:r>
          </w:p>
        </w:tc>
        <w:tc>
          <w:tcPr>
            <w:tcW w:w="947" w:type="dxa"/>
            <w:vAlign w:val="center"/>
          </w:tcPr>
          <w:p w:rsidR="00AA2BE3" w:rsidRPr="0091532E" w:rsidRDefault="00AA2BE3" w:rsidP="0091532E">
            <w:pPr>
              <w:pStyle w:val="Tabletext"/>
              <w:jc w:val="center"/>
              <w:rPr>
                <w:sz w:val="18"/>
              </w:rPr>
            </w:pPr>
            <w:r w:rsidRPr="0091532E">
              <w:rPr>
                <w:sz w:val="18"/>
              </w:rPr>
              <w:t>251.62</w:t>
            </w:r>
          </w:p>
        </w:tc>
        <w:tc>
          <w:tcPr>
            <w:tcW w:w="947" w:type="dxa"/>
            <w:vAlign w:val="center"/>
          </w:tcPr>
          <w:p w:rsidR="00AA2BE3" w:rsidRPr="0091532E" w:rsidRDefault="00AA2BE3" w:rsidP="0091532E">
            <w:pPr>
              <w:pStyle w:val="Tabletext"/>
              <w:jc w:val="center"/>
              <w:rPr>
                <w:sz w:val="18"/>
              </w:rPr>
            </w:pPr>
            <w:r w:rsidRPr="0091532E">
              <w:rPr>
                <w:sz w:val="18"/>
              </w:rPr>
              <w:t>252.08</w:t>
            </w:r>
          </w:p>
        </w:tc>
        <w:tc>
          <w:tcPr>
            <w:tcW w:w="947" w:type="dxa"/>
            <w:vAlign w:val="center"/>
          </w:tcPr>
          <w:p w:rsidR="00AA2BE3" w:rsidRPr="0091532E" w:rsidRDefault="00AA2BE3" w:rsidP="0091532E">
            <w:pPr>
              <w:pStyle w:val="Tabletext"/>
              <w:jc w:val="center"/>
              <w:rPr>
                <w:sz w:val="18"/>
              </w:rPr>
            </w:pPr>
            <w:r w:rsidRPr="0091532E">
              <w:rPr>
                <w:sz w:val="18"/>
              </w:rPr>
              <w:t>156.2</w:t>
            </w:r>
          </w:p>
        </w:tc>
        <w:tc>
          <w:tcPr>
            <w:tcW w:w="947" w:type="dxa"/>
            <w:vAlign w:val="center"/>
          </w:tcPr>
          <w:p w:rsidR="00AA2BE3" w:rsidRPr="0091532E" w:rsidRDefault="00AA2BE3" w:rsidP="0091532E">
            <w:pPr>
              <w:pStyle w:val="Tabletext"/>
              <w:jc w:val="center"/>
              <w:rPr>
                <w:sz w:val="18"/>
              </w:rPr>
            </w:pPr>
            <w:r w:rsidRPr="0091532E">
              <w:rPr>
                <w:sz w:val="18"/>
              </w:rPr>
              <w:t>269.24</w:t>
            </w:r>
          </w:p>
        </w:tc>
        <w:tc>
          <w:tcPr>
            <w:tcW w:w="947" w:type="dxa"/>
            <w:vAlign w:val="center"/>
          </w:tcPr>
          <w:p w:rsidR="00AA2BE3" w:rsidRPr="0091532E" w:rsidRDefault="00AA2BE3" w:rsidP="0091532E">
            <w:pPr>
              <w:pStyle w:val="Tabletext"/>
              <w:jc w:val="center"/>
              <w:rPr>
                <w:sz w:val="18"/>
              </w:rPr>
            </w:pPr>
            <w:r w:rsidRPr="0091532E">
              <w:rPr>
                <w:sz w:val="18"/>
              </w:rPr>
              <w:t>263.5</w:t>
            </w:r>
          </w:p>
        </w:tc>
        <w:tc>
          <w:tcPr>
            <w:tcW w:w="947" w:type="dxa"/>
            <w:vAlign w:val="center"/>
          </w:tcPr>
          <w:p w:rsidR="00AA2BE3" w:rsidRPr="0091532E" w:rsidRDefault="00AA2BE3" w:rsidP="0091532E">
            <w:pPr>
              <w:pStyle w:val="Tabletext"/>
              <w:jc w:val="center"/>
              <w:rPr>
                <w:sz w:val="18"/>
              </w:rPr>
            </w:pPr>
            <w:r w:rsidRPr="0091532E">
              <w:rPr>
                <w:sz w:val="18"/>
              </w:rPr>
              <w:t>83.126</w:t>
            </w:r>
          </w:p>
        </w:tc>
        <w:tc>
          <w:tcPr>
            <w:tcW w:w="947" w:type="dxa"/>
            <w:vAlign w:val="center"/>
          </w:tcPr>
          <w:p w:rsidR="00AA2BE3" w:rsidRPr="0091532E" w:rsidRDefault="00AA2BE3" w:rsidP="0091532E">
            <w:pPr>
              <w:pStyle w:val="Tabletext"/>
              <w:jc w:val="center"/>
              <w:rPr>
                <w:sz w:val="18"/>
              </w:rPr>
            </w:pPr>
            <w:r w:rsidRPr="0091532E">
              <w:rPr>
                <w:sz w:val="18"/>
              </w:rPr>
              <w:t>247.42</w:t>
            </w:r>
          </w:p>
        </w:tc>
        <w:tc>
          <w:tcPr>
            <w:tcW w:w="947" w:type="dxa"/>
            <w:vAlign w:val="center"/>
          </w:tcPr>
          <w:p w:rsidR="00AA2BE3" w:rsidRPr="0091532E" w:rsidRDefault="00AA2BE3" w:rsidP="0091532E">
            <w:pPr>
              <w:pStyle w:val="Tabletext"/>
              <w:jc w:val="center"/>
              <w:rPr>
                <w:sz w:val="18"/>
              </w:rPr>
            </w:pPr>
            <w:r w:rsidRPr="0091532E">
              <w:rPr>
                <w:sz w:val="18"/>
              </w:rPr>
              <w:t>159.33</w:t>
            </w:r>
          </w:p>
        </w:tc>
      </w:tr>
      <w:tr w:rsidR="00AA2BE3" w:rsidRPr="006C2078" w:rsidTr="0091532E">
        <w:trPr>
          <w:jc w:val="center"/>
        </w:trPr>
        <w:tc>
          <w:tcPr>
            <w:tcW w:w="947" w:type="dxa"/>
            <w:vAlign w:val="center"/>
          </w:tcPr>
          <w:p w:rsidR="00AA2BE3" w:rsidRPr="0091532E" w:rsidRDefault="00AA2BE3" w:rsidP="0091532E">
            <w:pPr>
              <w:pStyle w:val="Tabletext"/>
              <w:jc w:val="center"/>
              <w:rPr>
                <w:sz w:val="18"/>
              </w:rPr>
            </w:pPr>
            <w:r w:rsidRPr="0091532E">
              <w:rPr>
                <w:sz w:val="18"/>
              </w:rPr>
              <w:t>17.85</w:t>
            </w:r>
          </w:p>
        </w:tc>
        <w:tc>
          <w:tcPr>
            <w:tcW w:w="947" w:type="dxa"/>
            <w:vAlign w:val="center"/>
          </w:tcPr>
          <w:p w:rsidR="00AA2BE3" w:rsidRPr="0091532E" w:rsidRDefault="00AA2BE3" w:rsidP="0091532E">
            <w:pPr>
              <w:pStyle w:val="Tabletext"/>
              <w:jc w:val="center"/>
              <w:rPr>
                <w:sz w:val="18"/>
              </w:rPr>
            </w:pPr>
            <w:r w:rsidRPr="0091532E">
              <w:rPr>
                <w:sz w:val="18"/>
              </w:rPr>
              <w:t>64.061</w:t>
            </w:r>
          </w:p>
        </w:tc>
        <w:tc>
          <w:tcPr>
            <w:tcW w:w="947" w:type="dxa"/>
            <w:vAlign w:val="center"/>
          </w:tcPr>
          <w:p w:rsidR="00AA2BE3" w:rsidRPr="0091532E" w:rsidRDefault="00AA2BE3" w:rsidP="0091532E">
            <w:pPr>
              <w:pStyle w:val="Tabletext"/>
              <w:jc w:val="center"/>
              <w:rPr>
                <w:sz w:val="18"/>
              </w:rPr>
            </w:pPr>
            <w:r w:rsidRPr="0091532E">
              <w:rPr>
                <w:sz w:val="18"/>
              </w:rPr>
              <w:t>20.021</w:t>
            </w:r>
          </w:p>
        </w:tc>
        <w:tc>
          <w:tcPr>
            <w:tcW w:w="947" w:type="dxa"/>
            <w:vAlign w:val="center"/>
          </w:tcPr>
          <w:p w:rsidR="00AA2BE3" w:rsidRPr="0091532E" w:rsidRDefault="00AA2BE3" w:rsidP="0091532E">
            <w:pPr>
              <w:pStyle w:val="Tabletext"/>
              <w:jc w:val="center"/>
              <w:rPr>
                <w:sz w:val="18"/>
              </w:rPr>
            </w:pPr>
            <w:r w:rsidRPr="0091532E">
              <w:rPr>
                <w:sz w:val="18"/>
              </w:rPr>
              <w:t>49.546</w:t>
            </w:r>
          </w:p>
        </w:tc>
        <w:tc>
          <w:tcPr>
            <w:tcW w:w="947" w:type="dxa"/>
            <w:vAlign w:val="center"/>
          </w:tcPr>
          <w:p w:rsidR="00AA2BE3" w:rsidRPr="0091532E" w:rsidRDefault="00AA2BE3" w:rsidP="0091532E">
            <w:pPr>
              <w:pStyle w:val="Tabletext"/>
              <w:jc w:val="center"/>
              <w:rPr>
                <w:sz w:val="18"/>
              </w:rPr>
            </w:pPr>
            <w:r w:rsidRPr="0091532E">
              <w:rPr>
                <w:sz w:val="18"/>
              </w:rPr>
              <w:t>17.802</w:t>
            </w:r>
          </w:p>
        </w:tc>
        <w:tc>
          <w:tcPr>
            <w:tcW w:w="947" w:type="dxa"/>
            <w:vAlign w:val="center"/>
          </w:tcPr>
          <w:p w:rsidR="00AA2BE3" w:rsidRPr="0091532E" w:rsidRDefault="00AA2BE3" w:rsidP="0091532E">
            <w:pPr>
              <w:pStyle w:val="Tabletext"/>
              <w:jc w:val="center"/>
              <w:rPr>
                <w:sz w:val="18"/>
              </w:rPr>
            </w:pPr>
            <w:r w:rsidRPr="0091532E">
              <w:rPr>
                <w:sz w:val="18"/>
              </w:rPr>
              <w:t>28.179</w:t>
            </w:r>
          </w:p>
        </w:tc>
        <w:tc>
          <w:tcPr>
            <w:tcW w:w="947" w:type="dxa"/>
            <w:vAlign w:val="center"/>
          </w:tcPr>
          <w:p w:rsidR="00AA2BE3" w:rsidRPr="0091532E" w:rsidRDefault="00AA2BE3" w:rsidP="0091532E">
            <w:pPr>
              <w:pStyle w:val="Tabletext"/>
              <w:jc w:val="center"/>
              <w:rPr>
                <w:sz w:val="18"/>
              </w:rPr>
            </w:pPr>
            <w:r w:rsidRPr="0091532E">
              <w:rPr>
                <w:sz w:val="18"/>
              </w:rPr>
              <w:t>16.151</w:t>
            </w:r>
          </w:p>
        </w:tc>
        <w:tc>
          <w:tcPr>
            <w:tcW w:w="947" w:type="dxa"/>
            <w:vAlign w:val="center"/>
          </w:tcPr>
          <w:p w:rsidR="00AA2BE3" w:rsidRPr="0091532E" w:rsidRDefault="00AA2BE3" w:rsidP="0091532E">
            <w:pPr>
              <w:pStyle w:val="Tabletext"/>
              <w:jc w:val="center"/>
              <w:rPr>
                <w:sz w:val="18"/>
              </w:rPr>
            </w:pPr>
            <w:r w:rsidRPr="0091532E">
              <w:rPr>
                <w:sz w:val="18"/>
              </w:rPr>
              <w:t>36.055</w:t>
            </w:r>
          </w:p>
        </w:tc>
        <w:tc>
          <w:tcPr>
            <w:tcW w:w="947" w:type="dxa"/>
            <w:vAlign w:val="center"/>
          </w:tcPr>
          <w:p w:rsidR="00AA2BE3" w:rsidRPr="0091532E" w:rsidRDefault="00AA2BE3" w:rsidP="0091532E">
            <w:pPr>
              <w:pStyle w:val="Tabletext"/>
              <w:jc w:val="center"/>
              <w:rPr>
                <w:sz w:val="18"/>
              </w:rPr>
            </w:pPr>
            <w:r w:rsidRPr="0091532E">
              <w:rPr>
                <w:sz w:val="18"/>
              </w:rPr>
              <w:t>38.016</w:t>
            </w:r>
          </w:p>
        </w:tc>
        <w:tc>
          <w:tcPr>
            <w:tcW w:w="947" w:type="dxa"/>
            <w:vAlign w:val="center"/>
          </w:tcPr>
          <w:p w:rsidR="00AA2BE3" w:rsidRPr="0091532E" w:rsidRDefault="00AA2BE3" w:rsidP="0091532E">
            <w:pPr>
              <w:pStyle w:val="Tabletext"/>
              <w:jc w:val="center"/>
              <w:rPr>
                <w:sz w:val="18"/>
              </w:rPr>
            </w:pPr>
            <w:r w:rsidRPr="0091532E">
              <w:rPr>
                <w:sz w:val="18"/>
              </w:rPr>
              <w:t>12.491</w:t>
            </w:r>
          </w:p>
        </w:tc>
        <w:tc>
          <w:tcPr>
            <w:tcW w:w="947" w:type="dxa"/>
            <w:vAlign w:val="center"/>
          </w:tcPr>
          <w:p w:rsidR="00AA2BE3" w:rsidRPr="0091532E" w:rsidRDefault="00AA2BE3" w:rsidP="0091532E">
            <w:pPr>
              <w:pStyle w:val="Tabletext"/>
              <w:jc w:val="center"/>
              <w:rPr>
                <w:sz w:val="18"/>
              </w:rPr>
            </w:pPr>
            <w:r w:rsidRPr="0091532E">
              <w:rPr>
                <w:sz w:val="18"/>
              </w:rPr>
              <w:t>24.797</w:t>
            </w:r>
          </w:p>
        </w:tc>
      </w:tr>
      <w:tr w:rsidR="00AA2BE3" w:rsidRPr="006C2078" w:rsidTr="0091532E">
        <w:trPr>
          <w:jc w:val="center"/>
        </w:trPr>
        <w:tc>
          <w:tcPr>
            <w:tcW w:w="947" w:type="dxa"/>
            <w:vAlign w:val="center"/>
          </w:tcPr>
          <w:p w:rsidR="00AA2BE3" w:rsidRPr="0091532E" w:rsidRDefault="00AA2BE3" w:rsidP="0091532E">
            <w:pPr>
              <w:pStyle w:val="Tabletext"/>
              <w:jc w:val="center"/>
              <w:rPr>
                <w:b/>
                <w:bCs/>
                <w:sz w:val="18"/>
              </w:rPr>
            </w:pPr>
            <w:r w:rsidRPr="0091532E">
              <w:rPr>
                <w:b/>
                <w:bCs/>
                <w:sz w:val="18"/>
              </w:rPr>
              <w:t>72</w:t>
            </w:r>
          </w:p>
        </w:tc>
        <w:tc>
          <w:tcPr>
            <w:tcW w:w="947" w:type="dxa"/>
            <w:vAlign w:val="center"/>
          </w:tcPr>
          <w:p w:rsidR="00AA2BE3" w:rsidRPr="0091532E" w:rsidRDefault="00AA2BE3" w:rsidP="0091532E">
            <w:pPr>
              <w:pStyle w:val="Tabletext"/>
              <w:jc w:val="center"/>
              <w:rPr>
                <w:b/>
                <w:bCs/>
                <w:sz w:val="18"/>
              </w:rPr>
            </w:pPr>
            <w:r w:rsidRPr="0091532E">
              <w:rPr>
                <w:b/>
                <w:bCs/>
                <w:sz w:val="18"/>
              </w:rPr>
              <w:t>47</w:t>
            </w:r>
          </w:p>
        </w:tc>
        <w:tc>
          <w:tcPr>
            <w:tcW w:w="947" w:type="dxa"/>
            <w:vAlign w:val="center"/>
          </w:tcPr>
          <w:p w:rsidR="00AA2BE3" w:rsidRPr="0091532E" w:rsidRDefault="00AA2BE3" w:rsidP="0091532E">
            <w:pPr>
              <w:pStyle w:val="Tabletext"/>
              <w:jc w:val="center"/>
              <w:rPr>
                <w:b/>
                <w:bCs/>
                <w:sz w:val="18"/>
              </w:rPr>
            </w:pPr>
            <w:r w:rsidRPr="0091532E">
              <w:rPr>
                <w:b/>
                <w:bCs/>
                <w:sz w:val="18"/>
              </w:rPr>
              <w:t>61</w:t>
            </w:r>
          </w:p>
        </w:tc>
        <w:tc>
          <w:tcPr>
            <w:tcW w:w="947" w:type="dxa"/>
            <w:vAlign w:val="center"/>
          </w:tcPr>
          <w:p w:rsidR="00AA2BE3" w:rsidRPr="0091532E" w:rsidRDefault="00AA2BE3" w:rsidP="0091532E">
            <w:pPr>
              <w:pStyle w:val="Tabletext"/>
              <w:jc w:val="center"/>
              <w:rPr>
                <w:b/>
                <w:bCs/>
                <w:sz w:val="18"/>
              </w:rPr>
            </w:pPr>
            <w:r w:rsidRPr="0091532E">
              <w:rPr>
                <w:b/>
                <w:bCs/>
                <w:sz w:val="18"/>
              </w:rPr>
              <w:t>57</w:t>
            </w:r>
          </w:p>
        </w:tc>
        <w:tc>
          <w:tcPr>
            <w:tcW w:w="947" w:type="dxa"/>
            <w:vAlign w:val="center"/>
          </w:tcPr>
          <w:p w:rsidR="00AA2BE3" w:rsidRPr="0091532E" w:rsidRDefault="00AA2BE3" w:rsidP="0091532E">
            <w:pPr>
              <w:pStyle w:val="Tabletext"/>
              <w:jc w:val="center"/>
              <w:rPr>
                <w:b/>
                <w:bCs/>
                <w:sz w:val="18"/>
              </w:rPr>
            </w:pPr>
            <w:r w:rsidRPr="0091532E">
              <w:rPr>
                <w:b/>
                <w:bCs/>
                <w:sz w:val="18"/>
              </w:rPr>
              <w:t>65</w:t>
            </w:r>
          </w:p>
        </w:tc>
        <w:tc>
          <w:tcPr>
            <w:tcW w:w="947" w:type="dxa"/>
            <w:vAlign w:val="center"/>
          </w:tcPr>
          <w:p w:rsidR="00AA2BE3" w:rsidRPr="0091532E" w:rsidRDefault="00AA2BE3" w:rsidP="0091532E">
            <w:pPr>
              <w:pStyle w:val="Tabletext"/>
              <w:jc w:val="center"/>
              <w:rPr>
                <w:b/>
                <w:bCs/>
                <w:sz w:val="18"/>
              </w:rPr>
            </w:pPr>
            <w:r w:rsidRPr="0091532E">
              <w:rPr>
                <w:b/>
                <w:bCs/>
                <w:sz w:val="18"/>
              </w:rPr>
              <w:t>79</w:t>
            </w:r>
          </w:p>
        </w:tc>
        <w:tc>
          <w:tcPr>
            <w:tcW w:w="947" w:type="dxa"/>
            <w:vAlign w:val="center"/>
          </w:tcPr>
          <w:p w:rsidR="00AA2BE3" w:rsidRPr="0091532E" w:rsidRDefault="00AA2BE3" w:rsidP="0091532E">
            <w:pPr>
              <w:pStyle w:val="Tabletext"/>
              <w:jc w:val="center"/>
              <w:rPr>
                <w:b/>
                <w:bCs/>
                <w:sz w:val="18"/>
              </w:rPr>
            </w:pPr>
            <w:r w:rsidRPr="0091532E">
              <w:rPr>
                <w:b/>
                <w:bCs/>
                <w:sz w:val="18"/>
              </w:rPr>
              <w:t>65</w:t>
            </w:r>
          </w:p>
        </w:tc>
        <w:tc>
          <w:tcPr>
            <w:tcW w:w="947" w:type="dxa"/>
            <w:vAlign w:val="center"/>
          </w:tcPr>
          <w:p w:rsidR="00AA2BE3" w:rsidRPr="0091532E" w:rsidRDefault="00AA2BE3" w:rsidP="0091532E">
            <w:pPr>
              <w:pStyle w:val="Tabletext"/>
              <w:jc w:val="center"/>
              <w:rPr>
                <w:b/>
                <w:bCs/>
                <w:sz w:val="18"/>
              </w:rPr>
            </w:pPr>
            <w:r w:rsidRPr="0091532E">
              <w:rPr>
                <w:b/>
                <w:bCs/>
                <w:sz w:val="18"/>
              </w:rPr>
              <w:t>58</w:t>
            </w:r>
          </w:p>
        </w:tc>
        <w:tc>
          <w:tcPr>
            <w:tcW w:w="947" w:type="dxa"/>
            <w:vAlign w:val="center"/>
          </w:tcPr>
          <w:p w:rsidR="00AA2BE3" w:rsidRPr="0091532E" w:rsidRDefault="00AA2BE3" w:rsidP="0091532E">
            <w:pPr>
              <w:pStyle w:val="Tabletext"/>
              <w:jc w:val="center"/>
              <w:rPr>
                <w:b/>
                <w:bCs/>
                <w:sz w:val="18"/>
              </w:rPr>
            </w:pPr>
            <w:r w:rsidRPr="0091532E">
              <w:rPr>
                <w:b/>
                <w:bCs/>
                <w:sz w:val="18"/>
              </w:rPr>
              <w:t>53</w:t>
            </w:r>
          </w:p>
        </w:tc>
        <w:tc>
          <w:tcPr>
            <w:tcW w:w="947" w:type="dxa"/>
            <w:vAlign w:val="center"/>
          </w:tcPr>
          <w:p w:rsidR="00AA2BE3" w:rsidRPr="0091532E" w:rsidRDefault="00AA2BE3" w:rsidP="0091532E">
            <w:pPr>
              <w:pStyle w:val="Tabletext"/>
              <w:jc w:val="center"/>
              <w:rPr>
                <w:b/>
                <w:bCs/>
                <w:sz w:val="18"/>
              </w:rPr>
            </w:pPr>
            <w:r w:rsidRPr="0091532E">
              <w:rPr>
                <w:b/>
                <w:bCs/>
                <w:sz w:val="18"/>
              </w:rPr>
              <w:t>66</w:t>
            </w:r>
          </w:p>
        </w:tc>
        <w:tc>
          <w:tcPr>
            <w:tcW w:w="947" w:type="dxa"/>
            <w:vAlign w:val="center"/>
          </w:tcPr>
          <w:p w:rsidR="00AA2BE3" w:rsidRPr="0091532E" w:rsidRDefault="00AA2BE3" w:rsidP="0091532E">
            <w:pPr>
              <w:pStyle w:val="Tabletext"/>
              <w:jc w:val="center"/>
              <w:rPr>
                <w:b/>
                <w:bCs/>
                <w:sz w:val="18"/>
              </w:rPr>
            </w:pPr>
            <w:r w:rsidRPr="0091532E">
              <w:rPr>
                <w:b/>
                <w:bCs/>
                <w:sz w:val="18"/>
              </w:rPr>
              <w:t>74</w:t>
            </w:r>
          </w:p>
        </w:tc>
      </w:tr>
      <w:tr w:rsidR="00AA2BE3" w:rsidRPr="006C2078" w:rsidTr="0091532E">
        <w:trPr>
          <w:jc w:val="center"/>
        </w:trPr>
        <w:tc>
          <w:tcPr>
            <w:tcW w:w="947" w:type="dxa"/>
            <w:vAlign w:val="center"/>
          </w:tcPr>
          <w:p w:rsidR="00AA2BE3" w:rsidRPr="0091532E" w:rsidRDefault="00AA2BE3" w:rsidP="0091532E">
            <w:pPr>
              <w:pStyle w:val="Tabletext"/>
              <w:jc w:val="center"/>
              <w:rPr>
                <w:sz w:val="18"/>
              </w:rPr>
            </w:pPr>
            <w:r w:rsidRPr="0091532E">
              <w:rPr>
                <w:sz w:val="18"/>
              </w:rPr>
              <w:t>4.32</w:t>
            </w:r>
          </w:p>
        </w:tc>
        <w:tc>
          <w:tcPr>
            <w:tcW w:w="947" w:type="dxa"/>
            <w:vAlign w:val="center"/>
          </w:tcPr>
          <w:p w:rsidR="00AA2BE3" w:rsidRPr="0091532E" w:rsidRDefault="00AA2BE3" w:rsidP="0091532E">
            <w:pPr>
              <w:pStyle w:val="Tabletext"/>
              <w:jc w:val="center"/>
              <w:rPr>
                <w:sz w:val="18"/>
              </w:rPr>
            </w:pPr>
            <w:r w:rsidRPr="0091532E">
              <w:rPr>
                <w:sz w:val="18"/>
              </w:rPr>
              <w:t>2.82</w:t>
            </w:r>
          </w:p>
        </w:tc>
        <w:tc>
          <w:tcPr>
            <w:tcW w:w="947" w:type="dxa"/>
            <w:vAlign w:val="center"/>
          </w:tcPr>
          <w:p w:rsidR="00AA2BE3" w:rsidRPr="0091532E" w:rsidRDefault="00AA2BE3" w:rsidP="0091532E">
            <w:pPr>
              <w:pStyle w:val="Tabletext"/>
              <w:jc w:val="center"/>
              <w:rPr>
                <w:sz w:val="18"/>
              </w:rPr>
            </w:pPr>
            <w:r w:rsidRPr="0091532E">
              <w:rPr>
                <w:sz w:val="18"/>
              </w:rPr>
              <w:t>3.66</w:t>
            </w:r>
          </w:p>
        </w:tc>
        <w:tc>
          <w:tcPr>
            <w:tcW w:w="947" w:type="dxa"/>
            <w:vAlign w:val="center"/>
          </w:tcPr>
          <w:p w:rsidR="00AA2BE3" w:rsidRPr="0091532E" w:rsidRDefault="00AA2BE3" w:rsidP="0091532E">
            <w:pPr>
              <w:pStyle w:val="Tabletext"/>
              <w:jc w:val="center"/>
              <w:rPr>
                <w:sz w:val="18"/>
              </w:rPr>
            </w:pPr>
            <w:r w:rsidRPr="0091532E">
              <w:rPr>
                <w:sz w:val="18"/>
              </w:rPr>
              <w:t>3.42</w:t>
            </w:r>
          </w:p>
        </w:tc>
        <w:tc>
          <w:tcPr>
            <w:tcW w:w="947" w:type="dxa"/>
            <w:vAlign w:val="center"/>
          </w:tcPr>
          <w:p w:rsidR="00AA2BE3" w:rsidRPr="0091532E" w:rsidRDefault="00AA2BE3" w:rsidP="0091532E">
            <w:pPr>
              <w:pStyle w:val="Tabletext"/>
              <w:jc w:val="center"/>
              <w:rPr>
                <w:sz w:val="18"/>
              </w:rPr>
            </w:pPr>
            <w:r w:rsidRPr="0091532E">
              <w:rPr>
                <w:sz w:val="18"/>
              </w:rPr>
              <w:t>3.9</w:t>
            </w:r>
          </w:p>
        </w:tc>
        <w:tc>
          <w:tcPr>
            <w:tcW w:w="947" w:type="dxa"/>
            <w:vAlign w:val="center"/>
          </w:tcPr>
          <w:p w:rsidR="00AA2BE3" w:rsidRPr="0091532E" w:rsidRDefault="00AA2BE3" w:rsidP="0091532E">
            <w:pPr>
              <w:pStyle w:val="Tabletext"/>
              <w:jc w:val="center"/>
              <w:rPr>
                <w:sz w:val="18"/>
              </w:rPr>
            </w:pPr>
            <w:r w:rsidRPr="0091532E">
              <w:rPr>
                <w:sz w:val="18"/>
              </w:rPr>
              <w:t>4.74</w:t>
            </w:r>
          </w:p>
        </w:tc>
        <w:tc>
          <w:tcPr>
            <w:tcW w:w="947" w:type="dxa"/>
            <w:vAlign w:val="center"/>
          </w:tcPr>
          <w:p w:rsidR="00AA2BE3" w:rsidRPr="0091532E" w:rsidRDefault="00AA2BE3" w:rsidP="0091532E">
            <w:pPr>
              <w:pStyle w:val="Tabletext"/>
              <w:jc w:val="center"/>
              <w:rPr>
                <w:sz w:val="18"/>
              </w:rPr>
            </w:pPr>
            <w:r w:rsidRPr="0091532E">
              <w:rPr>
                <w:sz w:val="18"/>
              </w:rPr>
              <w:t>3.9</w:t>
            </w:r>
          </w:p>
        </w:tc>
        <w:tc>
          <w:tcPr>
            <w:tcW w:w="947" w:type="dxa"/>
            <w:vAlign w:val="center"/>
          </w:tcPr>
          <w:p w:rsidR="00AA2BE3" w:rsidRPr="0091532E" w:rsidRDefault="00AA2BE3" w:rsidP="0091532E">
            <w:pPr>
              <w:pStyle w:val="Tabletext"/>
              <w:jc w:val="center"/>
              <w:rPr>
                <w:sz w:val="18"/>
              </w:rPr>
            </w:pPr>
            <w:r w:rsidRPr="0091532E">
              <w:rPr>
                <w:sz w:val="18"/>
              </w:rPr>
              <w:t>3.48</w:t>
            </w:r>
          </w:p>
        </w:tc>
        <w:tc>
          <w:tcPr>
            <w:tcW w:w="947" w:type="dxa"/>
            <w:vAlign w:val="center"/>
          </w:tcPr>
          <w:p w:rsidR="00AA2BE3" w:rsidRPr="0091532E" w:rsidRDefault="00AA2BE3" w:rsidP="0091532E">
            <w:pPr>
              <w:pStyle w:val="Tabletext"/>
              <w:jc w:val="center"/>
              <w:rPr>
                <w:sz w:val="18"/>
              </w:rPr>
            </w:pPr>
            <w:r w:rsidRPr="0091532E">
              <w:rPr>
                <w:sz w:val="18"/>
              </w:rPr>
              <w:t>3.18</w:t>
            </w:r>
          </w:p>
        </w:tc>
        <w:tc>
          <w:tcPr>
            <w:tcW w:w="947" w:type="dxa"/>
            <w:vAlign w:val="center"/>
          </w:tcPr>
          <w:p w:rsidR="00AA2BE3" w:rsidRPr="0091532E" w:rsidRDefault="00AA2BE3" w:rsidP="0091532E">
            <w:pPr>
              <w:pStyle w:val="Tabletext"/>
              <w:jc w:val="center"/>
              <w:rPr>
                <w:sz w:val="18"/>
              </w:rPr>
            </w:pPr>
            <w:r w:rsidRPr="0091532E">
              <w:rPr>
                <w:sz w:val="18"/>
              </w:rPr>
              <w:t>3.96</w:t>
            </w:r>
          </w:p>
        </w:tc>
        <w:tc>
          <w:tcPr>
            <w:tcW w:w="947" w:type="dxa"/>
            <w:vAlign w:val="center"/>
          </w:tcPr>
          <w:p w:rsidR="00AA2BE3" w:rsidRPr="0091532E" w:rsidRDefault="00AA2BE3" w:rsidP="0091532E">
            <w:pPr>
              <w:pStyle w:val="Tabletext"/>
              <w:jc w:val="center"/>
              <w:rPr>
                <w:sz w:val="18"/>
              </w:rPr>
            </w:pPr>
            <w:r w:rsidRPr="0091532E">
              <w:rPr>
                <w:sz w:val="18"/>
              </w:rPr>
              <w:t>4.44</w:t>
            </w:r>
          </w:p>
        </w:tc>
      </w:tr>
    </w:tbl>
    <w:p w:rsidR="0091532E" w:rsidRDefault="0091532E" w:rsidP="0091532E">
      <w:pPr>
        <w:pStyle w:val="Tablefin"/>
      </w:pPr>
    </w:p>
    <w:p w:rsidR="00AA2BE3" w:rsidRPr="006C2078" w:rsidRDefault="00AA2BE3" w:rsidP="00AA2BE3">
      <w:pPr>
        <w:pStyle w:val="Heading2"/>
      </w:pPr>
      <w:bookmarkStart w:id="70" w:name="_Toc277668632"/>
      <w:r w:rsidRPr="006C2078">
        <w:lastRenderedPageBreak/>
        <w:t>3.5</w:t>
      </w:r>
      <w:r w:rsidRPr="006C2078">
        <w:tab/>
        <w:t>Availability of forward-links</w:t>
      </w:r>
      <w:bookmarkEnd w:id="70"/>
    </w:p>
    <w:p w:rsidR="00AA2BE3" w:rsidRPr="007D1EF7" w:rsidRDefault="00AA2BE3" w:rsidP="00EC61F5">
      <w:pPr>
        <w:keepLines/>
        <w:rPr>
          <w:lang w:val="en-US"/>
        </w:rPr>
      </w:pPr>
      <w:r w:rsidRPr="007D1EF7">
        <w:rPr>
          <w:lang w:val="en-US"/>
        </w:rPr>
        <w:t>The purpose of this paragraph is to get some approximate availability results for the forward-links scenario to be compared in a later paragraph to the availability of the cross-links scenario. It should also be noted at this time that the availability results to be found refer to the 66 forward-link receivers of the HIBLEO-2 constellation. Since the total number of events considered in the final simulation with a (</w:t>
      </w:r>
      <w:r w:rsidRPr="00B3358F">
        <w:t>Δ</w:t>
      </w:r>
      <w:r w:rsidRPr="007D1EF7">
        <w:rPr>
          <w:i/>
          <w:iCs/>
          <w:lang w:val="en-US"/>
        </w:rPr>
        <w:t>t</w:t>
      </w:r>
      <w:r w:rsidRPr="007D1EF7">
        <w:rPr>
          <w:lang w:val="en-US"/>
        </w:rPr>
        <w:t>)</w:t>
      </w:r>
      <w:r w:rsidR="00EB0992" w:rsidRPr="007D1EF7">
        <w:rPr>
          <w:lang w:val="en-US"/>
        </w:rPr>
        <w:t xml:space="preserve"> </w:t>
      </w:r>
      <w:r w:rsidRPr="007D1EF7">
        <w:rPr>
          <w:lang w:val="en-US"/>
        </w:rPr>
        <w:t>=</w:t>
      </w:r>
      <w:r w:rsidR="00EB0992" w:rsidRPr="007D1EF7">
        <w:rPr>
          <w:lang w:val="en-US"/>
        </w:rPr>
        <w:t xml:space="preserve"> </w:t>
      </w:r>
      <w:r w:rsidRPr="007D1EF7">
        <w:rPr>
          <w:lang w:val="en-US"/>
        </w:rPr>
        <w:t>0.001 min will be:</w:t>
      </w:r>
    </w:p>
    <w:p w:rsidR="00EC61F5" w:rsidRDefault="00EC61F5" w:rsidP="00EC61F5">
      <w:pPr>
        <w:pStyle w:val="Blanc"/>
      </w:pPr>
    </w:p>
    <w:p w:rsidR="00AA2BE3" w:rsidRPr="007D1EF7" w:rsidRDefault="0091532E" w:rsidP="0091532E">
      <w:pPr>
        <w:pStyle w:val="Equation"/>
        <w:rPr>
          <w:lang w:val="en-US"/>
        </w:rPr>
      </w:pPr>
      <w:r w:rsidRPr="007D1EF7">
        <w:rPr>
          <w:lang w:val="en-US"/>
        </w:rPr>
        <w:tab/>
      </w:r>
      <w:r w:rsidRPr="007D1EF7">
        <w:rPr>
          <w:lang w:val="en-US"/>
        </w:rPr>
        <w:tab/>
      </w:r>
      <w:r w:rsidR="00AA2BE3" w:rsidRPr="007D1EF7">
        <w:rPr>
          <w:lang w:val="en-US"/>
        </w:rPr>
        <w:t>Total number of events=28 day*24 hour/day*3600 s/hour/0.06s= 4.032 10</w:t>
      </w:r>
      <w:r w:rsidR="00AA2BE3" w:rsidRPr="007D1EF7">
        <w:rPr>
          <w:vertAlign w:val="superscript"/>
          <w:lang w:val="en-US"/>
        </w:rPr>
        <w:t>7</w:t>
      </w:r>
    </w:p>
    <w:p w:rsidR="00EC61F5" w:rsidRDefault="00EC61F5" w:rsidP="00EC61F5">
      <w:pPr>
        <w:pStyle w:val="Blanc"/>
      </w:pPr>
    </w:p>
    <w:p w:rsidR="00AA2BE3" w:rsidRPr="007D1EF7" w:rsidRDefault="00AA2BE3" w:rsidP="00192341">
      <w:pPr>
        <w:rPr>
          <w:lang w:val="en-US"/>
        </w:rPr>
      </w:pPr>
      <w:r w:rsidRPr="007D1EF7">
        <w:rPr>
          <w:lang w:val="en-US"/>
        </w:rPr>
        <w:t>and the cumulative number of interfering events from Table A5-2 for orbital planes 1, 2 and 3 as well as results found for planes 4,5 and 6 (and not shown in Table A5-2) are:</w:t>
      </w:r>
    </w:p>
    <w:p w:rsidR="00EC61F5" w:rsidRDefault="00EC61F5" w:rsidP="00EC61F5">
      <w:pPr>
        <w:pStyle w:val="Blanc"/>
      </w:pPr>
    </w:p>
    <w:p w:rsidR="00AA2BE3" w:rsidRPr="007D1EF7" w:rsidRDefault="0091532E" w:rsidP="0091532E">
      <w:pPr>
        <w:pStyle w:val="Equation"/>
        <w:rPr>
          <w:lang w:val="en-US"/>
        </w:rPr>
      </w:pPr>
      <w:r w:rsidRPr="007D1EF7">
        <w:rPr>
          <w:lang w:val="en-US"/>
        </w:rPr>
        <w:tab/>
      </w:r>
      <w:r w:rsidR="00AA2BE3" w:rsidRPr="007D1EF7">
        <w:rPr>
          <w:lang w:val="en-US"/>
        </w:rPr>
        <w:tab/>
        <w:t xml:space="preserve">Cumulative number of interfering events =134+172+282+316+144+237 = 1 285 </w:t>
      </w:r>
    </w:p>
    <w:p w:rsidR="00EC61F5" w:rsidRDefault="00EC61F5" w:rsidP="00EC61F5">
      <w:pPr>
        <w:pStyle w:val="Blanc"/>
      </w:pPr>
    </w:p>
    <w:p w:rsidR="00AA2BE3" w:rsidRPr="007D1EF7" w:rsidRDefault="00AA2BE3" w:rsidP="00AA2BE3">
      <w:pPr>
        <w:rPr>
          <w:lang w:val="en-US"/>
        </w:rPr>
      </w:pPr>
      <w:r w:rsidRPr="007D1EF7">
        <w:rPr>
          <w:lang w:val="en-US"/>
        </w:rPr>
        <w:t>the long-term interference will be:</w:t>
      </w:r>
    </w:p>
    <w:p w:rsidR="00EC61F5" w:rsidRDefault="00EC61F5" w:rsidP="00EC61F5">
      <w:pPr>
        <w:pStyle w:val="Blanc"/>
      </w:pPr>
    </w:p>
    <w:p w:rsidR="00AA2BE3" w:rsidRPr="007D1EF7" w:rsidRDefault="0091532E" w:rsidP="0091532E">
      <w:pPr>
        <w:pStyle w:val="Equation"/>
        <w:rPr>
          <w:lang w:val="en-US"/>
        </w:rPr>
      </w:pPr>
      <w:r w:rsidRPr="007D1EF7">
        <w:rPr>
          <w:lang w:val="en-US"/>
        </w:rPr>
        <w:tab/>
      </w:r>
      <w:r w:rsidRPr="007D1EF7">
        <w:rPr>
          <w:lang w:val="en-US"/>
        </w:rPr>
        <w:tab/>
      </w:r>
      <w:r w:rsidR="00AA2BE3" w:rsidRPr="007D1EF7">
        <w:rPr>
          <w:lang w:val="en-US"/>
        </w:rPr>
        <w:t>Long-term interference=1285/4.032 10</w:t>
      </w:r>
      <w:r w:rsidR="00AA2BE3" w:rsidRPr="007D1EF7">
        <w:rPr>
          <w:vertAlign w:val="superscript"/>
          <w:lang w:val="en-US"/>
        </w:rPr>
        <w:t>7</w:t>
      </w:r>
      <w:r w:rsidR="00AA2BE3" w:rsidRPr="007D1EF7">
        <w:rPr>
          <w:lang w:val="en-US"/>
        </w:rPr>
        <w:t xml:space="preserve"> =3.187 10</w:t>
      </w:r>
      <w:r w:rsidR="00AA2BE3" w:rsidRPr="007D1EF7">
        <w:rPr>
          <w:vertAlign w:val="superscript"/>
          <w:lang w:val="en-US"/>
        </w:rPr>
        <w:t>-5</w:t>
      </w:r>
    </w:p>
    <w:p w:rsidR="00EC61F5" w:rsidRDefault="00EC61F5" w:rsidP="00EC61F5">
      <w:pPr>
        <w:pStyle w:val="Blanc"/>
      </w:pPr>
    </w:p>
    <w:p w:rsidR="00AA2BE3" w:rsidRPr="007D1EF7" w:rsidRDefault="00AA2BE3" w:rsidP="00192341">
      <w:pPr>
        <w:rPr>
          <w:lang w:val="en-US"/>
        </w:rPr>
      </w:pPr>
      <w:r w:rsidRPr="007D1EF7">
        <w:rPr>
          <w:lang w:val="en-US"/>
        </w:rPr>
        <w:t>and the long-term availability will be:</w:t>
      </w:r>
    </w:p>
    <w:p w:rsidR="00EC61F5" w:rsidRDefault="00EC61F5" w:rsidP="00EC61F5">
      <w:pPr>
        <w:pStyle w:val="Blanc"/>
      </w:pPr>
    </w:p>
    <w:p w:rsidR="00AA2BE3" w:rsidRPr="007D1EF7" w:rsidRDefault="0091532E" w:rsidP="0091532E">
      <w:pPr>
        <w:pStyle w:val="Equation"/>
        <w:rPr>
          <w:lang w:val="en-US"/>
        </w:rPr>
      </w:pPr>
      <w:r w:rsidRPr="007D1EF7">
        <w:rPr>
          <w:lang w:val="en-US"/>
        </w:rPr>
        <w:tab/>
      </w:r>
      <w:r w:rsidRPr="007D1EF7">
        <w:rPr>
          <w:lang w:val="en-US"/>
        </w:rPr>
        <w:tab/>
      </w:r>
      <w:r w:rsidR="00AA2BE3" w:rsidRPr="007D1EF7">
        <w:rPr>
          <w:lang w:val="en-US"/>
        </w:rPr>
        <w:t>Long-term availability= 1-3.187 10</w:t>
      </w:r>
      <w:r w:rsidR="00AA2BE3" w:rsidRPr="007D1EF7">
        <w:rPr>
          <w:vertAlign w:val="superscript"/>
          <w:lang w:val="en-US"/>
        </w:rPr>
        <w:t>-5</w:t>
      </w:r>
      <w:r w:rsidR="00AA2BE3" w:rsidRPr="007D1EF7">
        <w:rPr>
          <w:lang w:val="en-US"/>
        </w:rPr>
        <w:t xml:space="preserve"> = 0.999968 = 99.9968%</w:t>
      </w:r>
    </w:p>
    <w:p w:rsidR="00AA2BE3" w:rsidRPr="007D1EF7" w:rsidRDefault="00AA2BE3" w:rsidP="00192341">
      <w:pPr>
        <w:pStyle w:val="Heading1"/>
        <w:rPr>
          <w:lang w:val="en-US"/>
        </w:rPr>
      </w:pPr>
      <w:bookmarkStart w:id="71" w:name="_Toc277668633"/>
      <w:r w:rsidRPr="007D1EF7">
        <w:rPr>
          <w:lang w:val="en-US"/>
        </w:rPr>
        <w:t>4</w:t>
      </w:r>
      <w:r w:rsidRPr="007D1EF7">
        <w:rPr>
          <w:lang w:val="en-US"/>
        </w:rPr>
        <w:tab/>
        <w:t>SRS ES interference into HIBLEO-2 cross-links</w:t>
      </w:r>
      <w:r w:rsidR="00192341" w:rsidRPr="007D1EF7">
        <w:rPr>
          <w:lang w:val="en-US"/>
        </w:rPr>
        <w:t> –</w:t>
      </w:r>
      <w:r w:rsidRPr="007D1EF7">
        <w:rPr>
          <w:lang w:val="en-US"/>
        </w:rPr>
        <w:t xml:space="preserve"> The simulation</w:t>
      </w:r>
      <w:bookmarkEnd w:id="71"/>
    </w:p>
    <w:p w:rsidR="00AA2BE3" w:rsidRPr="007D1EF7" w:rsidRDefault="00AA2BE3" w:rsidP="0091532E">
      <w:pPr>
        <w:rPr>
          <w:lang w:val="en-US"/>
        </w:rPr>
      </w:pPr>
      <w:r w:rsidRPr="007D1EF7">
        <w:rPr>
          <w:lang w:val="en-US"/>
        </w:rPr>
        <w:t xml:space="preserve">In </w:t>
      </w:r>
      <w:r w:rsidR="0091532E" w:rsidRPr="007D1EF7">
        <w:rPr>
          <w:lang w:val="en-US"/>
        </w:rPr>
        <w:t>§</w:t>
      </w:r>
      <w:r w:rsidRPr="007D1EF7">
        <w:rPr>
          <w:lang w:val="en-US"/>
        </w:rPr>
        <w:t xml:space="preserve"> 2 </w:t>
      </w:r>
      <w:r w:rsidR="009872B6" w:rsidRPr="007D1EF7">
        <w:rPr>
          <w:lang w:val="en-US"/>
        </w:rPr>
        <w:t>“</w:t>
      </w:r>
      <w:r w:rsidRPr="007D1EF7">
        <w:rPr>
          <w:lang w:val="en-US"/>
        </w:rPr>
        <w:t>Interference scenario of the space research service transmissions to the Moon into space-to-space links of the inter-satellite service</w:t>
      </w:r>
      <w:r w:rsidR="009872B6" w:rsidRPr="007D1EF7">
        <w:rPr>
          <w:lang w:val="en-US"/>
        </w:rPr>
        <w:t>”</w:t>
      </w:r>
      <w:r w:rsidRPr="007D1EF7">
        <w:rPr>
          <w:lang w:val="en-US"/>
        </w:rPr>
        <w:t xml:space="preserve"> a general description of the scenario to be analysed in this case may be found. Also Fig. A5-1 synthesizes this scenario that has been modeled</w:t>
      </w:r>
      <w:r w:rsidRPr="007D1EF7">
        <w:rPr>
          <w:vertAlign w:val="superscript"/>
          <w:lang w:val="en-US"/>
        </w:rPr>
        <w:t>1</w:t>
      </w:r>
      <w:r w:rsidRPr="007D1EF7">
        <w:rPr>
          <w:lang w:val="en-US"/>
        </w:rPr>
        <w:t xml:space="preserve"> with the appropriate analytical equations in a time series referred to the same epoch for the Earth, Moon and the HIBLEO-2 satellite constellation. The same parameters used in the simulations for the forward-links in </w:t>
      </w:r>
      <w:r w:rsidR="0091532E" w:rsidRPr="007D1EF7">
        <w:rPr>
          <w:lang w:val="en-US"/>
        </w:rPr>
        <w:t>§</w:t>
      </w:r>
      <w:r w:rsidRPr="007D1EF7">
        <w:rPr>
          <w:lang w:val="en-US"/>
        </w:rPr>
        <w:t xml:space="preserve"> 3 will be used now for the cross-links. For convenience they will be repeated here.</w:t>
      </w:r>
    </w:p>
    <w:p w:rsidR="00AA2BE3" w:rsidRPr="007D1EF7" w:rsidRDefault="00AA2BE3" w:rsidP="0091532E">
      <w:pPr>
        <w:rPr>
          <w:lang w:val="en-US"/>
        </w:rPr>
      </w:pPr>
      <w:r w:rsidRPr="007D1EF7">
        <w:rPr>
          <w:lang w:val="en-US"/>
        </w:rPr>
        <w:t>Thus, the minimum SRS ES elevation angle is set to 5</w:t>
      </w:r>
      <w:r w:rsidR="0091532E" w:rsidRPr="007D1EF7">
        <w:rPr>
          <w:lang w:val="en-US"/>
        </w:rPr>
        <w:t>°</w:t>
      </w:r>
      <w:r w:rsidRPr="007D1EF7">
        <w:rPr>
          <w:lang w:val="en-US"/>
        </w:rPr>
        <w:t>, which will be the elevation limit for the SRS ES when tracking the Moon. On the contrary the minimum elevation angle for the HIBLEO-2 constellation when viewed from the SRS ES location will be –22</w:t>
      </w:r>
      <w:r w:rsidR="0091532E" w:rsidRPr="007D1EF7">
        <w:rPr>
          <w:lang w:val="en-US"/>
        </w:rPr>
        <w:t>°</w:t>
      </w:r>
      <w:r w:rsidRPr="007D1EF7">
        <w:rPr>
          <w:lang w:val="en-US"/>
        </w:rPr>
        <w:t xml:space="preserve">. Note that this minimum elevation angle is necessary not to miss any of the 11 cross-links receivers of one orbital plane when the transmitting HIBLEO-2 receiver from the contiguous orbital plane is below the SRS ES horizon. An important difference with respect to the forward-links simulations is the modelling of two HIBLEO-2 orbital planes simultaneously otherwise necessary in order to complete the 11 cross-links between the same satellite numbers of each contiguous HIBLEO-2 orbital planes. </w:t>
      </w:r>
    </w:p>
    <w:p w:rsidR="00AA2BE3" w:rsidRPr="007D1EF7" w:rsidRDefault="00AA2BE3" w:rsidP="0091532E">
      <w:pPr>
        <w:pStyle w:val="Heading2"/>
        <w:rPr>
          <w:lang w:val="en-US"/>
        </w:rPr>
      </w:pPr>
      <w:bookmarkStart w:id="72" w:name="_Toc277668634"/>
      <w:r w:rsidRPr="007D1EF7">
        <w:rPr>
          <w:lang w:val="en-US"/>
        </w:rPr>
        <w:t>4.1</w:t>
      </w:r>
      <w:r w:rsidRPr="007D1EF7">
        <w:rPr>
          <w:lang w:val="en-US"/>
        </w:rPr>
        <w:tab/>
        <w:t>Omnidirectional transmissions; SRS ES antenna gain limits in the cross-links scenario</w:t>
      </w:r>
      <w:bookmarkEnd w:id="72"/>
    </w:p>
    <w:p w:rsidR="00AA2BE3" w:rsidRPr="007D1EF7" w:rsidRDefault="00AA2BE3" w:rsidP="00EB0992">
      <w:pPr>
        <w:rPr>
          <w:lang w:val="en-US"/>
        </w:rPr>
      </w:pPr>
      <w:r w:rsidRPr="007D1EF7">
        <w:rPr>
          <w:lang w:val="en-US"/>
        </w:rPr>
        <w:t xml:space="preserve">As in the case of the HIBLEO-2 forward-links scenario it will be of interest to determine the limits on the SRS ES antenna gain that will produce interference events on the scenario being considered. On this direction, the same scenario in which the SRS ES is radiating through an omnidirectional antenna instead of the actual very directive SRS ES antenna has been simulated. A PSD input of </w:t>
      </w:r>
      <w:r w:rsidR="00DC4C77">
        <w:fldChar w:fldCharType="begin"/>
      </w:r>
      <w:r w:rsidR="0091532E" w:rsidRPr="007D1EF7">
        <w:rPr>
          <w:lang w:val="en-US"/>
        </w:rPr>
        <w:instrText xml:space="preserve"> EQ  –47.9 dB(W/Hz)</w:instrText>
      </w:r>
      <w:r w:rsidR="00DC4C77">
        <w:fldChar w:fldCharType="end"/>
      </w:r>
      <w:r w:rsidRPr="007D1EF7">
        <w:rPr>
          <w:lang w:val="en-US"/>
        </w:rPr>
        <w:t xml:space="preserve"> will again be considered instead of the actual maximum PSD of −59.7 dB(W/Hz) that will be used in Part II.</w:t>
      </w:r>
    </w:p>
    <w:p w:rsidR="00AA2BE3" w:rsidRPr="007D1EF7" w:rsidRDefault="00AA2BE3" w:rsidP="00EC61F5">
      <w:pPr>
        <w:keepLines/>
        <w:rPr>
          <w:lang w:val="en-US"/>
        </w:rPr>
      </w:pPr>
      <w:r w:rsidRPr="007D1EF7">
        <w:rPr>
          <w:lang w:val="en-US"/>
        </w:rPr>
        <w:lastRenderedPageBreak/>
        <w:t>The omnidirectional antenna gain value was varied to find that a gain of 34 dBi would not produce any interference larger than –202 dB(W/Hz) at the HIBLEO-2 cross-link receivers at any pointing direction above the SRS ES horizon (5</w:t>
      </w:r>
      <w:r w:rsidR="0091532E" w:rsidRPr="007D1EF7">
        <w:rPr>
          <w:lang w:val="en-US"/>
        </w:rPr>
        <w:t>°</w:t>
      </w:r>
      <w:r w:rsidRPr="007D1EF7">
        <w:rPr>
          <w:lang w:val="en-US"/>
        </w:rPr>
        <w:t xml:space="preserve"> elevation) as is shown in Fig. A5-5. Note that in this case there is no cluster of points due to the HIBLEO-2 antenna gain. This confirms the fact that the HIBLEO-2 antenna off-axis angle will never be smaller than the angle corresponding to the HIBLEO-2 antenna back lobe of 36</w:t>
      </w:r>
      <w:r w:rsidR="0091532E" w:rsidRPr="007D1EF7">
        <w:rPr>
          <w:lang w:val="en-US"/>
        </w:rPr>
        <w:t>°</w:t>
      </w:r>
      <w:r w:rsidRPr="007D1EF7">
        <w:rPr>
          <w:lang w:val="en-US"/>
        </w:rPr>
        <w:t xml:space="preserve"> (–10 dBi of gain).</w:t>
      </w:r>
    </w:p>
    <w:p w:rsidR="00AA2BE3" w:rsidRPr="007D1EF7" w:rsidRDefault="00AA2BE3" w:rsidP="00AA2BE3">
      <w:pPr>
        <w:rPr>
          <w:lang w:val="en-US"/>
        </w:rPr>
      </w:pPr>
      <w:r w:rsidRPr="007D1EF7">
        <w:rPr>
          <w:lang w:val="en-US"/>
        </w:rPr>
        <w:t>The actual minimum SRS ES to HIBLEO-2 antenna off-axis angle was confirmed to be around 40</w:t>
      </w:r>
      <w:r w:rsidR="0091532E" w:rsidRPr="007D1EF7">
        <w:rPr>
          <w:lang w:val="en-US"/>
        </w:rPr>
        <w:t>°</w:t>
      </w:r>
      <w:r w:rsidRPr="007D1EF7">
        <w:rPr>
          <w:lang w:val="en-US"/>
        </w:rPr>
        <w:t xml:space="preserve"> as is shown in Fig. A5-11 where all the off-axis angles for the 11 cross-link antennas have been represented in a stereographic graph (SRS ES azimuth and elevation) for the ascending and descending nodes of the two orbital planes (Plane 2 </w:t>
      </w:r>
      <w:r w:rsidRPr="007D1EF7">
        <w:rPr>
          <w:rFonts w:ascii="Times" w:hAnsi="Times" w:cs="Times"/>
          <w:lang w:val="en-US"/>
        </w:rPr>
        <w:t>×</w:t>
      </w:r>
      <w:r w:rsidRPr="007D1EF7">
        <w:rPr>
          <w:lang w:val="en-US"/>
        </w:rPr>
        <w:t xml:space="preserve"> 11 transmitting to receiving Plane 1 </w:t>
      </w:r>
      <w:r w:rsidRPr="007D1EF7">
        <w:rPr>
          <w:rFonts w:ascii="Times" w:hAnsi="Times" w:cs="Times"/>
          <w:lang w:val="en-US"/>
        </w:rPr>
        <w:t>×</w:t>
      </w:r>
      <w:r w:rsidRPr="007D1EF7">
        <w:rPr>
          <w:lang w:val="en-US"/>
        </w:rPr>
        <w:t> 11).</w:t>
      </w:r>
    </w:p>
    <w:p w:rsidR="00AA2BE3" w:rsidRPr="007D1EF7" w:rsidRDefault="00AA2BE3" w:rsidP="00AA2BE3">
      <w:pPr>
        <w:pStyle w:val="Heading2"/>
        <w:rPr>
          <w:lang w:val="en-US"/>
        </w:rPr>
      </w:pPr>
      <w:bookmarkStart w:id="73" w:name="_Toc277668635"/>
      <w:r w:rsidRPr="007D1EF7">
        <w:rPr>
          <w:lang w:val="en-US"/>
        </w:rPr>
        <w:t>4.2</w:t>
      </w:r>
      <w:r w:rsidRPr="007D1EF7">
        <w:rPr>
          <w:lang w:val="en-US"/>
        </w:rPr>
        <w:tab/>
        <w:t>Long-term interference of SRS ES transmissions into the cross-links of the HIBLEO-2 constellation</w:t>
      </w:r>
      <w:bookmarkEnd w:id="73"/>
      <w:r w:rsidRPr="007D1EF7">
        <w:rPr>
          <w:lang w:val="en-US"/>
        </w:rPr>
        <w:t xml:space="preserve"> </w:t>
      </w:r>
    </w:p>
    <w:p w:rsidR="00AA2BE3" w:rsidRPr="007D1EF7" w:rsidRDefault="00AA2BE3" w:rsidP="0091532E">
      <w:pPr>
        <w:rPr>
          <w:lang w:val="en-US"/>
        </w:rPr>
      </w:pPr>
      <w:r w:rsidRPr="007D1EF7">
        <w:rPr>
          <w:lang w:val="en-US"/>
        </w:rPr>
        <w:t xml:space="preserve">The HIBLEO-2 antenna off-axis gain with respect to the SRS ES bore-sight will always be –10 dBi (back-lobe gain) as it is the case for the HIBLEO-2 forward-links in </w:t>
      </w:r>
      <w:r w:rsidR="0091532E" w:rsidRPr="007D1EF7">
        <w:rPr>
          <w:lang w:val="en-US"/>
        </w:rPr>
        <w:t>§</w:t>
      </w:r>
      <w:r w:rsidRPr="007D1EF7">
        <w:rPr>
          <w:lang w:val="en-US"/>
        </w:rPr>
        <w:t xml:space="preserve"> 3. Therefore the interference events into the cross-links will be those already found in </w:t>
      </w:r>
      <w:r w:rsidR="0091532E" w:rsidRPr="007D1EF7">
        <w:rPr>
          <w:lang w:val="en-US"/>
        </w:rPr>
        <w:t>§</w:t>
      </w:r>
      <w:r w:rsidRPr="007D1EF7">
        <w:rPr>
          <w:lang w:val="en-US"/>
        </w:rPr>
        <w:t xml:space="preserve"> 3 for the HIBLEO</w:t>
      </w:r>
      <w:r w:rsidRPr="007D1EF7">
        <w:rPr>
          <w:lang w:val="en-US"/>
        </w:rPr>
        <w:noBreakHyphen/>
        <w:t>2 forward-links.</w:t>
      </w:r>
    </w:p>
    <w:p w:rsidR="00AA2BE3" w:rsidRPr="007D1EF7" w:rsidRDefault="00AA2BE3" w:rsidP="00AA2BE3">
      <w:pPr>
        <w:rPr>
          <w:lang w:val="en-US"/>
        </w:rPr>
      </w:pPr>
      <w:r w:rsidRPr="007D1EF7">
        <w:rPr>
          <w:lang w:val="en-US"/>
        </w:rPr>
        <w:t>Note that these findings enormously simplify the problem, since no need of further simulations will be necessary for the HIBLEO-2 cross-links case. Thus, using previous results for the forward-links the availability of HIBLEO-2 cross-links transmissions may already be estimated.</w:t>
      </w:r>
    </w:p>
    <w:p w:rsidR="00AA2BE3" w:rsidRPr="007D1EF7" w:rsidRDefault="00AA2BE3" w:rsidP="00AA2BE3">
      <w:pPr>
        <w:pStyle w:val="Heading3"/>
        <w:rPr>
          <w:lang w:val="en-US"/>
        </w:rPr>
      </w:pPr>
      <w:r w:rsidRPr="007D1EF7">
        <w:rPr>
          <w:lang w:val="en-US"/>
        </w:rPr>
        <w:t>4.2.1</w:t>
      </w:r>
      <w:r w:rsidRPr="007D1EF7">
        <w:rPr>
          <w:lang w:val="en-US"/>
        </w:rPr>
        <w:tab/>
        <w:t>Availability of cross-links</w:t>
      </w:r>
    </w:p>
    <w:p w:rsidR="00AA2BE3" w:rsidRPr="007D1EF7" w:rsidRDefault="00AA2BE3" w:rsidP="00AA2BE3">
      <w:pPr>
        <w:rPr>
          <w:lang w:val="en-US"/>
        </w:rPr>
      </w:pPr>
      <w:r w:rsidRPr="007D1EF7">
        <w:rPr>
          <w:lang w:val="en-US"/>
        </w:rPr>
        <w:t>It should be noted at this time that the availability results to be found refer to the 55 cross-link receivers of the HIBLEO-2 constellation, that is 11 cross-links for planes 2 to 1, 3 to 2, 4 to 3, 5 to 4 and 6 to 5, since there will not be any cross-link between planes 1 and 6.</w:t>
      </w:r>
    </w:p>
    <w:p w:rsidR="00AA2BE3" w:rsidRPr="007D1EF7" w:rsidRDefault="00AA2BE3" w:rsidP="00AA2BE3">
      <w:pPr>
        <w:rPr>
          <w:lang w:val="en-US"/>
        </w:rPr>
      </w:pPr>
      <w:r w:rsidRPr="007D1EF7">
        <w:rPr>
          <w:lang w:val="en-US"/>
        </w:rPr>
        <w:t>Since the total number of events to be considered is the same as in the forward-links simulation with a (</w:t>
      </w:r>
      <w:r w:rsidRPr="00434896">
        <w:t>Δ</w:t>
      </w:r>
      <w:r w:rsidRPr="007D1EF7">
        <w:rPr>
          <w:i/>
          <w:iCs/>
          <w:lang w:val="en-US"/>
        </w:rPr>
        <w:t>t</w:t>
      </w:r>
      <w:r w:rsidRPr="007D1EF7">
        <w:rPr>
          <w:lang w:val="en-US"/>
        </w:rPr>
        <w:t>)</w:t>
      </w:r>
      <w:r w:rsidR="0091532E" w:rsidRPr="007D1EF7">
        <w:rPr>
          <w:lang w:val="en-US"/>
        </w:rPr>
        <w:t xml:space="preserve"> </w:t>
      </w:r>
      <w:r w:rsidRPr="007D1EF7">
        <w:rPr>
          <w:lang w:val="en-US"/>
        </w:rPr>
        <w:t>=</w:t>
      </w:r>
      <w:r w:rsidR="0091532E" w:rsidRPr="007D1EF7">
        <w:rPr>
          <w:lang w:val="en-US"/>
        </w:rPr>
        <w:t xml:space="preserve"> </w:t>
      </w:r>
      <w:r w:rsidRPr="007D1EF7">
        <w:rPr>
          <w:lang w:val="en-US"/>
        </w:rPr>
        <w:t xml:space="preserve">0.001: </w:t>
      </w:r>
    </w:p>
    <w:p w:rsidR="00EC61F5" w:rsidRDefault="00EC61F5" w:rsidP="00EC61F5">
      <w:pPr>
        <w:pStyle w:val="Blanc"/>
      </w:pPr>
    </w:p>
    <w:p w:rsidR="00AA2BE3" w:rsidRPr="007D1EF7" w:rsidRDefault="0091532E" w:rsidP="0091532E">
      <w:pPr>
        <w:pStyle w:val="Equation"/>
        <w:rPr>
          <w:lang w:val="en-US"/>
        </w:rPr>
      </w:pPr>
      <w:r w:rsidRPr="007D1EF7">
        <w:rPr>
          <w:lang w:val="en-US"/>
        </w:rPr>
        <w:tab/>
      </w:r>
      <w:r w:rsidRPr="007D1EF7">
        <w:rPr>
          <w:lang w:val="en-US"/>
        </w:rPr>
        <w:tab/>
      </w:r>
      <w:r w:rsidR="00AA2BE3" w:rsidRPr="007D1EF7">
        <w:rPr>
          <w:lang w:val="en-US"/>
        </w:rPr>
        <w:t>Total number of events=28 day*24 hour/day*3 600 s/hour/0.06s= 4.032 10</w:t>
      </w:r>
      <w:r w:rsidR="00AA2BE3" w:rsidRPr="007D1EF7">
        <w:rPr>
          <w:vertAlign w:val="superscript"/>
          <w:lang w:val="en-US"/>
        </w:rPr>
        <w:t>7</w:t>
      </w:r>
    </w:p>
    <w:p w:rsidR="00EC61F5" w:rsidRDefault="00EC61F5" w:rsidP="00EC61F5">
      <w:pPr>
        <w:pStyle w:val="Blanc"/>
      </w:pPr>
    </w:p>
    <w:p w:rsidR="00AA2BE3" w:rsidRPr="007D1EF7" w:rsidRDefault="00AA2BE3" w:rsidP="00192341">
      <w:pPr>
        <w:rPr>
          <w:lang w:val="en-US"/>
        </w:rPr>
      </w:pPr>
      <w:r w:rsidRPr="007D1EF7">
        <w:rPr>
          <w:lang w:val="en-US"/>
        </w:rPr>
        <w:t>and the cumulative number of interfering events from Table A5-2 will be for the HIBLEO-2 cross</w:t>
      </w:r>
      <w:r w:rsidRPr="007D1EF7">
        <w:rPr>
          <w:lang w:val="en-US"/>
        </w:rPr>
        <w:noBreakHyphen/>
        <w:t>link receivers in planes 1, 2, 3, 4 and 5:</w:t>
      </w:r>
    </w:p>
    <w:p w:rsidR="00EC61F5" w:rsidRDefault="00EC61F5" w:rsidP="00EC61F5">
      <w:pPr>
        <w:pStyle w:val="Blanc"/>
      </w:pPr>
    </w:p>
    <w:p w:rsidR="00AA2BE3" w:rsidRPr="007D1EF7" w:rsidRDefault="0091532E" w:rsidP="0091532E">
      <w:pPr>
        <w:pStyle w:val="Equation"/>
        <w:rPr>
          <w:lang w:val="en-US"/>
        </w:rPr>
      </w:pPr>
      <w:r w:rsidRPr="007D1EF7">
        <w:rPr>
          <w:lang w:val="en-US"/>
        </w:rPr>
        <w:tab/>
      </w:r>
      <w:r w:rsidRPr="007D1EF7">
        <w:rPr>
          <w:lang w:val="en-US"/>
        </w:rPr>
        <w:tab/>
      </w:r>
      <w:r w:rsidR="00AA2BE3" w:rsidRPr="007D1EF7">
        <w:rPr>
          <w:lang w:val="en-US"/>
        </w:rPr>
        <w:t>Cumulative number of interfering events =134+172+282+316+144= 1 048</w:t>
      </w:r>
    </w:p>
    <w:p w:rsidR="00EC61F5" w:rsidRDefault="00EC61F5" w:rsidP="00EC61F5">
      <w:pPr>
        <w:pStyle w:val="Blanc"/>
      </w:pPr>
    </w:p>
    <w:p w:rsidR="00AA2BE3" w:rsidRPr="007D1EF7" w:rsidRDefault="00AA2BE3" w:rsidP="00192341">
      <w:pPr>
        <w:rPr>
          <w:lang w:val="en-US"/>
        </w:rPr>
      </w:pPr>
      <w:r w:rsidRPr="007D1EF7">
        <w:rPr>
          <w:lang w:val="en-US"/>
        </w:rPr>
        <w:t>the long-term interference will be</w:t>
      </w:r>
      <w:r w:rsidR="0091532E" w:rsidRPr="007D1EF7">
        <w:rPr>
          <w:lang w:val="en-US"/>
        </w:rPr>
        <w:t>:</w:t>
      </w:r>
    </w:p>
    <w:p w:rsidR="00EC61F5" w:rsidRDefault="00EC61F5" w:rsidP="00EC61F5">
      <w:pPr>
        <w:pStyle w:val="Blanc"/>
      </w:pPr>
    </w:p>
    <w:p w:rsidR="00AA2BE3" w:rsidRPr="007D1EF7" w:rsidRDefault="0091532E" w:rsidP="0091532E">
      <w:pPr>
        <w:pStyle w:val="Equation"/>
        <w:rPr>
          <w:lang w:val="en-US"/>
        </w:rPr>
      </w:pPr>
      <w:r w:rsidRPr="007D1EF7">
        <w:rPr>
          <w:lang w:val="en-US"/>
        </w:rPr>
        <w:tab/>
      </w:r>
      <w:r w:rsidRPr="007D1EF7">
        <w:rPr>
          <w:lang w:val="en-US"/>
        </w:rPr>
        <w:tab/>
      </w:r>
      <w:r w:rsidR="00AA2BE3" w:rsidRPr="007D1EF7">
        <w:rPr>
          <w:lang w:val="en-US"/>
        </w:rPr>
        <w:t>Long-term interference=1048/4.032 10</w:t>
      </w:r>
      <w:r w:rsidR="00AA2BE3" w:rsidRPr="007D1EF7">
        <w:rPr>
          <w:vertAlign w:val="superscript"/>
          <w:lang w:val="en-US"/>
        </w:rPr>
        <w:t>7</w:t>
      </w:r>
      <w:r w:rsidR="00AA2BE3" w:rsidRPr="007D1EF7">
        <w:rPr>
          <w:lang w:val="en-US"/>
        </w:rPr>
        <w:t xml:space="preserve"> =2.5992 10</w:t>
      </w:r>
      <w:r w:rsidR="00AA2BE3" w:rsidRPr="007D1EF7">
        <w:rPr>
          <w:vertAlign w:val="superscript"/>
          <w:lang w:val="en-US"/>
        </w:rPr>
        <w:t>-5</w:t>
      </w:r>
    </w:p>
    <w:p w:rsidR="00EC61F5" w:rsidRDefault="00EC61F5" w:rsidP="00EC61F5">
      <w:pPr>
        <w:pStyle w:val="Blanc"/>
      </w:pPr>
    </w:p>
    <w:p w:rsidR="00AA2BE3" w:rsidRPr="007D1EF7" w:rsidRDefault="00AA2BE3" w:rsidP="00192341">
      <w:pPr>
        <w:rPr>
          <w:lang w:val="en-US"/>
        </w:rPr>
      </w:pPr>
      <w:r w:rsidRPr="007D1EF7">
        <w:rPr>
          <w:lang w:val="en-US"/>
        </w:rPr>
        <w:t>and the long-term availability will be:</w:t>
      </w:r>
    </w:p>
    <w:p w:rsidR="00EC61F5" w:rsidRDefault="00EC61F5" w:rsidP="00EC61F5">
      <w:pPr>
        <w:pStyle w:val="Blanc"/>
      </w:pPr>
    </w:p>
    <w:p w:rsidR="00AA2BE3" w:rsidRPr="007D1EF7" w:rsidRDefault="0091532E" w:rsidP="0091532E">
      <w:pPr>
        <w:pStyle w:val="Equation"/>
        <w:rPr>
          <w:lang w:val="en-US"/>
        </w:rPr>
      </w:pPr>
      <w:r w:rsidRPr="007D1EF7">
        <w:rPr>
          <w:lang w:val="en-US"/>
        </w:rPr>
        <w:tab/>
      </w:r>
      <w:r w:rsidRPr="007D1EF7">
        <w:rPr>
          <w:lang w:val="en-US"/>
        </w:rPr>
        <w:tab/>
      </w:r>
      <w:r w:rsidR="00AA2BE3" w:rsidRPr="007D1EF7">
        <w:rPr>
          <w:lang w:val="en-US"/>
        </w:rPr>
        <w:t>Long-term availability= 1-2.5992 10</w:t>
      </w:r>
      <w:r w:rsidR="00AA2BE3" w:rsidRPr="007D1EF7">
        <w:rPr>
          <w:vertAlign w:val="superscript"/>
          <w:lang w:val="en-US"/>
        </w:rPr>
        <w:t>−5</w:t>
      </w:r>
      <w:r w:rsidR="00AA2BE3" w:rsidRPr="007D1EF7">
        <w:rPr>
          <w:lang w:val="en-US"/>
        </w:rPr>
        <w:t xml:space="preserve"> = 0.999974 = 99.9974%</w:t>
      </w:r>
    </w:p>
    <w:p w:rsidR="00AA2BE3" w:rsidRPr="007D1EF7" w:rsidRDefault="00AA2BE3" w:rsidP="00AA2BE3">
      <w:pPr>
        <w:pStyle w:val="FigureNo"/>
        <w:rPr>
          <w:lang w:val="en-US"/>
        </w:rPr>
      </w:pPr>
      <w:r w:rsidRPr="007D1EF7">
        <w:rPr>
          <w:lang w:val="en-US"/>
        </w:rPr>
        <w:lastRenderedPageBreak/>
        <w:t>Figure A5-5</w:t>
      </w:r>
    </w:p>
    <w:p w:rsidR="00AA2BE3" w:rsidRPr="007D1EF7" w:rsidRDefault="00AA2BE3" w:rsidP="00AA2BE3">
      <w:pPr>
        <w:pStyle w:val="Figuretitle"/>
        <w:rPr>
          <w:lang w:val="en-US"/>
        </w:rPr>
      </w:pPr>
      <w:r w:rsidRPr="007D1EF7">
        <w:rPr>
          <w:lang w:val="en-US"/>
        </w:rPr>
        <w:t>PSD produced by an omni-directional transmission of 34 dBi</w:t>
      </w:r>
    </w:p>
    <w:p w:rsidR="00AA2BE3" w:rsidRPr="006C2078" w:rsidRDefault="00AA2BE3" w:rsidP="0091532E">
      <w:pPr>
        <w:pStyle w:val="Figure"/>
      </w:pPr>
      <w:r>
        <w:rPr>
          <w:noProof/>
          <w:lang w:val="en-US" w:eastAsia="zh-CN"/>
        </w:rPr>
        <w:drawing>
          <wp:inline distT="0" distB="0" distL="0" distR="0">
            <wp:extent cx="3387090" cy="2544445"/>
            <wp:effectExtent l="1905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3387090" cy="2544445"/>
                    </a:xfrm>
                    <a:prstGeom prst="rect">
                      <a:avLst/>
                    </a:prstGeom>
                    <a:noFill/>
                    <a:ln w="9525">
                      <a:noFill/>
                      <a:miter lim="800000"/>
                      <a:headEnd/>
                      <a:tailEnd/>
                    </a:ln>
                  </pic:spPr>
                </pic:pic>
              </a:graphicData>
            </a:graphic>
          </wp:inline>
        </w:drawing>
      </w:r>
    </w:p>
    <w:p w:rsidR="00A47FF8" w:rsidRDefault="00A47FF8" w:rsidP="00A47FF8"/>
    <w:p w:rsidR="00EC61F5" w:rsidRDefault="00EC61F5" w:rsidP="00A47FF8"/>
    <w:p w:rsidR="00A47FF8" w:rsidRDefault="00A47FF8" w:rsidP="00A47FF8"/>
    <w:p w:rsidR="00AA2BE3" w:rsidRPr="007D1EF7" w:rsidRDefault="00AA2BE3" w:rsidP="00AA2BE3">
      <w:pPr>
        <w:pStyle w:val="FigureNo"/>
        <w:rPr>
          <w:lang w:val="en-US"/>
        </w:rPr>
      </w:pPr>
      <w:r w:rsidRPr="007D1EF7">
        <w:rPr>
          <w:lang w:val="en-US"/>
        </w:rPr>
        <w:t>Figure A5-6</w:t>
      </w:r>
    </w:p>
    <w:p w:rsidR="00AA2BE3" w:rsidRPr="007D1EF7" w:rsidRDefault="00AA2BE3" w:rsidP="0091532E">
      <w:pPr>
        <w:pStyle w:val="Figuretitle"/>
        <w:rPr>
          <w:lang w:val="en-US"/>
        </w:rPr>
      </w:pPr>
      <w:r w:rsidRPr="007D1EF7">
        <w:rPr>
          <w:lang w:val="en-US"/>
        </w:rPr>
        <w:t>HIBLEO-2 antenna off-axis angles, deg</w:t>
      </w:r>
      <w:r w:rsidR="0091532E" w:rsidRPr="007D1EF7">
        <w:rPr>
          <w:lang w:val="en-US"/>
        </w:rPr>
        <w:t>rees</w:t>
      </w:r>
      <w:r w:rsidRPr="007D1EF7">
        <w:rPr>
          <w:lang w:val="en-US"/>
        </w:rPr>
        <w:t xml:space="preserve"> (ascending and descending nodes) 40&gt;red&lt;60&gt;magenta&lt;80&gt;yellow&lt;100&gt;green&lt;120&gt;blue&lt;140&gt;black&lt;160&gt;white</w:t>
      </w:r>
    </w:p>
    <w:p w:rsidR="00AA2BE3" w:rsidRPr="007D1EF7" w:rsidRDefault="00AA2BE3" w:rsidP="00AA2BE3">
      <w:pPr>
        <w:pStyle w:val="Figure"/>
        <w:rPr>
          <w:lang w:val="en-US"/>
        </w:rPr>
      </w:pPr>
      <w:r w:rsidRPr="007D1EF7">
        <w:rPr>
          <w:lang w:val="en-US"/>
        </w:rPr>
        <w:t xml:space="preserve">    </w:t>
      </w:r>
      <w:r w:rsidR="005C47FE">
        <w:rPr>
          <w:caps w:val="0"/>
          <w:noProof/>
          <w:lang w:val="en-US" w:eastAsia="zh-CN"/>
        </w:rPr>
        <w:drawing>
          <wp:inline distT="0" distB="0" distL="0" distR="0">
            <wp:extent cx="5334000" cy="194310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srcRect/>
                    <a:stretch>
                      <a:fillRect/>
                    </a:stretch>
                  </pic:blipFill>
                  <pic:spPr bwMode="auto">
                    <a:xfrm>
                      <a:off x="0" y="0"/>
                      <a:ext cx="5334000" cy="1943100"/>
                    </a:xfrm>
                    <a:prstGeom prst="rect">
                      <a:avLst/>
                    </a:prstGeom>
                    <a:noFill/>
                    <a:ln w="9525">
                      <a:noFill/>
                      <a:miter lim="800000"/>
                      <a:headEnd/>
                      <a:tailEnd/>
                    </a:ln>
                  </pic:spPr>
                </pic:pic>
              </a:graphicData>
            </a:graphic>
          </wp:inline>
        </w:drawing>
      </w:r>
    </w:p>
    <w:p w:rsidR="00A47FF8" w:rsidRPr="007D1EF7" w:rsidRDefault="00A47FF8" w:rsidP="00A47FF8">
      <w:pPr>
        <w:rPr>
          <w:lang w:val="en-US"/>
        </w:rPr>
      </w:pPr>
    </w:p>
    <w:p w:rsidR="00AA2BE3" w:rsidRPr="007D1EF7" w:rsidRDefault="00AA2BE3" w:rsidP="00AA2BE3">
      <w:pPr>
        <w:pStyle w:val="Heading2"/>
        <w:rPr>
          <w:lang w:val="en-US"/>
        </w:rPr>
      </w:pPr>
      <w:bookmarkStart w:id="74" w:name="_Toc277668636"/>
      <w:r w:rsidRPr="007D1EF7">
        <w:rPr>
          <w:lang w:val="en-US"/>
        </w:rPr>
        <w:t>4.3</w:t>
      </w:r>
      <w:r w:rsidRPr="007D1EF7">
        <w:rPr>
          <w:lang w:val="en-US"/>
        </w:rPr>
        <w:tab/>
        <w:t>Part I conclusions</w:t>
      </w:r>
      <w:bookmarkEnd w:id="74"/>
    </w:p>
    <w:p w:rsidR="00AA2BE3" w:rsidRPr="007D1EF7" w:rsidRDefault="00AA2BE3" w:rsidP="0091532E">
      <w:pPr>
        <w:rPr>
          <w:lang w:val="en-US"/>
        </w:rPr>
      </w:pPr>
      <w:r w:rsidRPr="007D1EF7">
        <w:rPr>
          <w:lang w:val="en-US"/>
        </w:rPr>
        <w:t>Part I has shown a general methodology for deterministic simulations of interference between SRS ES transmitting to the Moon into the ISS links of a representative non-GSO system that will be applied in Part II for the Moon and Part III for the L2 scenarios. Since the interfering events on the cross</w:t>
      </w:r>
      <w:r w:rsidRPr="007D1EF7">
        <w:rPr>
          <w:lang w:val="en-US"/>
        </w:rPr>
        <w:noBreakHyphen/>
        <w:t>links are a smaller subset of the interfering events on the forward-links, the scenario previously described for the forward-links will be the only one to be analy</w:t>
      </w:r>
      <w:r w:rsidR="0091532E" w:rsidRPr="007D1EF7">
        <w:rPr>
          <w:lang w:val="en-US"/>
        </w:rPr>
        <w:t>z</w:t>
      </w:r>
      <w:r w:rsidRPr="007D1EF7">
        <w:rPr>
          <w:lang w:val="en-US"/>
        </w:rPr>
        <w:t>ed.</w:t>
      </w:r>
    </w:p>
    <w:p w:rsidR="00AA2BE3" w:rsidRPr="007D1EF7" w:rsidRDefault="00AA2BE3" w:rsidP="00192341">
      <w:pPr>
        <w:rPr>
          <w:caps/>
          <w:sz w:val="28"/>
          <w:lang w:val="en-US"/>
        </w:rPr>
      </w:pPr>
    </w:p>
    <w:p w:rsidR="0091532E" w:rsidRPr="007D1EF7" w:rsidRDefault="0091532E">
      <w:pPr>
        <w:tabs>
          <w:tab w:val="clear" w:pos="794"/>
          <w:tab w:val="clear" w:pos="1191"/>
          <w:tab w:val="clear" w:pos="1588"/>
          <w:tab w:val="clear" w:pos="1985"/>
        </w:tabs>
        <w:overflowPunct/>
        <w:autoSpaceDE/>
        <w:autoSpaceDN/>
        <w:adjustRightInd/>
        <w:spacing w:before="0"/>
        <w:jc w:val="left"/>
        <w:textAlignment w:val="auto"/>
        <w:rPr>
          <w:sz w:val="28"/>
          <w:lang w:val="en-US"/>
        </w:rPr>
      </w:pPr>
      <w:r w:rsidRPr="007D1EF7">
        <w:rPr>
          <w:lang w:val="en-US"/>
        </w:rPr>
        <w:br w:type="page"/>
      </w:r>
    </w:p>
    <w:p w:rsidR="00AA2BE3" w:rsidRPr="007D1EF7" w:rsidRDefault="00AA2BE3" w:rsidP="00AA2BE3">
      <w:pPr>
        <w:pStyle w:val="PartNo"/>
        <w:rPr>
          <w:lang w:val="en-US"/>
        </w:rPr>
      </w:pPr>
      <w:bookmarkStart w:id="75" w:name="_Toc277668637"/>
      <w:r w:rsidRPr="007D1EF7">
        <w:rPr>
          <w:lang w:val="en-US"/>
        </w:rPr>
        <w:lastRenderedPageBreak/>
        <w:t>PART II</w:t>
      </w:r>
      <w:bookmarkEnd w:id="75"/>
    </w:p>
    <w:p w:rsidR="00AA2BE3" w:rsidRPr="007D1EF7" w:rsidRDefault="00AA2BE3" w:rsidP="00AA2BE3">
      <w:pPr>
        <w:pStyle w:val="Parttitle"/>
        <w:rPr>
          <w:lang w:val="en-US"/>
        </w:rPr>
      </w:pPr>
      <w:r w:rsidRPr="007D1EF7">
        <w:rPr>
          <w:lang w:val="en-US"/>
        </w:rPr>
        <w:t>In-band sharing simulation results for the Moon scenario</w:t>
      </w:r>
    </w:p>
    <w:p w:rsidR="00AA2BE3" w:rsidRPr="007D1EF7" w:rsidRDefault="00AA2BE3" w:rsidP="00AA2BE3">
      <w:pPr>
        <w:pStyle w:val="Heading1"/>
        <w:rPr>
          <w:lang w:val="en-US"/>
        </w:rPr>
      </w:pPr>
      <w:bookmarkStart w:id="76" w:name="_Toc277668638"/>
      <w:r w:rsidRPr="007D1EF7">
        <w:rPr>
          <w:lang w:val="en-US"/>
        </w:rPr>
        <w:t>5</w:t>
      </w:r>
      <w:r w:rsidRPr="007D1EF7">
        <w:rPr>
          <w:lang w:val="en-US"/>
        </w:rPr>
        <w:tab/>
        <w:t>Introduction</w:t>
      </w:r>
      <w:bookmarkEnd w:id="76"/>
    </w:p>
    <w:p w:rsidR="00AA2BE3" w:rsidRPr="007D1EF7" w:rsidRDefault="00AA2BE3" w:rsidP="00AA2BE3">
      <w:pPr>
        <w:rPr>
          <w:strike/>
          <w:lang w:val="en-US"/>
        </w:rPr>
      </w:pPr>
      <w:r w:rsidRPr="007D1EF7">
        <w:rPr>
          <w:lang w:val="en-US"/>
        </w:rPr>
        <w:t xml:space="preserve">In this Part II results for the simulations described in Part I when applied to the Moon scenario will be given. Table 1a and Table 1b of main body of the report, </w:t>
      </w:r>
      <w:r w:rsidRPr="007D1EF7">
        <w:rPr>
          <w:bCs/>
          <w:lang w:val="en-US"/>
        </w:rPr>
        <w:t>contain the SRS and the ISS systems characteristics</w:t>
      </w:r>
      <w:r w:rsidRPr="007D1EF7">
        <w:rPr>
          <w:lang w:val="en-US"/>
        </w:rPr>
        <w:t xml:space="preserve"> which have been used</w:t>
      </w:r>
    </w:p>
    <w:p w:rsidR="00AA2BE3" w:rsidRPr="007D1EF7" w:rsidRDefault="00AA2BE3" w:rsidP="0091532E">
      <w:pPr>
        <w:jc w:val="center"/>
        <w:rPr>
          <w:rFonts w:ascii="Times New Roman Bold" w:hAnsi="Times New Roman Bold"/>
          <w:caps/>
          <w:lang w:val="en-US"/>
        </w:rPr>
      </w:pPr>
      <w:r w:rsidRPr="007D1EF7">
        <w:rPr>
          <w:rFonts w:ascii="Times New Roman Bold" w:hAnsi="Times New Roman Bold"/>
          <w:caps/>
          <w:lang w:val="en-US"/>
        </w:rPr>
        <w:t>Worst-case scenario of SRS ES interference transmitting</w:t>
      </w:r>
      <w:r w:rsidRPr="007D1EF7">
        <w:rPr>
          <w:rFonts w:ascii="Times New Roman Bold" w:hAnsi="Times New Roman Bold"/>
          <w:caps/>
          <w:lang w:val="en-US"/>
        </w:rPr>
        <w:br/>
        <w:t>to the Moon into HIBLEO-2 forward-links</w:t>
      </w:r>
    </w:p>
    <w:p w:rsidR="00AA2BE3" w:rsidRPr="007D1EF7" w:rsidRDefault="00AA2BE3" w:rsidP="0091532E">
      <w:pPr>
        <w:jc w:val="center"/>
        <w:rPr>
          <w:b/>
          <w:bCs/>
          <w:lang w:val="en-US"/>
        </w:rPr>
      </w:pPr>
      <w:r w:rsidRPr="007D1EF7">
        <w:rPr>
          <w:b/>
          <w:bCs/>
          <w:lang w:val="en-US"/>
        </w:rPr>
        <w:t>MOON CASE 1</w:t>
      </w:r>
    </w:p>
    <w:p w:rsidR="00AA2BE3" w:rsidRPr="007D1EF7" w:rsidRDefault="00AA2BE3" w:rsidP="0091532E">
      <w:pPr>
        <w:jc w:val="center"/>
        <w:rPr>
          <w:b/>
          <w:bCs/>
          <w:lang w:val="en-US"/>
        </w:rPr>
      </w:pPr>
      <w:r w:rsidRPr="007D1EF7">
        <w:rPr>
          <w:b/>
          <w:bCs/>
          <w:lang w:val="en-US"/>
        </w:rPr>
        <w:t>(–59.7 dB(W/Hz) input to a 18 m SRS ES)</w:t>
      </w:r>
    </w:p>
    <w:p w:rsidR="00AA2BE3" w:rsidRPr="007D1EF7" w:rsidRDefault="00AA2BE3" w:rsidP="00EB0992">
      <w:pPr>
        <w:rPr>
          <w:lang w:val="en-US"/>
        </w:rPr>
      </w:pPr>
      <w:r w:rsidRPr="007D1EF7">
        <w:rPr>
          <w:lang w:val="en-US"/>
        </w:rPr>
        <w:t xml:space="preserve">The same simulations approaches taken previously in </w:t>
      </w:r>
      <w:r w:rsidR="00EB0992" w:rsidRPr="007D1EF7">
        <w:rPr>
          <w:lang w:val="en-US"/>
        </w:rPr>
        <w:t>§</w:t>
      </w:r>
      <w:r w:rsidRPr="007D1EF7">
        <w:rPr>
          <w:lang w:val="en-US"/>
        </w:rPr>
        <w:t xml:space="preserve"> 3 </w:t>
      </w:r>
      <w:r w:rsidR="009872B6" w:rsidRPr="007D1EF7">
        <w:rPr>
          <w:lang w:val="en-US"/>
        </w:rPr>
        <w:t>“</w:t>
      </w:r>
      <w:r w:rsidRPr="007D1EF7">
        <w:rPr>
          <w:lang w:val="en-US"/>
        </w:rPr>
        <w:t>SRS ES interference into HIBLEO-2 forward-links</w:t>
      </w:r>
      <w:r w:rsidR="009872B6" w:rsidRPr="007D1EF7">
        <w:rPr>
          <w:lang w:val="en-US"/>
        </w:rPr>
        <w:t>”</w:t>
      </w:r>
      <w:r w:rsidRPr="007D1EF7">
        <w:rPr>
          <w:lang w:val="en-US"/>
        </w:rPr>
        <w:t xml:space="preserve"> will be exercised now with a few parameters changes. Thus the previous PSD of </w:t>
      </w:r>
      <w:r w:rsidR="00DC4C77">
        <w:fldChar w:fldCharType="begin"/>
      </w:r>
      <w:r w:rsidR="00EB0992" w:rsidRPr="007D1EF7">
        <w:rPr>
          <w:lang w:val="en-US"/>
        </w:rPr>
        <w:instrText xml:space="preserve"> EQ  –47.9 dB(W/Hz)</w:instrText>
      </w:r>
      <w:r w:rsidR="00DC4C77">
        <w:fldChar w:fldCharType="end"/>
      </w:r>
      <w:r w:rsidRPr="007D1EF7">
        <w:rPr>
          <w:lang w:val="en-US"/>
        </w:rPr>
        <w:t xml:space="preserve"> into the SRS ES antenna will now be changed to –59.7 dB(W/Hz). Also, as indicated above, the Moon’s orbital parameters used previously (see </w:t>
      </w:r>
      <w:r w:rsidR="0091532E" w:rsidRPr="007D1EF7">
        <w:rPr>
          <w:lang w:val="en-US"/>
        </w:rPr>
        <w:t>§</w:t>
      </w:r>
      <w:r w:rsidRPr="007D1EF7">
        <w:rPr>
          <w:lang w:val="en-US"/>
        </w:rPr>
        <w:t xml:space="preserve"> 2.3 </w:t>
      </w:r>
      <w:r w:rsidR="009872B6" w:rsidRPr="007D1EF7">
        <w:rPr>
          <w:lang w:val="en-US"/>
        </w:rPr>
        <w:t>“</w:t>
      </w:r>
      <w:r w:rsidRPr="007D1EF7">
        <w:rPr>
          <w:lang w:val="en-US"/>
        </w:rPr>
        <w:t>The Moon</w:t>
      </w:r>
      <w:r w:rsidR="009872B6" w:rsidRPr="007D1EF7">
        <w:rPr>
          <w:lang w:val="en-US"/>
        </w:rPr>
        <w:t>”</w:t>
      </w:r>
      <w:r w:rsidRPr="007D1EF7">
        <w:rPr>
          <w:lang w:val="en-US"/>
        </w:rPr>
        <w:t>) were changed to a RAAN = 196.5</w:t>
      </w:r>
      <w:r w:rsidR="0091532E" w:rsidRPr="007D1EF7">
        <w:rPr>
          <w:lang w:val="en-US"/>
        </w:rPr>
        <w:t>°</w:t>
      </w:r>
      <w:r w:rsidRPr="007D1EF7">
        <w:rPr>
          <w:lang w:val="en-US"/>
        </w:rPr>
        <w:t xml:space="preserve"> and to an argument of latitude of 27.7</w:t>
      </w:r>
      <w:r w:rsidR="0091532E" w:rsidRPr="007D1EF7">
        <w:rPr>
          <w:lang w:val="en-US"/>
        </w:rPr>
        <w:t>°</w:t>
      </w:r>
      <w:r w:rsidRPr="007D1EF7">
        <w:rPr>
          <w:lang w:val="en-US"/>
        </w:rPr>
        <w:t xml:space="preserve"> Also the HIBLEO-2 constellation parameters described in </w:t>
      </w:r>
      <w:r w:rsidR="0091532E" w:rsidRPr="007D1EF7">
        <w:rPr>
          <w:lang w:val="en-US"/>
        </w:rPr>
        <w:t>§</w:t>
      </w:r>
      <w:r w:rsidRPr="007D1EF7">
        <w:rPr>
          <w:lang w:val="en-US"/>
        </w:rPr>
        <w:t xml:space="preserve"> 2.2 were slightly modified to a RAAN = 101.512</w:t>
      </w:r>
      <w:r w:rsidR="0091532E" w:rsidRPr="007D1EF7">
        <w:rPr>
          <w:lang w:val="en-US"/>
        </w:rPr>
        <w:t>°</w:t>
      </w:r>
      <w:r w:rsidRPr="007D1EF7">
        <w:rPr>
          <w:lang w:val="en-US"/>
        </w:rPr>
        <w:t xml:space="preserve"> and to an argument of latitude of –87.5</w:t>
      </w:r>
      <w:r w:rsidR="0091532E" w:rsidRPr="007D1EF7">
        <w:rPr>
          <w:lang w:val="en-US"/>
        </w:rPr>
        <w:t>°</w:t>
      </w:r>
      <w:r w:rsidRPr="007D1EF7">
        <w:rPr>
          <w:lang w:val="en-US"/>
        </w:rPr>
        <w:t>. These modifications assured a worst</w:t>
      </w:r>
      <w:r w:rsidRPr="007D1EF7">
        <w:rPr>
          <w:lang w:val="en-US"/>
        </w:rPr>
        <w:noBreakHyphen/>
        <w:t>case scenario of interference in which some of the interfering events were due to the SRS ES main-beam-to-HIBLEO-2 main-beam coupling as it is apparent on Table A5-3 that summarize the results for 3 full Moon periods of 84</w:t>
      </w:r>
      <w:r w:rsidR="00EB0992" w:rsidRPr="007D1EF7">
        <w:rPr>
          <w:lang w:val="en-US"/>
        </w:rPr>
        <w:t> </w:t>
      </w:r>
      <w:r w:rsidRPr="007D1EF7">
        <w:rPr>
          <w:lang w:val="en-US"/>
        </w:rPr>
        <w:t>days (i.e. see Table A5-3, column under 26 759 m).</w:t>
      </w:r>
    </w:p>
    <w:p w:rsidR="00AA2BE3" w:rsidRPr="007D1EF7" w:rsidRDefault="00AA2BE3" w:rsidP="0091532E">
      <w:pPr>
        <w:pStyle w:val="Heading1"/>
        <w:rPr>
          <w:lang w:val="en-US"/>
        </w:rPr>
      </w:pPr>
      <w:bookmarkStart w:id="77" w:name="_Toc277668639"/>
      <w:r w:rsidRPr="007D1EF7">
        <w:rPr>
          <w:lang w:val="en-US"/>
        </w:rPr>
        <w:t>6</w:t>
      </w:r>
      <w:r w:rsidRPr="007D1EF7">
        <w:rPr>
          <w:lang w:val="en-US"/>
        </w:rPr>
        <w:tab/>
        <w:t xml:space="preserve">Interference events on the Moon scenario as a function of </w:t>
      </w:r>
      <w:r w:rsidRPr="007D1EF7">
        <w:rPr>
          <w:i/>
          <w:iCs/>
          <w:lang w:val="en-US"/>
        </w:rPr>
        <w:t>I</w:t>
      </w:r>
      <w:r w:rsidRPr="007D1EF7">
        <w:rPr>
          <w:lang w:val="en-US"/>
        </w:rPr>
        <w:t>/</w:t>
      </w:r>
      <w:r w:rsidRPr="007D1EF7">
        <w:rPr>
          <w:i/>
          <w:iCs/>
          <w:lang w:val="en-US"/>
        </w:rPr>
        <w:t>N</w:t>
      </w:r>
      <w:r w:rsidR="0091532E" w:rsidRPr="007D1EF7">
        <w:rPr>
          <w:rFonts w:ascii="Times New Roman Bold" w:hAnsi="Times New Roman Bold" w:cs="Times New Roman Bold"/>
          <w:bCs/>
          <w:vertAlign w:val="subscript"/>
          <w:lang w:val="en-US"/>
        </w:rPr>
        <w:t>0</w:t>
      </w:r>
      <w:bookmarkEnd w:id="77"/>
    </w:p>
    <w:p w:rsidR="00AA2BE3" w:rsidRPr="007D1EF7" w:rsidRDefault="00AA2BE3" w:rsidP="0091532E">
      <w:pPr>
        <w:rPr>
          <w:strike/>
          <w:lang w:val="en-US"/>
        </w:rPr>
      </w:pPr>
      <w:r w:rsidRPr="007D1EF7">
        <w:rPr>
          <w:lang w:val="en-US"/>
        </w:rPr>
        <w:t xml:space="preserve">Analysis and results previously presented have been referred to the maximum interference PSD of </w:t>
      </w:r>
      <w:r w:rsidR="00DC4C77">
        <w:fldChar w:fldCharType="begin"/>
      </w:r>
      <w:r w:rsidR="0091532E" w:rsidRPr="007D1EF7">
        <w:rPr>
          <w:lang w:val="en-US"/>
        </w:rPr>
        <w:instrText xml:space="preserve"> EQ  –202.5 dB(W/Hz)</w:instrText>
      </w:r>
      <w:r w:rsidR="00DC4C77">
        <w:fldChar w:fldCharType="end"/>
      </w:r>
      <w:r w:rsidRPr="007D1EF7">
        <w:rPr>
          <w:lang w:val="en-US"/>
        </w:rPr>
        <w:t xml:space="preserve"> which is equivalent to an Interference-to-Noise power of </w:t>
      </w:r>
      <w:r w:rsidRPr="007D1EF7">
        <w:rPr>
          <w:i/>
          <w:iCs/>
          <w:lang w:val="en-US"/>
        </w:rPr>
        <w:t>I</w:t>
      </w:r>
      <w:r w:rsidRPr="007D1EF7">
        <w:rPr>
          <w:lang w:val="en-US"/>
        </w:rPr>
        <w:t>/</w:t>
      </w:r>
      <w:r w:rsidRPr="007D1EF7">
        <w:rPr>
          <w:i/>
          <w:iCs/>
          <w:lang w:val="en-US"/>
        </w:rPr>
        <w:t>N</w:t>
      </w:r>
      <w:r w:rsidRPr="007D1EF7">
        <w:rPr>
          <w:vertAlign w:val="subscript"/>
          <w:lang w:val="en-US"/>
        </w:rPr>
        <w:t>0</w:t>
      </w:r>
      <w:r w:rsidRPr="007D1EF7">
        <w:rPr>
          <w:lang w:val="en-US"/>
        </w:rPr>
        <w:t xml:space="preserve"> = –2.5 dB in the receivers of the inter-satellite links analy</w:t>
      </w:r>
      <w:r w:rsidR="0091532E" w:rsidRPr="007D1EF7">
        <w:rPr>
          <w:lang w:val="en-US"/>
        </w:rPr>
        <w:t>z</w:t>
      </w:r>
      <w:r w:rsidRPr="007D1EF7">
        <w:rPr>
          <w:lang w:val="en-US"/>
        </w:rPr>
        <w:t>ed.</w:t>
      </w:r>
    </w:p>
    <w:p w:rsidR="00AA2BE3" w:rsidRPr="007D1EF7" w:rsidRDefault="00AA2BE3" w:rsidP="0091532E">
      <w:pPr>
        <w:rPr>
          <w:lang w:val="en-US"/>
        </w:rPr>
      </w:pPr>
      <w:r w:rsidRPr="007D1EF7">
        <w:rPr>
          <w:lang w:val="en-US"/>
        </w:rPr>
        <w:t xml:space="preserve">More stringent requirements on this </w:t>
      </w:r>
      <w:r w:rsidRPr="007D1EF7">
        <w:rPr>
          <w:i/>
          <w:iCs/>
          <w:lang w:val="en-US"/>
        </w:rPr>
        <w:t>I</w:t>
      </w:r>
      <w:r w:rsidRPr="007D1EF7">
        <w:rPr>
          <w:lang w:val="en-US"/>
        </w:rPr>
        <w:t>/</w:t>
      </w:r>
      <w:r w:rsidRPr="007D1EF7">
        <w:rPr>
          <w:i/>
          <w:iCs/>
          <w:lang w:val="en-US"/>
        </w:rPr>
        <w:t>N</w:t>
      </w:r>
      <w:r w:rsidRPr="007D1EF7">
        <w:rPr>
          <w:vertAlign w:val="subscript"/>
          <w:lang w:val="en-US"/>
        </w:rPr>
        <w:t>0</w:t>
      </w:r>
      <w:r w:rsidRPr="007D1EF7">
        <w:rPr>
          <w:lang w:val="en-US"/>
        </w:rPr>
        <w:t xml:space="preserve"> are being or have been proposed; therefore the question as what would be the availability results for these new </w:t>
      </w:r>
      <w:r w:rsidRPr="007D1EF7">
        <w:rPr>
          <w:i/>
          <w:iCs/>
          <w:lang w:val="en-US"/>
        </w:rPr>
        <w:t>I</w:t>
      </w:r>
      <w:r w:rsidRPr="007D1EF7">
        <w:rPr>
          <w:lang w:val="en-US"/>
        </w:rPr>
        <w:t>/</w:t>
      </w:r>
      <w:r w:rsidRPr="007D1EF7">
        <w:rPr>
          <w:i/>
          <w:iCs/>
          <w:lang w:val="en-US"/>
        </w:rPr>
        <w:t>N</w:t>
      </w:r>
      <w:r w:rsidRPr="007D1EF7">
        <w:rPr>
          <w:vertAlign w:val="subscript"/>
          <w:lang w:val="en-US"/>
        </w:rPr>
        <w:t>0</w:t>
      </w:r>
      <w:r w:rsidRPr="007D1EF7">
        <w:rPr>
          <w:lang w:val="en-US"/>
        </w:rPr>
        <w:t xml:space="preserve"> values have to be answered. Since these proposed values have not yet been confirmed, values from </w:t>
      </w:r>
      <w:r w:rsidRPr="007D1EF7">
        <w:rPr>
          <w:i/>
          <w:iCs/>
          <w:lang w:val="en-US"/>
        </w:rPr>
        <w:t>I</w:t>
      </w:r>
      <w:r w:rsidRPr="007D1EF7">
        <w:rPr>
          <w:lang w:val="en-US"/>
        </w:rPr>
        <w:t>/</w:t>
      </w:r>
      <w:r w:rsidRPr="007D1EF7">
        <w:rPr>
          <w:i/>
          <w:iCs/>
          <w:lang w:val="en-US"/>
        </w:rPr>
        <w:t>N</w:t>
      </w:r>
      <w:r w:rsidRPr="007D1EF7">
        <w:rPr>
          <w:vertAlign w:val="subscript"/>
          <w:lang w:val="en-US"/>
        </w:rPr>
        <w:t>0</w:t>
      </w:r>
      <w:r w:rsidRPr="007D1EF7">
        <w:rPr>
          <w:lang w:val="en-US"/>
        </w:rPr>
        <w:t xml:space="preserve"> = –2.5 dB (equivalent PSD of </w:t>
      </w:r>
      <w:r w:rsidR="00DC4C77">
        <w:fldChar w:fldCharType="begin"/>
      </w:r>
      <w:r w:rsidR="0091532E" w:rsidRPr="007D1EF7">
        <w:rPr>
          <w:lang w:val="en-US"/>
        </w:rPr>
        <w:instrText xml:space="preserve"> EQ  –202.5 dB(W/Hz))</w:instrText>
      </w:r>
      <w:r w:rsidR="00DC4C77">
        <w:fldChar w:fldCharType="end"/>
      </w:r>
      <w:r w:rsidRPr="007D1EF7">
        <w:rPr>
          <w:lang w:val="en-US"/>
        </w:rPr>
        <w:t xml:space="preserve"> to a </w:t>
      </w:r>
      <w:r w:rsidRPr="007D1EF7">
        <w:rPr>
          <w:i/>
          <w:iCs/>
          <w:lang w:val="en-US"/>
        </w:rPr>
        <w:t>I</w:t>
      </w:r>
      <w:r w:rsidRPr="007D1EF7">
        <w:rPr>
          <w:lang w:val="en-US"/>
        </w:rPr>
        <w:t>/</w:t>
      </w:r>
      <w:r w:rsidRPr="007D1EF7">
        <w:rPr>
          <w:i/>
          <w:iCs/>
          <w:lang w:val="en-US"/>
        </w:rPr>
        <w:t>N</w:t>
      </w:r>
      <w:r w:rsidRPr="007D1EF7">
        <w:rPr>
          <w:vertAlign w:val="subscript"/>
          <w:lang w:val="en-US"/>
        </w:rPr>
        <w:t>0</w:t>
      </w:r>
      <w:r w:rsidRPr="007D1EF7">
        <w:rPr>
          <w:lang w:val="en-US"/>
        </w:rPr>
        <w:t xml:space="preserve"> = –14.5 dB (equivalent PSD of –214.5 dB(W/Hz)) will be checked.</w:t>
      </w:r>
    </w:p>
    <w:p w:rsidR="00AA2BE3" w:rsidRPr="007D1EF7" w:rsidRDefault="00AA2BE3" w:rsidP="0091532E">
      <w:pPr>
        <w:rPr>
          <w:lang w:val="en-US"/>
        </w:rPr>
      </w:pPr>
      <w:r w:rsidRPr="007D1EF7">
        <w:rPr>
          <w:lang w:val="en-US"/>
        </w:rPr>
        <w:t>Since the interfering events on the cross-links are a subset of the interfering events on the forward</w:t>
      </w:r>
      <w:r w:rsidRPr="007D1EF7">
        <w:rPr>
          <w:lang w:val="en-US"/>
        </w:rPr>
        <w:noBreakHyphen/>
        <w:t>links as concluded in Part I, the scenario previously described for the forward-links will only be analy</w:t>
      </w:r>
      <w:r w:rsidR="0091532E" w:rsidRPr="007D1EF7">
        <w:rPr>
          <w:lang w:val="en-US"/>
        </w:rPr>
        <w:t>z</w:t>
      </w:r>
      <w:r w:rsidRPr="007D1EF7">
        <w:rPr>
          <w:lang w:val="en-US"/>
        </w:rPr>
        <w:t>ed.</w:t>
      </w:r>
    </w:p>
    <w:p w:rsidR="00AA2BE3" w:rsidRPr="007D1EF7" w:rsidRDefault="00AA2BE3" w:rsidP="0091532E">
      <w:pPr>
        <w:rPr>
          <w:lang w:val="en-US"/>
        </w:rPr>
      </w:pPr>
      <w:r w:rsidRPr="007D1EF7">
        <w:rPr>
          <w:lang w:val="en-US"/>
        </w:rPr>
        <w:t xml:space="preserve">Before giving a summary of the results obtained it should be noted that due to the smaller interference PSD of –214.5 dB(W/Hz), </w:t>
      </w:r>
      <w:r w:rsidRPr="007D1EF7">
        <w:rPr>
          <w:i/>
          <w:iCs/>
          <w:lang w:val="en-US"/>
        </w:rPr>
        <w:t>I</w:t>
      </w:r>
      <w:r w:rsidRPr="007D1EF7">
        <w:rPr>
          <w:lang w:val="en-US"/>
        </w:rPr>
        <w:t>/</w:t>
      </w:r>
      <w:r w:rsidRPr="007D1EF7">
        <w:rPr>
          <w:i/>
          <w:iCs/>
          <w:lang w:val="en-US"/>
        </w:rPr>
        <w:t>N</w:t>
      </w:r>
      <w:r w:rsidRPr="007D1EF7">
        <w:rPr>
          <w:vertAlign w:val="subscript"/>
          <w:lang w:val="en-US"/>
        </w:rPr>
        <w:t>0</w:t>
      </w:r>
      <w:r w:rsidRPr="007D1EF7">
        <w:rPr>
          <w:lang w:val="en-US"/>
        </w:rPr>
        <w:t xml:space="preserve"> = –14.5 dB, the minimum SRS ES gain (PSD of </w:t>
      </w:r>
      <w:r w:rsidR="00DC4C77">
        <w:fldChar w:fldCharType="begin"/>
      </w:r>
      <w:r w:rsidR="0091532E" w:rsidRPr="007D1EF7">
        <w:rPr>
          <w:lang w:val="en-US"/>
        </w:rPr>
        <w:instrText xml:space="preserve"> EQ  –59.7 dB(W/Hz)</w:instrText>
      </w:r>
      <w:r w:rsidR="00DC4C77">
        <w:fldChar w:fldCharType="end"/>
      </w:r>
      <w:r w:rsidRPr="007D1EF7">
        <w:rPr>
          <w:lang w:val="en-US"/>
        </w:rPr>
        <w:t xml:space="preserve"> at antenna input) that will produce this level of interference will approximately be of 8 dBi instead of the 20 dBi found in </w:t>
      </w:r>
      <w:r w:rsidR="0091532E" w:rsidRPr="007D1EF7">
        <w:rPr>
          <w:lang w:val="en-US"/>
        </w:rPr>
        <w:t>§</w:t>
      </w:r>
      <w:r w:rsidRPr="007D1EF7">
        <w:rPr>
          <w:lang w:val="en-US"/>
        </w:rPr>
        <w:t xml:space="preserve"> 3.1. This in turn will tend to increase the simulation time required as well as the number of days with interference larger than –214.5 dB(W/Hz).</w:t>
      </w:r>
    </w:p>
    <w:p w:rsidR="00AA2BE3" w:rsidRPr="007D1EF7" w:rsidRDefault="00AA2BE3" w:rsidP="00AA2BE3">
      <w:pPr>
        <w:rPr>
          <w:lang w:val="en-US"/>
        </w:rPr>
      </w:pPr>
      <w:r w:rsidRPr="007D1EF7">
        <w:rPr>
          <w:lang w:val="en-US"/>
        </w:rPr>
        <w:t>Table A5-3 is a very reduced set of interference results of the simulation for this scenario. Each row represents:</w:t>
      </w:r>
    </w:p>
    <w:p w:rsidR="00AA2BE3" w:rsidRPr="007D1EF7" w:rsidRDefault="0091532E" w:rsidP="00AA2BE3">
      <w:pPr>
        <w:pStyle w:val="enumlev1"/>
        <w:rPr>
          <w:lang w:val="en-US"/>
        </w:rPr>
      </w:pPr>
      <w:r w:rsidRPr="007D1EF7">
        <w:rPr>
          <w:lang w:val="en-US"/>
        </w:rPr>
        <w:t>1.</w:t>
      </w:r>
      <w:r w:rsidR="00AA2BE3" w:rsidRPr="007D1EF7">
        <w:rPr>
          <w:lang w:val="en-US"/>
        </w:rPr>
        <w:tab/>
      </w:r>
      <w:r w:rsidRPr="007D1EF7">
        <w:rPr>
          <w:lang w:val="en-US"/>
        </w:rPr>
        <w:tab/>
      </w:r>
      <w:r w:rsidR="00AA2BE3" w:rsidRPr="007D1EF7">
        <w:rPr>
          <w:lang w:val="en-US"/>
        </w:rPr>
        <w:t>time in minutes (epoch)</w:t>
      </w:r>
      <w:r w:rsidRPr="007D1EF7">
        <w:rPr>
          <w:lang w:val="en-US"/>
        </w:rPr>
        <w:t>;</w:t>
      </w:r>
    </w:p>
    <w:p w:rsidR="00AA2BE3" w:rsidRPr="007D1EF7" w:rsidRDefault="0091532E" w:rsidP="00AA2BE3">
      <w:pPr>
        <w:pStyle w:val="enumlev1"/>
        <w:rPr>
          <w:lang w:val="en-US"/>
        </w:rPr>
      </w:pPr>
      <w:r w:rsidRPr="007D1EF7">
        <w:rPr>
          <w:lang w:val="en-US"/>
        </w:rPr>
        <w:t>2.</w:t>
      </w:r>
      <w:r w:rsidR="00AA2BE3" w:rsidRPr="007D1EF7">
        <w:rPr>
          <w:lang w:val="en-US"/>
        </w:rPr>
        <w:tab/>
      </w:r>
      <w:r w:rsidRPr="007D1EF7">
        <w:rPr>
          <w:lang w:val="en-US"/>
        </w:rPr>
        <w:tab/>
      </w:r>
      <w:r w:rsidR="00AA2BE3" w:rsidRPr="007D1EF7">
        <w:rPr>
          <w:lang w:val="en-US"/>
        </w:rPr>
        <w:t>day number</w:t>
      </w:r>
      <w:r w:rsidRPr="007D1EF7">
        <w:rPr>
          <w:lang w:val="en-US"/>
        </w:rPr>
        <w:t>;</w:t>
      </w:r>
    </w:p>
    <w:p w:rsidR="00AA2BE3" w:rsidRPr="007D1EF7" w:rsidRDefault="0091532E" w:rsidP="00AA2BE3">
      <w:pPr>
        <w:pStyle w:val="enumlev1"/>
        <w:rPr>
          <w:lang w:val="en-US"/>
        </w:rPr>
      </w:pPr>
      <w:r w:rsidRPr="007D1EF7">
        <w:rPr>
          <w:lang w:val="en-US"/>
        </w:rPr>
        <w:t>3.</w:t>
      </w:r>
      <w:r w:rsidR="00AA2BE3" w:rsidRPr="007D1EF7">
        <w:rPr>
          <w:lang w:val="en-US"/>
        </w:rPr>
        <w:tab/>
      </w:r>
      <w:r w:rsidRPr="007D1EF7">
        <w:rPr>
          <w:lang w:val="en-US"/>
        </w:rPr>
        <w:tab/>
      </w:r>
      <w:r w:rsidR="00AA2BE3" w:rsidRPr="007D1EF7">
        <w:rPr>
          <w:lang w:val="en-US"/>
        </w:rPr>
        <w:t>PSD dB(W/Hz) at the HIBLEO-2 receiver</w:t>
      </w:r>
      <w:r w:rsidRPr="007D1EF7">
        <w:rPr>
          <w:lang w:val="en-US"/>
        </w:rPr>
        <w:t>;</w:t>
      </w:r>
    </w:p>
    <w:p w:rsidR="00AA2BE3" w:rsidRPr="007D1EF7" w:rsidRDefault="0091532E" w:rsidP="00AA2BE3">
      <w:pPr>
        <w:pStyle w:val="enumlev1"/>
        <w:rPr>
          <w:lang w:val="en-US"/>
        </w:rPr>
      </w:pPr>
      <w:r w:rsidRPr="007D1EF7">
        <w:rPr>
          <w:lang w:val="en-US"/>
        </w:rPr>
        <w:lastRenderedPageBreak/>
        <w:t>4.</w:t>
      </w:r>
      <w:r w:rsidR="00AA2BE3" w:rsidRPr="007D1EF7">
        <w:rPr>
          <w:lang w:val="en-US"/>
        </w:rPr>
        <w:tab/>
      </w:r>
      <w:r w:rsidRPr="007D1EF7">
        <w:rPr>
          <w:lang w:val="en-US"/>
        </w:rPr>
        <w:tab/>
      </w:r>
      <w:r w:rsidR="00AA2BE3" w:rsidRPr="007D1EF7">
        <w:rPr>
          <w:lang w:val="en-US"/>
        </w:rPr>
        <w:t>HIBLEO-2 plane number</w:t>
      </w:r>
      <w:r w:rsidRPr="007D1EF7">
        <w:rPr>
          <w:lang w:val="en-US"/>
        </w:rPr>
        <w:t>;</w:t>
      </w:r>
    </w:p>
    <w:p w:rsidR="00AA2BE3" w:rsidRPr="007D1EF7" w:rsidRDefault="0091532E" w:rsidP="00AA2BE3">
      <w:pPr>
        <w:pStyle w:val="enumlev1"/>
        <w:rPr>
          <w:lang w:val="en-US"/>
        </w:rPr>
      </w:pPr>
      <w:r w:rsidRPr="007D1EF7">
        <w:rPr>
          <w:lang w:val="en-US"/>
        </w:rPr>
        <w:t>5.</w:t>
      </w:r>
      <w:r w:rsidR="00AA2BE3" w:rsidRPr="007D1EF7">
        <w:rPr>
          <w:lang w:val="en-US"/>
        </w:rPr>
        <w:tab/>
      </w:r>
      <w:r w:rsidRPr="007D1EF7">
        <w:rPr>
          <w:lang w:val="en-US"/>
        </w:rPr>
        <w:tab/>
      </w:r>
      <w:r w:rsidR="00AA2BE3" w:rsidRPr="007D1EF7">
        <w:rPr>
          <w:lang w:val="en-US"/>
        </w:rPr>
        <w:t>HIBLEO-2 satellite number</w:t>
      </w:r>
      <w:r w:rsidRPr="007D1EF7">
        <w:rPr>
          <w:lang w:val="en-US"/>
        </w:rPr>
        <w:t>;</w:t>
      </w:r>
    </w:p>
    <w:p w:rsidR="00AA2BE3" w:rsidRPr="007D1EF7" w:rsidRDefault="0091532E" w:rsidP="00AA2BE3">
      <w:pPr>
        <w:pStyle w:val="enumlev1"/>
        <w:rPr>
          <w:lang w:val="en-US"/>
        </w:rPr>
      </w:pPr>
      <w:r w:rsidRPr="007D1EF7">
        <w:rPr>
          <w:lang w:val="en-US"/>
        </w:rPr>
        <w:t>6.</w:t>
      </w:r>
      <w:r w:rsidR="00AA2BE3" w:rsidRPr="007D1EF7">
        <w:rPr>
          <w:lang w:val="en-US"/>
        </w:rPr>
        <w:tab/>
      </w:r>
      <w:r w:rsidRPr="007D1EF7">
        <w:rPr>
          <w:lang w:val="en-US"/>
        </w:rPr>
        <w:tab/>
      </w:r>
      <w:r w:rsidR="00AA2BE3" w:rsidRPr="007D1EF7">
        <w:rPr>
          <w:lang w:val="en-US"/>
        </w:rPr>
        <w:t>HIBLEO-2 antenna gain (dBi)</w:t>
      </w:r>
      <w:r w:rsidRPr="007D1EF7">
        <w:rPr>
          <w:lang w:val="en-US"/>
        </w:rPr>
        <w:t>;</w:t>
      </w:r>
    </w:p>
    <w:p w:rsidR="00AA2BE3" w:rsidRPr="007D1EF7" w:rsidRDefault="0091532E" w:rsidP="00AA2BE3">
      <w:pPr>
        <w:pStyle w:val="enumlev1"/>
        <w:rPr>
          <w:lang w:val="en-US"/>
        </w:rPr>
      </w:pPr>
      <w:r w:rsidRPr="007D1EF7">
        <w:rPr>
          <w:lang w:val="en-US"/>
        </w:rPr>
        <w:t>7.</w:t>
      </w:r>
      <w:r w:rsidR="00AA2BE3" w:rsidRPr="007D1EF7">
        <w:rPr>
          <w:lang w:val="en-US"/>
        </w:rPr>
        <w:tab/>
      </w:r>
      <w:r w:rsidRPr="007D1EF7">
        <w:rPr>
          <w:lang w:val="en-US"/>
        </w:rPr>
        <w:tab/>
      </w:r>
      <w:r w:rsidR="00AA2BE3" w:rsidRPr="007D1EF7">
        <w:rPr>
          <w:lang w:val="en-US"/>
        </w:rPr>
        <w:t>SRS ES antenna gain (dBi)</w:t>
      </w:r>
      <w:r w:rsidRPr="007D1EF7">
        <w:rPr>
          <w:lang w:val="en-US"/>
        </w:rPr>
        <w:t>;</w:t>
      </w:r>
    </w:p>
    <w:p w:rsidR="00AA2BE3" w:rsidRPr="007D1EF7" w:rsidRDefault="0091532E" w:rsidP="00AA2BE3">
      <w:pPr>
        <w:pStyle w:val="enumlev1"/>
        <w:rPr>
          <w:lang w:val="en-US"/>
        </w:rPr>
      </w:pPr>
      <w:r w:rsidRPr="007D1EF7">
        <w:rPr>
          <w:lang w:val="en-US"/>
        </w:rPr>
        <w:t>8.</w:t>
      </w:r>
      <w:r w:rsidR="00AA2BE3" w:rsidRPr="007D1EF7">
        <w:rPr>
          <w:lang w:val="en-US"/>
        </w:rPr>
        <w:tab/>
      </w:r>
      <w:r w:rsidRPr="007D1EF7">
        <w:rPr>
          <w:lang w:val="en-US"/>
        </w:rPr>
        <w:tab/>
      </w:r>
      <w:r w:rsidR="00AA2BE3" w:rsidRPr="007D1EF7">
        <w:rPr>
          <w:lang w:val="en-US"/>
        </w:rPr>
        <w:t>longitude of HIBLEO-2 s/c foot print on Earth (deg</w:t>
      </w:r>
      <w:r w:rsidRPr="007D1EF7">
        <w:rPr>
          <w:lang w:val="en-US"/>
        </w:rPr>
        <w:t>rees</w:t>
      </w:r>
      <w:r w:rsidR="00AA2BE3" w:rsidRPr="007D1EF7">
        <w:rPr>
          <w:lang w:val="en-US"/>
        </w:rPr>
        <w:t>)</w:t>
      </w:r>
      <w:r w:rsidRPr="007D1EF7">
        <w:rPr>
          <w:lang w:val="en-US"/>
        </w:rPr>
        <w:t>;</w:t>
      </w:r>
    </w:p>
    <w:p w:rsidR="00AA2BE3" w:rsidRPr="007D1EF7" w:rsidRDefault="0091532E" w:rsidP="00AA2BE3">
      <w:pPr>
        <w:pStyle w:val="enumlev1"/>
        <w:rPr>
          <w:lang w:val="en-US"/>
        </w:rPr>
      </w:pPr>
      <w:r w:rsidRPr="007D1EF7">
        <w:rPr>
          <w:lang w:val="en-US"/>
        </w:rPr>
        <w:t>9.</w:t>
      </w:r>
      <w:r w:rsidR="00AA2BE3" w:rsidRPr="007D1EF7">
        <w:rPr>
          <w:lang w:val="en-US"/>
        </w:rPr>
        <w:tab/>
      </w:r>
      <w:r w:rsidRPr="007D1EF7">
        <w:rPr>
          <w:lang w:val="en-US"/>
        </w:rPr>
        <w:tab/>
      </w:r>
      <w:r w:rsidR="00AA2BE3" w:rsidRPr="007D1EF7">
        <w:rPr>
          <w:lang w:val="en-US"/>
        </w:rPr>
        <w:t>latitude of HIBLEO-2 s/c foot print on Earth (deg</w:t>
      </w:r>
      <w:r w:rsidRPr="007D1EF7">
        <w:rPr>
          <w:lang w:val="en-US"/>
        </w:rPr>
        <w:t>rees</w:t>
      </w:r>
      <w:r w:rsidR="00AA2BE3" w:rsidRPr="007D1EF7">
        <w:rPr>
          <w:lang w:val="en-US"/>
        </w:rPr>
        <w:t>)</w:t>
      </w:r>
      <w:r w:rsidRPr="007D1EF7">
        <w:rPr>
          <w:lang w:val="en-US"/>
        </w:rPr>
        <w:t>;</w:t>
      </w:r>
    </w:p>
    <w:p w:rsidR="00AA2BE3" w:rsidRPr="007D1EF7" w:rsidRDefault="0091532E" w:rsidP="00AA2BE3">
      <w:pPr>
        <w:pStyle w:val="enumlev1"/>
        <w:rPr>
          <w:lang w:val="en-US"/>
        </w:rPr>
      </w:pPr>
      <w:r w:rsidRPr="007D1EF7">
        <w:rPr>
          <w:lang w:val="en-US"/>
        </w:rPr>
        <w:t>10.</w:t>
      </w:r>
      <w:r w:rsidR="00AA2BE3" w:rsidRPr="007D1EF7">
        <w:rPr>
          <w:lang w:val="en-US"/>
        </w:rPr>
        <w:tab/>
      </w:r>
      <w:r w:rsidRPr="007D1EF7">
        <w:rPr>
          <w:lang w:val="en-US"/>
        </w:rPr>
        <w:tab/>
      </w:r>
      <w:r w:rsidR="00AA2BE3" w:rsidRPr="007D1EF7">
        <w:rPr>
          <w:lang w:val="en-US"/>
        </w:rPr>
        <w:t>HIBLEO-2 s/c azimuth as seen from SRS ES (deg</w:t>
      </w:r>
      <w:r w:rsidRPr="007D1EF7">
        <w:rPr>
          <w:lang w:val="en-US"/>
        </w:rPr>
        <w:t>rees</w:t>
      </w:r>
      <w:r w:rsidR="00AA2BE3" w:rsidRPr="007D1EF7">
        <w:rPr>
          <w:lang w:val="en-US"/>
        </w:rPr>
        <w:t>)</w:t>
      </w:r>
      <w:r w:rsidRPr="007D1EF7">
        <w:rPr>
          <w:lang w:val="en-US"/>
        </w:rPr>
        <w:t>;</w:t>
      </w:r>
    </w:p>
    <w:p w:rsidR="00AA2BE3" w:rsidRPr="007D1EF7" w:rsidRDefault="0091532E" w:rsidP="0091532E">
      <w:pPr>
        <w:pStyle w:val="enumlev1"/>
        <w:rPr>
          <w:lang w:val="en-US"/>
        </w:rPr>
      </w:pPr>
      <w:r w:rsidRPr="007D1EF7">
        <w:rPr>
          <w:lang w:val="en-US"/>
        </w:rPr>
        <w:t>11.</w:t>
      </w:r>
      <w:r w:rsidR="00AA2BE3" w:rsidRPr="007D1EF7">
        <w:rPr>
          <w:lang w:val="en-US"/>
        </w:rPr>
        <w:tab/>
      </w:r>
      <w:r w:rsidRPr="007D1EF7">
        <w:rPr>
          <w:lang w:val="en-US"/>
        </w:rPr>
        <w:tab/>
      </w:r>
      <w:r w:rsidR="00AA2BE3" w:rsidRPr="007D1EF7">
        <w:rPr>
          <w:lang w:val="en-US"/>
        </w:rPr>
        <w:t>HIBLEO-2 s/c elevation as seen from SRS ES (deg</w:t>
      </w:r>
      <w:r w:rsidRPr="007D1EF7">
        <w:rPr>
          <w:lang w:val="en-US"/>
        </w:rPr>
        <w:t>rees</w:t>
      </w:r>
      <w:r w:rsidR="00AA2BE3" w:rsidRPr="007D1EF7">
        <w:rPr>
          <w:lang w:val="en-US"/>
        </w:rPr>
        <w:t>)</w:t>
      </w:r>
      <w:r w:rsidRPr="007D1EF7">
        <w:rPr>
          <w:lang w:val="en-US"/>
        </w:rPr>
        <w:t>;</w:t>
      </w:r>
    </w:p>
    <w:p w:rsidR="00AA2BE3" w:rsidRPr="007D1EF7" w:rsidRDefault="0091532E" w:rsidP="00AA2BE3">
      <w:pPr>
        <w:pStyle w:val="enumlev1"/>
        <w:rPr>
          <w:lang w:val="en-US"/>
        </w:rPr>
      </w:pPr>
      <w:r w:rsidRPr="007D1EF7">
        <w:rPr>
          <w:lang w:val="en-US"/>
        </w:rPr>
        <w:t>12 to 18.</w:t>
      </w:r>
      <w:r w:rsidR="00AA2BE3" w:rsidRPr="007D1EF7">
        <w:rPr>
          <w:lang w:val="en-US"/>
        </w:rPr>
        <w:tab/>
        <w:t>Number of events larger than –202.5 dB(W/Hz) through –214.5 dB(W/Hz).</w:t>
      </w:r>
    </w:p>
    <w:p w:rsidR="00AA2BE3" w:rsidRPr="007D1EF7" w:rsidRDefault="0091532E" w:rsidP="00AA2BE3">
      <w:pPr>
        <w:pStyle w:val="TableNo"/>
        <w:rPr>
          <w:lang w:val="en-US"/>
        </w:rPr>
      </w:pPr>
      <w:r w:rsidRPr="007D1EF7">
        <w:rPr>
          <w:lang w:val="en-US"/>
        </w:rPr>
        <w:t>TABLE</w:t>
      </w:r>
      <w:r w:rsidR="00AA2BE3" w:rsidRPr="007D1EF7">
        <w:rPr>
          <w:lang w:val="en-US"/>
        </w:rPr>
        <w:t xml:space="preserve"> A5-3</w:t>
      </w:r>
    </w:p>
    <w:p w:rsidR="00AA2BE3" w:rsidRPr="007D1EF7" w:rsidRDefault="00AA2BE3" w:rsidP="0091532E">
      <w:pPr>
        <w:pStyle w:val="Tabletitle"/>
        <w:rPr>
          <w:lang w:val="en-US"/>
        </w:rPr>
      </w:pPr>
      <w:r w:rsidRPr="007D1EF7">
        <w:rPr>
          <w:lang w:val="en-US"/>
        </w:rPr>
        <w:t>Short sample of interference results for days 1 through 84 for transmissions</w:t>
      </w:r>
      <w:r w:rsidR="0091532E" w:rsidRPr="007D1EF7">
        <w:rPr>
          <w:lang w:val="en-US"/>
        </w:rPr>
        <w:br/>
      </w:r>
      <w:r w:rsidRPr="007D1EF7">
        <w:rPr>
          <w:lang w:val="en-US"/>
        </w:rPr>
        <w:t>to the Moon (–59.7 dB(W/Hz);</w:t>
      </w:r>
      <w:r w:rsidR="0091532E" w:rsidRPr="007D1EF7">
        <w:rPr>
          <w:lang w:val="en-US"/>
        </w:rPr>
        <w:t xml:space="preserve"> </w:t>
      </w:r>
      <w:r w:rsidRPr="007D1EF7">
        <w:rPr>
          <w:lang w:val="en-US"/>
        </w:rPr>
        <w:t xml:space="preserve">18 m SRS ES antenna; </w:t>
      </w:r>
      <w:r w:rsidRPr="006C2078">
        <w:rPr>
          <w:rFonts w:ascii="Symbol" w:hAnsi="Symbol"/>
        </w:rPr>
        <w:t></w:t>
      </w:r>
      <w:r w:rsidRPr="007D1EF7">
        <w:rPr>
          <w:i/>
          <w:iCs/>
          <w:lang w:val="en-US"/>
        </w:rPr>
        <w:t>t</w:t>
      </w:r>
      <w:r w:rsidRPr="007D1EF7">
        <w:rPr>
          <w:lang w:val="en-US"/>
        </w:rPr>
        <w:t xml:space="preserve"> = 0.06 s)</w:t>
      </w:r>
    </w:p>
    <w:tbl>
      <w:tblPr>
        <w:tblpPr w:leftFromText="180" w:rightFromText="180" w:vertAnchor="text" w:horzAnchor="margin" w:tblpXSpec="center" w:tblpY="134"/>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6"/>
        <w:gridCol w:w="990"/>
        <w:gridCol w:w="990"/>
        <w:gridCol w:w="989"/>
        <w:gridCol w:w="988"/>
        <w:gridCol w:w="954"/>
        <w:gridCol w:w="988"/>
        <w:gridCol w:w="988"/>
        <w:gridCol w:w="988"/>
        <w:gridCol w:w="988"/>
      </w:tblGrid>
      <w:tr w:rsidR="00AA2BE3" w:rsidRPr="0091532E" w:rsidTr="0091532E">
        <w:tc>
          <w:tcPr>
            <w:tcW w:w="776" w:type="dxa"/>
          </w:tcPr>
          <w:p w:rsidR="00AA2BE3" w:rsidRPr="0091532E" w:rsidRDefault="00AA2BE3" w:rsidP="0091532E">
            <w:pPr>
              <w:pStyle w:val="Tabletext"/>
              <w:jc w:val="center"/>
              <w:rPr>
                <w:b/>
                <w:bCs/>
                <w:sz w:val="18"/>
              </w:rPr>
            </w:pPr>
            <w:r w:rsidRPr="0091532E">
              <w:rPr>
                <w:b/>
                <w:bCs/>
                <w:sz w:val="18"/>
              </w:rPr>
              <w:t>1</w:t>
            </w:r>
          </w:p>
        </w:tc>
        <w:tc>
          <w:tcPr>
            <w:tcW w:w="990" w:type="dxa"/>
          </w:tcPr>
          <w:p w:rsidR="00AA2BE3" w:rsidRPr="0091532E" w:rsidRDefault="00AA2BE3" w:rsidP="0091532E">
            <w:pPr>
              <w:pStyle w:val="Tabletext"/>
              <w:jc w:val="center"/>
              <w:rPr>
                <w:b/>
                <w:bCs/>
                <w:sz w:val="18"/>
              </w:rPr>
            </w:pPr>
            <w:r w:rsidRPr="0091532E">
              <w:rPr>
                <w:b/>
                <w:bCs/>
                <w:sz w:val="18"/>
              </w:rPr>
              <w:t>19504</w:t>
            </w:r>
          </w:p>
        </w:tc>
        <w:tc>
          <w:tcPr>
            <w:tcW w:w="990" w:type="dxa"/>
          </w:tcPr>
          <w:p w:rsidR="00AA2BE3" w:rsidRPr="0091532E" w:rsidRDefault="00AA2BE3" w:rsidP="0091532E">
            <w:pPr>
              <w:pStyle w:val="Tabletext"/>
              <w:jc w:val="center"/>
              <w:rPr>
                <w:b/>
                <w:bCs/>
                <w:sz w:val="18"/>
              </w:rPr>
            </w:pPr>
            <w:r w:rsidRPr="0091532E">
              <w:rPr>
                <w:b/>
                <w:bCs/>
                <w:sz w:val="18"/>
              </w:rPr>
              <w:t>22495</w:t>
            </w:r>
          </w:p>
        </w:tc>
        <w:tc>
          <w:tcPr>
            <w:tcW w:w="989" w:type="dxa"/>
          </w:tcPr>
          <w:p w:rsidR="00AA2BE3" w:rsidRPr="0091532E" w:rsidRDefault="00AA2BE3" w:rsidP="0091532E">
            <w:pPr>
              <w:pStyle w:val="Tabletext"/>
              <w:jc w:val="center"/>
              <w:rPr>
                <w:b/>
                <w:bCs/>
                <w:sz w:val="18"/>
              </w:rPr>
            </w:pPr>
            <w:r w:rsidRPr="0091532E">
              <w:rPr>
                <w:b/>
                <w:bCs/>
                <w:sz w:val="18"/>
              </w:rPr>
              <w:t>23910</w:t>
            </w:r>
          </w:p>
        </w:tc>
        <w:tc>
          <w:tcPr>
            <w:tcW w:w="988" w:type="dxa"/>
          </w:tcPr>
          <w:p w:rsidR="00AA2BE3" w:rsidRPr="0091532E" w:rsidRDefault="00AA2BE3" w:rsidP="0091532E">
            <w:pPr>
              <w:pStyle w:val="Tabletext"/>
              <w:jc w:val="center"/>
              <w:rPr>
                <w:b/>
                <w:bCs/>
                <w:sz w:val="18"/>
              </w:rPr>
            </w:pPr>
            <w:r w:rsidRPr="0091532E">
              <w:rPr>
                <w:b/>
                <w:bCs/>
                <w:sz w:val="18"/>
              </w:rPr>
              <w:t>26759</w:t>
            </w:r>
          </w:p>
        </w:tc>
        <w:tc>
          <w:tcPr>
            <w:tcW w:w="954" w:type="dxa"/>
          </w:tcPr>
          <w:p w:rsidR="00AA2BE3" w:rsidRPr="0091532E" w:rsidRDefault="00AA2BE3" w:rsidP="0091532E">
            <w:pPr>
              <w:pStyle w:val="Tabletext"/>
              <w:jc w:val="center"/>
              <w:rPr>
                <w:b/>
                <w:bCs/>
                <w:sz w:val="18"/>
              </w:rPr>
            </w:pPr>
            <w:r w:rsidRPr="0091532E">
              <w:rPr>
                <w:b/>
                <w:bCs/>
                <w:sz w:val="18"/>
              </w:rPr>
              <w:t>28342</w:t>
            </w:r>
          </w:p>
        </w:tc>
        <w:tc>
          <w:tcPr>
            <w:tcW w:w="988" w:type="dxa"/>
          </w:tcPr>
          <w:p w:rsidR="00AA2BE3" w:rsidRPr="0091532E" w:rsidRDefault="00AA2BE3" w:rsidP="0091532E">
            <w:pPr>
              <w:pStyle w:val="Tabletext"/>
              <w:jc w:val="center"/>
              <w:rPr>
                <w:b/>
                <w:bCs/>
                <w:sz w:val="18"/>
              </w:rPr>
            </w:pPr>
            <w:r w:rsidRPr="0091532E">
              <w:rPr>
                <w:b/>
                <w:bCs/>
                <w:sz w:val="18"/>
              </w:rPr>
              <w:t>29608</w:t>
            </w:r>
          </w:p>
        </w:tc>
        <w:tc>
          <w:tcPr>
            <w:tcW w:w="988" w:type="dxa"/>
          </w:tcPr>
          <w:p w:rsidR="00AA2BE3" w:rsidRPr="0091532E" w:rsidRDefault="00AA2BE3" w:rsidP="0091532E">
            <w:pPr>
              <w:pStyle w:val="Tabletext"/>
              <w:jc w:val="center"/>
              <w:rPr>
                <w:b/>
                <w:bCs/>
                <w:sz w:val="18"/>
              </w:rPr>
            </w:pPr>
            <w:r w:rsidRPr="0091532E">
              <w:rPr>
                <w:b/>
                <w:bCs/>
                <w:sz w:val="18"/>
              </w:rPr>
              <w:t>29767</w:t>
            </w:r>
          </w:p>
        </w:tc>
        <w:tc>
          <w:tcPr>
            <w:tcW w:w="988" w:type="dxa"/>
          </w:tcPr>
          <w:p w:rsidR="00AA2BE3" w:rsidRPr="0091532E" w:rsidRDefault="00AA2BE3" w:rsidP="0091532E">
            <w:pPr>
              <w:pStyle w:val="Tabletext"/>
              <w:jc w:val="center"/>
              <w:rPr>
                <w:b/>
                <w:bCs/>
                <w:sz w:val="18"/>
              </w:rPr>
            </w:pPr>
            <w:r w:rsidRPr="0091532E">
              <w:rPr>
                <w:b/>
                <w:bCs/>
                <w:sz w:val="18"/>
              </w:rPr>
              <w:t>31349</w:t>
            </w:r>
          </w:p>
        </w:tc>
        <w:tc>
          <w:tcPr>
            <w:tcW w:w="988" w:type="dxa"/>
          </w:tcPr>
          <w:p w:rsidR="00AA2BE3" w:rsidRPr="0091532E" w:rsidRDefault="00AA2BE3" w:rsidP="0091532E">
            <w:pPr>
              <w:pStyle w:val="Tabletext"/>
              <w:jc w:val="center"/>
              <w:rPr>
                <w:b/>
                <w:bCs/>
                <w:sz w:val="18"/>
              </w:rPr>
            </w:pPr>
            <w:r w:rsidRPr="0091532E">
              <w:rPr>
                <w:b/>
                <w:bCs/>
                <w:sz w:val="18"/>
              </w:rPr>
              <w:t>34050</w:t>
            </w:r>
          </w:p>
        </w:tc>
      </w:tr>
      <w:tr w:rsidR="00AA2BE3" w:rsidRPr="0091532E" w:rsidTr="0091532E">
        <w:tc>
          <w:tcPr>
            <w:tcW w:w="776" w:type="dxa"/>
          </w:tcPr>
          <w:p w:rsidR="00AA2BE3" w:rsidRPr="0091532E" w:rsidRDefault="00AA2BE3" w:rsidP="0091532E">
            <w:pPr>
              <w:pStyle w:val="Tabletext"/>
              <w:jc w:val="center"/>
              <w:rPr>
                <w:b/>
                <w:bCs/>
                <w:sz w:val="18"/>
              </w:rPr>
            </w:pPr>
            <w:r w:rsidRPr="0091532E">
              <w:rPr>
                <w:b/>
                <w:bCs/>
                <w:sz w:val="18"/>
              </w:rPr>
              <w:t>2</w:t>
            </w:r>
          </w:p>
        </w:tc>
        <w:tc>
          <w:tcPr>
            <w:tcW w:w="990" w:type="dxa"/>
          </w:tcPr>
          <w:p w:rsidR="00AA2BE3" w:rsidRPr="0091532E" w:rsidRDefault="00AA2BE3" w:rsidP="0091532E">
            <w:pPr>
              <w:pStyle w:val="Tabletext"/>
              <w:jc w:val="center"/>
              <w:rPr>
                <w:b/>
                <w:bCs/>
                <w:sz w:val="18"/>
              </w:rPr>
            </w:pPr>
            <w:r w:rsidRPr="0091532E">
              <w:rPr>
                <w:b/>
                <w:bCs/>
                <w:sz w:val="18"/>
              </w:rPr>
              <w:t>13.544</w:t>
            </w:r>
          </w:p>
        </w:tc>
        <w:tc>
          <w:tcPr>
            <w:tcW w:w="990" w:type="dxa"/>
          </w:tcPr>
          <w:p w:rsidR="00AA2BE3" w:rsidRPr="0091532E" w:rsidRDefault="00AA2BE3" w:rsidP="0091532E">
            <w:pPr>
              <w:pStyle w:val="Tabletext"/>
              <w:jc w:val="center"/>
              <w:rPr>
                <w:b/>
                <w:bCs/>
                <w:sz w:val="18"/>
              </w:rPr>
            </w:pPr>
            <w:r w:rsidRPr="0091532E">
              <w:rPr>
                <w:b/>
                <w:bCs/>
                <w:sz w:val="18"/>
              </w:rPr>
              <w:t>15.621</w:t>
            </w:r>
          </w:p>
        </w:tc>
        <w:tc>
          <w:tcPr>
            <w:tcW w:w="989" w:type="dxa"/>
          </w:tcPr>
          <w:p w:rsidR="00AA2BE3" w:rsidRPr="0091532E" w:rsidRDefault="00AA2BE3" w:rsidP="0091532E">
            <w:pPr>
              <w:pStyle w:val="Tabletext"/>
              <w:jc w:val="center"/>
              <w:rPr>
                <w:b/>
                <w:bCs/>
                <w:sz w:val="18"/>
              </w:rPr>
            </w:pPr>
            <w:r w:rsidRPr="0091532E">
              <w:rPr>
                <w:b/>
                <w:bCs/>
                <w:sz w:val="18"/>
              </w:rPr>
              <w:t>16.604</w:t>
            </w:r>
          </w:p>
        </w:tc>
        <w:tc>
          <w:tcPr>
            <w:tcW w:w="988" w:type="dxa"/>
          </w:tcPr>
          <w:p w:rsidR="00AA2BE3" w:rsidRPr="0091532E" w:rsidRDefault="00AA2BE3" w:rsidP="0091532E">
            <w:pPr>
              <w:pStyle w:val="Tabletext"/>
              <w:jc w:val="center"/>
              <w:rPr>
                <w:b/>
                <w:bCs/>
                <w:sz w:val="18"/>
              </w:rPr>
            </w:pPr>
            <w:r w:rsidRPr="0091532E">
              <w:rPr>
                <w:b/>
                <w:bCs/>
                <w:sz w:val="18"/>
              </w:rPr>
              <w:t>18.583</w:t>
            </w:r>
          </w:p>
        </w:tc>
        <w:tc>
          <w:tcPr>
            <w:tcW w:w="954" w:type="dxa"/>
          </w:tcPr>
          <w:p w:rsidR="00AA2BE3" w:rsidRPr="0091532E" w:rsidRDefault="00AA2BE3" w:rsidP="0091532E">
            <w:pPr>
              <w:pStyle w:val="Tabletext"/>
              <w:jc w:val="center"/>
              <w:rPr>
                <w:b/>
                <w:bCs/>
                <w:sz w:val="18"/>
              </w:rPr>
            </w:pPr>
            <w:r w:rsidRPr="0091532E">
              <w:rPr>
                <w:b/>
                <w:bCs/>
                <w:sz w:val="18"/>
              </w:rPr>
              <w:t>19.682</w:t>
            </w:r>
          </w:p>
        </w:tc>
        <w:tc>
          <w:tcPr>
            <w:tcW w:w="988" w:type="dxa"/>
          </w:tcPr>
          <w:p w:rsidR="00AA2BE3" w:rsidRPr="0091532E" w:rsidRDefault="00AA2BE3" w:rsidP="0091532E">
            <w:pPr>
              <w:pStyle w:val="Tabletext"/>
              <w:jc w:val="center"/>
              <w:rPr>
                <w:b/>
                <w:bCs/>
                <w:sz w:val="18"/>
              </w:rPr>
            </w:pPr>
            <w:r w:rsidRPr="0091532E">
              <w:rPr>
                <w:b/>
                <w:bCs/>
                <w:sz w:val="18"/>
              </w:rPr>
              <w:t>20.561</w:t>
            </w:r>
          </w:p>
        </w:tc>
        <w:tc>
          <w:tcPr>
            <w:tcW w:w="988" w:type="dxa"/>
          </w:tcPr>
          <w:p w:rsidR="00AA2BE3" w:rsidRPr="0091532E" w:rsidRDefault="00AA2BE3" w:rsidP="0091532E">
            <w:pPr>
              <w:pStyle w:val="Tabletext"/>
              <w:jc w:val="center"/>
              <w:rPr>
                <w:b/>
                <w:bCs/>
                <w:sz w:val="18"/>
              </w:rPr>
            </w:pPr>
            <w:r w:rsidRPr="0091532E">
              <w:rPr>
                <w:b/>
                <w:bCs/>
                <w:sz w:val="18"/>
              </w:rPr>
              <w:t>20.671</w:t>
            </w:r>
          </w:p>
        </w:tc>
        <w:tc>
          <w:tcPr>
            <w:tcW w:w="988" w:type="dxa"/>
          </w:tcPr>
          <w:p w:rsidR="00AA2BE3" w:rsidRPr="0091532E" w:rsidRDefault="00AA2BE3" w:rsidP="0091532E">
            <w:pPr>
              <w:pStyle w:val="Tabletext"/>
              <w:jc w:val="center"/>
              <w:rPr>
                <w:b/>
                <w:bCs/>
                <w:sz w:val="18"/>
              </w:rPr>
            </w:pPr>
            <w:r w:rsidRPr="0091532E">
              <w:rPr>
                <w:b/>
                <w:bCs/>
                <w:sz w:val="18"/>
              </w:rPr>
              <w:t>21.77</w:t>
            </w:r>
          </w:p>
        </w:tc>
        <w:tc>
          <w:tcPr>
            <w:tcW w:w="988" w:type="dxa"/>
          </w:tcPr>
          <w:p w:rsidR="00AA2BE3" w:rsidRPr="0091532E" w:rsidRDefault="00AA2BE3" w:rsidP="0091532E">
            <w:pPr>
              <w:pStyle w:val="Tabletext"/>
              <w:jc w:val="center"/>
              <w:rPr>
                <w:b/>
                <w:bCs/>
                <w:sz w:val="18"/>
              </w:rPr>
            </w:pPr>
            <w:r w:rsidRPr="0091532E">
              <w:rPr>
                <w:b/>
                <w:bCs/>
                <w:sz w:val="18"/>
              </w:rPr>
              <w:t>23.646</w:t>
            </w:r>
          </w:p>
        </w:tc>
      </w:tr>
      <w:tr w:rsidR="00AA2BE3" w:rsidRPr="0091532E" w:rsidTr="0091532E">
        <w:tc>
          <w:tcPr>
            <w:tcW w:w="776" w:type="dxa"/>
          </w:tcPr>
          <w:p w:rsidR="00AA2BE3" w:rsidRPr="0091532E" w:rsidRDefault="00AA2BE3" w:rsidP="0091532E">
            <w:pPr>
              <w:pStyle w:val="Tabletext"/>
              <w:jc w:val="center"/>
              <w:rPr>
                <w:b/>
                <w:bCs/>
                <w:sz w:val="18"/>
              </w:rPr>
            </w:pPr>
            <w:r w:rsidRPr="0091532E">
              <w:rPr>
                <w:b/>
                <w:bCs/>
                <w:sz w:val="18"/>
              </w:rPr>
              <w:t>3</w:t>
            </w:r>
          </w:p>
        </w:tc>
        <w:tc>
          <w:tcPr>
            <w:tcW w:w="990" w:type="dxa"/>
          </w:tcPr>
          <w:p w:rsidR="00AA2BE3" w:rsidRPr="0091532E" w:rsidRDefault="00AA2BE3" w:rsidP="0091532E">
            <w:pPr>
              <w:pStyle w:val="Tabletext"/>
              <w:jc w:val="center"/>
              <w:rPr>
                <w:b/>
                <w:bCs/>
                <w:sz w:val="18"/>
              </w:rPr>
            </w:pPr>
            <w:r w:rsidRPr="0091532E">
              <w:rPr>
                <w:b/>
                <w:bCs/>
                <w:sz w:val="18"/>
              </w:rPr>
              <w:t>–206.42</w:t>
            </w:r>
          </w:p>
        </w:tc>
        <w:tc>
          <w:tcPr>
            <w:tcW w:w="990" w:type="dxa"/>
          </w:tcPr>
          <w:p w:rsidR="00AA2BE3" w:rsidRPr="0091532E" w:rsidRDefault="00AA2BE3" w:rsidP="0091532E">
            <w:pPr>
              <w:pStyle w:val="Tabletext"/>
              <w:jc w:val="center"/>
              <w:rPr>
                <w:b/>
                <w:bCs/>
                <w:sz w:val="18"/>
              </w:rPr>
            </w:pPr>
            <w:r w:rsidRPr="0091532E">
              <w:rPr>
                <w:b/>
                <w:bCs/>
                <w:sz w:val="18"/>
              </w:rPr>
              <w:t>-212.54</w:t>
            </w:r>
          </w:p>
        </w:tc>
        <w:tc>
          <w:tcPr>
            <w:tcW w:w="989" w:type="dxa"/>
          </w:tcPr>
          <w:p w:rsidR="00AA2BE3" w:rsidRPr="0091532E" w:rsidRDefault="00AA2BE3" w:rsidP="0091532E">
            <w:pPr>
              <w:pStyle w:val="Tabletext"/>
              <w:jc w:val="center"/>
              <w:rPr>
                <w:b/>
                <w:bCs/>
                <w:sz w:val="18"/>
              </w:rPr>
            </w:pPr>
            <w:r w:rsidRPr="0091532E">
              <w:rPr>
                <w:b/>
                <w:bCs/>
                <w:sz w:val="18"/>
              </w:rPr>
              <w:t>–199.12</w:t>
            </w:r>
          </w:p>
        </w:tc>
        <w:tc>
          <w:tcPr>
            <w:tcW w:w="988" w:type="dxa"/>
          </w:tcPr>
          <w:p w:rsidR="00AA2BE3" w:rsidRPr="0091532E" w:rsidRDefault="00AA2BE3" w:rsidP="0091532E">
            <w:pPr>
              <w:pStyle w:val="Tabletext"/>
              <w:jc w:val="center"/>
              <w:rPr>
                <w:b/>
                <w:bCs/>
                <w:sz w:val="18"/>
              </w:rPr>
            </w:pPr>
            <w:r w:rsidRPr="0091532E">
              <w:rPr>
                <w:b/>
                <w:bCs/>
                <w:sz w:val="18"/>
              </w:rPr>
              <w:t>-170.44</w:t>
            </w:r>
          </w:p>
        </w:tc>
        <w:tc>
          <w:tcPr>
            <w:tcW w:w="954" w:type="dxa"/>
          </w:tcPr>
          <w:p w:rsidR="00AA2BE3" w:rsidRPr="0091532E" w:rsidRDefault="00AA2BE3" w:rsidP="0091532E">
            <w:pPr>
              <w:pStyle w:val="Tabletext"/>
              <w:jc w:val="center"/>
              <w:rPr>
                <w:b/>
                <w:bCs/>
                <w:sz w:val="18"/>
              </w:rPr>
            </w:pPr>
            <w:r w:rsidRPr="0091532E">
              <w:rPr>
                <w:b/>
                <w:bCs/>
                <w:sz w:val="18"/>
              </w:rPr>
              <w:t>-204.34</w:t>
            </w:r>
          </w:p>
        </w:tc>
        <w:tc>
          <w:tcPr>
            <w:tcW w:w="988" w:type="dxa"/>
          </w:tcPr>
          <w:p w:rsidR="00AA2BE3" w:rsidRPr="0091532E" w:rsidRDefault="00AA2BE3" w:rsidP="0091532E">
            <w:pPr>
              <w:pStyle w:val="Tabletext"/>
              <w:jc w:val="center"/>
              <w:rPr>
                <w:b/>
                <w:bCs/>
                <w:sz w:val="18"/>
              </w:rPr>
            </w:pPr>
            <w:r w:rsidRPr="0091532E">
              <w:rPr>
                <w:b/>
                <w:bCs/>
                <w:sz w:val="18"/>
              </w:rPr>
              <w:t>–209.32</w:t>
            </w:r>
          </w:p>
        </w:tc>
        <w:tc>
          <w:tcPr>
            <w:tcW w:w="988" w:type="dxa"/>
          </w:tcPr>
          <w:p w:rsidR="00AA2BE3" w:rsidRPr="0091532E" w:rsidRDefault="00AA2BE3" w:rsidP="0091532E">
            <w:pPr>
              <w:pStyle w:val="Tabletext"/>
              <w:jc w:val="center"/>
              <w:rPr>
                <w:b/>
                <w:bCs/>
                <w:sz w:val="18"/>
              </w:rPr>
            </w:pPr>
            <w:r w:rsidRPr="0091532E">
              <w:rPr>
                <w:b/>
                <w:bCs/>
                <w:sz w:val="18"/>
              </w:rPr>
              <w:t>–208.26</w:t>
            </w:r>
          </w:p>
        </w:tc>
        <w:tc>
          <w:tcPr>
            <w:tcW w:w="988" w:type="dxa"/>
          </w:tcPr>
          <w:p w:rsidR="00AA2BE3" w:rsidRPr="0091532E" w:rsidRDefault="00AA2BE3" w:rsidP="0091532E">
            <w:pPr>
              <w:pStyle w:val="Tabletext"/>
              <w:jc w:val="center"/>
              <w:rPr>
                <w:b/>
                <w:bCs/>
                <w:sz w:val="18"/>
              </w:rPr>
            </w:pPr>
            <w:r w:rsidRPr="0091532E">
              <w:rPr>
                <w:b/>
                <w:bCs/>
                <w:sz w:val="18"/>
              </w:rPr>
              <w:t>–207.2</w:t>
            </w:r>
          </w:p>
        </w:tc>
        <w:tc>
          <w:tcPr>
            <w:tcW w:w="988" w:type="dxa"/>
          </w:tcPr>
          <w:p w:rsidR="00AA2BE3" w:rsidRPr="0091532E" w:rsidRDefault="00AA2BE3" w:rsidP="0091532E">
            <w:pPr>
              <w:pStyle w:val="Tabletext"/>
              <w:jc w:val="center"/>
              <w:rPr>
                <w:b/>
                <w:bCs/>
                <w:sz w:val="18"/>
              </w:rPr>
            </w:pPr>
            <w:r w:rsidRPr="0091532E">
              <w:rPr>
                <w:b/>
                <w:bCs/>
                <w:sz w:val="18"/>
              </w:rPr>
              <w:t>–204.75</w:t>
            </w:r>
          </w:p>
        </w:tc>
      </w:tr>
      <w:tr w:rsidR="00AA2BE3" w:rsidRPr="0091532E" w:rsidTr="0091532E">
        <w:tc>
          <w:tcPr>
            <w:tcW w:w="776" w:type="dxa"/>
          </w:tcPr>
          <w:p w:rsidR="00AA2BE3" w:rsidRPr="0091532E" w:rsidRDefault="00AA2BE3" w:rsidP="0091532E">
            <w:pPr>
              <w:pStyle w:val="Tabletext"/>
              <w:jc w:val="center"/>
              <w:rPr>
                <w:b/>
                <w:bCs/>
                <w:sz w:val="18"/>
              </w:rPr>
            </w:pPr>
            <w:r w:rsidRPr="0091532E">
              <w:rPr>
                <w:b/>
                <w:bCs/>
                <w:sz w:val="18"/>
              </w:rPr>
              <w:t>4</w:t>
            </w:r>
          </w:p>
        </w:tc>
        <w:tc>
          <w:tcPr>
            <w:tcW w:w="990" w:type="dxa"/>
          </w:tcPr>
          <w:p w:rsidR="00AA2BE3" w:rsidRPr="0091532E" w:rsidRDefault="00AA2BE3" w:rsidP="0091532E">
            <w:pPr>
              <w:pStyle w:val="Tabletext"/>
              <w:jc w:val="center"/>
              <w:rPr>
                <w:b/>
                <w:bCs/>
                <w:sz w:val="18"/>
              </w:rPr>
            </w:pPr>
            <w:r w:rsidRPr="0091532E">
              <w:rPr>
                <w:b/>
                <w:bCs/>
                <w:sz w:val="18"/>
              </w:rPr>
              <w:t>6</w:t>
            </w:r>
          </w:p>
        </w:tc>
        <w:tc>
          <w:tcPr>
            <w:tcW w:w="990" w:type="dxa"/>
          </w:tcPr>
          <w:p w:rsidR="00AA2BE3" w:rsidRPr="0091532E" w:rsidRDefault="00AA2BE3" w:rsidP="0091532E">
            <w:pPr>
              <w:pStyle w:val="Tabletext"/>
              <w:jc w:val="center"/>
              <w:rPr>
                <w:b/>
                <w:bCs/>
                <w:sz w:val="18"/>
              </w:rPr>
            </w:pPr>
            <w:r w:rsidRPr="0091532E">
              <w:rPr>
                <w:b/>
                <w:bCs/>
                <w:sz w:val="18"/>
              </w:rPr>
              <w:t>1</w:t>
            </w:r>
          </w:p>
        </w:tc>
        <w:tc>
          <w:tcPr>
            <w:tcW w:w="989" w:type="dxa"/>
          </w:tcPr>
          <w:p w:rsidR="00AA2BE3" w:rsidRPr="0091532E" w:rsidRDefault="00AA2BE3" w:rsidP="0091532E">
            <w:pPr>
              <w:pStyle w:val="Tabletext"/>
              <w:jc w:val="center"/>
              <w:rPr>
                <w:b/>
                <w:bCs/>
                <w:sz w:val="18"/>
              </w:rPr>
            </w:pPr>
            <w:r w:rsidRPr="0091532E">
              <w:rPr>
                <w:b/>
                <w:bCs/>
                <w:sz w:val="18"/>
              </w:rPr>
              <w:t>1</w:t>
            </w:r>
          </w:p>
        </w:tc>
        <w:tc>
          <w:tcPr>
            <w:tcW w:w="988" w:type="dxa"/>
          </w:tcPr>
          <w:p w:rsidR="00AA2BE3" w:rsidRPr="0091532E" w:rsidRDefault="00AA2BE3" w:rsidP="0091532E">
            <w:pPr>
              <w:pStyle w:val="Tabletext"/>
              <w:jc w:val="center"/>
              <w:rPr>
                <w:b/>
                <w:bCs/>
                <w:sz w:val="18"/>
              </w:rPr>
            </w:pPr>
            <w:r w:rsidRPr="0091532E">
              <w:rPr>
                <w:b/>
                <w:bCs/>
                <w:sz w:val="18"/>
              </w:rPr>
              <w:t>1</w:t>
            </w:r>
          </w:p>
        </w:tc>
        <w:tc>
          <w:tcPr>
            <w:tcW w:w="954" w:type="dxa"/>
          </w:tcPr>
          <w:p w:rsidR="00AA2BE3" w:rsidRPr="0091532E" w:rsidRDefault="00AA2BE3" w:rsidP="0091532E">
            <w:pPr>
              <w:pStyle w:val="Tabletext"/>
              <w:jc w:val="center"/>
              <w:rPr>
                <w:b/>
                <w:bCs/>
                <w:sz w:val="18"/>
              </w:rPr>
            </w:pPr>
            <w:r w:rsidRPr="0091532E">
              <w:rPr>
                <w:b/>
                <w:bCs/>
                <w:sz w:val="18"/>
              </w:rPr>
              <w:t>2</w:t>
            </w:r>
          </w:p>
        </w:tc>
        <w:tc>
          <w:tcPr>
            <w:tcW w:w="988" w:type="dxa"/>
          </w:tcPr>
          <w:p w:rsidR="00AA2BE3" w:rsidRPr="0091532E" w:rsidRDefault="00AA2BE3" w:rsidP="0091532E">
            <w:pPr>
              <w:pStyle w:val="Tabletext"/>
              <w:jc w:val="center"/>
              <w:rPr>
                <w:b/>
                <w:bCs/>
                <w:sz w:val="18"/>
              </w:rPr>
            </w:pPr>
            <w:r w:rsidRPr="0091532E">
              <w:rPr>
                <w:b/>
                <w:bCs/>
                <w:sz w:val="18"/>
              </w:rPr>
              <w:t>1</w:t>
            </w:r>
          </w:p>
        </w:tc>
        <w:tc>
          <w:tcPr>
            <w:tcW w:w="988" w:type="dxa"/>
          </w:tcPr>
          <w:p w:rsidR="00AA2BE3" w:rsidRPr="0091532E" w:rsidRDefault="00AA2BE3" w:rsidP="0091532E">
            <w:pPr>
              <w:pStyle w:val="Tabletext"/>
              <w:jc w:val="center"/>
              <w:rPr>
                <w:b/>
                <w:bCs/>
                <w:sz w:val="18"/>
              </w:rPr>
            </w:pPr>
            <w:r w:rsidRPr="0091532E">
              <w:rPr>
                <w:b/>
                <w:bCs/>
                <w:sz w:val="18"/>
              </w:rPr>
              <w:t>2</w:t>
            </w:r>
          </w:p>
        </w:tc>
        <w:tc>
          <w:tcPr>
            <w:tcW w:w="988" w:type="dxa"/>
          </w:tcPr>
          <w:p w:rsidR="00AA2BE3" w:rsidRPr="0091532E" w:rsidRDefault="00AA2BE3" w:rsidP="0091532E">
            <w:pPr>
              <w:pStyle w:val="Tabletext"/>
              <w:jc w:val="center"/>
              <w:rPr>
                <w:b/>
                <w:bCs/>
                <w:sz w:val="18"/>
              </w:rPr>
            </w:pPr>
            <w:r w:rsidRPr="0091532E">
              <w:rPr>
                <w:b/>
                <w:bCs/>
                <w:sz w:val="18"/>
              </w:rPr>
              <w:t>3</w:t>
            </w:r>
          </w:p>
        </w:tc>
        <w:tc>
          <w:tcPr>
            <w:tcW w:w="988" w:type="dxa"/>
          </w:tcPr>
          <w:p w:rsidR="00AA2BE3" w:rsidRPr="0091532E" w:rsidRDefault="00AA2BE3" w:rsidP="0091532E">
            <w:pPr>
              <w:pStyle w:val="Tabletext"/>
              <w:jc w:val="center"/>
              <w:rPr>
                <w:b/>
                <w:bCs/>
                <w:sz w:val="18"/>
              </w:rPr>
            </w:pPr>
            <w:r w:rsidRPr="0091532E">
              <w:rPr>
                <w:b/>
                <w:bCs/>
                <w:sz w:val="18"/>
              </w:rPr>
              <w:t>2</w:t>
            </w:r>
          </w:p>
        </w:tc>
      </w:tr>
      <w:tr w:rsidR="00AA2BE3" w:rsidRPr="0091532E" w:rsidTr="0091532E">
        <w:tc>
          <w:tcPr>
            <w:tcW w:w="776" w:type="dxa"/>
          </w:tcPr>
          <w:p w:rsidR="00AA2BE3" w:rsidRPr="0091532E" w:rsidRDefault="00AA2BE3" w:rsidP="0091532E">
            <w:pPr>
              <w:pStyle w:val="Tabletext"/>
              <w:jc w:val="center"/>
              <w:rPr>
                <w:b/>
                <w:bCs/>
                <w:sz w:val="18"/>
              </w:rPr>
            </w:pPr>
            <w:r w:rsidRPr="0091532E">
              <w:rPr>
                <w:b/>
                <w:bCs/>
                <w:sz w:val="18"/>
              </w:rPr>
              <w:t>5</w:t>
            </w:r>
          </w:p>
        </w:tc>
        <w:tc>
          <w:tcPr>
            <w:tcW w:w="990" w:type="dxa"/>
          </w:tcPr>
          <w:p w:rsidR="00AA2BE3" w:rsidRPr="0091532E" w:rsidRDefault="00AA2BE3" w:rsidP="0091532E">
            <w:pPr>
              <w:pStyle w:val="Tabletext"/>
              <w:jc w:val="center"/>
              <w:rPr>
                <w:b/>
                <w:bCs/>
                <w:sz w:val="18"/>
              </w:rPr>
            </w:pPr>
            <w:r w:rsidRPr="0091532E">
              <w:rPr>
                <w:b/>
                <w:bCs/>
                <w:sz w:val="18"/>
              </w:rPr>
              <w:t>3</w:t>
            </w:r>
          </w:p>
        </w:tc>
        <w:tc>
          <w:tcPr>
            <w:tcW w:w="990" w:type="dxa"/>
          </w:tcPr>
          <w:p w:rsidR="00AA2BE3" w:rsidRPr="0091532E" w:rsidRDefault="00AA2BE3" w:rsidP="0091532E">
            <w:pPr>
              <w:pStyle w:val="Tabletext"/>
              <w:jc w:val="center"/>
              <w:rPr>
                <w:b/>
                <w:bCs/>
                <w:sz w:val="18"/>
              </w:rPr>
            </w:pPr>
            <w:r w:rsidRPr="0091532E">
              <w:rPr>
                <w:b/>
                <w:bCs/>
                <w:sz w:val="18"/>
              </w:rPr>
              <w:t>5</w:t>
            </w:r>
          </w:p>
        </w:tc>
        <w:tc>
          <w:tcPr>
            <w:tcW w:w="989" w:type="dxa"/>
          </w:tcPr>
          <w:p w:rsidR="00AA2BE3" w:rsidRPr="0091532E" w:rsidRDefault="00AA2BE3" w:rsidP="0091532E">
            <w:pPr>
              <w:pStyle w:val="Tabletext"/>
              <w:jc w:val="center"/>
              <w:rPr>
                <w:b/>
                <w:bCs/>
                <w:sz w:val="18"/>
              </w:rPr>
            </w:pPr>
            <w:r w:rsidRPr="0091532E">
              <w:rPr>
                <w:b/>
                <w:bCs/>
                <w:sz w:val="18"/>
              </w:rPr>
              <w:t>4</w:t>
            </w:r>
          </w:p>
        </w:tc>
        <w:tc>
          <w:tcPr>
            <w:tcW w:w="988" w:type="dxa"/>
          </w:tcPr>
          <w:p w:rsidR="00AA2BE3" w:rsidRPr="0091532E" w:rsidRDefault="00AA2BE3" w:rsidP="0091532E">
            <w:pPr>
              <w:pStyle w:val="Tabletext"/>
              <w:jc w:val="center"/>
              <w:rPr>
                <w:b/>
                <w:bCs/>
                <w:sz w:val="18"/>
              </w:rPr>
            </w:pPr>
            <w:r w:rsidRPr="0091532E">
              <w:rPr>
                <w:b/>
                <w:bCs/>
                <w:sz w:val="18"/>
              </w:rPr>
              <w:t>11</w:t>
            </w:r>
          </w:p>
        </w:tc>
        <w:tc>
          <w:tcPr>
            <w:tcW w:w="954" w:type="dxa"/>
          </w:tcPr>
          <w:p w:rsidR="00AA2BE3" w:rsidRPr="0091532E" w:rsidRDefault="00AA2BE3" w:rsidP="0091532E">
            <w:pPr>
              <w:pStyle w:val="Tabletext"/>
              <w:jc w:val="center"/>
              <w:rPr>
                <w:b/>
                <w:bCs/>
                <w:sz w:val="18"/>
              </w:rPr>
            </w:pPr>
            <w:r w:rsidRPr="0091532E">
              <w:rPr>
                <w:b/>
                <w:bCs/>
                <w:sz w:val="18"/>
              </w:rPr>
              <w:t>2</w:t>
            </w:r>
          </w:p>
        </w:tc>
        <w:tc>
          <w:tcPr>
            <w:tcW w:w="988" w:type="dxa"/>
          </w:tcPr>
          <w:p w:rsidR="00AA2BE3" w:rsidRPr="0091532E" w:rsidRDefault="00AA2BE3" w:rsidP="0091532E">
            <w:pPr>
              <w:pStyle w:val="Tabletext"/>
              <w:jc w:val="center"/>
              <w:rPr>
                <w:b/>
                <w:bCs/>
                <w:sz w:val="18"/>
              </w:rPr>
            </w:pPr>
            <w:r w:rsidRPr="0091532E">
              <w:rPr>
                <w:b/>
                <w:bCs/>
                <w:sz w:val="18"/>
              </w:rPr>
              <w:t>7</w:t>
            </w:r>
          </w:p>
        </w:tc>
        <w:tc>
          <w:tcPr>
            <w:tcW w:w="988" w:type="dxa"/>
          </w:tcPr>
          <w:p w:rsidR="00AA2BE3" w:rsidRPr="0091532E" w:rsidRDefault="00AA2BE3" w:rsidP="0091532E">
            <w:pPr>
              <w:pStyle w:val="Tabletext"/>
              <w:jc w:val="center"/>
              <w:rPr>
                <w:b/>
                <w:bCs/>
                <w:sz w:val="18"/>
              </w:rPr>
            </w:pPr>
            <w:r w:rsidRPr="0091532E">
              <w:rPr>
                <w:b/>
                <w:bCs/>
                <w:sz w:val="18"/>
              </w:rPr>
              <w:t>11</w:t>
            </w:r>
          </w:p>
        </w:tc>
        <w:tc>
          <w:tcPr>
            <w:tcW w:w="988" w:type="dxa"/>
          </w:tcPr>
          <w:p w:rsidR="00AA2BE3" w:rsidRPr="0091532E" w:rsidRDefault="00AA2BE3" w:rsidP="0091532E">
            <w:pPr>
              <w:pStyle w:val="Tabletext"/>
              <w:jc w:val="center"/>
              <w:rPr>
                <w:b/>
                <w:bCs/>
                <w:sz w:val="18"/>
              </w:rPr>
            </w:pPr>
            <w:r w:rsidRPr="0091532E">
              <w:rPr>
                <w:b/>
                <w:bCs/>
                <w:sz w:val="18"/>
              </w:rPr>
              <w:t>2</w:t>
            </w:r>
          </w:p>
        </w:tc>
        <w:tc>
          <w:tcPr>
            <w:tcW w:w="988" w:type="dxa"/>
          </w:tcPr>
          <w:p w:rsidR="00AA2BE3" w:rsidRPr="0091532E" w:rsidRDefault="00AA2BE3" w:rsidP="0091532E">
            <w:pPr>
              <w:pStyle w:val="Tabletext"/>
              <w:jc w:val="center"/>
              <w:rPr>
                <w:b/>
                <w:bCs/>
                <w:sz w:val="18"/>
              </w:rPr>
            </w:pPr>
            <w:r w:rsidRPr="0091532E">
              <w:rPr>
                <w:b/>
                <w:bCs/>
                <w:sz w:val="18"/>
              </w:rPr>
              <w:t>4</w:t>
            </w:r>
          </w:p>
        </w:tc>
      </w:tr>
      <w:tr w:rsidR="00AA2BE3" w:rsidRPr="0091532E" w:rsidTr="0091532E">
        <w:tc>
          <w:tcPr>
            <w:tcW w:w="776" w:type="dxa"/>
          </w:tcPr>
          <w:p w:rsidR="00AA2BE3" w:rsidRPr="0091532E" w:rsidRDefault="00AA2BE3" w:rsidP="0091532E">
            <w:pPr>
              <w:pStyle w:val="Tabletext"/>
              <w:jc w:val="center"/>
              <w:rPr>
                <w:b/>
                <w:bCs/>
                <w:sz w:val="18"/>
              </w:rPr>
            </w:pPr>
            <w:r w:rsidRPr="0091532E">
              <w:rPr>
                <w:b/>
                <w:bCs/>
                <w:sz w:val="18"/>
              </w:rPr>
              <w:t>6</w:t>
            </w:r>
          </w:p>
        </w:tc>
        <w:tc>
          <w:tcPr>
            <w:tcW w:w="990" w:type="dxa"/>
          </w:tcPr>
          <w:p w:rsidR="00AA2BE3" w:rsidRPr="0091532E" w:rsidRDefault="00AA2BE3" w:rsidP="0091532E">
            <w:pPr>
              <w:pStyle w:val="Tabletext"/>
              <w:jc w:val="center"/>
              <w:rPr>
                <w:b/>
                <w:bCs/>
                <w:sz w:val="18"/>
              </w:rPr>
            </w:pPr>
            <w:r w:rsidRPr="0091532E">
              <w:rPr>
                <w:b/>
                <w:bCs/>
                <w:sz w:val="18"/>
              </w:rPr>
              <w:t>–5.4461</w:t>
            </w:r>
          </w:p>
        </w:tc>
        <w:tc>
          <w:tcPr>
            <w:tcW w:w="990" w:type="dxa"/>
          </w:tcPr>
          <w:p w:rsidR="00AA2BE3" w:rsidRPr="0091532E" w:rsidRDefault="00AA2BE3" w:rsidP="0091532E">
            <w:pPr>
              <w:pStyle w:val="Tabletext"/>
              <w:jc w:val="center"/>
              <w:rPr>
                <w:b/>
                <w:bCs/>
                <w:sz w:val="18"/>
              </w:rPr>
            </w:pPr>
            <w:r w:rsidRPr="0091532E">
              <w:rPr>
                <w:b/>
                <w:bCs/>
                <w:sz w:val="18"/>
              </w:rPr>
              <w:t>–7.8506</w:t>
            </w:r>
          </w:p>
        </w:tc>
        <w:tc>
          <w:tcPr>
            <w:tcW w:w="989" w:type="dxa"/>
          </w:tcPr>
          <w:p w:rsidR="00AA2BE3" w:rsidRPr="0091532E" w:rsidRDefault="00AA2BE3" w:rsidP="0091532E">
            <w:pPr>
              <w:pStyle w:val="Tabletext"/>
              <w:jc w:val="center"/>
              <w:rPr>
                <w:b/>
                <w:bCs/>
                <w:sz w:val="18"/>
              </w:rPr>
            </w:pPr>
            <w:r w:rsidRPr="0091532E">
              <w:rPr>
                <w:b/>
                <w:bCs/>
                <w:sz w:val="18"/>
              </w:rPr>
              <w:t>–1.6109</w:t>
            </w:r>
          </w:p>
        </w:tc>
        <w:tc>
          <w:tcPr>
            <w:tcW w:w="988" w:type="dxa"/>
          </w:tcPr>
          <w:p w:rsidR="00AA2BE3" w:rsidRPr="0091532E" w:rsidRDefault="00AA2BE3" w:rsidP="0091532E">
            <w:pPr>
              <w:pStyle w:val="Tabletext"/>
              <w:jc w:val="center"/>
              <w:rPr>
                <w:b/>
                <w:bCs/>
                <w:sz w:val="18"/>
              </w:rPr>
            </w:pPr>
            <w:r w:rsidRPr="0091532E">
              <w:rPr>
                <w:b/>
                <w:bCs/>
                <w:sz w:val="18"/>
              </w:rPr>
              <w:t>2.2334</w:t>
            </w:r>
          </w:p>
        </w:tc>
        <w:tc>
          <w:tcPr>
            <w:tcW w:w="954" w:type="dxa"/>
          </w:tcPr>
          <w:p w:rsidR="00AA2BE3" w:rsidRPr="0091532E" w:rsidRDefault="00AA2BE3" w:rsidP="0091532E">
            <w:pPr>
              <w:pStyle w:val="Tabletext"/>
              <w:jc w:val="center"/>
              <w:rPr>
                <w:b/>
                <w:bCs/>
                <w:sz w:val="18"/>
              </w:rPr>
            </w:pPr>
            <w:r w:rsidRPr="0091532E">
              <w:rPr>
                <w:b/>
                <w:bCs/>
                <w:sz w:val="18"/>
              </w:rPr>
              <w:t>1.2894</w:t>
            </w:r>
          </w:p>
        </w:tc>
        <w:tc>
          <w:tcPr>
            <w:tcW w:w="988" w:type="dxa"/>
          </w:tcPr>
          <w:p w:rsidR="00AA2BE3" w:rsidRPr="0091532E" w:rsidRDefault="00AA2BE3" w:rsidP="0091532E">
            <w:pPr>
              <w:pStyle w:val="Tabletext"/>
              <w:jc w:val="center"/>
              <w:rPr>
                <w:b/>
                <w:bCs/>
                <w:sz w:val="18"/>
              </w:rPr>
            </w:pPr>
            <w:r w:rsidRPr="0091532E">
              <w:rPr>
                <w:b/>
                <w:bCs/>
                <w:sz w:val="18"/>
              </w:rPr>
              <w:t>–14.452</w:t>
            </w:r>
          </w:p>
        </w:tc>
        <w:tc>
          <w:tcPr>
            <w:tcW w:w="988" w:type="dxa"/>
          </w:tcPr>
          <w:p w:rsidR="00AA2BE3" w:rsidRPr="0091532E" w:rsidRDefault="00AA2BE3" w:rsidP="0091532E">
            <w:pPr>
              <w:pStyle w:val="Tabletext"/>
              <w:jc w:val="center"/>
              <w:rPr>
                <w:b/>
                <w:bCs/>
                <w:sz w:val="18"/>
              </w:rPr>
            </w:pPr>
            <w:r w:rsidRPr="0091532E">
              <w:rPr>
                <w:b/>
                <w:bCs/>
                <w:sz w:val="18"/>
              </w:rPr>
              <w:t>1.9713</w:t>
            </w:r>
          </w:p>
        </w:tc>
        <w:tc>
          <w:tcPr>
            <w:tcW w:w="988" w:type="dxa"/>
          </w:tcPr>
          <w:p w:rsidR="00AA2BE3" w:rsidRPr="0091532E" w:rsidRDefault="00AA2BE3" w:rsidP="0091532E">
            <w:pPr>
              <w:pStyle w:val="Tabletext"/>
              <w:jc w:val="center"/>
              <w:rPr>
                <w:b/>
                <w:bCs/>
                <w:sz w:val="18"/>
              </w:rPr>
            </w:pPr>
            <w:r w:rsidRPr="0091532E">
              <w:rPr>
                <w:b/>
                <w:bCs/>
                <w:sz w:val="18"/>
              </w:rPr>
              <w:t>–2.839</w:t>
            </w:r>
          </w:p>
        </w:tc>
        <w:tc>
          <w:tcPr>
            <w:tcW w:w="988" w:type="dxa"/>
          </w:tcPr>
          <w:p w:rsidR="00AA2BE3" w:rsidRPr="0091532E" w:rsidRDefault="00AA2BE3" w:rsidP="0091532E">
            <w:pPr>
              <w:pStyle w:val="Tabletext"/>
              <w:jc w:val="center"/>
              <w:rPr>
                <w:b/>
                <w:bCs/>
                <w:sz w:val="18"/>
              </w:rPr>
            </w:pPr>
            <w:r w:rsidRPr="0091532E">
              <w:rPr>
                <w:b/>
                <w:bCs/>
                <w:sz w:val="18"/>
              </w:rPr>
              <w:t>–4.2604</w:t>
            </w:r>
          </w:p>
        </w:tc>
      </w:tr>
      <w:tr w:rsidR="00AA2BE3" w:rsidRPr="0091532E" w:rsidTr="0091532E">
        <w:tc>
          <w:tcPr>
            <w:tcW w:w="776" w:type="dxa"/>
          </w:tcPr>
          <w:p w:rsidR="00AA2BE3" w:rsidRPr="0091532E" w:rsidRDefault="00AA2BE3" w:rsidP="0091532E">
            <w:pPr>
              <w:pStyle w:val="Tabletext"/>
              <w:jc w:val="center"/>
              <w:rPr>
                <w:b/>
                <w:bCs/>
                <w:sz w:val="18"/>
              </w:rPr>
            </w:pPr>
            <w:r w:rsidRPr="0091532E">
              <w:rPr>
                <w:b/>
                <w:bCs/>
                <w:sz w:val="18"/>
              </w:rPr>
              <w:t>7</w:t>
            </w:r>
          </w:p>
        </w:tc>
        <w:tc>
          <w:tcPr>
            <w:tcW w:w="990" w:type="dxa"/>
          </w:tcPr>
          <w:p w:rsidR="00AA2BE3" w:rsidRPr="0091532E" w:rsidRDefault="00AA2BE3" w:rsidP="0091532E">
            <w:pPr>
              <w:pStyle w:val="Tabletext"/>
              <w:jc w:val="center"/>
              <w:rPr>
                <w:b/>
                <w:bCs/>
                <w:sz w:val="18"/>
              </w:rPr>
            </w:pPr>
            <w:r w:rsidRPr="0091532E">
              <w:rPr>
                <w:b/>
                <w:bCs/>
                <w:sz w:val="18"/>
              </w:rPr>
              <w:t>42.615</w:t>
            </w:r>
          </w:p>
        </w:tc>
        <w:tc>
          <w:tcPr>
            <w:tcW w:w="990" w:type="dxa"/>
          </w:tcPr>
          <w:p w:rsidR="00AA2BE3" w:rsidRPr="0091532E" w:rsidRDefault="00AA2BE3" w:rsidP="0091532E">
            <w:pPr>
              <w:pStyle w:val="Tabletext"/>
              <w:jc w:val="center"/>
              <w:rPr>
                <w:b/>
                <w:bCs/>
                <w:sz w:val="18"/>
              </w:rPr>
            </w:pPr>
            <w:r w:rsidRPr="0091532E">
              <w:rPr>
                <w:b/>
                <w:bCs/>
                <w:sz w:val="18"/>
              </w:rPr>
              <w:t>41.078</w:t>
            </w:r>
          </w:p>
        </w:tc>
        <w:tc>
          <w:tcPr>
            <w:tcW w:w="989" w:type="dxa"/>
          </w:tcPr>
          <w:p w:rsidR="00AA2BE3" w:rsidRPr="0091532E" w:rsidRDefault="00AA2BE3" w:rsidP="0091532E">
            <w:pPr>
              <w:pStyle w:val="Tabletext"/>
              <w:jc w:val="center"/>
              <w:rPr>
                <w:b/>
                <w:bCs/>
                <w:sz w:val="18"/>
              </w:rPr>
            </w:pPr>
            <w:r w:rsidRPr="0091532E">
              <w:rPr>
                <w:b/>
                <w:bCs/>
                <w:sz w:val="18"/>
              </w:rPr>
              <w:t>46.283</w:t>
            </w:r>
          </w:p>
        </w:tc>
        <w:tc>
          <w:tcPr>
            <w:tcW w:w="988" w:type="dxa"/>
          </w:tcPr>
          <w:p w:rsidR="00AA2BE3" w:rsidRPr="0091532E" w:rsidRDefault="00AA2BE3" w:rsidP="0091532E">
            <w:pPr>
              <w:pStyle w:val="Tabletext"/>
              <w:jc w:val="center"/>
              <w:rPr>
                <w:b/>
                <w:bCs/>
                <w:sz w:val="18"/>
              </w:rPr>
            </w:pPr>
            <w:r w:rsidRPr="0091532E">
              <w:rPr>
                <w:b/>
                <w:bCs/>
                <w:sz w:val="18"/>
              </w:rPr>
              <w:t>69.786</w:t>
            </w:r>
          </w:p>
        </w:tc>
        <w:tc>
          <w:tcPr>
            <w:tcW w:w="954" w:type="dxa"/>
          </w:tcPr>
          <w:p w:rsidR="00AA2BE3" w:rsidRPr="0091532E" w:rsidRDefault="00AA2BE3" w:rsidP="0091532E">
            <w:pPr>
              <w:pStyle w:val="Tabletext"/>
              <w:jc w:val="center"/>
              <w:rPr>
                <w:b/>
                <w:bCs/>
                <w:sz w:val="18"/>
              </w:rPr>
            </w:pPr>
            <w:r w:rsidRPr="0091532E">
              <w:rPr>
                <w:b/>
                <w:bCs/>
                <w:sz w:val="18"/>
              </w:rPr>
              <w:t>37.462</w:t>
            </w:r>
          </w:p>
        </w:tc>
        <w:tc>
          <w:tcPr>
            <w:tcW w:w="988" w:type="dxa"/>
          </w:tcPr>
          <w:p w:rsidR="00AA2BE3" w:rsidRPr="0091532E" w:rsidRDefault="00AA2BE3" w:rsidP="0091532E">
            <w:pPr>
              <w:pStyle w:val="Tabletext"/>
              <w:jc w:val="center"/>
              <w:rPr>
                <w:b/>
                <w:bCs/>
                <w:sz w:val="18"/>
              </w:rPr>
            </w:pPr>
            <w:r w:rsidRPr="0091532E">
              <w:rPr>
                <w:b/>
                <w:bCs/>
                <w:sz w:val="18"/>
              </w:rPr>
              <w:t>48.984</w:t>
            </w:r>
          </w:p>
        </w:tc>
        <w:tc>
          <w:tcPr>
            <w:tcW w:w="988" w:type="dxa"/>
          </w:tcPr>
          <w:p w:rsidR="00AA2BE3" w:rsidRPr="0091532E" w:rsidRDefault="00AA2BE3" w:rsidP="0091532E">
            <w:pPr>
              <w:pStyle w:val="Tabletext"/>
              <w:jc w:val="center"/>
              <w:rPr>
                <w:b/>
                <w:bCs/>
                <w:sz w:val="18"/>
              </w:rPr>
            </w:pPr>
            <w:r w:rsidRPr="0091532E">
              <w:rPr>
                <w:b/>
                <w:bCs/>
                <w:sz w:val="18"/>
              </w:rPr>
              <w:t>31.782</w:t>
            </w:r>
          </w:p>
        </w:tc>
        <w:tc>
          <w:tcPr>
            <w:tcW w:w="988" w:type="dxa"/>
          </w:tcPr>
          <w:p w:rsidR="00AA2BE3" w:rsidRPr="0091532E" w:rsidRDefault="00AA2BE3" w:rsidP="0091532E">
            <w:pPr>
              <w:pStyle w:val="Tabletext"/>
              <w:jc w:val="center"/>
              <w:rPr>
                <w:b/>
                <w:bCs/>
                <w:sz w:val="18"/>
              </w:rPr>
            </w:pPr>
            <w:r w:rsidRPr="0091532E">
              <w:rPr>
                <w:b/>
                <w:bCs/>
                <w:sz w:val="18"/>
              </w:rPr>
              <w:t>37.818</w:t>
            </w:r>
          </w:p>
        </w:tc>
        <w:tc>
          <w:tcPr>
            <w:tcW w:w="988" w:type="dxa"/>
          </w:tcPr>
          <w:p w:rsidR="00AA2BE3" w:rsidRPr="0091532E" w:rsidRDefault="00AA2BE3" w:rsidP="0091532E">
            <w:pPr>
              <w:pStyle w:val="Tabletext"/>
              <w:jc w:val="center"/>
              <w:rPr>
                <w:b/>
                <w:bCs/>
                <w:sz w:val="18"/>
              </w:rPr>
            </w:pPr>
            <w:r w:rsidRPr="0091532E">
              <w:rPr>
                <w:b/>
                <w:bCs/>
                <w:sz w:val="18"/>
              </w:rPr>
              <w:t>42.222</w:t>
            </w:r>
          </w:p>
        </w:tc>
      </w:tr>
      <w:tr w:rsidR="00AA2BE3" w:rsidRPr="0091532E" w:rsidTr="0091532E">
        <w:tc>
          <w:tcPr>
            <w:tcW w:w="776" w:type="dxa"/>
          </w:tcPr>
          <w:p w:rsidR="00AA2BE3" w:rsidRPr="0091532E" w:rsidRDefault="00AA2BE3" w:rsidP="0091532E">
            <w:pPr>
              <w:pStyle w:val="Tabletext"/>
              <w:jc w:val="center"/>
              <w:rPr>
                <w:b/>
                <w:bCs/>
                <w:sz w:val="18"/>
              </w:rPr>
            </w:pPr>
            <w:r w:rsidRPr="0091532E">
              <w:rPr>
                <w:b/>
                <w:bCs/>
                <w:sz w:val="18"/>
              </w:rPr>
              <w:t>8</w:t>
            </w:r>
          </w:p>
        </w:tc>
        <w:tc>
          <w:tcPr>
            <w:tcW w:w="990" w:type="dxa"/>
          </w:tcPr>
          <w:p w:rsidR="00AA2BE3" w:rsidRPr="0091532E" w:rsidRDefault="00AA2BE3" w:rsidP="0091532E">
            <w:pPr>
              <w:pStyle w:val="Tabletext"/>
              <w:jc w:val="center"/>
              <w:rPr>
                <w:b/>
                <w:bCs/>
                <w:sz w:val="18"/>
              </w:rPr>
            </w:pPr>
            <w:r w:rsidRPr="0091532E">
              <w:rPr>
                <w:b/>
                <w:bCs/>
                <w:sz w:val="18"/>
              </w:rPr>
              <w:t>–118.21</w:t>
            </w:r>
          </w:p>
        </w:tc>
        <w:tc>
          <w:tcPr>
            <w:tcW w:w="990" w:type="dxa"/>
          </w:tcPr>
          <w:p w:rsidR="00AA2BE3" w:rsidRPr="0091532E" w:rsidRDefault="00AA2BE3" w:rsidP="0091532E">
            <w:pPr>
              <w:pStyle w:val="Tabletext"/>
              <w:jc w:val="center"/>
              <w:rPr>
                <w:b/>
                <w:bCs/>
                <w:sz w:val="18"/>
              </w:rPr>
            </w:pPr>
            <w:r w:rsidRPr="0091532E">
              <w:rPr>
                <w:b/>
                <w:bCs/>
                <w:sz w:val="18"/>
              </w:rPr>
              <w:t>–120.75</w:t>
            </w:r>
          </w:p>
        </w:tc>
        <w:tc>
          <w:tcPr>
            <w:tcW w:w="989" w:type="dxa"/>
          </w:tcPr>
          <w:p w:rsidR="00AA2BE3" w:rsidRPr="0091532E" w:rsidRDefault="00AA2BE3" w:rsidP="0091532E">
            <w:pPr>
              <w:pStyle w:val="Tabletext"/>
              <w:jc w:val="center"/>
              <w:rPr>
                <w:b/>
                <w:bCs/>
                <w:sz w:val="18"/>
              </w:rPr>
            </w:pPr>
            <w:r w:rsidRPr="0091532E">
              <w:rPr>
                <w:b/>
                <w:bCs/>
                <w:sz w:val="18"/>
              </w:rPr>
              <w:t>–114.61</w:t>
            </w:r>
          </w:p>
        </w:tc>
        <w:tc>
          <w:tcPr>
            <w:tcW w:w="988" w:type="dxa"/>
          </w:tcPr>
          <w:p w:rsidR="00AA2BE3" w:rsidRPr="0091532E" w:rsidRDefault="00AA2BE3" w:rsidP="0091532E">
            <w:pPr>
              <w:pStyle w:val="Tabletext"/>
              <w:jc w:val="center"/>
              <w:rPr>
                <w:b/>
                <w:bCs/>
                <w:sz w:val="18"/>
              </w:rPr>
            </w:pPr>
            <w:r w:rsidRPr="0091532E">
              <w:rPr>
                <w:b/>
                <w:bCs/>
                <w:sz w:val="18"/>
              </w:rPr>
              <w:t>–106.88</w:t>
            </w:r>
          </w:p>
        </w:tc>
        <w:tc>
          <w:tcPr>
            <w:tcW w:w="954" w:type="dxa"/>
          </w:tcPr>
          <w:p w:rsidR="00AA2BE3" w:rsidRPr="0091532E" w:rsidRDefault="00AA2BE3" w:rsidP="0091532E">
            <w:pPr>
              <w:pStyle w:val="Tabletext"/>
              <w:jc w:val="center"/>
              <w:rPr>
                <w:b/>
                <w:bCs/>
                <w:sz w:val="18"/>
              </w:rPr>
            </w:pPr>
            <w:r w:rsidRPr="0091532E">
              <w:rPr>
                <w:b/>
                <w:bCs/>
                <w:sz w:val="18"/>
              </w:rPr>
              <w:t>–110.9</w:t>
            </w:r>
          </w:p>
        </w:tc>
        <w:tc>
          <w:tcPr>
            <w:tcW w:w="988" w:type="dxa"/>
          </w:tcPr>
          <w:p w:rsidR="00AA2BE3" w:rsidRPr="0091532E" w:rsidRDefault="00AA2BE3" w:rsidP="0091532E">
            <w:pPr>
              <w:pStyle w:val="Tabletext"/>
              <w:jc w:val="center"/>
              <w:rPr>
                <w:b/>
                <w:bCs/>
                <w:sz w:val="18"/>
              </w:rPr>
            </w:pPr>
            <w:r w:rsidRPr="0091532E">
              <w:rPr>
                <w:b/>
                <w:bCs/>
                <w:sz w:val="18"/>
              </w:rPr>
              <w:t>–99.162</w:t>
            </w:r>
          </w:p>
        </w:tc>
        <w:tc>
          <w:tcPr>
            <w:tcW w:w="988" w:type="dxa"/>
          </w:tcPr>
          <w:p w:rsidR="00AA2BE3" w:rsidRPr="0091532E" w:rsidRDefault="00AA2BE3" w:rsidP="0091532E">
            <w:pPr>
              <w:pStyle w:val="Tabletext"/>
              <w:jc w:val="center"/>
              <w:rPr>
                <w:b/>
                <w:bCs/>
                <w:sz w:val="18"/>
              </w:rPr>
            </w:pPr>
            <w:r w:rsidRPr="0091532E">
              <w:rPr>
                <w:b/>
                <w:bCs/>
                <w:sz w:val="18"/>
              </w:rPr>
              <w:t>–107.04</w:t>
            </w:r>
          </w:p>
        </w:tc>
        <w:tc>
          <w:tcPr>
            <w:tcW w:w="988" w:type="dxa"/>
          </w:tcPr>
          <w:p w:rsidR="00AA2BE3" w:rsidRPr="0091532E" w:rsidRDefault="00AA2BE3" w:rsidP="0091532E">
            <w:pPr>
              <w:pStyle w:val="Tabletext"/>
              <w:jc w:val="center"/>
              <w:rPr>
                <w:b/>
                <w:bCs/>
                <w:sz w:val="18"/>
              </w:rPr>
            </w:pPr>
            <w:r w:rsidRPr="0091532E">
              <w:rPr>
                <w:b/>
                <w:bCs/>
                <w:sz w:val="18"/>
              </w:rPr>
              <w:t>–111.06</w:t>
            </w:r>
          </w:p>
        </w:tc>
        <w:tc>
          <w:tcPr>
            <w:tcW w:w="988" w:type="dxa"/>
          </w:tcPr>
          <w:p w:rsidR="00AA2BE3" w:rsidRPr="0091532E" w:rsidRDefault="00AA2BE3" w:rsidP="0091532E">
            <w:pPr>
              <w:pStyle w:val="Tabletext"/>
              <w:jc w:val="center"/>
              <w:rPr>
                <w:b/>
                <w:bCs/>
                <w:sz w:val="18"/>
              </w:rPr>
            </w:pPr>
            <w:r w:rsidRPr="0091532E">
              <w:rPr>
                <w:b/>
                <w:bCs/>
                <w:sz w:val="18"/>
              </w:rPr>
              <w:t>–97.731</w:t>
            </w:r>
          </w:p>
        </w:tc>
      </w:tr>
      <w:tr w:rsidR="00AA2BE3" w:rsidRPr="0091532E" w:rsidTr="0091532E">
        <w:tc>
          <w:tcPr>
            <w:tcW w:w="776" w:type="dxa"/>
          </w:tcPr>
          <w:p w:rsidR="00AA2BE3" w:rsidRPr="0091532E" w:rsidRDefault="00AA2BE3" w:rsidP="0091532E">
            <w:pPr>
              <w:pStyle w:val="Tabletext"/>
              <w:jc w:val="center"/>
              <w:rPr>
                <w:b/>
                <w:bCs/>
                <w:sz w:val="18"/>
              </w:rPr>
            </w:pPr>
            <w:r w:rsidRPr="0091532E">
              <w:rPr>
                <w:b/>
                <w:bCs/>
                <w:sz w:val="18"/>
              </w:rPr>
              <w:t>9</w:t>
            </w:r>
          </w:p>
        </w:tc>
        <w:tc>
          <w:tcPr>
            <w:tcW w:w="990" w:type="dxa"/>
          </w:tcPr>
          <w:p w:rsidR="00AA2BE3" w:rsidRPr="0091532E" w:rsidRDefault="00AA2BE3" w:rsidP="0091532E">
            <w:pPr>
              <w:pStyle w:val="Tabletext"/>
              <w:jc w:val="center"/>
              <w:rPr>
                <w:b/>
                <w:bCs/>
                <w:sz w:val="18"/>
              </w:rPr>
            </w:pPr>
            <w:r w:rsidRPr="0091532E">
              <w:rPr>
                <w:b/>
                <w:bCs/>
                <w:sz w:val="18"/>
              </w:rPr>
              <w:t>25.972</w:t>
            </w:r>
          </w:p>
        </w:tc>
        <w:tc>
          <w:tcPr>
            <w:tcW w:w="990" w:type="dxa"/>
          </w:tcPr>
          <w:p w:rsidR="00AA2BE3" w:rsidRPr="0091532E" w:rsidRDefault="00AA2BE3" w:rsidP="0091532E">
            <w:pPr>
              <w:pStyle w:val="Tabletext"/>
              <w:jc w:val="center"/>
              <w:rPr>
                <w:b/>
                <w:bCs/>
                <w:sz w:val="18"/>
              </w:rPr>
            </w:pPr>
            <w:r w:rsidRPr="0091532E">
              <w:rPr>
                <w:b/>
                <w:bCs/>
                <w:sz w:val="18"/>
              </w:rPr>
              <w:t>21.952</w:t>
            </w:r>
          </w:p>
        </w:tc>
        <w:tc>
          <w:tcPr>
            <w:tcW w:w="989" w:type="dxa"/>
          </w:tcPr>
          <w:p w:rsidR="00AA2BE3" w:rsidRPr="0091532E" w:rsidRDefault="00AA2BE3" w:rsidP="0091532E">
            <w:pPr>
              <w:pStyle w:val="Tabletext"/>
              <w:jc w:val="center"/>
              <w:rPr>
                <w:b/>
                <w:bCs/>
                <w:sz w:val="18"/>
              </w:rPr>
            </w:pPr>
            <w:r w:rsidRPr="0091532E">
              <w:rPr>
                <w:b/>
                <w:bCs/>
                <w:sz w:val="18"/>
              </w:rPr>
              <w:t>22.31</w:t>
            </w:r>
          </w:p>
        </w:tc>
        <w:tc>
          <w:tcPr>
            <w:tcW w:w="988" w:type="dxa"/>
          </w:tcPr>
          <w:p w:rsidR="00AA2BE3" w:rsidRPr="0091532E" w:rsidRDefault="00AA2BE3" w:rsidP="0091532E">
            <w:pPr>
              <w:pStyle w:val="Tabletext"/>
              <w:jc w:val="center"/>
              <w:rPr>
                <w:b/>
                <w:bCs/>
                <w:sz w:val="18"/>
              </w:rPr>
            </w:pPr>
            <w:r w:rsidRPr="0091532E">
              <w:rPr>
                <w:b/>
                <w:bCs/>
                <w:sz w:val="18"/>
              </w:rPr>
              <w:t>22.43</w:t>
            </w:r>
          </w:p>
        </w:tc>
        <w:tc>
          <w:tcPr>
            <w:tcW w:w="954" w:type="dxa"/>
          </w:tcPr>
          <w:p w:rsidR="00AA2BE3" w:rsidRPr="0091532E" w:rsidRDefault="00AA2BE3" w:rsidP="0091532E">
            <w:pPr>
              <w:pStyle w:val="Tabletext"/>
              <w:jc w:val="center"/>
              <w:rPr>
                <w:b/>
                <w:bCs/>
                <w:sz w:val="18"/>
              </w:rPr>
            </w:pPr>
            <w:r w:rsidRPr="0091532E">
              <w:rPr>
                <w:b/>
                <w:bCs/>
                <w:sz w:val="18"/>
              </w:rPr>
              <w:t>22.028</w:t>
            </w:r>
          </w:p>
        </w:tc>
        <w:tc>
          <w:tcPr>
            <w:tcW w:w="988" w:type="dxa"/>
          </w:tcPr>
          <w:p w:rsidR="00AA2BE3" w:rsidRPr="0091532E" w:rsidRDefault="00AA2BE3" w:rsidP="0091532E">
            <w:pPr>
              <w:pStyle w:val="Tabletext"/>
              <w:jc w:val="center"/>
              <w:rPr>
                <w:b/>
                <w:bCs/>
                <w:sz w:val="18"/>
              </w:rPr>
            </w:pPr>
            <w:r w:rsidRPr="0091532E">
              <w:rPr>
                <w:b/>
                <w:bCs/>
                <w:sz w:val="18"/>
              </w:rPr>
              <w:t>21.875</w:t>
            </w:r>
          </w:p>
        </w:tc>
        <w:tc>
          <w:tcPr>
            <w:tcW w:w="988" w:type="dxa"/>
          </w:tcPr>
          <w:p w:rsidR="00AA2BE3" w:rsidRPr="0091532E" w:rsidRDefault="00AA2BE3" w:rsidP="0091532E">
            <w:pPr>
              <w:pStyle w:val="Tabletext"/>
              <w:jc w:val="center"/>
              <w:rPr>
                <w:b/>
                <w:bCs/>
                <w:sz w:val="18"/>
              </w:rPr>
            </w:pPr>
            <w:r w:rsidRPr="0091532E">
              <w:rPr>
                <w:b/>
                <w:bCs/>
                <w:sz w:val="18"/>
              </w:rPr>
              <w:t>23.174</w:t>
            </w:r>
          </w:p>
        </w:tc>
        <w:tc>
          <w:tcPr>
            <w:tcW w:w="988" w:type="dxa"/>
          </w:tcPr>
          <w:p w:rsidR="00AA2BE3" w:rsidRPr="0091532E" w:rsidRDefault="00AA2BE3" w:rsidP="0091532E">
            <w:pPr>
              <w:pStyle w:val="Tabletext"/>
              <w:jc w:val="center"/>
              <w:rPr>
                <w:b/>
                <w:bCs/>
                <w:sz w:val="18"/>
              </w:rPr>
            </w:pPr>
            <w:r w:rsidRPr="0091532E">
              <w:rPr>
                <w:b/>
                <w:bCs/>
                <w:sz w:val="18"/>
              </w:rPr>
              <w:t>23.723</w:t>
            </w:r>
          </w:p>
        </w:tc>
        <w:tc>
          <w:tcPr>
            <w:tcW w:w="988" w:type="dxa"/>
          </w:tcPr>
          <w:p w:rsidR="00AA2BE3" w:rsidRPr="0091532E" w:rsidRDefault="00AA2BE3" w:rsidP="0091532E">
            <w:pPr>
              <w:pStyle w:val="Tabletext"/>
              <w:jc w:val="center"/>
              <w:rPr>
                <w:b/>
                <w:bCs/>
                <w:sz w:val="18"/>
              </w:rPr>
            </w:pPr>
            <w:r w:rsidRPr="0091532E">
              <w:rPr>
                <w:b/>
                <w:bCs/>
                <w:sz w:val="18"/>
              </w:rPr>
              <w:t>25.42</w:t>
            </w:r>
          </w:p>
        </w:tc>
      </w:tr>
      <w:tr w:rsidR="00AA2BE3" w:rsidRPr="0091532E" w:rsidTr="0091532E">
        <w:tc>
          <w:tcPr>
            <w:tcW w:w="776" w:type="dxa"/>
          </w:tcPr>
          <w:p w:rsidR="00AA2BE3" w:rsidRPr="0091532E" w:rsidRDefault="00AA2BE3" w:rsidP="0091532E">
            <w:pPr>
              <w:pStyle w:val="Tabletext"/>
              <w:jc w:val="center"/>
              <w:rPr>
                <w:b/>
                <w:bCs/>
                <w:sz w:val="18"/>
              </w:rPr>
            </w:pPr>
            <w:r w:rsidRPr="0091532E">
              <w:rPr>
                <w:b/>
                <w:bCs/>
                <w:sz w:val="18"/>
              </w:rPr>
              <w:t>10</w:t>
            </w:r>
          </w:p>
        </w:tc>
        <w:tc>
          <w:tcPr>
            <w:tcW w:w="990" w:type="dxa"/>
          </w:tcPr>
          <w:p w:rsidR="00AA2BE3" w:rsidRPr="0091532E" w:rsidRDefault="00AA2BE3" w:rsidP="0091532E">
            <w:pPr>
              <w:pStyle w:val="Tabletext"/>
              <w:jc w:val="center"/>
              <w:rPr>
                <w:b/>
                <w:bCs/>
                <w:sz w:val="18"/>
              </w:rPr>
            </w:pPr>
            <w:r w:rsidRPr="0091532E">
              <w:rPr>
                <w:b/>
                <w:bCs/>
                <w:sz w:val="18"/>
              </w:rPr>
              <w:t>240.14</w:t>
            </w:r>
          </w:p>
        </w:tc>
        <w:tc>
          <w:tcPr>
            <w:tcW w:w="990" w:type="dxa"/>
          </w:tcPr>
          <w:p w:rsidR="00AA2BE3" w:rsidRPr="0091532E" w:rsidRDefault="00AA2BE3" w:rsidP="0091532E">
            <w:pPr>
              <w:pStyle w:val="Tabletext"/>
              <w:jc w:val="center"/>
              <w:rPr>
                <w:b/>
                <w:bCs/>
                <w:sz w:val="18"/>
              </w:rPr>
            </w:pPr>
            <w:r w:rsidRPr="0091532E">
              <w:rPr>
                <w:b/>
                <w:bCs/>
                <w:sz w:val="18"/>
              </w:rPr>
              <w:t>233.47</w:t>
            </w:r>
          </w:p>
        </w:tc>
        <w:tc>
          <w:tcPr>
            <w:tcW w:w="989" w:type="dxa"/>
          </w:tcPr>
          <w:p w:rsidR="00AA2BE3" w:rsidRPr="0091532E" w:rsidRDefault="00AA2BE3" w:rsidP="0091532E">
            <w:pPr>
              <w:pStyle w:val="Tabletext"/>
              <w:jc w:val="center"/>
              <w:rPr>
                <w:b/>
                <w:bCs/>
                <w:sz w:val="18"/>
              </w:rPr>
            </w:pPr>
            <w:r w:rsidRPr="0091532E">
              <w:rPr>
                <w:b/>
                <w:bCs/>
                <w:sz w:val="18"/>
              </w:rPr>
              <w:t>216.83</w:t>
            </w:r>
          </w:p>
        </w:tc>
        <w:tc>
          <w:tcPr>
            <w:tcW w:w="988" w:type="dxa"/>
          </w:tcPr>
          <w:p w:rsidR="00AA2BE3" w:rsidRPr="0091532E" w:rsidRDefault="00AA2BE3" w:rsidP="0091532E">
            <w:pPr>
              <w:pStyle w:val="Tabletext"/>
              <w:jc w:val="center"/>
              <w:rPr>
                <w:b/>
                <w:bCs/>
                <w:sz w:val="18"/>
              </w:rPr>
            </w:pPr>
            <w:r w:rsidRPr="0091532E">
              <w:rPr>
                <w:b/>
                <w:bCs/>
                <w:sz w:val="18"/>
              </w:rPr>
              <w:t>181.5</w:t>
            </w:r>
          </w:p>
        </w:tc>
        <w:tc>
          <w:tcPr>
            <w:tcW w:w="954" w:type="dxa"/>
          </w:tcPr>
          <w:p w:rsidR="00AA2BE3" w:rsidRPr="0091532E" w:rsidRDefault="00AA2BE3" w:rsidP="0091532E">
            <w:pPr>
              <w:pStyle w:val="Tabletext"/>
              <w:jc w:val="center"/>
              <w:rPr>
                <w:b/>
                <w:bCs/>
                <w:sz w:val="18"/>
              </w:rPr>
            </w:pPr>
            <w:r w:rsidRPr="0091532E">
              <w:rPr>
                <w:b/>
                <w:bCs/>
                <w:sz w:val="18"/>
              </w:rPr>
              <w:t>201.09</w:t>
            </w:r>
          </w:p>
        </w:tc>
        <w:tc>
          <w:tcPr>
            <w:tcW w:w="988" w:type="dxa"/>
          </w:tcPr>
          <w:p w:rsidR="00AA2BE3" w:rsidRPr="0091532E" w:rsidRDefault="00AA2BE3" w:rsidP="0091532E">
            <w:pPr>
              <w:pStyle w:val="Tabletext"/>
              <w:jc w:val="center"/>
              <w:rPr>
                <w:b/>
                <w:bCs/>
                <w:sz w:val="18"/>
              </w:rPr>
            </w:pPr>
            <w:r w:rsidRPr="0091532E">
              <w:rPr>
                <w:b/>
                <w:bCs/>
                <w:sz w:val="18"/>
              </w:rPr>
              <w:t>146.31</w:t>
            </w:r>
          </w:p>
        </w:tc>
        <w:tc>
          <w:tcPr>
            <w:tcW w:w="988" w:type="dxa"/>
          </w:tcPr>
          <w:p w:rsidR="00AA2BE3" w:rsidRPr="0091532E" w:rsidRDefault="00AA2BE3" w:rsidP="0091532E">
            <w:pPr>
              <w:pStyle w:val="Tabletext"/>
              <w:jc w:val="center"/>
              <w:rPr>
                <w:b/>
                <w:bCs/>
                <w:sz w:val="18"/>
              </w:rPr>
            </w:pPr>
            <w:r w:rsidRPr="0091532E">
              <w:rPr>
                <w:b/>
                <w:bCs/>
                <w:sz w:val="18"/>
              </w:rPr>
              <w:t>182.49</w:t>
            </w:r>
          </w:p>
        </w:tc>
        <w:tc>
          <w:tcPr>
            <w:tcW w:w="988" w:type="dxa"/>
          </w:tcPr>
          <w:p w:rsidR="00AA2BE3" w:rsidRPr="0091532E" w:rsidRDefault="00AA2BE3" w:rsidP="0091532E">
            <w:pPr>
              <w:pStyle w:val="Tabletext"/>
              <w:jc w:val="center"/>
              <w:rPr>
                <w:b/>
                <w:bCs/>
                <w:sz w:val="18"/>
              </w:rPr>
            </w:pPr>
            <w:r w:rsidRPr="0091532E">
              <w:rPr>
                <w:b/>
                <w:bCs/>
                <w:sz w:val="18"/>
              </w:rPr>
              <w:t>205.21</w:t>
            </w:r>
          </w:p>
        </w:tc>
        <w:tc>
          <w:tcPr>
            <w:tcW w:w="988" w:type="dxa"/>
          </w:tcPr>
          <w:p w:rsidR="00AA2BE3" w:rsidRPr="0091532E" w:rsidRDefault="00AA2BE3" w:rsidP="0091532E">
            <w:pPr>
              <w:pStyle w:val="Tabletext"/>
              <w:jc w:val="center"/>
              <w:rPr>
                <w:b/>
                <w:bCs/>
                <w:sz w:val="18"/>
              </w:rPr>
            </w:pPr>
            <w:r w:rsidRPr="0091532E">
              <w:rPr>
                <w:b/>
                <w:bCs/>
                <w:sz w:val="18"/>
              </w:rPr>
              <w:t>130.14</w:t>
            </w:r>
          </w:p>
        </w:tc>
      </w:tr>
      <w:tr w:rsidR="00AA2BE3" w:rsidRPr="0091532E" w:rsidTr="0091532E">
        <w:tc>
          <w:tcPr>
            <w:tcW w:w="776" w:type="dxa"/>
          </w:tcPr>
          <w:p w:rsidR="00AA2BE3" w:rsidRPr="0091532E" w:rsidRDefault="00AA2BE3" w:rsidP="0091532E">
            <w:pPr>
              <w:pStyle w:val="Tabletext"/>
              <w:jc w:val="center"/>
              <w:rPr>
                <w:b/>
                <w:bCs/>
                <w:sz w:val="18"/>
              </w:rPr>
            </w:pPr>
            <w:r w:rsidRPr="0091532E">
              <w:rPr>
                <w:b/>
                <w:bCs/>
                <w:sz w:val="18"/>
              </w:rPr>
              <w:t>11</w:t>
            </w:r>
          </w:p>
        </w:tc>
        <w:tc>
          <w:tcPr>
            <w:tcW w:w="990" w:type="dxa"/>
          </w:tcPr>
          <w:p w:rsidR="00AA2BE3" w:rsidRPr="0091532E" w:rsidRDefault="00AA2BE3" w:rsidP="0091532E">
            <w:pPr>
              <w:pStyle w:val="Tabletext"/>
              <w:jc w:val="center"/>
              <w:rPr>
                <w:b/>
                <w:bCs/>
                <w:sz w:val="18"/>
              </w:rPr>
            </w:pPr>
            <w:r w:rsidRPr="0091532E">
              <w:rPr>
                <w:b/>
                <w:bCs/>
                <w:sz w:val="18"/>
              </w:rPr>
              <w:t>22.642</w:t>
            </w:r>
          </w:p>
        </w:tc>
        <w:tc>
          <w:tcPr>
            <w:tcW w:w="990" w:type="dxa"/>
          </w:tcPr>
          <w:p w:rsidR="00AA2BE3" w:rsidRPr="0091532E" w:rsidRDefault="00AA2BE3" w:rsidP="0091532E">
            <w:pPr>
              <w:pStyle w:val="Tabletext"/>
              <w:jc w:val="center"/>
              <w:rPr>
                <w:b/>
                <w:bCs/>
                <w:sz w:val="18"/>
              </w:rPr>
            </w:pPr>
            <w:r w:rsidRPr="0091532E">
              <w:rPr>
                <w:b/>
                <w:bCs/>
                <w:sz w:val="18"/>
              </w:rPr>
              <w:t>13.614</w:t>
            </w:r>
          </w:p>
        </w:tc>
        <w:tc>
          <w:tcPr>
            <w:tcW w:w="989" w:type="dxa"/>
          </w:tcPr>
          <w:p w:rsidR="00AA2BE3" w:rsidRPr="0091532E" w:rsidRDefault="00AA2BE3" w:rsidP="0091532E">
            <w:pPr>
              <w:pStyle w:val="Tabletext"/>
              <w:jc w:val="center"/>
              <w:rPr>
                <w:b/>
                <w:bCs/>
                <w:sz w:val="18"/>
              </w:rPr>
            </w:pPr>
            <w:r w:rsidRPr="0091532E">
              <w:rPr>
                <w:b/>
                <w:bCs/>
                <w:sz w:val="18"/>
              </w:rPr>
              <w:t>21.71</w:t>
            </w:r>
          </w:p>
        </w:tc>
        <w:tc>
          <w:tcPr>
            <w:tcW w:w="988" w:type="dxa"/>
          </w:tcPr>
          <w:p w:rsidR="00AA2BE3" w:rsidRPr="0091532E" w:rsidRDefault="00AA2BE3" w:rsidP="0091532E">
            <w:pPr>
              <w:pStyle w:val="Tabletext"/>
              <w:jc w:val="center"/>
              <w:rPr>
                <w:b/>
                <w:bCs/>
                <w:sz w:val="18"/>
              </w:rPr>
            </w:pPr>
            <w:r w:rsidRPr="0091532E">
              <w:rPr>
                <w:b/>
                <w:bCs/>
                <w:sz w:val="18"/>
              </w:rPr>
              <w:t>28.142</w:t>
            </w:r>
          </w:p>
        </w:tc>
        <w:tc>
          <w:tcPr>
            <w:tcW w:w="954" w:type="dxa"/>
          </w:tcPr>
          <w:p w:rsidR="00AA2BE3" w:rsidRPr="0091532E" w:rsidRDefault="00AA2BE3" w:rsidP="0091532E">
            <w:pPr>
              <w:pStyle w:val="Tabletext"/>
              <w:jc w:val="center"/>
              <w:rPr>
                <w:b/>
                <w:bCs/>
                <w:sz w:val="18"/>
              </w:rPr>
            </w:pPr>
            <w:r w:rsidRPr="0091532E">
              <w:rPr>
                <w:b/>
                <w:bCs/>
                <w:sz w:val="18"/>
              </w:rPr>
              <w:t>24.994</w:t>
            </w:r>
          </w:p>
        </w:tc>
        <w:tc>
          <w:tcPr>
            <w:tcW w:w="988" w:type="dxa"/>
          </w:tcPr>
          <w:p w:rsidR="00AA2BE3" w:rsidRPr="0091532E" w:rsidRDefault="00AA2BE3" w:rsidP="0091532E">
            <w:pPr>
              <w:pStyle w:val="Tabletext"/>
              <w:jc w:val="center"/>
              <w:rPr>
                <w:b/>
                <w:bCs/>
                <w:sz w:val="18"/>
              </w:rPr>
            </w:pPr>
            <w:r w:rsidRPr="0091532E">
              <w:rPr>
                <w:b/>
                <w:bCs/>
                <w:sz w:val="18"/>
              </w:rPr>
              <w:t>21.484</w:t>
            </w:r>
          </w:p>
        </w:tc>
        <w:tc>
          <w:tcPr>
            <w:tcW w:w="988" w:type="dxa"/>
          </w:tcPr>
          <w:p w:rsidR="00AA2BE3" w:rsidRPr="0091532E" w:rsidRDefault="00AA2BE3" w:rsidP="0091532E">
            <w:pPr>
              <w:pStyle w:val="Tabletext"/>
              <w:jc w:val="center"/>
              <w:rPr>
                <w:b/>
                <w:bCs/>
                <w:sz w:val="18"/>
              </w:rPr>
            </w:pPr>
            <w:r w:rsidRPr="0091532E">
              <w:rPr>
                <w:b/>
                <w:bCs/>
                <w:sz w:val="18"/>
              </w:rPr>
              <w:t>30.549</w:t>
            </w:r>
          </w:p>
        </w:tc>
        <w:tc>
          <w:tcPr>
            <w:tcW w:w="988" w:type="dxa"/>
          </w:tcPr>
          <w:p w:rsidR="00AA2BE3" w:rsidRPr="0091532E" w:rsidRDefault="00AA2BE3" w:rsidP="0091532E">
            <w:pPr>
              <w:pStyle w:val="Tabletext"/>
              <w:jc w:val="center"/>
              <w:rPr>
                <w:b/>
                <w:bCs/>
                <w:sz w:val="18"/>
              </w:rPr>
            </w:pPr>
            <w:r w:rsidRPr="0091532E">
              <w:rPr>
                <w:b/>
                <w:bCs/>
                <w:sz w:val="18"/>
              </w:rPr>
              <w:t>29.613</w:t>
            </w:r>
          </w:p>
        </w:tc>
        <w:tc>
          <w:tcPr>
            <w:tcW w:w="988" w:type="dxa"/>
          </w:tcPr>
          <w:p w:rsidR="00AA2BE3" w:rsidRPr="0091532E" w:rsidRDefault="00AA2BE3" w:rsidP="0091532E">
            <w:pPr>
              <w:pStyle w:val="Tabletext"/>
              <w:jc w:val="center"/>
              <w:rPr>
                <w:b/>
                <w:bCs/>
                <w:sz w:val="18"/>
              </w:rPr>
            </w:pPr>
            <w:r w:rsidRPr="0091532E">
              <w:rPr>
                <w:b/>
                <w:bCs/>
                <w:sz w:val="18"/>
              </w:rPr>
              <w:t>26.854</w:t>
            </w:r>
          </w:p>
        </w:tc>
      </w:tr>
      <w:tr w:rsidR="00AA2BE3" w:rsidRPr="0091532E" w:rsidTr="0091532E">
        <w:tc>
          <w:tcPr>
            <w:tcW w:w="776" w:type="dxa"/>
          </w:tcPr>
          <w:p w:rsidR="00AA2BE3" w:rsidRPr="0091532E" w:rsidRDefault="00AA2BE3" w:rsidP="0091532E">
            <w:pPr>
              <w:pStyle w:val="Tabletext"/>
              <w:jc w:val="center"/>
              <w:rPr>
                <w:b/>
                <w:bCs/>
                <w:sz w:val="18"/>
              </w:rPr>
            </w:pPr>
            <w:r w:rsidRPr="0091532E">
              <w:rPr>
                <w:b/>
                <w:bCs/>
                <w:i/>
                <w:iCs/>
                <w:sz w:val="18"/>
              </w:rPr>
              <w:t>I</w:t>
            </w:r>
            <w:r w:rsidRPr="0091532E">
              <w:rPr>
                <w:b/>
                <w:bCs/>
                <w:sz w:val="18"/>
              </w:rPr>
              <w:t>/</w:t>
            </w:r>
            <w:r w:rsidRPr="0091532E">
              <w:rPr>
                <w:b/>
                <w:bCs/>
                <w:i/>
                <w:iCs/>
                <w:sz w:val="18"/>
              </w:rPr>
              <w:t>N</w:t>
            </w:r>
            <w:r w:rsidR="0091532E" w:rsidRPr="0091532E">
              <w:rPr>
                <w:rFonts w:ascii="Times New Roman Bold" w:hAnsi="Times New Roman Bold" w:cs="Times New Roman Bold"/>
                <w:b/>
                <w:bCs/>
                <w:sz w:val="18"/>
                <w:vertAlign w:val="subscript"/>
              </w:rPr>
              <w:t>0</w:t>
            </w:r>
            <w:r w:rsidRPr="0091532E">
              <w:rPr>
                <w:b/>
                <w:bCs/>
                <w:i/>
                <w:iCs/>
                <w:sz w:val="18"/>
              </w:rPr>
              <w:br/>
            </w:r>
            <w:r w:rsidRPr="0091532E">
              <w:rPr>
                <w:b/>
                <w:bCs/>
                <w:sz w:val="18"/>
              </w:rPr>
              <w:t>(dB)</w:t>
            </w:r>
          </w:p>
        </w:tc>
        <w:tc>
          <w:tcPr>
            <w:tcW w:w="990" w:type="dxa"/>
          </w:tcPr>
          <w:p w:rsidR="00AA2BE3" w:rsidRPr="0091532E" w:rsidRDefault="00AA2BE3" w:rsidP="0091532E">
            <w:pPr>
              <w:pStyle w:val="Tabletext"/>
              <w:jc w:val="center"/>
              <w:rPr>
                <w:b/>
                <w:bCs/>
                <w:sz w:val="18"/>
              </w:rPr>
            </w:pPr>
          </w:p>
        </w:tc>
        <w:tc>
          <w:tcPr>
            <w:tcW w:w="990" w:type="dxa"/>
          </w:tcPr>
          <w:p w:rsidR="00AA2BE3" w:rsidRPr="0091532E" w:rsidRDefault="00AA2BE3" w:rsidP="0091532E">
            <w:pPr>
              <w:pStyle w:val="Tabletext"/>
              <w:jc w:val="center"/>
              <w:rPr>
                <w:b/>
                <w:bCs/>
                <w:sz w:val="18"/>
              </w:rPr>
            </w:pPr>
          </w:p>
        </w:tc>
        <w:tc>
          <w:tcPr>
            <w:tcW w:w="989" w:type="dxa"/>
          </w:tcPr>
          <w:p w:rsidR="00AA2BE3" w:rsidRPr="0091532E" w:rsidRDefault="00AA2BE3" w:rsidP="0091532E">
            <w:pPr>
              <w:pStyle w:val="Tabletext"/>
              <w:jc w:val="center"/>
              <w:rPr>
                <w:b/>
                <w:bCs/>
                <w:sz w:val="18"/>
              </w:rPr>
            </w:pPr>
          </w:p>
        </w:tc>
        <w:tc>
          <w:tcPr>
            <w:tcW w:w="988" w:type="dxa"/>
          </w:tcPr>
          <w:p w:rsidR="00AA2BE3" w:rsidRPr="0091532E" w:rsidRDefault="00AA2BE3" w:rsidP="0091532E">
            <w:pPr>
              <w:pStyle w:val="Tabletext"/>
              <w:jc w:val="center"/>
              <w:rPr>
                <w:b/>
                <w:bCs/>
                <w:sz w:val="18"/>
              </w:rPr>
            </w:pPr>
          </w:p>
        </w:tc>
        <w:tc>
          <w:tcPr>
            <w:tcW w:w="954" w:type="dxa"/>
          </w:tcPr>
          <w:p w:rsidR="00AA2BE3" w:rsidRPr="0091532E" w:rsidRDefault="00AA2BE3" w:rsidP="0091532E">
            <w:pPr>
              <w:pStyle w:val="Tabletext"/>
              <w:jc w:val="center"/>
              <w:rPr>
                <w:b/>
                <w:bCs/>
                <w:sz w:val="18"/>
              </w:rPr>
            </w:pPr>
          </w:p>
        </w:tc>
        <w:tc>
          <w:tcPr>
            <w:tcW w:w="988" w:type="dxa"/>
          </w:tcPr>
          <w:p w:rsidR="00AA2BE3" w:rsidRPr="0091532E" w:rsidRDefault="00AA2BE3" w:rsidP="0091532E">
            <w:pPr>
              <w:pStyle w:val="Tabletext"/>
              <w:jc w:val="center"/>
              <w:rPr>
                <w:b/>
                <w:bCs/>
                <w:sz w:val="18"/>
              </w:rPr>
            </w:pPr>
          </w:p>
        </w:tc>
        <w:tc>
          <w:tcPr>
            <w:tcW w:w="988" w:type="dxa"/>
          </w:tcPr>
          <w:p w:rsidR="00AA2BE3" w:rsidRPr="0091532E" w:rsidRDefault="00AA2BE3" w:rsidP="0091532E">
            <w:pPr>
              <w:pStyle w:val="Tabletext"/>
              <w:jc w:val="center"/>
              <w:rPr>
                <w:b/>
                <w:bCs/>
                <w:sz w:val="18"/>
              </w:rPr>
            </w:pPr>
          </w:p>
        </w:tc>
        <w:tc>
          <w:tcPr>
            <w:tcW w:w="988" w:type="dxa"/>
          </w:tcPr>
          <w:p w:rsidR="00AA2BE3" w:rsidRPr="0091532E" w:rsidRDefault="00AA2BE3" w:rsidP="0091532E">
            <w:pPr>
              <w:pStyle w:val="Tabletext"/>
              <w:jc w:val="center"/>
              <w:rPr>
                <w:b/>
                <w:bCs/>
                <w:sz w:val="18"/>
              </w:rPr>
            </w:pPr>
          </w:p>
        </w:tc>
        <w:tc>
          <w:tcPr>
            <w:tcW w:w="988" w:type="dxa"/>
          </w:tcPr>
          <w:p w:rsidR="00AA2BE3" w:rsidRPr="0091532E" w:rsidRDefault="00AA2BE3" w:rsidP="0091532E">
            <w:pPr>
              <w:pStyle w:val="Tabletext"/>
              <w:jc w:val="center"/>
              <w:rPr>
                <w:b/>
                <w:bCs/>
                <w:sz w:val="18"/>
              </w:rPr>
            </w:pPr>
          </w:p>
        </w:tc>
      </w:tr>
      <w:tr w:rsidR="00AA2BE3" w:rsidRPr="0091532E" w:rsidTr="0091532E">
        <w:tc>
          <w:tcPr>
            <w:tcW w:w="776" w:type="dxa"/>
          </w:tcPr>
          <w:p w:rsidR="00AA2BE3" w:rsidRPr="0091532E" w:rsidRDefault="00AA2BE3" w:rsidP="0091532E">
            <w:pPr>
              <w:pStyle w:val="Tabletext"/>
              <w:jc w:val="center"/>
              <w:rPr>
                <w:b/>
                <w:bCs/>
                <w:sz w:val="18"/>
              </w:rPr>
            </w:pPr>
            <w:r w:rsidRPr="0091532E">
              <w:rPr>
                <w:b/>
                <w:bCs/>
                <w:sz w:val="18"/>
              </w:rPr>
              <w:t>–2.5</w:t>
            </w:r>
          </w:p>
        </w:tc>
        <w:tc>
          <w:tcPr>
            <w:tcW w:w="990" w:type="dxa"/>
          </w:tcPr>
          <w:p w:rsidR="00AA2BE3" w:rsidRPr="0091532E" w:rsidRDefault="00AA2BE3" w:rsidP="0091532E">
            <w:pPr>
              <w:pStyle w:val="Tabletext"/>
              <w:jc w:val="center"/>
              <w:rPr>
                <w:b/>
                <w:bCs/>
                <w:sz w:val="18"/>
              </w:rPr>
            </w:pPr>
            <w:r w:rsidRPr="0091532E">
              <w:rPr>
                <w:b/>
                <w:bCs/>
                <w:sz w:val="18"/>
              </w:rPr>
              <w:t>0</w:t>
            </w:r>
          </w:p>
        </w:tc>
        <w:tc>
          <w:tcPr>
            <w:tcW w:w="990" w:type="dxa"/>
          </w:tcPr>
          <w:p w:rsidR="00AA2BE3" w:rsidRPr="0091532E" w:rsidRDefault="00AA2BE3" w:rsidP="0091532E">
            <w:pPr>
              <w:pStyle w:val="Tabletext"/>
              <w:jc w:val="center"/>
              <w:rPr>
                <w:b/>
                <w:bCs/>
                <w:sz w:val="18"/>
              </w:rPr>
            </w:pPr>
            <w:r w:rsidRPr="0091532E">
              <w:rPr>
                <w:b/>
                <w:bCs/>
                <w:sz w:val="18"/>
              </w:rPr>
              <w:t>0</w:t>
            </w:r>
          </w:p>
        </w:tc>
        <w:tc>
          <w:tcPr>
            <w:tcW w:w="989" w:type="dxa"/>
          </w:tcPr>
          <w:p w:rsidR="00AA2BE3" w:rsidRPr="0091532E" w:rsidRDefault="00AA2BE3" w:rsidP="0091532E">
            <w:pPr>
              <w:pStyle w:val="Tabletext"/>
              <w:jc w:val="center"/>
              <w:rPr>
                <w:b/>
                <w:bCs/>
                <w:sz w:val="18"/>
              </w:rPr>
            </w:pPr>
            <w:r w:rsidRPr="0091532E">
              <w:rPr>
                <w:b/>
                <w:bCs/>
                <w:sz w:val="18"/>
              </w:rPr>
              <w:t>33</w:t>
            </w:r>
          </w:p>
        </w:tc>
        <w:tc>
          <w:tcPr>
            <w:tcW w:w="988" w:type="dxa"/>
          </w:tcPr>
          <w:p w:rsidR="00AA2BE3" w:rsidRPr="0091532E" w:rsidRDefault="00AA2BE3" w:rsidP="0091532E">
            <w:pPr>
              <w:pStyle w:val="Tabletext"/>
              <w:jc w:val="center"/>
              <w:rPr>
                <w:b/>
                <w:bCs/>
                <w:sz w:val="18"/>
              </w:rPr>
            </w:pPr>
            <w:r w:rsidRPr="0091532E">
              <w:rPr>
                <w:b/>
                <w:bCs/>
                <w:sz w:val="18"/>
              </w:rPr>
              <w:t>76</w:t>
            </w:r>
          </w:p>
        </w:tc>
        <w:tc>
          <w:tcPr>
            <w:tcW w:w="954" w:type="dxa"/>
          </w:tcPr>
          <w:p w:rsidR="00AA2BE3" w:rsidRPr="0091532E" w:rsidRDefault="00AA2BE3" w:rsidP="0091532E">
            <w:pPr>
              <w:pStyle w:val="Tabletext"/>
              <w:jc w:val="center"/>
              <w:rPr>
                <w:b/>
                <w:bCs/>
                <w:sz w:val="18"/>
              </w:rPr>
            </w:pPr>
            <w:r w:rsidRPr="0091532E">
              <w:rPr>
                <w:b/>
                <w:bCs/>
                <w:sz w:val="18"/>
              </w:rPr>
              <w:t>0</w:t>
            </w:r>
          </w:p>
        </w:tc>
        <w:tc>
          <w:tcPr>
            <w:tcW w:w="988" w:type="dxa"/>
          </w:tcPr>
          <w:p w:rsidR="00AA2BE3" w:rsidRPr="0091532E" w:rsidRDefault="00AA2BE3" w:rsidP="0091532E">
            <w:pPr>
              <w:pStyle w:val="Tabletext"/>
              <w:jc w:val="center"/>
              <w:rPr>
                <w:b/>
                <w:bCs/>
                <w:sz w:val="18"/>
              </w:rPr>
            </w:pPr>
            <w:r w:rsidRPr="0091532E">
              <w:rPr>
                <w:b/>
                <w:bCs/>
                <w:sz w:val="18"/>
              </w:rPr>
              <w:t>0</w:t>
            </w:r>
          </w:p>
        </w:tc>
        <w:tc>
          <w:tcPr>
            <w:tcW w:w="988" w:type="dxa"/>
          </w:tcPr>
          <w:p w:rsidR="00AA2BE3" w:rsidRPr="0091532E" w:rsidRDefault="00AA2BE3" w:rsidP="0091532E">
            <w:pPr>
              <w:pStyle w:val="Tabletext"/>
              <w:jc w:val="center"/>
              <w:rPr>
                <w:b/>
                <w:bCs/>
                <w:sz w:val="18"/>
              </w:rPr>
            </w:pPr>
            <w:r w:rsidRPr="0091532E">
              <w:rPr>
                <w:b/>
                <w:bCs/>
                <w:sz w:val="18"/>
              </w:rPr>
              <w:t>0</w:t>
            </w:r>
          </w:p>
        </w:tc>
        <w:tc>
          <w:tcPr>
            <w:tcW w:w="988" w:type="dxa"/>
          </w:tcPr>
          <w:p w:rsidR="00AA2BE3" w:rsidRPr="0091532E" w:rsidRDefault="00AA2BE3" w:rsidP="0091532E">
            <w:pPr>
              <w:pStyle w:val="Tabletext"/>
              <w:jc w:val="center"/>
              <w:rPr>
                <w:b/>
                <w:bCs/>
                <w:sz w:val="18"/>
              </w:rPr>
            </w:pPr>
            <w:r w:rsidRPr="0091532E">
              <w:rPr>
                <w:b/>
                <w:bCs/>
                <w:sz w:val="18"/>
              </w:rPr>
              <w:t>0</w:t>
            </w:r>
          </w:p>
        </w:tc>
        <w:tc>
          <w:tcPr>
            <w:tcW w:w="988" w:type="dxa"/>
          </w:tcPr>
          <w:p w:rsidR="00AA2BE3" w:rsidRPr="0091532E" w:rsidRDefault="00AA2BE3" w:rsidP="0091532E">
            <w:pPr>
              <w:pStyle w:val="Tabletext"/>
              <w:jc w:val="center"/>
              <w:rPr>
                <w:b/>
                <w:bCs/>
                <w:sz w:val="18"/>
              </w:rPr>
            </w:pPr>
            <w:r w:rsidRPr="0091532E">
              <w:rPr>
                <w:b/>
                <w:bCs/>
                <w:sz w:val="18"/>
              </w:rPr>
              <w:t>0</w:t>
            </w:r>
          </w:p>
        </w:tc>
      </w:tr>
      <w:tr w:rsidR="00AA2BE3" w:rsidRPr="0091532E" w:rsidTr="0091532E">
        <w:tc>
          <w:tcPr>
            <w:tcW w:w="776" w:type="dxa"/>
          </w:tcPr>
          <w:p w:rsidR="00AA2BE3" w:rsidRPr="0091532E" w:rsidRDefault="00AA2BE3" w:rsidP="0091532E">
            <w:pPr>
              <w:pStyle w:val="Tabletext"/>
              <w:jc w:val="center"/>
              <w:rPr>
                <w:b/>
                <w:bCs/>
                <w:sz w:val="18"/>
              </w:rPr>
            </w:pPr>
            <w:r w:rsidRPr="0091532E">
              <w:rPr>
                <w:b/>
                <w:bCs/>
                <w:sz w:val="18"/>
              </w:rPr>
              <w:t>–4.5</w:t>
            </w:r>
          </w:p>
        </w:tc>
        <w:tc>
          <w:tcPr>
            <w:tcW w:w="990" w:type="dxa"/>
          </w:tcPr>
          <w:p w:rsidR="00AA2BE3" w:rsidRPr="0091532E" w:rsidRDefault="00AA2BE3" w:rsidP="0091532E">
            <w:pPr>
              <w:pStyle w:val="Tabletext"/>
              <w:jc w:val="center"/>
              <w:rPr>
                <w:b/>
                <w:bCs/>
                <w:sz w:val="18"/>
              </w:rPr>
            </w:pPr>
            <w:r w:rsidRPr="0091532E">
              <w:rPr>
                <w:b/>
                <w:bCs/>
                <w:sz w:val="18"/>
              </w:rPr>
              <w:t>0</w:t>
            </w:r>
          </w:p>
        </w:tc>
        <w:tc>
          <w:tcPr>
            <w:tcW w:w="990" w:type="dxa"/>
          </w:tcPr>
          <w:p w:rsidR="00AA2BE3" w:rsidRPr="0091532E" w:rsidRDefault="00AA2BE3" w:rsidP="0091532E">
            <w:pPr>
              <w:pStyle w:val="Tabletext"/>
              <w:jc w:val="center"/>
              <w:rPr>
                <w:b/>
                <w:bCs/>
                <w:sz w:val="18"/>
              </w:rPr>
            </w:pPr>
            <w:r w:rsidRPr="0091532E">
              <w:rPr>
                <w:b/>
                <w:bCs/>
                <w:sz w:val="18"/>
              </w:rPr>
              <w:t>0</w:t>
            </w:r>
          </w:p>
        </w:tc>
        <w:tc>
          <w:tcPr>
            <w:tcW w:w="989" w:type="dxa"/>
          </w:tcPr>
          <w:p w:rsidR="00AA2BE3" w:rsidRPr="0091532E" w:rsidRDefault="00AA2BE3" w:rsidP="0091532E">
            <w:pPr>
              <w:pStyle w:val="Tabletext"/>
              <w:jc w:val="center"/>
              <w:rPr>
                <w:b/>
                <w:bCs/>
                <w:sz w:val="18"/>
              </w:rPr>
            </w:pPr>
            <w:r w:rsidRPr="0091532E">
              <w:rPr>
                <w:b/>
                <w:bCs/>
                <w:sz w:val="18"/>
              </w:rPr>
              <w:t>45</w:t>
            </w:r>
          </w:p>
        </w:tc>
        <w:tc>
          <w:tcPr>
            <w:tcW w:w="988" w:type="dxa"/>
          </w:tcPr>
          <w:p w:rsidR="00AA2BE3" w:rsidRPr="0091532E" w:rsidRDefault="00AA2BE3" w:rsidP="0091532E">
            <w:pPr>
              <w:pStyle w:val="Tabletext"/>
              <w:jc w:val="center"/>
              <w:rPr>
                <w:b/>
                <w:bCs/>
                <w:sz w:val="18"/>
              </w:rPr>
            </w:pPr>
            <w:r w:rsidRPr="0091532E">
              <w:rPr>
                <w:b/>
                <w:bCs/>
                <w:sz w:val="18"/>
              </w:rPr>
              <w:t>89</w:t>
            </w:r>
          </w:p>
        </w:tc>
        <w:tc>
          <w:tcPr>
            <w:tcW w:w="954" w:type="dxa"/>
          </w:tcPr>
          <w:p w:rsidR="00AA2BE3" w:rsidRPr="0091532E" w:rsidRDefault="00AA2BE3" w:rsidP="0091532E">
            <w:pPr>
              <w:pStyle w:val="Tabletext"/>
              <w:jc w:val="center"/>
              <w:rPr>
                <w:b/>
                <w:bCs/>
                <w:sz w:val="18"/>
              </w:rPr>
            </w:pPr>
            <w:r w:rsidRPr="0091532E">
              <w:rPr>
                <w:b/>
                <w:bCs/>
                <w:sz w:val="18"/>
              </w:rPr>
              <w:t>14</w:t>
            </w:r>
          </w:p>
        </w:tc>
        <w:tc>
          <w:tcPr>
            <w:tcW w:w="988" w:type="dxa"/>
          </w:tcPr>
          <w:p w:rsidR="00AA2BE3" w:rsidRPr="0091532E" w:rsidRDefault="00AA2BE3" w:rsidP="0091532E">
            <w:pPr>
              <w:pStyle w:val="Tabletext"/>
              <w:jc w:val="center"/>
              <w:rPr>
                <w:b/>
                <w:bCs/>
                <w:sz w:val="18"/>
              </w:rPr>
            </w:pPr>
            <w:r w:rsidRPr="0091532E">
              <w:rPr>
                <w:b/>
                <w:bCs/>
                <w:sz w:val="18"/>
              </w:rPr>
              <w:t>0</w:t>
            </w:r>
          </w:p>
        </w:tc>
        <w:tc>
          <w:tcPr>
            <w:tcW w:w="988" w:type="dxa"/>
          </w:tcPr>
          <w:p w:rsidR="00AA2BE3" w:rsidRPr="0091532E" w:rsidRDefault="00AA2BE3" w:rsidP="0091532E">
            <w:pPr>
              <w:pStyle w:val="Tabletext"/>
              <w:jc w:val="center"/>
              <w:rPr>
                <w:b/>
                <w:bCs/>
                <w:sz w:val="18"/>
              </w:rPr>
            </w:pPr>
            <w:r w:rsidRPr="0091532E">
              <w:rPr>
                <w:b/>
                <w:bCs/>
                <w:sz w:val="18"/>
              </w:rPr>
              <w:t>0</w:t>
            </w:r>
          </w:p>
        </w:tc>
        <w:tc>
          <w:tcPr>
            <w:tcW w:w="988" w:type="dxa"/>
          </w:tcPr>
          <w:p w:rsidR="00AA2BE3" w:rsidRPr="0091532E" w:rsidRDefault="00AA2BE3" w:rsidP="0091532E">
            <w:pPr>
              <w:pStyle w:val="Tabletext"/>
              <w:jc w:val="center"/>
              <w:rPr>
                <w:b/>
                <w:bCs/>
                <w:sz w:val="18"/>
              </w:rPr>
            </w:pPr>
            <w:r w:rsidRPr="0091532E">
              <w:rPr>
                <w:b/>
                <w:bCs/>
                <w:sz w:val="18"/>
              </w:rPr>
              <w:t>0</w:t>
            </w:r>
          </w:p>
        </w:tc>
        <w:tc>
          <w:tcPr>
            <w:tcW w:w="988" w:type="dxa"/>
          </w:tcPr>
          <w:p w:rsidR="00AA2BE3" w:rsidRPr="0091532E" w:rsidRDefault="00AA2BE3" w:rsidP="0091532E">
            <w:pPr>
              <w:pStyle w:val="Tabletext"/>
              <w:jc w:val="center"/>
              <w:rPr>
                <w:b/>
                <w:bCs/>
                <w:sz w:val="18"/>
              </w:rPr>
            </w:pPr>
            <w:r w:rsidRPr="0091532E">
              <w:rPr>
                <w:b/>
                <w:bCs/>
                <w:sz w:val="18"/>
              </w:rPr>
              <w:t>0</w:t>
            </w:r>
          </w:p>
        </w:tc>
      </w:tr>
      <w:tr w:rsidR="00AA2BE3" w:rsidRPr="0091532E" w:rsidTr="0091532E">
        <w:tc>
          <w:tcPr>
            <w:tcW w:w="776" w:type="dxa"/>
          </w:tcPr>
          <w:p w:rsidR="00AA2BE3" w:rsidRPr="0091532E" w:rsidRDefault="00AA2BE3" w:rsidP="0091532E">
            <w:pPr>
              <w:pStyle w:val="Tabletext"/>
              <w:jc w:val="center"/>
              <w:rPr>
                <w:b/>
                <w:bCs/>
                <w:sz w:val="18"/>
              </w:rPr>
            </w:pPr>
            <w:r w:rsidRPr="0091532E">
              <w:rPr>
                <w:b/>
                <w:bCs/>
                <w:sz w:val="18"/>
              </w:rPr>
              <w:t>–6.5</w:t>
            </w:r>
          </w:p>
        </w:tc>
        <w:tc>
          <w:tcPr>
            <w:tcW w:w="990" w:type="dxa"/>
          </w:tcPr>
          <w:p w:rsidR="00AA2BE3" w:rsidRPr="0091532E" w:rsidRDefault="00AA2BE3" w:rsidP="0091532E">
            <w:pPr>
              <w:pStyle w:val="Tabletext"/>
              <w:jc w:val="center"/>
              <w:rPr>
                <w:b/>
                <w:bCs/>
                <w:sz w:val="18"/>
              </w:rPr>
            </w:pPr>
            <w:r w:rsidRPr="0091532E">
              <w:rPr>
                <w:b/>
                <w:bCs/>
                <w:sz w:val="18"/>
              </w:rPr>
              <w:t>5</w:t>
            </w:r>
          </w:p>
        </w:tc>
        <w:tc>
          <w:tcPr>
            <w:tcW w:w="990" w:type="dxa"/>
          </w:tcPr>
          <w:p w:rsidR="00AA2BE3" w:rsidRPr="0091532E" w:rsidRDefault="00AA2BE3" w:rsidP="0091532E">
            <w:pPr>
              <w:pStyle w:val="Tabletext"/>
              <w:jc w:val="center"/>
              <w:rPr>
                <w:b/>
                <w:bCs/>
                <w:sz w:val="18"/>
              </w:rPr>
            </w:pPr>
            <w:r w:rsidRPr="0091532E">
              <w:rPr>
                <w:b/>
                <w:bCs/>
                <w:sz w:val="18"/>
              </w:rPr>
              <w:t>0</w:t>
            </w:r>
          </w:p>
        </w:tc>
        <w:tc>
          <w:tcPr>
            <w:tcW w:w="989" w:type="dxa"/>
          </w:tcPr>
          <w:p w:rsidR="00AA2BE3" w:rsidRPr="0091532E" w:rsidRDefault="00AA2BE3" w:rsidP="0091532E">
            <w:pPr>
              <w:pStyle w:val="Tabletext"/>
              <w:jc w:val="center"/>
              <w:rPr>
                <w:b/>
                <w:bCs/>
                <w:sz w:val="18"/>
              </w:rPr>
            </w:pPr>
            <w:r w:rsidRPr="0091532E">
              <w:rPr>
                <w:b/>
                <w:bCs/>
                <w:sz w:val="18"/>
              </w:rPr>
              <w:t>59</w:t>
            </w:r>
          </w:p>
        </w:tc>
        <w:tc>
          <w:tcPr>
            <w:tcW w:w="988" w:type="dxa"/>
          </w:tcPr>
          <w:p w:rsidR="00AA2BE3" w:rsidRPr="0091532E" w:rsidRDefault="00AA2BE3" w:rsidP="0091532E">
            <w:pPr>
              <w:pStyle w:val="Tabletext"/>
              <w:jc w:val="center"/>
              <w:rPr>
                <w:b/>
                <w:bCs/>
                <w:sz w:val="18"/>
              </w:rPr>
            </w:pPr>
            <w:r w:rsidRPr="0091532E">
              <w:rPr>
                <w:b/>
                <w:bCs/>
                <w:sz w:val="18"/>
              </w:rPr>
              <w:t>104</w:t>
            </w:r>
          </w:p>
        </w:tc>
        <w:tc>
          <w:tcPr>
            <w:tcW w:w="954" w:type="dxa"/>
          </w:tcPr>
          <w:p w:rsidR="00AA2BE3" w:rsidRPr="0091532E" w:rsidRDefault="00AA2BE3" w:rsidP="0091532E">
            <w:pPr>
              <w:pStyle w:val="Tabletext"/>
              <w:jc w:val="center"/>
              <w:rPr>
                <w:b/>
                <w:bCs/>
                <w:sz w:val="18"/>
              </w:rPr>
            </w:pPr>
            <w:r w:rsidRPr="0091532E">
              <w:rPr>
                <w:b/>
                <w:bCs/>
                <w:sz w:val="18"/>
              </w:rPr>
              <w:t>54</w:t>
            </w:r>
          </w:p>
        </w:tc>
        <w:tc>
          <w:tcPr>
            <w:tcW w:w="988" w:type="dxa"/>
          </w:tcPr>
          <w:p w:rsidR="00AA2BE3" w:rsidRPr="0091532E" w:rsidRDefault="00AA2BE3" w:rsidP="0091532E">
            <w:pPr>
              <w:pStyle w:val="Tabletext"/>
              <w:jc w:val="center"/>
              <w:rPr>
                <w:b/>
                <w:bCs/>
                <w:sz w:val="18"/>
              </w:rPr>
            </w:pPr>
            <w:r w:rsidRPr="0091532E">
              <w:rPr>
                <w:b/>
                <w:bCs/>
                <w:sz w:val="18"/>
              </w:rPr>
              <w:t>0</w:t>
            </w:r>
          </w:p>
        </w:tc>
        <w:tc>
          <w:tcPr>
            <w:tcW w:w="988" w:type="dxa"/>
          </w:tcPr>
          <w:p w:rsidR="00AA2BE3" w:rsidRPr="0091532E" w:rsidRDefault="00AA2BE3" w:rsidP="0091532E">
            <w:pPr>
              <w:pStyle w:val="Tabletext"/>
              <w:jc w:val="center"/>
              <w:rPr>
                <w:b/>
                <w:bCs/>
                <w:sz w:val="18"/>
              </w:rPr>
            </w:pPr>
            <w:r w:rsidRPr="0091532E">
              <w:rPr>
                <w:b/>
                <w:bCs/>
                <w:sz w:val="18"/>
              </w:rPr>
              <w:t>0</w:t>
            </w:r>
          </w:p>
        </w:tc>
        <w:tc>
          <w:tcPr>
            <w:tcW w:w="988" w:type="dxa"/>
          </w:tcPr>
          <w:p w:rsidR="00AA2BE3" w:rsidRPr="0091532E" w:rsidRDefault="00AA2BE3" w:rsidP="0091532E">
            <w:pPr>
              <w:pStyle w:val="Tabletext"/>
              <w:jc w:val="center"/>
              <w:rPr>
                <w:b/>
                <w:bCs/>
                <w:sz w:val="18"/>
              </w:rPr>
            </w:pPr>
            <w:r w:rsidRPr="0091532E">
              <w:rPr>
                <w:b/>
                <w:bCs/>
                <w:sz w:val="18"/>
              </w:rPr>
              <w:t>0</w:t>
            </w:r>
          </w:p>
        </w:tc>
        <w:tc>
          <w:tcPr>
            <w:tcW w:w="988" w:type="dxa"/>
          </w:tcPr>
          <w:p w:rsidR="00AA2BE3" w:rsidRPr="0091532E" w:rsidRDefault="00AA2BE3" w:rsidP="0091532E">
            <w:pPr>
              <w:pStyle w:val="Tabletext"/>
              <w:jc w:val="center"/>
              <w:rPr>
                <w:b/>
                <w:bCs/>
                <w:sz w:val="18"/>
              </w:rPr>
            </w:pPr>
            <w:r w:rsidRPr="0091532E">
              <w:rPr>
                <w:b/>
                <w:bCs/>
                <w:sz w:val="18"/>
              </w:rPr>
              <w:t>24</w:t>
            </w:r>
          </w:p>
        </w:tc>
      </w:tr>
      <w:tr w:rsidR="00AA2BE3" w:rsidRPr="0091532E" w:rsidTr="0091532E">
        <w:tc>
          <w:tcPr>
            <w:tcW w:w="776" w:type="dxa"/>
          </w:tcPr>
          <w:p w:rsidR="00AA2BE3" w:rsidRPr="0091532E" w:rsidRDefault="00AA2BE3" w:rsidP="0091532E">
            <w:pPr>
              <w:pStyle w:val="Tabletext"/>
              <w:jc w:val="center"/>
              <w:rPr>
                <w:b/>
                <w:bCs/>
                <w:sz w:val="18"/>
              </w:rPr>
            </w:pPr>
            <w:r w:rsidRPr="0091532E">
              <w:rPr>
                <w:b/>
                <w:bCs/>
                <w:sz w:val="18"/>
              </w:rPr>
              <w:t>–8.5</w:t>
            </w:r>
          </w:p>
        </w:tc>
        <w:tc>
          <w:tcPr>
            <w:tcW w:w="990" w:type="dxa"/>
          </w:tcPr>
          <w:p w:rsidR="00AA2BE3" w:rsidRPr="0091532E" w:rsidRDefault="00AA2BE3" w:rsidP="0091532E">
            <w:pPr>
              <w:pStyle w:val="Tabletext"/>
              <w:jc w:val="center"/>
              <w:rPr>
                <w:b/>
                <w:bCs/>
                <w:sz w:val="18"/>
              </w:rPr>
            </w:pPr>
            <w:r w:rsidRPr="0091532E">
              <w:rPr>
                <w:b/>
                <w:bCs/>
                <w:sz w:val="18"/>
              </w:rPr>
              <w:t>27</w:t>
            </w:r>
          </w:p>
        </w:tc>
        <w:tc>
          <w:tcPr>
            <w:tcW w:w="990" w:type="dxa"/>
          </w:tcPr>
          <w:p w:rsidR="00AA2BE3" w:rsidRPr="0091532E" w:rsidRDefault="00AA2BE3" w:rsidP="0091532E">
            <w:pPr>
              <w:pStyle w:val="Tabletext"/>
              <w:jc w:val="center"/>
              <w:rPr>
                <w:b/>
                <w:bCs/>
                <w:sz w:val="18"/>
              </w:rPr>
            </w:pPr>
            <w:r w:rsidRPr="0091532E">
              <w:rPr>
                <w:b/>
                <w:bCs/>
                <w:sz w:val="18"/>
              </w:rPr>
              <w:t>0</w:t>
            </w:r>
          </w:p>
        </w:tc>
        <w:tc>
          <w:tcPr>
            <w:tcW w:w="989" w:type="dxa"/>
          </w:tcPr>
          <w:p w:rsidR="00AA2BE3" w:rsidRPr="0091532E" w:rsidRDefault="00AA2BE3" w:rsidP="0091532E">
            <w:pPr>
              <w:pStyle w:val="Tabletext"/>
              <w:jc w:val="center"/>
              <w:rPr>
                <w:b/>
                <w:bCs/>
                <w:sz w:val="18"/>
              </w:rPr>
            </w:pPr>
            <w:r w:rsidRPr="0091532E">
              <w:rPr>
                <w:b/>
                <w:bCs/>
                <w:sz w:val="18"/>
              </w:rPr>
              <w:t>72</w:t>
            </w:r>
          </w:p>
        </w:tc>
        <w:tc>
          <w:tcPr>
            <w:tcW w:w="988" w:type="dxa"/>
          </w:tcPr>
          <w:p w:rsidR="00AA2BE3" w:rsidRPr="0091532E" w:rsidRDefault="00AA2BE3" w:rsidP="0091532E">
            <w:pPr>
              <w:pStyle w:val="Tabletext"/>
              <w:jc w:val="center"/>
              <w:rPr>
                <w:b/>
                <w:bCs/>
                <w:sz w:val="18"/>
              </w:rPr>
            </w:pPr>
            <w:r w:rsidRPr="0091532E">
              <w:rPr>
                <w:b/>
                <w:bCs/>
                <w:sz w:val="18"/>
              </w:rPr>
              <w:t>119</w:t>
            </w:r>
          </w:p>
        </w:tc>
        <w:tc>
          <w:tcPr>
            <w:tcW w:w="954" w:type="dxa"/>
          </w:tcPr>
          <w:p w:rsidR="00AA2BE3" w:rsidRPr="0091532E" w:rsidRDefault="00AA2BE3" w:rsidP="0091532E">
            <w:pPr>
              <w:pStyle w:val="Tabletext"/>
              <w:jc w:val="center"/>
              <w:rPr>
                <w:b/>
                <w:bCs/>
                <w:sz w:val="18"/>
              </w:rPr>
            </w:pPr>
            <w:r w:rsidRPr="0091532E">
              <w:rPr>
                <w:b/>
                <w:bCs/>
                <w:sz w:val="18"/>
              </w:rPr>
              <w:t>79</w:t>
            </w:r>
          </w:p>
        </w:tc>
        <w:tc>
          <w:tcPr>
            <w:tcW w:w="988" w:type="dxa"/>
          </w:tcPr>
          <w:p w:rsidR="00AA2BE3" w:rsidRPr="0091532E" w:rsidRDefault="00AA2BE3" w:rsidP="0091532E">
            <w:pPr>
              <w:pStyle w:val="Tabletext"/>
              <w:jc w:val="center"/>
              <w:rPr>
                <w:b/>
                <w:bCs/>
                <w:sz w:val="18"/>
              </w:rPr>
            </w:pPr>
            <w:r w:rsidRPr="0091532E">
              <w:rPr>
                <w:b/>
                <w:bCs/>
                <w:sz w:val="18"/>
              </w:rPr>
              <w:t>0</w:t>
            </w:r>
          </w:p>
        </w:tc>
        <w:tc>
          <w:tcPr>
            <w:tcW w:w="988" w:type="dxa"/>
          </w:tcPr>
          <w:p w:rsidR="00AA2BE3" w:rsidRPr="0091532E" w:rsidRDefault="00AA2BE3" w:rsidP="0091532E">
            <w:pPr>
              <w:pStyle w:val="Tabletext"/>
              <w:jc w:val="center"/>
              <w:rPr>
                <w:b/>
                <w:bCs/>
                <w:sz w:val="18"/>
              </w:rPr>
            </w:pPr>
            <w:r w:rsidRPr="0091532E">
              <w:rPr>
                <w:b/>
                <w:bCs/>
                <w:sz w:val="18"/>
              </w:rPr>
              <w:t>22</w:t>
            </w:r>
          </w:p>
        </w:tc>
        <w:tc>
          <w:tcPr>
            <w:tcW w:w="988" w:type="dxa"/>
          </w:tcPr>
          <w:p w:rsidR="00AA2BE3" w:rsidRPr="0091532E" w:rsidRDefault="00AA2BE3" w:rsidP="0091532E">
            <w:pPr>
              <w:pStyle w:val="Tabletext"/>
              <w:jc w:val="center"/>
              <w:rPr>
                <w:b/>
                <w:bCs/>
                <w:sz w:val="18"/>
              </w:rPr>
            </w:pPr>
            <w:r w:rsidRPr="0091532E">
              <w:rPr>
                <w:b/>
                <w:bCs/>
                <w:sz w:val="18"/>
              </w:rPr>
              <w:t>35</w:t>
            </w:r>
          </w:p>
        </w:tc>
        <w:tc>
          <w:tcPr>
            <w:tcW w:w="988" w:type="dxa"/>
          </w:tcPr>
          <w:p w:rsidR="00AA2BE3" w:rsidRPr="0091532E" w:rsidRDefault="00AA2BE3" w:rsidP="0091532E">
            <w:pPr>
              <w:pStyle w:val="Tabletext"/>
              <w:jc w:val="center"/>
              <w:rPr>
                <w:b/>
                <w:bCs/>
                <w:sz w:val="18"/>
              </w:rPr>
            </w:pPr>
            <w:r w:rsidRPr="0091532E">
              <w:rPr>
                <w:b/>
                <w:bCs/>
                <w:sz w:val="18"/>
              </w:rPr>
              <w:t>37</w:t>
            </w:r>
          </w:p>
        </w:tc>
      </w:tr>
      <w:tr w:rsidR="00AA2BE3" w:rsidRPr="0091532E" w:rsidTr="0091532E">
        <w:tc>
          <w:tcPr>
            <w:tcW w:w="776" w:type="dxa"/>
          </w:tcPr>
          <w:p w:rsidR="00AA2BE3" w:rsidRPr="0091532E" w:rsidRDefault="00AA2BE3" w:rsidP="0091532E">
            <w:pPr>
              <w:pStyle w:val="Tabletext"/>
              <w:jc w:val="center"/>
              <w:rPr>
                <w:b/>
                <w:bCs/>
                <w:sz w:val="18"/>
              </w:rPr>
            </w:pPr>
            <w:r w:rsidRPr="0091532E">
              <w:rPr>
                <w:b/>
                <w:bCs/>
                <w:sz w:val="18"/>
              </w:rPr>
              <w:t>–10.5</w:t>
            </w:r>
          </w:p>
        </w:tc>
        <w:tc>
          <w:tcPr>
            <w:tcW w:w="990" w:type="dxa"/>
          </w:tcPr>
          <w:p w:rsidR="00AA2BE3" w:rsidRPr="0091532E" w:rsidRDefault="00AA2BE3" w:rsidP="0091532E">
            <w:pPr>
              <w:pStyle w:val="Tabletext"/>
              <w:jc w:val="center"/>
              <w:rPr>
                <w:b/>
                <w:bCs/>
                <w:sz w:val="18"/>
              </w:rPr>
            </w:pPr>
            <w:r w:rsidRPr="0091532E">
              <w:rPr>
                <w:b/>
                <w:bCs/>
                <w:sz w:val="18"/>
              </w:rPr>
              <w:t>42</w:t>
            </w:r>
          </w:p>
        </w:tc>
        <w:tc>
          <w:tcPr>
            <w:tcW w:w="990" w:type="dxa"/>
          </w:tcPr>
          <w:p w:rsidR="00AA2BE3" w:rsidRPr="0091532E" w:rsidRDefault="00AA2BE3" w:rsidP="0091532E">
            <w:pPr>
              <w:pStyle w:val="Tabletext"/>
              <w:jc w:val="center"/>
              <w:rPr>
                <w:b/>
                <w:bCs/>
                <w:sz w:val="18"/>
              </w:rPr>
            </w:pPr>
            <w:r w:rsidRPr="0091532E">
              <w:rPr>
                <w:b/>
                <w:bCs/>
                <w:sz w:val="18"/>
              </w:rPr>
              <w:t>0</w:t>
            </w:r>
          </w:p>
        </w:tc>
        <w:tc>
          <w:tcPr>
            <w:tcW w:w="989" w:type="dxa"/>
          </w:tcPr>
          <w:p w:rsidR="00AA2BE3" w:rsidRPr="0091532E" w:rsidRDefault="00AA2BE3" w:rsidP="0091532E">
            <w:pPr>
              <w:pStyle w:val="Tabletext"/>
              <w:jc w:val="center"/>
              <w:rPr>
                <w:b/>
                <w:bCs/>
                <w:sz w:val="18"/>
              </w:rPr>
            </w:pPr>
            <w:r w:rsidRPr="0091532E">
              <w:rPr>
                <w:b/>
                <w:bCs/>
                <w:sz w:val="18"/>
              </w:rPr>
              <w:t>86</w:t>
            </w:r>
          </w:p>
        </w:tc>
        <w:tc>
          <w:tcPr>
            <w:tcW w:w="988" w:type="dxa"/>
          </w:tcPr>
          <w:p w:rsidR="00AA2BE3" w:rsidRPr="0091532E" w:rsidRDefault="00AA2BE3" w:rsidP="0091532E">
            <w:pPr>
              <w:pStyle w:val="Tabletext"/>
              <w:jc w:val="center"/>
              <w:rPr>
                <w:b/>
                <w:bCs/>
                <w:sz w:val="18"/>
              </w:rPr>
            </w:pPr>
            <w:r w:rsidRPr="0091532E">
              <w:rPr>
                <w:b/>
                <w:bCs/>
                <w:sz w:val="18"/>
              </w:rPr>
              <w:t>135</w:t>
            </w:r>
          </w:p>
        </w:tc>
        <w:tc>
          <w:tcPr>
            <w:tcW w:w="954" w:type="dxa"/>
          </w:tcPr>
          <w:p w:rsidR="00AA2BE3" w:rsidRPr="0091532E" w:rsidRDefault="00AA2BE3" w:rsidP="0091532E">
            <w:pPr>
              <w:pStyle w:val="Tabletext"/>
              <w:jc w:val="center"/>
              <w:rPr>
                <w:b/>
                <w:bCs/>
                <w:sz w:val="18"/>
              </w:rPr>
            </w:pPr>
            <w:r w:rsidRPr="0091532E">
              <w:rPr>
                <w:b/>
                <w:bCs/>
                <w:sz w:val="18"/>
              </w:rPr>
              <w:t>102</w:t>
            </w:r>
          </w:p>
        </w:tc>
        <w:tc>
          <w:tcPr>
            <w:tcW w:w="988" w:type="dxa"/>
          </w:tcPr>
          <w:p w:rsidR="00AA2BE3" w:rsidRPr="0091532E" w:rsidRDefault="00AA2BE3" w:rsidP="0091532E">
            <w:pPr>
              <w:pStyle w:val="Tabletext"/>
              <w:jc w:val="center"/>
              <w:rPr>
                <w:b/>
                <w:bCs/>
                <w:sz w:val="18"/>
              </w:rPr>
            </w:pPr>
            <w:r w:rsidRPr="0091532E">
              <w:rPr>
                <w:b/>
                <w:bCs/>
                <w:sz w:val="18"/>
              </w:rPr>
              <w:t>8</w:t>
            </w:r>
          </w:p>
        </w:tc>
        <w:tc>
          <w:tcPr>
            <w:tcW w:w="988" w:type="dxa"/>
          </w:tcPr>
          <w:p w:rsidR="00AA2BE3" w:rsidRPr="0091532E" w:rsidRDefault="00AA2BE3" w:rsidP="0091532E">
            <w:pPr>
              <w:pStyle w:val="Tabletext"/>
              <w:jc w:val="center"/>
              <w:rPr>
                <w:b/>
                <w:bCs/>
                <w:sz w:val="18"/>
              </w:rPr>
            </w:pPr>
            <w:r w:rsidRPr="0091532E">
              <w:rPr>
                <w:b/>
                <w:bCs/>
                <w:sz w:val="18"/>
              </w:rPr>
              <w:t>69</w:t>
            </w:r>
          </w:p>
        </w:tc>
        <w:tc>
          <w:tcPr>
            <w:tcW w:w="988" w:type="dxa"/>
          </w:tcPr>
          <w:p w:rsidR="00AA2BE3" w:rsidRPr="0091532E" w:rsidRDefault="00AA2BE3" w:rsidP="0091532E">
            <w:pPr>
              <w:pStyle w:val="Tabletext"/>
              <w:jc w:val="center"/>
              <w:rPr>
                <w:b/>
                <w:bCs/>
                <w:sz w:val="18"/>
              </w:rPr>
            </w:pPr>
            <w:r w:rsidRPr="0091532E">
              <w:rPr>
                <w:b/>
                <w:bCs/>
                <w:sz w:val="18"/>
              </w:rPr>
              <w:t>60</w:t>
            </w:r>
          </w:p>
        </w:tc>
        <w:tc>
          <w:tcPr>
            <w:tcW w:w="988" w:type="dxa"/>
          </w:tcPr>
          <w:p w:rsidR="00AA2BE3" w:rsidRPr="0091532E" w:rsidRDefault="00AA2BE3" w:rsidP="0091532E">
            <w:pPr>
              <w:pStyle w:val="Tabletext"/>
              <w:jc w:val="center"/>
              <w:rPr>
                <w:b/>
                <w:bCs/>
                <w:sz w:val="18"/>
              </w:rPr>
            </w:pPr>
            <w:r w:rsidRPr="0091532E">
              <w:rPr>
                <w:b/>
                <w:bCs/>
                <w:sz w:val="18"/>
              </w:rPr>
              <w:t>51</w:t>
            </w:r>
          </w:p>
        </w:tc>
      </w:tr>
      <w:tr w:rsidR="00AA2BE3" w:rsidRPr="0091532E" w:rsidTr="0091532E">
        <w:tc>
          <w:tcPr>
            <w:tcW w:w="776" w:type="dxa"/>
          </w:tcPr>
          <w:p w:rsidR="00AA2BE3" w:rsidRPr="0091532E" w:rsidRDefault="00AA2BE3" w:rsidP="0091532E">
            <w:pPr>
              <w:pStyle w:val="Tabletext"/>
              <w:jc w:val="center"/>
              <w:rPr>
                <w:b/>
                <w:bCs/>
                <w:sz w:val="18"/>
              </w:rPr>
            </w:pPr>
            <w:r w:rsidRPr="0091532E">
              <w:rPr>
                <w:b/>
                <w:bCs/>
                <w:sz w:val="18"/>
              </w:rPr>
              <w:t>–12.5</w:t>
            </w:r>
          </w:p>
        </w:tc>
        <w:tc>
          <w:tcPr>
            <w:tcW w:w="990" w:type="dxa"/>
          </w:tcPr>
          <w:p w:rsidR="00AA2BE3" w:rsidRPr="0091532E" w:rsidRDefault="00AA2BE3" w:rsidP="0091532E">
            <w:pPr>
              <w:pStyle w:val="Tabletext"/>
              <w:jc w:val="center"/>
              <w:rPr>
                <w:b/>
                <w:bCs/>
                <w:sz w:val="18"/>
              </w:rPr>
            </w:pPr>
            <w:r w:rsidRPr="0091532E">
              <w:rPr>
                <w:b/>
                <w:bCs/>
                <w:sz w:val="18"/>
              </w:rPr>
              <w:t>55</w:t>
            </w:r>
          </w:p>
        </w:tc>
        <w:tc>
          <w:tcPr>
            <w:tcW w:w="990" w:type="dxa"/>
          </w:tcPr>
          <w:p w:rsidR="00AA2BE3" w:rsidRPr="0091532E" w:rsidRDefault="00AA2BE3" w:rsidP="0091532E">
            <w:pPr>
              <w:pStyle w:val="Tabletext"/>
              <w:jc w:val="center"/>
              <w:rPr>
                <w:b/>
                <w:bCs/>
                <w:sz w:val="18"/>
              </w:rPr>
            </w:pPr>
            <w:r w:rsidRPr="0091532E">
              <w:rPr>
                <w:b/>
                <w:bCs/>
                <w:sz w:val="18"/>
              </w:rPr>
              <w:t>0</w:t>
            </w:r>
          </w:p>
        </w:tc>
        <w:tc>
          <w:tcPr>
            <w:tcW w:w="989" w:type="dxa"/>
          </w:tcPr>
          <w:p w:rsidR="00AA2BE3" w:rsidRPr="0091532E" w:rsidRDefault="00AA2BE3" w:rsidP="0091532E">
            <w:pPr>
              <w:pStyle w:val="Tabletext"/>
              <w:jc w:val="center"/>
              <w:rPr>
                <w:b/>
                <w:bCs/>
                <w:sz w:val="18"/>
              </w:rPr>
            </w:pPr>
            <w:r w:rsidRPr="0091532E">
              <w:rPr>
                <w:b/>
                <w:bCs/>
                <w:sz w:val="18"/>
              </w:rPr>
              <w:t>101</w:t>
            </w:r>
          </w:p>
        </w:tc>
        <w:tc>
          <w:tcPr>
            <w:tcW w:w="988" w:type="dxa"/>
          </w:tcPr>
          <w:p w:rsidR="00AA2BE3" w:rsidRPr="0091532E" w:rsidRDefault="00AA2BE3" w:rsidP="0091532E">
            <w:pPr>
              <w:pStyle w:val="Tabletext"/>
              <w:jc w:val="center"/>
              <w:rPr>
                <w:b/>
                <w:bCs/>
                <w:sz w:val="18"/>
              </w:rPr>
            </w:pPr>
            <w:r w:rsidRPr="0091532E">
              <w:rPr>
                <w:b/>
                <w:bCs/>
                <w:sz w:val="18"/>
              </w:rPr>
              <w:t>153</w:t>
            </w:r>
          </w:p>
        </w:tc>
        <w:tc>
          <w:tcPr>
            <w:tcW w:w="954" w:type="dxa"/>
          </w:tcPr>
          <w:p w:rsidR="00AA2BE3" w:rsidRPr="0091532E" w:rsidRDefault="00AA2BE3" w:rsidP="0091532E">
            <w:pPr>
              <w:pStyle w:val="Tabletext"/>
              <w:jc w:val="center"/>
              <w:rPr>
                <w:b/>
                <w:bCs/>
                <w:sz w:val="18"/>
              </w:rPr>
            </w:pPr>
            <w:r w:rsidRPr="0091532E">
              <w:rPr>
                <w:b/>
                <w:bCs/>
                <w:sz w:val="18"/>
              </w:rPr>
              <w:t>123</w:t>
            </w:r>
          </w:p>
        </w:tc>
        <w:tc>
          <w:tcPr>
            <w:tcW w:w="988" w:type="dxa"/>
          </w:tcPr>
          <w:p w:rsidR="00AA2BE3" w:rsidRPr="0091532E" w:rsidRDefault="00AA2BE3" w:rsidP="0091532E">
            <w:pPr>
              <w:pStyle w:val="Tabletext"/>
              <w:jc w:val="center"/>
              <w:rPr>
                <w:b/>
                <w:bCs/>
                <w:sz w:val="18"/>
              </w:rPr>
            </w:pPr>
            <w:r w:rsidRPr="0091532E">
              <w:rPr>
                <w:b/>
                <w:bCs/>
                <w:sz w:val="18"/>
              </w:rPr>
              <w:t>26</w:t>
            </w:r>
          </w:p>
        </w:tc>
        <w:tc>
          <w:tcPr>
            <w:tcW w:w="988" w:type="dxa"/>
          </w:tcPr>
          <w:p w:rsidR="00AA2BE3" w:rsidRPr="0091532E" w:rsidRDefault="00AA2BE3" w:rsidP="0091532E">
            <w:pPr>
              <w:pStyle w:val="Tabletext"/>
              <w:jc w:val="center"/>
              <w:rPr>
                <w:b/>
                <w:bCs/>
                <w:sz w:val="18"/>
              </w:rPr>
            </w:pPr>
            <w:r w:rsidRPr="0091532E">
              <w:rPr>
                <w:b/>
                <w:bCs/>
                <w:sz w:val="18"/>
              </w:rPr>
              <w:t>97</w:t>
            </w:r>
          </w:p>
        </w:tc>
        <w:tc>
          <w:tcPr>
            <w:tcW w:w="988" w:type="dxa"/>
          </w:tcPr>
          <w:p w:rsidR="00AA2BE3" w:rsidRPr="0091532E" w:rsidRDefault="00AA2BE3" w:rsidP="0091532E">
            <w:pPr>
              <w:pStyle w:val="Tabletext"/>
              <w:jc w:val="center"/>
              <w:rPr>
                <w:b/>
                <w:bCs/>
                <w:sz w:val="18"/>
              </w:rPr>
            </w:pPr>
            <w:r w:rsidRPr="0091532E">
              <w:rPr>
                <w:b/>
                <w:bCs/>
                <w:sz w:val="18"/>
              </w:rPr>
              <w:t>81</w:t>
            </w:r>
          </w:p>
        </w:tc>
        <w:tc>
          <w:tcPr>
            <w:tcW w:w="988" w:type="dxa"/>
          </w:tcPr>
          <w:p w:rsidR="00AA2BE3" w:rsidRPr="0091532E" w:rsidRDefault="00AA2BE3" w:rsidP="0091532E">
            <w:pPr>
              <w:pStyle w:val="Tabletext"/>
              <w:jc w:val="center"/>
              <w:rPr>
                <w:b/>
                <w:bCs/>
                <w:sz w:val="18"/>
              </w:rPr>
            </w:pPr>
            <w:r w:rsidRPr="0091532E">
              <w:rPr>
                <w:b/>
                <w:bCs/>
                <w:sz w:val="18"/>
              </w:rPr>
              <w:t>63</w:t>
            </w:r>
          </w:p>
        </w:tc>
      </w:tr>
      <w:tr w:rsidR="00AA2BE3" w:rsidRPr="0091532E" w:rsidTr="0091532E">
        <w:tc>
          <w:tcPr>
            <w:tcW w:w="776" w:type="dxa"/>
          </w:tcPr>
          <w:p w:rsidR="00AA2BE3" w:rsidRPr="0091532E" w:rsidRDefault="00AA2BE3" w:rsidP="0091532E">
            <w:pPr>
              <w:pStyle w:val="Tabletext"/>
              <w:jc w:val="center"/>
              <w:rPr>
                <w:b/>
                <w:bCs/>
                <w:sz w:val="18"/>
              </w:rPr>
            </w:pPr>
            <w:r w:rsidRPr="0091532E">
              <w:rPr>
                <w:b/>
                <w:bCs/>
                <w:sz w:val="18"/>
              </w:rPr>
              <w:t>–14.5</w:t>
            </w:r>
          </w:p>
        </w:tc>
        <w:tc>
          <w:tcPr>
            <w:tcW w:w="990" w:type="dxa"/>
          </w:tcPr>
          <w:p w:rsidR="00AA2BE3" w:rsidRPr="0091532E" w:rsidRDefault="00AA2BE3" w:rsidP="0091532E">
            <w:pPr>
              <w:pStyle w:val="Tabletext"/>
              <w:jc w:val="center"/>
              <w:rPr>
                <w:b/>
                <w:bCs/>
                <w:sz w:val="18"/>
              </w:rPr>
            </w:pPr>
            <w:r w:rsidRPr="0091532E">
              <w:rPr>
                <w:b/>
                <w:bCs/>
                <w:sz w:val="18"/>
              </w:rPr>
              <w:t>68</w:t>
            </w:r>
          </w:p>
        </w:tc>
        <w:tc>
          <w:tcPr>
            <w:tcW w:w="990" w:type="dxa"/>
          </w:tcPr>
          <w:p w:rsidR="00AA2BE3" w:rsidRPr="0091532E" w:rsidRDefault="00AA2BE3" w:rsidP="0091532E">
            <w:pPr>
              <w:pStyle w:val="Tabletext"/>
              <w:jc w:val="center"/>
              <w:rPr>
                <w:b/>
                <w:bCs/>
                <w:sz w:val="18"/>
              </w:rPr>
            </w:pPr>
            <w:r w:rsidRPr="0091532E">
              <w:rPr>
                <w:b/>
                <w:bCs/>
                <w:sz w:val="18"/>
              </w:rPr>
              <w:t>46</w:t>
            </w:r>
          </w:p>
        </w:tc>
        <w:tc>
          <w:tcPr>
            <w:tcW w:w="989" w:type="dxa"/>
          </w:tcPr>
          <w:p w:rsidR="00AA2BE3" w:rsidRPr="0091532E" w:rsidRDefault="00AA2BE3" w:rsidP="0091532E">
            <w:pPr>
              <w:pStyle w:val="Tabletext"/>
              <w:jc w:val="center"/>
              <w:rPr>
                <w:b/>
                <w:bCs/>
                <w:sz w:val="18"/>
              </w:rPr>
            </w:pPr>
            <w:r w:rsidRPr="0091532E">
              <w:rPr>
                <w:b/>
                <w:bCs/>
                <w:sz w:val="18"/>
              </w:rPr>
              <w:t>116</w:t>
            </w:r>
          </w:p>
        </w:tc>
        <w:tc>
          <w:tcPr>
            <w:tcW w:w="988" w:type="dxa"/>
          </w:tcPr>
          <w:p w:rsidR="00AA2BE3" w:rsidRPr="0091532E" w:rsidRDefault="00AA2BE3" w:rsidP="0091532E">
            <w:pPr>
              <w:pStyle w:val="Tabletext"/>
              <w:jc w:val="center"/>
              <w:rPr>
                <w:b/>
                <w:bCs/>
                <w:sz w:val="18"/>
              </w:rPr>
            </w:pPr>
            <w:r w:rsidRPr="0091532E">
              <w:rPr>
                <w:b/>
                <w:bCs/>
                <w:sz w:val="18"/>
              </w:rPr>
              <w:t>169</w:t>
            </w:r>
          </w:p>
        </w:tc>
        <w:tc>
          <w:tcPr>
            <w:tcW w:w="954" w:type="dxa"/>
          </w:tcPr>
          <w:p w:rsidR="00AA2BE3" w:rsidRPr="0091532E" w:rsidRDefault="00AA2BE3" w:rsidP="0091532E">
            <w:pPr>
              <w:pStyle w:val="Tabletext"/>
              <w:jc w:val="center"/>
              <w:rPr>
                <w:b/>
                <w:bCs/>
                <w:sz w:val="18"/>
              </w:rPr>
            </w:pPr>
            <w:r w:rsidRPr="0091532E">
              <w:rPr>
                <w:b/>
                <w:bCs/>
                <w:sz w:val="18"/>
              </w:rPr>
              <w:t>143</w:t>
            </w:r>
          </w:p>
        </w:tc>
        <w:tc>
          <w:tcPr>
            <w:tcW w:w="988" w:type="dxa"/>
          </w:tcPr>
          <w:p w:rsidR="00AA2BE3" w:rsidRPr="0091532E" w:rsidRDefault="00AA2BE3" w:rsidP="0091532E">
            <w:pPr>
              <w:pStyle w:val="Tabletext"/>
              <w:jc w:val="center"/>
              <w:rPr>
                <w:b/>
                <w:bCs/>
                <w:sz w:val="18"/>
              </w:rPr>
            </w:pPr>
            <w:r w:rsidRPr="0091532E">
              <w:rPr>
                <w:b/>
                <w:bCs/>
                <w:sz w:val="18"/>
              </w:rPr>
              <w:t>49</w:t>
            </w:r>
          </w:p>
        </w:tc>
        <w:tc>
          <w:tcPr>
            <w:tcW w:w="988" w:type="dxa"/>
          </w:tcPr>
          <w:p w:rsidR="00AA2BE3" w:rsidRPr="0091532E" w:rsidRDefault="00AA2BE3" w:rsidP="0091532E">
            <w:pPr>
              <w:pStyle w:val="Tabletext"/>
              <w:jc w:val="center"/>
              <w:rPr>
                <w:b/>
                <w:bCs/>
                <w:sz w:val="18"/>
              </w:rPr>
            </w:pPr>
            <w:r w:rsidRPr="0091532E">
              <w:rPr>
                <w:b/>
                <w:bCs/>
                <w:sz w:val="18"/>
              </w:rPr>
              <w:t>119</w:t>
            </w:r>
          </w:p>
        </w:tc>
        <w:tc>
          <w:tcPr>
            <w:tcW w:w="988" w:type="dxa"/>
          </w:tcPr>
          <w:p w:rsidR="00AA2BE3" w:rsidRPr="0091532E" w:rsidRDefault="00AA2BE3" w:rsidP="0091532E">
            <w:pPr>
              <w:pStyle w:val="Tabletext"/>
              <w:jc w:val="center"/>
              <w:rPr>
                <w:b/>
                <w:bCs/>
                <w:sz w:val="18"/>
              </w:rPr>
            </w:pPr>
            <w:r w:rsidRPr="0091532E">
              <w:rPr>
                <w:b/>
                <w:bCs/>
                <w:sz w:val="18"/>
              </w:rPr>
              <w:t>100</w:t>
            </w:r>
          </w:p>
        </w:tc>
        <w:tc>
          <w:tcPr>
            <w:tcW w:w="988" w:type="dxa"/>
          </w:tcPr>
          <w:p w:rsidR="00AA2BE3" w:rsidRPr="0091532E" w:rsidRDefault="00AA2BE3" w:rsidP="0091532E">
            <w:pPr>
              <w:pStyle w:val="Tabletext"/>
              <w:jc w:val="center"/>
              <w:rPr>
                <w:b/>
                <w:bCs/>
                <w:sz w:val="18"/>
              </w:rPr>
            </w:pPr>
            <w:r w:rsidRPr="0091532E">
              <w:rPr>
                <w:b/>
                <w:bCs/>
                <w:sz w:val="18"/>
              </w:rPr>
              <w:t>75</w:t>
            </w:r>
          </w:p>
        </w:tc>
      </w:tr>
    </w:tbl>
    <w:p w:rsidR="00EC61F5" w:rsidRDefault="00EC61F5" w:rsidP="00EC61F5">
      <w:pPr>
        <w:pStyle w:val="Tablefin"/>
      </w:pPr>
      <w:bookmarkStart w:id="78" w:name="_Toc277668640"/>
    </w:p>
    <w:p w:rsidR="00AA2BE3" w:rsidRPr="007D1EF7" w:rsidRDefault="00AA2BE3" w:rsidP="00AA2BE3">
      <w:pPr>
        <w:pStyle w:val="Heading2"/>
        <w:rPr>
          <w:lang w:val="en-US"/>
        </w:rPr>
      </w:pPr>
      <w:r w:rsidRPr="007D1EF7">
        <w:rPr>
          <w:lang w:val="en-US"/>
        </w:rPr>
        <w:t>6.1</w:t>
      </w:r>
      <w:r w:rsidRPr="007D1EF7">
        <w:rPr>
          <w:lang w:val="en-US"/>
        </w:rPr>
        <w:tab/>
        <w:t>Worst-case full constellation availability of HIBLEO-2 forward-links under SRS ES transmissions to the Moon</w:t>
      </w:r>
      <w:bookmarkEnd w:id="78"/>
    </w:p>
    <w:p w:rsidR="00AA2BE3" w:rsidRPr="007D1EF7" w:rsidRDefault="00AA2BE3" w:rsidP="0091532E">
      <w:pPr>
        <w:rPr>
          <w:lang w:val="en-US"/>
        </w:rPr>
      </w:pPr>
      <w:r w:rsidRPr="007D1EF7">
        <w:rPr>
          <w:lang w:val="en-US"/>
        </w:rPr>
        <w:t xml:space="preserve">Same approach as previously used in </w:t>
      </w:r>
      <w:r w:rsidR="0091532E" w:rsidRPr="007D1EF7">
        <w:rPr>
          <w:lang w:val="en-US"/>
        </w:rPr>
        <w:t>§</w:t>
      </w:r>
      <w:r w:rsidRPr="007D1EF7">
        <w:rPr>
          <w:lang w:val="en-US"/>
        </w:rPr>
        <w:t xml:space="preserve"> 3.5 </w:t>
      </w:r>
      <w:r w:rsidR="009872B6" w:rsidRPr="007D1EF7">
        <w:rPr>
          <w:lang w:val="en-US"/>
        </w:rPr>
        <w:t>“</w:t>
      </w:r>
      <w:r w:rsidRPr="007D1EF7">
        <w:rPr>
          <w:lang w:val="en-US"/>
        </w:rPr>
        <w:t>Availability of forward-links</w:t>
      </w:r>
      <w:r w:rsidR="009872B6" w:rsidRPr="007D1EF7">
        <w:rPr>
          <w:lang w:val="en-US"/>
        </w:rPr>
        <w:t>”</w:t>
      </w:r>
      <w:r w:rsidRPr="007D1EF7">
        <w:rPr>
          <w:lang w:val="en-US"/>
        </w:rPr>
        <w:t xml:space="preserve"> will now be used to find the long-term interference as a function of </w:t>
      </w:r>
      <w:r w:rsidRPr="007D1EF7">
        <w:rPr>
          <w:i/>
          <w:iCs/>
          <w:lang w:val="en-US"/>
        </w:rPr>
        <w:t>I</w:t>
      </w:r>
      <w:r w:rsidRPr="007D1EF7">
        <w:rPr>
          <w:lang w:val="en-US"/>
        </w:rPr>
        <w:t>/</w:t>
      </w:r>
      <w:r w:rsidRPr="007D1EF7">
        <w:rPr>
          <w:i/>
          <w:iCs/>
          <w:lang w:val="en-US"/>
        </w:rPr>
        <w:t>N</w:t>
      </w:r>
      <w:r w:rsidRPr="007D1EF7">
        <w:rPr>
          <w:vertAlign w:val="subscript"/>
          <w:lang w:val="en-US"/>
        </w:rPr>
        <w:t>0</w:t>
      </w:r>
      <w:r w:rsidRPr="007D1EF7">
        <w:rPr>
          <w:lang w:val="en-US"/>
        </w:rPr>
        <w:t xml:space="preserve"> from the cumulative interference events found for days 1 through 84. Thus the interference events shown in Table A5-4 (</w:t>
      </w:r>
      <w:r w:rsidR="009872B6" w:rsidRPr="007D1EF7">
        <w:rPr>
          <w:lang w:val="en-US"/>
        </w:rPr>
        <w:t>“</w:t>
      </w:r>
      <w:r w:rsidRPr="007D1EF7">
        <w:rPr>
          <w:lang w:val="en-US"/>
        </w:rPr>
        <w:t>Intf. events</w:t>
      </w:r>
      <w:r w:rsidR="009872B6" w:rsidRPr="007D1EF7">
        <w:rPr>
          <w:lang w:val="en-US"/>
        </w:rPr>
        <w:t>”</w:t>
      </w:r>
      <w:r w:rsidRPr="007D1EF7">
        <w:rPr>
          <w:lang w:val="en-US"/>
        </w:rPr>
        <w:t>) correspond to the 66 forward-link receivers of the HIBLEO-2 constellation.</w:t>
      </w:r>
    </w:p>
    <w:p w:rsidR="00AA2BE3" w:rsidRPr="007D1EF7" w:rsidRDefault="00AA2BE3" w:rsidP="00AA2BE3">
      <w:pPr>
        <w:rPr>
          <w:lang w:val="en-US"/>
        </w:rPr>
      </w:pPr>
      <w:r w:rsidRPr="007D1EF7">
        <w:rPr>
          <w:lang w:val="en-US"/>
        </w:rPr>
        <w:t xml:space="preserve">The HIBLEO-2 constellation also has another 66 forward-links looking north at the beginning of the simulation that should also be accounted for to find the availability of the full constellation. Noting that every orbit starts as an ascending node orbit and after half orbital period becomes a descending one the symmetry of the forward links looking north or south will be assumed. </w:t>
      </w:r>
      <w:r w:rsidRPr="007D1EF7">
        <w:rPr>
          <w:lang w:val="en-US"/>
        </w:rPr>
        <w:lastRenderedPageBreak/>
        <w:t>Therefore the contribution of the forward-links to the HIBLEO-2 constellation interference will be twice the one shown in Table A5-4 with corresponding availability shown. In short:</w:t>
      </w:r>
    </w:p>
    <w:p w:rsidR="00EC61F5" w:rsidRDefault="00EC61F5" w:rsidP="00EC61F5">
      <w:pPr>
        <w:pStyle w:val="Blanc"/>
      </w:pPr>
    </w:p>
    <w:p w:rsidR="00AA2BE3" w:rsidRPr="00B3358F" w:rsidRDefault="0091532E" w:rsidP="0091532E">
      <w:pPr>
        <w:pStyle w:val="Equation"/>
        <w:rPr>
          <w:lang w:val="en-GB"/>
        </w:rPr>
      </w:pPr>
      <w:r>
        <w:rPr>
          <w:lang w:val="en-GB"/>
        </w:rPr>
        <w:tab/>
      </w:r>
      <w:r>
        <w:rPr>
          <w:lang w:val="en-GB"/>
        </w:rPr>
        <w:tab/>
      </w:r>
      <w:r w:rsidR="00AA2BE3" w:rsidRPr="00B3358F">
        <w:rPr>
          <w:lang w:val="en-GB"/>
        </w:rPr>
        <w:t>Long-term availability =</w:t>
      </w:r>
      <w:r w:rsidR="008323DF">
        <w:rPr>
          <w:lang w:val="en-GB"/>
        </w:rPr>
        <w:t xml:space="preserve"> </w:t>
      </w:r>
      <w:r w:rsidR="00AA2BE3" w:rsidRPr="00B3358F">
        <w:rPr>
          <w:lang w:val="en-GB"/>
        </w:rPr>
        <w:t>(1- 2*int. events/total events)*100</w:t>
      </w:r>
    </w:p>
    <w:p w:rsidR="00EC61F5" w:rsidRDefault="00EC61F5" w:rsidP="00EC61F5">
      <w:pPr>
        <w:pStyle w:val="Blanc"/>
      </w:pPr>
    </w:p>
    <w:p w:rsidR="00AA2BE3" w:rsidRPr="007D1EF7" w:rsidRDefault="00AA2BE3" w:rsidP="00192341">
      <w:pPr>
        <w:rPr>
          <w:lang w:val="en-US"/>
        </w:rPr>
      </w:pPr>
      <w:r w:rsidRPr="007D1EF7">
        <w:rPr>
          <w:lang w:val="en-US"/>
        </w:rPr>
        <w:t>Duration of the worst-day short-term interference has also been included in Table A5-4.</w:t>
      </w:r>
    </w:p>
    <w:p w:rsidR="00EC61F5" w:rsidRPr="007D1EF7" w:rsidRDefault="00EC61F5" w:rsidP="00192341">
      <w:pPr>
        <w:rPr>
          <w:lang w:val="en-US"/>
        </w:rPr>
      </w:pPr>
    </w:p>
    <w:p w:rsidR="00AA2BE3" w:rsidRPr="007D1EF7" w:rsidRDefault="0091532E" w:rsidP="00AA2BE3">
      <w:pPr>
        <w:pStyle w:val="TableNo"/>
        <w:rPr>
          <w:lang w:val="en-US"/>
        </w:rPr>
      </w:pPr>
      <w:r w:rsidRPr="007D1EF7">
        <w:rPr>
          <w:lang w:val="en-US"/>
        </w:rPr>
        <w:t>TABLE</w:t>
      </w:r>
      <w:r w:rsidR="00AA2BE3" w:rsidRPr="007D1EF7">
        <w:rPr>
          <w:lang w:val="en-US"/>
        </w:rPr>
        <w:t xml:space="preserve"> A5-4</w:t>
      </w:r>
    </w:p>
    <w:p w:rsidR="00AA2BE3" w:rsidRPr="006C2078" w:rsidRDefault="00AA2BE3" w:rsidP="0091532E">
      <w:pPr>
        <w:pStyle w:val="Tabletitle"/>
        <w:rPr>
          <w:b w:val="0"/>
          <w:bCs/>
        </w:rPr>
      </w:pPr>
      <w:r w:rsidRPr="007D1EF7">
        <w:rPr>
          <w:lang w:val="en-US"/>
        </w:rPr>
        <w:t>Summary of 84 days for Moon transmissions of a 18 m SRS ES</w:t>
      </w:r>
      <w:r w:rsidRPr="007D1EF7">
        <w:rPr>
          <w:lang w:val="en-US"/>
        </w:rPr>
        <w:br/>
      </w:r>
      <w:r w:rsidRPr="007D1EF7">
        <w:rPr>
          <w:rFonts w:ascii="Times New Roman Bold Greek" w:hAnsi="Times New Roman Bold Greek"/>
          <w:lang w:val="en-US"/>
        </w:rPr>
        <w:t xml:space="preserve">(–59.7 dB(W/Hz), </w:t>
      </w:r>
      <w:r w:rsidRPr="00695EC1">
        <w:rPr>
          <w:rFonts w:ascii="Times New Roman Bold Greek" w:hAnsi="Times New Roman Bold Greek"/>
        </w:rPr>
        <w:t>Δ</w:t>
      </w:r>
      <w:r w:rsidRPr="007D1EF7">
        <w:rPr>
          <w:rFonts w:ascii="Times New Roman Bold Greek" w:hAnsi="Times New Roman Bold Greek"/>
          <w:lang w:val="en-US"/>
        </w:rPr>
        <w:t xml:space="preserve">t = 0.06 s). </w:t>
      </w:r>
      <w:r w:rsidRPr="00695EC1">
        <w:t>Full HIBLEO-2 constellation (6</w:t>
      </w:r>
      <w:r w:rsidR="0091532E">
        <w:t xml:space="preserve"> </w:t>
      </w:r>
      <w:r w:rsidR="0091532E">
        <w:sym w:font="Symbol" w:char="F0B4"/>
      </w:r>
      <w:r w:rsidR="0091532E">
        <w:t xml:space="preserve"> </w:t>
      </w:r>
      <w:r w:rsidRPr="00695EC1">
        <w:t>11</w:t>
      </w:r>
      <w:r w:rsidR="0091532E">
        <w:t xml:space="preserve"> </w:t>
      </w:r>
      <w:r w:rsidR="0091532E">
        <w:sym w:font="Symbol" w:char="F0B4"/>
      </w:r>
      <w:r w:rsidR="0091532E">
        <w:t xml:space="preserve"> </w:t>
      </w:r>
      <w:r w:rsidRPr="00695EC1">
        <w:t>2 links</w:t>
      </w:r>
      <w:r w:rsidRPr="006C2078">
        <w:rPr>
          <w:b w:val="0"/>
          <w:bCs/>
        </w:rPr>
        <w:t>)</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701"/>
        <w:gridCol w:w="1701"/>
        <w:gridCol w:w="1757"/>
        <w:gridCol w:w="1701"/>
        <w:gridCol w:w="1701"/>
      </w:tblGrid>
      <w:tr w:rsidR="00AA2BE3" w:rsidRPr="006C2078" w:rsidTr="0091532E">
        <w:trPr>
          <w:jc w:val="center"/>
        </w:trPr>
        <w:tc>
          <w:tcPr>
            <w:tcW w:w="1134" w:type="dxa"/>
          </w:tcPr>
          <w:p w:rsidR="00AA2BE3" w:rsidRPr="006C2078" w:rsidRDefault="00AA2BE3" w:rsidP="0091532E">
            <w:pPr>
              <w:pStyle w:val="Tablehead"/>
              <w:ind w:left="-57" w:right="-57"/>
            </w:pPr>
            <w:r w:rsidRPr="006C2078">
              <w:rPr>
                <w:i/>
                <w:iCs/>
              </w:rPr>
              <w:t>I</w:t>
            </w:r>
            <w:r w:rsidRPr="006C2078">
              <w:t>/</w:t>
            </w:r>
            <w:r w:rsidRPr="006C2078">
              <w:rPr>
                <w:i/>
                <w:iCs/>
              </w:rPr>
              <w:t>N</w:t>
            </w:r>
            <w:r w:rsidR="0091532E" w:rsidRPr="0091532E">
              <w:rPr>
                <w:rFonts w:ascii="Times New Roman Bold" w:hAnsi="Times New Roman Bold" w:cs="Times New Roman Bold"/>
                <w:vertAlign w:val="subscript"/>
              </w:rPr>
              <w:t>0</w:t>
            </w:r>
          </w:p>
        </w:tc>
        <w:tc>
          <w:tcPr>
            <w:tcW w:w="1701" w:type="dxa"/>
          </w:tcPr>
          <w:p w:rsidR="00AA2BE3" w:rsidRPr="006C2078" w:rsidRDefault="00AA2BE3" w:rsidP="009732F6">
            <w:pPr>
              <w:pStyle w:val="Tablehead"/>
              <w:ind w:left="-57" w:right="-57"/>
            </w:pPr>
            <w:r w:rsidRPr="006C2078">
              <w:t>Int</w:t>
            </w:r>
            <w:r w:rsidR="009732F6">
              <w:t>f.</w:t>
            </w:r>
            <w:r w:rsidRPr="006C2078">
              <w:t xml:space="preserve"> events</w:t>
            </w:r>
          </w:p>
        </w:tc>
        <w:tc>
          <w:tcPr>
            <w:tcW w:w="1701" w:type="dxa"/>
          </w:tcPr>
          <w:p w:rsidR="00AA2BE3" w:rsidRPr="006C2078" w:rsidRDefault="00AA2BE3" w:rsidP="009732F6">
            <w:pPr>
              <w:pStyle w:val="Tablehead"/>
              <w:ind w:left="-57" w:right="-57"/>
            </w:pPr>
            <w:r w:rsidRPr="006C2078">
              <w:t>Worst day</w:t>
            </w:r>
            <w:r>
              <w:br/>
            </w:r>
            <w:r w:rsidRPr="006C2078">
              <w:t>Int</w:t>
            </w:r>
            <w:r w:rsidR="009732F6">
              <w:t>f.</w:t>
            </w:r>
            <w:r w:rsidRPr="006C2078">
              <w:t xml:space="preserve"> events</w:t>
            </w:r>
          </w:p>
        </w:tc>
        <w:tc>
          <w:tcPr>
            <w:tcW w:w="1757" w:type="dxa"/>
          </w:tcPr>
          <w:p w:rsidR="00AA2BE3" w:rsidRPr="007D1EF7" w:rsidRDefault="00AA2BE3" w:rsidP="009732F6">
            <w:pPr>
              <w:pStyle w:val="Tablehead"/>
              <w:ind w:left="-57" w:right="-57"/>
              <w:rPr>
                <w:lang w:val="en-US"/>
              </w:rPr>
            </w:pPr>
            <w:r w:rsidRPr="007D1EF7">
              <w:rPr>
                <w:lang w:val="en-US"/>
              </w:rPr>
              <w:t>Worst day</w:t>
            </w:r>
            <w:r w:rsidRPr="007D1EF7">
              <w:rPr>
                <w:lang w:val="en-US"/>
              </w:rPr>
              <w:br/>
              <w:t>Int</w:t>
            </w:r>
            <w:r w:rsidR="0091532E" w:rsidRPr="007D1EF7">
              <w:rPr>
                <w:lang w:val="en-US"/>
              </w:rPr>
              <w:t>f</w:t>
            </w:r>
            <w:r w:rsidR="009732F6" w:rsidRPr="007D1EF7">
              <w:rPr>
                <w:lang w:val="en-US"/>
              </w:rPr>
              <w:t>.</w:t>
            </w:r>
            <w:r w:rsidRPr="007D1EF7">
              <w:rPr>
                <w:lang w:val="en-US"/>
              </w:rPr>
              <w:t xml:space="preserve"> time</w:t>
            </w:r>
            <w:r w:rsidR="0091532E" w:rsidRPr="007D1EF7">
              <w:rPr>
                <w:lang w:val="en-US"/>
              </w:rPr>
              <w:br/>
              <w:t>(</w:t>
            </w:r>
            <w:r w:rsidRPr="007D1EF7">
              <w:rPr>
                <w:lang w:val="en-US"/>
              </w:rPr>
              <w:t>s</w:t>
            </w:r>
            <w:r w:rsidR="0091532E" w:rsidRPr="007D1EF7">
              <w:rPr>
                <w:lang w:val="en-US"/>
              </w:rPr>
              <w:t>)</w:t>
            </w:r>
          </w:p>
        </w:tc>
        <w:tc>
          <w:tcPr>
            <w:tcW w:w="1701" w:type="dxa"/>
          </w:tcPr>
          <w:p w:rsidR="00AA2BE3" w:rsidRPr="006C2078" w:rsidRDefault="00AA2BE3" w:rsidP="0091532E">
            <w:pPr>
              <w:pStyle w:val="Tablehead"/>
              <w:ind w:left="-57" w:right="-57"/>
            </w:pPr>
            <w:r w:rsidRPr="006C2078">
              <w:t>Interference</w:t>
            </w:r>
            <w:r>
              <w:br/>
            </w:r>
            <w:r w:rsidR="0091532E">
              <w:t>(</w:t>
            </w:r>
            <w:r w:rsidRPr="006C2078">
              <w:t>%</w:t>
            </w:r>
            <w:r w:rsidR="0091532E">
              <w:t>)</w:t>
            </w:r>
          </w:p>
        </w:tc>
        <w:tc>
          <w:tcPr>
            <w:tcW w:w="1701" w:type="dxa"/>
          </w:tcPr>
          <w:p w:rsidR="00AA2BE3" w:rsidRPr="006C2078" w:rsidRDefault="00AA2BE3" w:rsidP="0091532E">
            <w:pPr>
              <w:pStyle w:val="Tablehead"/>
              <w:ind w:left="-57" w:right="-57"/>
            </w:pPr>
            <w:r w:rsidRPr="006C2078">
              <w:t>Availability</w:t>
            </w:r>
            <w:r>
              <w:br/>
            </w:r>
            <w:r w:rsidR="0091532E">
              <w:t>(</w:t>
            </w:r>
            <w:r w:rsidRPr="006C2078">
              <w:t>%</w:t>
            </w:r>
            <w:r w:rsidR="0091532E">
              <w:t>)</w:t>
            </w:r>
          </w:p>
        </w:tc>
      </w:tr>
      <w:tr w:rsidR="00AA2BE3" w:rsidRPr="006C2078" w:rsidTr="0091532E">
        <w:trPr>
          <w:jc w:val="center"/>
        </w:trPr>
        <w:tc>
          <w:tcPr>
            <w:tcW w:w="1134" w:type="dxa"/>
          </w:tcPr>
          <w:p w:rsidR="00AA2BE3" w:rsidRPr="006C2078" w:rsidRDefault="00AA2BE3" w:rsidP="0091532E">
            <w:pPr>
              <w:pStyle w:val="Tabletext"/>
              <w:jc w:val="center"/>
            </w:pPr>
            <w:r w:rsidRPr="006C2078">
              <w:t>–2.5</w:t>
            </w:r>
          </w:p>
        </w:tc>
        <w:tc>
          <w:tcPr>
            <w:tcW w:w="1701" w:type="dxa"/>
          </w:tcPr>
          <w:p w:rsidR="00AA2BE3" w:rsidRPr="006C2078" w:rsidRDefault="00AA2BE3" w:rsidP="0091532E">
            <w:pPr>
              <w:pStyle w:val="Tabletext"/>
              <w:jc w:val="center"/>
            </w:pPr>
            <w:r w:rsidRPr="006C2078">
              <w:t>673</w:t>
            </w:r>
          </w:p>
        </w:tc>
        <w:tc>
          <w:tcPr>
            <w:tcW w:w="1701" w:type="dxa"/>
          </w:tcPr>
          <w:p w:rsidR="00AA2BE3" w:rsidRPr="006C2078" w:rsidRDefault="00AA2BE3" w:rsidP="0091532E">
            <w:pPr>
              <w:pStyle w:val="Tabletext"/>
              <w:jc w:val="center"/>
              <w:rPr>
                <w:szCs w:val="24"/>
              </w:rPr>
            </w:pPr>
            <w:r w:rsidRPr="006C2078">
              <w:rPr>
                <w:szCs w:val="24"/>
              </w:rPr>
              <w:t>76</w:t>
            </w:r>
          </w:p>
        </w:tc>
        <w:tc>
          <w:tcPr>
            <w:tcW w:w="1757" w:type="dxa"/>
          </w:tcPr>
          <w:p w:rsidR="00AA2BE3" w:rsidRPr="006C2078" w:rsidRDefault="00AA2BE3" w:rsidP="0091532E">
            <w:pPr>
              <w:pStyle w:val="Tabletext"/>
              <w:jc w:val="center"/>
            </w:pPr>
            <w:r w:rsidRPr="006C2078">
              <w:t>4.5</w:t>
            </w:r>
          </w:p>
        </w:tc>
        <w:tc>
          <w:tcPr>
            <w:tcW w:w="1701" w:type="dxa"/>
          </w:tcPr>
          <w:p w:rsidR="00AA2BE3" w:rsidRPr="006C2078" w:rsidRDefault="00AA2BE3" w:rsidP="0091532E">
            <w:pPr>
              <w:pStyle w:val="Tabletext"/>
              <w:jc w:val="center"/>
            </w:pPr>
            <w:r w:rsidRPr="006C2078">
              <w:t>0.00111</w:t>
            </w:r>
          </w:p>
        </w:tc>
        <w:tc>
          <w:tcPr>
            <w:tcW w:w="1701" w:type="dxa"/>
          </w:tcPr>
          <w:p w:rsidR="00AA2BE3" w:rsidRPr="006C2078" w:rsidRDefault="00AA2BE3" w:rsidP="0091532E">
            <w:pPr>
              <w:pStyle w:val="Tabletext"/>
              <w:jc w:val="center"/>
            </w:pPr>
            <w:r w:rsidRPr="006C2078">
              <w:t>99.9989</w:t>
            </w:r>
          </w:p>
        </w:tc>
      </w:tr>
      <w:tr w:rsidR="00AA2BE3" w:rsidRPr="006C2078" w:rsidTr="0091532E">
        <w:trPr>
          <w:jc w:val="center"/>
        </w:trPr>
        <w:tc>
          <w:tcPr>
            <w:tcW w:w="1134" w:type="dxa"/>
          </w:tcPr>
          <w:p w:rsidR="00AA2BE3" w:rsidRPr="006C2078" w:rsidRDefault="00AA2BE3" w:rsidP="0091532E">
            <w:pPr>
              <w:pStyle w:val="Tabletext"/>
              <w:jc w:val="center"/>
            </w:pPr>
            <w:r w:rsidRPr="006C2078">
              <w:t>–4.5</w:t>
            </w:r>
          </w:p>
        </w:tc>
        <w:tc>
          <w:tcPr>
            <w:tcW w:w="1701" w:type="dxa"/>
          </w:tcPr>
          <w:p w:rsidR="00AA2BE3" w:rsidRPr="006C2078" w:rsidRDefault="00AA2BE3" w:rsidP="0091532E">
            <w:pPr>
              <w:pStyle w:val="Tabletext"/>
              <w:jc w:val="center"/>
            </w:pPr>
            <w:r w:rsidRPr="006C2078">
              <w:t>993</w:t>
            </w:r>
          </w:p>
        </w:tc>
        <w:tc>
          <w:tcPr>
            <w:tcW w:w="1701" w:type="dxa"/>
          </w:tcPr>
          <w:p w:rsidR="00AA2BE3" w:rsidRPr="006C2078" w:rsidRDefault="00AA2BE3" w:rsidP="0091532E">
            <w:pPr>
              <w:pStyle w:val="Tabletext"/>
              <w:jc w:val="center"/>
            </w:pPr>
            <w:r w:rsidRPr="006C2078">
              <w:t>89</w:t>
            </w:r>
          </w:p>
        </w:tc>
        <w:tc>
          <w:tcPr>
            <w:tcW w:w="1757" w:type="dxa"/>
          </w:tcPr>
          <w:p w:rsidR="00AA2BE3" w:rsidRPr="006C2078" w:rsidRDefault="00AA2BE3" w:rsidP="0091532E">
            <w:pPr>
              <w:pStyle w:val="Tabletext"/>
              <w:jc w:val="center"/>
            </w:pPr>
            <w:r w:rsidRPr="006C2078">
              <w:t>5.3</w:t>
            </w:r>
          </w:p>
        </w:tc>
        <w:tc>
          <w:tcPr>
            <w:tcW w:w="1701" w:type="dxa"/>
          </w:tcPr>
          <w:p w:rsidR="00AA2BE3" w:rsidRPr="006C2078" w:rsidRDefault="00AA2BE3" w:rsidP="0091532E">
            <w:pPr>
              <w:pStyle w:val="Tabletext"/>
              <w:jc w:val="center"/>
            </w:pPr>
            <w:r w:rsidRPr="006C2078">
              <w:t>0.00164</w:t>
            </w:r>
          </w:p>
        </w:tc>
        <w:tc>
          <w:tcPr>
            <w:tcW w:w="1701" w:type="dxa"/>
          </w:tcPr>
          <w:p w:rsidR="00AA2BE3" w:rsidRPr="006C2078" w:rsidRDefault="00AA2BE3" w:rsidP="0091532E">
            <w:pPr>
              <w:pStyle w:val="Tabletext"/>
              <w:jc w:val="center"/>
            </w:pPr>
            <w:r w:rsidRPr="006C2078">
              <w:t>99.9984</w:t>
            </w:r>
          </w:p>
        </w:tc>
      </w:tr>
      <w:tr w:rsidR="00AA2BE3" w:rsidRPr="006C2078" w:rsidTr="0091532E">
        <w:trPr>
          <w:jc w:val="center"/>
        </w:trPr>
        <w:tc>
          <w:tcPr>
            <w:tcW w:w="1134" w:type="dxa"/>
          </w:tcPr>
          <w:p w:rsidR="00AA2BE3" w:rsidRPr="006C2078" w:rsidRDefault="00AA2BE3" w:rsidP="0091532E">
            <w:pPr>
              <w:pStyle w:val="Tabletext"/>
              <w:jc w:val="center"/>
            </w:pPr>
            <w:r w:rsidRPr="006C2078">
              <w:t>–6.5</w:t>
            </w:r>
          </w:p>
        </w:tc>
        <w:tc>
          <w:tcPr>
            <w:tcW w:w="1701" w:type="dxa"/>
          </w:tcPr>
          <w:p w:rsidR="00AA2BE3" w:rsidRPr="006C2078" w:rsidRDefault="00AA2BE3" w:rsidP="0091532E">
            <w:pPr>
              <w:pStyle w:val="Tabletext"/>
              <w:jc w:val="center"/>
            </w:pPr>
            <w:r w:rsidRPr="006C2078">
              <w:t>1373</w:t>
            </w:r>
          </w:p>
        </w:tc>
        <w:tc>
          <w:tcPr>
            <w:tcW w:w="1701" w:type="dxa"/>
          </w:tcPr>
          <w:p w:rsidR="00AA2BE3" w:rsidRPr="006C2078" w:rsidRDefault="00AA2BE3" w:rsidP="0091532E">
            <w:pPr>
              <w:pStyle w:val="Tabletext"/>
              <w:jc w:val="center"/>
            </w:pPr>
            <w:r w:rsidRPr="006C2078">
              <w:t>104</w:t>
            </w:r>
          </w:p>
        </w:tc>
        <w:tc>
          <w:tcPr>
            <w:tcW w:w="1757" w:type="dxa"/>
          </w:tcPr>
          <w:p w:rsidR="00AA2BE3" w:rsidRPr="006C2078" w:rsidRDefault="00AA2BE3" w:rsidP="0091532E">
            <w:pPr>
              <w:pStyle w:val="Tabletext"/>
              <w:jc w:val="center"/>
            </w:pPr>
            <w:r w:rsidRPr="006C2078">
              <w:t>6.2</w:t>
            </w:r>
          </w:p>
        </w:tc>
        <w:tc>
          <w:tcPr>
            <w:tcW w:w="1701" w:type="dxa"/>
          </w:tcPr>
          <w:p w:rsidR="00AA2BE3" w:rsidRPr="006C2078" w:rsidRDefault="00AA2BE3" w:rsidP="0091532E">
            <w:pPr>
              <w:pStyle w:val="Tabletext"/>
              <w:jc w:val="center"/>
            </w:pPr>
            <w:r w:rsidRPr="006C2078">
              <w:t>0.00227</w:t>
            </w:r>
          </w:p>
        </w:tc>
        <w:tc>
          <w:tcPr>
            <w:tcW w:w="1701" w:type="dxa"/>
          </w:tcPr>
          <w:p w:rsidR="00AA2BE3" w:rsidRPr="006C2078" w:rsidRDefault="00AA2BE3" w:rsidP="0091532E">
            <w:pPr>
              <w:pStyle w:val="Tabletext"/>
              <w:jc w:val="center"/>
            </w:pPr>
            <w:r w:rsidRPr="006C2078">
              <w:t>99.9977</w:t>
            </w:r>
          </w:p>
        </w:tc>
      </w:tr>
      <w:tr w:rsidR="00AA2BE3" w:rsidRPr="006C2078" w:rsidTr="0091532E">
        <w:trPr>
          <w:jc w:val="center"/>
        </w:trPr>
        <w:tc>
          <w:tcPr>
            <w:tcW w:w="1134" w:type="dxa"/>
          </w:tcPr>
          <w:p w:rsidR="00AA2BE3" w:rsidRPr="006C2078" w:rsidRDefault="00AA2BE3" w:rsidP="0091532E">
            <w:pPr>
              <w:pStyle w:val="Tabletext"/>
              <w:jc w:val="center"/>
            </w:pPr>
            <w:r w:rsidRPr="006C2078">
              <w:t>–8.5</w:t>
            </w:r>
          </w:p>
        </w:tc>
        <w:tc>
          <w:tcPr>
            <w:tcW w:w="1701" w:type="dxa"/>
          </w:tcPr>
          <w:p w:rsidR="00AA2BE3" w:rsidRPr="006C2078" w:rsidRDefault="00AA2BE3" w:rsidP="0091532E">
            <w:pPr>
              <w:pStyle w:val="Tabletext"/>
              <w:jc w:val="center"/>
            </w:pPr>
            <w:r w:rsidRPr="006C2078">
              <w:t>1986</w:t>
            </w:r>
          </w:p>
        </w:tc>
        <w:tc>
          <w:tcPr>
            <w:tcW w:w="1701" w:type="dxa"/>
          </w:tcPr>
          <w:p w:rsidR="00AA2BE3" w:rsidRPr="006C2078" w:rsidRDefault="00AA2BE3" w:rsidP="0091532E">
            <w:pPr>
              <w:pStyle w:val="Tabletext"/>
              <w:jc w:val="center"/>
            </w:pPr>
            <w:r w:rsidRPr="006C2078">
              <w:t>119</w:t>
            </w:r>
          </w:p>
        </w:tc>
        <w:tc>
          <w:tcPr>
            <w:tcW w:w="1757" w:type="dxa"/>
          </w:tcPr>
          <w:p w:rsidR="00AA2BE3" w:rsidRPr="006C2078" w:rsidRDefault="00AA2BE3" w:rsidP="0091532E">
            <w:pPr>
              <w:pStyle w:val="Tabletext"/>
              <w:jc w:val="center"/>
            </w:pPr>
            <w:r w:rsidRPr="006C2078">
              <w:t>7.1</w:t>
            </w:r>
          </w:p>
        </w:tc>
        <w:tc>
          <w:tcPr>
            <w:tcW w:w="1701" w:type="dxa"/>
          </w:tcPr>
          <w:p w:rsidR="00AA2BE3" w:rsidRPr="006C2078" w:rsidRDefault="00AA2BE3" w:rsidP="0091532E">
            <w:pPr>
              <w:pStyle w:val="Tabletext"/>
              <w:jc w:val="center"/>
            </w:pPr>
            <w:r w:rsidRPr="006C2078">
              <w:t>0.00328</w:t>
            </w:r>
          </w:p>
        </w:tc>
        <w:tc>
          <w:tcPr>
            <w:tcW w:w="1701" w:type="dxa"/>
          </w:tcPr>
          <w:p w:rsidR="00AA2BE3" w:rsidRPr="006C2078" w:rsidRDefault="00AA2BE3" w:rsidP="0091532E">
            <w:pPr>
              <w:pStyle w:val="Tabletext"/>
              <w:jc w:val="center"/>
            </w:pPr>
            <w:r w:rsidRPr="006C2078">
              <w:t>99.9967</w:t>
            </w:r>
          </w:p>
        </w:tc>
      </w:tr>
      <w:tr w:rsidR="00AA2BE3" w:rsidRPr="006C2078" w:rsidTr="0091532E">
        <w:trPr>
          <w:jc w:val="center"/>
        </w:trPr>
        <w:tc>
          <w:tcPr>
            <w:tcW w:w="1134" w:type="dxa"/>
          </w:tcPr>
          <w:p w:rsidR="00AA2BE3" w:rsidRPr="006C2078" w:rsidRDefault="00AA2BE3" w:rsidP="0091532E">
            <w:pPr>
              <w:pStyle w:val="Tabletext"/>
              <w:jc w:val="center"/>
            </w:pPr>
            <w:r w:rsidRPr="006C2078">
              <w:t>–10.5</w:t>
            </w:r>
          </w:p>
        </w:tc>
        <w:tc>
          <w:tcPr>
            <w:tcW w:w="1701" w:type="dxa"/>
          </w:tcPr>
          <w:p w:rsidR="00AA2BE3" w:rsidRPr="006C2078" w:rsidRDefault="00AA2BE3" w:rsidP="0091532E">
            <w:pPr>
              <w:pStyle w:val="Tabletext"/>
              <w:jc w:val="center"/>
            </w:pPr>
            <w:r w:rsidRPr="006C2078">
              <w:t>2808</w:t>
            </w:r>
          </w:p>
        </w:tc>
        <w:tc>
          <w:tcPr>
            <w:tcW w:w="1701" w:type="dxa"/>
          </w:tcPr>
          <w:p w:rsidR="00AA2BE3" w:rsidRPr="006C2078" w:rsidRDefault="00AA2BE3" w:rsidP="0091532E">
            <w:pPr>
              <w:pStyle w:val="Tabletext"/>
              <w:jc w:val="center"/>
            </w:pPr>
            <w:r w:rsidRPr="006C2078">
              <w:t>135</w:t>
            </w:r>
          </w:p>
        </w:tc>
        <w:tc>
          <w:tcPr>
            <w:tcW w:w="1757" w:type="dxa"/>
          </w:tcPr>
          <w:p w:rsidR="00AA2BE3" w:rsidRPr="006C2078" w:rsidRDefault="00AA2BE3" w:rsidP="0091532E">
            <w:pPr>
              <w:pStyle w:val="Tabletext"/>
              <w:jc w:val="center"/>
            </w:pPr>
            <w:r w:rsidRPr="006C2078">
              <w:t>8.1</w:t>
            </w:r>
          </w:p>
        </w:tc>
        <w:tc>
          <w:tcPr>
            <w:tcW w:w="1701" w:type="dxa"/>
          </w:tcPr>
          <w:p w:rsidR="00AA2BE3" w:rsidRPr="006C2078" w:rsidRDefault="00AA2BE3" w:rsidP="0091532E">
            <w:pPr>
              <w:pStyle w:val="Tabletext"/>
              <w:jc w:val="center"/>
            </w:pPr>
            <w:r w:rsidRPr="006C2078">
              <w:t>0.00464</w:t>
            </w:r>
          </w:p>
        </w:tc>
        <w:tc>
          <w:tcPr>
            <w:tcW w:w="1701" w:type="dxa"/>
          </w:tcPr>
          <w:p w:rsidR="00AA2BE3" w:rsidRPr="006C2078" w:rsidRDefault="00AA2BE3" w:rsidP="0091532E">
            <w:pPr>
              <w:pStyle w:val="Tabletext"/>
              <w:jc w:val="center"/>
            </w:pPr>
            <w:r w:rsidRPr="006C2078">
              <w:t>99.9954</w:t>
            </w:r>
          </w:p>
        </w:tc>
      </w:tr>
      <w:tr w:rsidR="00AA2BE3" w:rsidRPr="006C2078" w:rsidTr="0091532E">
        <w:trPr>
          <w:jc w:val="center"/>
        </w:trPr>
        <w:tc>
          <w:tcPr>
            <w:tcW w:w="1134" w:type="dxa"/>
          </w:tcPr>
          <w:p w:rsidR="00AA2BE3" w:rsidRPr="006C2078" w:rsidRDefault="00AA2BE3" w:rsidP="0091532E">
            <w:pPr>
              <w:pStyle w:val="Tabletext"/>
              <w:jc w:val="center"/>
            </w:pPr>
            <w:r w:rsidRPr="006C2078">
              <w:t>–12.5</w:t>
            </w:r>
          </w:p>
        </w:tc>
        <w:tc>
          <w:tcPr>
            <w:tcW w:w="1701" w:type="dxa"/>
          </w:tcPr>
          <w:p w:rsidR="00AA2BE3" w:rsidRPr="006C2078" w:rsidRDefault="00AA2BE3" w:rsidP="0091532E">
            <w:pPr>
              <w:pStyle w:val="Tabletext"/>
              <w:jc w:val="center"/>
            </w:pPr>
            <w:r w:rsidRPr="006C2078">
              <w:t>3734</w:t>
            </w:r>
          </w:p>
        </w:tc>
        <w:tc>
          <w:tcPr>
            <w:tcW w:w="1701" w:type="dxa"/>
          </w:tcPr>
          <w:p w:rsidR="00AA2BE3" w:rsidRPr="006C2078" w:rsidRDefault="00AA2BE3" w:rsidP="0091532E">
            <w:pPr>
              <w:pStyle w:val="Tabletext"/>
              <w:jc w:val="center"/>
            </w:pPr>
            <w:r w:rsidRPr="006C2078">
              <w:t>153</w:t>
            </w:r>
          </w:p>
        </w:tc>
        <w:tc>
          <w:tcPr>
            <w:tcW w:w="1757" w:type="dxa"/>
          </w:tcPr>
          <w:p w:rsidR="00AA2BE3" w:rsidRPr="006C2078" w:rsidRDefault="00AA2BE3" w:rsidP="0091532E">
            <w:pPr>
              <w:pStyle w:val="Tabletext"/>
              <w:jc w:val="center"/>
            </w:pPr>
            <w:r w:rsidRPr="006C2078">
              <w:t>9.2</w:t>
            </w:r>
          </w:p>
        </w:tc>
        <w:tc>
          <w:tcPr>
            <w:tcW w:w="1701" w:type="dxa"/>
          </w:tcPr>
          <w:p w:rsidR="00AA2BE3" w:rsidRPr="006C2078" w:rsidRDefault="00AA2BE3" w:rsidP="0091532E">
            <w:pPr>
              <w:pStyle w:val="Tabletext"/>
              <w:jc w:val="center"/>
            </w:pPr>
            <w:r w:rsidRPr="006C2078">
              <w:t>0.00617</w:t>
            </w:r>
          </w:p>
        </w:tc>
        <w:tc>
          <w:tcPr>
            <w:tcW w:w="1701" w:type="dxa"/>
          </w:tcPr>
          <w:p w:rsidR="00AA2BE3" w:rsidRPr="006C2078" w:rsidRDefault="00AA2BE3" w:rsidP="0091532E">
            <w:pPr>
              <w:pStyle w:val="Tabletext"/>
              <w:jc w:val="center"/>
            </w:pPr>
            <w:r w:rsidRPr="006C2078">
              <w:t>99.9938</w:t>
            </w:r>
          </w:p>
        </w:tc>
      </w:tr>
      <w:tr w:rsidR="00AA2BE3" w:rsidRPr="006C2078" w:rsidTr="0091532E">
        <w:trPr>
          <w:jc w:val="center"/>
        </w:trPr>
        <w:tc>
          <w:tcPr>
            <w:tcW w:w="1134" w:type="dxa"/>
          </w:tcPr>
          <w:p w:rsidR="00AA2BE3" w:rsidRPr="006C2078" w:rsidRDefault="00AA2BE3" w:rsidP="0091532E">
            <w:pPr>
              <w:pStyle w:val="Tabletext"/>
              <w:jc w:val="center"/>
            </w:pPr>
            <w:r w:rsidRPr="006C2078">
              <w:t>–14.5</w:t>
            </w:r>
          </w:p>
        </w:tc>
        <w:tc>
          <w:tcPr>
            <w:tcW w:w="1701" w:type="dxa"/>
          </w:tcPr>
          <w:p w:rsidR="00AA2BE3" w:rsidRPr="006C2078" w:rsidRDefault="00AA2BE3" w:rsidP="0091532E">
            <w:pPr>
              <w:pStyle w:val="Tabletext"/>
              <w:jc w:val="center"/>
            </w:pPr>
            <w:r w:rsidRPr="006C2078">
              <w:t>5017</w:t>
            </w:r>
          </w:p>
        </w:tc>
        <w:tc>
          <w:tcPr>
            <w:tcW w:w="1701" w:type="dxa"/>
          </w:tcPr>
          <w:p w:rsidR="00AA2BE3" w:rsidRPr="006C2078" w:rsidRDefault="00AA2BE3" w:rsidP="0091532E">
            <w:pPr>
              <w:pStyle w:val="Tabletext"/>
              <w:jc w:val="center"/>
            </w:pPr>
            <w:r w:rsidRPr="006C2078">
              <w:t>169</w:t>
            </w:r>
          </w:p>
        </w:tc>
        <w:tc>
          <w:tcPr>
            <w:tcW w:w="1757" w:type="dxa"/>
          </w:tcPr>
          <w:p w:rsidR="00AA2BE3" w:rsidRPr="006C2078" w:rsidRDefault="00AA2BE3" w:rsidP="0091532E">
            <w:pPr>
              <w:pStyle w:val="Tabletext"/>
              <w:jc w:val="center"/>
            </w:pPr>
            <w:r w:rsidRPr="006C2078">
              <w:t>10.1</w:t>
            </w:r>
          </w:p>
        </w:tc>
        <w:tc>
          <w:tcPr>
            <w:tcW w:w="1701" w:type="dxa"/>
          </w:tcPr>
          <w:p w:rsidR="00AA2BE3" w:rsidRPr="006C2078" w:rsidRDefault="00AA2BE3" w:rsidP="0091532E">
            <w:pPr>
              <w:pStyle w:val="Tabletext"/>
              <w:jc w:val="center"/>
            </w:pPr>
            <w:r w:rsidRPr="006C2078">
              <w:t>0.00829</w:t>
            </w:r>
          </w:p>
        </w:tc>
        <w:tc>
          <w:tcPr>
            <w:tcW w:w="1701" w:type="dxa"/>
          </w:tcPr>
          <w:p w:rsidR="00AA2BE3" w:rsidRPr="006C2078" w:rsidRDefault="00AA2BE3" w:rsidP="0091532E">
            <w:pPr>
              <w:pStyle w:val="Tabletext"/>
              <w:jc w:val="center"/>
            </w:pPr>
            <w:r w:rsidRPr="006C2078">
              <w:t>99.9917</w:t>
            </w:r>
          </w:p>
        </w:tc>
      </w:tr>
    </w:tbl>
    <w:p w:rsidR="0091532E" w:rsidRDefault="0091532E" w:rsidP="0091532E">
      <w:pPr>
        <w:pStyle w:val="Tablefin"/>
      </w:pPr>
    </w:p>
    <w:p w:rsidR="00EC61F5" w:rsidRPr="00EC61F5" w:rsidRDefault="00EC61F5" w:rsidP="00EC61F5">
      <w:pPr>
        <w:rPr>
          <w:lang w:val="en-GB"/>
        </w:rPr>
      </w:pPr>
    </w:p>
    <w:p w:rsidR="00AA2BE3" w:rsidRPr="007D1EF7" w:rsidRDefault="00AA2BE3" w:rsidP="00AA2BE3">
      <w:pPr>
        <w:pStyle w:val="Heading3"/>
        <w:rPr>
          <w:lang w:val="en-US"/>
        </w:rPr>
      </w:pPr>
      <w:r w:rsidRPr="007D1EF7">
        <w:rPr>
          <w:lang w:val="en-US"/>
        </w:rPr>
        <w:t>6.1.1</w:t>
      </w:r>
      <w:r w:rsidRPr="007D1EF7">
        <w:rPr>
          <w:lang w:val="en-US"/>
        </w:rPr>
        <w:tab/>
      </w:r>
      <w:r w:rsidR="009872B6" w:rsidRPr="007D1EF7">
        <w:rPr>
          <w:lang w:val="en-US"/>
        </w:rPr>
        <w:t>“</w:t>
      </w:r>
      <w:r w:rsidRPr="007D1EF7">
        <w:rPr>
          <w:lang w:val="en-US"/>
        </w:rPr>
        <w:t>Per-link</w:t>
      </w:r>
      <w:r w:rsidR="009872B6" w:rsidRPr="007D1EF7">
        <w:rPr>
          <w:lang w:val="en-US"/>
        </w:rPr>
        <w:t>”</w:t>
      </w:r>
      <w:r w:rsidRPr="007D1EF7">
        <w:rPr>
          <w:lang w:val="en-US"/>
        </w:rPr>
        <w:t xml:space="preserve"> interference for forward-links</w:t>
      </w:r>
    </w:p>
    <w:p w:rsidR="00AA2BE3" w:rsidRPr="007D1EF7" w:rsidRDefault="00AA2BE3" w:rsidP="00AA2BE3">
      <w:pPr>
        <w:rPr>
          <w:lang w:val="en-US"/>
        </w:rPr>
      </w:pPr>
      <w:r w:rsidRPr="007D1EF7">
        <w:rPr>
          <w:lang w:val="en-US"/>
        </w:rPr>
        <w:t xml:space="preserve">As agreed within ITU-R, the </w:t>
      </w:r>
      <w:r w:rsidR="009872B6" w:rsidRPr="007D1EF7">
        <w:rPr>
          <w:lang w:val="en-US"/>
        </w:rPr>
        <w:t>“</w:t>
      </w:r>
      <w:r w:rsidRPr="007D1EF7">
        <w:rPr>
          <w:lang w:val="en-US"/>
        </w:rPr>
        <w:t>per-link interference</w:t>
      </w:r>
      <w:r w:rsidR="009872B6" w:rsidRPr="007D1EF7">
        <w:rPr>
          <w:lang w:val="en-US"/>
        </w:rPr>
        <w:t>”</w:t>
      </w:r>
      <w:r w:rsidRPr="007D1EF7">
        <w:rPr>
          <w:lang w:val="en-US"/>
        </w:rPr>
        <w:t xml:space="preserve"> has to be assessed.</w:t>
      </w:r>
    </w:p>
    <w:p w:rsidR="00AA2BE3" w:rsidRPr="007D1EF7" w:rsidRDefault="00AA2BE3" w:rsidP="00AA2BE3">
      <w:pPr>
        <w:rPr>
          <w:lang w:val="en-US"/>
        </w:rPr>
      </w:pPr>
      <w:r w:rsidRPr="007D1EF7">
        <w:rPr>
          <w:lang w:val="en-US"/>
        </w:rPr>
        <w:t>Since Table A5-4 summarizes results for 84 days (3 Moon periods) of the cumulative</w:t>
      </w:r>
      <w:r w:rsidRPr="007D1EF7">
        <w:rPr>
          <w:b/>
          <w:lang w:val="en-US"/>
        </w:rPr>
        <w:t xml:space="preserve"> </w:t>
      </w:r>
      <w:r w:rsidRPr="007D1EF7">
        <w:rPr>
          <w:lang w:val="en-US"/>
        </w:rPr>
        <w:t xml:space="preserve">interference events for </w:t>
      </w:r>
      <w:r w:rsidRPr="007D1EF7">
        <w:rPr>
          <w:i/>
          <w:iCs/>
          <w:lang w:val="en-US"/>
        </w:rPr>
        <w:t>I</w:t>
      </w:r>
      <w:r w:rsidRPr="007D1EF7">
        <w:rPr>
          <w:lang w:val="en-US"/>
        </w:rPr>
        <w:t>/</w:t>
      </w:r>
      <w:r w:rsidRPr="007D1EF7">
        <w:rPr>
          <w:i/>
          <w:iCs/>
          <w:lang w:val="en-US"/>
        </w:rPr>
        <w:t>N</w:t>
      </w:r>
      <w:r w:rsidRPr="007D1EF7">
        <w:rPr>
          <w:vertAlign w:val="subscript"/>
          <w:lang w:val="en-US"/>
        </w:rPr>
        <w:t>0</w:t>
      </w:r>
      <w:r w:rsidRPr="007D1EF7">
        <w:rPr>
          <w:lang w:val="en-US"/>
        </w:rPr>
        <w:t xml:space="preserve"> of 2.5, 4.5, 6.5, 8.5, 10.5, 12.5 and 14.5 dB the following approach to find the </w:t>
      </w:r>
      <w:r w:rsidR="009872B6" w:rsidRPr="007D1EF7">
        <w:rPr>
          <w:lang w:val="en-US"/>
        </w:rPr>
        <w:t>“</w:t>
      </w:r>
      <w:r w:rsidRPr="007D1EF7">
        <w:rPr>
          <w:lang w:val="en-US"/>
        </w:rPr>
        <w:t>per</w:t>
      </w:r>
      <w:r w:rsidRPr="007D1EF7">
        <w:rPr>
          <w:lang w:val="en-US"/>
        </w:rPr>
        <w:noBreakHyphen/>
        <w:t>link</w:t>
      </w:r>
      <w:r w:rsidR="009872B6" w:rsidRPr="007D1EF7">
        <w:rPr>
          <w:lang w:val="en-US"/>
        </w:rPr>
        <w:t>”</w:t>
      </w:r>
      <w:r w:rsidRPr="007D1EF7">
        <w:rPr>
          <w:lang w:val="en-US"/>
        </w:rPr>
        <w:t xml:space="preserve"> interference will be follow:</w:t>
      </w:r>
    </w:p>
    <w:p w:rsidR="00AA2BE3" w:rsidRPr="007D1EF7" w:rsidRDefault="00AA2BE3" w:rsidP="0091532E">
      <w:pPr>
        <w:pStyle w:val="enumlev1"/>
        <w:rPr>
          <w:lang w:val="en-US"/>
        </w:rPr>
      </w:pPr>
      <w:r w:rsidRPr="007D1EF7">
        <w:rPr>
          <w:lang w:val="en-US"/>
        </w:rPr>
        <w:t>1</w:t>
      </w:r>
      <w:r w:rsidR="0091532E" w:rsidRPr="007D1EF7">
        <w:rPr>
          <w:lang w:val="en-US"/>
        </w:rPr>
        <w:t>.</w:t>
      </w:r>
      <w:r w:rsidRPr="007D1EF7">
        <w:rPr>
          <w:lang w:val="en-US"/>
        </w:rPr>
        <w:tab/>
        <w:t>Number of seconds in 84 days; TimeTot=84*24*3 600=7 257 600 s.</w:t>
      </w:r>
    </w:p>
    <w:p w:rsidR="00AA2BE3" w:rsidRPr="007D1EF7" w:rsidRDefault="00AA2BE3" w:rsidP="0091532E">
      <w:pPr>
        <w:pStyle w:val="enumlev1"/>
        <w:rPr>
          <w:lang w:val="en-US"/>
        </w:rPr>
      </w:pPr>
      <w:r w:rsidRPr="007D1EF7">
        <w:rPr>
          <w:lang w:val="en-US"/>
        </w:rPr>
        <w:t>2</w:t>
      </w:r>
      <w:r w:rsidR="0091532E" w:rsidRPr="007D1EF7">
        <w:rPr>
          <w:lang w:val="en-US"/>
        </w:rPr>
        <w:t>.</w:t>
      </w:r>
      <w:r w:rsidRPr="007D1EF7">
        <w:rPr>
          <w:lang w:val="en-US"/>
        </w:rPr>
        <w:tab/>
        <w:t>Total forward-links considered; LinksTot = 11*6 = 66 links.</w:t>
      </w:r>
    </w:p>
    <w:p w:rsidR="00AA2BE3" w:rsidRPr="007D1EF7" w:rsidRDefault="00AA2BE3" w:rsidP="0091532E">
      <w:pPr>
        <w:pStyle w:val="enumlev1"/>
        <w:rPr>
          <w:lang w:val="en-US"/>
        </w:rPr>
      </w:pPr>
      <w:r w:rsidRPr="007D1EF7">
        <w:rPr>
          <w:lang w:val="en-US"/>
        </w:rPr>
        <w:t>3</w:t>
      </w:r>
      <w:r w:rsidR="0091532E" w:rsidRPr="007D1EF7">
        <w:rPr>
          <w:lang w:val="en-US"/>
        </w:rPr>
        <w:t>.</w:t>
      </w:r>
      <w:r w:rsidRPr="007D1EF7">
        <w:rPr>
          <w:lang w:val="en-US"/>
        </w:rPr>
        <w:tab/>
        <w:t>Cumulative interference time; IntfTime2to14dB = Column 2 of Table A5</w:t>
      </w:r>
      <w:r w:rsidRPr="007D1EF7">
        <w:rPr>
          <w:lang w:val="en-US"/>
        </w:rPr>
        <w:noBreakHyphen/>
        <w:t>4*0.06s/event.</w:t>
      </w:r>
    </w:p>
    <w:p w:rsidR="00AA2BE3" w:rsidRPr="007D1EF7" w:rsidRDefault="00AA2BE3" w:rsidP="0091532E">
      <w:pPr>
        <w:pStyle w:val="enumlev1"/>
        <w:rPr>
          <w:lang w:val="en-US"/>
        </w:rPr>
      </w:pPr>
      <w:r w:rsidRPr="007D1EF7">
        <w:rPr>
          <w:lang w:val="en-US"/>
        </w:rPr>
        <w:t>4</w:t>
      </w:r>
      <w:r w:rsidR="0091532E" w:rsidRPr="007D1EF7">
        <w:rPr>
          <w:lang w:val="en-US"/>
        </w:rPr>
        <w:t>.</w:t>
      </w:r>
      <w:r w:rsidRPr="007D1EF7">
        <w:rPr>
          <w:lang w:val="en-US"/>
        </w:rPr>
        <w:tab/>
        <w:t>Mean per cent interference per-link = IntfTime2to14dB/ LinksTot/ TimeTot*100.</w:t>
      </w:r>
    </w:p>
    <w:p w:rsidR="00AA2BE3" w:rsidRPr="007D1EF7" w:rsidRDefault="00AA2BE3" w:rsidP="009732F6">
      <w:pPr>
        <w:rPr>
          <w:lang w:val="en-US"/>
        </w:rPr>
      </w:pPr>
      <w:r w:rsidRPr="007D1EF7">
        <w:rPr>
          <w:lang w:val="en-US"/>
        </w:rPr>
        <w:t>In order to facilitate comparison with other simulation approaches published elsewhere, Fig. A5</w:t>
      </w:r>
      <w:r w:rsidRPr="007D1EF7">
        <w:rPr>
          <w:lang w:val="en-US"/>
        </w:rPr>
        <w:noBreakHyphen/>
        <w:t xml:space="preserve">7 has been included showing interference results percentage, </w:t>
      </w:r>
      <w:r w:rsidR="009732F6" w:rsidRPr="007D1EF7">
        <w:rPr>
          <w:lang w:val="en-US"/>
        </w:rPr>
        <w:t>{</w:t>
      </w:r>
      <w:r w:rsidRPr="007D1EF7">
        <w:rPr>
          <w:lang w:val="en-US"/>
        </w:rPr>
        <w:t>4) Mean per cent interference per</w:t>
      </w:r>
      <w:r w:rsidR="009732F6" w:rsidRPr="007D1EF7">
        <w:rPr>
          <w:lang w:val="en-US"/>
        </w:rPr>
        <w:noBreakHyphen/>
      </w:r>
      <w:r w:rsidRPr="007D1EF7">
        <w:rPr>
          <w:lang w:val="en-US"/>
        </w:rPr>
        <w:t>link</w:t>
      </w:r>
      <w:r w:rsidR="0091532E" w:rsidRPr="007D1EF7">
        <w:rPr>
          <w:lang w:val="en-US"/>
        </w:rPr>
        <w:t>)</w:t>
      </w:r>
      <w:r w:rsidR="009732F6" w:rsidRPr="007D1EF7">
        <w:rPr>
          <w:lang w:val="en-US"/>
        </w:rPr>
        <w:t>}</w:t>
      </w:r>
      <w:r w:rsidRPr="007D1EF7">
        <w:rPr>
          <w:lang w:val="en-US"/>
        </w:rPr>
        <w:t xml:space="preserve"> by the red (o) continuous line for the 84 days (3 Moon periods) for the ISS antenna pattern shown in Fig. 1 of main body of the </w:t>
      </w:r>
      <w:r w:rsidR="0091532E" w:rsidRPr="007D1EF7">
        <w:rPr>
          <w:lang w:val="en-US"/>
        </w:rPr>
        <w:t>R</w:t>
      </w:r>
      <w:r w:rsidRPr="007D1EF7">
        <w:rPr>
          <w:lang w:val="en-US"/>
        </w:rPr>
        <w:t>eport</w:t>
      </w:r>
      <w:r w:rsidRPr="007D1EF7" w:rsidDel="00C51002">
        <w:rPr>
          <w:lang w:val="en-US"/>
        </w:rPr>
        <w:t xml:space="preserve"> </w:t>
      </w:r>
      <w:r w:rsidRPr="007D1EF7">
        <w:rPr>
          <w:lang w:val="en-US"/>
        </w:rPr>
        <w:t>.</w:t>
      </w:r>
    </w:p>
    <w:p w:rsidR="00AA2BE3" w:rsidRPr="007D1EF7" w:rsidRDefault="00AA2BE3" w:rsidP="00AA2BE3">
      <w:pPr>
        <w:rPr>
          <w:lang w:val="en-US"/>
        </w:rPr>
      </w:pPr>
      <w:r w:rsidRPr="007D1EF7">
        <w:rPr>
          <w:lang w:val="en-US"/>
        </w:rPr>
        <w:t>The green graphics in Fig. A5-7 will be next explained.</w:t>
      </w:r>
    </w:p>
    <w:p w:rsidR="00AA2BE3" w:rsidRPr="007D1EF7" w:rsidRDefault="00AA2BE3" w:rsidP="00AA2BE3">
      <w:pPr>
        <w:pStyle w:val="FigureNo"/>
        <w:rPr>
          <w:lang w:val="en-US"/>
        </w:rPr>
      </w:pPr>
      <w:r w:rsidRPr="007D1EF7">
        <w:rPr>
          <w:lang w:val="en-US"/>
        </w:rPr>
        <w:lastRenderedPageBreak/>
        <w:t>Figure A5-7</w:t>
      </w:r>
    </w:p>
    <w:p w:rsidR="00AA2BE3" w:rsidRPr="007D1EF7" w:rsidRDefault="00AA2BE3" w:rsidP="00AA2BE3">
      <w:pPr>
        <w:pStyle w:val="Figuretitle"/>
        <w:rPr>
          <w:lang w:val="en-US"/>
        </w:rPr>
      </w:pPr>
      <w:r w:rsidRPr="007D1EF7">
        <w:rPr>
          <w:lang w:val="en-US"/>
        </w:rPr>
        <w:t>Per-link interference to forward-links of a full HIBLEO-2 constellation (space-to-space)</w:t>
      </w:r>
      <w:r w:rsidRPr="007D1EF7">
        <w:rPr>
          <w:lang w:val="en-US"/>
        </w:rPr>
        <w:br/>
        <w:t>from emissions of a SRS ES (Earth-to-space) to the Moon</w:t>
      </w:r>
    </w:p>
    <w:p w:rsidR="00AA2BE3" w:rsidRPr="006C2078" w:rsidRDefault="00AA2BE3" w:rsidP="0091532E">
      <w:pPr>
        <w:pStyle w:val="Figure"/>
      </w:pPr>
      <w:r>
        <w:rPr>
          <w:noProof/>
          <w:lang w:val="en-US" w:eastAsia="zh-CN"/>
        </w:rPr>
        <w:drawing>
          <wp:inline distT="0" distB="0" distL="0" distR="0">
            <wp:extent cx="4556125" cy="3418840"/>
            <wp:effectExtent l="19050" t="0" r="0" b="0"/>
            <wp:docPr id="3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cstate="print"/>
                    <a:srcRect/>
                    <a:stretch>
                      <a:fillRect/>
                    </a:stretch>
                  </pic:blipFill>
                  <pic:spPr bwMode="auto">
                    <a:xfrm>
                      <a:off x="0" y="0"/>
                      <a:ext cx="4556125" cy="3418840"/>
                    </a:xfrm>
                    <a:prstGeom prst="rect">
                      <a:avLst/>
                    </a:prstGeom>
                    <a:noFill/>
                    <a:ln w="9525">
                      <a:noFill/>
                      <a:miter lim="800000"/>
                      <a:headEnd/>
                      <a:tailEnd/>
                    </a:ln>
                  </pic:spPr>
                </pic:pic>
              </a:graphicData>
            </a:graphic>
          </wp:inline>
        </w:drawing>
      </w:r>
    </w:p>
    <w:p w:rsidR="00A47FF8" w:rsidRDefault="00A47FF8" w:rsidP="00A47FF8"/>
    <w:p w:rsidR="00AA2BE3" w:rsidRPr="007D1EF7" w:rsidRDefault="00AA2BE3" w:rsidP="00AA2BE3">
      <w:pPr>
        <w:pStyle w:val="Heading3"/>
        <w:rPr>
          <w:lang w:val="en-US"/>
        </w:rPr>
      </w:pPr>
      <w:r w:rsidRPr="007D1EF7">
        <w:rPr>
          <w:lang w:val="en-US"/>
        </w:rPr>
        <w:t>6.1.2</w:t>
      </w:r>
      <w:r w:rsidRPr="007D1EF7">
        <w:rPr>
          <w:lang w:val="en-US"/>
        </w:rPr>
        <w:tab/>
        <w:t>Contour antenna pattern and the length of simulations</w:t>
      </w:r>
    </w:p>
    <w:p w:rsidR="00AA2BE3" w:rsidRPr="007D1EF7" w:rsidRDefault="00AA2BE3" w:rsidP="00AA2BE3">
      <w:pPr>
        <w:rPr>
          <w:lang w:val="en-US"/>
        </w:rPr>
      </w:pPr>
      <w:r w:rsidRPr="007D1EF7">
        <w:rPr>
          <w:lang w:val="en-US"/>
        </w:rPr>
        <w:t xml:space="preserve">Row 6 in Table A5-3 represents the HIBLEO-2 antenna gain at the time shown in Row 1. The antenna gain variations are clearly the consequence of the oscillating antenna pattern shown in Fig. A5-8 making more difficult the interpretation of the results of the simulation. The use of the contour of this antenna pattern shown </w:t>
      </w:r>
      <w:r w:rsidRPr="007D1EF7">
        <w:rPr>
          <w:bCs/>
          <w:lang w:val="en-US"/>
        </w:rPr>
        <w:t>also</w:t>
      </w:r>
      <w:r w:rsidRPr="007D1EF7">
        <w:rPr>
          <w:b/>
          <w:lang w:val="en-US"/>
        </w:rPr>
        <w:t xml:space="preserve"> </w:t>
      </w:r>
      <w:r w:rsidRPr="007D1EF7">
        <w:rPr>
          <w:lang w:val="en-US"/>
        </w:rPr>
        <w:t>in Fig. A5- 8 no doubt will remove most of these variations improving therefore the interpretation of the overall results.</w:t>
      </w:r>
    </w:p>
    <w:p w:rsidR="00AA2BE3" w:rsidRPr="007D1EF7" w:rsidRDefault="00AA2BE3" w:rsidP="00AA2BE3">
      <w:pPr>
        <w:rPr>
          <w:lang w:val="en-US"/>
        </w:rPr>
      </w:pPr>
      <w:r w:rsidRPr="007D1EF7">
        <w:rPr>
          <w:lang w:val="en-US"/>
        </w:rPr>
        <w:t>In order to give a quick assessment of this simpler antenna pattern, the same simulation originating results of Table A5-3 have been repeated using the HIBLEO-2 antenna contour pattern of Fig. A5</w:t>
      </w:r>
      <w:r w:rsidRPr="007D1EF7">
        <w:rPr>
          <w:lang w:val="en-US"/>
        </w:rPr>
        <w:noBreakHyphen/>
        <w:t xml:space="preserve">8. Results for this simulation representing </w:t>
      </w:r>
      <w:r w:rsidRPr="007D1EF7">
        <w:rPr>
          <w:i/>
          <w:iCs/>
          <w:lang w:val="en-US"/>
        </w:rPr>
        <w:t>I</w:t>
      </w:r>
      <w:r w:rsidRPr="007D1EF7">
        <w:rPr>
          <w:lang w:val="en-US"/>
        </w:rPr>
        <w:t>/</w:t>
      </w:r>
      <w:r w:rsidRPr="007D1EF7">
        <w:rPr>
          <w:i/>
          <w:iCs/>
          <w:lang w:val="en-US"/>
        </w:rPr>
        <w:t>N</w:t>
      </w:r>
      <w:r w:rsidRPr="007D1EF7">
        <w:rPr>
          <w:vertAlign w:val="subscript"/>
          <w:lang w:val="en-US"/>
        </w:rPr>
        <w:t>0</w:t>
      </w:r>
      <w:r w:rsidRPr="007D1EF7">
        <w:rPr>
          <w:lang w:val="en-US"/>
        </w:rPr>
        <w:t xml:space="preserve"> from 2.5 to 22.5 dB have been represented in Fig. A5-7 by the continuous green line that represents the results for 84 days (3 Moon periods). Green dotted lines in Fig. A5-7 are the results for each one of the three Moon periods (28 days) taken independently. These results confirm that simulation times covering a Moon period of 28 days may be considered satisfactory.</w:t>
      </w:r>
    </w:p>
    <w:p w:rsidR="00AA2BE3" w:rsidRPr="007D1EF7" w:rsidRDefault="00AA2BE3" w:rsidP="00AA2BE3">
      <w:pPr>
        <w:rPr>
          <w:lang w:val="en-US"/>
        </w:rPr>
      </w:pPr>
      <w:r w:rsidRPr="007D1EF7">
        <w:rPr>
          <w:lang w:val="en-US"/>
        </w:rPr>
        <w:t>On these simulations, simplicity on the mathematical representation of the different technical parameters used such as the antenna gain patterns is of substance when dealing with long-term results. It would also be recognized that other more elaborate approaches would sometimes benefit the outcome of the results by representing more closely the actual phenomena. With these considerations in mind it is suggested that in future studies antenna gain patterns contour approach be used for the long-term simulations while the more elaborate patterns such as the typical oscillating gain approach be used for the short-term analysis.</w:t>
      </w:r>
    </w:p>
    <w:p w:rsidR="00AA2BE3" w:rsidRPr="007D1EF7" w:rsidRDefault="00AA2BE3" w:rsidP="00AA2BE3">
      <w:pPr>
        <w:pStyle w:val="FigureNo"/>
        <w:rPr>
          <w:lang w:val="en-US"/>
        </w:rPr>
      </w:pPr>
      <w:r w:rsidRPr="007D1EF7">
        <w:rPr>
          <w:lang w:val="en-US"/>
        </w:rPr>
        <w:lastRenderedPageBreak/>
        <w:t>Figure A5-8</w:t>
      </w:r>
    </w:p>
    <w:p w:rsidR="00AA2BE3" w:rsidRPr="007D1EF7" w:rsidRDefault="00AA2BE3" w:rsidP="00AA2BE3">
      <w:pPr>
        <w:pStyle w:val="Figuretitle"/>
        <w:rPr>
          <w:lang w:val="en-US"/>
        </w:rPr>
      </w:pPr>
      <w:r w:rsidRPr="007D1EF7">
        <w:rPr>
          <w:lang w:val="en-US"/>
        </w:rPr>
        <w:t>Contour HIBLEO-2 Inter-satellite-link antenna pattern (blue)</w:t>
      </w:r>
    </w:p>
    <w:p w:rsidR="00AA2BE3" w:rsidRPr="006C2078" w:rsidRDefault="00AA2BE3" w:rsidP="0091532E">
      <w:pPr>
        <w:pStyle w:val="Figure"/>
      </w:pPr>
      <w:r>
        <w:rPr>
          <w:noProof/>
          <w:lang w:val="en-US" w:eastAsia="zh-CN"/>
        </w:rPr>
        <w:drawing>
          <wp:inline distT="0" distB="0" distL="0" distR="0">
            <wp:extent cx="3267710" cy="2480945"/>
            <wp:effectExtent l="19050" t="0" r="8890" b="0"/>
            <wp:docPr id="3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cstate="print"/>
                    <a:srcRect/>
                    <a:stretch>
                      <a:fillRect/>
                    </a:stretch>
                  </pic:blipFill>
                  <pic:spPr bwMode="auto">
                    <a:xfrm>
                      <a:off x="0" y="0"/>
                      <a:ext cx="3267710" cy="2480945"/>
                    </a:xfrm>
                    <a:prstGeom prst="rect">
                      <a:avLst/>
                    </a:prstGeom>
                    <a:noFill/>
                    <a:ln w="9525">
                      <a:noFill/>
                      <a:miter lim="800000"/>
                      <a:headEnd/>
                      <a:tailEnd/>
                    </a:ln>
                  </pic:spPr>
                </pic:pic>
              </a:graphicData>
            </a:graphic>
          </wp:inline>
        </w:drawing>
      </w:r>
    </w:p>
    <w:p w:rsidR="00AA2BE3" w:rsidRPr="007D1EF7" w:rsidRDefault="00AA2BE3" w:rsidP="00AA2BE3">
      <w:pPr>
        <w:pStyle w:val="Heading2"/>
        <w:rPr>
          <w:lang w:val="en-US"/>
        </w:rPr>
      </w:pPr>
      <w:bookmarkStart w:id="79" w:name="_Toc277668641"/>
      <w:r w:rsidRPr="007D1EF7">
        <w:rPr>
          <w:lang w:val="en-US"/>
        </w:rPr>
        <w:t>6.2</w:t>
      </w:r>
      <w:r w:rsidRPr="007D1EF7">
        <w:rPr>
          <w:lang w:val="en-US"/>
        </w:rPr>
        <w:tab/>
        <w:t>Part II, Moon scenario, conclusions</w:t>
      </w:r>
      <w:bookmarkEnd w:id="79"/>
    </w:p>
    <w:p w:rsidR="00AA2BE3" w:rsidRPr="007D1EF7" w:rsidRDefault="00AA2BE3" w:rsidP="00AA2BE3">
      <w:pPr>
        <w:rPr>
          <w:rFonts w:ascii="Times New Roman Bold" w:hAnsi="Times New Roman Bold"/>
          <w:lang w:val="en-US"/>
        </w:rPr>
      </w:pPr>
      <w:r w:rsidRPr="007D1EF7">
        <w:rPr>
          <w:lang w:val="en-US"/>
        </w:rPr>
        <w:t>Since the agreed protection criteria provides a very large margin when compared with per-link interference as it is inferred from Fig. A5-7, or even when the full constellation interference results shown in Table A5-4 are considered, it is concluded that SRS ES transmissions to the Moon may share a common spectrum with ISS non-GSO links.</w:t>
      </w:r>
      <w:r w:rsidRPr="007D1EF7">
        <w:rPr>
          <w:rFonts w:ascii="Times New Roman Bold" w:hAnsi="Times New Roman Bold"/>
          <w:lang w:val="en-US"/>
        </w:rPr>
        <w:t xml:space="preserve"> </w:t>
      </w:r>
    </w:p>
    <w:p w:rsidR="00AA2BE3" w:rsidRPr="007D1EF7" w:rsidRDefault="00AA2BE3" w:rsidP="00AA2BE3">
      <w:pPr>
        <w:rPr>
          <w:lang w:val="en-US"/>
        </w:rPr>
      </w:pPr>
      <w:r w:rsidRPr="007D1EF7">
        <w:rPr>
          <w:lang w:val="en-US"/>
        </w:rPr>
        <w:t xml:space="preserve">Note that the limit of 0.1% interference at </w:t>
      </w:r>
      <w:r w:rsidRPr="007D1EF7">
        <w:rPr>
          <w:i/>
          <w:iCs/>
          <w:lang w:val="en-US"/>
        </w:rPr>
        <w:t>I</w:t>
      </w:r>
      <w:r w:rsidRPr="007D1EF7">
        <w:rPr>
          <w:lang w:val="en-US"/>
        </w:rPr>
        <w:t>/</w:t>
      </w:r>
      <w:r w:rsidRPr="007D1EF7">
        <w:rPr>
          <w:i/>
          <w:iCs/>
          <w:lang w:val="en-US"/>
        </w:rPr>
        <w:t>N</w:t>
      </w:r>
      <w:r w:rsidRPr="007D1EF7">
        <w:rPr>
          <w:vertAlign w:val="subscript"/>
          <w:lang w:val="en-US"/>
        </w:rPr>
        <w:t>0</w:t>
      </w:r>
      <w:r w:rsidRPr="007D1EF7">
        <w:rPr>
          <w:lang w:val="en-US"/>
        </w:rPr>
        <w:t xml:space="preserve"> = –10 dB has not been represented keeping the maximum achievable definition in Fig. A5-7. </w:t>
      </w:r>
    </w:p>
    <w:p w:rsidR="00A47FF8" w:rsidRPr="007D1EF7" w:rsidRDefault="00A47FF8" w:rsidP="00AA2BE3">
      <w:pPr>
        <w:rPr>
          <w:lang w:val="en-US"/>
        </w:rPr>
      </w:pPr>
    </w:p>
    <w:p w:rsidR="00A47FF8" w:rsidRPr="007D1EF7" w:rsidRDefault="00A47FF8" w:rsidP="00AA2BE3">
      <w:pPr>
        <w:rPr>
          <w:lang w:val="en-US"/>
        </w:rPr>
      </w:pPr>
    </w:p>
    <w:p w:rsidR="00A47FF8" w:rsidRPr="007D1EF7" w:rsidRDefault="00A47FF8" w:rsidP="00AA2BE3">
      <w:pPr>
        <w:rPr>
          <w:lang w:val="en-US"/>
        </w:rPr>
      </w:pPr>
    </w:p>
    <w:p w:rsidR="00A47FF8" w:rsidRPr="007D1EF7" w:rsidRDefault="00A47FF8" w:rsidP="00AA2BE3">
      <w:pPr>
        <w:rPr>
          <w:lang w:val="en-US"/>
        </w:rPr>
      </w:pPr>
    </w:p>
    <w:p w:rsidR="00AA2BE3" w:rsidRPr="007D1EF7" w:rsidRDefault="00AA2BE3" w:rsidP="0091532E">
      <w:pPr>
        <w:pStyle w:val="AnnexNoTitle"/>
        <w:rPr>
          <w:lang w:val="en-US"/>
        </w:rPr>
      </w:pPr>
      <w:bookmarkStart w:id="80" w:name="_Toc277668642"/>
      <w:r w:rsidRPr="007D1EF7">
        <w:rPr>
          <w:lang w:val="en-US"/>
        </w:rPr>
        <w:t>Annex 6</w:t>
      </w:r>
      <w:r w:rsidR="0091532E" w:rsidRPr="007D1EF7">
        <w:rPr>
          <w:lang w:val="en-US"/>
        </w:rPr>
        <w:br/>
      </w:r>
      <w:r w:rsidR="0091532E" w:rsidRPr="007D1EF7">
        <w:rPr>
          <w:lang w:val="en-US"/>
        </w:rPr>
        <w:br/>
      </w:r>
      <w:r w:rsidRPr="007D1EF7">
        <w:rPr>
          <w:lang w:val="en-US"/>
        </w:rPr>
        <w:t>Summary of Study 6</w:t>
      </w:r>
      <w:bookmarkEnd w:id="80"/>
    </w:p>
    <w:p w:rsidR="00AA2BE3" w:rsidRPr="007D1EF7" w:rsidRDefault="00AA2BE3" w:rsidP="00192341">
      <w:pPr>
        <w:pStyle w:val="Heading1"/>
        <w:rPr>
          <w:lang w:val="en-US"/>
        </w:rPr>
      </w:pPr>
      <w:bookmarkStart w:id="81" w:name="_Toc277668643"/>
      <w:r w:rsidRPr="007D1EF7">
        <w:rPr>
          <w:lang w:val="en-US"/>
        </w:rPr>
        <w:t>1</w:t>
      </w:r>
      <w:r w:rsidRPr="007D1EF7">
        <w:rPr>
          <w:lang w:val="en-US"/>
        </w:rPr>
        <w:tab/>
        <w:t>Introduction</w:t>
      </w:r>
      <w:bookmarkEnd w:id="81"/>
    </w:p>
    <w:p w:rsidR="00AA2BE3" w:rsidRPr="006C2078" w:rsidRDefault="00AA2BE3" w:rsidP="00192341">
      <w:pPr>
        <w:rPr>
          <w:lang w:val="en-GB"/>
        </w:rPr>
      </w:pPr>
      <w:r w:rsidRPr="006C2078">
        <w:rPr>
          <w:szCs w:val="24"/>
          <w:lang w:val="en-GB"/>
        </w:rPr>
        <w:t>This study anal</w:t>
      </w:r>
      <w:r w:rsidRPr="006C2078">
        <w:rPr>
          <w:iCs/>
          <w:szCs w:val="24"/>
          <w:lang w:val="en-GB"/>
        </w:rPr>
        <w:t>yse</w:t>
      </w:r>
      <w:r w:rsidRPr="006C2078">
        <w:rPr>
          <w:szCs w:val="24"/>
          <w:lang w:val="en-GB"/>
        </w:rPr>
        <w:t>s the compatibility between non-GSO ISS systems and SRS systems (only Lunar missions were considered for the SRS system). More specifically, the study evaluates the statistical behaviour (Cumulative Distribution Function</w:t>
      </w:r>
      <w:r w:rsidR="00192341">
        <w:rPr>
          <w:szCs w:val="24"/>
          <w:lang w:val="en-GB"/>
        </w:rPr>
        <w:t> –</w:t>
      </w:r>
      <w:r w:rsidRPr="006C2078">
        <w:rPr>
          <w:szCs w:val="24"/>
          <w:lang w:val="en-GB"/>
        </w:rPr>
        <w:t xml:space="preserve"> CDF) of the interference produced by SRS transmitting earth stations on the receivers of non-GSO inter-satellite links, in several interfering scenarios. The main differences in the examined scenarios concern the number and location of the SRS transmitting earth stations and the strategy under which they are active (transmitting). Besides the usual </w:t>
      </w:r>
      <w:r w:rsidRPr="006C2078">
        <w:rPr>
          <w:i/>
          <w:szCs w:val="24"/>
          <w:lang w:val="en-GB"/>
        </w:rPr>
        <w:t>I</w:t>
      </w:r>
      <w:r w:rsidRPr="006C2078">
        <w:rPr>
          <w:szCs w:val="24"/>
          <w:lang w:val="en-GB"/>
        </w:rPr>
        <w:t>/</w:t>
      </w:r>
      <w:r w:rsidRPr="006C2078">
        <w:rPr>
          <w:i/>
          <w:szCs w:val="24"/>
          <w:lang w:val="en-GB"/>
        </w:rPr>
        <w:t>N</w:t>
      </w:r>
      <w:r w:rsidRPr="006C2078">
        <w:rPr>
          <w:szCs w:val="24"/>
          <w:lang w:val="en-GB"/>
        </w:rPr>
        <w:t xml:space="preserve"> cumulative distribution functions, the unconditional CDF and the conditional CDF given that the victim satellite is receiving interference was also determined. Although there were no applicable protection criteria against which to measure the absolute impact, the results were found to be useful by describing the impact on the overall system. They have indicated that there would be a difference of around 16 dB on the overall multi-link ISS system, compared to a single ISS link.</w:t>
      </w:r>
    </w:p>
    <w:p w:rsidR="00AA2BE3" w:rsidRPr="007D1EF7" w:rsidRDefault="00AA2BE3" w:rsidP="00AA2BE3">
      <w:pPr>
        <w:rPr>
          <w:lang w:val="en-US"/>
        </w:rPr>
      </w:pPr>
      <w:r w:rsidRPr="007D1EF7">
        <w:rPr>
          <w:lang w:val="en-US"/>
        </w:rPr>
        <w:lastRenderedPageBreak/>
        <w:t>The analytical method in Recommendation ITU-R S.1529 [3] was used to determine the various cumulative distribution functions involved in the study. It is a precise tool that produces reliable estimates of the interference cumulative distribution functions. As stated in [2,</w:t>
      </w:r>
      <w:r w:rsidR="009732F6" w:rsidRPr="007D1EF7">
        <w:rPr>
          <w:lang w:val="en-US"/>
        </w:rPr>
        <w:t xml:space="preserve"> </w:t>
      </w:r>
      <w:r w:rsidRPr="007D1EF7">
        <w:rPr>
          <w:lang w:val="en-US"/>
        </w:rPr>
        <w:t>3,</w:t>
      </w:r>
      <w:r w:rsidR="009732F6" w:rsidRPr="007D1EF7">
        <w:rPr>
          <w:lang w:val="en-US"/>
        </w:rPr>
        <w:t xml:space="preserve"> </w:t>
      </w:r>
      <w:r w:rsidRPr="007D1EF7">
        <w:rPr>
          <w:lang w:val="en-US"/>
        </w:rPr>
        <w:t xml:space="preserve">4], the theory behind it indicates that it produces results that correspond to those obtained via dynamic simulation when the simulation time tends to infinity. Even those events having a very low probability are adequately considered by the method. </w:t>
      </w:r>
    </w:p>
    <w:p w:rsidR="00AA2BE3" w:rsidRPr="007D1EF7" w:rsidRDefault="00AA2BE3" w:rsidP="001B622A">
      <w:pPr>
        <w:pStyle w:val="Heading1"/>
        <w:rPr>
          <w:lang w:val="en-US"/>
        </w:rPr>
      </w:pPr>
      <w:bookmarkStart w:id="82" w:name="_Toc277668644"/>
      <w:r w:rsidRPr="007D1EF7">
        <w:rPr>
          <w:lang w:val="en-US"/>
        </w:rPr>
        <w:t>2</w:t>
      </w:r>
      <w:r w:rsidRPr="007D1EF7">
        <w:rPr>
          <w:lang w:val="en-US"/>
        </w:rPr>
        <w:tab/>
        <w:t>Interference calculations</w:t>
      </w:r>
      <w:bookmarkEnd w:id="82"/>
    </w:p>
    <w:p w:rsidR="00AA2BE3" w:rsidRPr="007D1EF7" w:rsidRDefault="00AA2BE3" w:rsidP="009732F6">
      <w:pPr>
        <w:rPr>
          <w:lang w:val="en-US"/>
        </w:rPr>
      </w:pPr>
      <w:r w:rsidRPr="007D1EF7">
        <w:rPr>
          <w:lang w:val="en-US"/>
        </w:rPr>
        <w:t xml:space="preserve">Consider the geometry illustrated in Fig. A6-1 and let </w:t>
      </w:r>
      <w:r w:rsidRPr="007D1EF7">
        <w:rPr>
          <w:i/>
          <w:lang w:val="en-US"/>
        </w:rPr>
        <w:t>i</w:t>
      </w:r>
      <w:r w:rsidRPr="007D1EF7">
        <w:rPr>
          <w:lang w:val="en-US"/>
        </w:rPr>
        <w:t xml:space="preserve"> denote the interference power-spectral density</w:t>
      </w:r>
      <w:r w:rsidR="009732F6" w:rsidRPr="007D1EF7">
        <w:rPr>
          <w:lang w:val="en-US"/>
        </w:rPr>
        <w:t xml:space="preserve"> (</w:t>
      </w:r>
      <w:r w:rsidRPr="007D1EF7">
        <w:rPr>
          <w:lang w:val="en-US"/>
        </w:rPr>
        <w:t>W/Hz</w:t>
      </w:r>
      <w:r w:rsidR="009732F6" w:rsidRPr="007D1EF7">
        <w:rPr>
          <w:lang w:val="en-US"/>
        </w:rPr>
        <w:t>)</w:t>
      </w:r>
      <w:r w:rsidRPr="007D1EF7">
        <w:rPr>
          <w:lang w:val="en-US"/>
        </w:rPr>
        <w:t xml:space="preserve"> produced at the output of an ISS receiver antenna by the transmission of an SRS earth station. This interference power-spectral density is given by</w:t>
      </w:r>
      <w:r w:rsidR="00472456" w:rsidRPr="007D1EF7">
        <w:rPr>
          <w:lang w:val="en-US"/>
        </w:rPr>
        <w:t>:</w:t>
      </w:r>
    </w:p>
    <w:p w:rsidR="00A47FF8" w:rsidRDefault="00A47FF8" w:rsidP="00A47FF8">
      <w:pPr>
        <w:pStyle w:val="Blanc"/>
        <w:rPr>
          <w:rFonts w:eastAsia="SimSun"/>
        </w:rPr>
      </w:pPr>
    </w:p>
    <w:p w:rsidR="0091532E" w:rsidRPr="007D1EF7" w:rsidRDefault="0091532E" w:rsidP="0091532E">
      <w:pPr>
        <w:pStyle w:val="Equation"/>
        <w:rPr>
          <w:lang w:val="en-US"/>
        </w:rPr>
      </w:pPr>
      <w:r w:rsidRPr="007D1EF7">
        <w:rPr>
          <w:rFonts w:eastAsia="SimSun"/>
          <w:lang w:val="en-US"/>
        </w:rPr>
        <w:tab/>
      </w:r>
      <w:r w:rsidRPr="007D1EF7">
        <w:rPr>
          <w:rFonts w:eastAsia="SimSun"/>
          <w:lang w:val="en-US"/>
        </w:rPr>
        <w:tab/>
      </w:r>
      <w:r w:rsidRPr="0091532E">
        <w:rPr>
          <w:rFonts w:eastAsia="SimSun"/>
          <w:position w:val="-30"/>
        </w:rPr>
        <w:object w:dxaOrig="1900" w:dyaOrig="720">
          <v:shape id="_x0000_i1030" type="#_x0000_t75" style="width:93pt;height:36pt" o:ole="">
            <v:imagedata r:id="rId49" o:title=""/>
          </v:shape>
          <o:OLEObject Type="Embed" ProgID="Equation.3" ShapeID="_x0000_i1030" DrawAspect="Content" ObjectID="_1355747837" r:id="rId50"/>
        </w:object>
      </w:r>
      <w:r w:rsidRPr="007D1EF7">
        <w:rPr>
          <w:rFonts w:eastAsia="SimSun"/>
          <w:lang w:val="en-US"/>
        </w:rPr>
        <w:tab/>
      </w:r>
      <w:r w:rsidRPr="007D1EF7">
        <w:rPr>
          <w:szCs w:val="24"/>
          <w:lang w:val="en-US"/>
        </w:rPr>
        <w:t>(1)</w:t>
      </w:r>
    </w:p>
    <w:p w:rsidR="0091532E" w:rsidRPr="007D1EF7" w:rsidRDefault="00AA2BE3" w:rsidP="0091532E">
      <w:pPr>
        <w:rPr>
          <w:lang w:val="en-US"/>
        </w:rPr>
      </w:pPr>
      <w:r w:rsidRPr="007D1EF7">
        <w:rPr>
          <w:lang w:val="en-US"/>
        </w:rPr>
        <w:t>where</w:t>
      </w:r>
      <w:r w:rsidR="0091532E" w:rsidRPr="007D1EF7">
        <w:rPr>
          <w:lang w:val="en-US"/>
        </w:rPr>
        <w:t>:</w:t>
      </w:r>
    </w:p>
    <w:p w:rsidR="0091532E" w:rsidRDefault="0091532E" w:rsidP="0091532E">
      <w:pPr>
        <w:pStyle w:val="Equationlegend"/>
      </w:pPr>
      <w:r>
        <w:tab/>
      </w:r>
      <w:r w:rsidR="00AA2BE3" w:rsidRPr="006C2078">
        <w:rPr>
          <w:i/>
        </w:rPr>
        <w:t>p</w:t>
      </w:r>
      <w:r w:rsidR="00AA2BE3" w:rsidRPr="006C2078">
        <w:rPr>
          <w:i/>
          <w:vertAlign w:val="subscript"/>
        </w:rPr>
        <w:t>t</w:t>
      </w:r>
      <w:r w:rsidRPr="0091532E">
        <w:rPr>
          <w:iCs/>
        </w:rPr>
        <w:t>:</w:t>
      </w:r>
      <w:r>
        <w:rPr>
          <w:vertAlign w:val="subscript"/>
        </w:rPr>
        <w:tab/>
      </w:r>
      <w:r w:rsidR="00AA2BE3" w:rsidRPr="006C2078">
        <w:t xml:space="preserve">denotes the </w:t>
      </w:r>
      <w:r w:rsidR="00AA2BE3">
        <w:t>power-spectral</w:t>
      </w:r>
      <w:r w:rsidR="00AA2BE3" w:rsidRPr="006C2078">
        <w:t xml:space="preserve"> density at the SRS antenna input</w:t>
      </w:r>
      <w:r>
        <w:t xml:space="preserve"> (</w:t>
      </w:r>
      <w:r w:rsidR="00AA2BE3" w:rsidRPr="006C2078">
        <w:t>W/Hz</w:t>
      </w:r>
      <w:r>
        <w:t>)</w:t>
      </w:r>
    </w:p>
    <w:p w:rsidR="0091532E" w:rsidRDefault="0091532E" w:rsidP="0091532E">
      <w:pPr>
        <w:pStyle w:val="Equationlegend"/>
      </w:pPr>
      <w:r>
        <w:tab/>
      </w:r>
      <w:r w:rsidR="00AA2BE3" w:rsidRPr="006C2078">
        <w:rPr>
          <w:i/>
        </w:rPr>
        <w:t>g</w:t>
      </w:r>
      <w:r w:rsidR="00AA2BE3" w:rsidRPr="006C2078">
        <w:rPr>
          <w:i/>
          <w:vertAlign w:val="subscript"/>
        </w:rPr>
        <w:t>t</w:t>
      </w:r>
      <w:r w:rsidR="00AA2BE3" w:rsidRPr="006C2078">
        <w:t>(</w:t>
      </w:r>
      <w:r w:rsidR="00AA2BE3" w:rsidRPr="00B3358F">
        <w:rPr>
          <w:rFonts w:ascii="Symbol" w:hAnsi="Symbol"/>
          <w:iCs/>
        </w:rPr>
        <w:t></w:t>
      </w:r>
      <w:r w:rsidR="00AA2BE3" w:rsidRPr="006C2078">
        <w:t>)</w:t>
      </w:r>
      <w:r>
        <w:t>:</w:t>
      </w:r>
      <w:r>
        <w:tab/>
      </w:r>
      <w:r w:rsidR="00AA2BE3" w:rsidRPr="006C2078">
        <w:t>the SRS earth station transmission antenna gain in the direction of the victim ISS satellite</w:t>
      </w:r>
    </w:p>
    <w:p w:rsidR="0091532E" w:rsidRDefault="0091532E" w:rsidP="0091532E">
      <w:pPr>
        <w:pStyle w:val="Equationlegend"/>
      </w:pPr>
      <w:r>
        <w:tab/>
      </w:r>
      <w:r w:rsidR="00AA2BE3" w:rsidRPr="006C2078">
        <w:rPr>
          <w:i/>
        </w:rPr>
        <w:t>g</w:t>
      </w:r>
      <w:r w:rsidR="00AA2BE3" w:rsidRPr="006C2078">
        <w:rPr>
          <w:i/>
          <w:vertAlign w:val="subscript"/>
        </w:rPr>
        <w:t>r</w:t>
      </w:r>
      <w:r w:rsidR="00AA2BE3" w:rsidRPr="006C2078">
        <w:t>(</w:t>
      </w:r>
      <w:r w:rsidR="00AA2BE3" w:rsidRPr="00B3358F">
        <w:rPr>
          <w:rFonts w:ascii="Symbol" w:hAnsi="Symbol"/>
          <w:iCs/>
        </w:rPr>
        <w:t></w:t>
      </w:r>
      <w:r w:rsidR="00AA2BE3" w:rsidRPr="006C2078">
        <w:rPr>
          <w:i/>
          <w:vertAlign w:val="subscript"/>
        </w:rPr>
        <w:t>j</w:t>
      </w:r>
      <w:r w:rsidR="00AA2BE3" w:rsidRPr="006C2078">
        <w:t>)</w:t>
      </w:r>
      <w:r>
        <w:t>:</w:t>
      </w:r>
      <w:r>
        <w:tab/>
      </w:r>
      <w:r w:rsidR="00AA2BE3" w:rsidRPr="006C2078">
        <w:t xml:space="preserve">the gain of the </w:t>
      </w:r>
      <w:r w:rsidR="00AA2BE3" w:rsidRPr="006C2078">
        <w:rPr>
          <w:i/>
        </w:rPr>
        <w:t>j</w:t>
      </w:r>
      <w:r w:rsidR="00AA2BE3" w:rsidRPr="006C2078">
        <w:rPr>
          <w:vertAlign w:val="superscript"/>
        </w:rPr>
        <w:t>th</w:t>
      </w:r>
      <w:r w:rsidR="00AA2BE3" w:rsidRPr="006C2078">
        <w:t xml:space="preserve"> ISS satellite receiving antenna in the direction of the interfering SRS earth station</w:t>
      </w:r>
    </w:p>
    <w:p w:rsidR="0091532E" w:rsidRDefault="0091532E" w:rsidP="0091532E">
      <w:pPr>
        <w:pStyle w:val="Equationlegend"/>
      </w:pPr>
      <w:r>
        <w:tab/>
      </w:r>
      <w:r w:rsidR="00AA2BE3" w:rsidRPr="006C2078">
        <w:rPr>
          <w:i/>
        </w:rPr>
        <w:t>f</w:t>
      </w:r>
      <w:r w:rsidR="00AA2BE3" w:rsidRPr="006C2078">
        <w:rPr>
          <w:i/>
          <w:vertAlign w:val="subscript"/>
        </w:rPr>
        <w:t>d</w:t>
      </w:r>
      <w:r w:rsidR="00AA2BE3" w:rsidRPr="006C2078">
        <w:t xml:space="preserve"> </w:t>
      </w:r>
      <w:r>
        <w:t>:</w:t>
      </w:r>
      <w:r>
        <w:tab/>
      </w:r>
      <w:r w:rsidR="00AA2BE3" w:rsidRPr="006C2078">
        <w:t>the frequency discrimination factor between the desired and the interfering signals</w:t>
      </w:r>
    </w:p>
    <w:p w:rsidR="00AA2BE3" w:rsidRPr="006C2078" w:rsidRDefault="0091532E" w:rsidP="0091532E">
      <w:pPr>
        <w:pStyle w:val="Equationlegend"/>
      </w:pPr>
      <w:r>
        <w:tab/>
      </w:r>
      <w:r w:rsidR="00AA2BE3" w:rsidRPr="006C2078">
        <w:rPr>
          <w:i/>
        </w:rPr>
        <w:t>l</w:t>
      </w:r>
      <w:r w:rsidR="00AA2BE3" w:rsidRPr="006C2078">
        <w:rPr>
          <w:i/>
          <w:vertAlign w:val="subscript"/>
        </w:rPr>
        <w:t>u</w:t>
      </w:r>
      <w:r>
        <w:t>:</w:t>
      </w:r>
      <w:r>
        <w:tab/>
        <w:t>the free space loss, given by:</w:t>
      </w:r>
    </w:p>
    <w:p w:rsidR="0091532E" w:rsidRPr="007D1EF7" w:rsidRDefault="0091532E" w:rsidP="0091532E">
      <w:pPr>
        <w:pStyle w:val="Equation"/>
        <w:rPr>
          <w:lang w:val="en-US"/>
        </w:rPr>
      </w:pPr>
      <w:r w:rsidRPr="007D1EF7">
        <w:rPr>
          <w:rFonts w:eastAsia="SimSun"/>
          <w:lang w:val="en-US"/>
        </w:rPr>
        <w:tab/>
      </w:r>
      <w:r w:rsidRPr="007D1EF7">
        <w:rPr>
          <w:rFonts w:eastAsia="SimSun"/>
          <w:lang w:val="en-US"/>
        </w:rPr>
        <w:tab/>
      </w:r>
      <w:r w:rsidRPr="0091532E">
        <w:rPr>
          <w:rFonts w:eastAsia="SimSun"/>
          <w:position w:val="-28"/>
        </w:rPr>
        <w:object w:dxaOrig="1320" w:dyaOrig="760">
          <v:shape id="_x0000_i1031" type="#_x0000_t75" style="width:65.4pt;height:37.8pt" o:ole="">
            <v:imagedata r:id="rId51" o:title=""/>
          </v:shape>
          <o:OLEObject Type="Embed" ProgID="Equation.3" ShapeID="_x0000_i1031" DrawAspect="Content" ObjectID="_1355747838" r:id="rId52"/>
        </w:object>
      </w:r>
      <w:r w:rsidRPr="007D1EF7">
        <w:rPr>
          <w:rFonts w:eastAsia="SimSun"/>
          <w:lang w:val="en-US"/>
        </w:rPr>
        <w:tab/>
      </w:r>
      <w:r w:rsidRPr="007D1EF7">
        <w:rPr>
          <w:szCs w:val="24"/>
          <w:lang w:val="en-US"/>
        </w:rPr>
        <w:t>(2)</w:t>
      </w:r>
    </w:p>
    <w:p w:rsidR="00AA2BE3" w:rsidRPr="007D1EF7" w:rsidRDefault="00AA2BE3" w:rsidP="00AA2BE3">
      <w:pPr>
        <w:rPr>
          <w:lang w:val="en-US"/>
        </w:rPr>
      </w:pPr>
      <w:r w:rsidRPr="007D1EF7">
        <w:rPr>
          <w:lang w:val="en-US"/>
        </w:rPr>
        <w:t xml:space="preserve">with </w:t>
      </w:r>
      <w:r w:rsidRPr="006C2078">
        <w:rPr>
          <w:rFonts w:ascii="Symbol" w:hAnsi="Symbol"/>
        </w:rPr>
        <w:t></w:t>
      </w:r>
      <w:r w:rsidRPr="007D1EF7">
        <w:rPr>
          <w:lang w:val="en-US"/>
        </w:rPr>
        <w:t xml:space="preserve"> denoting the wavelength corresponding to the transmission frequency and </w:t>
      </w:r>
      <w:r w:rsidRPr="007D1EF7">
        <w:rPr>
          <w:i/>
          <w:lang w:val="en-US"/>
        </w:rPr>
        <w:t>d</w:t>
      </w:r>
      <w:r w:rsidRPr="007D1EF7">
        <w:rPr>
          <w:lang w:val="en-US"/>
        </w:rPr>
        <w:t xml:space="preserve"> being the distance between the SRS interfering earth station and the ISS victim satellite.</w:t>
      </w:r>
    </w:p>
    <w:p w:rsidR="00AA2BE3" w:rsidRPr="007D1EF7" w:rsidRDefault="00AA2BE3" w:rsidP="00AA2BE3">
      <w:pPr>
        <w:rPr>
          <w:lang w:val="en-US"/>
        </w:rPr>
      </w:pPr>
      <w:r w:rsidRPr="007D1EF7">
        <w:rPr>
          <w:lang w:val="en-US"/>
        </w:rPr>
        <w:t>The Total Probability Theorem allows us to write</w:t>
      </w:r>
    </w:p>
    <w:p w:rsidR="00A47FF8" w:rsidRDefault="00A47FF8" w:rsidP="00A47FF8">
      <w:pPr>
        <w:pStyle w:val="Blanc"/>
        <w:rPr>
          <w:rFonts w:eastAsia="SimSun"/>
        </w:rPr>
      </w:pPr>
    </w:p>
    <w:p w:rsidR="0091532E" w:rsidRPr="007D1EF7" w:rsidRDefault="0091532E" w:rsidP="0091532E">
      <w:pPr>
        <w:pStyle w:val="Equation"/>
        <w:rPr>
          <w:lang w:val="en-US"/>
        </w:rPr>
      </w:pPr>
      <w:r w:rsidRPr="007D1EF7">
        <w:rPr>
          <w:rFonts w:eastAsia="SimSun"/>
          <w:lang w:val="en-US"/>
        </w:rPr>
        <w:tab/>
      </w:r>
      <w:r w:rsidRPr="007D1EF7">
        <w:rPr>
          <w:rFonts w:eastAsia="SimSun"/>
          <w:lang w:val="en-US"/>
        </w:rPr>
        <w:tab/>
      </w:r>
      <w:r w:rsidRPr="0091532E">
        <w:rPr>
          <w:rFonts w:eastAsia="SimSun"/>
          <w:position w:val="-10"/>
        </w:rPr>
        <w:object w:dxaOrig="5679" w:dyaOrig="320">
          <v:shape id="_x0000_i1032" type="#_x0000_t75" style="width:309.6pt;height:15pt" o:ole="">
            <v:imagedata r:id="rId53" o:title=""/>
          </v:shape>
          <o:OLEObject Type="Embed" ProgID="Equation.3" ShapeID="_x0000_i1032" DrawAspect="Content" ObjectID="_1355747839" r:id="rId54"/>
        </w:object>
      </w:r>
      <w:r w:rsidRPr="007D1EF7">
        <w:rPr>
          <w:rFonts w:eastAsia="SimSun"/>
          <w:lang w:val="en-US"/>
        </w:rPr>
        <w:tab/>
      </w:r>
      <w:r w:rsidRPr="007D1EF7">
        <w:rPr>
          <w:szCs w:val="24"/>
          <w:lang w:val="en-US"/>
        </w:rPr>
        <w:t>(3)</w:t>
      </w:r>
    </w:p>
    <w:p w:rsidR="00AA2BE3" w:rsidRPr="007D1EF7" w:rsidRDefault="00AA2BE3" w:rsidP="00AA2BE3">
      <w:pPr>
        <w:rPr>
          <w:lang w:val="en-US"/>
        </w:rPr>
      </w:pPr>
      <w:r w:rsidRPr="007D1EF7">
        <w:rPr>
          <w:lang w:val="en-US"/>
        </w:rPr>
        <w:t>Noting that</w:t>
      </w:r>
    </w:p>
    <w:p w:rsidR="0091532E" w:rsidRPr="007D1EF7" w:rsidRDefault="0091532E" w:rsidP="0091532E">
      <w:pPr>
        <w:pStyle w:val="Equation"/>
        <w:rPr>
          <w:lang w:val="en-US"/>
        </w:rPr>
      </w:pPr>
      <w:r w:rsidRPr="007D1EF7">
        <w:rPr>
          <w:rFonts w:eastAsia="SimSun"/>
          <w:lang w:val="en-US"/>
        </w:rPr>
        <w:tab/>
      </w:r>
      <w:r w:rsidRPr="007D1EF7">
        <w:rPr>
          <w:rFonts w:eastAsia="SimSun"/>
          <w:lang w:val="en-US"/>
        </w:rPr>
        <w:tab/>
      </w:r>
      <w:r w:rsidRPr="0091532E">
        <w:rPr>
          <w:rFonts w:eastAsia="SimSun"/>
          <w:position w:val="-30"/>
        </w:rPr>
        <w:object w:dxaOrig="2920" w:dyaOrig="720">
          <v:shape id="_x0000_i1033" type="#_x0000_t75" style="width:144.6pt;height:36pt" o:ole="">
            <v:imagedata r:id="rId55" o:title=""/>
          </v:shape>
          <o:OLEObject Type="Embed" ProgID="Equation.3" ShapeID="_x0000_i1033" DrawAspect="Content" ObjectID="_1355747840" r:id="rId56"/>
        </w:object>
      </w:r>
      <w:r w:rsidRPr="007D1EF7">
        <w:rPr>
          <w:rFonts w:eastAsia="SimSun"/>
          <w:lang w:val="en-US"/>
        </w:rPr>
        <w:tab/>
      </w:r>
      <w:r w:rsidRPr="007D1EF7">
        <w:rPr>
          <w:szCs w:val="24"/>
          <w:lang w:val="en-US"/>
        </w:rPr>
        <w:t>(4)</w:t>
      </w:r>
    </w:p>
    <w:p w:rsidR="00AA2BE3" w:rsidRPr="007D1EF7" w:rsidRDefault="00AA2BE3" w:rsidP="00AA2BE3">
      <w:pPr>
        <w:rPr>
          <w:lang w:val="en-US"/>
        </w:rPr>
      </w:pPr>
      <w:r w:rsidRPr="007D1EF7">
        <w:rPr>
          <w:lang w:val="en-US"/>
        </w:rPr>
        <w:t>and defining</w:t>
      </w:r>
    </w:p>
    <w:p w:rsidR="00A47FF8" w:rsidRDefault="00A47FF8" w:rsidP="00A47FF8">
      <w:pPr>
        <w:pStyle w:val="Blanc"/>
        <w:rPr>
          <w:rFonts w:eastAsia="SimSun"/>
        </w:rPr>
      </w:pPr>
    </w:p>
    <w:p w:rsidR="0091532E" w:rsidRPr="007D1EF7" w:rsidRDefault="0091532E" w:rsidP="0091532E">
      <w:pPr>
        <w:pStyle w:val="Equation"/>
        <w:rPr>
          <w:lang w:val="en-US"/>
        </w:rPr>
      </w:pPr>
      <w:r w:rsidRPr="007D1EF7">
        <w:rPr>
          <w:rFonts w:eastAsia="SimSun"/>
          <w:lang w:val="en-US"/>
        </w:rPr>
        <w:tab/>
      </w:r>
      <w:r w:rsidRPr="007D1EF7">
        <w:rPr>
          <w:rFonts w:eastAsia="SimSun"/>
          <w:lang w:val="en-US"/>
        </w:rPr>
        <w:tab/>
      </w:r>
      <w:r w:rsidRPr="0091532E">
        <w:rPr>
          <w:rFonts w:eastAsia="SimSun"/>
          <w:position w:val="-10"/>
        </w:rPr>
        <w:object w:dxaOrig="2940" w:dyaOrig="320">
          <v:shape id="_x0000_i1034" type="#_x0000_t75" style="width:145.8pt;height:15pt" o:ole="">
            <v:imagedata r:id="rId57" o:title=""/>
          </v:shape>
          <o:OLEObject Type="Embed" ProgID="Equation.3" ShapeID="_x0000_i1034" DrawAspect="Content" ObjectID="_1355747841" r:id="rId58"/>
        </w:object>
      </w:r>
      <w:r w:rsidRPr="007D1EF7">
        <w:rPr>
          <w:rFonts w:eastAsia="SimSun"/>
          <w:lang w:val="en-US"/>
        </w:rPr>
        <w:tab/>
      </w:r>
      <w:r w:rsidRPr="007D1EF7">
        <w:rPr>
          <w:szCs w:val="24"/>
          <w:lang w:val="en-US"/>
        </w:rPr>
        <w:t>(5)</w:t>
      </w:r>
    </w:p>
    <w:p w:rsidR="00A47FF8" w:rsidRDefault="00A47FF8" w:rsidP="00A47FF8">
      <w:pPr>
        <w:pStyle w:val="Blanc"/>
        <w:rPr>
          <w:rFonts w:eastAsia="SimSun"/>
        </w:rPr>
      </w:pPr>
    </w:p>
    <w:p w:rsidR="00AA2BE3" w:rsidRPr="007D1EF7" w:rsidRDefault="00AA2BE3" w:rsidP="00AA2BE3">
      <w:pPr>
        <w:rPr>
          <w:lang w:val="en-US"/>
        </w:rPr>
      </w:pPr>
      <w:r w:rsidRPr="007D1EF7">
        <w:rPr>
          <w:lang w:val="en-US"/>
        </w:rPr>
        <w:t>it is possible to write (3) as</w:t>
      </w:r>
      <w:r w:rsidR="0091532E" w:rsidRPr="007D1EF7">
        <w:rPr>
          <w:lang w:val="en-US"/>
        </w:rPr>
        <w:t>:</w:t>
      </w:r>
    </w:p>
    <w:p w:rsidR="00A47FF8" w:rsidRDefault="00A47FF8" w:rsidP="00A47FF8">
      <w:pPr>
        <w:pStyle w:val="Blanc"/>
        <w:rPr>
          <w:rFonts w:eastAsia="SimSun"/>
        </w:rPr>
      </w:pPr>
    </w:p>
    <w:p w:rsidR="0091532E" w:rsidRPr="007D1EF7" w:rsidRDefault="0091532E" w:rsidP="0091532E">
      <w:pPr>
        <w:pStyle w:val="Equation"/>
        <w:rPr>
          <w:lang w:val="en-US"/>
        </w:rPr>
      </w:pPr>
      <w:r w:rsidRPr="007D1EF7">
        <w:rPr>
          <w:rFonts w:eastAsia="SimSun"/>
          <w:lang w:val="en-US"/>
        </w:rPr>
        <w:tab/>
      </w:r>
      <w:r w:rsidRPr="007D1EF7">
        <w:rPr>
          <w:rFonts w:eastAsia="SimSun"/>
          <w:lang w:val="en-US"/>
        </w:rPr>
        <w:tab/>
      </w:r>
      <w:r w:rsidR="00E42C9C" w:rsidRPr="0091532E">
        <w:rPr>
          <w:rFonts w:eastAsia="SimSun"/>
          <w:position w:val="-10"/>
        </w:rPr>
        <w:object w:dxaOrig="4040" w:dyaOrig="320">
          <v:shape id="_x0000_i1035" type="#_x0000_t75" style="width:224.4pt;height:15pt" o:ole="">
            <v:imagedata r:id="rId59" o:title=""/>
          </v:shape>
          <o:OLEObject Type="Embed" ProgID="Equation.3" ShapeID="_x0000_i1035" DrawAspect="Content" ObjectID="_1355747842" r:id="rId60"/>
        </w:object>
      </w:r>
      <w:r w:rsidRPr="007D1EF7">
        <w:rPr>
          <w:rFonts w:eastAsia="SimSun"/>
          <w:lang w:val="en-US"/>
        </w:rPr>
        <w:tab/>
      </w:r>
      <w:r w:rsidRPr="007D1EF7">
        <w:rPr>
          <w:szCs w:val="24"/>
          <w:lang w:val="en-US"/>
        </w:rPr>
        <w:t>(6)</w:t>
      </w:r>
    </w:p>
    <w:p w:rsidR="00AA2BE3" w:rsidRPr="007D1EF7" w:rsidRDefault="00AA2BE3" w:rsidP="00A47FF8">
      <w:pPr>
        <w:keepNext/>
        <w:rPr>
          <w:lang w:val="en-US"/>
        </w:rPr>
      </w:pPr>
      <w:r w:rsidRPr="007D1EF7">
        <w:rPr>
          <w:lang w:val="en-US"/>
        </w:rPr>
        <w:lastRenderedPageBreak/>
        <w:t>with u( ) denoting the unit step function defined by</w:t>
      </w:r>
      <w:r w:rsidR="0091532E" w:rsidRPr="007D1EF7">
        <w:rPr>
          <w:lang w:val="en-US"/>
        </w:rPr>
        <w:t>:</w:t>
      </w:r>
    </w:p>
    <w:p w:rsidR="00A47FF8" w:rsidRDefault="00A47FF8" w:rsidP="00A47FF8">
      <w:pPr>
        <w:pStyle w:val="Blanc"/>
        <w:rPr>
          <w:rFonts w:eastAsia="SimSun"/>
        </w:rPr>
      </w:pPr>
    </w:p>
    <w:p w:rsidR="0091532E" w:rsidRPr="007D1EF7" w:rsidRDefault="0091532E" w:rsidP="0091532E">
      <w:pPr>
        <w:pStyle w:val="Equation"/>
        <w:rPr>
          <w:lang w:val="en-US"/>
        </w:rPr>
      </w:pPr>
      <w:r w:rsidRPr="007D1EF7">
        <w:rPr>
          <w:rFonts w:eastAsia="SimSun"/>
          <w:lang w:val="en-US"/>
        </w:rPr>
        <w:tab/>
      </w:r>
      <w:r w:rsidRPr="007D1EF7">
        <w:rPr>
          <w:rFonts w:eastAsia="SimSun"/>
          <w:lang w:val="en-US"/>
        </w:rPr>
        <w:tab/>
      </w:r>
      <w:r w:rsidRPr="0091532E">
        <w:rPr>
          <w:rFonts w:eastAsia="SimSun"/>
          <w:position w:val="-30"/>
        </w:rPr>
        <w:object w:dxaOrig="1980" w:dyaOrig="720">
          <v:shape id="_x0000_i1036" type="#_x0000_t75" style="width:103.2pt;height:36pt" o:ole="">
            <v:imagedata r:id="rId61" o:title=""/>
          </v:shape>
          <o:OLEObject Type="Embed" ProgID="Equation.3" ShapeID="_x0000_i1036" DrawAspect="Content" ObjectID="_1355747843" r:id="rId62"/>
        </w:object>
      </w:r>
      <w:r w:rsidRPr="007D1EF7">
        <w:rPr>
          <w:rFonts w:eastAsia="SimSun"/>
          <w:lang w:val="en-US"/>
        </w:rPr>
        <w:tab/>
      </w:r>
      <w:r w:rsidRPr="007D1EF7">
        <w:rPr>
          <w:szCs w:val="24"/>
          <w:lang w:val="en-US"/>
        </w:rPr>
        <w:t>(7)</w:t>
      </w:r>
    </w:p>
    <w:p w:rsidR="00AA2BE3" w:rsidRPr="007D1EF7" w:rsidRDefault="00AA2BE3" w:rsidP="00AA2BE3">
      <w:pPr>
        <w:rPr>
          <w:lang w:val="en-US"/>
        </w:rPr>
      </w:pPr>
      <w:r w:rsidRPr="007D1EF7">
        <w:rPr>
          <w:lang w:val="en-US"/>
        </w:rPr>
        <w:t xml:space="preserve">and </w:t>
      </w:r>
      <w:r w:rsidRPr="007D1EF7">
        <w:rPr>
          <w:i/>
          <w:lang w:val="en-US"/>
        </w:rPr>
        <w:t>h</w:t>
      </w:r>
      <w:r w:rsidRPr="007D1EF7">
        <w:rPr>
          <w:lang w:val="en-US"/>
        </w:rPr>
        <w:t>(</w:t>
      </w:r>
      <w:r w:rsidRPr="006C2078">
        <w:rPr>
          <w:rFonts w:ascii="Symbol" w:hAnsi="Symbol"/>
        </w:rPr>
        <w:t></w:t>
      </w:r>
      <w:r w:rsidRPr="007D1EF7">
        <w:rPr>
          <w:lang w:val="en-US"/>
        </w:rPr>
        <w:t>) given by (5).</w:t>
      </w:r>
    </w:p>
    <w:p w:rsidR="00AA2BE3" w:rsidRPr="007D1EF7" w:rsidRDefault="00AA2BE3" w:rsidP="009732F6">
      <w:pPr>
        <w:rPr>
          <w:lang w:val="en-US"/>
        </w:rPr>
      </w:pPr>
      <w:r w:rsidRPr="007D1EF7">
        <w:rPr>
          <w:lang w:val="en-US"/>
        </w:rPr>
        <w:t>Considering that the interference</w:t>
      </w:r>
      <w:r w:rsidR="009732F6" w:rsidRPr="007D1EF7">
        <w:rPr>
          <w:lang w:val="en-US"/>
        </w:rPr>
        <w:t>-</w:t>
      </w:r>
      <w:r w:rsidRPr="007D1EF7">
        <w:rPr>
          <w:lang w:val="en-US"/>
        </w:rPr>
        <w:t>to</w:t>
      </w:r>
      <w:r w:rsidR="009732F6" w:rsidRPr="007D1EF7">
        <w:rPr>
          <w:lang w:val="en-US"/>
        </w:rPr>
        <w:t>-</w:t>
      </w:r>
      <w:r w:rsidRPr="007D1EF7">
        <w:rPr>
          <w:lang w:val="en-US"/>
        </w:rPr>
        <w:t xml:space="preserve">noise ratio </w:t>
      </w:r>
      <w:r w:rsidRPr="004D4936">
        <w:rPr>
          <w:rFonts w:ascii="Arial" w:hAnsi="Arial" w:cs="Arial"/>
          <w:lang w:val="en-US"/>
        </w:rPr>
        <w:t>I</w:t>
      </w:r>
      <w:r w:rsidRPr="007D1EF7">
        <w:rPr>
          <w:rFonts w:asciiTheme="majorBidi" w:hAnsiTheme="majorBidi" w:cstheme="majorBidi"/>
          <w:lang w:val="en-US"/>
        </w:rPr>
        <w:t>/</w:t>
      </w:r>
      <w:r w:rsidRPr="004D4936">
        <w:rPr>
          <w:rFonts w:ascii="Arial" w:hAnsi="Arial" w:cs="Arial"/>
          <w:lang w:val="en-US"/>
        </w:rPr>
        <w:t>N</w:t>
      </w:r>
      <w:r w:rsidR="0091532E" w:rsidRPr="007D1EF7">
        <w:rPr>
          <w:lang w:val="en-US"/>
        </w:rPr>
        <w:t xml:space="preserve"> is given by:</w:t>
      </w:r>
    </w:p>
    <w:tbl>
      <w:tblPr>
        <w:tblW w:w="9828" w:type="dxa"/>
        <w:tblLook w:val="01E0"/>
      </w:tblPr>
      <w:tblGrid>
        <w:gridCol w:w="8928"/>
        <w:gridCol w:w="900"/>
      </w:tblGrid>
      <w:tr w:rsidR="009732F6" w:rsidRPr="006C2078" w:rsidTr="009732F6">
        <w:trPr>
          <w:trHeight w:val="1020"/>
        </w:trPr>
        <w:tc>
          <w:tcPr>
            <w:tcW w:w="8928" w:type="dxa"/>
            <w:vAlign w:val="center"/>
          </w:tcPr>
          <w:p w:rsidR="009732F6" w:rsidRPr="006C2078" w:rsidRDefault="009732F6" w:rsidP="009732F6">
            <w:pPr>
              <w:jc w:val="center"/>
              <w:rPr>
                <w:rFonts w:eastAsia="SimSun"/>
              </w:rPr>
            </w:pPr>
            <w:r w:rsidRPr="006C2078">
              <w:rPr>
                <w:rFonts w:eastAsia="SimSun"/>
                <w:position w:val="-24"/>
              </w:rPr>
              <w:object w:dxaOrig="1480" w:dyaOrig="620">
                <v:shape id="_x0000_i1037" type="#_x0000_t75" style="width:65.4pt;height:30.6pt" o:ole="">
                  <v:imagedata r:id="rId63" o:title=""/>
                </v:shape>
                <o:OLEObject Type="Embed" ProgID="Equation.3" ShapeID="_x0000_i1037" DrawAspect="Content" ObjectID="_1355747844" r:id="rId64"/>
              </w:object>
            </w:r>
          </w:p>
        </w:tc>
        <w:tc>
          <w:tcPr>
            <w:tcW w:w="900" w:type="dxa"/>
            <w:vAlign w:val="center"/>
          </w:tcPr>
          <w:p w:rsidR="009732F6" w:rsidRPr="006C2078" w:rsidRDefault="009732F6" w:rsidP="009732F6">
            <w:pPr>
              <w:pStyle w:val="PlainText"/>
              <w:jc w:val="right"/>
              <w:rPr>
                <w:rFonts w:ascii="Times New Roman" w:hAnsi="Times New Roman"/>
                <w:sz w:val="24"/>
                <w:szCs w:val="24"/>
              </w:rPr>
            </w:pPr>
            <w:r w:rsidRPr="006C2078">
              <w:rPr>
                <w:rFonts w:ascii="Times New Roman" w:hAnsi="Times New Roman"/>
                <w:sz w:val="24"/>
                <w:szCs w:val="24"/>
              </w:rPr>
              <w:t>(7)</w:t>
            </w:r>
          </w:p>
        </w:tc>
      </w:tr>
    </w:tbl>
    <w:p w:rsidR="00AA2BE3" w:rsidRPr="007D1EF7" w:rsidRDefault="00AA2BE3" w:rsidP="00E42C9C">
      <w:pPr>
        <w:keepNext/>
        <w:rPr>
          <w:lang w:val="en-US"/>
        </w:rPr>
      </w:pPr>
      <w:r w:rsidRPr="007D1EF7">
        <w:rPr>
          <w:lang w:val="en-US"/>
        </w:rPr>
        <w:t xml:space="preserve">with </w:t>
      </w:r>
      <w:r w:rsidRPr="007D1EF7">
        <w:rPr>
          <w:i/>
          <w:lang w:val="en-US"/>
        </w:rPr>
        <w:t>k</w:t>
      </w:r>
      <w:r w:rsidRPr="007D1EF7">
        <w:rPr>
          <w:lang w:val="en-US"/>
        </w:rPr>
        <w:t xml:space="preserve"> denoting the Boltzmann constant and </w:t>
      </w:r>
      <w:r w:rsidRPr="007D1EF7">
        <w:rPr>
          <w:i/>
          <w:lang w:val="en-US"/>
        </w:rPr>
        <w:t>T</w:t>
      </w:r>
      <w:r w:rsidRPr="007D1EF7">
        <w:rPr>
          <w:lang w:val="en-US"/>
        </w:rPr>
        <w:t xml:space="preserve"> the ISS receiver noise temperature, it is possible to write the Cumulative Distribution Function of the ratio </w:t>
      </w:r>
      <w:r w:rsidRPr="004D4936">
        <w:rPr>
          <w:rFonts w:ascii="Arial" w:hAnsi="Arial" w:cs="Arial"/>
          <w:lang w:val="en-US"/>
        </w:rPr>
        <w:t>I</w:t>
      </w:r>
      <w:r w:rsidRPr="007D1EF7">
        <w:rPr>
          <w:rFonts w:asciiTheme="majorBidi" w:hAnsiTheme="majorBidi" w:cstheme="majorBidi"/>
          <w:lang w:val="en-US"/>
        </w:rPr>
        <w:t>/</w:t>
      </w:r>
      <w:r w:rsidRPr="004D4936">
        <w:rPr>
          <w:rFonts w:ascii="Arial" w:hAnsi="Arial" w:cs="Arial"/>
          <w:lang w:val="en-US"/>
        </w:rPr>
        <w:t>N</w:t>
      </w:r>
      <w:r w:rsidRPr="007D1EF7">
        <w:rPr>
          <w:lang w:val="en-US"/>
        </w:rPr>
        <w:t xml:space="preserve"> as</w:t>
      </w:r>
      <w:r w:rsidR="00E42C9C" w:rsidRPr="007D1EF7">
        <w:rPr>
          <w:lang w:val="en-US"/>
        </w:rPr>
        <w:t>:</w:t>
      </w:r>
    </w:p>
    <w:tbl>
      <w:tblPr>
        <w:tblW w:w="9828" w:type="dxa"/>
        <w:tblLook w:val="01E0"/>
      </w:tblPr>
      <w:tblGrid>
        <w:gridCol w:w="8928"/>
        <w:gridCol w:w="900"/>
      </w:tblGrid>
      <w:tr w:rsidR="009732F6" w:rsidRPr="006C2078" w:rsidTr="009732F6">
        <w:trPr>
          <w:trHeight w:val="1020"/>
        </w:trPr>
        <w:tc>
          <w:tcPr>
            <w:tcW w:w="8928" w:type="dxa"/>
            <w:vAlign w:val="center"/>
          </w:tcPr>
          <w:p w:rsidR="009732F6" w:rsidRPr="006C2078" w:rsidRDefault="009732F6" w:rsidP="009732F6">
            <w:pPr>
              <w:jc w:val="center"/>
              <w:rPr>
                <w:rFonts w:eastAsia="SimSun"/>
              </w:rPr>
            </w:pPr>
            <w:r w:rsidRPr="006C2078">
              <w:rPr>
                <w:rFonts w:eastAsia="SimSun"/>
                <w:position w:val="-28"/>
              </w:rPr>
              <w:object w:dxaOrig="4700" w:dyaOrig="680">
                <v:shape id="_x0000_i1038" type="#_x0000_t75" style="width:232.2pt;height:33pt" o:ole="">
                  <v:imagedata r:id="rId65" o:title=""/>
                </v:shape>
                <o:OLEObject Type="Embed" ProgID="Equation.3" ShapeID="_x0000_i1038" DrawAspect="Content" ObjectID="_1355747845" r:id="rId66"/>
              </w:object>
            </w:r>
          </w:p>
        </w:tc>
        <w:tc>
          <w:tcPr>
            <w:tcW w:w="900" w:type="dxa"/>
            <w:vAlign w:val="center"/>
          </w:tcPr>
          <w:p w:rsidR="009732F6" w:rsidRPr="006C2078" w:rsidRDefault="009732F6" w:rsidP="009732F6">
            <w:pPr>
              <w:pStyle w:val="PlainText"/>
              <w:jc w:val="right"/>
              <w:rPr>
                <w:rFonts w:ascii="Times New Roman" w:hAnsi="Times New Roman"/>
                <w:sz w:val="24"/>
                <w:szCs w:val="24"/>
              </w:rPr>
            </w:pPr>
            <w:r w:rsidRPr="006C2078">
              <w:rPr>
                <w:rFonts w:ascii="Times New Roman" w:hAnsi="Times New Roman"/>
                <w:sz w:val="24"/>
                <w:szCs w:val="24"/>
              </w:rPr>
              <w:t>(8)</w:t>
            </w:r>
          </w:p>
        </w:tc>
      </w:tr>
    </w:tbl>
    <w:p w:rsidR="00AA2BE3" w:rsidRPr="006C2078" w:rsidRDefault="00AA2BE3" w:rsidP="00192341">
      <w:r w:rsidRPr="006C2078">
        <w:t>or, considering (6),</w:t>
      </w:r>
    </w:p>
    <w:p w:rsidR="0091532E" w:rsidRPr="006C2078" w:rsidRDefault="00E42C9C" w:rsidP="00E42C9C">
      <w:pPr>
        <w:pStyle w:val="Equation"/>
      </w:pPr>
      <w:r>
        <w:rPr>
          <w:rFonts w:eastAsia="SimSun"/>
        </w:rPr>
        <w:tab/>
      </w:r>
      <w:r>
        <w:rPr>
          <w:rFonts w:eastAsia="SimSun"/>
        </w:rPr>
        <w:tab/>
      </w:r>
      <w:r w:rsidRPr="00E42C9C">
        <w:rPr>
          <w:rFonts w:eastAsia="SimSun"/>
          <w:position w:val="-10"/>
        </w:rPr>
        <w:object w:dxaOrig="3739" w:dyaOrig="340">
          <v:shape id="_x0000_i1039" type="#_x0000_t75" style="width:188.4pt;height:17.4pt" o:ole="">
            <v:imagedata r:id="rId67" o:title=""/>
          </v:shape>
          <o:OLEObject Type="Embed" ProgID="Equation.3" ShapeID="_x0000_i1039" DrawAspect="Content" ObjectID="_1355747846" r:id="rId68"/>
        </w:object>
      </w:r>
      <w:r w:rsidR="0091532E" w:rsidRPr="006C2078">
        <w:rPr>
          <w:rFonts w:eastAsia="SimSun"/>
        </w:rPr>
        <w:tab/>
      </w:r>
      <w:r w:rsidR="0091532E" w:rsidRPr="006C2078">
        <w:rPr>
          <w:szCs w:val="24"/>
        </w:rPr>
        <w:t>(9)</w:t>
      </w:r>
    </w:p>
    <w:p w:rsidR="00A47FF8" w:rsidRDefault="00A47FF8" w:rsidP="00A47FF8">
      <w:pPr>
        <w:pStyle w:val="Blanc"/>
        <w:rPr>
          <w:rFonts w:eastAsia="SimSun"/>
        </w:rPr>
      </w:pPr>
    </w:p>
    <w:p w:rsidR="00AA2BE3" w:rsidRPr="007D1EF7" w:rsidRDefault="00AA2BE3" w:rsidP="00192341">
      <w:pPr>
        <w:rPr>
          <w:lang w:val="en-US"/>
        </w:rPr>
      </w:pPr>
      <w:r w:rsidRPr="007D1EF7">
        <w:rPr>
          <w:lang w:val="en-US"/>
        </w:rPr>
        <w:t xml:space="preserve">with </w:t>
      </w:r>
      <w:r w:rsidRPr="007D1EF7">
        <w:rPr>
          <w:i/>
          <w:lang w:val="en-US"/>
        </w:rPr>
        <w:t>h</w:t>
      </w:r>
      <w:r w:rsidRPr="007D1EF7">
        <w:rPr>
          <w:lang w:val="en-US"/>
        </w:rPr>
        <w:t>( )given by (5). Another important characterization of the statistical behaviour of the interference to noise ratio is the Conditional Cumulative Distribution Function given that the victim satellite is receiving non-zero interference, that is</w:t>
      </w:r>
      <w:r w:rsidR="00E42C9C" w:rsidRPr="007D1EF7">
        <w:rPr>
          <w:lang w:val="en-US"/>
        </w:rPr>
        <w:t>:</w:t>
      </w:r>
    </w:p>
    <w:tbl>
      <w:tblPr>
        <w:tblW w:w="9828" w:type="dxa"/>
        <w:tblLook w:val="01E0"/>
      </w:tblPr>
      <w:tblGrid>
        <w:gridCol w:w="8928"/>
        <w:gridCol w:w="900"/>
      </w:tblGrid>
      <w:tr w:rsidR="009732F6" w:rsidRPr="006C2078" w:rsidTr="009732F6">
        <w:trPr>
          <w:trHeight w:val="1020"/>
        </w:trPr>
        <w:tc>
          <w:tcPr>
            <w:tcW w:w="8928" w:type="dxa"/>
            <w:vAlign w:val="center"/>
          </w:tcPr>
          <w:p w:rsidR="009732F6" w:rsidRPr="006C2078" w:rsidRDefault="009732F6" w:rsidP="009732F6">
            <w:pPr>
              <w:jc w:val="center"/>
              <w:rPr>
                <w:rFonts w:eastAsia="SimSun"/>
              </w:rPr>
            </w:pPr>
            <w:r w:rsidRPr="006C2078">
              <w:rPr>
                <w:rFonts w:eastAsia="SimSun"/>
                <w:position w:val="-28"/>
              </w:rPr>
              <w:object w:dxaOrig="5600" w:dyaOrig="680">
                <v:shape id="_x0000_i1040" type="#_x0000_t75" style="width:282.6pt;height:33pt" o:ole="">
                  <v:imagedata r:id="rId69" o:title=""/>
                </v:shape>
                <o:OLEObject Type="Embed" ProgID="Equation.3" ShapeID="_x0000_i1040" DrawAspect="Content" ObjectID="_1355747847" r:id="rId70"/>
              </w:object>
            </w:r>
          </w:p>
        </w:tc>
        <w:tc>
          <w:tcPr>
            <w:tcW w:w="900" w:type="dxa"/>
            <w:vAlign w:val="center"/>
          </w:tcPr>
          <w:p w:rsidR="009732F6" w:rsidRPr="006C2078" w:rsidRDefault="009732F6" w:rsidP="009732F6">
            <w:pPr>
              <w:pStyle w:val="PlainText"/>
              <w:jc w:val="right"/>
              <w:rPr>
                <w:rFonts w:ascii="Times New Roman" w:hAnsi="Times New Roman"/>
                <w:sz w:val="24"/>
                <w:szCs w:val="24"/>
              </w:rPr>
            </w:pPr>
            <w:r w:rsidRPr="006C2078">
              <w:rPr>
                <w:rFonts w:ascii="Times New Roman" w:hAnsi="Times New Roman"/>
                <w:sz w:val="24"/>
                <w:szCs w:val="24"/>
              </w:rPr>
              <w:t>(10)</w:t>
            </w:r>
          </w:p>
        </w:tc>
      </w:tr>
    </w:tbl>
    <w:p w:rsidR="00AA2BE3" w:rsidRPr="007D1EF7" w:rsidRDefault="00AA2BE3" w:rsidP="00192341">
      <w:pPr>
        <w:rPr>
          <w:lang w:val="en-US"/>
        </w:rPr>
      </w:pPr>
      <w:r w:rsidRPr="007D1EF7">
        <w:rPr>
          <w:lang w:val="en-US"/>
        </w:rPr>
        <w:t>When expressed in dB, the interference to noise ratio in (1) is written as</w:t>
      </w:r>
      <w:r w:rsidR="001B622A" w:rsidRPr="007D1EF7">
        <w:rPr>
          <w:lang w:val="en-US"/>
        </w:rPr>
        <w:t>:</w:t>
      </w:r>
    </w:p>
    <w:tbl>
      <w:tblPr>
        <w:tblW w:w="9828" w:type="dxa"/>
        <w:tblLayout w:type="fixed"/>
        <w:tblLook w:val="01E0"/>
      </w:tblPr>
      <w:tblGrid>
        <w:gridCol w:w="8928"/>
        <w:gridCol w:w="900"/>
      </w:tblGrid>
      <w:tr w:rsidR="009732F6" w:rsidRPr="006C2078" w:rsidTr="009732F6">
        <w:trPr>
          <w:trHeight w:val="1020"/>
        </w:trPr>
        <w:tc>
          <w:tcPr>
            <w:tcW w:w="8928" w:type="dxa"/>
            <w:vAlign w:val="center"/>
          </w:tcPr>
          <w:p w:rsidR="009732F6" w:rsidRPr="006C2078" w:rsidRDefault="009732F6" w:rsidP="009732F6">
            <w:pPr>
              <w:jc w:val="center"/>
              <w:rPr>
                <w:rFonts w:eastAsia="SimSun"/>
              </w:rPr>
            </w:pPr>
            <w:r w:rsidRPr="006C2078">
              <w:rPr>
                <w:rFonts w:eastAsia="SimSun"/>
                <w:position w:val="-28"/>
              </w:rPr>
              <w:object w:dxaOrig="7400" w:dyaOrig="680">
                <v:shape id="_x0000_i1041" type="#_x0000_t75" style="width:378pt;height:33pt" o:ole="">
                  <v:imagedata r:id="rId71" o:title=""/>
                </v:shape>
                <o:OLEObject Type="Embed" ProgID="Equation.3" ShapeID="_x0000_i1041" DrawAspect="Content" ObjectID="_1355747848" r:id="rId72"/>
              </w:object>
            </w:r>
          </w:p>
        </w:tc>
        <w:tc>
          <w:tcPr>
            <w:tcW w:w="900" w:type="dxa"/>
            <w:vAlign w:val="center"/>
          </w:tcPr>
          <w:p w:rsidR="009732F6" w:rsidRPr="006C2078" w:rsidRDefault="009732F6" w:rsidP="009732F6">
            <w:pPr>
              <w:pStyle w:val="PlainText"/>
              <w:jc w:val="right"/>
              <w:rPr>
                <w:rFonts w:ascii="Times New Roman" w:hAnsi="Times New Roman"/>
                <w:sz w:val="24"/>
                <w:szCs w:val="24"/>
              </w:rPr>
            </w:pPr>
            <w:r w:rsidRPr="006C2078">
              <w:rPr>
                <w:rFonts w:ascii="Times New Roman" w:hAnsi="Times New Roman"/>
                <w:sz w:val="24"/>
                <w:szCs w:val="24"/>
              </w:rPr>
              <w:t>(11)</w:t>
            </w:r>
          </w:p>
        </w:tc>
      </w:tr>
    </w:tbl>
    <w:p w:rsidR="001B622A" w:rsidRDefault="00AA2BE3" w:rsidP="001B622A">
      <w:r w:rsidRPr="006C2078">
        <w:t>where</w:t>
      </w:r>
      <w:r w:rsidR="001B622A">
        <w:t>:</w:t>
      </w:r>
    </w:p>
    <w:p w:rsidR="001B622A" w:rsidRDefault="001B622A" w:rsidP="001B622A">
      <w:pPr>
        <w:pStyle w:val="Equationlegend"/>
      </w:pPr>
      <w:r>
        <w:tab/>
      </w:r>
      <w:r w:rsidR="00AA2BE3" w:rsidRPr="006C2078">
        <w:rPr>
          <w:i/>
        </w:rPr>
        <w:t>P</w:t>
      </w:r>
      <w:r w:rsidR="00AA2BE3" w:rsidRPr="006C2078">
        <w:rPr>
          <w:i/>
          <w:vertAlign w:val="subscript"/>
        </w:rPr>
        <w:t>t</w:t>
      </w:r>
      <w:r>
        <w:t>:</w:t>
      </w:r>
      <w:r>
        <w:tab/>
      </w:r>
      <w:r w:rsidR="00AA2BE3" w:rsidRPr="006C2078">
        <w:t xml:space="preserve">denotes the </w:t>
      </w:r>
      <w:r w:rsidR="00AA2BE3">
        <w:t>power-spectral</w:t>
      </w:r>
      <w:r w:rsidR="00AA2BE3" w:rsidRPr="006C2078">
        <w:t xml:space="preserve"> density at the SRS antenna input</w:t>
      </w:r>
      <w:r>
        <w:t xml:space="preserve"> (</w:t>
      </w:r>
      <w:r w:rsidR="00AA2BE3" w:rsidRPr="006C2078">
        <w:t>dB(W/Hz)</w:t>
      </w:r>
      <w:r>
        <w:t>)</w:t>
      </w:r>
    </w:p>
    <w:p w:rsidR="001B622A" w:rsidRDefault="001B622A" w:rsidP="001B622A">
      <w:pPr>
        <w:pStyle w:val="Equationlegend"/>
      </w:pPr>
      <w:r>
        <w:tab/>
      </w:r>
      <w:r w:rsidR="00AA2BE3" w:rsidRPr="006C2078">
        <w:rPr>
          <w:i/>
        </w:rPr>
        <w:t>G</w:t>
      </w:r>
      <w:r w:rsidR="00AA2BE3" w:rsidRPr="006C2078">
        <w:rPr>
          <w:i/>
          <w:vertAlign w:val="subscript"/>
        </w:rPr>
        <w:t>t</w:t>
      </w:r>
      <w:r w:rsidR="00AA2BE3" w:rsidRPr="006C2078">
        <w:t>(</w:t>
      </w:r>
      <w:r w:rsidR="00AA2BE3" w:rsidRPr="006C2078">
        <w:rPr>
          <w:rFonts w:ascii="Symbol" w:hAnsi="Symbol"/>
        </w:rPr>
        <w:t></w:t>
      </w:r>
      <w:r w:rsidR="00AA2BE3" w:rsidRPr="006C2078">
        <w:t>)</w:t>
      </w:r>
      <w:r>
        <w:t>:</w:t>
      </w:r>
      <w:r>
        <w:tab/>
      </w:r>
      <w:r w:rsidR="00AA2BE3" w:rsidRPr="006C2078">
        <w:t>the SRS earth station transmission antenna gain in the direction of the victim ISS satellite</w:t>
      </w:r>
      <w:r w:rsidR="009732F6">
        <w:t xml:space="preserve"> (dBi)</w:t>
      </w:r>
    </w:p>
    <w:p w:rsidR="001B622A" w:rsidRDefault="001B622A" w:rsidP="001B622A">
      <w:pPr>
        <w:pStyle w:val="Equationlegend"/>
      </w:pPr>
      <w:r>
        <w:tab/>
      </w:r>
      <w:r w:rsidR="00AA2BE3" w:rsidRPr="006C2078">
        <w:rPr>
          <w:i/>
        </w:rPr>
        <w:t>G</w:t>
      </w:r>
      <w:r w:rsidR="00AA2BE3" w:rsidRPr="006C2078">
        <w:rPr>
          <w:i/>
          <w:vertAlign w:val="subscript"/>
        </w:rPr>
        <w:t>r</w:t>
      </w:r>
      <w:r w:rsidR="00AA2BE3" w:rsidRPr="006C2078">
        <w:t>(</w:t>
      </w:r>
      <w:r w:rsidR="00AA2BE3" w:rsidRPr="006C2078">
        <w:rPr>
          <w:rFonts w:ascii="Symbol" w:hAnsi="Symbol"/>
        </w:rPr>
        <w:t></w:t>
      </w:r>
      <w:r w:rsidR="00AA2BE3" w:rsidRPr="006C2078">
        <w:rPr>
          <w:i/>
          <w:vertAlign w:val="subscript"/>
        </w:rPr>
        <w:t>j</w:t>
      </w:r>
      <w:r w:rsidR="00AA2BE3" w:rsidRPr="006C2078">
        <w:t>)</w:t>
      </w:r>
      <w:r>
        <w:t>:</w:t>
      </w:r>
      <w:r>
        <w:tab/>
      </w:r>
      <w:r w:rsidR="00AA2BE3" w:rsidRPr="006C2078">
        <w:t>the gain of the jth ISS satellite receiving antenna in the direction of the interfering SRS earth station</w:t>
      </w:r>
      <w:r>
        <w:t xml:space="preserve"> (</w:t>
      </w:r>
      <w:r w:rsidR="00AA2BE3" w:rsidRPr="006C2078">
        <w:t>dBi</w:t>
      </w:r>
      <w:r>
        <w:t>)</w:t>
      </w:r>
      <w:r w:rsidR="00AA2BE3" w:rsidRPr="006C2078">
        <w:t>.</w:t>
      </w:r>
    </w:p>
    <w:p w:rsidR="00AA2BE3" w:rsidRPr="007D1EF7" w:rsidRDefault="00AA2BE3" w:rsidP="001B622A">
      <w:pPr>
        <w:rPr>
          <w:rFonts w:ascii="Script MT Bold" w:hAnsi="Script MT Bold"/>
          <w:lang w:val="en-US"/>
        </w:rPr>
      </w:pPr>
      <w:r w:rsidRPr="007D1EF7">
        <w:rPr>
          <w:lang w:val="en-US"/>
        </w:rPr>
        <w:t xml:space="preserve">In this case, the unconditional and the conditional cumulative distribution functions of </w:t>
      </w:r>
      <w:r w:rsidRPr="007D1EF7">
        <w:rPr>
          <w:i/>
          <w:lang w:val="en-US"/>
        </w:rPr>
        <w:t>I/N</w:t>
      </w:r>
      <w:r w:rsidRPr="007D1EF7">
        <w:rPr>
          <w:lang w:val="en-US"/>
        </w:rPr>
        <w:t xml:space="preserve"> are written as</w:t>
      </w:r>
      <w:r w:rsidR="001B622A" w:rsidRPr="007D1EF7">
        <w:rPr>
          <w:lang w:val="en-US"/>
        </w:rPr>
        <w:t>:</w:t>
      </w:r>
    </w:p>
    <w:tbl>
      <w:tblPr>
        <w:tblW w:w="9828" w:type="dxa"/>
        <w:tblLook w:val="01E0"/>
      </w:tblPr>
      <w:tblGrid>
        <w:gridCol w:w="8928"/>
        <w:gridCol w:w="900"/>
      </w:tblGrid>
      <w:tr w:rsidR="009732F6" w:rsidRPr="006C2078" w:rsidTr="009732F6">
        <w:trPr>
          <w:trHeight w:val="1020"/>
        </w:trPr>
        <w:tc>
          <w:tcPr>
            <w:tcW w:w="8928" w:type="dxa"/>
            <w:vAlign w:val="center"/>
          </w:tcPr>
          <w:p w:rsidR="009732F6" w:rsidRPr="006C2078" w:rsidRDefault="009732F6" w:rsidP="009732F6">
            <w:pPr>
              <w:jc w:val="center"/>
              <w:rPr>
                <w:rFonts w:eastAsia="SimSun"/>
              </w:rPr>
            </w:pPr>
            <w:r w:rsidRPr="00B3358F">
              <w:rPr>
                <w:rFonts w:eastAsia="SimSun"/>
                <w:position w:val="-12"/>
              </w:rPr>
              <w:object w:dxaOrig="2180" w:dyaOrig="380">
                <v:shape id="_x0000_i1042" type="#_x0000_t75" style="width:112.2pt;height:19.2pt" o:ole="">
                  <v:imagedata r:id="rId73" o:title=""/>
                </v:shape>
                <o:OLEObject Type="Embed" ProgID="Equation.3" ShapeID="_x0000_i1042" DrawAspect="Content" ObjectID="_1355747849" r:id="rId74"/>
              </w:object>
            </w:r>
          </w:p>
        </w:tc>
        <w:tc>
          <w:tcPr>
            <w:tcW w:w="900" w:type="dxa"/>
            <w:vAlign w:val="center"/>
          </w:tcPr>
          <w:p w:rsidR="009732F6" w:rsidRPr="006C2078" w:rsidRDefault="009732F6" w:rsidP="009732F6">
            <w:pPr>
              <w:pStyle w:val="PlainText"/>
              <w:jc w:val="right"/>
              <w:rPr>
                <w:rFonts w:ascii="Times New Roman" w:hAnsi="Times New Roman"/>
                <w:sz w:val="24"/>
                <w:szCs w:val="24"/>
              </w:rPr>
            </w:pPr>
            <w:r w:rsidRPr="006C2078">
              <w:rPr>
                <w:rFonts w:ascii="Times New Roman" w:hAnsi="Times New Roman"/>
                <w:sz w:val="24"/>
                <w:szCs w:val="24"/>
              </w:rPr>
              <w:t>(12)</w:t>
            </w:r>
          </w:p>
        </w:tc>
      </w:tr>
    </w:tbl>
    <w:p w:rsidR="00AA2BE3" w:rsidRPr="006C2078" w:rsidRDefault="00AA2BE3" w:rsidP="00EC61F5">
      <w:pPr>
        <w:keepNext/>
      </w:pPr>
      <w:r w:rsidRPr="006C2078">
        <w:lastRenderedPageBreak/>
        <w:t>and</w:t>
      </w:r>
    </w:p>
    <w:tbl>
      <w:tblPr>
        <w:tblW w:w="9828" w:type="dxa"/>
        <w:tblLook w:val="01E0"/>
      </w:tblPr>
      <w:tblGrid>
        <w:gridCol w:w="8928"/>
        <w:gridCol w:w="900"/>
      </w:tblGrid>
      <w:tr w:rsidR="009732F6" w:rsidRPr="006C2078" w:rsidTr="009732F6">
        <w:trPr>
          <w:trHeight w:val="1020"/>
        </w:trPr>
        <w:tc>
          <w:tcPr>
            <w:tcW w:w="8928" w:type="dxa"/>
            <w:vAlign w:val="center"/>
          </w:tcPr>
          <w:p w:rsidR="009732F6" w:rsidRPr="006C2078" w:rsidRDefault="009732F6" w:rsidP="009732F6">
            <w:pPr>
              <w:jc w:val="center"/>
              <w:rPr>
                <w:rFonts w:eastAsia="SimSun"/>
              </w:rPr>
            </w:pPr>
            <w:r w:rsidRPr="006C2078">
              <w:rPr>
                <w:rFonts w:eastAsia="SimSun"/>
                <w:position w:val="-16"/>
              </w:rPr>
              <w:object w:dxaOrig="2640" w:dyaOrig="420">
                <v:shape id="_x0000_i1043" type="#_x0000_t75" style="width:142.8pt;height:21pt" o:ole="">
                  <v:imagedata r:id="rId75" o:title=""/>
                </v:shape>
                <o:OLEObject Type="Embed" ProgID="Equation.3" ShapeID="_x0000_i1043" DrawAspect="Content" ObjectID="_1355747850" r:id="rId76"/>
              </w:object>
            </w:r>
          </w:p>
        </w:tc>
        <w:tc>
          <w:tcPr>
            <w:tcW w:w="900" w:type="dxa"/>
            <w:vAlign w:val="center"/>
          </w:tcPr>
          <w:p w:rsidR="009732F6" w:rsidRPr="006C2078" w:rsidRDefault="009732F6" w:rsidP="009732F6">
            <w:pPr>
              <w:pStyle w:val="PlainText"/>
              <w:jc w:val="right"/>
              <w:rPr>
                <w:rFonts w:ascii="Times New Roman" w:hAnsi="Times New Roman"/>
                <w:sz w:val="24"/>
                <w:szCs w:val="24"/>
              </w:rPr>
            </w:pPr>
            <w:r w:rsidRPr="006C2078">
              <w:rPr>
                <w:rFonts w:ascii="Times New Roman" w:hAnsi="Times New Roman"/>
                <w:sz w:val="24"/>
                <w:szCs w:val="24"/>
              </w:rPr>
              <w:t>(13)</w:t>
            </w:r>
          </w:p>
        </w:tc>
      </w:tr>
    </w:tbl>
    <w:p w:rsidR="00A47FF8" w:rsidRDefault="00A47FF8" w:rsidP="00A47FF8">
      <w:pPr>
        <w:pStyle w:val="Blanc"/>
        <w:rPr>
          <w:rFonts w:eastAsia="SimSun"/>
        </w:rPr>
      </w:pPr>
    </w:p>
    <w:p w:rsidR="00AA2BE3" w:rsidRPr="007D1EF7" w:rsidRDefault="00AA2BE3" w:rsidP="00192341">
      <w:pPr>
        <w:rPr>
          <w:lang w:val="en-US"/>
        </w:rPr>
      </w:pPr>
      <w:r w:rsidRPr="007D1EF7">
        <w:rPr>
          <w:lang w:val="en-US"/>
        </w:rPr>
        <w:t>with C</w:t>
      </w:r>
      <w:r w:rsidRPr="007D1EF7">
        <w:rPr>
          <w:rFonts w:asciiTheme="majorBidi" w:hAnsiTheme="majorBidi" w:cstheme="majorBidi"/>
          <w:i/>
          <w:iCs/>
          <w:szCs w:val="24"/>
          <w:vertAlign w:val="subscript"/>
          <w:lang w:val="en-US"/>
        </w:rPr>
        <w:t>I</w:t>
      </w:r>
      <w:r w:rsidRPr="007D1EF7">
        <w:rPr>
          <w:rFonts w:asciiTheme="majorBidi" w:hAnsiTheme="majorBidi" w:cstheme="majorBidi"/>
          <w:szCs w:val="24"/>
          <w:vertAlign w:val="subscript"/>
          <w:lang w:val="en-US"/>
        </w:rPr>
        <w:t>/</w:t>
      </w:r>
      <w:r w:rsidRPr="007D1EF7">
        <w:rPr>
          <w:rFonts w:asciiTheme="majorBidi" w:hAnsiTheme="majorBidi" w:cstheme="majorBidi"/>
          <w:i/>
          <w:iCs/>
          <w:szCs w:val="24"/>
          <w:vertAlign w:val="subscript"/>
          <w:lang w:val="en-US"/>
        </w:rPr>
        <w:t>N</w:t>
      </w:r>
      <w:r w:rsidRPr="007D1EF7">
        <w:rPr>
          <w:lang w:val="en-US"/>
        </w:rPr>
        <w:t>( ) and C</w:t>
      </w:r>
      <w:r w:rsidRPr="007D1EF7">
        <w:rPr>
          <w:rFonts w:asciiTheme="majorBidi" w:hAnsiTheme="majorBidi" w:cstheme="majorBidi"/>
          <w:i/>
          <w:iCs/>
          <w:szCs w:val="24"/>
          <w:vertAlign w:val="subscript"/>
          <w:lang w:val="en-US"/>
        </w:rPr>
        <w:t>I</w:t>
      </w:r>
      <w:r w:rsidRPr="007D1EF7">
        <w:rPr>
          <w:rFonts w:asciiTheme="majorBidi" w:hAnsiTheme="majorBidi" w:cstheme="majorBidi"/>
          <w:szCs w:val="24"/>
          <w:vertAlign w:val="subscript"/>
          <w:lang w:val="en-US"/>
        </w:rPr>
        <w:t>/</w:t>
      </w:r>
      <w:r w:rsidRPr="007D1EF7">
        <w:rPr>
          <w:rFonts w:asciiTheme="majorBidi" w:hAnsiTheme="majorBidi" w:cstheme="majorBidi"/>
          <w:i/>
          <w:iCs/>
          <w:szCs w:val="24"/>
          <w:vertAlign w:val="subscript"/>
          <w:lang w:val="en-US"/>
        </w:rPr>
        <w:t>N</w:t>
      </w:r>
      <w:r w:rsidRPr="007D1EF7">
        <w:rPr>
          <w:szCs w:val="24"/>
          <w:vertAlign w:val="subscript"/>
          <w:lang w:val="en-US"/>
        </w:rPr>
        <w:t>|</w:t>
      </w:r>
      <w:r w:rsidRPr="007D1EF7">
        <w:rPr>
          <w:i/>
          <w:szCs w:val="24"/>
          <w:vertAlign w:val="subscript"/>
          <w:lang w:val="en-US"/>
        </w:rPr>
        <w:t>i</w:t>
      </w:r>
      <w:r w:rsidRPr="007D1EF7">
        <w:rPr>
          <w:szCs w:val="24"/>
          <w:vertAlign w:val="subscript"/>
          <w:lang w:val="en-US"/>
        </w:rPr>
        <w:t>≠0</w:t>
      </w:r>
      <w:r w:rsidRPr="007D1EF7">
        <w:rPr>
          <w:lang w:val="en-US"/>
        </w:rPr>
        <w:t>( ) given by (9) and (10), respectively.</w:t>
      </w:r>
    </w:p>
    <w:p w:rsidR="00AA2BE3" w:rsidRPr="007D1EF7" w:rsidRDefault="00AA2BE3" w:rsidP="00AA2BE3">
      <w:pPr>
        <w:pStyle w:val="FigureNo"/>
        <w:rPr>
          <w:lang w:val="en-US"/>
        </w:rPr>
      </w:pPr>
      <w:r w:rsidRPr="007D1EF7">
        <w:rPr>
          <w:lang w:val="en-US"/>
        </w:rPr>
        <w:t xml:space="preserve">Figure A6-1 </w:t>
      </w:r>
    </w:p>
    <w:p w:rsidR="00AA2BE3" w:rsidRPr="007D1EF7" w:rsidRDefault="00AA2BE3" w:rsidP="00AA2BE3">
      <w:pPr>
        <w:pStyle w:val="Figuretitle"/>
        <w:rPr>
          <w:szCs w:val="24"/>
          <w:lang w:val="en-US"/>
        </w:rPr>
      </w:pPr>
      <w:r w:rsidRPr="007D1EF7">
        <w:rPr>
          <w:szCs w:val="24"/>
          <w:lang w:val="en-US"/>
        </w:rPr>
        <w:t>SRS to ISS interference geometry</w:t>
      </w:r>
    </w:p>
    <w:p w:rsidR="00AA2BE3" w:rsidRPr="006C2078" w:rsidRDefault="00AA2BE3" w:rsidP="006119E4">
      <w:pPr>
        <w:pStyle w:val="Figure"/>
        <w:rPr>
          <w:rFonts w:ascii="Monotype Corsiva" w:hAnsi="Monotype Corsiva"/>
        </w:rPr>
      </w:pPr>
      <w:r w:rsidRPr="006C2078">
        <w:object w:dxaOrig="7872" w:dyaOrig="7527">
          <v:shape id="_x0000_i1044" type="#_x0000_t75" style="width:283.2pt;height:267pt" o:ole="">
            <v:imagedata r:id="rId77" o:title=""/>
          </v:shape>
          <o:OLEObject Type="Embed" ProgID="Visio.Drawing.11" ShapeID="_x0000_i1044" DrawAspect="Content" ObjectID="_1355747851" r:id="rId78"/>
        </w:object>
      </w:r>
    </w:p>
    <w:p w:rsidR="001B622A" w:rsidRPr="007D1EF7" w:rsidRDefault="00AA2BE3" w:rsidP="009732F6">
      <w:pPr>
        <w:rPr>
          <w:lang w:val="en-US"/>
        </w:rPr>
      </w:pPr>
      <w:r w:rsidRPr="007D1EF7">
        <w:rPr>
          <w:lang w:val="en-US"/>
        </w:rPr>
        <w:t xml:space="preserve">Now, let </w:t>
      </w:r>
      <w:r w:rsidRPr="006C2078">
        <w:t>δ</w:t>
      </w:r>
      <w:r w:rsidRPr="007D1EF7">
        <w:rPr>
          <w:lang w:val="en-US"/>
        </w:rPr>
        <w:t xml:space="preserve"> denote the Moon orbital plane inclination with respect to the Earth</w:t>
      </w:r>
      <w:r w:rsidR="009732F6" w:rsidRPr="007D1EF7">
        <w:rPr>
          <w:lang w:val="en-US"/>
        </w:rPr>
        <w:t>’</w:t>
      </w:r>
      <w:r w:rsidRPr="007D1EF7">
        <w:rPr>
          <w:lang w:val="en-US"/>
        </w:rPr>
        <w:t xml:space="preserve">s equator. Suppose that the cumulative distribution functions in (12) and (13) are calculated for a given value of </w:t>
      </w:r>
      <w:r w:rsidRPr="006C2078">
        <w:t>δ</w:t>
      </w:r>
      <w:r w:rsidRPr="007D1EF7">
        <w:rPr>
          <w:lang w:val="en-US"/>
        </w:rPr>
        <w:t>, say</w:t>
      </w:r>
      <w:r w:rsidR="001B622A" w:rsidRPr="007D1EF7">
        <w:rPr>
          <w:lang w:val="en-US"/>
        </w:rPr>
        <w:t xml:space="preserve"> </w:t>
      </w:r>
      <w:r w:rsidRPr="006C2078">
        <w:t>δ</w:t>
      </w:r>
      <w:r w:rsidRPr="007D1EF7">
        <w:rPr>
          <w:lang w:val="en-US"/>
        </w:rPr>
        <w:t xml:space="preserve"> = </w:t>
      </w:r>
      <w:r w:rsidRPr="006C2078">
        <w:t>Δ</w:t>
      </w:r>
      <w:r w:rsidRPr="007D1EF7">
        <w:rPr>
          <w:lang w:val="en-US"/>
        </w:rPr>
        <w:t>.</w:t>
      </w:r>
    </w:p>
    <w:p w:rsidR="00AA2BE3" w:rsidRPr="007D1EF7" w:rsidRDefault="00AA2BE3" w:rsidP="001B622A">
      <w:pPr>
        <w:rPr>
          <w:lang w:val="en-US"/>
        </w:rPr>
      </w:pPr>
      <w:r w:rsidRPr="007D1EF7">
        <w:rPr>
          <w:lang w:val="en-US"/>
        </w:rPr>
        <w:t>This means that</w:t>
      </w:r>
      <w:r w:rsidR="009732F6" w:rsidRPr="007D1EF7">
        <w:rPr>
          <w:lang w:val="en-US"/>
        </w:rPr>
        <w:t>:</w:t>
      </w:r>
    </w:p>
    <w:p w:rsidR="00A47FF8" w:rsidRDefault="00A47FF8" w:rsidP="00A47FF8">
      <w:pPr>
        <w:pStyle w:val="Blanc"/>
        <w:rPr>
          <w:rFonts w:eastAsia="SimSun"/>
        </w:rPr>
      </w:pPr>
    </w:p>
    <w:p w:rsidR="001B622A" w:rsidRPr="007D1EF7" w:rsidRDefault="001B622A" w:rsidP="001B622A">
      <w:pPr>
        <w:pStyle w:val="Equation"/>
        <w:rPr>
          <w:lang w:val="en-US"/>
        </w:rPr>
      </w:pPr>
      <w:r w:rsidRPr="007D1EF7">
        <w:rPr>
          <w:rFonts w:eastAsia="SimSun"/>
          <w:lang w:val="en-US"/>
        </w:rPr>
        <w:tab/>
      </w:r>
      <w:r w:rsidRPr="007D1EF7">
        <w:rPr>
          <w:rFonts w:eastAsia="SimSun"/>
          <w:lang w:val="en-US"/>
        </w:rPr>
        <w:tab/>
      </w:r>
      <w:r w:rsidRPr="001B622A">
        <w:rPr>
          <w:rFonts w:eastAsia="SimSun"/>
          <w:position w:val="-28"/>
        </w:rPr>
        <w:object w:dxaOrig="3100" w:dyaOrig="680">
          <v:shape id="_x0000_i1045" type="#_x0000_t75" style="width:156pt;height:33pt" o:ole="">
            <v:imagedata r:id="rId79" o:title=""/>
          </v:shape>
          <o:OLEObject Type="Embed" ProgID="Equation.3" ShapeID="_x0000_i1045" DrawAspect="Content" ObjectID="_1355747852" r:id="rId80"/>
        </w:object>
      </w:r>
      <w:r w:rsidRPr="007D1EF7">
        <w:rPr>
          <w:rFonts w:eastAsia="SimSun"/>
          <w:lang w:val="en-US"/>
        </w:rPr>
        <w:tab/>
      </w:r>
      <w:r w:rsidRPr="007D1EF7">
        <w:rPr>
          <w:szCs w:val="24"/>
          <w:lang w:val="en-US"/>
        </w:rPr>
        <w:t>(14)</w:t>
      </w:r>
    </w:p>
    <w:p w:rsidR="00AA2BE3" w:rsidRPr="007D1EF7" w:rsidRDefault="00AA2BE3" w:rsidP="00192341">
      <w:pPr>
        <w:rPr>
          <w:lang w:val="en-US"/>
        </w:rPr>
      </w:pPr>
      <w:r w:rsidRPr="007D1EF7">
        <w:rPr>
          <w:lang w:val="en-US"/>
        </w:rPr>
        <w:t>and</w:t>
      </w:r>
    </w:p>
    <w:p w:rsidR="001B622A" w:rsidRPr="007D1EF7" w:rsidRDefault="001B622A" w:rsidP="001B622A">
      <w:pPr>
        <w:pStyle w:val="Equation"/>
        <w:rPr>
          <w:lang w:val="en-US"/>
        </w:rPr>
      </w:pPr>
      <w:r w:rsidRPr="007D1EF7">
        <w:rPr>
          <w:rFonts w:eastAsia="SimSun"/>
          <w:lang w:val="en-US"/>
        </w:rPr>
        <w:tab/>
      </w:r>
      <w:r w:rsidRPr="007D1EF7">
        <w:rPr>
          <w:rFonts w:eastAsia="SimSun"/>
          <w:lang w:val="en-US"/>
        </w:rPr>
        <w:tab/>
      </w:r>
      <w:r w:rsidRPr="001B622A">
        <w:rPr>
          <w:rFonts w:eastAsia="SimSun"/>
          <w:position w:val="-28"/>
        </w:rPr>
        <w:object w:dxaOrig="3920" w:dyaOrig="680">
          <v:shape id="_x0000_i1046" type="#_x0000_t75" style="width:194.4pt;height:33pt" o:ole="">
            <v:imagedata r:id="rId81" o:title=""/>
          </v:shape>
          <o:OLEObject Type="Embed" ProgID="Equation.3" ShapeID="_x0000_i1046" DrawAspect="Content" ObjectID="_1355747853" r:id="rId82"/>
        </w:object>
      </w:r>
      <w:r w:rsidRPr="007D1EF7">
        <w:rPr>
          <w:rFonts w:eastAsia="SimSun"/>
          <w:lang w:val="en-US"/>
        </w:rPr>
        <w:tab/>
      </w:r>
      <w:r w:rsidRPr="007D1EF7">
        <w:rPr>
          <w:szCs w:val="24"/>
          <w:lang w:val="en-US"/>
        </w:rPr>
        <w:t>(15)</w:t>
      </w:r>
    </w:p>
    <w:p w:rsidR="00A47FF8" w:rsidRDefault="00A47FF8" w:rsidP="00A47FF8">
      <w:pPr>
        <w:pStyle w:val="Blanc"/>
        <w:rPr>
          <w:rFonts w:eastAsia="SimSun"/>
        </w:rPr>
      </w:pPr>
    </w:p>
    <w:p w:rsidR="00AA2BE3" w:rsidRPr="007D1EF7" w:rsidRDefault="00AA2BE3" w:rsidP="00192341">
      <w:pPr>
        <w:rPr>
          <w:lang w:val="en-US"/>
        </w:rPr>
      </w:pPr>
      <w:r w:rsidRPr="007D1EF7">
        <w:rPr>
          <w:lang w:val="en-US"/>
        </w:rPr>
        <w:t>are determined. The cumulative distribution functions in (12) and (13) can then be calculated, respectively, from (14) and (15) by using the Total Probability Theorem, that is,</w:t>
      </w:r>
    </w:p>
    <w:p w:rsidR="00A47FF8" w:rsidRDefault="00A47FF8" w:rsidP="00A47FF8">
      <w:pPr>
        <w:pStyle w:val="Blanc"/>
        <w:rPr>
          <w:rFonts w:eastAsia="SimSun"/>
        </w:rPr>
      </w:pPr>
    </w:p>
    <w:p w:rsidR="001B622A" w:rsidRPr="007D1EF7" w:rsidRDefault="001B622A" w:rsidP="001B622A">
      <w:pPr>
        <w:pStyle w:val="Equation"/>
        <w:rPr>
          <w:lang w:val="en-US"/>
        </w:rPr>
      </w:pPr>
      <w:r w:rsidRPr="007D1EF7">
        <w:rPr>
          <w:rFonts w:eastAsia="SimSun"/>
          <w:lang w:val="en-US"/>
        </w:rPr>
        <w:tab/>
      </w:r>
      <w:r w:rsidRPr="007D1EF7">
        <w:rPr>
          <w:rFonts w:eastAsia="SimSun"/>
          <w:lang w:val="en-US"/>
        </w:rPr>
        <w:tab/>
      </w:r>
      <w:r w:rsidR="008323DF" w:rsidRPr="00472456">
        <w:rPr>
          <w:rFonts w:eastAsia="SimSun"/>
          <w:position w:val="-20"/>
        </w:rPr>
        <w:object w:dxaOrig="3580" w:dyaOrig="560">
          <v:shape id="_x0000_i1047" type="#_x0000_t75" style="width:174pt;height:27.6pt" o:ole="">
            <v:imagedata r:id="rId83" o:title=""/>
          </v:shape>
          <o:OLEObject Type="Embed" ProgID="Equation.3" ShapeID="_x0000_i1047" DrawAspect="Content" ObjectID="_1355747854" r:id="rId84"/>
        </w:object>
      </w:r>
      <w:r w:rsidRPr="007D1EF7">
        <w:rPr>
          <w:rFonts w:eastAsia="SimSun"/>
          <w:lang w:val="en-US"/>
        </w:rPr>
        <w:tab/>
      </w:r>
      <w:r w:rsidRPr="007D1EF7">
        <w:rPr>
          <w:szCs w:val="24"/>
          <w:lang w:val="en-US"/>
        </w:rPr>
        <w:t>(16)</w:t>
      </w:r>
    </w:p>
    <w:p w:rsidR="00AA2BE3" w:rsidRPr="007D1EF7" w:rsidRDefault="00AA2BE3" w:rsidP="00192341">
      <w:pPr>
        <w:rPr>
          <w:lang w:val="en-US"/>
        </w:rPr>
      </w:pPr>
      <w:r w:rsidRPr="007D1EF7">
        <w:rPr>
          <w:lang w:val="en-US"/>
        </w:rPr>
        <w:t>and</w:t>
      </w:r>
    </w:p>
    <w:p w:rsidR="001B622A" w:rsidRPr="007D1EF7" w:rsidRDefault="001B622A" w:rsidP="001B622A">
      <w:pPr>
        <w:pStyle w:val="Equation"/>
        <w:rPr>
          <w:lang w:val="en-US"/>
        </w:rPr>
      </w:pPr>
      <w:r w:rsidRPr="007D1EF7">
        <w:rPr>
          <w:rFonts w:eastAsia="SimSun"/>
          <w:lang w:val="en-US"/>
        </w:rPr>
        <w:lastRenderedPageBreak/>
        <w:tab/>
      </w:r>
      <w:r w:rsidRPr="007D1EF7">
        <w:rPr>
          <w:rFonts w:eastAsia="SimSun"/>
          <w:lang w:val="en-US"/>
        </w:rPr>
        <w:tab/>
      </w:r>
      <w:r w:rsidR="00C77A45" w:rsidRPr="00472456">
        <w:rPr>
          <w:rFonts w:eastAsia="SimSun"/>
          <w:position w:val="-20"/>
        </w:rPr>
        <w:object w:dxaOrig="4200" w:dyaOrig="560">
          <v:shape id="_x0000_i1048" type="#_x0000_t75" style="width:205.8pt;height:27.6pt" o:ole="">
            <v:imagedata r:id="rId85" o:title=""/>
          </v:shape>
          <o:OLEObject Type="Embed" ProgID="Equation.3" ShapeID="_x0000_i1048" DrawAspect="Content" ObjectID="_1355747855" r:id="rId86"/>
        </w:object>
      </w:r>
      <w:r w:rsidRPr="007D1EF7">
        <w:rPr>
          <w:rFonts w:eastAsia="SimSun"/>
          <w:lang w:val="en-US"/>
        </w:rPr>
        <w:tab/>
      </w:r>
      <w:r w:rsidRPr="007D1EF7">
        <w:rPr>
          <w:szCs w:val="24"/>
          <w:lang w:val="en-US"/>
        </w:rPr>
        <w:t>(17)</w:t>
      </w:r>
    </w:p>
    <w:p w:rsidR="00AA2BE3" w:rsidRPr="007D1EF7" w:rsidRDefault="00AA2BE3" w:rsidP="00192341">
      <w:pPr>
        <w:rPr>
          <w:lang w:val="en-US"/>
        </w:rPr>
      </w:pPr>
      <w:r w:rsidRPr="007D1EF7">
        <w:rPr>
          <w:lang w:val="en-US"/>
        </w:rPr>
        <w:t>with p</w:t>
      </w:r>
      <w:r w:rsidRPr="006C2078">
        <w:rPr>
          <w:szCs w:val="24"/>
          <w:vertAlign w:val="subscript"/>
        </w:rPr>
        <w:t>δ</w:t>
      </w:r>
      <w:r w:rsidRPr="007D1EF7">
        <w:rPr>
          <w:lang w:val="en-US"/>
        </w:rPr>
        <w:t>(</w:t>
      </w:r>
      <w:r w:rsidRPr="006C2078">
        <w:t>Δ</w:t>
      </w:r>
      <w:r w:rsidRPr="007D1EF7">
        <w:rPr>
          <w:lang w:val="en-US"/>
        </w:rPr>
        <w:t xml:space="preserve">) denoting the probability density function of the Moon orbital plane inclination </w:t>
      </w:r>
      <w:r w:rsidRPr="006C2078">
        <w:t>δ</w:t>
      </w:r>
      <w:r w:rsidRPr="007D1EF7">
        <w:rPr>
          <w:lang w:val="en-US"/>
        </w:rPr>
        <w:t>.</w:t>
      </w:r>
    </w:p>
    <w:p w:rsidR="00AA2BE3" w:rsidRPr="007D1EF7" w:rsidRDefault="00AA2BE3" w:rsidP="00192341">
      <w:pPr>
        <w:pStyle w:val="Heading1"/>
        <w:rPr>
          <w:lang w:val="en-US"/>
        </w:rPr>
      </w:pPr>
      <w:bookmarkStart w:id="83" w:name="_Toc277668645"/>
      <w:r w:rsidRPr="007D1EF7">
        <w:rPr>
          <w:lang w:val="en-US"/>
        </w:rPr>
        <w:t>3</w:t>
      </w:r>
      <w:r w:rsidRPr="007D1EF7">
        <w:rPr>
          <w:lang w:val="en-US"/>
        </w:rPr>
        <w:tab/>
        <w:t xml:space="preserve">Numerical </w:t>
      </w:r>
      <w:r w:rsidR="001B622A" w:rsidRPr="007D1EF7">
        <w:rPr>
          <w:lang w:val="en-US"/>
        </w:rPr>
        <w:t>r</w:t>
      </w:r>
      <w:r w:rsidRPr="007D1EF7">
        <w:rPr>
          <w:lang w:val="en-US"/>
        </w:rPr>
        <w:t>esults</w:t>
      </w:r>
      <w:bookmarkEnd w:id="83"/>
    </w:p>
    <w:p w:rsidR="00AA2BE3" w:rsidRPr="007D1EF7" w:rsidRDefault="00AA2BE3" w:rsidP="001B622A">
      <w:pPr>
        <w:rPr>
          <w:lang w:val="en-US"/>
        </w:rPr>
      </w:pPr>
      <w:r w:rsidRPr="007D1EF7">
        <w:rPr>
          <w:szCs w:val="24"/>
          <w:lang w:val="en-US"/>
        </w:rPr>
        <w:t>In this section, different scenarios are examined. In all of them the SRS system parameter values presented in Table A6-1 were considered. The antenna radiation pattern in Recommendation ITU</w:t>
      </w:r>
      <w:r w:rsidR="006119E4" w:rsidRPr="007D1EF7">
        <w:rPr>
          <w:szCs w:val="24"/>
          <w:lang w:val="en-US"/>
        </w:rPr>
        <w:noBreakHyphen/>
      </w:r>
      <w:r w:rsidRPr="007D1EF7">
        <w:rPr>
          <w:szCs w:val="24"/>
          <w:lang w:val="en-US"/>
        </w:rPr>
        <w:t>R</w:t>
      </w:r>
      <w:r w:rsidR="006119E4" w:rsidRPr="007D1EF7">
        <w:rPr>
          <w:szCs w:val="24"/>
          <w:lang w:val="en-US"/>
        </w:rPr>
        <w:t> </w:t>
      </w:r>
      <w:r w:rsidRPr="007D1EF7">
        <w:rPr>
          <w:szCs w:val="24"/>
          <w:lang w:val="en-US"/>
        </w:rPr>
        <w:t>F.1245 was assumed for the SRS transmitting earth station.</w:t>
      </w:r>
    </w:p>
    <w:p w:rsidR="00AA2BE3" w:rsidRPr="006C2078" w:rsidRDefault="006119E4" w:rsidP="00AA2BE3">
      <w:pPr>
        <w:pStyle w:val="TableNo"/>
      </w:pPr>
      <w:r w:rsidRPr="006C2078">
        <w:t>TABLE</w:t>
      </w:r>
      <w:r w:rsidR="00AA2BE3" w:rsidRPr="006C2078">
        <w:t xml:space="preserve"> A6-1</w:t>
      </w:r>
    </w:p>
    <w:p w:rsidR="00AA2BE3" w:rsidRPr="006C2078" w:rsidRDefault="00AA2BE3" w:rsidP="00AA2BE3">
      <w:pPr>
        <w:pStyle w:val="Tabletitle"/>
      </w:pPr>
      <w:r w:rsidRPr="006C2078">
        <w:t xml:space="preserve">SRS system parameters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2552"/>
      </w:tblGrid>
      <w:tr w:rsidR="00AA2BE3" w:rsidRPr="006C2078" w:rsidTr="009732F6">
        <w:trPr>
          <w:jc w:val="center"/>
        </w:trPr>
        <w:tc>
          <w:tcPr>
            <w:tcW w:w="4820" w:type="dxa"/>
          </w:tcPr>
          <w:p w:rsidR="00AA2BE3" w:rsidRPr="006C2078" w:rsidRDefault="00AA2BE3" w:rsidP="001B622A">
            <w:pPr>
              <w:pStyle w:val="Tablehead"/>
              <w:jc w:val="left"/>
              <w:rPr>
                <w:lang w:eastAsia="hu-HU"/>
              </w:rPr>
            </w:pPr>
            <w:r w:rsidRPr="006C2078">
              <w:rPr>
                <w:lang w:eastAsia="hu-HU"/>
              </w:rPr>
              <w:t>System parameter</w:t>
            </w:r>
          </w:p>
        </w:tc>
        <w:tc>
          <w:tcPr>
            <w:tcW w:w="2552" w:type="dxa"/>
          </w:tcPr>
          <w:p w:rsidR="00AA2BE3" w:rsidRPr="006C2078" w:rsidRDefault="00AA2BE3" w:rsidP="00BF3C71">
            <w:pPr>
              <w:pStyle w:val="Tablehead"/>
              <w:rPr>
                <w:lang w:eastAsia="hu-HU"/>
              </w:rPr>
            </w:pPr>
            <w:r w:rsidRPr="006C2078">
              <w:rPr>
                <w:lang w:eastAsia="hu-HU"/>
              </w:rPr>
              <w:t>Value</w:t>
            </w:r>
          </w:p>
        </w:tc>
      </w:tr>
      <w:tr w:rsidR="00AA2BE3" w:rsidRPr="006C2078" w:rsidTr="009732F6">
        <w:trPr>
          <w:jc w:val="center"/>
        </w:trPr>
        <w:tc>
          <w:tcPr>
            <w:tcW w:w="4820" w:type="dxa"/>
          </w:tcPr>
          <w:p w:rsidR="00AA2BE3" w:rsidRPr="006C2078" w:rsidRDefault="00AA2BE3" w:rsidP="001B622A">
            <w:pPr>
              <w:pStyle w:val="Tablehead"/>
              <w:jc w:val="left"/>
              <w:rPr>
                <w:lang w:eastAsia="hu-HU"/>
              </w:rPr>
            </w:pPr>
            <w:r w:rsidRPr="006C2078">
              <w:rPr>
                <w:lang w:eastAsia="hu-HU"/>
              </w:rPr>
              <w:t>Orbital parameters</w:t>
            </w:r>
          </w:p>
        </w:tc>
        <w:tc>
          <w:tcPr>
            <w:tcW w:w="2552" w:type="dxa"/>
          </w:tcPr>
          <w:p w:rsidR="00AA2BE3" w:rsidRPr="006C2078" w:rsidRDefault="00AA2BE3" w:rsidP="00192341">
            <w:pPr>
              <w:pStyle w:val="Blanc"/>
              <w:rPr>
                <w:sz w:val="24"/>
                <w:szCs w:val="24"/>
                <w:lang w:eastAsia="hu-HU"/>
              </w:rPr>
            </w:pPr>
          </w:p>
        </w:tc>
      </w:tr>
      <w:tr w:rsidR="00AA2BE3" w:rsidRPr="006C2078" w:rsidTr="009732F6">
        <w:trPr>
          <w:jc w:val="center"/>
        </w:trPr>
        <w:tc>
          <w:tcPr>
            <w:tcW w:w="4820" w:type="dxa"/>
          </w:tcPr>
          <w:p w:rsidR="00AA2BE3" w:rsidRPr="006C2078" w:rsidRDefault="00AA2BE3" w:rsidP="00BF3C71">
            <w:pPr>
              <w:pStyle w:val="Tabletext"/>
              <w:rPr>
                <w:lang w:eastAsia="hu-HU"/>
              </w:rPr>
            </w:pPr>
            <w:r w:rsidRPr="006C2078">
              <w:rPr>
                <w:lang w:eastAsia="hu-HU"/>
              </w:rPr>
              <w:t>Mission type</w:t>
            </w:r>
          </w:p>
        </w:tc>
        <w:tc>
          <w:tcPr>
            <w:tcW w:w="2552" w:type="dxa"/>
          </w:tcPr>
          <w:p w:rsidR="00AA2BE3" w:rsidRPr="006C2078" w:rsidRDefault="00AA2BE3" w:rsidP="006119E4">
            <w:pPr>
              <w:pStyle w:val="Tabletext"/>
              <w:jc w:val="center"/>
              <w:rPr>
                <w:lang w:eastAsia="hu-HU"/>
              </w:rPr>
            </w:pPr>
            <w:r w:rsidRPr="006C2078">
              <w:rPr>
                <w:lang w:eastAsia="hu-HU"/>
              </w:rPr>
              <w:t>Lunar</w:t>
            </w:r>
          </w:p>
        </w:tc>
      </w:tr>
      <w:tr w:rsidR="00AA2BE3" w:rsidRPr="006C2078" w:rsidTr="009732F6">
        <w:trPr>
          <w:jc w:val="center"/>
        </w:trPr>
        <w:tc>
          <w:tcPr>
            <w:tcW w:w="4820" w:type="dxa"/>
          </w:tcPr>
          <w:p w:rsidR="00AA2BE3" w:rsidRPr="006C2078" w:rsidRDefault="00AA2BE3" w:rsidP="001B622A">
            <w:pPr>
              <w:pStyle w:val="Tabletext"/>
              <w:rPr>
                <w:lang w:eastAsia="hu-HU"/>
              </w:rPr>
            </w:pPr>
            <w:r w:rsidRPr="006C2078">
              <w:rPr>
                <w:lang w:eastAsia="hu-HU"/>
              </w:rPr>
              <w:t xml:space="preserve">Orbital altitude </w:t>
            </w:r>
            <w:r w:rsidR="001B622A">
              <w:rPr>
                <w:lang w:eastAsia="hu-HU"/>
              </w:rPr>
              <w:t>(</w:t>
            </w:r>
            <w:r w:rsidRPr="006C2078">
              <w:rPr>
                <w:lang w:eastAsia="hu-HU"/>
              </w:rPr>
              <w:t>km</w:t>
            </w:r>
            <w:r w:rsidR="001B622A">
              <w:rPr>
                <w:lang w:eastAsia="hu-HU"/>
              </w:rPr>
              <w:t>)</w:t>
            </w:r>
          </w:p>
        </w:tc>
        <w:tc>
          <w:tcPr>
            <w:tcW w:w="2552" w:type="dxa"/>
          </w:tcPr>
          <w:p w:rsidR="00AA2BE3" w:rsidRPr="006C2078" w:rsidRDefault="00AA2BE3" w:rsidP="006119E4">
            <w:pPr>
              <w:pStyle w:val="Tabletext"/>
              <w:jc w:val="center"/>
              <w:rPr>
                <w:lang w:eastAsia="hu-HU"/>
              </w:rPr>
            </w:pPr>
            <w:r w:rsidRPr="006C2078">
              <w:rPr>
                <w:lang w:eastAsia="hu-HU"/>
              </w:rPr>
              <w:t>384,400</w:t>
            </w:r>
          </w:p>
        </w:tc>
      </w:tr>
      <w:tr w:rsidR="00AA2BE3" w:rsidRPr="006C2078" w:rsidTr="009732F6">
        <w:trPr>
          <w:jc w:val="center"/>
        </w:trPr>
        <w:tc>
          <w:tcPr>
            <w:tcW w:w="4820" w:type="dxa"/>
          </w:tcPr>
          <w:p w:rsidR="00AA2BE3" w:rsidRPr="006C2078" w:rsidRDefault="00AA2BE3" w:rsidP="00BF3C71">
            <w:pPr>
              <w:pStyle w:val="Tabletext"/>
              <w:rPr>
                <w:lang w:eastAsia="hu-HU"/>
              </w:rPr>
            </w:pPr>
            <w:r w:rsidRPr="006C2078">
              <w:rPr>
                <w:lang w:eastAsia="hu-HU"/>
              </w:rPr>
              <w:t>Orbit type</w:t>
            </w:r>
          </w:p>
        </w:tc>
        <w:tc>
          <w:tcPr>
            <w:tcW w:w="2552" w:type="dxa"/>
          </w:tcPr>
          <w:p w:rsidR="00AA2BE3" w:rsidRPr="006C2078" w:rsidRDefault="00AA2BE3" w:rsidP="006119E4">
            <w:pPr>
              <w:pStyle w:val="Tabletext"/>
              <w:jc w:val="center"/>
              <w:rPr>
                <w:lang w:eastAsia="hu-HU"/>
              </w:rPr>
            </w:pPr>
            <w:r w:rsidRPr="006C2078">
              <w:rPr>
                <w:lang w:eastAsia="hu-HU"/>
              </w:rPr>
              <w:t>Circular</w:t>
            </w:r>
          </w:p>
        </w:tc>
      </w:tr>
      <w:tr w:rsidR="00AA2BE3" w:rsidRPr="006C2078" w:rsidTr="009732F6">
        <w:trPr>
          <w:jc w:val="center"/>
        </w:trPr>
        <w:tc>
          <w:tcPr>
            <w:tcW w:w="4820" w:type="dxa"/>
          </w:tcPr>
          <w:p w:rsidR="00AA2BE3" w:rsidRPr="006C2078" w:rsidRDefault="00AA2BE3" w:rsidP="001B622A">
            <w:pPr>
              <w:pStyle w:val="Tabletext"/>
              <w:rPr>
                <w:lang w:eastAsia="hu-HU"/>
              </w:rPr>
            </w:pPr>
            <w:r w:rsidRPr="006C2078">
              <w:rPr>
                <w:lang w:eastAsia="hu-HU"/>
              </w:rPr>
              <w:t xml:space="preserve">Orbital plane inclination </w:t>
            </w:r>
            <w:r w:rsidR="001B622A">
              <w:rPr>
                <w:lang w:eastAsia="hu-HU"/>
              </w:rPr>
              <w:t>(</w:t>
            </w:r>
            <w:r w:rsidRPr="006C2078">
              <w:rPr>
                <w:lang w:eastAsia="hu-HU"/>
              </w:rPr>
              <w:t>degree</w:t>
            </w:r>
            <w:r w:rsidR="009732F6">
              <w:rPr>
                <w:lang w:eastAsia="hu-HU"/>
              </w:rPr>
              <w:t>s</w:t>
            </w:r>
            <w:r w:rsidR="001B622A">
              <w:rPr>
                <w:lang w:eastAsia="hu-HU"/>
              </w:rPr>
              <w:t>)</w:t>
            </w:r>
          </w:p>
        </w:tc>
        <w:tc>
          <w:tcPr>
            <w:tcW w:w="2552" w:type="dxa"/>
          </w:tcPr>
          <w:p w:rsidR="00AA2BE3" w:rsidRPr="006C2078" w:rsidRDefault="00AA2BE3" w:rsidP="006119E4">
            <w:pPr>
              <w:pStyle w:val="Tabletext"/>
              <w:jc w:val="center"/>
              <w:rPr>
                <w:lang w:eastAsia="hu-HU"/>
              </w:rPr>
            </w:pPr>
            <w:r w:rsidRPr="006C2078">
              <w:rPr>
                <w:lang w:eastAsia="hu-HU"/>
              </w:rPr>
              <w:t>Non-specific</w:t>
            </w:r>
          </w:p>
        </w:tc>
      </w:tr>
      <w:tr w:rsidR="00AA2BE3" w:rsidRPr="006C2078" w:rsidTr="009732F6">
        <w:trPr>
          <w:jc w:val="center"/>
        </w:trPr>
        <w:tc>
          <w:tcPr>
            <w:tcW w:w="4820" w:type="dxa"/>
          </w:tcPr>
          <w:p w:rsidR="00AA2BE3" w:rsidRPr="006C2078" w:rsidRDefault="00AA2BE3" w:rsidP="00BF3C71">
            <w:pPr>
              <w:pStyle w:val="Tabletext"/>
              <w:rPr>
                <w:b/>
                <w:bCs/>
                <w:lang w:eastAsia="hu-HU"/>
              </w:rPr>
            </w:pPr>
            <w:r w:rsidRPr="006C2078">
              <w:rPr>
                <w:b/>
                <w:bCs/>
                <w:lang w:eastAsia="hu-HU"/>
              </w:rPr>
              <w:t>SRS earth station parameters</w:t>
            </w:r>
          </w:p>
        </w:tc>
        <w:tc>
          <w:tcPr>
            <w:tcW w:w="2552" w:type="dxa"/>
          </w:tcPr>
          <w:p w:rsidR="00AA2BE3" w:rsidRPr="006C2078" w:rsidRDefault="00AA2BE3" w:rsidP="006119E4">
            <w:pPr>
              <w:pStyle w:val="Tabletext"/>
              <w:jc w:val="center"/>
              <w:rPr>
                <w:b/>
                <w:bCs/>
                <w:lang w:eastAsia="hu-HU"/>
              </w:rPr>
            </w:pPr>
          </w:p>
        </w:tc>
      </w:tr>
      <w:tr w:rsidR="00AA2BE3" w:rsidRPr="006C2078" w:rsidTr="009732F6">
        <w:trPr>
          <w:jc w:val="center"/>
        </w:trPr>
        <w:tc>
          <w:tcPr>
            <w:tcW w:w="4820" w:type="dxa"/>
          </w:tcPr>
          <w:p w:rsidR="00AA2BE3" w:rsidRPr="006C2078" w:rsidRDefault="00AA2BE3" w:rsidP="009732F6">
            <w:pPr>
              <w:pStyle w:val="Tabletext"/>
              <w:rPr>
                <w:lang w:eastAsia="hu-HU"/>
              </w:rPr>
            </w:pPr>
            <w:r w:rsidRPr="006C2078">
              <w:rPr>
                <w:lang w:eastAsia="hu-HU"/>
              </w:rPr>
              <w:t xml:space="preserve">Transmitting antenna diameter </w:t>
            </w:r>
            <w:r w:rsidR="001B622A">
              <w:rPr>
                <w:lang w:eastAsia="hu-HU"/>
              </w:rPr>
              <w:t>(</w:t>
            </w:r>
            <w:r w:rsidR="0011388F">
              <w:rPr>
                <w:lang w:eastAsia="hu-HU"/>
              </w:rPr>
              <w:t>m</w:t>
            </w:r>
            <w:r w:rsidR="001B622A">
              <w:rPr>
                <w:lang w:eastAsia="hu-HU"/>
              </w:rPr>
              <w:t>)</w:t>
            </w:r>
          </w:p>
        </w:tc>
        <w:tc>
          <w:tcPr>
            <w:tcW w:w="2552" w:type="dxa"/>
          </w:tcPr>
          <w:p w:rsidR="00AA2BE3" w:rsidRPr="006C2078" w:rsidRDefault="00AA2BE3" w:rsidP="006119E4">
            <w:pPr>
              <w:pStyle w:val="Tabletext"/>
              <w:jc w:val="center"/>
              <w:rPr>
                <w:lang w:eastAsia="hu-HU"/>
              </w:rPr>
            </w:pPr>
            <w:r w:rsidRPr="006C2078">
              <w:rPr>
                <w:lang w:eastAsia="hu-HU"/>
              </w:rPr>
              <w:t>18.0</w:t>
            </w:r>
          </w:p>
        </w:tc>
      </w:tr>
      <w:tr w:rsidR="00AA2BE3" w:rsidRPr="006C2078" w:rsidTr="009732F6">
        <w:trPr>
          <w:jc w:val="center"/>
        </w:trPr>
        <w:tc>
          <w:tcPr>
            <w:tcW w:w="4820" w:type="dxa"/>
          </w:tcPr>
          <w:p w:rsidR="00AA2BE3" w:rsidRPr="006C2078" w:rsidRDefault="00AA2BE3" w:rsidP="001B622A">
            <w:pPr>
              <w:pStyle w:val="Tabletext"/>
              <w:rPr>
                <w:lang w:eastAsia="hu-HU"/>
              </w:rPr>
            </w:pPr>
            <w:r w:rsidRPr="006C2078">
              <w:rPr>
                <w:lang w:eastAsia="hu-HU"/>
              </w:rPr>
              <w:t xml:space="preserve">Transmitting antenna gain </w:t>
            </w:r>
            <w:r w:rsidR="001B622A">
              <w:rPr>
                <w:lang w:eastAsia="hu-HU"/>
              </w:rPr>
              <w:t>(</w:t>
            </w:r>
            <w:r w:rsidRPr="006C2078">
              <w:rPr>
                <w:lang w:eastAsia="hu-HU"/>
              </w:rPr>
              <w:t>dBi</w:t>
            </w:r>
            <w:r w:rsidR="001B622A">
              <w:rPr>
                <w:lang w:eastAsia="hu-HU"/>
              </w:rPr>
              <w:t>)</w:t>
            </w:r>
          </w:p>
        </w:tc>
        <w:tc>
          <w:tcPr>
            <w:tcW w:w="2552" w:type="dxa"/>
          </w:tcPr>
          <w:p w:rsidR="00AA2BE3" w:rsidRPr="006C2078" w:rsidRDefault="00AA2BE3" w:rsidP="006119E4">
            <w:pPr>
              <w:pStyle w:val="Tabletext"/>
              <w:jc w:val="center"/>
              <w:rPr>
                <w:lang w:eastAsia="hu-HU"/>
              </w:rPr>
            </w:pPr>
            <w:r w:rsidRPr="006C2078">
              <w:rPr>
                <w:lang w:eastAsia="hu-HU"/>
              </w:rPr>
              <w:t>70.4</w:t>
            </w:r>
          </w:p>
        </w:tc>
      </w:tr>
      <w:tr w:rsidR="00AA2BE3" w:rsidRPr="006C2078" w:rsidTr="009732F6">
        <w:trPr>
          <w:jc w:val="center"/>
        </w:trPr>
        <w:tc>
          <w:tcPr>
            <w:tcW w:w="4820" w:type="dxa"/>
          </w:tcPr>
          <w:p w:rsidR="00AA2BE3" w:rsidRPr="007D1EF7" w:rsidRDefault="00AA2BE3" w:rsidP="001B622A">
            <w:pPr>
              <w:pStyle w:val="Tabletext"/>
              <w:rPr>
                <w:lang w:val="en-US" w:eastAsia="hu-HU"/>
              </w:rPr>
            </w:pPr>
            <w:r w:rsidRPr="007D1EF7">
              <w:rPr>
                <w:lang w:val="en-US" w:eastAsia="hu-HU"/>
              </w:rPr>
              <w:t xml:space="preserve">Power-spectral density at antenna input </w:t>
            </w:r>
            <w:r w:rsidR="001B622A" w:rsidRPr="007D1EF7">
              <w:rPr>
                <w:lang w:val="en-US" w:eastAsia="hu-HU"/>
              </w:rPr>
              <w:t>(</w:t>
            </w:r>
            <w:r w:rsidRPr="007D1EF7">
              <w:rPr>
                <w:lang w:val="en-US" w:eastAsia="hu-HU"/>
              </w:rPr>
              <w:t>dBW/Hz</w:t>
            </w:r>
            <w:r w:rsidR="001B622A" w:rsidRPr="007D1EF7">
              <w:rPr>
                <w:lang w:val="en-US" w:eastAsia="hu-HU"/>
              </w:rPr>
              <w:t>)</w:t>
            </w:r>
          </w:p>
        </w:tc>
        <w:tc>
          <w:tcPr>
            <w:tcW w:w="2552" w:type="dxa"/>
          </w:tcPr>
          <w:p w:rsidR="00AA2BE3" w:rsidRPr="006C2078" w:rsidRDefault="00AA2BE3" w:rsidP="006119E4">
            <w:pPr>
              <w:pStyle w:val="Tabletext"/>
              <w:jc w:val="center"/>
              <w:rPr>
                <w:lang w:eastAsia="hu-HU"/>
              </w:rPr>
            </w:pPr>
            <w:r w:rsidRPr="006C2078">
              <w:rPr>
                <w:lang w:eastAsia="hu-HU"/>
              </w:rPr>
              <w:t>−59.7</w:t>
            </w:r>
          </w:p>
        </w:tc>
      </w:tr>
    </w:tbl>
    <w:p w:rsidR="00AA2BE3" w:rsidRPr="006C2078" w:rsidRDefault="00AA2BE3" w:rsidP="006119E4">
      <w:pPr>
        <w:pStyle w:val="Tablefin"/>
      </w:pPr>
    </w:p>
    <w:p w:rsidR="00AA2BE3" w:rsidRPr="007D1EF7" w:rsidRDefault="00AA2BE3" w:rsidP="00192341">
      <w:pPr>
        <w:rPr>
          <w:lang w:val="en-US"/>
        </w:rPr>
      </w:pPr>
      <w:r w:rsidRPr="007D1EF7">
        <w:rPr>
          <w:lang w:val="en-US"/>
        </w:rPr>
        <w:t xml:space="preserve">Concerning the ISS system, in all cases, the parameter values presented in Table A6-2, taken from [2], were considered. The antenna radiation pattern in Fig. 1 of main body of the report was assumed for the ISS receiving antennas. </w:t>
      </w:r>
    </w:p>
    <w:p w:rsidR="00AA2BE3" w:rsidRPr="006C2078" w:rsidRDefault="006119E4" w:rsidP="00AA2BE3">
      <w:pPr>
        <w:pStyle w:val="TableNo"/>
      </w:pPr>
      <w:r w:rsidRPr="006C2078">
        <w:t>TABLE</w:t>
      </w:r>
      <w:r w:rsidR="00AA2BE3" w:rsidRPr="006C2078">
        <w:t xml:space="preserve"> A6-2</w:t>
      </w:r>
    </w:p>
    <w:p w:rsidR="00AA2BE3" w:rsidRPr="006C2078" w:rsidRDefault="00AA2BE3" w:rsidP="00AA2BE3">
      <w:pPr>
        <w:pStyle w:val="Tabletitle"/>
      </w:pPr>
      <w:r w:rsidRPr="006C2078">
        <w:t xml:space="preserve">ISS system parameters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2552"/>
      </w:tblGrid>
      <w:tr w:rsidR="00AA2BE3" w:rsidRPr="006C2078" w:rsidTr="009732F6">
        <w:trPr>
          <w:jc w:val="center"/>
        </w:trPr>
        <w:tc>
          <w:tcPr>
            <w:tcW w:w="4820" w:type="dxa"/>
          </w:tcPr>
          <w:p w:rsidR="00AA2BE3" w:rsidRPr="006C2078" w:rsidRDefault="00AA2BE3" w:rsidP="001B622A">
            <w:pPr>
              <w:pStyle w:val="Tablehead"/>
              <w:jc w:val="left"/>
              <w:rPr>
                <w:lang w:eastAsia="hu-HU"/>
              </w:rPr>
            </w:pPr>
            <w:r w:rsidRPr="006C2078">
              <w:rPr>
                <w:lang w:eastAsia="hu-HU"/>
              </w:rPr>
              <w:t>System parameter</w:t>
            </w:r>
          </w:p>
        </w:tc>
        <w:tc>
          <w:tcPr>
            <w:tcW w:w="2552" w:type="dxa"/>
          </w:tcPr>
          <w:p w:rsidR="00AA2BE3" w:rsidRPr="006C2078" w:rsidRDefault="00AA2BE3" w:rsidP="00BF3C71">
            <w:pPr>
              <w:pStyle w:val="Tablehead"/>
              <w:rPr>
                <w:lang w:eastAsia="hu-HU"/>
              </w:rPr>
            </w:pPr>
            <w:r w:rsidRPr="006C2078">
              <w:rPr>
                <w:lang w:eastAsia="hu-HU"/>
              </w:rPr>
              <w:t>Value</w:t>
            </w:r>
          </w:p>
        </w:tc>
      </w:tr>
      <w:tr w:rsidR="00AA2BE3" w:rsidRPr="006C2078" w:rsidTr="009732F6">
        <w:trPr>
          <w:jc w:val="center"/>
        </w:trPr>
        <w:tc>
          <w:tcPr>
            <w:tcW w:w="4820" w:type="dxa"/>
          </w:tcPr>
          <w:p w:rsidR="00AA2BE3" w:rsidRPr="006C2078" w:rsidRDefault="00AA2BE3" w:rsidP="001B622A">
            <w:pPr>
              <w:pStyle w:val="Tablehead"/>
              <w:jc w:val="left"/>
              <w:rPr>
                <w:lang w:eastAsia="hu-HU"/>
              </w:rPr>
            </w:pPr>
            <w:r w:rsidRPr="006C2078">
              <w:rPr>
                <w:lang w:eastAsia="hu-HU"/>
              </w:rPr>
              <w:t>Orbital parameters</w:t>
            </w:r>
          </w:p>
        </w:tc>
        <w:tc>
          <w:tcPr>
            <w:tcW w:w="2552" w:type="dxa"/>
          </w:tcPr>
          <w:p w:rsidR="00AA2BE3" w:rsidRPr="006C2078" w:rsidRDefault="00AA2BE3" w:rsidP="00192341">
            <w:pPr>
              <w:pStyle w:val="Blanc"/>
              <w:rPr>
                <w:sz w:val="24"/>
                <w:szCs w:val="24"/>
                <w:lang w:eastAsia="hu-HU"/>
              </w:rPr>
            </w:pPr>
          </w:p>
        </w:tc>
      </w:tr>
      <w:tr w:rsidR="00AA2BE3" w:rsidRPr="006C2078" w:rsidTr="009732F6">
        <w:trPr>
          <w:jc w:val="center"/>
        </w:trPr>
        <w:tc>
          <w:tcPr>
            <w:tcW w:w="4820" w:type="dxa"/>
          </w:tcPr>
          <w:p w:rsidR="00AA2BE3" w:rsidRPr="006C2078" w:rsidRDefault="00AA2BE3" w:rsidP="00BF3C71">
            <w:pPr>
              <w:pStyle w:val="Tabletext"/>
              <w:rPr>
                <w:lang w:eastAsia="hu-HU"/>
              </w:rPr>
            </w:pPr>
            <w:r w:rsidRPr="006C2078">
              <w:rPr>
                <w:lang w:eastAsia="hu-HU"/>
              </w:rPr>
              <w:t>Number of satellite planes</w:t>
            </w:r>
          </w:p>
        </w:tc>
        <w:tc>
          <w:tcPr>
            <w:tcW w:w="2552" w:type="dxa"/>
          </w:tcPr>
          <w:p w:rsidR="00AA2BE3" w:rsidRPr="006C2078" w:rsidRDefault="00AA2BE3" w:rsidP="006119E4">
            <w:pPr>
              <w:pStyle w:val="Tabletext"/>
              <w:jc w:val="center"/>
              <w:rPr>
                <w:lang w:eastAsia="hu-HU"/>
              </w:rPr>
            </w:pPr>
            <w:r w:rsidRPr="006C2078">
              <w:rPr>
                <w:lang w:eastAsia="hu-HU"/>
              </w:rPr>
              <w:t>6</w:t>
            </w:r>
          </w:p>
        </w:tc>
      </w:tr>
      <w:tr w:rsidR="00AA2BE3" w:rsidRPr="006C2078" w:rsidTr="009732F6">
        <w:trPr>
          <w:jc w:val="center"/>
        </w:trPr>
        <w:tc>
          <w:tcPr>
            <w:tcW w:w="4820" w:type="dxa"/>
          </w:tcPr>
          <w:p w:rsidR="00AA2BE3" w:rsidRPr="007D1EF7" w:rsidRDefault="00AA2BE3" w:rsidP="00BF3C71">
            <w:pPr>
              <w:pStyle w:val="Tabletext"/>
              <w:rPr>
                <w:lang w:val="en-US" w:eastAsia="hu-HU"/>
              </w:rPr>
            </w:pPr>
            <w:r w:rsidRPr="007D1EF7">
              <w:rPr>
                <w:lang w:val="en-US" w:eastAsia="hu-HU"/>
              </w:rPr>
              <w:t>Number of satellites per plane</w:t>
            </w:r>
          </w:p>
        </w:tc>
        <w:tc>
          <w:tcPr>
            <w:tcW w:w="2552" w:type="dxa"/>
          </w:tcPr>
          <w:p w:rsidR="00AA2BE3" w:rsidRPr="006C2078" w:rsidRDefault="00AA2BE3" w:rsidP="006119E4">
            <w:pPr>
              <w:pStyle w:val="Tabletext"/>
              <w:jc w:val="center"/>
              <w:rPr>
                <w:lang w:eastAsia="hu-HU"/>
              </w:rPr>
            </w:pPr>
            <w:r w:rsidRPr="006C2078">
              <w:rPr>
                <w:lang w:eastAsia="hu-HU"/>
              </w:rPr>
              <w:t>11</w:t>
            </w:r>
          </w:p>
        </w:tc>
      </w:tr>
      <w:tr w:rsidR="00AA2BE3" w:rsidRPr="006C2078" w:rsidTr="009732F6">
        <w:trPr>
          <w:jc w:val="center"/>
        </w:trPr>
        <w:tc>
          <w:tcPr>
            <w:tcW w:w="4820" w:type="dxa"/>
          </w:tcPr>
          <w:p w:rsidR="00AA2BE3" w:rsidRPr="006C2078" w:rsidRDefault="00AA2BE3" w:rsidP="001B622A">
            <w:pPr>
              <w:pStyle w:val="Tabletext"/>
              <w:rPr>
                <w:lang w:eastAsia="hu-HU"/>
              </w:rPr>
            </w:pPr>
            <w:r w:rsidRPr="006C2078">
              <w:rPr>
                <w:lang w:eastAsia="hu-HU"/>
              </w:rPr>
              <w:t xml:space="preserve">Orbital altitude </w:t>
            </w:r>
            <w:r w:rsidR="001B622A">
              <w:rPr>
                <w:lang w:eastAsia="hu-HU"/>
              </w:rPr>
              <w:t>(</w:t>
            </w:r>
            <w:r w:rsidRPr="006C2078">
              <w:rPr>
                <w:lang w:eastAsia="hu-HU"/>
              </w:rPr>
              <w:t>km</w:t>
            </w:r>
            <w:r w:rsidR="001B622A">
              <w:rPr>
                <w:lang w:eastAsia="hu-HU"/>
              </w:rPr>
              <w:t>)</w:t>
            </w:r>
          </w:p>
        </w:tc>
        <w:tc>
          <w:tcPr>
            <w:tcW w:w="2552" w:type="dxa"/>
          </w:tcPr>
          <w:p w:rsidR="00AA2BE3" w:rsidRPr="006C2078" w:rsidRDefault="00AA2BE3" w:rsidP="006119E4">
            <w:pPr>
              <w:pStyle w:val="Tabletext"/>
              <w:jc w:val="center"/>
              <w:rPr>
                <w:lang w:eastAsia="hu-HU"/>
              </w:rPr>
            </w:pPr>
            <w:r w:rsidRPr="006C2078">
              <w:rPr>
                <w:lang w:eastAsia="hu-HU"/>
              </w:rPr>
              <w:t>780</w:t>
            </w:r>
          </w:p>
        </w:tc>
      </w:tr>
      <w:tr w:rsidR="00AA2BE3" w:rsidRPr="006C2078" w:rsidTr="009732F6">
        <w:trPr>
          <w:jc w:val="center"/>
        </w:trPr>
        <w:tc>
          <w:tcPr>
            <w:tcW w:w="4820" w:type="dxa"/>
          </w:tcPr>
          <w:p w:rsidR="00AA2BE3" w:rsidRPr="006C2078" w:rsidRDefault="00AA2BE3" w:rsidP="00BF3C71">
            <w:pPr>
              <w:pStyle w:val="Tabletext"/>
              <w:rPr>
                <w:lang w:eastAsia="hu-HU"/>
              </w:rPr>
            </w:pPr>
            <w:r w:rsidRPr="006C2078">
              <w:rPr>
                <w:lang w:eastAsia="hu-HU"/>
              </w:rPr>
              <w:t>Orbit type</w:t>
            </w:r>
          </w:p>
        </w:tc>
        <w:tc>
          <w:tcPr>
            <w:tcW w:w="2552" w:type="dxa"/>
          </w:tcPr>
          <w:p w:rsidR="00AA2BE3" w:rsidRPr="006C2078" w:rsidRDefault="00AA2BE3" w:rsidP="006119E4">
            <w:pPr>
              <w:pStyle w:val="Tabletext"/>
              <w:jc w:val="center"/>
              <w:rPr>
                <w:lang w:eastAsia="hu-HU"/>
              </w:rPr>
            </w:pPr>
            <w:r w:rsidRPr="006C2078">
              <w:rPr>
                <w:lang w:eastAsia="hu-HU"/>
              </w:rPr>
              <w:t>Circular</w:t>
            </w:r>
          </w:p>
        </w:tc>
      </w:tr>
      <w:tr w:rsidR="00AA2BE3" w:rsidRPr="006C2078" w:rsidTr="009732F6">
        <w:trPr>
          <w:jc w:val="center"/>
        </w:trPr>
        <w:tc>
          <w:tcPr>
            <w:tcW w:w="4820" w:type="dxa"/>
          </w:tcPr>
          <w:p w:rsidR="00AA2BE3" w:rsidRPr="006C2078" w:rsidRDefault="00AA2BE3" w:rsidP="001B622A">
            <w:pPr>
              <w:pStyle w:val="Tabletext"/>
              <w:rPr>
                <w:lang w:eastAsia="hu-HU"/>
              </w:rPr>
            </w:pPr>
            <w:r w:rsidRPr="006C2078">
              <w:rPr>
                <w:lang w:eastAsia="hu-HU"/>
              </w:rPr>
              <w:t xml:space="preserve">Orbital plane inclination </w:t>
            </w:r>
            <w:r w:rsidR="001B622A">
              <w:rPr>
                <w:lang w:eastAsia="hu-HU"/>
              </w:rPr>
              <w:t>(</w:t>
            </w:r>
            <w:r w:rsidRPr="006C2078">
              <w:rPr>
                <w:lang w:eastAsia="hu-HU"/>
              </w:rPr>
              <w:t>degree</w:t>
            </w:r>
            <w:r w:rsidR="009732F6">
              <w:rPr>
                <w:lang w:eastAsia="hu-HU"/>
              </w:rPr>
              <w:t>s</w:t>
            </w:r>
            <w:r w:rsidR="001B622A">
              <w:rPr>
                <w:lang w:eastAsia="hu-HU"/>
              </w:rPr>
              <w:t>)</w:t>
            </w:r>
          </w:p>
        </w:tc>
        <w:tc>
          <w:tcPr>
            <w:tcW w:w="2552" w:type="dxa"/>
          </w:tcPr>
          <w:p w:rsidR="00AA2BE3" w:rsidRPr="006C2078" w:rsidRDefault="00AA2BE3" w:rsidP="006119E4">
            <w:pPr>
              <w:pStyle w:val="Tabletext"/>
              <w:jc w:val="center"/>
              <w:rPr>
                <w:lang w:eastAsia="hu-HU"/>
              </w:rPr>
            </w:pPr>
            <w:r w:rsidRPr="006C2078">
              <w:rPr>
                <w:lang w:eastAsia="hu-HU"/>
              </w:rPr>
              <w:t>86.5</w:t>
            </w:r>
          </w:p>
        </w:tc>
      </w:tr>
      <w:tr w:rsidR="00AA2BE3" w:rsidRPr="006C2078" w:rsidTr="009732F6">
        <w:trPr>
          <w:jc w:val="center"/>
        </w:trPr>
        <w:tc>
          <w:tcPr>
            <w:tcW w:w="4820" w:type="dxa"/>
          </w:tcPr>
          <w:p w:rsidR="00AA2BE3" w:rsidRPr="006C2078" w:rsidRDefault="00AA2BE3" w:rsidP="00BF3C71">
            <w:pPr>
              <w:pStyle w:val="Tabletext"/>
              <w:rPr>
                <w:b/>
                <w:lang w:eastAsia="hu-HU"/>
              </w:rPr>
            </w:pPr>
            <w:r w:rsidRPr="006C2078">
              <w:rPr>
                <w:b/>
                <w:lang w:eastAsia="hu-HU"/>
              </w:rPr>
              <w:t>ISL earth station parameters</w:t>
            </w:r>
          </w:p>
        </w:tc>
        <w:tc>
          <w:tcPr>
            <w:tcW w:w="2552" w:type="dxa"/>
          </w:tcPr>
          <w:p w:rsidR="00AA2BE3" w:rsidRPr="006C2078" w:rsidRDefault="00AA2BE3" w:rsidP="006119E4">
            <w:pPr>
              <w:pStyle w:val="Tabletext"/>
              <w:jc w:val="center"/>
              <w:rPr>
                <w:lang w:eastAsia="hu-HU"/>
              </w:rPr>
            </w:pPr>
          </w:p>
        </w:tc>
      </w:tr>
      <w:tr w:rsidR="00AA2BE3" w:rsidRPr="006C2078" w:rsidTr="009732F6">
        <w:trPr>
          <w:jc w:val="center"/>
        </w:trPr>
        <w:tc>
          <w:tcPr>
            <w:tcW w:w="4820" w:type="dxa"/>
          </w:tcPr>
          <w:p w:rsidR="00AA2BE3" w:rsidRPr="006C2078" w:rsidRDefault="00AA2BE3" w:rsidP="001B622A">
            <w:pPr>
              <w:pStyle w:val="Tabletext"/>
              <w:rPr>
                <w:lang w:eastAsia="hu-HU"/>
              </w:rPr>
            </w:pPr>
            <w:r w:rsidRPr="006C2078">
              <w:rPr>
                <w:lang w:eastAsia="hu-HU"/>
              </w:rPr>
              <w:t xml:space="preserve">Antenna gain </w:t>
            </w:r>
            <w:r w:rsidR="001B622A">
              <w:rPr>
                <w:lang w:eastAsia="hu-HU"/>
              </w:rPr>
              <w:t>(</w:t>
            </w:r>
            <w:r w:rsidRPr="006C2078">
              <w:rPr>
                <w:lang w:eastAsia="hu-HU"/>
              </w:rPr>
              <w:t>dBi</w:t>
            </w:r>
            <w:r w:rsidR="001B622A">
              <w:rPr>
                <w:lang w:eastAsia="hu-HU"/>
              </w:rPr>
              <w:t>)</w:t>
            </w:r>
          </w:p>
        </w:tc>
        <w:tc>
          <w:tcPr>
            <w:tcW w:w="2552" w:type="dxa"/>
          </w:tcPr>
          <w:p w:rsidR="00AA2BE3" w:rsidRPr="006C2078" w:rsidRDefault="00AA2BE3" w:rsidP="006119E4">
            <w:pPr>
              <w:pStyle w:val="Tabletext"/>
              <w:jc w:val="center"/>
              <w:rPr>
                <w:lang w:eastAsia="hu-HU"/>
              </w:rPr>
            </w:pPr>
            <w:r w:rsidRPr="006C2078">
              <w:rPr>
                <w:lang w:eastAsia="hu-HU"/>
              </w:rPr>
              <w:t>36.7</w:t>
            </w:r>
          </w:p>
        </w:tc>
      </w:tr>
      <w:tr w:rsidR="00AA2BE3" w:rsidRPr="006C2078" w:rsidTr="009732F6">
        <w:trPr>
          <w:jc w:val="center"/>
        </w:trPr>
        <w:tc>
          <w:tcPr>
            <w:tcW w:w="4820" w:type="dxa"/>
          </w:tcPr>
          <w:p w:rsidR="00AA2BE3" w:rsidRPr="006C2078" w:rsidRDefault="00AA2BE3" w:rsidP="001B622A">
            <w:pPr>
              <w:pStyle w:val="Tabletext"/>
              <w:rPr>
                <w:lang w:eastAsia="hu-HU"/>
              </w:rPr>
            </w:pPr>
            <w:r w:rsidRPr="006C2078">
              <w:rPr>
                <w:lang w:eastAsia="hu-HU"/>
              </w:rPr>
              <w:t xml:space="preserve">Noise Temperature </w:t>
            </w:r>
            <w:r w:rsidR="001B622A">
              <w:rPr>
                <w:lang w:eastAsia="hu-HU"/>
              </w:rPr>
              <w:t>(</w:t>
            </w:r>
            <w:r w:rsidRPr="006C2078">
              <w:rPr>
                <w:lang w:eastAsia="hu-HU"/>
              </w:rPr>
              <w:t>K</w:t>
            </w:r>
            <w:r w:rsidR="001B622A">
              <w:rPr>
                <w:lang w:eastAsia="hu-HU"/>
              </w:rPr>
              <w:t>)</w:t>
            </w:r>
          </w:p>
        </w:tc>
        <w:tc>
          <w:tcPr>
            <w:tcW w:w="2552" w:type="dxa"/>
          </w:tcPr>
          <w:p w:rsidR="00AA2BE3" w:rsidRPr="006C2078" w:rsidRDefault="00AA2BE3" w:rsidP="006119E4">
            <w:pPr>
              <w:pStyle w:val="Tabletext"/>
              <w:jc w:val="center"/>
              <w:rPr>
                <w:lang w:eastAsia="hu-HU"/>
              </w:rPr>
            </w:pPr>
            <w:r w:rsidRPr="006C2078">
              <w:rPr>
                <w:lang w:eastAsia="hu-HU"/>
              </w:rPr>
              <w:t>877</w:t>
            </w:r>
          </w:p>
        </w:tc>
      </w:tr>
    </w:tbl>
    <w:p w:rsidR="006119E4" w:rsidRPr="00BF3546" w:rsidRDefault="006119E4" w:rsidP="00BF3546">
      <w:pPr>
        <w:pStyle w:val="Tablefin"/>
      </w:pPr>
    </w:p>
    <w:p w:rsidR="00AA2BE3" w:rsidRPr="007D1EF7" w:rsidRDefault="00AA2BE3" w:rsidP="00BF3546">
      <w:pPr>
        <w:keepLines/>
        <w:rPr>
          <w:lang w:val="en-US"/>
        </w:rPr>
      </w:pPr>
      <w:r w:rsidRPr="007D1EF7">
        <w:rPr>
          <w:lang w:val="en-US"/>
        </w:rPr>
        <w:lastRenderedPageBreak/>
        <w:t xml:space="preserve">Also, in all examined scenarios the frequency discrimination factor </w:t>
      </w:r>
      <w:r w:rsidRPr="007D1EF7">
        <w:rPr>
          <w:i/>
          <w:lang w:val="en-US"/>
        </w:rPr>
        <w:t>f</w:t>
      </w:r>
      <w:r w:rsidRPr="007D1EF7">
        <w:rPr>
          <w:i/>
          <w:szCs w:val="24"/>
          <w:vertAlign w:val="subscript"/>
          <w:lang w:val="en-US"/>
        </w:rPr>
        <w:t>d</w:t>
      </w:r>
      <w:r w:rsidRPr="007D1EF7">
        <w:rPr>
          <w:lang w:val="en-US"/>
        </w:rPr>
        <w:t xml:space="preserve"> in (1) was made equal to 1, meaning that co-channel interference was assumed. As illustrated in Fig. A6-1, it was considered that each satellite employs four inter-satellite links: two of them interconnect the satellite intra</w:t>
      </w:r>
      <w:r w:rsidRPr="007D1EF7">
        <w:rPr>
          <w:lang w:val="en-US"/>
        </w:rPr>
        <w:noBreakHyphen/>
        <w:t>plane (forward and aft) and the other two interconnect the satellite with the closest satellites in the adjacent orbital planes. These examined scenarios are described and anal</w:t>
      </w:r>
      <w:r w:rsidRPr="007D1EF7">
        <w:rPr>
          <w:iCs/>
          <w:lang w:val="en-US"/>
        </w:rPr>
        <w:t>yse</w:t>
      </w:r>
      <w:r w:rsidRPr="007D1EF7">
        <w:rPr>
          <w:lang w:val="en-US"/>
        </w:rPr>
        <w:t>d in the following sections.</w:t>
      </w:r>
    </w:p>
    <w:p w:rsidR="00AA2BE3" w:rsidRPr="007D1EF7" w:rsidRDefault="00AA2BE3" w:rsidP="00AA2BE3">
      <w:pPr>
        <w:pStyle w:val="Heading2"/>
        <w:rPr>
          <w:lang w:val="en-US"/>
        </w:rPr>
      </w:pPr>
      <w:bookmarkStart w:id="84" w:name="_Toc277668646"/>
      <w:r w:rsidRPr="007D1EF7">
        <w:rPr>
          <w:lang w:val="en-US"/>
        </w:rPr>
        <w:t>3.1</w:t>
      </w:r>
      <w:r w:rsidRPr="007D1EF7">
        <w:rPr>
          <w:lang w:val="en-US"/>
        </w:rPr>
        <w:tab/>
        <w:t>Scenario 1</w:t>
      </w:r>
      <w:bookmarkEnd w:id="84"/>
    </w:p>
    <w:p w:rsidR="00AA2BE3" w:rsidRPr="007D1EF7" w:rsidRDefault="00AA2BE3" w:rsidP="00AA2BE3">
      <w:pPr>
        <w:rPr>
          <w:lang w:val="en-US"/>
        </w:rPr>
      </w:pPr>
      <w:r w:rsidRPr="007D1EF7">
        <w:rPr>
          <w:lang w:val="en-US"/>
        </w:rPr>
        <w:t xml:space="preserve">In this scenario, three SRS transmitting earth stations are considered: one in US (32.5°N, 106.6°W), one in Spain (40.5°N, 3.75°W) and one in Australia (35.4041°S, 148.9802°E). The condition for an SRS earth station to be considered </w:t>
      </w:r>
      <w:r w:rsidRPr="007D1EF7">
        <w:rPr>
          <w:i/>
          <w:lang w:val="en-US"/>
        </w:rPr>
        <w:t>active</w:t>
      </w:r>
      <w:r w:rsidRPr="007D1EF7">
        <w:rPr>
          <w:lang w:val="en-US"/>
        </w:rPr>
        <w:t xml:space="preserve"> (transmitting) is that it sees the Moon with an elevation angle greater than or equal to zero. Simultaneously active earth stations are assumed to transmit co</w:t>
      </w:r>
      <w:r w:rsidRPr="007D1EF7">
        <w:rPr>
          <w:lang w:val="en-US"/>
        </w:rPr>
        <w:noBreakHyphen/>
        <w:t xml:space="preserve">channel and the </w:t>
      </w:r>
      <w:r w:rsidRPr="007D1EF7">
        <w:rPr>
          <w:i/>
          <w:lang w:val="en-US"/>
        </w:rPr>
        <w:t>I</w:t>
      </w:r>
      <w:r w:rsidRPr="007D1EF7">
        <w:rPr>
          <w:lang w:val="en-US"/>
        </w:rPr>
        <w:t>/</w:t>
      </w:r>
      <w:r w:rsidRPr="007D1EF7">
        <w:rPr>
          <w:i/>
          <w:lang w:val="en-US"/>
        </w:rPr>
        <w:t>N</w:t>
      </w:r>
      <w:r w:rsidRPr="007D1EF7">
        <w:rPr>
          <w:lang w:val="en-US"/>
        </w:rPr>
        <w:t xml:space="preserve"> ratio is calculated considering the aggregate interference from simultaneously active SRS earth stations.</w:t>
      </w:r>
    </w:p>
    <w:p w:rsidR="00AA2BE3" w:rsidRPr="007D1EF7" w:rsidRDefault="00AA2BE3" w:rsidP="001B622A">
      <w:pPr>
        <w:rPr>
          <w:lang w:val="en-US"/>
        </w:rPr>
      </w:pPr>
      <w:r w:rsidRPr="007D1EF7">
        <w:rPr>
          <w:lang w:val="en-US"/>
        </w:rPr>
        <w:t xml:space="preserve">In applying (16), two different probability density functions were considered for the random variable </w:t>
      </w:r>
      <w:r w:rsidRPr="006C2078">
        <w:rPr>
          <w:szCs w:val="24"/>
        </w:rPr>
        <w:sym w:font="Symbol" w:char="F064"/>
      </w:r>
      <w:r w:rsidRPr="007D1EF7">
        <w:rPr>
          <w:lang w:val="en-US"/>
        </w:rPr>
        <w:t>. They are illustrated in Fig. A6- 2 and their analytical expressions are given by</w:t>
      </w:r>
      <w:r w:rsidR="001B622A" w:rsidRPr="007D1EF7">
        <w:rPr>
          <w:lang w:val="en-US"/>
        </w:rPr>
        <w:t>:</w:t>
      </w:r>
    </w:p>
    <w:p w:rsidR="00A47FF8" w:rsidRDefault="00A47FF8" w:rsidP="00A47FF8">
      <w:pPr>
        <w:pStyle w:val="Blanc"/>
        <w:rPr>
          <w:rFonts w:eastAsia="SimSun"/>
        </w:rPr>
      </w:pPr>
    </w:p>
    <w:p w:rsidR="001B622A" w:rsidRPr="007D1EF7" w:rsidRDefault="001B622A" w:rsidP="001B622A">
      <w:pPr>
        <w:pStyle w:val="Equation"/>
        <w:rPr>
          <w:lang w:val="en-US"/>
        </w:rPr>
      </w:pPr>
      <w:r w:rsidRPr="007D1EF7">
        <w:rPr>
          <w:rFonts w:eastAsia="SimSun"/>
          <w:lang w:val="en-US"/>
        </w:rPr>
        <w:tab/>
      </w:r>
      <w:r w:rsidRPr="007D1EF7">
        <w:rPr>
          <w:rFonts w:eastAsia="SimSun"/>
          <w:lang w:val="en-US"/>
        </w:rPr>
        <w:tab/>
      </w:r>
      <w:r w:rsidRPr="001B622A">
        <w:rPr>
          <w:rFonts w:eastAsia="SimSun"/>
          <w:position w:val="-40"/>
        </w:rPr>
        <w:object w:dxaOrig="3820" w:dyaOrig="920">
          <v:shape id="_x0000_i1049" type="#_x0000_t75" style="width:187.8pt;height:45pt" o:ole="">
            <v:imagedata r:id="rId87" o:title=""/>
          </v:shape>
          <o:OLEObject Type="Embed" ProgID="Equation.3" ShapeID="_x0000_i1049" DrawAspect="Content" ObjectID="_1355747856" r:id="rId88"/>
        </w:object>
      </w:r>
      <w:r w:rsidRPr="007D1EF7">
        <w:rPr>
          <w:rFonts w:eastAsia="SimSun"/>
          <w:lang w:val="en-US"/>
        </w:rPr>
        <w:tab/>
      </w:r>
      <w:r w:rsidRPr="007D1EF7">
        <w:rPr>
          <w:szCs w:val="24"/>
          <w:lang w:val="en-US"/>
        </w:rPr>
        <w:t>(24)</w:t>
      </w:r>
    </w:p>
    <w:p w:rsidR="00A47FF8" w:rsidRDefault="00A47FF8" w:rsidP="00A47FF8">
      <w:pPr>
        <w:pStyle w:val="Blanc"/>
        <w:rPr>
          <w:rFonts w:eastAsia="SimSun"/>
        </w:rPr>
      </w:pPr>
    </w:p>
    <w:p w:rsidR="00AA2BE3" w:rsidRPr="007D1EF7" w:rsidRDefault="00AA2BE3" w:rsidP="00192341">
      <w:pPr>
        <w:rPr>
          <w:lang w:val="en-US"/>
        </w:rPr>
      </w:pPr>
      <w:r w:rsidRPr="007D1EF7">
        <w:rPr>
          <w:lang w:val="en-US"/>
        </w:rPr>
        <w:t>and</w:t>
      </w:r>
    </w:p>
    <w:p w:rsidR="00A47FF8" w:rsidRDefault="00A47FF8" w:rsidP="00A47FF8">
      <w:pPr>
        <w:pStyle w:val="Blanc"/>
        <w:rPr>
          <w:rFonts w:eastAsia="SimSun"/>
        </w:rPr>
      </w:pPr>
    </w:p>
    <w:p w:rsidR="001B622A" w:rsidRPr="007D1EF7" w:rsidRDefault="001B622A" w:rsidP="001B622A">
      <w:pPr>
        <w:pStyle w:val="Equation"/>
        <w:rPr>
          <w:lang w:val="en-US"/>
        </w:rPr>
      </w:pPr>
      <w:r w:rsidRPr="007D1EF7">
        <w:rPr>
          <w:rFonts w:eastAsia="SimSun"/>
          <w:lang w:val="en-US"/>
        </w:rPr>
        <w:tab/>
      </w:r>
      <w:r w:rsidRPr="007D1EF7">
        <w:rPr>
          <w:rFonts w:eastAsia="SimSun"/>
          <w:lang w:val="en-US"/>
        </w:rPr>
        <w:tab/>
      </w:r>
      <w:r w:rsidRPr="001B622A">
        <w:rPr>
          <w:rFonts w:eastAsia="SimSun"/>
          <w:position w:val="-48"/>
        </w:rPr>
        <w:object w:dxaOrig="5760" w:dyaOrig="1080">
          <v:shape id="_x0000_i1050" type="#_x0000_t75" style="width:4in;height:54.6pt" o:ole="">
            <v:imagedata r:id="rId89" o:title=""/>
          </v:shape>
          <o:OLEObject Type="Embed" ProgID="Equation.3" ShapeID="_x0000_i1050" DrawAspect="Content" ObjectID="_1355747857" r:id="rId90"/>
        </w:object>
      </w:r>
      <w:r w:rsidRPr="007D1EF7">
        <w:rPr>
          <w:rFonts w:eastAsia="SimSun"/>
          <w:lang w:val="en-US"/>
        </w:rPr>
        <w:tab/>
      </w:r>
      <w:r w:rsidRPr="007D1EF7">
        <w:rPr>
          <w:szCs w:val="24"/>
          <w:lang w:val="en-US"/>
        </w:rPr>
        <w:t>(25)</w:t>
      </w:r>
    </w:p>
    <w:p w:rsidR="00A47FF8" w:rsidRDefault="00A47FF8" w:rsidP="00A47FF8">
      <w:pPr>
        <w:pStyle w:val="Blanc"/>
        <w:rPr>
          <w:rFonts w:eastAsia="SimSun"/>
        </w:rPr>
      </w:pPr>
    </w:p>
    <w:p w:rsidR="00AA2BE3" w:rsidRPr="007D1EF7" w:rsidRDefault="00AA2BE3" w:rsidP="00AA2BE3">
      <w:pPr>
        <w:rPr>
          <w:lang w:val="en-US"/>
        </w:rPr>
      </w:pPr>
      <w:r w:rsidRPr="007D1EF7">
        <w:rPr>
          <w:lang w:val="en-US"/>
        </w:rPr>
        <w:t>The resulting cumulative distribution functions are shown in Fig. A6- 3 for the four ISS receiving antennas.</w:t>
      </w:r>
    </w:p>
    <w:p w:rsidR="00A47FF8" w:rsidRPr="007D1EF7" w:rsidRDefault="00A47FF8" w:rsidP="00AA2BE3">
      <w:pPr>
        <w:rPr>
          <w:lang w:val="en-US"/>
        </w:rPr>
      </w:pPr>
    </w:p>
    <w:p w:rsidR="00AA2BE3" w:rsidRPr="007D1EF7" w:rsidRDefault="00AA2BE3" w:rsidP="00192341">
      <w:pPr>
        <w:pStyle w:val="FigureNo"/>
        <w:rPr>
          <w:lang w:val="en-US"/>
        </w:rPr>
      </w:pPr>
      <w:r w:rsidRPr="007D1EF7">
        <w:rPr>
          <w:lang w:val="en-US"/>
        </w:rPr>
        <w:t xml:space="preserve">Figure A6-2 </w:t>
      </w:r>
    </w:p>
    <w:p w:rsidR="00AA2BE3" w:rsidRPr="007D1EF7" w:rsidRDefault="00AA2BE3" w:rsidP="00AA2BE3">
      <w:pPr>
        <w:pStyle w:val="Figuretitle"/>
        <w:rPr>
          <w:szCs w:val="24"/>
          <w:lang w:val="en-US"/>
        </w:rPr>
      </w:pPr>
      <w:r w:rsidRPr="007D1EF7">
        <w:rPr>
          <w:szCs w:val="24"/>
          <w:lang w:val="en-US"/>
        </w:rPr>
        <w:t>Example of probability density functions that may be used to model the statistical behaviour</w:t>
      </w:r>
      <w:r w:rsidRPr="007D1EF7">
        <w:rPr>
          <w:szCs w:val="24"/>
          <w:lang w:val="en-US"/>
        </w:rPr>
        <w:br/>
        <w:t>of the Moon orbital plane inclination</w:t>
      </w:r>
    </w:p>
    <w:p w:rsidR="00AA2BE3" w:rsidRPr="006C2078" w:rsidRDefault="00AA2BE3" w:rsidP="006119E4">
      <w:pPr>
        <w:pStyle w:val="Figure"/>
      </w:pPr>
      <w:r>
        <w:rPr>
          <w:noProof/>
          <w:lang w:val="en-US" w:eastAsia="zh-CN"/>
        </w:rPr>
        <w:drawing>
          <wp:inline distT="0" distB="0" distL="0" distR="0">
            <wp:extent cx="5495925" cy="1971675"/>
            <wp:effectExtent l="0" t="0" r="0" b="0"/>
            <wp:docPr id="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cstate="print"/>
                    <a:srcRect/>
                    <a:stretch>
                      <a:fillRect/>
                    </a:stretch>
                  </pic:blipFill>
                  <pic:spPr bwMode="auto">
                    <a:xfrm>
                      <a:off x="0" y="0"/>
                      <a:ext cx="5495925" cy="1971675"/>
                    </a:xfrm>
                    <a:prstGeom prst="rect">
                      <a:avLst/>
                    </a:prstGeom>
                    <a:noFill/>
                  </pic:spPr>
                </pic:pic>
              </a:graphicData>
            </a:graphic>
          </wp:inline>
        </w:drawing>
      </w:r>
    </w:p>
    <w:p w:rsidR="00AA2BE3" w:rsidRPr="007D1EF7" w:rsidRDefault="00AA2BE3" w:rsidP="00AA2BE3">
      <w:pPr>
        <w:pStyle w:val="FigureNo"/>
        <w:rPr>
          <w:lang w:val="en-US"/>
        </w:rPr>
      </w:pPr>
      <w:r w:rsidRPr="007D1EF7">
        <w:rPr>
          <w:lang w:val="en-US"/>
        </w:rPr>
        <w:lastRenderedPageBreak/>
        <w:t xml:space="preserve">Figure A6-3 </w:t>
      </w:r>
    </w:p>
    <w:p w:rsidR="00AA2BE3" w:rsidRPr="007D1EF7" w:rsidRDefault="00AA2BE3" w:rsidP="00AA2BE3">
      <w:pPr>
        <w:pStyle w:val="Figuretitle"/>
        <w:rPr>
          <w:szCs w:val="24"/>
          <w:lang w:val="en-US"/>
        </w:rPr>
      </w:pPr>
      <w:r w:rsidRPr="007D1EF7">
        <w:rPr>
          <w:szCs w:val="24"/>
          <w:lang w:val="en-US"/>
        </w:rPr>
        <w:t xml:space="preserve">Cumulative distribution functions of the ratio </w:t>
      </w:r>
      <w:r w:rsidRPr="007D1EF7">
        <w:rPr>
          <w:b w:val="0"/>
          <w:i/>
          <w:szCs w:val="24"/>
          <w:lang w:val="en-US"/>
        </w:rPr>
        <w:t>I</w:t>
      </w:r>
      <w:r w:rsidR="001B622A" w:rsidRPr="007D1EF7">
        <w:rPr>
          <w:rFonts w:ascii="Times New Roman"/>
          <w:b w:val="0"/>
          <w:i/>
          <w:sz w:val="8"/>
          <w:szCs w:val="24"/>
          <w:lang w:val="en-US"/>
        </w:rPr>
        <w:t> </w:t>
      </w:r>
      <w:r w:rsidRPr="007D1EF7">
        <w:rPr>
          <w:szCs w:val="24"/>
          <w:lang w:val="en-US"/>
        </w:rPr>
        <w:t>/</w:t>
      </w:r>
      <w:r w:rsidRPr="007D1EF7">
        <w:rPr>
          <w:b w:val="0"/>
          <w:i/>
          <w:szCs w:val="24"/>
          <w:lang w:val="en-US"/>
        </w:rPr>
        <w:t>N</w:t>
      </w:r>
      <w:r w:rsidRPr="007D1EF7">
        <w:rPr>
          <w:szCs w:val="24"/>
          <w:lang w:val="en-US"/>
        </w:rPr>
        <w:t xml:space="preserve"> (Scenario 1)</w:t>
      </w:r>
    </w:p>
    <w:p w:rsidR="00AA2BE3" w:rsidRPr="006C2078" w:rsidRDefault="00AA2BE3" w:rsidP="006119E4">
      <w:pPr>
        <w:pStyle w:val="Figure"/>
      </w:pPr>
      <w:r>
        <w:rPr>
          <w:noProof/>
          <w:lang w:val="en-US" w:eastAsia="zh-CN"/>
        </w:rPr>
        <w:drawing>
          <wp:inline distT="0" distB="0" distL="0" distR="0">
            <wp:extent cx="5995035" cy="4770755"/>
            <wp:effectExtent l="19050" t="0" r="5715" b="0"/>
            <wp:docPr id="61"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 cstate="print"/>
                    <a:srcRect/>
                    <a:stretch>
                      <a:fillRect/>
                    </a:stretch>
                  </pic:blipFill>
                  <pic:spPr bwMode="auto">
                    <a:xfrm>
                      <a:off x="0" y="0"/>
                      <a:ext cx="5995035" cy="4770755"/>
                    </a:xfrm>
                    <a:prstGeom prst="rect">
                      <a:avLst/>
                    </a:prstGeom>
                    <a:noFill/>
                    <a:ln w="9525">
                      <a:noFill/>
                      <a:miter lim="800000"/>
                      <a:headEnd/>
                      <a:tailEnd/>
                    </a:ln>
                  </pic:spPr>
                </pic:pic>
              </a:graphicData>
            </a:graphic>
          </wp:inline>
        </w:drawing>
      </w:r>
    </w:p>
    <w:p w:rsidR="00A47FF8" w:rsidRDefault="00A47FF8" w:rsidP="00AA2BE3"/>
    <w:p w:rsidR="00AA2BE3" w:rsidRPr="007D1EF7" w:rsidRDefault="00AA2BE3" w:rsidP="00AA2BE3">
      <w:pPr>
        <w:rPr>
          <w:lang w:val="en-US"/>
        </w:rPr>
      </w:pPr>
      <w:r w:rsidRPr="007D1EF7">
        <w:rPr>
          <w:lang w:val="en-US"/>
        </w:rPr>
        <w:t xml:space="preserve">As mentioned before, another important characterization of the statistical behaviour of the ration </w:t>
      </w:r>
      <w:r w:rsidRPr="007D1EF7">
        <w:rPr>
          <w:i/>
          <w:lang w:val="en-US"/>
        </w:rPr>
        <w:t>I</w:t>
      </w:r>
      <w:r w:rsidRPr="007D1EF7">
        <w:rPr>
          <w:lang w:val="en-US"/>
        </w:rPr>
        <w:t>/</w:t>
      </w:r>
      <w:r w:rsidRPr="007D1EF7">
        <w:rPr>
          <w:i/>
          <w:lang w:val="en-US"/>
        </w:rPr>
        <w:t>N</w:t>
      </w:r>
      <w:r w:rsidRPr="007D1EF7">
        <w:rPr>
          <w:lang w:val="en-US"/>
        </w:rPr>
        <w:t xml:space="preserve"> is the conditional cumulative distribution function under the assumption that the victim satellite is receiving interference which is given by (17). In applying (17), the two probability density functions in (24) and (25) were used. The resulting Conditional CDFs are shown in Fig. A6-4 for the four ISS receiving antennas.</w:t>
      </w:r>
    </w:p>
    <w:p w:rsidR="00AA2BE3" w:rsidRPr="007D1EF7" w:rsidRDefault="00AA2BE3" w:rsidP="00AA2BE3">
      <w:pPr>
        <w:pStyle w:val="FigureNo"/>
        <w:rPr>
          <w:lang w:val="en-US"/>
        </w:rPr>
      </w:pPr>
      <w:r w:rsidRPr="007D1EF7">
        <w:rPr>
          <w:lang w:val="en-US"/>
        </w:rPr>
        <w:lastRenderedPageBreak/>
        <w:t xml:space="preserve">Figure A6-4 </w:t>
      </w:r>
    </w:p>
    <w:p w:rsidR="00AA2BE3" w:rsidRPr="007D1EF7" w:rsidRDefault="00AA2BE3" w:rsidP="00AA2BE3">
      <w:pPr>
        <w:pStyle w:val="Figuretitle"/>
        <w:rPr>
          <w:lang w:val="en-US"/>
        </w:rPr>
      </w:pPr>
      <w:r w:rsidRPr="007D1EF7">
        <w:rPr>
          <w:szCs w:val="24"/>
          <w:lang w:val="en-US"/>
        </w:rPr>
        <w:t xml:space="preserve">Conditional cumulative distribution functions of the ratio </w:t>
      </w:r>
      <w:r w:rsidRPr="007D1EF7">
        <w:rPr>
          <w:b w:val="0"/>
          <w:i/>
          <w:szCs w:val="24"/>
          <w:lang w:val="en-US"/>
        </w:rPr>
        <w:t>I</w:t>
      </w:r>
      <w:r w:rsidR="001B622A" w:rsidRPr="007D1EF7">
        <w:rPr>
          <w:rFonts w:ascii="Times New Roman"/>
          <w:b w:val="0"/>
          <w:i/>
          <w:sz w:val="8"/>
          <w:szCs w:val="24"/>
          <w:lang w:val="en-US"/>
        </w:rPr>
        <w:t> </w:t>
      </w:r>
      <w:r w:rsidRPr="007D1EF7">
        <w:rPr>
          <w:szCs w:val="24"/>
          <w:lang w:val="en-US"/>
        </w:rPr>
        <w:t>/</w:t>
      </w:r>
      <w:r w:rsidRPr="007D1EF7">
        <w:rPr>
          <w:b w:val="0"/>
          <w:i/>
          <w:szCs w:val="24"/>
          <w:lang w:val="en-US"/>
        </w:rPr>
        <w:t>N</w:t>
      </w:r>
      <w:r w:rsidRPr="007D1EF7">
        <w:rPr>
          <w:szCs w:val="24"/>
          <w:lang w:val="en-US"/>
        </w:rPr>
        <w:t xml:space="preserve"> given that the victim satellite</w:t>
      </w:r>
      <w:r w:rsidRPr="007D1EF7">
        <w:rPr>
          <w:szCs w:val="24"/>
          <w:lang w:val="en-US"/>
        </w:rPr>
        <w:br/>
        <w:t>is receiving interference (Scenario 1)</w:t>
      </w:r>
    </w:p>
    <w:p w:rsidR="00AA2BE3" w:rsidRPr="006C2078" w:rsidRDefault="00AA2BE3" w:rsidP="006119E4">
      <w:pPr>
        <w:pStyle w:val="Figure"/>
      </w:pPr>
      <w:r>
        <w:rPr>
          <w:noProof/>
          <w:lang w:val="en-US" w:eastAsia="zh-CN"/>
        </w:rPr>
        <w:drawing>
          <wp:inline distT="0" distB="0" distL="0" distR="0">
            <wp:extent cx="5995035" cy="4770755"/>
            <wp:effectExtent l="19050" t="0" r="5715" b="0"/>
            <wp:docPr id="6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2" cstate="print"/>
                    <a:srcRect/>
                    <a:stretch>
                      <a:fillRect/>
                    </a:stretch>
                  </pic:blipFill>
                  <pic:spPr bwMode="auto">
                    <a:xfrm>
                      <a:off x="0" y="0"/>
                      <a:ext cx="5995035" cy="4770755"/>
                    </a:xfrm>
                    <a:prstGeom prst="rect">
                      <a:avLst/>
                    </a:prstGeom>
                    <a:noFill/>
                    <a:ln w="9525">
                      <a:noFill/>
                      <a:miter lim="800000"/>
                      <a:headEnd/>
                      <a:tailEnd/>
                    </a:ln>
                  </pic:spPr>
                </pic:pic>
              </a:graphicData>
            </a:graphic>
          </wp:inline>
        </w:drawing>
      </w:r>
    </w:p>
    <w:p w:rsidR="00A47FF8" w:rsidRDefault="00A47FF8" w:rsidP="00A47FF8"/>
    <w:p w:rsidR="00AA2BE3" w:rsidRPr="007D1EF7" w:rsidRDefault="00AA2BE3" w:rsidP="001B622A">
      <w:pPr>
        <w:pStyle w:val="Heading2"/>
        <w:rPr>
          <w:lang w:val="en-US"/>
        </w:rPr>
      </w:pPr>
      <w:bookmarkStart w:id="85" w:name="_Toc277668647"/>
      <w:r w:rsidRPr="007D1EF7">
        <w:rPr>
          <w:lang w:val="en-US"/>
        </w:rPr>
        <w:t xml:space="preserve">3.2 </w:t>
      </w:r>
      <w:r w:rsidRPr="007D1EF7">
        <w:rPr>
          <w:lang w:val="en-US"/>
        </w:rPr>
        <w:tab/>
        <w:t>Scenario 2</w:t>
      </w:r>
      <w:bookmarkEnd w:id="85"/>
    </w:p>
    <w:p w:rsidR="00AA2BE3" w:rsidRPr="007D1EF7" w:rsidRDefault="00AA2BE3" w:rsidP="00AA2BE3">
      <w:pPr>
        <w:rPr>
          <w:lang w:val="en-US"/>
        </w:rPr>
      </w:pPr>
      <w:r w:rsidRPr="007D1EF7">
        <w:rPr>
          <w:lang w:val="en-US"/>
        </w:rPr>
        <w:t>Here, the same three SRS transmitting earth stations as those in Scenario 1 are considered: one in US (32.5°N, 106.6°W), one in Spain (40.5°N, 3.75°W) and one in Australia (35.4041°S, 148.9802°E). In this second scenario, it is assumed that when multiple SRS earth stations see the Moon with an elevation angle greater than or equal to zero, only one of them is considered active (transmitting): the one having the largest elevation angle. We believe that this is assumption is closer to the real system implementation than that in the first scenario.</w:t>
      </w:r>
    </w:p>
    <w:p w:rsidR="00AA2BE3" w:rsidRPr="007D1EF7" w:rsidRDefault="00AA2BE3" w:rsidP="00AA2BE3">
      <w:pPr>
        <w:rPr>
          <w:lang w:val="en-US"/>
        </w:rPr>
      </w:pPr>
      <w:r w:rsidRPr="007D1EF7">
        <w:rPr>
          <w:lang w:val="en-US"/>
        </w:rPr>
        <w:t>The resulting cumulative distribution functions are shown in Fig. A6-5 for the four ISS receiving antennas. Note that, as expected, in the region corresponding to long term interference the cumulative distribution functions in Fig. A6-5 are a little bit below those in Fig. A6-3. Indeed, in this second scenario the probability of having no interference (</w:t>
      </w:r>
      <w:r w:rsidRPr="007D1EF7">
        <w:rPr>
          <w:i/>
          <w:lang w:val="en-US"/>
        </w:rPr>
        <w:t xml:space="preserve">i </w:t>
      </w:r>
      <w:r w:rsidRPr="007D1EF7">
        <w:rPr>
          <w:lang w:val="en-US"/>
        </w:rPr>
        <w:t>= 0) is a little higher than in Scenario 1.</w:t>
      </w:r>
    </w:p>
    <w:p w:rsidR="00AA2BE3" w:rsidRPr="007D1EF7" w:rsidRDefault="00AA2BE3" w:rsidP="00AA2BE3">
      <w:pPr>
        <w:pStyle w:val="FigureNo"/>
        <w:rPr>
          <w:lang w:val="en-US"/>
        </w:rPr>
      </w:pPr>
      <w:r w:rsidRPr="007D1EF7">
        <w:rPr>
          <w:lang w:val="en-US"/>
        </w:rPr>
        <w:lastRenderedPageBreak/>
        <w:t xml:space="preserve">Figure A6-5 </w:t>
      </w:r>
    </w:p>
    <w:p w:rsidR="00AA2BE3" w:rsidRPr="007D1EF7" w:rsidRDefault="00AA2BE3" w:rsidP="00AA2BE3">
      <w:pPr>
        <w:pStyle w:val="Figuretitle"/>
        <w:rPr>
          <w:szCs w:val="24"/>
          <w:lang w:val="en-US"/>
        </w:rPr>
      </w:pPr>
      <w:r w:rsidRPr="007D1EF7">
        <w:rPr>
          <w:szCs w:val="24"/>
          <w:lang w:val="en-US"/>
        </w:rPr>
        <w:t xml:space="preserve">Cumulative distribution functions of the ratio </w:t>
      </w:r>
      <w:r w:rsidRPr="007D1EF7">
        <w:rPr>
          <w:b w:val="0"/>
          <w:i/>
          <w:szCs w:val="24"/>
          <w:lang w:val="en-US"/>
        </w:rPr>
        <w:t>I</w:t>
      </w:r>
      <w:r w:rsidR="001B622A" w:rsidRPr="007D1EF7">
        <w:rPr>
          <w:rFonts w:ascii="Times New Roman"/>
          <w:b w:val="0"/>
          <w:i/>
          <w:sz w:val="8"/>
          <w:szCs w:val="24"/>
          <w:lang w:val="en-US"/>
        </w:rPr>
        <w:t> </w:t>
      </w:r>
      <w:r w:rsidRPr="007D1EF7">
        <w:rPr>
          <w:szCs w:val="24"/>
          <w:lang w:val="en-US"/>
        </w:rPr>
        <w:t>/</w:t>
      </w:r>
      <w:r w:rsidRPr="007D1EF7">
        <w:rPr>
          <w:b w:val="0"/>
          <w:i/>
          <w:szCs w:val="24"/>
          <w:lang w:val="en-US"/>
        </w:rPr>
        <w:t>N</w:t>
      </w:r>
      <w:r w:rsidRPr="007D1EF7">
        <w:rPr>
          <w:szCs w:val="24"/>
          <w:lang w:val="en-US"/>
        </w:rPr>
        <w:t xml:space="preserve"> (Scenario 2)</w:t>
      </w:r>
    </w:p>
    <w:p w:rsidR="00AA2BE3" w:rsidRPr="006C2078" w:rsidRDefault="00AA2BE3" w:rsidP="006119E4">
      <w:pPr>
        <w:pStyle w:val="Figure"/>
      </w:pPr>
      <w:r>
        <w:rPr>
          <w:noProof/>
          <w:lang w:val="en-US" w:eastAsia="zh-CN"/>
        </w:rPr>
        <w:drawing>
          <wp:inline distT="0" distB="0" distL="0" distR="0">
            <wp:extent cx="5995035" cy="4770755"/>
            <wp:effectExtent l="19050" t="0" r="5715" b="0"/>
            <wp:docPr id="63"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3" cstate="print"/>
                    <a:srcRect/>
                    <a:stretch>
                      <a:fillRect/>
                    </a:stretch>
                  </pic:blipFill>
                  <pic:spPr bwMode="auto">
                    <a:xfrm>
                      <a:off x="0" y="0"/>
                      <a:ext cx="5995035" cy="4770755"/>
                    </a:xfrm>
                    <a:prstGeom prst="rect">
                      <a:avLst/>
                    </a:prstGeom>
                    <a:noFill/>
                    <a:ln w="9525">
                      <a:noFill/>
                      <a:miter lim="800000"/>
                      <a:headEnd/>
                      <a:tailEnd/>
                    </a:ln>
                  </pic:spPr>
                </pic:pic>
              </a:graphicData>
            </a:graphic>
          </wp:inline>
        </w:drawing>
      </w:r>
    </w:p>
    <w:p w:rsidR="00A47FF8" w:rsidRDefault="00A47FF8" w:rsidP="00AA2BE3"/>
    <w:p w:rsidR="00AA2BE3" w:rsidRPr="007D1EF7" w:rsidRDefault="00AA2BE3" w:rsidP="00AA2BE3">
      <w:pPr>
        <w:rPr>
          <w:lang w:val="en-US"/>
        </w:rPr>
      </w:pPr>
      <w:r w:rsidRPr="007D1EF7">
        <w:rPr>
          <w:lang w:val="en-US"/>
        </w:rPr>
        <w:t>In this second scenario, the conditional cumulative distribution functions under the assumption that the victim satellite is receiving interference are also calculated for the four ISS receiving antennas and are shown in Fig. A6-6.</w:t>
      </w:r>
    </w:p>
    <w:p w:rsidR="00AA2BE3" w:rsidRPr="007D1EF7" w:rsidRDefault="00AA2BE3" w:rsidP="00AA2BE3">
      <w:pPr>
        <w:pStyle w:val="FigureNo"/>
        <w:rPr>
          <w:lang w:val="en-US"/>
        </w:rPr>
      </w:pPr>
      <w:r w:rsidRPr="007D1EF7">
        <w:rPr>
          <w:lang w:val="en-US"/>
        </w:rPr>
        <w:lastRenderedPageBreak/>
        <w:t>Figure A6-6</w:t>
      </w:r>
    </w:p>
    <w:p w:rsidR="00AA2BE3" w:rsidRPr="007D1EF7" w:rsidRDefault="00AA2BE3" w:rsidP="00AA2BE3">
      <w:pPr>
        <w:pStyle w:val="Figuretitle"/>
        <w:rPr>
          <w:szCs w:val="24"/>
          <w:lang w:val="en-US"/>
        </w:rPr>
      </w:pPr>
      <w:r w:rsidRPr="007D1EF7">
        <w:rPr>
          <w:szCs w:val="24"/>
          <w:lang w:val="en-US"/>
        </w:rPr>
        <w:t xml:space="preserve">Conditional cumulative distribution functions of the ratio </w:t>
      </w:r>
      <w:r w:rsidRPr="007D1EF7">
        <w:rPr>
          <w:b w:val="0"/>
          <w:i/>
          <w:szCs w:val="24"/>
          <w:lang w:val="en-US"/>
        </w:rPr>
        <w:t>I</w:t>
      </w:r>
      <w:r w:rsidR="001B622A" w:rsidRPr="007D1EF7">
        <w:rPr>
          <w:rFonts w:ascii="Times New Roman"/>
          <w:b w:val="0"/>
          <w:i/>
          <w:sz w:val="8"/>
          <w:szCs w:val="24"/>
          <w:lang w:val="en-US"/>
        </w:rPr>
        <w:t> </w:t>
      </w:r>
      <w:r w:rsidRPr="007D1EF7">
        <w:rPr>
          <w:szCs w:val="24"/>
          <w:lang w:val="en-US"/>
        </w:rPr>
        <w:t>/</w:t>
      </w:r>
      <w:r w:rsidRPr="007D1EF7">
        <w:rPr>
          <w:b w:val="0"/>
          <w:i/>
          <w:szCs w:val="24"/>
          <w:lang w:val="en-US"/>
        </w:rPr>
        <w:t>N</w:t>
      </w:r>
      <w:r w:rsidRPr="007D1EF7">
        <w:rPr>
          <w:szCs w:val="24"/>
          <w:lang w:val="en-US"/>
        </w:rPr>
        <w:t xml:space="preserve"> given that the victim satellite</w:t>
      </w:r>
      <w:r w:rsidRPr="007D1EF7">
        <w:rPr>
          <w:szCs w:val="24"/>
          <w:lang w:val="en-US"/>
        </w:rPr>
        <w:br/>
        <w:t>is receiving interference (Scenario 2)</w:t>
      </w:r>
    </w:p>
    <w:p w:rsidR="00AA2BE3" w:rsidRPr="006C2078" w:rsidRDefault="00AA2BE3" w:rsidP="006119E4">
      <w:pPr>
        <w:pStyle w:val="Figure"/>
      </w:pPr>
      <w:r>
        <w:rPr>
          <w:noProof/>
          <w:lang w:val="en-US" w:eastAsia="zh-CN"/>
        </w:rPr>
        <w:drawing>
          <wp:inline distT="0" distB="0" distL="0" distR="0">
            <wp:extent cx="5995035" cy="4770755"/>
            <wp:effectExtent l="19050" t="0" r="5715" b="0"/>
            <wp:docPr id="64"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4" cstate="print"/>
                    <a:srcRect/>
                    <a:stretch>
                      <a:fillRect/>
                    </a:stretch>
                  </pic:blipFill>
                  <pic:spPr bwMode="auto">
                    <a:xfrm>
                      <a:off x="0" y="0"/>
                      <a:ext cx="5995035" cy="4770755"/>
                    </a:xfrm>
                    <a:prstGeom prst="rect">
                      <a:avLst/>
                    </a:prstGeom>
                    <a:noFill/>
                    <a:ln w="9525">
                      <a:noFill/>
                      <a:miter lim="800000"/>
                      <a:headEnd/>
                      <a:tailEnd/>
                    </a:ln>
                  </pic:spPr>
                </pic:pic>
              </a:graphicData>
            </a:graphic>
          </wp:inline>
        </w:drawing>
      </w:r>
    </w:p>
    <w:p w:rsidR="00A47FF8" w:rsidRDefault="00A47FF8" w:rsidP="00A47FF8"/>
    <w:p w:rsidR="00AA2BE3" w:rsidRPr="007D1EF7" w:rsidRDefault="00AA2BE3" w:rsidP="001B622A">
      <w:pPr>
        <w:pStyle w:val="Heading2"/>
        <w:rPr>
          <w:lang w:val="en-US"/>
        </w:rPr>
      </w:pPr>
      <w:bookmarkStart w:id="86" w:name="_Toc277668648"/>
      <w:r w:rsidRPr="007D1EF7">
        <w:rPr>
          <w:lang w:val="en-US"/>
        </w:rPr>
        <w:t xml:space="preserve">3.3 </w:t>
      </w:r>
      <w:r w:rsidRPr="007D1EF7">
        <w:rPr>
          <w:lang w:val="en-US"/>
        </w:rPr>
        <w:tab/>
        <w:t>Scenario 3</w:t>
      </w:r>
      <w:bookmarkEnd w:id="86"/>
    </w:p>
    <w:p w:rsidR="00AA2BE3" w:rsidRPr="007D1EF7" w:rsidRDefault="00AA2BE3" w:rsidP="00AA2BE3">
      <w:pPr>
        <w:rPr>
          <w:lang w:val="en-US"/>
        </w:rPr>
      </w:pPr>
      <w:r w:rsidRPr="007D1EF7">
        <w:rPr>
          <w:lang w:val="en-US"/>
        </w:rPr>
        <w:t xml:space="preserve">The motivation for examining this third scenario is the fact that, due to the problem symmetry, the </w:t>
      </w:r>
      <w:r w:rsidRPr="007D1EF7">
        <w:rPr>
          <w:i/>
          <w:lang w:val="en-US"/>
        </w:rPr>
        <w:t>I</w:t>
      </w:r>
      <w:r w:rsidRPr="007D1EF7">
        <w:rPr>
          <w:lang w:val="en-US"/>
        </w:rPr>
        <w:t>/</w:t>
      </w:r>
      <w:r w:rsidRPr="007D1EF7">
        <w:rPr>
          <w:i/>
          <w:lang w:val="en-US"/>
        </w:rPr>
        <w:t>N</w:t>
      </w:r>
      <w:r w:rsidRPr="007D1EF7">
        <w:rPr>
          <w:lang w:val="en-US"/>
        </w:rPr>
        <w:t xml:space="preserve"> CDFs do not dependent on the SRS location longitude. The purpose here is then to anal</w:t>
      </w:r>
      <w:r w:rsidRPr="007D1EF7">
        <w:rPr>
          <w:iCs/>
          <w:lang w:val="en-US"/>
        </w:rPr>
        <w:t>yse</w:t>
      </w:r>
      <w:r w:rsidRPr="007D1EF7">
        <w:rPr>
          <w:lang w:val="en-US"/>
        </w:rPr>
        <w:t xml:space="preserve"> the effect of the latitude of the SRS transmitting earth station in the statistical behaviour of the </w:t>
      </w:r>
      <w:r w:rsidRPr="007D1EF7">
        <w:rPr>
          <w:i/>
          <w:lang w:val="en-US"/>
        </w:rPr>
        <w:t>I</w:t>
      </w:r>
      <w:r w:rsidRPr="007D1EF7">
        <w:rPr>
          <w:lang w:val="en-US"/>
        </w:rPr>
        <w:t>/</w:t>
      </w:r>
      <w:r w:rsidRPr="007D1EF7">
        <w:rPr>
          <w:i/>
          <w:lang w:val="en-US"/>
        </w:rPr>
        <w:t>N</w:t>
      </w:r>
      <w:r w:rsidRPr="007D1EF7">
        <w:rPr>
          <w:lang w:val="en-US"/>
        </w:rPr>
        <w:t xml:space="preserve"> ratio. In this scenario, only one SRS earth station is considered. The </w:t>
      </w:r>
      <w:r w:rsidRPr="007D1EF7">
        <w:rPr>
          <w:i/>
          <w:lang w:val="en-US"/>
        </w:rPr>
        <w:t>I</w:t>
      </w:r>
      <w:r w:rsidRPr="007D1EF7">
        <w:rPr>
          <w:lang w:val="en-US"/>
        </w:rPr>
        <w:t>/</w:t>
      </w:r>
      <w:r w:rsidRPr="007D1EF7">
        <w:rPr>
          <w:i/>
          <w:lang w:val="en-US"/>
        </w:rPr>
        <w:t>N</w:t>
      </w:r>
      <w:r w:rsidRPr="007D1EF7">
        <w:rPr>
          <w:lang w:val="en-US"/>
        </w:rPr>
        <w:t xml:space="preserve"> cumulative distribution functions are then determined for locations of the SRS earth station that vary, in latitude, from 0° to 70°. Note that, also due to the problem symmetry, the resulting curves are identical for positive and negative latitudes having the same absolute value. In this scenario, the condition for the SRS earth station to be considered </w:t>
      </w:r>
      <w:r w:rsidRPr="007D1EF7">
        <w:rPr>
          <w:i/>
          <w:lang w:val="en-US"/>
        </w:rPr>
        <w:t>active</w:t>
      </w:r>
      <w:r w:rsidRPr="007D1EF7">
        <w:rPr>
          <w:lang w:val="en-US"/>
        </w:rPr>
        <w:t xml:space="preserve"> (transmitting) is that it sees the Moon with an elevation angle greater than or equal to zero. Again, (17) was used to determine the </w:t>
      </w:r>
      <w:r w:rsidRPr="007D1EF7">
        <w:rPr>
          <w:i/>
          <w:lang w:val="en-US"/>
        </w:rPr>
        <w:t>I</w:t>
      </w:r>
      <w:r w:rsidRPr="007D1EF7">
        <w:rPr>
          <w:lang w:val="en-US"/>
        </w:rPr>
        <w:t>/</w:t>
      </w:r>
      <w:r w:rsidRPr="007D1EF7">
        <w:rPr>
          <w:i/>
          <w:lang w:val="en-US"/>
        </w:rPr>
        <w:t>N</w:t>
      </w:r>
      <w:r w:rsidRPr="007D1EF7">
        <w:rPr>
          <w:lang w:val="en-US"/>
        </w:rPr>
        <w:t xml:space="preserve"> CDFs corresponding to SRS earth stations at different latitudes. They are presented in Fig. A6-7.</w:t>
      </w:r>
    </w:p>
    <w:p w:rsidR="00AA2BE3" w:rsidRPr="007D1EF7" w:rsidRDefault="00AA2BE3" w:rsidP="00AA2BE3">
      <w:pPr>
        <w:pStyle w:val="FigureNo"/>
        <w:rPr>
          <w:lang w:val="en-US"/>
        </w:rPr>
      </w:pPr>
      <w:r w:rsidRPr="007D1EF7">
        <w:rPr>
          <w:lang w:val="en-US"/>
        </w:rPr>
        <w:lastRenderedPageBreak/>
        <w:t xml:space="preserve">Figure A6-7 </w:t>
      </w:r>
    </w:p>
    <w:p w:rsidR="00AA2BE3" w:rsidRPr="007D1EF7" w:rsidRDefault="00AA2BE3" w:rsidP="001B622A">
      <w:pPr>
        <w:pStyle w:val="Figuretitle"/>
        <w:rPr>
          <w:szCs w:val="24"/>
          <w:lang w:val="en-US"/>
        </w:rPr>
      </w:pPr>
      <w:r w:rsidRPr="007D1EF7">
        <w:rPr>
          <w:szCs w:val="24"/>
          <w:lang w:val="en-US"/>
        </w:rPr>
        <w:t xml:space="preserve">Cumulative distribution functions of the ratio </w:t>
      </w:r>
      <w:r w:rsidRPr="007D1EF7">
        <w:rPr>
          <w:b w:val="0"/>
          <w:i/>
          <w:szCs w:val="24"/>
          <w:lang w:val="en-US"/>
        </w:rPr>
        <w:t>I</w:t>
      </w:r>
      <w:r w:rsidR="001B622A" w:rsidRPr="007D1EF7">
        <w:rPr>
          <w:rFonts w:ascii="Times New Roman"/>
          <w:b w:val="0"/>
          <w:i/>
          <w:sz w:val="8"/>
          <w:szCs w:val="24"/>
          <w:lang w:val="en-US"/>
        </w:rPr>
        <w:t> </w:t>
      </w:r>
      <w:r w:rsidRPr="007D1EF7">
        <w:rPr>
          <w:szCs w:val="24"/>
          <w:lang w:val="en-US"/>
        </w:rPr>
        <w:t>/</w:t>
      </w:r>
      <w:r w:rsidRPr="007D1EF7">
        <w:rPr>
          <w:b w:val="0"/>
          <w:i/>
          <w:szCs w:val="24"/>
          <w:lang w:val="en-US"/>
        </w:rPr>
        <w:t>N</w:t>
      </w:r>
      <w:r w:rsidRPr="007D1EF7">
        <w:rPr>
          <w:szCs w:val="24"/>
          <w:lang w:val="en-US"/>
        </w:rPr>
        <w:t>, for different values of</w:t>
      </w:r>
      <w:r w:rsidRPr="007D1EF7">
        <w:rPr>
          <w:szCs w:val="24"/>
          <w:lang w:val="en-US"/>
        </w:rPr>
        <w:br/>
        <w:t>the SRS earth station latitude (Scenario 3)</w:t>
      </w:r>
    </w:p>
    <w:p w:rsidR="00AA2BE3" w:rsidRPr="006C2078" w:rsidRDefault="00AA2BE3" w:rsidP="006119E4">
      <w:pPr>
        <w:pStyle w:val="Figure"/>
      </w:pPr>
      <w:r>
        <w:rPr>
          <w:noProof/>
          <w:lang w:val="en-US" w:eastAsia="zh-CN"/>
        </w:rPr>
        <w:drawing>
          <wp:inline distT="0" distB="0" distL="0" distR="0">
            <wp:extent cx="5991225" cy="4648200"/>
            <wp:effectExtent l="0" t="0" r="9525" b="0"/>
            <wp:docPr id="3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cstate="print"/>
                    <a:srcRect/>
                    <a:stretch>
                      <a:fillRect/>
                    </a:stretch>
                  </pic:blipFill>
                  <pic:spPr bwMode="auto">
                    <a:xfrm>
                      <a:off x="0" y="0"/>
                      <a:ext cx="5991225" cy="4648200"/>
                    </a:xfrm>
                    <a:prstGeom prst="rect">
                      <a:avLst/>
                    </a:prstGeom>
                    <a:noFill/>
                  </pic:spPr>
                </pic:pic>
              </a:graphicData>
            </a:graphic>
          </wp:inline>
        </w:drawing>
      </w:r>
    </w:p>
    <w:p w:rsidR="00A47FF8" w:rsidRDefault="00A47FF8" w:rsidP="00AA2BE3"/>
    <w:p w:rsidR="00AA2BE3" w:rsidRPr="007D1EF7" w:rsidRDefault="00AA2BE3" w:rsidP="00AA2BE3">
      <w:pPr>
        <w:rPr>
          <w:lang w:val="en-US"/>
        </w:rPr>
      </w:pPr>
      <w:r w:rsidRPr="007D1EF7">
        <w:rPr>
          <w:lang w:val="en-US"/>
        </w:rPr>
        <w:t xml:space="preserve">The results in the Scenario 3 have indicated that, in the neighbourhood of the interference criterion, the </w:t>
      </w:r>
      <w:r w:rsidRPr="007D1EF7">
        <w:rPr>
          <w:i/>
          <w:lang w:val="en-US"/>
        </w:rPr>
        <w:t>I</w:t>
      </w:r>
      <w:r w:rsidRPr="007D1EF7">
        <w:rPr>
          <w:lang w:val="en-US"/>
        </w:rPr>
        <w:t>/</w:t>
      </w:r>
      <w:r w:rsidRPr="007D1EF7">
        <w:rPr>
          <w:i/>
          <w:lang w:val="en-US"/>
        </w:rPr>
        <w:t>N</w:t>
      </w:r>
      <w:r w:rsidRPr="007D1EF7">
        <w:rPr>
          <w:lang w:val="en-US"/>
        </w:rPr>
        <w:t xml:space="preserve"> cumulative distribution function increases with the latitude of the SRS earth station location. This fact has motivated the examination of two additional scenarios (Scenarios 4 and 5) under assumptions that, except for the location of the three SRS transmitting earth stations, are respectively identical to those assumptions in Scenarios 1 and 2. In both of them the three SRS earth stations are placed at a 70 °N </w:t>
      </w:r>
    </w:p>
    <w:p w:rsidR="00AA2BE3" w:rsidRPr="007D1EF7" w:rsidRDefault="00AA2BE3" w:rsidP="001B622A">
      <w:pPr>
        <w:pStyle w:val="Heading2"/>
        <w:rPr>
          <w:lang w:val="en-US"/>
        </w:rPr>
      </w:pPr>
      <w:bookmarkStart w:id="87" w:name="_Toc277668649"/>
      <w:r w:rsidRPr="007D1EF7">
        <w:rPr>
          <w:lang w:val="en-US"/>
        </w:rPr>
        <w:t>3.4</w:t>
      </w:r>
      <w:r w:rsidRPr="007D1EF7">
        <w:rPr>
          <w:lang w:val="en-US"/>
        </w:rPr>
        <w:tab/>
        <w:t>Scenario 4</w:t>
      </w:r>
      <w:bookmarkEnd w:id="87"/>
    </w:p>
    <w:p w:rsidR="00AA2BE3" w:rsidRPr="007D1EF7" w:rsidRDefault="00AA2BE3" w:rsidP="00AA2BE3">
      <w:pPr>
        <w:rPr>
          <w:lang w:val="en-US"/>
        </w:rPr>
      </w:pPr>
      <w:r w:rsidRPr="007D1EF7">
        <w:rPr>
          <w:lang w:val="en-US"/>
        </w:rPr>
        <w:t xml:space="preserve">In this scenario, the three SRS Earth transmitting stations are placed at a 70 °N latitude, with longitude separations equal to 120°. As in Scenario 1, it considers that the condition for an SRS earth station to be </w:t>
      </w:r>
      <w:r w:rsidRPr="007D1EF7">
        <w:rPr>
          <w:i/>
          <w:lang w:val="en-US"/>
        </w:rPr>
        <w:t>active</w:t>
      </w:r>
      <w:r w:rsidRPr="007D1EF7">
        <w:rPr>
          <w:lang w:val="en-US"/>
        </w:rPr>
        <w:t xml:space="preserve"> (transmitting) is that it sees the Moon with an elevation angle greater than or equal to zero and that simultaneously active earth stations transmit co-channel. The </w:t>
      </w:r>
      <w:r w:rsidRPr="007D1EF7">
        <w:rPr>
          <w:i/>
          <w:lang w:val="en-US"/>
        </w:rPr>
        <w:t>I</w:t>
      </w:r>
      <w:r w:rsidRPr="007D1EF7">
        <w:rPr>
          <w:lang w:val="en-US"/>
        </w:rPr>
        <w:t>/</w:t>
      </w:r>
      <w:r w:rsidRPr="007D1EF7">
        <w:rPr>
          <w:i/>
          <w:lang w:val="en-US"/>
        </w:rPr>
        <w:t>N</w:t>
      </w:r>
      <w:r w:rsidRPr="007D1EF7">
        <w:rPr>
          <w:lang w:val="en-US"/>
        </w:rPr>
        <w:t xml:space="preserve"> ratio is then calculated considering the aggregate interference from simultaneously active SRS earth stations. The resulting cumulative distribution functions are shown in Fig. A6-8 for the four ISS receiving antennas.</w:t>
      </w:r>
    </w:p>
    <w:p w:rsidR="00AA2BE3" w:rsidRPr="007D1EF7" w:rsidRDefault="00AA2BE3" w:rsidP="00AA2BE3">
      <w:pPr>
        <w:pStyle w:val="FigureNo"/>
        <w:rPr>
          <w:lang w:val="en-US"/>
        </w:rPr>
      </w:pPr>
      <w:r w:rsidRPr="007D1EF7">
        <w:rPr>
          <w:lang w:val="en-US"/>
        </w:rPr>
        <w:lastRenderedPageBreak/>
        <w:t xml:space="preserve">Figure A6-8 </w:t>
      </w:r>
    </w:p>
    <w:p w:rsidR="00AA2BE3" w:rsidRPr="007D1EF7" w:rsidRDefault="00AA2BE3" w:rsidP="001B622A">
      <w:pPr>
        <w:pStyle w:val="Figuretitle"/>
        <w:rPr>
          <w:lang w:val="en-US"/>
        </w:rPr>
      </w:pPr>
      <w:r w:rsidRPr="007D1EF7">
        <w:rPr>
          <w:szCs w:val="24"/>
          <w:lang w:val="en-US"/>
        </w:rPr>
        <w:t xml:space="preserve">Cumulative distribution functions of the ratio </w:t>
      </w:r>
      <w:r w:rsidRPr="007D1EF7">
        <w:rPr>
          <w:b w:val="0"/>
          <w:i/>
          <w:szCs w:val="24"/>
          <w:lang w:val="en-US"/>
        </w:rPr>
        <w:t>I</w:t>
      </w:r>
      <w:r w:rsidR="001B622A" w:rsidRPr="001B622A">
        <w:rPr>
          <w:rFonts w:ascii="Times New Roman"/>
          <w:b w:val="0"/>
          <w:i/>
          <w:sz w:val="8"/>
          <w:szCs w:val="24"/>
          <w:lang w:val="en-US"/>
        </w:rPr>
        <w:t> </w:t>
      </w:r>
      <w:r w:rsidRPr="007D1EF7">
        <w:rPr>
          <w:szCs w:val="24"/>
          <w:lang w:val="en-US"/>
        </w:rPr>
        <w:t>/</w:t>
      </w:r>
      <w:r w:rsidRPr="007D1EF7">
        <w:rPr>
          <w:b w:val="0"/>
          <w:i/>
          <w:szCs w:val="24"/>
          <w:lang w:val="en-US"/>
        </w:rPr>
        <w:t>N</w:t>
      </w:r>
      <w:r w:rsidRPr="007D1EF7">
        <w:rPr>
          <w:szCs w:val="24"/>
          <w:lang w:val="en-US"/>
        </w:rPr>
        <w:t xml:space="preserve"> (Scenario 4)</w:t>
      </w:r>
    </w:p>
    <w:p w:rsidR="00AA2BE3" w:rsidRPr="006C2078" w:rsidRDefault="00AA2BE3" w:rsidP="006119E4">
      <w:pPr>
        <w:pStyle w:val="Figure"/>
      </w:pPr>
      <w:r>
        <w:rPr>
          <w:noProof/>
          <w:lang w:val="en-US" w:eastAsia="zh-CN"/>
        </w:rPr>
        <w:drawing>
          <wp:inline distT="0" distB="0" distL="0" distR="0">
            <wp:extent cx="5995035" cy="4730750"/>
            <wp:effectExtent l="19050" t="0" r="5715" b="0"/>
            <wp:docPr id="6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6" cstate="print"/>
                    <a:srcRect/>
                    <a:stretch>
                      <a:fillRect/>
                    </a:stretch>
                  </pic:blipFill>
                  <pic:spPr bwMode="auto">
                    <a:xfrm>
                      <a:off x="0" y="0"/>
                      <a:ext cx="5995035" cy="4730750"/>
                    </a:xfrm>
                    <a:prstGeom prst="rect">
                      <a:avLst/>
                    </a:prstGeom>
                    <a:noFill/>
                    <a:ln w="9525">
                      <a:noFill/>
                      <a:miter lim="800000"/>
                      <a:headEnd/>
                      <a:tailEnd/>
                    </a:ln>
                  </pic:spPr>
                </pic:pic>
              </a:graphicData>
            </a:graphic>
          </wp:inline>
        </w:drawing>
      </w:r>
    </w:p>
    <w:p w:rsidR="00A47FF8" w:rsidRDefault="00A47FF8" w:rsidP="00A47FF8"/>
    <w:p w:rsidR="00AA2BE3" w:rsidRPr="007D1EF7" w:rsidRDefault="00AA2BE3" w:rsidP="001B622A">
      <w:pPr>
        <w:pStyle w:val="Heading2"/>
        <w:rPr>
          <w:lang w:val="en-US"/>
        </w:rPr>
      </w:pPr>
      <w:bookmarkStart w:id="88" w:name="_Toc277668650"/>
      <w:r w:rsidRPr="007D1EF7">
        <w:rPr>
          <w:lang w:val="en-US"/>
        </w:rPr>
        <w:t>3.5</w:t>
      </w:r>
      <w:r w:rsidRPr="007D1EF7">
        <w:rPr>
          <w:lang w:val="en-US"/>
        </w:rPr>
        <w:tab/>
        <w:t>Scenario 5</w:t>
      </w:r>
      <w:bookmarkEnd w:id="88"/>
    </w:p>
    <w:p w:rsidR="00AA2BE3" w:rsidRPr="007D1EF7" w:rsidRDefault="00AA2BE3" w:rsidP="00AA2BE3">
      <w:pPr>
        <w:rPr>
          <w:lang w:val="en-US"/>
        </w:rPr>
      </w:pPr>
      <w:r w:rsidRPr="007D1EF7">
        <w:rPr>
          <w:lang w:val="en-US"/>
        </w:rPr>
        <w:t>Here again, the three SRS Earth transmitting stations are placed at a 70°N latitude, with longitude separations equal to 120°. As in Scenario 2, it is assumed that when multiple SRS earth stations see the Moon with an elevation angle greater than or equal to zero, only one of them is considered active (transmitting): the one having the largest elevation angle. The resulting cumulative distribution functions are shown in Fig. A6-9 for the four ISS receiving antennas.</w:t>
      </w:r>
    </w:p>
    <w:p w:rsidR="00AA2BE3" w:rsidRPr="007D1EF7" w:rsidRDefault="00AA2BE3" w:rsidP="00AA2BE3">
      <w:pPr>
        <w:pStyle w:val="FigureNo"/>
        <w:rPr>
          <w:lang w:val="en-US"/>
        </w:rPr>
      </w:pPr>
      <w:r w:rsidRPr="007D1EF7">
        <w:rPr>
          <w:lang w:val="en-US"/>
        </w:rPr>
        <w:lastRenderedPageBreak/>
        <w:t xml:space="preserve">Figure A6-9 </w:t>
      </w:r>
    </w:p>
    <w:p w:rsidR="00AA2BE3" w:rsidRPr="007D1EF7" w:rsidRDefault="00AA2BE3" w:rsidP="00472456">
      <w:pPr>
        <w:pStyle w:val="Figuretitle"/>
        <w:rPr>
          <w:lang w:val="en-US"/>
        </w:rPr>
      </w:pPr>
      <w:r w:rsidRPr="007D1EF7">
        <w:rPr>
          <w:szCs w:val="24"/>
          <w:lang w:val="en-US"/>
        </w:rPr>
        <w:t xml:space="preserve">Cumulative distribution functions of the ratio </w:t>
      </w:r>
      <w:r w:rsidR="00472456" w:rsidRPr="007D1EF7">
        <w:rPr>
          <w:b w:val="0"/>
          <w:i/>
          <w:szCs w:val="24"/>
          <w:lang w:val="en-US"/>
        </w:rPr>
        <w:t>I</w:t>
      </w:r>
      <w:r w:rsidR="00472456" w:rsidRPr="007D1EF7">
        <w:rPr>
          <w:rFonts w:ascii="Times New Roman"/>
          <w:b w:val="0"/>
          <w:i/>
          <w:sz w:val="8"/>
          <w:szCs w:val="24"/>
          <w:lang w:val="en-US"/>
        </w:rPr>
        <w:t> </w:t>
      </w:r>
      <w:r w:rsidR="00472456" w:rsidRPr="007D1EF7">
        <w:rPr>
          <w:szCs w:val="24"/>
          <w:lang w:val="en-US"/>
        </w:rPr>
        <w:t>/</w:t>
      </w:r>
      <w:r w:rsidR="00472456" w:rsidRPr="007D1EF7">
        <w:rPr>
          <w:b w:val="0"/>
          <w:i/>
          <w:szCs w:val="24"/>
          <w:lang w:val="en-US"/>
        </w:rPr>
        <w:t>N</w:t>
      </w:r>
      <w:r w:rsidRPr="007D1EF7">
        <w:rPr>
          <w:szCs w:val="24"/>
          <w:lang w:val="en-US"/>
        </w:rPr>
        <w:t xml:space="preserve"> (Scenario 5)</w:t>
      </w:r>
    </w:p>
    <w:p w:rsidR="00AA2BE3" w:rsidRPr="006C2078" w:rsidRDefault="00AA2BE3" w:rsidP="006119E4">
      <w:pPr>
        <w:pStyle w:val="Figure"/>
      </w:pPr>
      <w:r>
        <w:rPr>
          <w:noProof/>
          <w:lang w:val="en-US" w:eastAsia="zh-CN"/>
        </w:rPr>
        <w:drawing>
          <wp:inline distT="0" distB="0" distL="0" distR="0">
            <wp:extent cx="5995035" cy="4770755"/>
            <wp:effectExtent l="19050" t="0" r="5715" b="0"/>
            <wp:docPr id="6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7" cstate="print"/>
                    <a:srcRect/>
                    <a:stretch>
                      <a:fillRect/>
                    </a:stretch>
                  </pic:blipFill>
                  <pic:spPr bwMode="auto">
                    <a:xfrm>
                      <a:off x="0" y="0"/>
                      <a:ext cx="5995035" cy="4770755"/>
                    </a:xfrm>
                    <a:prstGeom prst="rect">
                      <a:avLst/>
                    </a:prstGeom>
                    <a:noFill/>
                    <a:ln w="9525">
                      <a:noFill/>
                      <a:miter lim="800000"/>
                      <a:headEnd/>
                      <a:tailEnd/>
                    </a:ln>
                  </pic:spPr>
                </pic:pic>
              </a:graphicData>
            </a:graphic>
          </wp:inline>
        </w:drawing>
      </w:r>
    </w:p>
    <w:p w:rsidR="00A47FF8" w:rsidRDefault="00A47FF8" w:rsidP="00AA2BE3"/>
    <w:p w:rsidR="00AA2BE3" w:rsidRPr="007D1EF7" w:rsidRDefault="00AA2BE3" w:rsidP="00AA2BE3">
      <w:pPr>
        <w:rPr>
          <w:lang w:val="en-US"/>
        </w:rPr>
      </w:pPr>
      <w:r w:rsidRPr="007D1EF7">
        <w:rPr>
          <w:lang w:val="en-US"/>
        </w:rPr>
        <w:t>Taking into account that some of the assumptions in the study favours interference (for example, that the SRS earth stations transmit even when its elevation angle to the Moon is equal to zero, and that interference was assumed to be co-channel, meaning that for out-of-band interference a frequency discrimination must be added), study results tend to indicate that SRS systems and non</w:t>
      </w:r>
      <w:r w:rsidRPr="007D1EF7">
        <w:rPr>
          <w:lang w:val="en-US"/>
        </w:rPr>
        <w:noBreakHyphen/>
        <w:t xml:space="preserve">GSO ISS systems are compatible. This conclusion, however, is constrained to situations involving SRS systems with the characteristics presented in Table A6-1 and Fig. A6-2, and to the number of SRS earth stations considered in the examined scenarios. This fact has motivated the examination of two additional points: the effect, on the statistical behaviour of the </w:t>
      </w:r>
      <w:r w:rsidRPr="007D1EF7">
        <w:rPr>
          <w:i/>
          <w:lang w:val="en-US"/>
        </w:rPr>
        <w:t>I</w:t>
      </w:r>
      <w:r w:rsidRPr="007D1EF7">
        <w:rPr>
          <w:lang w:val="en-US"/>
        </w:rPr>
        <w:t>/</w:t>
      </w:r>
      <w:r w:rsidRPr="007D1EF7">
        <w:rPr>
          <w:i/>
          <w:lang w:val="en-US"/>
        </w:rPr>
        <w:t>N</w:t>
      </w:r>
      <w:r w:rsidRPr="007D1EF7">
        <w:rPr>
          <w:lang w:val="en-US"/>
        </w:rPr>
        <w:t xml:space="preserve"> ratio, of the SRS antenna size and of the number of SRS earth stations. Example cases considering these two points are presented in the following sections.</w:t>
      </w:r>
    </w:p>
    <w:p w:rsidR="00AA2BE3" w:rsidRPr="007D1EF7" w:rsidRDefault="00AA2BE3" w:rsidP="001B622A">
      <w:pPr>
        <w:pStyle w:val="Heading2"/>
        <w:rPr>
          <w:lang w:val="en-US"/>
        </w:rPr>
      </w:pPr>
      <w:bookmarkStart w:id="89" w:name="_Toc277668651"/>
      <w:r w:rsidRPr="007D1EF7">
        <w:rPr>
          <w:lang w:val="en-US"/>
        </w:rPr>
        <w:t>3.6</w:t>
      </w:r>
      <w:r w:rsidRPr="007D1EF7">
        <w:rPr>
          <w:lang w:val="en-US"/>
        </w:rPr>
        <w:tab/>
        <w:t>Effect of the SRS earth station antenna size</w:t>
      </w:r>
      <w:bookmarkEnd w:id="89"/>
    </w:p>
    <w:p w:rsidR="00AA2BE3" w:rsidRPr="007D1EF7" w:rsidRDefault="00AA2BE3" w:rsidP="001B622A">
      <w:pPr>
        <w:rPr>
          <w:lang w:val="en-US"/>
        </w:rPr>
      </w:pPr>
      <w:r w:rsidRPr="007D1EF7">
        <w:rPr>
          <w:lang w:val="en-US"/>
        </w:rPr>
        <w:t xml:space="preserve">To examine the effect of the SRS earth station antenna size on the statistical behaviour of the </w:t>
      </w:r>
      <w:r w:rsidRPr="007D1EF7">
        <w:rPr>
          <w:i/>
          <w:lang w:val="en-US"/>
        </w:rPr>
        <w:t>I</w:t>
      </w:r>
      <w:r w:rsidRPr="007D1EF7">
        <w:rPr>
          <w:lang w:val="en-US"/>
        </w:rPr>
        <w:t>/</w:t>
      </w:r>
      <w:r w:rsidRPr="007D1EF7">
        <w:rPr>
          <w:i/>
          <w:lang w:val="en-US"/>
        </w:rPr>
        <w:t>N</w:t>
      </w:r>
      <w:r w:rsidRPr="007D1EF7">
        <w:rPr>
          <w:lang w:val="en-US"/>
        </w:rPr>
        <w:t xml:space="preserve"> ratio, Scenarios 1 and 2 were re-evaluated. Except for the SRS antenna size, here equal to 10 m, all other assumptions are the same as those in Scenarios 1 and 2. The antenna radiation pattern is given by Recommendation ITU-R F.1245 and, in this case, the transmitting antenna gain is 65.3 dBi (see Fig. A6-10). To compensate for the loss in antenna gain, the power-spectral density at the antenna input was increased to −54.6 dBW/Hz.</w:t>
      </w:r>
    </w:p>
    <w:p w:rsidR="00AA2BE3" w:rsidRPr="007D1EF7" w:rsidRDefault="00AA2BE3" w:rsidP="00AA2BE3">
      <w:pPr>
        <w:pStyle w:val="FigureNo"/>
        <w:rPr>
          <w:lang w:val="en-US"/>
        </w:rPr>
      </w:pPr>
      <w:r w:rsidRPr="007D1EF7">
        <w:rPr>
          <w:lang w:val="en-US"/>
        </w:rPr>
        <w:lastRenderedPageBreak/>
        <w:t xml:space="preserve">Figure A6-10 </w:t>
      </w:r>
    </w:p>
    <w:p w:rsidR="00AA2BE3" w:rsidRPr="007D1EF7" w:rsidRDefault="00AA2BE3" w:rsidP="00AA2BE3">
      <w:pPr>
        <w:pStyle w:val="Figuretitle"/>
        <w:rPr>
          <w:lang w:val="en-US"/>
        </w:rPr>
      </w:pPr>
      <w:r w:rsidRPr="007D1EF7">
        <w:rPr>
          <w:szCs w:val="24"/>
          <w:lang w:val="en-US"/>
        </w:rPr>
        <w:t>SRS uplink transmitting antenna radiation pattern: Recommendation ITU-R F.1245</w:t>
      </w:r>
    </w:p>
    <w:p w:rsidR="00AA2BE3" w:rsidRPr="006C2078" w:rsidRDefault="00AA2BE3" w:rsidP="006119E4">
      <w:pPr>
        <w:pStyle w:val="Figure"/>
      </w:pPr>
      <w:r>
        <w:rPr>
          <w:noProof/>
          <w:lang w:val="en-US" w:eastAsia="zh-CN"/>
        </w:rPr>
        <w:drawing>
          <wp:inline distT="0" distB="0" distL="0" distR="0">
            <wp:extent cx="4476750" cy="3204210"/>
            <wp:effectExtent l="0" t="0" r="0" b="0"/>
            <wp:docPr id="68"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8" cstate="print"/>
                    <a:srcRect/>
                    <a:stretch>
                      <a:fillRect/>
                    </a:stretch>
                  </pic:blipFill>
                  <pic:spPr bwMode="auto">
                    <a:xfrm>
                      <a:off x="0" y="0"/>
                      <a:ext cx="4476750" cy="3204210"/>
                    </a:xfrm>
                    <a:prstGeom prst="rect">
                      <a:avLst/>
                    </a:prstGeom>
                    <a:noFill/>
                    <a:ln w="9525">
                      <a:noFill/>
                      <a:miter lim="800000"/>
                      <a:headEnd/>
                      <a:tailEnd/>
                    </a:ln>
                  </pic:spPr>
                </pic:pic>
              </a:graphicData>
            </a:graphic>
          </wp:inline>
        </w:drawing>
      </w:r>
    </w:p>
    <w:p w:rsidR="00A47FF8" w:rsidRDefault="00A47FF8" w:rsidP="00A47FF8"/>
    <w:p w:rsidR="00AA2BE3" w:rsidRPr="007D1EF7" w:rsidRDefault="00AA2BE3" w:rsidP="001B622A">
      <w:pPr>
        <w:pStyle w:val="Heading3"/>
        <w:rPr>
          <w:lang w:val="en-US"/>
        </w:rPr>
      </w:pPr>
      <w:r w:rsidRPr="007D1EF7">
        <w:rPr>
          <w:lang w:val="en-US"/>
        </w:rPr>
        <w:t>3.6.1</w:t>
      </w:r>
      <w:r w:rsidRPr="007D1EF7">
        <w:rPr>
          <w:lang w:val="en-US"/>
        </w:rPr>
        <w:tab/>
        <w:t>Scenario 1 – 10 m SRS antenna size</w:t>
      </w:r>
    </w:p>
    <w:p w:rsidR="00AA2BE3" w:rsidRPr="007D1EF7" w:rsidRDefault="00AA2BE3" w:rsidP="001B622A">
      <w:pPr>
        <w:rPr>
          <w:lang w:val="en-US"/>
        </w:rPr>
      </w:pPr>
      <w:r w:rsidRPr="007D1EF7">
        <w:rPr>
          <w:lang w:val="en-US"/>
        </w:rPr>
        <w:t xml:space="preserve">The resulting cumulative distribution functions are shown in Fig. A6- 11 for the four ISS receiving antennas. To better visualize the effect of the SRS antenna size, this figure also presents the CDFs resulting from the use of 18 m antennas. </w:t>
      </w:r>
    </w:p>
    <w:p w:rsidR="00AA2BE3" w:rsidRPr="007D1EF7" w:rsidRDefault="00AA2BE3" w:rsidP="00AA2BE3">
      <w:pPr>
        <w:pStyle w:val="FigureNo"/>
        <w:rPr>
          <w:lang w:val="en-US"/>
        </w:rPr>
      </w:pPr>
      <w:r w:rsidRPr="007D1EF7">
        <w:rPr>
          <w:lang w:val="en-US"/>
        </w:rPr>
        <w:lastRenderedPageBreak/>
        <w:t>Figure A6-11</w:t>
      </w:r>
    </w:p>
    <w:p w:rsidR="00AA2BE3" w:rsidRPr="007D1EF7" w:rsidRDefault="00AA2BE3" w:rsidP="0011388F">
      <w:pPr>
        <w:pStyle w:val="Figuretitle"/>
        <w:rPr>
          <w:lang w:val="en-US"/>
        </w:rPr>
      </w:pPr>
      <w:r w:rsidRPr="007D1EF7">
        <w:rPr>
          <w:szCs w:val="24"/>
          <w:lang w:val="en-US"/>
        </w:rPr>
        <w:t xml:space="preserve">Cumulative distribution functions of the ratio </w:t>
      </w:r>
      <w:r w:rsidRPr="007D1EF7">
        <w:rPr>
          <w:b w:val="0"/>
          <w:i/>
          <w:szCs w:val="24"/>
          <w:lang w:val="en-US"/>
        </w:rPr>
        <w:t>I</w:t>
      </w:r>
      <w:r w:rsidR="001B622A" w:rsidRPr="007D1EF7">
        <w:rPr>
          <w:rFonts w:ascii="Times New Roman"/>
          <w:b w:val="0"/>
          <w:i/>
          <w:sz w:val="8"/>
          <w:szCs w:val="24"/>
          <w:lang w:val="en-US"/>
        </w:rPr>
        <w:t xml:space="preserve"> </w:t>
      </w:r>
      <w:r w:rsidRPr="007D1EF7">
        <w:rPr>
          <w:szCs w:val="24"/>
          <w:lang w:val="en-US"/>
        </w:rPr>
        <w:t>/</w:t>
      </w:r>
      <w:r w:rsidRPr="007D1EF7">
        <w:rPr>
          <w:b w:val="0"/>
          <w:i/>
          <w:szCs w:val="24"/>
          <w:lang w:val="en-US"/>
        </w:rPr>
        <w:t>N</w:t>
      </w:r>
      <w:r w:rsidRPr="007D1EF7">
        <w:rPr>
          <w:szCs w:val="24"/>
          <w:lang w:val="en-US"/>
        </w:rPr>
        <w:t xml:space="preserve"> given that the victim satellite is receiving interference</w:t>
      </w:r>
      <w:r w:rsidR="006119E4" w:rsidRPr="007D1EF7">
        <w:rPr>
          <w:szCs w:val="24"/>
          <w:lang w:val="en-US"/>
        </w:rPr>
        <w:br/>
      </w:r>
      <w:r w:rsidRPr="007D1EF7">
        <w:rPr>
          <w:szCs w:val="24"/>
          <w:lang w:val="en-US"/>
        </w:rPr>
        <w:t xml:space="preserve">(Scenario 1, 10 and 18 m SRS antennas, </w:t>
      </w:r>
      <w:r w:rsidRPr="007D1EF7">
        <w:rPr>
          <w:b w:val="0"/>
          <w:i/>
          <w:szCs w:val="24"/>
          <w:lang w:val="en-US"/>
        </w:rPr>
        <w:t>p</w:t>
      </w:r>
      <w:r w:rsidRPr="006C2078">
        <w:rPr>
          <w:rFonts w:ascii="Symbol" w:hAnsi="Symbol"/>
          <w:b w:val="0"/>
          <w:szCs w:val="24"/>
          <w:vertAlign w:val="subscript"/>
        </w:rPr>
        <w:t></w:t>
      </w:r>
      <w:r w:rsidRPr="007D1EF7">
        <w:rPr>
          <w:b w:val="0"/>
          <w:szCs w:val="24"/>
          <w:lang w:val="en-US"/>
        </w:rPr>
        <w:t>(</w:t>
      </w:r>
      <w:r w:rsidRPr="006C2078">
        <w:rPr>
          <w:rFonts w:ascii="Symbol" w:hAnsi="Symbol"/>
          <w:b w:val="0"/>
          <w:szCs w:val="24"/>
        </w:rPr>
        <w:t></w:t>
      </w:r>
      <w:r w:rsidRPr="007D1EF7">
        <w:rPr>
          <w:b w:val="0"/>
          <w:szCs w:val="24"/>
          <w:lang w:val="en-US"/>
        </w:rPr>
        <w:t>)</w:t>
      </w:r>
      <w:r w:rsidRPr="007D1EF7">
        <w:rPr>
          <w:b w:val="0"/>
          <w:szCs w:val="24"/>
          <w:vertAlign w:val="subscript"/>
          <w:lang w:val="en-US"/>
        </w:rPr>
        <w:t>2</w:t>
      </w:r>
      <w:r w:rsidRPr="007D1EF7">
        <w:rPr>
          <w:szCs w:val="24"/>
          <w:lang w:val="en-US"/>
        </w:rPr>
        <w:t>)</w:t>
      </w:r>
    </w:p>
    <w:p w:rsidR="00AA2BE3" w:rsidRPr="006C2078" w:rsidRDefault="00AA2BE3" w:rsidP="006119E4">
      <w:pPr>
        <w:pStyle w:val="Figure"/>
      </w:pPr>
      <w:r>
        <w:rPr>
          <w:noProof/>
          <w:lang w:val="en-US" w:eastAsia="zh-CN"/>
        </w:rPr>
        <w:drawing>
          <wp:inline distT="0" distB="0" distL="0" distR="0">
            <wp:extent cx="5995035" cy="4786630"/>
            <wp:effectExtent l="19050" t="0" r="5715" b="0"/>
            <wp:docPr id="69"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9" cstate="print"/>
                    <a:srcRect/>
                    <a:stretch>
                      <a:fillRect/>
                    </a:stretch>
                  </pic:blipFill>
                  <pic:spPr bwMode="auto">
                    <a:xfrm>
                      <a:off x="0" y="0"/>
                      <a:ext cx="5995035" cy="4786630"/>
                    </a:xfrm>
                    <a:prstGeom prst="rect">
                      <a:avLst/>
                    </a:prstGeom>
                    <a:noFill/>
                    <a:ln w="9525">
                      <a:noFill/>
                      <a:miter lim="800000"/>
                      <a:headEnd/>
                      <a:tailEnd/>
                    </a:ln>
                  </pic:spPr>
                </pic:pic>
              </a:graphicData>
            </a:graphic>
          </wp:inline>
        </w:drawing>
      </w:r>
    </w:p>
    <w:p w:rsidR="00A47FF8" w:rsidRDefault="00A47FF8" w:rsidP="00A47FF8"/>
    <w:p w:rsidR="00AA2BE3" w:rsidRPr="007D1EF7" w:rsidRDefault="00AA2BE3" w:rsidP="0011388F">
      <w:pPr>
        <w:pStyle w:val="Heading3"/>
        <w:rPr>
          <w:lang w:val="en-US"/>
        </w:rPr>
      </w:pPr>
      <w:r w:rsidRPr="007D1EF7">
        <w:rPr>
          <w:lang w:val="en-US"/>
        </w:rPr>
        <w:t>3.6.2</w:t>
      </w:r>
      <w:r w:rsidRPr="007D1EF7">
        <w:rPr>
          <w:lang w:val="en-US"/>
        </w:rPr>
        <w:tab/>
        <w:t>Scenario 2 – 10 m SRS antenna size</w:t>
      </w:r>
    </w:p>
    <w:p w:rsidR="00AA2BE3" w:rsidRPr="007D1EF7" w:rsidRDefault="00AA2BE3" w:rsidP="001B622A">
      <w:pPr>
        <w:rPr>
          <w:lang w:val="en-US"/>
        </w:rPr>
      </w:pPr>
      <w:r w:rsidRPr="007D1EF7">
        <w:rPr>
          <w:lang w:val="en-US"/>
        </w:rPr>
        <w:t xml:space="preserve">The resulting cumulative distribution functions are shown in Fig. A6-12 for the four ISS receiving antennas. To better visualize the effect of the SRS antenna size, this figure also presents the CDFs resulting from the use of 18 m antennas. </w:t>
      </w:r>
    </w:p>
    <w:p w:rsidR="00AA2BE3" w:rsidRPr="007D1EF7" w:rsidRDefault="00AA2BE3" w:rsidP="00AA2BE3">
      <w:pPr>
        <w:pStyle w:val="FigureNo"/>
        <w:rPr>
          <w:lang w:val="en-US"/>
        </w:rPr>
      </w:pPr>
      <w:r w:rsidRPr="007D1EF7">
        <w:rPr>
          <w:lang w:val="en-US"/>
        </w:rPr>
        <w:lastRenderedPageBreak/>
        <w:t xml:space="preserve">Figure A6-12 </w:t>
      </w:r>
    </w:p>
    <w:p w:rsidR="00AA2BE3" w:rsidRPr="007D1EF7" w:rsidRDefault="00AA2BE3" w:rsidP="00440D7C">
      <w:pPr>
        <w:pStyle w:val="Figuretitle"/>
        <w:rPr>
          <w:szCs w:val="24"/>
          <w:lang w:val="en-US"/>
        </w:rPr>
      </w:pPr>
      <w:r w:rsidRPr="007D1EF7">
        <w:rPr>
          <w:szCs w:val="24"/>
          <w:lang w:val="en-US"/>
        </w:rPr>
        <w:t xml:space="preserve">Cumulative distribution functions of the ratio </w:t>
      </w:r>
      <w:r w:rsidRPr="007D1EF7">
        <w:rPr>
          <w:b w:val="0"/>
          <w:i/>
          <w:szCs w:val="24"/>
          <w:lang w:val="en-US"/>
        </w:rPr>
        <w:t>I</w:t>
      </w:r>
      <w:r w:rsidR="001B622A" w:rsidRPr="007D1EF7">
        <w:rPr>
          <w:rFonts w:ascii="Times New Roman"/>
          <w:b w:val="0"/>
          <w:i/>
          <w:sz w:val="8"/>
          <w:szCs w:val="24"/>
          <w:lang w:val="en-US"/>
        </w:rPr>
        <w:t xml:space="preserve"> </w:t>
      </w:r>
      <w:r w:rsidRPr="007D1EF7">
        <w:rPr>
          <w:szCs w:val="24"/>
          <w:lang w:val="en-US"/>
        </w:rPr>
        <w:t>/</w:t>
      </w:r>
      <w:r w:rsidRPr="007D1EF7">
        <w:rPr>
          <w:b w:val="0"/>
          <w:i/>
          <w:szCs w:val="24"/>
          <w:lang w:val="en-US"/>
        </w:rPr>
        <w:t>N</w:t>
      </w:r>
      <w:r w:rsidRPr="007D1EF7">
        <w:rPr>
          <w:szCs w:val="24"/>
          <w:lang w:val="en-US"/>
        </w:rPr>
        <w:t xml:space="preserve"> given that the victim satellite is receiving interference</w:t>
      </w:r>
      <w:r w:rsidR="006119E4" w:rsidRPr="007D1EF7">
        <w:rPr>
          <w:szCs w:val="24"/>
          <w:lang w:val="en-US"/>
        </w:rPr>
        <w:br/>
      </w:r>
      <w:r w:rsidRPr="007D1EF7">
        <w:rPr>
          <w:szCs w:val="24"/>
          <w:lang w:val="en-US"/>
        </w:rPr>
        <w:t>(Scenario 2, 10 and 18 m SRS antennas)</w:t>
      </w:r>
    </w:p>
    <w:p w:rsidR="00AA2BE3" w:rsidRPr="006C2078" w:rsidRDefault="00AA2BE3" w:rsidP="006119E4">
      <w:pPr>
        <w:pStyle w:val="Figure"/>
      </w:pPr>
      <w:r>
        <w:rPr>
          <w:noProof/>
          <w:lang w:val="en-US" w:eastAsia="zh-CN"/>
        </w:rPr>
        <w:drawing>
          <wp:inline distT="0" distB="0" distL="0" distR="0">
            <wp:extent cx="5995035" cy="4786630"/>
            <wp:effectExtent l="19050" t="0" r="5715" b="0"/>
            <wp:docPr id="7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0" cstate="print"/>
                    <a:srcRect/>
                    <a:stretch>
                      <a:fillRect/>
                    </a:stretch>
                  </pic:blipFill>
                  <pic:spPr bwMode="auto">
                    <a:xfrm>
                      <a:off x="0" y="0"/>
                      <a:ext cx="5995035" cy="4786630"/>
                    </a:xfrm>
                    <a:prstGeom prst="rect">
                      <a:avLst/>
                    </a:prstGeom>
                    <a:noFill/>
                    <a:ln w="9525">
                      <a:noFill/>
                      <a:miter lim="800000"/>
                      <a:headEnd/>
                      <a:tailEnd/>
                    </a:ln>
                  </pic:spPr>
                </pic:pic>
              </a:graphicData>
            </a:graphic>
          </wp:inline>
        </w:drawing>
      </w:r>
    </w:p>
    <w:p w:rsidR="00AA2BE3" w:rsidRPr="007D1EF7" w:rsidRDefault="00AA2BE3" w:rsidP="001B622A">
      <w:pPr>
        <w:rPr>
          <w:lang w:val="en-US"/>
        </w:rPr>
      </w:pPr>
      <w:r w:rsidRPr="007D1EF7">
        <w:rPr>
          <w:lang w:val="en-US"/>
        </w:rPr>
        <w:t xml:space="preserve">Results in this section have indicated that if 10 m antennas are considered for the SRS transmitting earth stations and the difference in antenna gain (approximately 5.1 dB) is compensated by increasing the power, the </w:t>
      </w:r>
      <w:r w:rsidRPr="007D1EF7">
        <w:rPr>
          <w:i/>
          <w:lang w:val="en-US"/>
        </w:rPr>
        <w:t>I</w:t>
      </w:r>
      <w:r w:rsidRPr="007D1EF7">
        <w:rPr>
          <w:lang w:val="en-US"/>
        </w:rPr>
        <w:t>/</w:t>
      </w:r>
      <w:r w:rsidRPr="007D1EF7">
        <w:rPr>
          <w:i/>
          <w:lang w:val="en-US"/>
        </w:rPr>
        <w:t>N</w:t>
      </w:r>
      <w:r w:rsidRPr="007D1EF7">
        <w:rPr>
          <w:lang w:val="en-US"/>
        </w:rPr>
        <w:t xml:space="preserve"> cumulative distribution functions (unconditional and conditional) will be shifted by approximately 5.1 dB to the right, in the neighbourhood of the interference criterion. This is indeed expected since the interference reaching the ISS satellite comes mainly from the side-lobe of the SRS transmitting antenna, which does not change when the antenna size is decreased to 10</w:t>
      </w:r>
      <w:r w:rsidR="001B622A" w:rsidRPr="007D1EF7">
        <w:rPr>
          <w:lang w:val="en-US"/>
        </w:rPr>
        <w:t> </w:t>
      </w:r>
      <w:r w:rsidRPr="007D1EF7">
        <w:rPr>
          <w:lang w:val="en-US"/>
        </w:rPr>
        <w:t xml:space="preserve">m. </w:t>
      </w:r>
    </w:p>
    <w:p w:rsidR="00AA2BE3" w:rsidRPr="007D1EF7" w:rsidRDefault="00AA2BE3" w:rsidP="001B622A">
      <w:pPr>
        <w:pStyle w:val="Heading2"/>
        <w:rPr>
          <w:lang w:val="en-US"/>
        </w:rPr>
      </w:pPr>
      <w:bookmarkStart w:id="90" w:name="_Toc277668652"/>
      <w:r w:rsidRPr="007D1EF7">
        <w:rPr>
          <w:lang w:val="en-US"/>
        </w:rPr>
        <w:t>3.7</w:t>
      </w:r>
      <w:r w:rsidRPr="007D1EF7">
        <w:rPr>
          <w:lang w:val="en-US"/>
        </w:rPr>
        <w:tab/>
        <w:t>Effect of the number of SRS earth stations</w:t>
      </w:r>
      <w:bookmarkEnd w:id="90"/>
    </w:p>
    <w:p w:rsidR="00AA2BE3" w:rsidRPr="007D1EF7" w:rsidRDefault="00AA2BE3" w:rsidP="006119E4">
      <w:pPr>
        <w:rPr>
          <w:lang w:val="en-US"/>
        </w:rPr>
      </w:pPr>
      <w:r w:rsidRPr="007D1EF7">
        <w:rPr>
          <w:lang w:val="en-US"/>
        </w:rPr>
        <w:t xml:space="preserve">To examine the effect of the number of SRS earth stations the statistical behaviour of the </w:t>
      </w:r>
      <w:r w:rsidRPr="007D1EF7">
        <w:rPr>
          <w:i/>
          <w:lang w:val="en-US"/>
        </w:rPr>
        <w:t>I</w:t>
      </w:r>
      <w:r w:rsidRPr="007D1EF7">
        <w:rPr>
          <w:lang w:val="en-US"/>
        </w:rPr>
        <w:t>/</w:t>
      </w:r>
      <w:r w:rsidRPr="007D1EF7">
        <w:rPr>
          <w:i/>
          <w:lang w:val="en-US"/>
        </w:rPr>
        <w:t>N</w:t>
      </w:r>
      <w:r w:rsidRPr="007D1EF7">
        <w:rPr>
          <w:lang w:val="en-US"/>
        </w:rPr>
        <w:t xml:space="preserve"> ratio, Scenario 4 was re-evaluated. Except for the number of SRS earth stations, here equal to 15, all other assumptions are the same as those in Scenario 4. All SRS earth stations were assumed to be located at 70° latitude and with longitudes uniformly distributed in (0°,360°). </w:t>
      </w:r>
      <w:r w:rsidRPr="007D1EF7">
        <w:rPr>
          <w:szCs w:val="24"/>
          <w:lang w:val="en-US"/>
        </w:rPr>
        <w:t xml:space="preserve">Although such a case would not be realistic for lunar missions, the results indicate the sensitivity in case of increasing numbers of SRS stations operated on the same frequency channel. </w:t>
      </w:r>
      <w:r w:rsidRPr="007D1EF7">
        <w:rPr>
          <w:lang w:val="en-US"/>
        </w:rPr>
        <w:t xml:space="preserve">As in Scenario 4, the condition for an SRS earth station to be </w:t>
      </w:r>
      <w:r w:rsidRPr="007D1EF7">
        <w:rPr>
          <w:i/>
          <w:lang w:val="en-US"/>
        </w:rPr>
        <w:t>active</w:t>
      </w:r>
      <w:r w:rsidRPr="007D1EF7">
        <w:rPr>
          <w:lang w:val="en-US"/>
        </w:rPr>
        <w:t xml:space="preserve"> (transmitting) is that it sees the Moon with an elevation angle greater than or equal to zero and it is assumed that simultaneously active earth stations transmit co-channel. The </w:t>
      </w:r>
      <w:r w:rsidRPr="007D1EF7">
        <w:rPr>
          <w:i/>
          <w:lang w:val="en-US"/>
        </w:rPr>
        <w:t>I</w:t>
      </w:r>
      <w:r w:rsidRPr="007D1EF7">
        <w:rPr>
          <w:lang w:val="en-US"/>
        </w:rPr>
        <w:t>/</w:t>
      </w:r>
      <w:r w:rsidRPr="007D1EF7">
        <w:rPr>
          <w:i/>
          <w:lang w:val="en-US"/>
        </w:rPr>
        <w:t>N</w:t>
      </w:r>
      <w:r w:rsidRPr="007D1EF7">
        <w:rPr>
          <w:lang w:val="en-US"/>
        </w:rPr>
        <w:t xml:space="preserve"> ratio is then calculated considering the aggregate interference from simultaneously active SRS earth stations. The obtained results are presented in the following section. </w:t>
      </w:r>
    </w:p>
    <w:p w:rsidR="00AA2BE3" w:rsidRPr="007D1EF7" w:rsidRDefault="00AA2BE3" w:rsidP="001B622A">
      <w:pPr>
        <w:pStyle w:val="Heading3"/>
        <w:rPr>
          <w:lang w:val="en-US"/>
        </w:rPr>
      </w:pPr>
      <w:r w:rsidRPr="007D1EF7">
        <w:rPr>
          <w:lang w:val="en-US"/>
        </w:rPr>
        <w:lastRenderedPageBreak/>
        <w:t>3.7.1</w:t>
      </w:r>
      <w:r w:rsidRPr="007D1EF7">
        <w:rPr>
          <w:lang w:val="en-US"/>
        </w:rPr>
        <w:tab/>
        <w:t>Scenario 4 – 15 SRS earth stations</w:t>
      </w:r>
    </w:p>
    <w:p w:rsidR="00AA2BE3" w:rsidRPr="007D1EF7" w:rsidRDefault="00AA2BE3" w:rsidP="00AA2BE3">
      <w:pPr>
        <w:rPr>
          <w:lang w:val="en-US"/>
        </w:rPr>
      </w:pPr>
      <w:r w:rsidRPr="007D1EF7">
        <w:rPr>
          <w:lang w:val="en-US"/>
        </w:rPr>
        <w:t xml:space="preserve">The resulting cumulative distribution functions are shown in Fig. A6-13 for the four ISS receiving antennas. To better visualize the effect of increasing the number of SRS earth stations, this figure also presents the CDFs resulting from the use of 3 and 15 SRS earth stations. The results indicate that if the number of SRS interfering earth stations is increased from 3 to 15 the </w:t>
      </w:r>
      <w:r w:rsidRPr="007D1EF7">
        <w:rPr>
          <w:i/>
          <w:lang w:val="en-US"/>
        </w:rPr>
        <w:t>I</w:t>
      </w:r>
      <w:r w:rsidRPr="007D1EF7">
        <w:rPr>
          <w:lang w:val="en-US"/>
        </w:rPr>
        <w:t>/</w:t>
      </w:r>
      <w:r w:rsidRPr="007D1EF7">
        <w:rPr>
          <w:i/>
          <w:lang w:val="en-US"/>
        </w:rPr>
        <w:t>N</w:t>
      </w:r>
      <w:r w:rsidRPr="007D1EF7">
        <w:rPr>
          <w:lang w:val="en-US"/>
        </w:rPr>
        <w:t xml:space="preserve"> cumulative distribution functions (unconditional and conditional) will be shifted by approximately 7.0 dB to the right, in the neighbourhood of the interference criterion (a 7.0 dB reduction in the protection margin</w:t>
      </w:r>
      <w:r w:rsidRPr="007D1EF7">
        <w:rPr>
          <w:szCs w:val="24"/>
          <w:lang w:val="en-US"/>
        </w:rPr>
        <w:t xml:space="preserve"> with respect to the results in Scenario 4</w:t>
      </w:r>
      <w:r w:rsidRPr="007D1EF7">
        <w:rPr>
          <w:lang w:val="en-US"/>
        </w:rPr>
        <w:t xml:space="preserve">). </w:t>
      </w:r>
    </w:p>
    <w:p w:rsidR="00A47FF8" w:rsidRPr="007D1EF7" w:rsidRDefault="00A47FF8" w:rsidP="00AA2BE3">
      <w:pPr>
        <w:rPr>
          <w:lang w:val="en-US"/>
        </w:rPr>
      </w:pPr>
    </w:p>
    <w:p w:rsidR="00AA2BE3" w:rsidRPr="007D1EF7" w:rsidRDefault="00AA2BE3" w:rsidP="00AA2BE3">
      <w:pPr>
        <w:pStyle w:val="FigureNo"/>
        <w:rPr>
          <w:lang w:val="en-US"/>
        </w:rPr>
      </w:pPr>
      <w:r w:rsidRPr="007D1EF7">
        <w:rPr>
          <w:lang w:val="en-US"/>
        </w:rPr>
        <w:t>Figure A6-13</w:t>
      </w:r>
    </w:p>
    <w:p w:rsidR="00AA2BE3" w:rsidRPr="007D1EF7" w:rsidRDefault="00AA2BE3" w:rsidP="006119E4">
      <w:pPr>
        <w:pStyle w:val="Figuretitle"/>
        <w:rPr>
          <w:szCs w:val="24"/>
          <w:lang w:val="en-US"/>
        </w:rPr>
      </w:pPr>
      <w:r w:rsidRPr="007D1EF7">
        <w:rPr>
          <w:szCs w:val="24"/>
          <w:lang w:val="en-US"/>
        </w:rPr>
        <w:t xml:space="preserve">Cumulative distribution functions of the ratio </w:t>
      </w:r>
      <w:r w:rsidRPr="007D1EF7">
        <w:rPr>
          <w:b w:val="0"/>
          <w:i/>
          <w:szCs w:val="24"/>
          <w:lang w:val="en-US"/>
        </w:rPr>
        <w:t>I</w:t>
      </w:r>
      <w:r w:rsidR="001B622A" w:rsidRPr="007D1EF7">
        <w:rPr>
          <w:rFonts w:ascii="Times New Roman"/>
          <w:b w:val="0"/>
          <w:i/>
          <w:sz w:val="8"/>
          <w:szCs w:val="24"/>
          <w:lang w:val="en-US"/>
        </w:rPr>
        <w:t xml:space="preserve"> </w:t>
      </w:r>
      <w:r w:rsidRPr="007D1EF7">
        <w:rPr>
          <w:szCs w:val="24"/>
          <w:lang w:val="en-US"/>
        </w:rPr>
        <w:t>/</w:t>
      </w:r>
      <w:r w:rsidRPr="007D1EF7">
        <w:rPr>
          <w:b w:val="0"/>
          <w:i/>
          <w:szCs w:val="24"/>
          <w:lang w:val="en-US"/>
        </w:rPr>
        <w:t>N</w:t>
      </w:r>
      <w:r w:rsidRPr="007D1EF7">
        <w:rPr>
          <w:szCs w:val="24"/>
          <w:lang w:val="en-US"/>
        </w:rPr>
        <w:t xml:space="preserve"> given that the victim satellite is receiving interference</w:t>
      </w:r>
      <w:r w:rsidR="006119E4" w:rsidRPr="007D1EF7">
        <w:rPr>
          <w:szCs w:val="24"/>
          <w:lang w:val="en-US"/>
        </w:rPr>
        <w:br/>
      </w:r>
      <w:r w:rsidRPr="007D1EF7">
        <w:rPr>
          <w:szCs w:val="24"/>
          <w:lang w:val="en-US"/>
        </w:rPr>
        <w:t xml:space="preserve">(Scenario 4, 3 and 15 SRS earth stations, </w:t>
      </w:r>
      <w:r w:rsidRPr="007D1EF7">
        <w:rPr>
          <w:b w:val="0"/>
          <w:i/>
          <w:szCs w:val="24"/>
          <w:lang w:val="en-US"/>
        </w:rPr>
        <w:t>p</w:t>
      </w:r>
      <w:r w:rsidRPr="006C2078">
        <w:rPr>
          <w:rFonts w:ascii="Symbol" w:hAnsi="Symbol"/>
          <w:b w:val="0"/>
          <w:szCs w:val="24"/>
          <w:vertAlign w:val="subscript"/>
        </w:rPr>
        <w:t></w:t>
      </w:r>
      <w:r w:rsidRPr="007D1EF7">
        <w:rPr>
          <w:b w:val="0"/>
          <w:szCs w:val="24"/>
          <w:lang w:val="en-US"/>
        </w:rPr>
        <w:t>(</w:t>
      </w:r>
      <w:r w:rsidRPr="006C2078">
        <w:rPr>
          <w:rFonts w:ascii="Symbol" w:hAnsi="Symbol"/>
          <w:b w:val="0"/>
          <w:szCs w:val="24"/>
        </w:rPr>
        <w:t></w:t>
      </w:r>
      <w:r w:rsidRPr="007D1EF7">
        <w:rPr>
          <w:b w:val="0"/>
          <w:szCs w:val="24"/>
          <w:lang w:val="en-US"/>
        </w:rPr>
        <w:t>)</w:t>
      </w:r>
      <w:r w:rsidRPr="007D1EF7">
        <w:rPr>
          <w:b w:val="0"/>
          <w:szCs w:val="24"/>
          <w:vertAlign w:val="subscript"/>
          <w:lang w:val="en-US"/>
        </w:rPr>
        <w:t>2</w:t>
      </w:r>
      <w:r w:rsidRPr="007D1EF7">
        <w:rPr>
          <w:szCs w:val="24"/>
          <w:lang w:val="en-US"/>
        </w:rPr>
        <w:t>)</w:t>
      </w:r>
    </w:p>
    <w:p w:rsidR="00AA2BE3" w:rsidRPr="006C2078" w:rsidRDefault="00AA2BE3" w:rsidP="006119E4">
      <w:pPr>
        <w:pStyle w:val="Figure"/>
      </w:pPr>
      <w:r>
        <w:rPr>
          <w:noProof/>
          <w:lang w:val="en-US" w:eastAsia="zh-CN"/>
        </w:rPr>
        <w:drawing>
          <wp:inline distT="0" distB="0" distL="0" distR="0">
            <wp:extent cx="5995035" cy="4786630"/>
            <wp:effectExtent l="19050" t="0" r="5715" b="0"/>
            <wp:docPr id="71"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1" cstate="print"/>
                    <a:srcRect/>
                    <a:stretch>
                      <a:fillRect/>
                    </a:stretch>
                  </pic:blipFill>
                  <pic:spPr bwMode="auto">
                    <a:xfrm>
                      <a:off x="0" y="0"/>
                      <a:ext cx="5995035" cy="4786630"/>
                    </a:xfrm>
                    <a:prstGeom prst="rect">
                      <a:avLst/>
                    </a:prstGeom>
                    <a:noFill/>
                    <a:ln w="9525">
                      <a:noFill/>
                      <a:miter lim="800000"/>
                      <a:headEnd/>
                      <a:tailEnd/>
                    </a:ln>
                  </pic:spPr>
                </pic:pic>
              </a:graphicData>
            </a:graphic>
          </wp:inline>
        </w:drawing>
      </w:r>
    </w:p>
    <w:p w:rsidR="00AA2BE3" w:rsidRPr="007D1EF7" w:rsidRDefault="00AA2BE3" w:rsidP="00AA2BE3">
      <w:pPr>
        <w:pStyle w:val="Heading1"/>
        <w:rPr>
          <w:lang w:val="en-US"/>
        </w:rPr>
      </w:pPr>
      <w:bookmarkStart w:id="91" w:name="_Toc277668653"/>
      <w:r w:rsidRPr="007D1EF7">
        <w:rPr>
          <w:lang w:val="en-US"/>
        </w:rPr>
        <w:lastRenderedPageBreak/>
        <w:t>4</w:t>
      </w:r>
      <w:r w:rsidRPr="007D1EF7">
        <w:rPr>
          <w:lang w:val="en-US"/>
        </w:rPr>
        <w:tab/>
        <w:t>Conclusion</w:t>
      </w:r>
      <w:bookmarkEnd w:id="91"/>
    </w:p>
    <w:p w:rsidR="00AA2BE3" w:rsidRPr="007D1EF7" w:rsidRDefault="00AA2BE3" w:rsidP="00A47FF8">
      <w:pPr>
        <w:keepLines/>
        <w:rPr>
          <w:szCs w:val="24"/>
          <w:lang w:val="en-US"/>
        </w:rPr>
      </w:pPr>
      <w:r w:rsidRPr="007D1EF7">
        <w:rPr>
          <w:lang w:val="en-US"/>
        </w:rPr>
        <w:t xml:space="preserve">Results in scenarios 1 and 2 have indicated a 38 dB margin with respect to the in-band protection criterion and, assuming a 30 dB frequency discrimination factor, a 50 dB margin with respect to the out-of-band protection criterion. The study also examined the </w:t>
      </w:r>
      <w:r w:rsidR="009872B6" w:rsidRPr="007D1EF7">
        <w:rPr>
          <w:lang w:val="en-US"/>
        </w:rPr>
        <w:t>“</w:t>
      </w:r>
      <w:r w:rsidRPr="007D1EF7">
        <w:rPr>
          <w:lang w:val="en-US"/>
        </w:rPr>
        <w:t>Conditional</w:t>
      </w:r>
      <w:r w:rsidR="009872B6" w:rsidRPr="007D1EF7">
        <w:rPr>
          <w:lang w:val="en-US"/>
        </w:rPr>
        <w:t>”</w:t>
      </w:r>
      <w:r w:rsidRPr="007D1EF7">
        <w:rPr>
          <w:lang w:val="en-US"/>
        </w:rPr>
        <w:t xml:space="preserve"> </w:t>
      </w:r>
      <w:r w:rsidRPr="007D1EF7">
        <w:rPr>
          <w:i/>
          <w:iCs/>
          <w:lang w:val="en-US"/>
        </w:rPr>
        <w:t>I</w:t>
      </w:r>
      <w:r w:rsidRPr="007D1EF7">
        <w:rPr>
          <w:lang w:val="en-US"/>
        </w:rPr>
        <w:t>/</w:t>
      </w:r>
      <w:r w:rsidRPr="007D1EF7">
        <w:rPr>
          <w:i/>
          <w:iCs/>
          <w:lang w:val="en-US"/>
        </w:rPr>
        <w:t>N</w:t>
      </w:r>
      <w:r w:rsidRPr="007D1EF7">
        <w:rPr>
          <w:lang w:val="en-US"/>
        </w:rPr>
        <w:t xml:space="preserve"> cdf, which describes the </w:t>
      </w:r>
      <w:r w:rsidRPr="007D1EF7">
        <w:rPr>
          <w:i/>
          <w:iCs/>
          <w:lang w:val="en-US"/>
        </w:rPr>
        <w:t>I</w:t>
      </w:r>
      <w:r w:rsidRPr="007D1EF7">
        <w:rPr>
          <w:lang w:val="en-US"/>
        </w:rPr>
        <w:t>/</w:t>
      </w:r>
      <w:r w:rsidRPr="007D1EF7">
        <w:rPr>
          <w:i/>
          <w:iCs/>
          <w:lang w:val="en-US"/>
        </w:rPr>
        <w:t>N</w:t>
      </w:r>
      <w:r w:rsidRPr="007D1EF7">
        <w:rPr>
          <w:lang w:val="en-US"/>
        </w:rPr>
        <w:t xml:space="preserve"> distribution under the condition that the ISS link is receiving non-zero interference. Although there were no applicable protection criteria against which to measure the absolute impact, the results were found to be useful by describing the impact on the overall system. Results have indicated that there would be a difference of around 16 dB on the overall multi-link ISS system, compared to a single ISS link.</w:t>
      </w:r>
    </w:p>
    <w:p w:rsidR="00AA2BE3" w:rsidRPr="007D1EF7" w:rsidRDefault="00AA2BE3" w:rsidP="001B622A">
      <w:pPr>
        <w:rPr>
          <w:lang w:val="en-US"/>
        </w:rPr>
      </w:pPr>
      <w:r w:rsidRPr="007D1EF7">
        <w:rPr>
          <w:lang w:val="en-US"/>
        </w:rPr>
        <w:t xml:space="preserve">The sensitivity analysis in Scenario 3 indicated a 12 dB increase in the </w:t>
      </w:r>
      <w:r w:rsidRPr="007D1EF7">
        <w:rPr>
          <w:i/>
          <w:lang w:val="en-US"/>
        </w:rPr>
        <w:t>I</w:t>
      </w:r>
      <w:r w:rsidRPr="007D1EF7">
        <w:rPr>
          <w:lang w:val="en-US"/>
        </w:rPr>
        <w:t>/</w:t>
      </w:r>
      <w:r w:rsidRPr="007D1EF7">
        <w:rPr>
          <w:i/>
          <w:lang w:val="en-US"/>
        </w:rPr>
        <w:t>N</w:t>
      </w:r>
      <w:r w:rsidRPr="007D1EF7">
        <w:rPr>
          <w:lang w:val="en-US"/>
        </w:rPr>
        <w:t xml:space="preserve"> cumulative distribution function as the SRS earth station latitude was varied from 0</w:t>
      </w:r>
      <w:r w:rsidR="001B622A" w:rsidRPr="007D1EF7">
        <w:rPr>
          <w:lang w:val="en-US"/>
        </w:rPr>
        <w:t>°</w:t>
      </w:r>
      <w:r w:rsidRPr="007D1EF7">
        <w:rPr>
          <w:lang w:val="en-US"/>
        </w:rPr>
        <w:t xml:space="preserve"> to 70</w:t>
      </w:r>
      <w:r w:rsidR="001B622A" w:rsidRPr="007D1EF7">
        <w:rPr>
          <w:lang w:val="en-US"/>
        </w:rPr>
        <w:t>°</w:t>
      </w:r>
      <w:r w:rsidRPr="007D1EF7">
        <w:rPr>
          <w:lang w:val="en-US"/>
        </w:rPr>
        <w:t>. Considering an SRS station located at 35</w:t>
      </w:r>
      <w:r w:rsidR="001B622A" w:rsidRPr="007D1EF7">
        <w:rPr>
          <w:lang w:val="en-US"/>
        </w:rPr>
        <w:t>°</w:t>
      </w:r>
      <w:r w:rsidRPr="007D1EF7">
        <w:rPr>
          <w:lang w:val="en-US"/>
        </w:rPr>
        <w:t xml:space="preserve"> latitude as a reference, an increase in latitude to 70</w:t>
      </w:r>
      <w:r w:rsidR="001B622A" w:rsidRPr="007D1EF7">
        <w:rPr>
          <w:lang w:val="en-US"/>
        </w:rPr>
        <w:t>°</w:t>
      </w:r>
      <w:r w:rsidRPr="007D1EF7">
        <w:rPr>
          <w:lang w:val="en-US"/>
        </w:rPr>
        <w:t xml:space="preserve"> would result in a reduction of 7 dB in the protection margin and a decrease in latitude to 0</w:t>
      </w:r>
      <w:r w:rsidR="001B622A" w:rsidRPr="007D1EF7">
        <w:rPr>
          <w:lang w:val="en-US"/>
        </w:rPr>
        <w:t>°</w:t>
      </w:r>
      <w:r w:rsidRPr="007D1EF7">
        <w:rPr>
          <w:lang w:val="en-US"/>
        </w:rPr>
        <w:t xml:space="preserve"> would result in an increase of 5 dB in the protection margin. This result motivated the examination of scenarios 4 and 5. The results in these scenarios have indicated a 32 dB margin with respect to the in-band protection criterion and, assuming a 30 dB frequency discrimination factor, a 42 dB margin with respect to the out-of-band protection criterion.</w:t>
      </w:r>
    </w:p>
    <w:p w:rsidR="00AA2BE3" w:rsidRPr="007D1EF7" w:rsidRDefault="00AA2BE3" w:rsidP="001B622A">
      <w:pPr>
        <w:rPr>
          <w:lang w:val="en-US"/>
        </w:rPr>
      </w:pPr>
      <w:r w:rsidRPr="007D1EF7">
        <w:rPr>
          <w:lang w:val="en-US"/>
        </w:rPr>
        <w:t>The effect of decreasing the SRS antenna size from 18 to 10 m was also anal</w:t>
      </w:r>
      <w:r w:rsidRPr="007D1EF7">
        <w:rPr>
          <w:iCs/>
          <w:lang w:val="en-US"/>
        </w:rPr>
        <w:t>yse</w:t>
      </w:r>
      <w:r w:rsidRPr="007D1EF7">
        <w:rPr>
          <w:lang w:val="en-US"/>
        </w:rPr>
        <w:t xml:space="preserve">d. This decrease in antenna size has reduced the protection margin by 5.1 dB as the power is increased to compensate for the difference in antenna gain. </w:t>
      </w:r>
    </w:p>
    <w:p w:rsidR="00AA2BE3" w:rsidRPr="007D1EF7" w:rsidRDefault="00AA2BE3" w:rsidP="001B622A">
      <w:pPr>
        <w:rPr>
          <w:rFonts w:cs="Calibri"/>
          <w:lang w:val="en-US"/>
        </w:rPr>
      </w:pPr>
      <w:r w:rsidRPr="007D1EF7">
        <w:rPr>
          <w:lang w:val="en-US"/>
        </w:rPr>
        <w:t>A further hypothetical case was considered in which 15 SRS earth stations were modelled, located at 70</w:t>
      </w:r>
      <w:r w:rsidR="001B622A" w:rsidRPr="007D1EF7">
        <w:rPr>
          <w:lang w:val="en-US"/>
        </w:rPr>
        <w:t>°</w:t>
      </w:r>
      <w:r w:rsidRPr="007D1EF7">
        <w:rPr>
          <w:lang w:val="en-US"/>
        </w:rPr>
        <w:t xml:space="preserve"> latitude and spread evenly in longitude, and operating co-frequency. Although such a case would not be possible for lunar missions, it indicated the sensitivity in case increasing numbers of SRS stations operated on the same frequency channel. The result showed that the protection margin was reduced by approximately 7 dB</w:t>
      </w:r>
      <w:r w:rsidRPr="007D1EF7">
        <w:rPr>
          <w:rFonts w:cs="Calibri"/>
          <w:lang w:val="en-US"/>
        </w:rPr>
        <w:t xml:space="preserve">. </w:t>
      </w:r>
    </w:p>
    <w:p w:rsidR="00EC61F5" w:rsidRPr="007D1EF7" w:rsidRDefault="00EC61F5" w:rsidP="001B622A">
      <w:pPr>
        <w:rPr>
          <w:rFonts w:cs="Calibri"/>
          <w:lang w:val="en-US"/>
        </w:rPr>
      </w:pPr>
    </w:p>
    <w:p w:rsidR="00440D7C" w:rsidRPr="007D1EF7" w:rsidRDefault="00440D7C" w:rsidP="00440D7C">
      <w:pPr>
        <w:pStyle w:val="Reftitle"/>
        <w:rPr>
          <w:lang w:val="en-US"/>
        </w:rPr>
      </w:pPr>
      <w:r w:rsidRPr="007D1EF7">
        <w:rPr>
          <w:lang w:val="en-US"/>
        </w:rPr>
        <w:t>References</w:t>
      </w:r>
    </w:p>
    <w:p w:rsidR="00440D7C" w:rsidRPr="007D1EF7" w:rsidRDefault="00440D7C" w:rsidP="00440D7C">
      <w:pPr>
        <w:pStyle w:val="Reftext"/>
        <w:rPr>
          <w:lang w:val="en-US"/>
        </w:rPr>
      </w:pPr>
    </w:p>
    <w:p w:rsidR="00AA2BE3" w:rsidRPr="007D1EF7" w:rsidRDefault="00AA2BE3" w:rsidP="00440D7C">
      <w:pPr>
        <w:pStyle w:val="Reftext"/>
        <w:rPr>
          <w:lang w:val="en-US"/>
        </w:rPr>
      </w:pPr>
      <w:r w:rsidRPr="007D1EF7">
        <w:rPr>
          <w:lang w:val="en-US"/>
        </w:rPr>
        <w:t>[1]</w:t>
      </w:r>
      <w:r w:rsidRPr="007D1EF7">
        <w:rPr>
          <w:lang w:val="en-US"/>
        </w:rPr>
        <w:tab/>
      </w:r>
      <w:r w:rsidR="00440D7C" w:rsidRPr="007D1EF7">
        <w:rPr>
          <w:lang w:val="en-US"/>
        </w:rPr>
        <w:t xml:space="preserve">Recommendation ITU-R F.1245-1 (2000) – </w:t>
      </w:r>
      <w:r w:rsidRPr="007D1EF7">
        <w:rPr>
          <w:lang w:val="en-US"/>
        </w:rPr>
        <w:t>Mathematical Model of Average and Related Radiation Patterns for Line-of-sight Point</w:t>
      </w:r>
      <w:r w:rsidRPr="007D1EF7">
        <w:rPr>
          <w:lang w:val="en-US"/>
        </w:rPr>
        <w:noBreakHyphen/>
        <w:t>to-point Radio-relay System Antennas for Use in Certain Coordination Studies and Interference Assessment in the Frequency Range from 1 GHz to about 70</w:t>
      </w:r>
      <w:r w:rsidR="00440D7C" w:rsidRPr="007D1EF7">
        <w:rPr>
          <w:lang w:val="en-US"/>
        </w:rPr>
        <w:t> </w:t>
      </w:r>
      <w:r w:rsidRPr="007D1EF7">
        <w:rPr>
          <w:lang w:val="en-US"/>
        </w:rPr>
        <w:t>GHz.</w:t>
      </w:r>
    </w:p>
    <w:p w:rsidR="00AA2BE3" w:rsidRPr="007D1EF7" w:rsidRDefault="00AA2BE3" w:rsidP="00440D7C">
      <w:pPr>
        <w:pStyle w:val="Reftext"/>
        <w:rPr>
          <w:lang w:val="en-US"/>
        </w:rPr>
      </w:pPr>
      <w:r w:rsidRPr="007D1EF7">
        <w:rPr>
          <w:lang w:val="en-US"/>
        </w:rPr>
        <w:t>[2]</w:t>
      </w:r>
      <w:r w:rsidRPr="007D1EF7">
        <w:rPr>
          <w:lang w:val="en-US"/>
        </w:rPr>
        <w:tab/>
        <w:t>F</w:t>
      </w:r>
      <w:r w:rsidR="00440D7C" w:rsidRPr="007D1EF7">
        <w:rPr>
          <w:lang w:val="en-US"/>
        </w:rPr>
        <w:t>ORTES</w:t>
      </w:r>
      <w:r w:rsidRPr="007D1EF7">
        <w:rPr>
          <w:lang w:val="en-US"/>
        </w:rPr>
        <w:t>, J. M. and S</w:t>
      </w:r>
      <w:r w:rsidR="00440D7C" w:rsidRPr="007D1EF7">
        <w:rPr>
          <w:lang w:val="en-US"/>
        </w:rPr>
        <w:t>AMPAIO-NETO</w:t>
      </w:r>
      <w:r w:rsidR="00472456" w:rsidRPr="007D1EF7">
        <w:rPr>
          <w:lang w:val="en-US"/>
        </w:rPr>
        <w:t>,</w:t>
      </w:r>
      <w:r w:rsidRPr="007D1EF7">
        <w:rPr>
          <w:lang w:val="en-US"/>
        </w:rPr>
        <w:t xml:space="preserve"> R.</w:t>
      </w:r>
      <w:r w:rsidR="00440D7C" w:rsidRPr="007D1EF7">
        <w:rPr>
          <w:lang w:val="en-US"/>
        </w:rPr>
        <w:t xml:space="preserve"> [1999]</w:t>
      </w:r>
      <w:r w:rsidRPr="007D1EF7">
        <w:rPr>
          <w:lang w:val="en-US"/>
        </w:rPr>
        <w:t xml:space="preserve"> An Analytical Method for assessing interference in interference environments involving non-GSO satellite networks</w:t>
      </w:r>
      <w:r w:rsidR="00440D7C" w:rsidRPr="007D1EF7">
        <w:rPr>
          <w:lang w:val="en-US"/>
        </w:rPr>
        <w:t>.</w:t>
      </w:r>
      <w:r w:rsidRPr="007D1EF7">
        <w:rPr>
          <w:lang w:val="en-US"/>
        </w:rPr>
        <w:t xml:space="preserve"> International Journal of Satellite C</w:t>
      </w:r>
      <w:r w:rsidR="001B622A" w:rsidRPr="007D1EF7">
        <w:rPr>
          <w:lang w:val="en-US"/>
        </w:rPr>
        <w:t xml:space="preserve">ommunications, Vol. 17, </w:t>
      </w:r>
      <w:r w:rsidR="001B622A" w:rsidRPr="007D1EF7">
        <w:rPr>
          <w:b/>
          <w:bCs/>
          <w:lang w:val="en-US"/>
        </w:rPr>
        <w:t>6</w:t>
      </w:r>
      <w:r w:rsidR="001B622A" w:rsidRPr="007D1EF7">
        <w:rPr>
          <w:lang w:val="en-US"/>
        </w:rPr>
        <w:t xml:space="preserve">, </w:t>
      </w:r>
      <w:r w:rsidRPr="007D1EF7">
        <w:rPr>
          <w:lang w:val="en-US"/>
        </w:rPr>
        <w:t>p 399-419</w:t>
      </w:r>
      <w:r w:rsidR="00440D7C" w:rsidRPr="007D1EF7">
        <w:rPr>
          <w:lang w:val="en-US"/>
        </w:rPr>
        <w:t xml:space="preserve"> </w:t>
      </w:r>
      <w:r w:rsidRPr="007D1EF7">
        <w:rPr>
          <w:lang w:val="en-US"/>
        </w:rPr>
        <w:t xml:space="preserve"> and </w:t>
      </w:r>
      <w:r w:rsidR="001B622A" w:rsidRPr="007D1EF7">
        <w:rPr>
          <w:lang w:val="en-US"/>
        </w:rPr>
        <w:t xml:space="preserve">Corrigendum in Vol. 18, </w:t>
      </w:r>
      <w:r w:rsidR="001B622A" w:rsidRPr="007D1EF7">
        <w:rPr>
          <w:b/>
          <w:bCs/>
          <w:lang w:val="en-US"/>
        </w:rPr>
        <w:t>3</w:t>
      </w:r>
      <w:r w:rsidR="001B622A" w:rsidRPr="007D1EF7">
        <w:rPr>
          <w:lang w:val="en-US"/>
        </w:rPr>
        <w:t xml:space="preserve">, </w:t>
      </w:r>
      <w:r w:rsidRPr="007D1EF7">
        <w:rPr>
          <w:lang w:val="en-US"/>
        </w:rPr>
        <w:t>p 219, 2000.</w:t>
      </w:r>
    </w:p>
    <w:p w:rsidR="00AA2BE3" w:rsidRPr="007D1EF7" w:rsidRDefault="00AA2BE3" w:rsidP="00440D7C">
      <w:pPr>
        <w:pStyle w:val="Reftext"/>
        <w:rPr>
          <w:lang w:val="en-US"/>
        </w:rPr>
      </w:pPr>
      <w:r w:rsidRPr="007D1EF7">
        <w:rPr>
          <w:lang w:val="en-US"/>
        </w:rPr>
        <w:t>[3]</w:t>
      </w:r>
      <w:r w:rsidRPr="007D1EF7">
        <w:rPr>
          <w:lang w:val="en-US"/>
        </w:rPr>
        <w:tab/>
      </w:r>
      <w:r w:rsidR="00440D7C" w:rsidRPr="007D1EF7">
        <w:rPr>
          <w:lang w:val="en-US"/>
        </w:rPr>
        <w:t xml:space="preserve">Recommendation ITU-R S.1529 (2001) – </w:t>
      </w:r>
      <w:r w:rsidRPr="007D1EF7">
        <w:rPr>
          <w:lang w:val="en-US"/>
        </w:rPr>
        <w:t>Analytic Method for determining the statistics of interference between non-GSO FSS systems and other non-GSO FSS systems or GSO FSS networks.</w:t>
      </w:r>
    </w:p>
    <w:p w:rsidR="00AA2BE3" w:rsidRPr="007D1EF7" w:rsidRDefault="00AA2BE3" w:rsidP="00440D7C">
      <w:pPr>
        <w:pStyle w:val="Reftext"/>
        <w:rPr>
          <w:lang w:val="en-US"/>
        </w:rPr>
      </w:pPr>
      <w:r w:rsidRPr="007D1EF7">
        <w:rPr>
          <w:lang w:val="en-US"/>
        </w:rPr>
        <w:t>[4]</w:t>
      </w:r>
      <w:r w:rsidRPr="007D1EF7">
        <w:rPr>
          <w:lang w:val="en-US"/>
        </w:rPr>
        <w:tab/>
        <w:t>F</w:t>
      </w:r>
      <w:r w:rsidR="00440D7C" w:rsidRPr="007D1EF7">
        <w:rPr>
          <w:lang w:val="en-US"/>
        </w:rPr>
        <w:t>ORTES</w:t>
      </w:r>
      <w:r w:rsidRPr="007D1EF7">
        <w:rPr>
          <w:lang w:val="en-US"/>
        </w:rPr>
        <w:t>, J. M., S</w:t>
      </w:r>
      <w:r w:rsidR="00440D7C" w:rsidRPr="007D1EF7">
        <w:rPr>
          <w:lang w:val="en-US"/>
        </w:rPr>
        <w:t>AMPAIO-NETO</w:t>
      </w:r>
      <w:r w:rsidRPr="007D1EF7">
        <w:rPr>
          <w:lang w:val="en-US"/>
        </w:rPr>
        <w:t xml:space="preserve"> R. and G</w:t>
      </w:r>
      <w:r w:rsidR="00440D7C" w:rsidRPr="007D1EF7">
        <w:rPr>
          <w:lang w:val="en-US"/>
        </w:rPr>
        <w:t>OICOCHEA</w:t>
      </w:r>
      <w:r w:rsidR="00472456" w:rsidRPr="007D1EF7">
        <w:rPr>
          <w:lang w:val="en-US"/>
        </w:rPr>
        <w:t>,</w:t>
      </w:r>
      <w:r w:rsidRPr="007D1EF7">
        <w:rPr>
          <w:lang w:val="en-US"/>
        </w:rPr>
        <w:t xml:space="preserve"> J. M.</w:t>
      </w:r>
      <w:r w:rsidR="00440D7C" w:rsidRPr="007D1EF7">
        <w:rPr>
          <w:lang w:val="en-US"/>
        </w:rPr>
        <w:t xml:space="preserve"> [February</w:t>
      </w:r>
      <w:r w:rsidR="00472456" w:rsidRPr="007D1EF7">
        <w:rPr>
          <w:lang w:val="en-US"/>
        </w:rPr>
        <w:t>,</w:t>
      </w:r>
      <w:r w:rsidR="00440D7C" w:rsidRPr="007D1EF7">
        <w:rPr>
          <w:lang w:val="en-US"/>
        </w:rPr>
        <w:t xml:space="preserve"> 2004]</w:t>
      </w:r>
      <w:r w:rsidRPr="007D1EF7">
        <w:rPr>
          <w:lang w:val="en-US"/>
        </w:rPr>
        <w:t xml:space="preserve"> Fast computation of interference statistics in multiple non-GSO satellite systems environments using the Analytical Method</w:t>
      </w:r>
      <w:r w:rsidR="00440D7C" w:rsidRPr="007D1EF7">
        <w:rPr>
          <w:lang w:val="en-US"/>
        </w:rPr>
        <w:t>.</w:t>
      </w:r>
      <w:r w:rsidRPr="007D1EF7">
        <w:rPr>
          <w:lang w:val="en-US"/>
        </w:rPr>
        <w:t xml:space="preserve"> IEE Proceedings on Communications Vol. 151</w:t>
      </w:r>
      <w:r w:rsidR="00440D7C" w:rsidRPr="007D1EF7">
        <w:rPr>
          <w:lang w:val="en-US"/>
        </w:rPr>
        <w:t>,</w:t>
      </w:r>
      <w:r w:rsidRPr="007D1EF7">
        <w:rPr>
          <w:lang w:val="en-US"/>
        </w:rPr>
        <w:t xml:space="preserve"> </w:t>
      </w:r>
      <w:r w:rsidRPr="007D1EF7">
        <w:rPr>
          <w:b/>
          <w:bCs/>
          <w:lang w:val="en-US"/>
        </w:rPr>
        <w:t>1</w:t>
      </w:r>
      <w:r w:rsidRPr="007D1EF7">
        <w:rPr>
          <w:lang w:val="en-US"/>
        </w:rPr>
        <w:t>.</w:t>
      </w:r>
    </w:p>
    <w:p w:rsidR="00AA2BE3" w:rsidRPr="007D1EF7" w:rsidRDefault="00AA2BE3" w:rsidP="00192341">
      <w:pPr>
        <w:rPr>
          <w:rFonts w:ascii="Times New Roman Bold" w:hAnsi="Times New Roman Bold"/>
          <w:b/>
          <w:sz w:val="28"/>
          <w:lang w:val="en-US"/>
        </w:rPr>
      </w:pPr>
      <w:r w:rsidRPr="007D1EF7">
        <w:rPr>
          <w:lang w:val="en-US"/>
        </w:rPr>
        <w:br w:type="page"/>
      </w:r>
    </w:p>
    <w:p w:rsidR="00AA2BE3" w:rsidRPr="007D1EF7" w:rsidRDefault="00AA2BE3" w:rsidP="00192341">
      <w:pPr>
        <w:pStyle w:val="AnnexNoTitle"/>
        <w:rPr>
          <w:lang w:val="en-US"/>
        </w:rPr>
      </w:pPr>
      <w:bookmarkStart w:id="92" w:name="_Toc277668654"/>
      <w:r w:rsidRPr="007D1EF7">
        <w:rPr>
          <w:lang w:val="en-US"/>
        </w:rPr>
        <w:lastRenderedPageBreak/>
        <w:t>Annex 7</w:t>
      </w:r>
      <w:r w:rsidRPr="007D1EF7">
        <w:rPr>
          <w:lang w:val="en-US"/>
        </w:rPr>
        <w:br/>
      </w:r>
      <w:r w:rsidRPr="007D1EF7">
        <w:rPr>
          <w:lang w:val="en-US"/>
        </w:rPr>
        <w:br/>
        <w:t>Summary of Study 7</w:t>
      </w:r>
      <w:bookmarkEnd w:id="92"/>
    </w:p>
    <w:p w:rsidR="00AA2BE3" w:rsidRPr="007D1EF7" w:rsidRDefault="00AA2BE3" w:rsidP="00AA2BE3">
      <w:pPr>
        <w:pStyle w:val="Heading1"/>
        <w:rPr>
          <w:lang w:val="en-US"/>
        </w:rPr>
      </w:pPr>
      <w:bookmarkStart w:id="93" w:name="_Toc277668655"/>
      <w:r w:rsidRPr="007D1EF7">
        <w:rPr>
          <w:lang w:val="en-US"/>
        </w:rPr>
        <w:t>1</w:t>
      </w:r>
      <w:r w:rsidRPr="007D1EF7">
        <w:rPr>
          <w:lang w:val="en-US"/>
        </w:rPr>
        <w:tab/>
        <w:t>Analysis methodology</w:t>
      </w:r>
      <w:bookmarkEnd w:id="93"/>
    </w:p>
    <w:p w:rsidR="00AA2BE3" w:rsidRPr="007D1EF7" w:rsidRDefault="00AA2BE3" w:rsidP="00AA2BE3">
      <w:pPr>
        <w:pStyle w:val="Heading2"/>
        <w:rPr>
          <w:lang w:val="en-US"/>
        </w:rPr>
      </w:pPr>
      <w:bookmarkStart w:id="94" w:name="_Toc277668656"/>
      <w:r w:rsidRPr="007D1EF7">
        <w:rPr>
          <w:lang w:val="en-US"/>
        </w:rPr>
        <w:t>1.1</w:t>
      </w:r>
      <w:r w:rsidRPr="007D1EF7">
        <w:rPr>
          <w:lang w:val="en-US"/>
        </w:rPr>
        <w:tab/>
        <w:t>In-band</w:t>
      </w:r>
      <w:bookmarkEnd w:id="94"/>
    </w:p>
    <w:p w:rsidR="00AA2BE3" w:rsidRPr="007D1EF7" w:rsidRDefault="00AA2BE3" w:rsidP="00AA2BE3">
      <w:pPr>
        <w:rPr>
          <w:lang w:val="en-US"/>
        </w:rPr>
      </w:pPr>
      <w:r w:rsidRPr="007D1EF7">
        <w:rPr>
          <w:lang w:val="en-US"/>
        </w:rPr>
        <w:t xml:space="preserve">Simulations were performed using a NASA internal simulation program and verified using Visualyse. The interference simulations assume that all interfering uplink carriers are transmitting 100% of the time when in view of the Moon. Simulations were run for a total time span of one year more precisely 365 days. At each time point, </w:t>
      </w:r>
      <w:r w:rsidRPr="007D1EF7">
        <w:rPr>
          <w:i/>
          <w:iCs/>
          <w:lang w:val="en-US"/>
        </w:rPr>
        <w:t>I</w:t>
      </w:r>
      <w:r w:rsidRPr="007D1EF7">
        <w:rPr>
          <w:lang w:val="en-US"/>
        </w:rPr>
        <w:t>/</w:t>
      </w:r>
      <w:r w:rsidRPr="007D1EF7">
        <w:rPr>
          <w:i/>
          <w:iCs/>
          <w:lang w:val="en-US"/>
        </w:rPr>
        <w:t>N</w:t>
      </w:r>
      <w:r w:rsidRPr="007D1EF7">
        <w:rPr>
          <w:lang w:val="en-US"/>
        </w:rPr>
        <w:t xml:space="preserve"> is calculated separately per link, into 242 inter</w:t>
      </w:r>
      <w:r w:rsidRPr="007D1EF7">
        <w:rPr>
          <w:lang w:val="en-US"/>
        </w:rPr>
        <w:noBreakHyphen/>
        <w:t xml:space="preserve">satellite links in the HIBLEO-2 system as there are no interplanar links between planes 6 and 1 (i.e. the counter-rotating seam </w:t>
      </w:r>
      <w:r w:rsidRPr="007D1EF7">
        <w:rPr>
          <w:szCs w:val="24"/>
          <w:lang w:val="en-US"/>
        </w:rPr>
        <w:t>where satellites in plane 6 are moving in the opposite direction of satellites in Plane 1</w:t>
      </w:r>
      <w:r w:rsidRPr="007D1EF7">
        <w:rPr>
          <w:lang w:val="en-US"/>
        </w:rPr>
        <w:t>).</w:t>
      </w:r>
    </w:p>
    <w:p w:rsidR="00AA2BE3" w:rsidRPr="007D1EF7" w:rsidRDefault="00AA2BE3" w:rsidP="00AA2BE3">
      <w:pPr>
        <w:rPr>
          <w:lang w:val="en-US"/>
        </w:rPr>
      </w:pPr>
      <w:r w:rsidRPr="007D1EF7">
        <w:rPr>
          <w:lang w:val="en-US"/>
        </w:rPr>
        <w:t>Additionally, the following assumptions were made:</w:t>
      </w:r>
    </w:p>
    <w:p w:rsidR="00AA2BE3" w:rsidRPr="007D1EF7" w:rsidRDefault="00AA2BE3" w:rsidP="00AA2BE3">
      <w:pPr>
        <w:pStyle w:val="enumlev1"/>
        <w:rPr>
          <w:lang w:val="en-US"/>
        </w:rPr>
      </w:pPr>
      <w:r w:rsidRPr="007D1EF7">
        <w:rPr>
          <w:lang w:val="en-US"/>
        </w:rPr>
        <w:t>−</w:t>
      </w:r>
      <w:r w:rsidRPr="007D1EF7">
        <w:rPr>
          <w:lang w:val="en-US"/>
        </w:rPr>
        <w:tab/>
        <w:t>Lunar orbiting satellite systems are modelled as if the satellite is at the centre of the Moon.</w:t>
      </w:r>
    </w:p>
    <w:p w:rsidR="00AA2BE3" w:rsidRPr="007D1EF7" w:rsidRDefault="00AA2BE3" w:rsidP="00AA2BE3">
      <w:pPr>
        <w:pStyle w:val="enumlev1"/>
        <w:rPr>
          <w:lang w:val="en-US"/>
        </w:rPr>
      </w:pPr>
      <w:r w:rsidRPr="007D1EF7">
        <w:rPr>
          <w:lang w:val="en-US"/>
        </w:rPr>
        <w:t>−</w:t>
      </w:r>
      <w:r w:rsidRPr="007D1EF7">
        <w:rPr>
          <w:lang w:val="en-US"/>
        </w:rPr>
        <w:tab/>
        <w:t>SRS earth stations only transmit when in view of the Moon.</w:t>
      </w:r>
    </w:p>
    <w:p w:rsidR="00AA2BE3" w:rsidRPr="007D1EF7" w:rsidRDefault="00AA2BE3" w:rsidP="00AA2BE3">
      <w:pPr>
        <w:pStyle w:val="enumlev1"/>
        <w:rPr>
          <w:lang w:val="en-US"/>
        </w:rPr>
      </w:pPr>
      <w:r w:rsidRPr="007D1EF7">
        <w:rPr>
          <w:lang w:val="en-US"/>
        </w:rPr>
        <w:t>−</w:t>
      </w:r>
      <w:r w:rsidRPr="007D1EF7">
        <w:rPr>
          <w:lang w:val="en-US"/>
        </w:rPr>
        <w:tab/>
        <w:t xml:space="preserve">Each HIBLEO-2 like satellite is modelled with 4 ISL antennas, pointing to the following satellites: intra-planar fore, intra-planar aft, inter-planar West-adjacent, intra-planar </w:t>
      </w:r>
      <w:r w:rsidRPr="007D1EF7">
        <w:rPr>
          <w:lang w:val="en-US"/>
        </w:rPr>
        <w:br/>
        <w:t>East-adjacent. At each time point and for each satellite, the corresponding antenna gain into each of these 4 ISL antennas is calculated.</w:t>
      </w:r>
    </w:p>
    <w:p w:rsidR="00AA2BE3" w:rsidRPr="007D1EF7" w:rsidRDefault="00AA2BE3" w:rsidP="00AA2BE3">
      <w:pPr>
        <w:pStyle w:val="enumlev1"/>
        <w:rPr>
          <w:lang w:val="en-US"/>
        </w:rPr>
      </w:pPr>
      <w:r w:rsidRPr="007D1EF7">
        <w:rPr>
          <w:lang w:val="en-US"/>
        </w:rPr>
        <w:t>−</w:t>
      </w:r>
      <w:r w:rsidRPr="007D1EF7">
        <w:rPr>
          <w:lang w:val="en-US"/>
        </w:rPr>
        <w:tab/>
        <w:t>Interferer power density is calculated over the worst-case (i.e. maximum PSD) 1 MHz bandwidth.</w:t>
      </w:r>
    </w:p>
    <w:p w:rsidR="00AA2BE3" w:rsidRPr="007D1EF7" w:rsidRDefault="00AA2BE3" w:rsidP="00192341">
      <w:pPr>
        <w:pStyle w:val="enumlev1"/>
        <w:rPr>
          <w:lang w:val="en-US"/>
        </w:rPr>
      </w:pPr>
      <w:r w:rsidRPr="007D1EF7">
        <w:rPr>
          <w:lang w:val="en-US"/>
        </w:rPr>
        <w:t>−</w:t>
      </w:r>
      <w:r w:rsidRPr="007D1EF7">
        <w:rPr>
          <w:lang w:val="en-US"/>
        </w:rPr>
        <w:tab/>
        <w:t>Simulation propagation: Free space only</w:t>
      </w:r>
      <w:r w:rsidR="00192341" w:rsidRPr="007D1EF7">
        <w:rPr>
          <w:lang w:val="en-US"/>
        </w:rPr>
        <w:t> –</w:t>
      </w:r>
      <w:r w:rsidRPr="007D1EF7">
        <w:rPr>
          <w:lang w:val="en-US"/>
        </w:rPr>
        <w:t xml:space="preserve"> Recommendation ITU-R P.525 basic transmission loss in free space.</w:t>
      </w:r>
    </w:p>
    <w:p w:rsidR="00AA2BE3" w:rsidRPr="007D1EF7" w:rsidRDefault="00AA2BE3" w:rsidP="00AA2BE3">
      <w:pPr>
        <w:pStyle w:val="enumlev1"/>
        <w:rPr>
          <w:lang w:val="en-US"/>
        </w:rPr>
      </w:pPr>
      <w:r w:rsidRPr="007D1EF7">
        <w:rPr>
          <w:lang w:val="en-US"/>
        </w:rPr>
        <w:t>−</w:t>
      </w:r>
      <w:r w:rsidRPr="007D1EF7">
        <w:rPr>
          <w:lang w:val="en-US"/>
        </w:rPr>
        <w:tab/>
        <w:t>In order to ensure that the analysis accurately reflects the aggregate in-band interference that could be received by a 19 MHz HIBLEO-2 like carrier, it is assumed that a network consisting of the 3 NASA earth stations could be sequentially operating co-frequency in this band. A single 24 MHz carrier is used for each of the 3 earth stations, and this carrier is represented by the first row of Table 2 of the main body of the report.</w:t>
      </w:r>
    </w:p>
    <w:p w:rsidR="00AA2BE3" w:rsidRPr="007D1EF7" w:rsidRDefault="00AA2BE3" w:rsidP="00AA2BE3">
      <w:pPr>
        <w:pStyle w:val="Heading2"/>
        <w:rPr>
          <w:lang w:val="en-US"/>
        </w:rPr>
      </w:pPr>
      <w:bookmarkStart w:id="95" w:name="_Toc277668657"/>
      <w:r w:rsidRPr="007D1EF7">
        <w:rPr>
          <w:lang w:val="en-US"/>
        </w:rPr>
        <w:t>1.2</w:t>
      </w:r>
      <w:r w:rsidRPr="007D1EF7">
        <w:rPr>
          <w:lang w:val="en-US"/>
        </w:rPr>
        <w:tab/>
        <w:t>Out-of-band</w:t>
      </w:r>
      <w:bookmarkEnd w:id="95"/>
    </w:p>
    <w:p w:rsidR="00AA2BE3" w:rsidRPr="007D1EF7" w:rsidRDefault="00AA2BE3" w:rsidP="00192341">
      <w:pPr>
        <w:rPr>
          <w:highlight w:val="yellow"/>
          <w:lang w:val="en-US"/>
        </w:rPr>
      </w:pPr>
      <w:r w:rsidRPr="007D1EF7">
        <w:rPr>
          <w:lang w:val="en-US"/>
        </w:rPr>
        <w:t xml:space="preserve">As for the in-band case, at each time point, </w:t>
      </w:r>
      <w:r w:rsidRPr="007D1EF7">
        <w:rPr>
          <w:i/>
          <w:iCs/>
          <w:lang w:val="en-US"/>
        </w:rPr>
        <w:t>I</w:t>
      </w:r>
      <w:r w:rsidRPr="007D1EF7">
        <w:rPr>
          <w:lang w:val="en-US"/>
        </w:rPr>
        <w:t>/</w:t>
      </w:r>
      <w:r w:rsidRPr="007D1EF7">
        <w:rPr>
          <w:i/>
          <w:iCs/>
          <w:lang w:val="en-US"/>
        </w:rPr>
        <w:t>N</w:t>
      </w:r>
      <w:r w:rsidRPr="007D1EF7">
        <w:rPr>
          <w:lang w:val="en-US"/>
        </w:rPr>
        <w:t xml:space="preserve"> is calculated separately per link, into 242 inter</w:t>
      </w:r>
      <w:r w:rsidRPr="007D1EF7">
        <w:rPr>
          <w:lang w:val="en-US"/>
        </w:rPr>
        <w:noBreakHyphen/>
        <w:t>satellite links in the HIBLEO-2 system.</w:t>
      </w:r>
    </w:p>
    <w:p w:rsidR="001B622A" w:rsidRPr="007D1EF7" w:rsidRDefault="00AA2BE3" w:rsidP="001B622A">
      <w:pPr>
        <w:rPr>
          <w:lang w:val="en-US"/>
        </w:rPr>
      </w:pPr>
      <w:r w:rsidRPr="007D1EF7">
        <w:rPr>
          <w:lang w:val="en-US"/>
        </w:rPr>
        <w:t>Since this analysis is concerned with O</w:t>
      </w:r>
      <w:r w:rsidR="001B622A" w:rsidRPr="007D1EF7">
        <w:rPr>
          <w:lang w:val="en-US"/>
        </w:rPr>
        <w:t>o</w:t>
      </w:r>
      <w:r w:rsidRPr="007D1EF7">
        <w:rPr>
          <w:lang w:val="en-US"/>
        </w:rPr>
        <w:t>B attenuation from the SRS carriers operating in the 22.55-23.15 GHz band into HIBLEO-2 carriers, which operate in the 23.183-23.377 GHz band, interference is mitigated by an O</w:t>
      </w:r>
      <w:r w:rsidR="00440D7C" w:rsidRPr="007D1EF7">
        <w:rPr>
          <w:lang w:val="en-US"/>
        </w:rPr>
        <w:t>o</w:t>
      </w:r>
      <w:r w:rsidRPr="007D1EF7">
        <w:rPr>
          <w:lang w:val="en-US"/>
        </w:rPr>
        <w:t>B factor. Interferer power density is calculated in a 1 MHz bandwidth and then reduced by the out-of-band attenuation factor.</w:t>
      </w:r>
    </w:p>
    <w:p w:rsidR="001B622A" w:rsidRPr="007D1EF7" w:rsidRDefault="00AA2BE3" w:rsidP="001B622A">
      <w:pPr>
        <w:rPr>
          <w:lang w:val="en-US"/>
        </w:rPr>
      </w:pPr>
      <w:r w:rsidRPr="007D1EF7">
        <w:rPr>
          <w:lang w:val="en-US"/>
        </w:rPr>
        <w:t>In order to calculate this factor, the worse-case assumptions are made that:</w:t>
      </w:r>
    </w:p>
    <w:p w:rsidR="001B622A" w:rsidRPr="007D1EF7" w:rsidRDefault="001B622A" w:rsidP="001B622A">
      <w:pPr>
        <w:pStyle w:val="enumlev1"/>
        <w:rPr>
          <w:lang w:val="en-US"/>
        </w:rPr>
      </w:pPr>
      <w:r w:rsidRPr="007D1EF7">
        <w:rPr>
          <w:lang w:val="en-US"/>
        </w:rPr>
        <w:t>–</w:t>
      </w:r>
      <w:r w:rsidRPr="007D1EF7">
        <w:rPr>
          <w:lang w:val="en-US"/>
        </w:rPr>
        <w:tab/>
      </w:r>
      <w:r w:rsidR="00AA2BE3" w:rsidRPr="007D1EF7">
        <w:rPr>
          <w:lang w:val="en-US"/>
        </w:rPr>
        <w:t>the upper edge of the first null of the SRS signal falls at 23.15 GHz;</w:t>
      </w:r>
    </w:p>
    <w:p w:rsidR="001B622A" w:rsidRPr="007D1EF7" w:rsidRDefault="001B622A" w:rsidP="001B622A">
      <w:pPr>
        <w:pStyle w:val="enumlev1"/>
        <w:rPr>
          <w:lang w:val="en-US"/>
        </w:rPr>
      </w:pPr>
      <w:r w:rsidRPr="007D1EF7">
        <w:rPr>
          <w:lang w:val="en-US"/>
        </w:rPr>
        <w:t>–</w:t>
      </w:r>
      <w:r w:rsidRPr="007D1EF7">
        <w:rPr>
          <w:lang w:val="en-US"/>
        </w:rPr>
        <w:tab/>
      </w:r>
      <w:r w:rsidR="00AA2BE3" w:rsidRPr="007D1EF7">
        <w:rPr>
          <w:lang w:val="en-US"/>
        </w:rPr>
        <w:t>the Iridium carrier operates at its lowest frequency channel, which placed the lower edge of the first null of the Iridium signal at 23.183 GHz;</w:t>
      </w:r>
    </w:p>
    <w:p w:rsidR="00AA2BE3" w:rsidRPr="007D1EF7" w:rsidRDefault="001B622A" w:rsidP="001B622A">
      <w:pPr>
        <w:pStyle w:val="enumlev1"/>
        <w:rPr>
          <w:lang w:val="en-US"/>
        </w:rPr>
      </w:pPr>
      <w:r w:rsidRPr="007D1EF7">
        <w:rPr>
          <w:lang w:val="en-US"/>
        </w:rPr>
        <w:t>–</w:t>
      </w:r>
      <w:r w:rsidRPr="007D1EF7">
        <w:rPr>
          <w:lang w:val="en-US"/>
        </w:rPr>
        <w:tab/>
      </w:r>
      <w:r w:rsidR="00AA2BE3" w:rsidRPr="007D1EF7">
        <w:rPr>
          <w:lang w:val="en-US"/>
        </w:rPr>
        <w:t xml:space="preserve">the lowest frequency channel is being simultaneously received on each of the four ISL links on all 66 HIBLEO-2 satellites. </w:t>
      </w:r>
    </w:p>
    <w:p w:rsidR="00AA2BE3" w:rsidRPr="007D1EF7" w:rsidRDefault="00AA2BE3" w:rsidP="00AA2BE3">
      <w:pPr>
        <w:rPr>
          <w:lang w:val="en-US"/>
        </w:rPr>
      </w:pPr>
      <w:r w:rsidRPr="007D1EF7">
        <w:rPr>
          <w:lang w:val="en-US"/>
        </w:rPr>
        <w:lastRenderedPageBreak/>
        <w:t xml:space="preserve">In order to ensure that the analysis accurately reflects the aggregate out-of-band interference that could be received by a 19 MHz HIBLEO-2 like carrier, it is assumed that six networks consisting of the earth stations from six agencies could be sequentially operating in this band. A single 24 MHz carrier and three 12 MHz carriers are used for each network, and these carriers are represented by the entirety of Table 1 of the main body of the </w:t>
      </w:r>
      <w:r w:rsidR="00472456" w:rsidRPr="007D1EF7">
        <w:rPr>
          <w:lang w:val="en-US"/>
        </w:rPr>
        <w:t>R</w:t>
      </w:r>
      <w:r w:rsidRPr="007D1EF7">
        <w:rPr>
          <w:lang w:val="en-US"/>
        </w:rPr>
        <w:t>eport.</w:t>
      </w:r>
    </w:p>
    <w:p w:rsidR="00AA2BE3" w:rsidRPr="007D1EF7" w:rsidRDefault="00AA2BE3" w:rsidP="001B622A">
      <w:pPr>
        <w:rPr>
          <w:lang w:val="en-US"/>
        </w:rPr>
      </w:pPr>
      <w:r w:rsidRPr="007D1EF7">
        <w:rPr>
          <w:lang w:val="en-US"/>
        </w:rPr>
        <w:t>The O</w:t>
      </w:r>
      <w:r w:rsidR="001B622A" w:rsidRPr="007D1EF7">
        <w:rPr>
          <w:lang w:val="en-US"/>
        </w:rPr>
        <w:t>o</w:t>
      </w:r>
      <w:r w:rsidRPr="007D1EF7">
        <w:rPr>
          <w:lang w:val="en-US"/>
        </w:rPr>
        <w:t>B attenuation factor is calculated using the methodology of Recommendation ITU</w:t>
      </w:r>
      <w:r w:rsidR="001B622A" w:rsidRPr="007D1EF7">
        <w:rPr>
          <w:lang w:val="en-US"/>
        </w:rPr>
        <w:noBreakHyphen/>
      </w:r>
      <w:r w:rsidRPr="007D1EF7">
        <w:rPr>
          <w:lang w:val="en-US"/>
        </w:rPr>
        <w:t>R</w:t>
      </w:r>
      <w:r w:rsidR="001B622A" w:rsidRPr="007D1EF7">
        <w:rPr>
          <w:lang w:val="en-US"/>
        </w:rPr>
        <w:t> </w:t>
      </w:r>
      <w:r w:rsidRPr="007D1EF7">
        <w:rPr>
          <w:lang w:val="en-US"/>
        </w:rPr>
        <w:t>SM.1541, and is applied to antennas transmitting in both single-carrier mode and multi</w:t>
      </w:r>
      <w:r w:rsidRPr="007D1EF7">
        <w:rPr>
          <w:lang w:val="en-US"/>
        </w:rPr>
        <w:noBreakHyphen/>
        <w:t>carrier mode. This methodology results in very conservative estimates of the actual O</w:t>
      </w:r>
      <w:r w:rsidR="001B622A" w:rsidRPr="007D1EF7">
        <w:rPr>
          <w:lang w:val="en-US"/>
        </w:rPr>
        <w:t>o</w:t>
      </w:r>
      <w:r w:rsidRPr="007D1EF7">
        <w:rPr>
          <w:lang w:val="en-US"/>
        </w:rPr>
        <w:t>B attenuation that would be realized in practice. A summary of the single-entry calculations is presented in Table A7-1. This Table A7-1 is only a representative sample of the O</w:t>
      </w:r>
      <w:r w:rsidR="00440D7C" w:rsidRPr="007D1EF7">
        <w:rPr>
          <w:lang w:val="en-US"/>
        </w:rPr>
        <w:t>o</w:t>
      </w:r>
      <w:r w:rsidRPr="007D1EF7">
        <w:rPr>
          <w:lang w:val="en-US"/>
        </w:rPr>
        <w:t>B attenuation factors, and the carriers that are shown are taken from Table 1 of the main body of the report. The values for other carriers may be calculated in a similar manner.</w:t>
      </w:r>
      <w:r w:rsidRPr="007D1EF7">
        <w:rPr>
          <w:highlight w:val="yellow"/>
          <w:lang w:val="en-US"/>
        </w:rPr>
        <w:t xml:space="preserve"> </w:t>
      </w:r>
    </w:p>
    <w:p w:rsidR="00AA2BE3" w:rsidRPr="006C2078" w:rsidRDefault="00AA2BE3" w:rsidP="00AA2BE3">
      <w:pPr>
        <w:pStyle w:val="TableNo"/>
      </w:pPr>
      <w:r w:rsidRPr="006C2078">
        <w:t>TABLE A7-1</w:t>
      </w:r>
    </w:p>
    <w:p w:rsidR="00AA2BE3" w:rsidRPr="006C2078" w:rsidRDefault="00AA2BE3" w:rsidP="00AA2BE3">
      <w:pPr>
        <w:pStyle w:val="Tabletitle"/>
      </w:pPr>
      <w:r>
        <w:t>O</w:t>
      </w:r>
      <w:r w:rsidR="00440D7C">
        <w:t>o</w:t>
      </w:r>
      <w:r>
        <w:t>B</w:t>
      </w:r>
      <w:r w:rsidRPr="006C2078">
        <w:t xml:space="preserve"> Attenuation factor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9"/>
        <w:gridCol w:w="1701"/>
        <w:gridCol w:w="1701"/>
        <w:gridCol w:w="1701"/>
      </w:tblGrid>
      <w:tr w:rsidR="001B622A" w:rsidRPr="006C2078" w:rsidTr="00440D7C">
        <w:trPr>
          <w:jc w:val="center"/>
        </w:trPr>
        <w:tc>
          <w:tcPr>
            <w:tcW w:w="3969" w:type="dxa"/>
          </w:tcPr>
          <w:p w:rsidR="001B622A" w:rsidRPr="006C2078" w:rsidRDefault="001B622A" w:rsidP="00192341">
            <w:pPr>
              <w:pStyle w:val="Tablehead"/>
            </w:pPr>
            <w:r w:rsidRPr="006C2078">
              <w:t>Parameter</w:t>
            </w:r>
          </w:p>
        </w:tc>
        <w:tc>
          <w:tcPr>
            <w:tcW w:w="1701" w:type="dxa"/>
          </w:tcPr>
          <w:p w:rsidR="001B622A" w:rsidRPr="006C2078" w:rsidRDefault="001B622A" w:rsidP="00192341">
            <w:pPr>
              <w:pStyle w:val="Tablehead"/>
            </w:pPr>
            <w:r w:rsidRPr="006C2078">
              <w:t>NASA Frequency 1</w:t>
            </w:r>
          </w:p>
        </w:tc>
        <w:tc>
          <w:tcPr>
            <w:tcW w:w="1701" w:type="dxa"/>
          </w:tcPr>
          <w:p w:rsidR="001B622A" w:rsidRPr="006C2078" w:rsidRDefault="001B622A" w:rsidP="00192341">
            <w:pPr>
              <w:pStyle w:val="Tablehead"/>
            </w:pPr>
            <w:r w:rsidRPr="006C2078">
              <w:t>NASA Frequency 2</w:t>
            </w:r>
          </w:p>
        </w:tc>
        <w:tc>
          <w:tcPr>
            <w:tcW w:w="1701" w:type="dxa"/>
          </w:tcPr>
          <w:p w:rsidR="001B622A" w:rsidRPr="006C2078" w:rsidRDefault="001B622A" w:rsidP="00192341">
            <w:pPr>
              <w:pStyle w:val="Tablehead"/>
            </w:pPr>
            <w:r w:rsidRPr="006C2078">
              <w:t>JAXA Frequency 1</w:t>
            </w:r>
          </w:p>
        </w:tc>
      </w:tr>
      <w:tr w:rsidR="001B622A" w:rsidRPr="006C2078" w:rsidTr="00440D7C">
        <w:trPr>
          <w:jc w:val="center"/>
        </w:trPr>
        <w:tc>
          <w:tcPr>
            <w:tcW w:w="3969" w:type="dxa"/>
            <w:noWrap/>
          </w:tcPr>
          <w:p w:rsidR="001B622A" w:rsidRPr="006C2078" w:rsidRDefault="001B622A" w:rsidP="00192341">
            <w:pPr>
              <w:pStyle w:val="Tabletext"/>
            </w:pPr>
            <w:r w:rsidRPr="006C2078">
              <w:t>HIBLEO-2 lower frequency</w:t>
            </w:r>
            <w:r>
              <w:t xml:space="preserve"> (MHz)</w:t>
            </w:r>
          </w:p>
        </w:tc>
        <w:tc>
          <w:tcPr>
            <w:tcW w:w="1701" w:type="dxa"/>
            <w:noWrap/>
          </w:tcPr>
          <w:p w:rsidR="001B622A" w:rsidRPr="006C2078" w:rsidRDefault="001B622A" w:rsidP="001B622A">
            <w:pPr>
              <w:pStyle w:val="Tabletext"/>
              <w:jc w:val="center"/>
            </w:pPr>
            <w:r w:rsidRPr="006C2078">
              <w:t>23 183</w:t>
            </w:r>
          </w:p>
        </w:tc>
        <w:tc>
          <w:tcPr>
            <w:tcW w:w="1701" w:type="dxa"/>
            <w:noWrap/>
          </w:tcPr>
          <w:p w:rsidR="001B622A" w:rsidRPr="006C2078" w:rsidRDefault="001B622A" w:rsidP="001B622A">
            <w:pPr>
              <w:pStyle w:val="Tabletext"/>
              <w:jc w:val="center"/>
            </w:pPr>
            <w:r w:rsidRPr="006C2078">
              <w:t>23 183</w:t>
            </w:r>
          </w:p>
        </w:tc>
        <w:tc>
          <w:tcPr>
            <w:tcW w:w="1701" w:type="dxa"/>
            <w:noWrap/>
          </w:tcPr>
          <w:p w:rsidR="001B622A" w:rsidRPr="006C2078" w:rsidRDefault="001B622A" w:rsidP="001B622A">
            <w:pPr>
              <w:pStyle w:val="Tabletext"/>
              <w:jc w:val="center"/>
            </w:pPr>
            <w:r w:rsidRPr="006C2078">
              <w:t>23 183</w:t>
            </w:r>
          </w:p>
        </w:tc>
      </w:tr>
      <w:tr w:rsidR="001B622A" w:rsidRPr="006C2078" w:rsidTr="00440D7C">
        <w:trPr>
          <w:jc w:val="center"/>
        </w:trPr>
        <w:tc>
          <w:tcPr>
            <w:tcW w:w="3969" w:type="dxa"/>
            <w:noWrap/>
          </w:tcPr>
          <w:p w:rsidR="001B622A" w:rsidRPr="006C2078" w:rsidRDefault="001B622A" w:rsidP="00192341">
            <w:pPr>
              <w:pStyle w:val="Tabletext"/>
            </w:pPr>
            <w:r w:rsidRPr="006C2078">
              <w:t>SRS lower frequency</w:t>
            </w:r>
            <w:r>
              <w:t xml:space="preserve"> (MHz)</w:t>
            </w:r>
          </w:p>
        </w:tc>
        <w:tc>
          <w:tcPr>
            <w:tcW w:w="1701" w:type="dxa"/>
            <w:noWrap/>
          </w:tcPr>
          <w:p w:rsidR="001B622A" w:rsidRPr="006C2078" w:rsidRDefault="001B622A" w:rsidP="001B622A">
            <w:pPr>
              <w:pStyle w:val="Tabletext"/>
              <w:jc w:val="center"/>
            </w:pPr>
            <w:r w:rsidRPr="006C2078">
              <w:t>23 126</w:t>
            </w:r>
          </w:p>
        </w:tc>
        <w:tc>
          <w:tcPr>
            <w:tcW w:w="1701" w:type="dxa"/>
            <w:noWrap/>
          </w:tcPr>
          <w:p w:rsidR="001B622A" w:rsidRPr="006C2078" w:rsidRDefault="001B622A" w:rsidP="001B622A">
            <w:pPr>
              <w:pStyle w:val="Tabletext"/>
              <w:jc w:val="center"/>
            </w:pPr>
            <w:r w:rsidRPr="006C2078">
              <w:t>23 109</w:t>
            </w:r>
          </w:p>
        </w:tc>
        <w:tc>
          <w:tcPr>
            <w:tcW w:w="1701" w:type="dxa"/>
            <w:noWrap/>
          </w:tcPr>
          <w:p w:rsidR="001B622A" w:rsidRPr="006C2078" w:rsidRDefault="001B622A" w:rsidP="001B622A">
            <w:pPr>
              <w:pStyle w:val="Tabletext"/>
              <w:jc w:val="center"/>
            </w:pPr>
            <w:r w:rsidRPr="006C2078">
              <w:t>23 046</w:t>
            </w:r>
          </w:p>
        </w:tc>
      </w:tr>
      <w:tr w:rsidR="001B622A" w:rsidRPr="006C2078" w:rsidTr="00440D7C">
        <w:trPr>
          <w:jc w:val="center"/>
        </w:trPr>
        <w:tc>
          <w:tcPr>
            <w:tcW w:w="3969" w:type="dxa"/>
            <w:noWrap/>
          </w:tcPr>
          <w:p w:rsidR="001B622A" w:rsidRPr="006C2078" w:rsidRDefault="001B622A" w:rsidP="00192341">
            <w:pPr>
              <w:pStyle w:val="Tabletext"/>
            </w:pPr>
            <w:r w:rsidRPr="006C2078">
              <w:t>SRS upper frequency</w:t>
            </w:r>
            <w:r>
              <w:t xml:space="preserve"> (MHz)</w:t>
            </w:r>
          </w:p>
        </w:tc>
        <w:tc>
          <w:tcPr>
            <w:tcW w:w="1701" w:type="dxa"/>
            <w:noWrap/>
          </w:tcPr>
          <w:p w:rsidR="001B622A" w:rsidRPr="006C2078" w:rsidRDefault="001B622A" w:rsidP="001B622A">
            <w:pPr>
              <w:pStyle w:val="Tabletext"/>
              <w:jc w:val="center"/>
            </w:pPr>
            <w:r w:rsidRPr="006C2078">
              <w:t>23 150</w:t>
            </w:r>
          </w:p>
        </w:tc>
        <w:tc>
          <w:tcPr>
            <w:tcW w:w="1701" w:type="dxa"/>
            <w:noWrap/>
          </w:tcPr>
          <w:p w:rsidR="001B622A" w:rsidRPr="006C2078" w:rsidRDefault="001B622A" w:rsidP="001B622A">
            <w:pPr>
              <w:pStyle w:val="Tabletext"/>
              <w:jc w:val="center"/>
            </w:pPr>
            <w:r w:rsidRPr="006C2078">
              <w:t>23 121</w:t>
            </w:r>
          </w:p>
        </w:tc>
        <w:tc>
          <w:tcPr>
            <w:tcW w:w="1701" w:type="dxa"/>
            <w:noWrap/>
          </w:tcPr>
          <w:p w:rsidR="001B622A" w:rsidRPr="006C2078" w:rsidRDefault="001B622A" w:rsidP="001B622A">
            <w:pPr>
              <w:pStyle w:val="Tabletext"/>
              <w:jc w:val="center"/>
            </w:pPr>
            <w:r w:rsidRPr="006C2078">
              <w:t>23 070</w:t>
            </w:r>
          </w:p>
        </w:tc>
      </w:tr>
      <w:tr w:rsidR="001B622A" w:rsidRPr="006C2078" w:rsidTr="00440D7C">
        <w:trPr>
          <w:jc w:val="center"/>
        </w:trPr>
        <w:tc>
          <w:tcPr>
            <w:tcW w:w="3969" w:type="dxa"/>
            <w:noWrap/>
          </w:tcPr>
          <w:p w:rsidR="001B622A" w:rsidRPr="006C2078" w:rsidRDefault="001B622A" w:rsidP="00192341">
            <w:pPr>
              <w:pStyle w:val="Tabletext"/>
            </w:pPr>
            <w:r w:rsidRPr="006C2078">
              <w:t>Power</w:t>
            </w:r>
            <w:r>
              <w:t xml:space="preserve"> (</w:t>
            </w:r>
            <w:r w:rsidRPr="006C2078">
              <w:t>dBW</w:t>
            </w:r>
            <w:r>
              <w:t>)</w:t>
            </w:r>
          </w:p>
        </w:tc>
        <w:tc>
          <w:tcPr>
            <w:tcW w:w="1701" w:type="dxa"/>
            <w:noWrap/>
          </w:tcPr>
          <w:p w:rsidR="001B622A" w:rsidRPr="006C2078" w:rsidRDefault="001B622A" w:rsidP="001B622A">
            <w:pPr>
              <w:pStyle w:val="Tabletext"/>
              <w:jc w:val="center"/>
            </w:pPr>
            <w:r w:rsidRPr="006C2078">
              <w:t>11.1</w:t>
            </w:r>
          </w:p>
        </w:tc>
        <w:tc>
          <w:tcPr>
            <w:tcW w:w="1701" w:type="dxa"/>
            <w:noWrap/>
          </w:tcPr>
          <w:p w:rsidR="001B622A" w:rsidRPr="006C2078" w:rsidRDefault="001B622A" w:rsidP="001B622A">
            <w:pPr>
              <w:pStyle w:val="Tabletext"/>
              <w:jc w:val="center"/>
            </w:pPr>
            <w:r w:rsidRPr="006C2078">
              <w:t>8.1</w:t>
            </w:r>
          </w:p>
        </w:tc>
        <w:tc>
          <w:tcPr>
            <w:tcW w:w="1701" w:type="dxa"/>
            <w:noWrap/>
          </w:tcPr>
          <w:p w:rsidR="001B622A" w:rsidRPr="006C2078" w:rsidRDefault="001B622A" w:rsidP="001B622A">
            <w:pPr>
              <w:pStyle w:val="Tabletext"/>
              <w:jc w:val="center"/>
            </w:pPr>
            <w:r w:rsidRPr="006C2078">
              <w:t>11.1</w:t>
            </w:r>
          </w:p>
        </w:tc>
      </w:tr>
      <w:tr w:rsidR="001B622A" w:rsidRPr="006C2078" w:rsidTr="00440D7C">
        <w:trPr>
          <w:jc w:val="center"/>
        </w:trPr>
        <w:tc>
          <w:tcPr>
            <w:tcW w:w="3969" w:type="dxa"/>
            <w:noWrap/>
          </w:tcPr>
          <w:p w:rsidR="001B622A" w:rsidRPr="006C2078" w:rsidRDefault="001B622A" w:rsidP="00192341">
            <w:pPr>
              <w:pStyle w:val="Tabletext"/>
            </w:pPr>
            <w:r w:rsidRPr="006C2078">
              <w:t>BW</w:t>
            </w:r>
            <w:r>
              <w:t xml:space="preserve"> (MHz)</w:t>
            </w:r>
          </w:p>
        </w:tc>
        <w:tc>
          <w:tcPr>
            <w:tcW w:w="1701" w:type="dxa"/>
            <w:noWrap/>
          </w:tcPr>
          <w:p w:rsidR="001B622A" w:rsidRPr="006C2078" w:rsidRDefault="001B622A" w:rsidP="001B622A">
            <w:pPr>
              <w:pStyle w:val="Tabletext"/>
              <w:jc w:val="center"/>
            </w:pPr>
            <w:r w:rsidRPr="006C2078">
              <w:t>24</w:t>
            </w:r>
          </w:p>
        </w:tc>
        <w:tc>
          <w:tcPr>
            <w:tcW w:w="1701" w:type="dxa"/>
            <w:noWrap/>
          </w:tcPr>
          <w:p w:rsidR="001B622A" w:rsidRPr="006C2078" w:rsidRDefault="001B622A" w:rsidP="001B622A">
            <w:pPr>
              <w:pStyle w:val="Tabletext"/>
              <w:jc w:val="center"/>
            </w:pPr>
            <w:r w:rsidRPr="006C2078">
              <w:t>12</w:t>
            </w:r>
          </w:p>
        </w:tc>
        <w:tc>
          <w:tcPr>
            <w:tcW w:w="1701" w:type="dxa"/>
            <w:noWrap/>
          </w:tcPr>
          <w:p w:rsidR="001B622A" w:rsidRPr="006C2078" w:rsidRDefault="001B622A" w:rsidP="001B622A">
            <w:pPr>
              <w:pStyle w:val="Tabletext"/>
              <w:jc w:val="center"/>
            </w:pPr>
            <w:r w:rsidRPr="006C2078">
              <w:t>24</w:t>
            </w:r>
          </w:p>
        </w:tc>
      </w:tr>
      <w:tr w:rsidR="001B622A" w:rsidRPr="006C2078" w:rsidTr="00440D7C">
        <w:trPr>
          <w:jc w:val="center"/>
        </w:trPr>
        <w:tc>
          <w:tcPr>
            <w:tcW w:w="3969" w:type="dxa"/>
            <w:noWrap/>
          </w:tcPr>
          <w:p w:rsidR="001B622A" w:rsidRPr="007D1EF7" w:rsidRDefault="001B622A" w:rsidP="00192341">
            <w:pPr>
              <w:pStyle w:val="Tabletext"/>
              <w:rPr>
                <w:lang w:val="en-US"/>
              </w:rPr>
            </w:pPr>
            <w:r w:rsidRPr="007D1EF7">
              <w:rPr>
                <w:lang w:val="en-US"/>
              </w:rPr>
              <w:t>Max in-band PSD (dB</w:t>
            </w:r>
            <w:r w:rsidR="00440D7C" w:rsidRPr="007D1EF7">
              <w:rPr>
                <w:lang w:val="en-US"/>
              </w:rPr>
              <w:t>(</w:t>
            </w:r>
            <w:r w:rsidRPr="007D1EF7">
              <w:rPr>
                <w:lang w:val="en-US"/>
              </w:rPr>
              <w:t>W/Hz)</w:t>
            </w:r>
            <w:r w:rsidR="00440D7C" w:rsidRPr="007D1EF7">
              <w:rPr>
                <w:lang w:val="en-US"/>
              </w:rPr>
              <w:t>)</w:t>
            </w:r>
          </w:p>
        </w:tc>
        <w:tc>
          <w:tcPr>
            <w:tcW w:w="1701" w:type="dxa"/>
            <w:noWrap/>
          </w:tcPr>
          <w:p w:rsidR="001B622A" w:rsidRPr="006C2078" w:rsidRDefault="001B622A" w:rsidP="001B622A">
            <w:pPr>
              <w:pStyle w:val="Tabletext"/>
              <w:jc w:val="center"/>
            </w:pPr>
            <w:r w:rsidRPr="006C2078">
              <w:t>–59.7</w:t>
            </w:r>
          </w:p>
        </w:tc>
        <w:tc>
          <w:tcPr>
            <w:tcW w:w="1701" w:type="dxa"/>
            <w:noWrap/>
          </w:tcPr>
          <w:p w:rsidR="001B622A" w:rsidRPr="006C2078" w:rsidRDefault="001B622A" w:rsidP="001B622A">
            <w:pPr>
              <w:pStyle w:val="Tabletext"/>
              <w:jc w:val="center"/>
            </w:pPr>
            <w:r w:rsidRPr="006C2078">
              <w:t>–59.7</w:t>
            </w:r>
          </w:p>
        </w:tc>
        <w:tc>
          <w:tcPr>
            <w:tcW w:w="1701" w:type="dxa"/>
            <w:noWrap/>
          </w:tcPr>
          <w:p w:rsidR="001B622A" w:rsidRPr="006C2078" w:rsidRDefault="001B622A" w:rsidP="001B622A">
            <w:pPr>
              <w:pStyle w:val="Tabletext"/>
              <w:jc w:val="center"/>
            </w:pPr>
            <w:r w:rsidRPr="006C2078">
              <w:t>–59.7</w:t>
            </w:r>
          </w:p>
        </w:tc>
      </w:tr>
      <w:tr w:rsidR="001B622A" w:rsidRPr="006C2078" w:rsidTr="00440D7C">
        <w:trPr>
          <w:jc w:val="center"/>
        </w:trPr>
        <w:tc>
          <w:tcPr>
            <w:tcW w:w="3969" w:type="dxa"/>
            <w:noWrap/>
          </w:tcPr>
          <w:p w:rsidR="001B622A" w:rsidRPr="006C2078" w:rsidRDefault="001B622A" w:rsidP="00192341">
            <w:pPr>
              <w:pStyle w:val="Tabletext"/>
            </w:pPr>
            <w:r w:rsidRPr="006C2078">
              <w:t>Delta frequency</w:t>
            </w:r>
            <w:r>
              <w:t xml:space="preserve"> (MHz)</w:t>
            </w:r>
          </w:p>
        </w:tc>
        <w:tc>
          <w:tcPr>
            <w:tcW w:w="1701" w:type="dxa"/>
            <w:noWrap/>
          </w:tcPr>
          <w:p w:rsidR="001B622A" w:rsidRPr="006C2078" w:rsidRDefault="001B622A" w:rsidP="001B622A">
            <w:pPr>
              <w:pStyle w:val="Tabletext"/>
              <w:jc w:val="center"/>
            </w:pPr>
            <w:r w:rsidRPr="006C2078">
              <w:t>45.0</w:t>
            </w:r>
          </w:p>
        </w:tc>
        <w:tc>
          <w:tcPr>
            <w:tcW w:w="1701" w:type="dxa"/>
            <w:noWrap/>
          </w:tcPr>
          <w:p w:rsidR="001B622A" w:rsidRPr="006C2078" w:rsidRDefault="001B622A" w:rsidP="001B622A">
            <w:pPr>
              <w:pStyle w:val="Tabletext"/>
              <w:jc w:val="center"/>
            </w:pPr>
            <w:r w:rsidRPr="006C2078">
              <w:t>68.0</w:t>
            </w:r>
          </w:p>
        </w:tc>
        <w:tc>
          <w:tcPr>
            <w:tcW w:w="1701" w:type="dxa"/>
            <w:noWrap/>
          </w:tcPr>
          <w:p w:rsidR="001B622A" w:rsidRPr="006C2078" w:rsidRDefault="001B622A" w:rsidP="001B622A">
            <w:pPr>
              <w:pStyle w:val="Tabletext"/>
              <w:jc w:val="center"/>
            </w:pPr>
            <w:r w:rsidRPr="006C2078">
              <w:t>125.0</w:t>
            </w:r>
          </w:p>
        </w:tc>
      </w:tr>
      <w:tr w:rsidR="001B622A" w:rsidRPr="006C2078" w:rsidTr="00440D7C">
        <w:trPr>
          <w:jc w:val="center"/>
        </w:trPr>
        <w:tc>
          <w:tcPr>
            <w:tcW w:w="3969" w:type="dxa"/>
            <w:noWrap/>
          </w:tcPr>
          <w:p w:rsidR="001B622A" w:rsidRPr="006C2078" w:rsidRDefault="001B622A" w:rsidP="00192341">
            <w:pPr>
              <w:pStyle w:val="Tabletext"/>
            </w:pPr>
            <w:r w:rsidRPr="006C2078">
              <w:t>Normalized delta frequency</w:t>
            </w:r>
            <w:r>
              <w:t xml:space="preserve"> (%)</w:t>
            </w:r>
          </w:p>
        </w:tc>
        <w:tc>
          <w:tcPr>
            <w:tcW w:w="1701" w:type="dxa"/>
            <w:noWrap/>
          </w:tcPr>
          <w:p w:rsidR="001B622A" w:rsidRPr="006C2078" w:rsidRDefault="001B622A" w:rsidP="001B622A">
            <w:pPr>
              <w:pStyle w:val="Tabletext"/>
              <w:jc w:val="center"/>
            </w:pPr>
            <w:r w:rsidRPr="006C2078">
              <w:t>187.5</w:t>
            </w:r>
          </w:p>
        </w:tc>
        <w:tc>
          <w:tcPr>
            <w:tcW w:w="1701" w:type="dxa"/>
            <w:noWrap/>
          </w:tcPr>
          <w:p w:rsidR="001B622A" w:rsidRPr="006C2078" w:rsidRDefault="001B622A" w:rsidP="001B622A">
            <w:pPr>
              <w:pStyle w:val="Tabletext"/>
              <w:jc w:val="center"/>
            </w:pPr>
            <w:r w:rsidRPr="006C2078">
              <w:t>566.7</w:t>
            </w:r>
          </w:p>
        </w:tc>
        <w:tc>
          <w:tcPr>
            <w:tcW w:w="1701" w:type="dxa"/>
            <w:noWrap/>
          </w:tcPr>
          <w:p w:rsidR="001B622A" w:rsidRPr="006C2078" w:rsidRDefault="001B622A" w:rsidP="001B622A">
            <w:pPr>
              <w:pStyle w:val="Tabletext"/>
              <w:jc w:val="center"/>
            </w:pPr>
            <w:r w:rsidRPr="006C2078">
              <w:t>520.8</w:t>
            </w:r>
          </w:p>
        </w:tc>
      </w:tr>
      <w:tr w:rsidR="001B622A" w:rsidRPr="006C2078" w:rsidTr="00440D7C">
        <w:trPr>
          <w:jc w:val="center"/>
        </w:trPr>
        <w:tc>
          <w:tcPr>
            <w:tcW w:w="3969" w:type="dxa"/>
            <w:noWrap/>
            <w:vAlign w:val="center"/>
          </w:tcPr>
          <w:p w:rsidR="001B622A" w:rsidRPr="006C2078" w:rsidRDefault="001B622A" w:rsidP="00192341">
            <w:pPr>
              <w:pStyle w:val="Tabletext"/>
            </w:pPr>
            <w:r>
              <w:t>OoB</w:t>
            </w:r>
            <w:r w:rsidRPr="006C2078">
              <w:t xml:space="preserve"> attenuation</w:t>
            </w:r>
            <w:r>
              <w:t xml:space="preserve"> (dB)</w:t>
            </w:r>
          </w:p>
        </w:tc>
        <w:tc>
          <w:tcPr>
            <w:tcW w:w="1701" w:type="dxa"/>
            <w:noWrap/>
            <w:vAlign w:val="center"/>
          </w:tcPr>
          <w:p w:rsidR="001B622A" w:rsidRPr="006C2078" w:rsidRDefault="001B622A" w:rsidP="001B622A">
            <w:pPr>
              <w:pStyle w:val="Tabletext"/>
              <w:jc w:val="center"/>
            </w:pPr>
            <w:r w:rsidRPr="006C2078">
              <w:t>34.5</w:t>
            </w:r>
          </w:p>
        </w:tc>
        <w:tc>
          <w:tcPr>
            <w:tcW w:w="1701" w:type="dxa"/>
            <w:noWrap/>
          </w:tcPr>
          <w:p w:rsidR="001B622A" w:rsidRPr="006C2078" w:rsidRDefault="001B622A" w:rsidP="001B622A">
            <w:pPr>
              <w:pStyle w:val="Tabletext"/>
              <w:jc w:val="center"/>
            </w:pPr>
            <w:r w:rsidRPr="006C2078">
              <w:rPr>
                <w:color w:val="000000"/>
              </w:rPr>
              <w:t>42.0</w:t>
            </w:r>
          </w:p>
        </w:tc>
        <w:tc>
          <w:tcPr>
            <w:tcW w:w="1701" w:type="dxa"/>
            <w:noWrap/>
          </w:tcPr>
          <w:p w:rsidR="001B622A" w:rsidRPr="006C2078" w:rsidRDefault="001B622A" w:rsidP="001B622A">
            <w:pPr>
              <w:pStyle w:val="Tabletext"/>
              <w:jc w:val="center"/>
            </w:pPr>
            <w:r w:rsidRPr="006C2078">
              <w:rPr>
                <w:color w:val="000000"/>
              </w:rPr>
              <w:t>42.0</w:t>
            </w:r>
          </w:p>
        </w:tc>
      </w:tr>
      <w:tr w:rsidR="001B622A" w:rsidRPr="006C2078" w:rsidTr="00440D7C">
        <w:trPr>
          <w:jc w:val="center"/>
        </w:trPr>
        <w:tc>
          <w:tcPr>
            <w:tcW w:w="3969" w:type="dxa"/>
            <w:noWrap/>
            <w:vAlign w:val="center"/>
          </w:tcPr>
          <w:p w:rsidR="001B622A" w:rsidRPr="007D1EF7" w:rsidRDefault="001B622A" w:rsidP="00192341">
            <w:pPr>
              <w:pStyle w:val="Tabletext"/>
              <w:rPr>
                <w:lang w:val="en-US"/>
              </w:rPr>
            </w:pPr>
            <w:r w:rsidRPr="007D1EF7">
              <w:rPr>
                <w:lang w:val="en-US"/>
              </w:rPr>
              <w:t>OoB PSD (dB</w:t>
            </w:r>
            <w:r w:rsidR="00440D7C" w:rsidRPr="007D1EF7">
              <w:rPr>
                <w:lang w:val="en-US"/>
              </w:rPr>
              <w:t>(</w:t>
            </w:r>
            <w:r w:rsidRPr="007D1EF7">
              <w:rPr>
                <w:lang w:val="en-US"/>
              </w:rPr>
              <w:t>W/Hz)</w:t>
            </w:r>
            <w:r w:rsidR="00440D7C" w:rsidRPr="007D1EF7">
              <w:rPr>
                <w:lang w:val="en-US"/>
              </w:rPr>
              <w:t>)</w:t>
            </w:r>
          </w:p>
        </w:tc>
        <w:tc>
          <w:tcPr>
            <w:tcW w:w="1701" w:type="dxa"/>
            <w:noWrap/>
            <w:vAlign w:val="center"/>
          </w:tcPr>
          <w:p w:rsidR="001B622A" w:rsidRPr="006C2078" w:rsidRDefault="001B622A" w:rsidP="001B622A">
            <w:pPr>
              <w:pStyle w:val="Tabletext"/>
              <w:jc w:val="center"/>
            </w:pPr>
            <w:r w:rsidRPr="006C2078">
              <w:t>–94.2</w:t>
            </w:r>
          </w:p>
        </w:tc>
        <w:tc>
          <w:tcPr>
            <w:tcW w:w="1701" w:type="dxa"/>
            <w:noWrap/>
            <w:vAlign w:val="center"/>
          </w:tcPr>
          <w:p w:rsidR="001B622A" w:rsidRPr="006C2078" w:rsidRDefault="001B622A" w:rsidP="001B622A">
            <w:pPr>
              <w:pStyle w:val="Tabletext"/>
              <w:jc w:val="center"/>
            </w:pPr>
            <w:r w:rsidRPr="006C2078">
              <w:t>–101.7</w:t>
            </w:r>
          </w:p>
        </w:tc>
        <w:tc>
          <w:tcPr>
            <w:tcW w:w="1701" w:type="dxa"/>
            <w:noWrap/>
            <w:vAlign w:val="center"/>
          </w:tcPr>
          <w:p w:rsidR="001B622A" w:rsidRPr="006C2078" w:rsidRDefault="001B622A" w:rsidP="001B622A">
            <w:pPr>
              <w:pStyle w:val="Tabletext"/>
              <w:jc w:val="center"/>
            </w:pPr>
            <w:r w:rsidRPr="006C2078">
              <w:t>–101.7</w:t>
            </w:r>
          </w:p>
        </w:tc>
      </w:tr>
    </w:tbl>
    <w:p w:rsidR="001B622A" w:rsidRDefault="001B622A" w:rsidP="001B622A">
      <w:pPr>
        <w:pStyle w:val="Tablefin"/>
      </w:pPr>
    </w:p>
    <w:p w:rsidR="00AA2BE3" w:rsidRPr="007D1EF7" w:rsidRDefault="00AA2BE3" w:rsidP="00AA2BE3">
      <w:pPr>
        <w:pStyle w:val="Heading1"/>
        <w:rPr>
          <w:lang w:val="en-US"/>
        </w:rPr>
      </w:pPr>
      <w:bookmarkStart w:id="96" w:name="_Toc277668658"/>
      <w:r w:rsidRPr="007D1EF7">
        <w:rPr>
          <w:lang w:val="en-US"/>
        </w:rPr>
        <w:t>2</w:t>
      </w:r>
      <w:r w:rsidRPr="007D1EF7">
        <w:rPr>
          <w:lang w:val="en-US"/>
        </w:rPr>
        <w:tab/>
        <w:t>Results for sharing with space stations in the inter-satellite service</w:t>
      </w:r>
      <w:bookmarkEnd w:id="96"/>
    </w:p>
    <w:p w:rsidR="00AA2BE3" w:rsidRPr="007D1EF7" w:rsidRDefault="00AA2BE3" w:rsidP="00AA2BE3">
      <w:pPr>
        <w:rPr>
          <w:lang w:val="en-US"/>
        </w:rPr>
      </w:pPr>
      <w:r w:rsidRPr="007D1EF7">
        <w:rPr>
          <w:lang w:val="en-US"/>
        </w:rPr>
        <w:t xml:space="preserve">A number of simulations have been run using the technical and operating characteristics listed in the previous sections. </w:t>
      </w:r>
    </w:p>
    <w:p w:rsidR="00AA2BE3" w:rsidRPr="007D1EF7" w:rsidRDefault="00AA2BE3" w:rsidP="00192341">
      <w:pPr>
        <w:pStyle w:val="Heading2"/>
        <w:rPr>
          <w:lang w:val="en-US"/>
        </w:rPr>
      </w:pPr>
      <w:bookmarkStart w:id="97" w:name="_Toc277668659"/>
      <w:r w:rsidRPr="007D1EF7">
        <w:rPr>
          <w:lang w:val="en-US"/>
        </w:rPr>
        <w:t>2.1</w:t>
      </w:r>
      <w:r w:rsidRPr="007D1EF7">
        <w:rPr>
          <w:lang w:val="en-US"/>
        </w:rPr>
        <w:tab/>
        <w:t>Statistical interference to a non-GSO-to-non-GSO inter-satellite links</w:t>
      </w:r>
      <w:r w:rsidR="00192341" w:rsidRPr="007D1EF7">
        <w:rPr>
          <w:lang w:val="en-US"/>
        </w:rPr>
        <w:t> –</w:t>
      </w:r>
      <w:r w:rsidRPr="007D1EF7">
        <w:rPr>
          <w:lang w:val="en-US"/>
        </w:rPr>
        <w:t xml:space="preserve"> HIBLEO-2 type system</w:t>
      </w:r>
      <w:bookmarkEnd w:id="97"/>
    </w:p>
    <w:p w:rsidR="00AA2BE3" w:rsidRPr="007D1EF7" w:rsidRDefault="00AA2BE3" w:rsidP="00AA2BE3">
      <w:pPr>
        <w:rPr>
          <w:lang w:val="en-US"/>
        </w:rPr>
      </w:pPr>
      <w:r w:rsidRPr="007D1EF7">
        <w:rPr>
          <w:lang w:val="en-US"/>
        </w:rPr>
        <w:t xml:space="preserve">For each simulation, the </w:t>
      </w:r>
      <w:r w:rsidRPr="007D1EF7">
        <w:rPr>
          <w:i/>
          <w:iCs/>
          <w:lang w:val="en-US"/>
        </w:rPr>
        <w:t>I</w:t>
      </w:r>
      <w:r w:rsidRPr="007D1EF7">
        <w:rPr>
          <w:lang w:val="en-US"/>
        </w:rPr>
        <w:t>/</w:t>
      </w:r>
      <w:r w:rsidRPr="007D1EF7">
        <w:rPr>
          <w:i/>
          <w:iCs/>
          <w:lang w:val="en-US"/>
        </w:rPr>
        <w:t>N</w:t>
      </w:r>
      <w:r w:rsidRPr="007D1EF7">
        <w:rPr>
          <w:lang w:val="en-US"/>
        </w:rPr>
        <w:t xml:space="preserve"> statistics discussed below are presented and contain: </w:t>
      </w:r>
    </w:p>
    <w:p w:rsidR="00AA2BE3" w:rsidRPr="007D1EF7" w:rsidRDefault="00AA2BE3" w:rsidP="00AA2BE3">
      <w:pPr>
        <w:pStyle w:val="enumlev1"/>
        <w:rPr>
          <w:lang w:val="en-US"/>
        </w:rPr>
      </w:pPr>
      <w:r w:rsidRPr="007D1EF7">
        <w:rPr>
          <w:lang w:val="en-US"/>
        </w:rPr>
        <w:t>−</w:t>
      </w:r>
      <w:r w:rsidRPr="007D1EF7">
        <w:rPr>
          <w:lang w:val="en-US"/>
        </w:rPr>
        <w:tab/>
        <w:t>CDF curves;</w:t>
      </w:r>
    </w:p>
    <w:p w:rsidR="00AA2BE3" w:rsidRPr="007D1EF7" w:rsidRDefault="00AA2BE3" w:rsidP="00AA2BE3">
      <w:pPr>
        <w:pStyle w:val="enumlev1"/>
        <w:rPr>
          <w:lang w:val="en-US"/>
        </w:rPr>
      </w:pPr>
      <w:r w:rsidRPr="007D1EF7">
        <w:rPr>
          <w:lang w:val="en-US"/>
        </w:rPr>
        <w:t>−</w:t>
      </w:r>
      <w:r w:rsidRPr="007D1EF7">
        <w:rPr>
          <w:lang w:val="en-US"/>
        </w:rPr>
        <w:tab/>
        <w:t xml:space="preserve">The </w:t>
      </w:r>
      <w:r w:rsidRPr="007D1EF7">
        <w:rPr>
          <w:i/>
          <w:iCs/>
          <w:lang w:val="en-US"/>
        </w:rPr>
        <w:t>I</w:t>
      </w:r>
      <w:r w:rsidRPr="007D1EF7">
        <w:rPr>
          <w:lang w:val="en-US"/>
        </w:rPr>
        <w:t>/</w:t>
      </w:r>
      <w:r w:rsidRPr="007D1EF7">
        <w:rPr>
          <w:i/>
          <w:iCs/>
          <w:lang w:val="en-US"/>
        </w:rPr>
        <w:t>N</w:t>
      </w:r>
      <w:r w:rsidRPr="007D1EF7">
        <w:rPr>
          <w:lang w:val="en-US"/>
        </w:rPr>
        <w:t xml:space="preserve"> value that is exceeded for a specified percentage of time.</w:t>
      </w:r>
    </w:p>
    <w:p w:rsidR="00AA2BE3" w:rsidRPr="007D1EF7" w:rsidRDefault="00AA2BE3" w:rsidP="00AA2BE3">
      <w:pPr>
        <w:pStyle w:val="Heading2"/>
        <w:rPr>
          <w:lang w:val="en-US"/>
        </w:rPr>
      </w:pPr>
      <w:bookmarkStart w:id="98" w:name="_Toc277668660"/>
      <w:r w:rsidRPr="007D1EF7">
        <w:rPr>
          <w:lang w:val="en-US"/>
        </w:rPr>
        <w:t>2.2</w:t>
      </w:r>
      <w:r w:rsidRPr="007D1EF7">
        <w:rPr>
          <w:lang w:val="en-US"/>
        </w:rPr>
        <w:tab/>
        <w:t>In-band case</w:t>
      </w:r>
      <w:bookmarkEnd w:id="98"/>
    </w:p>
    <w:p w:rsidR="00AA2BE3" w:rsidRPr="007D1EF7" w:rsidRDefault="00AA2BE3" w:rsidP="003B6E9A">
      <w:pPr>
        <w:rPr>
          <w:lang w:val="en-US"/>
        </w:rPr>
      </w:pPr>
      <w:r w:rsidRPr="007D1EF7">
        <w:rPr>
          <w:lang w:val="en-US"/>
        </w:rPr>
        <w:t>The in-band case was run using sequential 1</w:t>
      </w:r>
      <w:r w:rsidR="001B622A" w:rsidRPr="007D1EF7">
        <w:rPr>
          <w:lang w:val="en-US"/>
        </w:rPr>
        <w:t>-</w:t>
      </w:r>
      <w:r w:rsidRPr="007D1EF7">
        <w:rPr>
          <w:lang w:val="en-US"/>
        </w:rPr>
        <w:t>sec</w:t>
      </w:r>
      <w:r w:rsidR="001B622A" w:rsidRPr="007D1EF7">
        <w:rPr>
          <w:lang w:val="en-US"/>
        </w:rPr>
        <w:t>ond</w:t>
      </w:r>
      <w:r w:rsidRPr="007D1EF7">
        <w:rPr>
          <w:lang w:val="en-US"/>
        </w:rPr>
        <w:t xml:space="preserve"> time intervals over a 1 year period, for a total of 31.536 </w:t>
      </w:r>
      <w:r w:rsidRPr="007D1EF7">
        <w:rPr>
          <w:rFonts w:ascii="Times" w:hAnsi="Times" w:cs="Times"/>
          <w:lang w:val="en-US"/>
        </w:rPr>
        <w:t>×</w:t>
      </w:r>
      <w:r w:rsidRPr="007D1EF7">
        <w:rPr>
          <w:lang w:val="en-US"/>
        </w:rPr>
        <w:t xml:space="preserve"> 10</w:t>
      </w:r>
      <w:r w:rsidRPr="007D1EF7">
        <w:rPr>
          <w:rFonts w:ascii="(Asiatische Schriftart verwende" w:hAnsi="(Asiatische Schriftart verwende"/>
          <w:vertAlign w:val="superscript"/>
          <w:lang w:val="en-US"/>
        </w:rPr>
        <w:t>6</w:t>
      </w:r>
      <w:r w:rsidRPr="007D1EF7">
        <w:rPr>
          <w:lang w:val="en-US"/>
        </w:rPr>
        <w:t xml:space="preserve"> time points. Table A7-2 summarizes the results for the simulation scenario’</w:t>
      </w:r>
      <w:r w:rsidR="003B6E9A">
        <w:rPr>
          <w:lang w:val="en-US"/>
        </w:rPr>
        <w:t>s</w:t>
      </w:r>
      <w:r w:rsidRPr="007D1EF7">
        <w:rPr>
          <w:lang w:val="en-US"/>
        </w:rPr>
        <w:t xml:space="preserve"> </w:t>
      </w:r>
      <w:r w:rsidRPr="007D1EF7">
        <w:rPr>
          <w:i/>
          <w:iCs/>
          <w:lang w:val="en-US"/>
        </w:rPr>
        <w:t>I</w:t>
      </w:r>
      <w:r w:rsidRPr="007D1EF7">
        <w:rPr>
          <w:lang w:val="en-US"/>
        </w:rPr>
        <w:t>/</w:t>
      </w:r>
      <w:r w:rsidRPr="007D1EF7">
        <w:rPr>
          <w:i/>
          <w:iCs/>
          <w:lang w:val="en-US"/>
        </w:rPr>
        <w:t>N</w:t>
      </w:r>
      <w:r w:rsidRPr="007D1EF7">
        <w:rPr>
          <w:lang w:val="en-US"/>
        </w:rPr>
        <w:t xml:space="preserve"> statistics for the in-band case</w:t>
      </w:r>
      <w:r w:rsidRPr="007D1EF7" w:rsidDel="0093450A">
        <w:rPr>
          <w:lang w:val="en-US"/>
        </w:rPr>
        <w:t>s</w:t>
      </w:r>
      <w:r w:rsidRPr="007D1EF7">
        <w:rPr>
          <w:lang w:val="en-US"/>
        </w:rPr>
        <w:t xml:space="preserve">. Figure A7-1 shows the </w:t>
      </w:r>
      <w:r w:rsidRPr="007D1EF7">
        <w:rPr>
          <w:i/>
          <w:iCs/>
          <w:lang w:val="en-US"/>
        </w:rPr>
        <w:t>I</w:t>
      </w:r>
      <w:r w:rsidRPr="007D1EF7">
        <w:rPr>
          <w:lang w:val="en-US"/>
        </w:rPr>
        <w:t>/</w:t>
      </w:r>
      <w:r w:rsidRPr="007D1EF7">
        <w:rPr>
          <w:i/>
          <w:iCs/>
          <w:lang w:val="en-US"/>
        </w:rPr>
        <w:t>N</w:t>
      </w:r>
      <w:r w:rsidRPr="007D1EF7">
        <w:rPr>
          <w:lang w:val="en-US"/>
        </w:rPr>
        <w:t xml:space="preserve"> values for all 242 inter-satellite links for this case. The protection criterion is met by a wide margin.</w:t>
      </w:r>
    </w:p>
    <w:p w:rsidR="00AA2BE3" w:rsidRPr="007D1EF7" w:rsidRDefault="00AA2BE3" w:rsidP="00AA2BE3">
      <w:pPr>
        <w:pStyle w:val="TableNo"/>
        <w:rPr>
          <w:lang w:val="en-US"/>
        </w:rPr>
      </w:pPr>
      <w:r w:rsidRPr="007D1EF7">
        <w:rPr>
          <w:lang w:val="en-US"/>
        </w:rPr>
        <w:lastRenderedPageBreak/>
        <w:t>TABLE A7-2</w:t>
      </w:r>
    </w:p>
    <w:p w:rsidR="00AA2BE3" w:rsidRPr="007D1EF7" w:rsidRDefault="00AA2BE3" w:rsidP="00AA2BE3">
      <w:pPr>
        <w:pStyle w:val="Tabletitle"/>
        <w:rPr>
          <w:lang w:val="en-US"/>
        </w:rPr>
      </w:pPr>
      <w:r w:rsidRPr="007D1EF7">
        <w:rPr>
          <w:lang w:val="en-US"/>
        </w:rPr>
        <w:t xml:space="preserve">In-band case summary for </w:t>
      </w:r>
      <w:r w:rsidRPr="007D1EF7">
        <w:rPr>
          <w:i/>
          <w:iCs/>
          <w:lang w:val="en-US"/>
        </w:rPr>
        <w:t>I</w:t>
      </w:r>
      <w:r w:rsidR="001B622A" w:rsidRPr="007D1EF7">
        <w:rPr>
          <w:rFonts w:ascii="Times New Roman Bold" w:hAnsi="Times New Roman Bold" w:cs="Times New Roman Bold"/>
          <w:i/>
          <w:iCs/>
          <w:sz w:val="8"/>
          <w:lang w:val="en-US"/>
        </w:rPr>
        <w:t xml:space="preserve"> </w:t>
      </w:r>
      <w:r w:rsidRPr="007D1EF7">
        <w:rPr>
          <w:lang w:val="en-US"/>
        </w:rPr>
        <w:t>/</w:t>
      </w:r>
      <w:r w:rsidRPr="007D1EF7">
        <w:rPr>
          <w:i/>
          <w:iCs/>
          <w:lang w:val="en-US"/>
        </w:rPr>
        <w:t>N</w:t>
      </w:r>
      <w:r w:rsidRPr="007D1EF7">
        <w:rPr>
          <w:lang w:val="en-US"/>
        </w:rPr>
        <w:t xml:space="preserve"> statistics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A0"/>
      </w:tblPr>
      <w:tblGrid>
        <w:gridCol w:w="1984"/>
        <w:gridCol w:w="1134"/>
        <w:gridCol w:w="3402"/>
      </w:tblGrid>
      <w:tr w:rsidR="001B622A" w:rsidRPr="003B6E9A" w:rsidTr="00440D7C">
        <w:trPr>
          <w:jc w:val="center"/>
        </w:trPr>
        <w:tc>
          <w:tcPr>
            <w:tcW w:w="1984" w:type="dxa"/>
            <w:tcBorders>
              <w:top w:val="nil"/>
              <w:left w:val="nil"/>
              <w:bottom w:val="single" w:sz="4" w:space="0" w:color="auto"/>
            </w:tcBorders>
            <w:noWrap/>
          </w:tcPr>
          <w:p w:rsidR="001B622A" w:rsidRPr="007D1EF7" w:rsidRDefault="001B622A" w:rsidP="001B622A">
            <w:pPr>
              <w:pStyle w:val="Tablehead"/>
              <w:rPr>
                <w:lang w:val="en-US"/>
              </w:rPr>
            </w:pPr>
          </w:p>
        </w:tc>
        <w:tc>
          <w:tcPr>
            <w:tcW w:w="1134" w:type="dxa"/>
            <w:tcBorders>
              <w:top w:val="nil"/>
              <w:bottom w:val="single" w:sz="4" w:space="0" w:color="auto"/>
              <w:right w:val="single" w:sz="4" w:space="0" w:color="auto"/>
            </w:tcBorders>
            <w:noWrap/>
          </w:tcPr>
          <w:p w:rsidR="001B622A" w:rsidRPr="007D1EF7" w:rsidRDefault="001B622A" w:rsidP="001B622A">
            <w:pPr>
              <w:pStyle w:val="Tablehead"/>
              <w:rPr>
                <w:lang w:val="en-US"/>
              </w:rPr>
            </w:pPr>
          </w:p>
        </w:tc>
        <w:tc>
          <w:tcPr>
            <w:tcW w:w="3402" w:type="dxa"/>
            <w:tcBorders>
              <w:top w:val="single" w:sz="4" w:space="0" w:color="auto"/>
              <w:left w:val="single" w:sz="4" w:space="0" w:color="auto"/>
            </w:tcBorders>
            <w:noWrap/>
          </w:tcPr>
          <w:p w:rsidR="001B622A" w:rsidRPr="007D1EF7" w:rsidRDefault="001B622A" w:rsidP="001B622A">
            <w:pPr>
              <w:pStyle w:val="Tablehead"/>
              <w:rPr>
                <w:lang w:val="en-US"/>
              </w:rPr>
            </w:pPr>
            <w:r w:rsidRPr="007D1EF7">
              <w:rPr>
                <w:lang w:val="en-US"/>
              </w:rPr>
              <w:t>In-band case – per year</w:t>
            </w:r>
            <w:r w:rsidRPr="007D1EF7">
              <w:rPr>
                <w:lang w:val="en-US"/>
              </w:rPr>
              <w:br/>
              <w:t>Per link</w:t>
            </w:r>
          </w:p>
        </w:tc>
      </w:tr>
      <w:tr w:rsidR="00AA2BE3" w:rsidRPr="006C2078" w:rsidTr="00440D7C">
        <w:trPr>
          <w:jc w:val="center"/>
        </w:trPr>
        <w:tc>
          <w:tcPr>
            <w:tcW w:w="1984" w:type="dxa"/>
            <w:vMerge w:val="restart"/>
            <w:tcBorders>
              <w:top w:val="single" w:sz="4" w:space="0" w:color="auto"/>
            </w:tcBorders>
          </w:tcPr>
          <w:p w:rsidR="00AA2BE3" w:rsidRPr="006C2078" w:rsidRDefault="00AA2BE3" w:rsidP="001B622A">
            <w:pPr>
              <w:pStyle w:val="Tabletext"/>
              <w:jc w:val="left"/>
            </w:pPr>
            <w:r w:rsidRPr="006C2078">
              <w:rPr>
                <w:i/>
                <w:iCs/>
              </w:rPr>
              <w:t>I</w:t>
            </w:r>
            <w:r w:rsidRPr="006C2078">
              <w:t>/</w:t>
            </w:r>
            <w:r w:rsidRPr="006C2078">
              <w:rPr>
                <w:i/>
                <w:iCs/>
              </w:rPr>
              <w:t>N</w:t>
            </w:r>
            <w:r w:rsidRPr="006C2078">
              <w:t xml:space="preserve"> (dB) at 0.1%</w:t>
            </w:r>
          </w:p>
        </w:tc>
        <w:tc>
          <w:tcPr>
            <w:tcW w:w="1134" w:type="dxa"/>
            <w:tcBorders>
              <w:top w:val="single" w:sz="4" w:space="0" w:color="auto"/>
              <w:right w:val="single" w:sz="4" w:space="0" w:color="auto"/>
            </w:tcBorders>
            <w:noWrap/>
          </w:tcPr>
          <w:p w:rsidR="00AA2BE3" w:rsidRPr="006C2078" w:rsidRDefault="00AA2BE3" w:rsidP="001B622A">
            <w:pPr>
              <w:pStyle w:val="Tabletext"/>
              <w:jc w:val="left"/>
            </w:pPr>
            <w:r w:rsidRPr="006C2078">
              <w:t>mean</w:t>
            </w:r>
          </w:p>
        </w:tc>
        <w:tc>
          <w:tcPr>
            <w:tcW w:w="3402" w:type="dxa"/>
            <w:tcBorders>
              <w:top w:val="single" w:sz="4" w:space="0" w:color="auto"/>
              <w:left w:val="single" w:sz="4" w:space="0" w:color="auto"/>
            </w:tcBorders>
            <w:noWrap/>
          </w:tcPr>
          <w:p w:rsidR="00AA2BE3" w:rsidRPr="006C2078" w:rsidRDefault="00AA2BE3" w:rsidP="001B622A">
            <w:pPr>
              <w:pStyle w:val="Tabletext"/>
              <w:jc w:val="center"/>
            </w:pPr>
            <w:r w:rsidRPr="006C2078">
              <w:t>–48.3</w:t>
            </w:r>
          </w:p>
        </w:tc>
      </w:tr>
      <w:tr w:rsidR="00AA2BE3" w:rsidRPr="006C2078" w:rsidTr="00964994">
        <w:trPr>
          <w:jc w:val="center"/>
        </w:trPr>
        <w:tc>
          <w:tcPr>
            <w:tcW w:w="1984" w:type="dxa"/>
            <w:vMerge/>
          </w:tcPr>
          <w:p w:rsidR="00AA2BE3" w:rsidRPr="006C2078" w:rsidRDefault="00AA2BE3" w:rsidP="001B622A">
            <w:pPr>
              <w:pStyle w:val="Tabletext"/>
              <w:jc w:val="left"/>
            </w:pPr>
          </w:p>
        </w:tc>
        <w:tc>
          <w:tcPr>
            <w:tcW w:w="1134" w:type="dxa"/>
            <w:tcBorders>
              <w:right w:val="single" w:sz="4" w:space="0" w:color="auto"/>
            </w:tcBorders>
            <w:noWrap/>
          </w:tcPr>
          <w:p w:rsidR="00AA2BE3" w:rsidRPr="006C2078" w:rsidRDefault="00AA2BE3" w:rsidP="001B622A">
            <w:pPr>
              <w:pStyle w:val="Tabletext"/>
              <w:jc w:val="left"/>
            </w:pPr>
            <w:r w:rsidRPr="006C2078">
              <w:t>min</w:t>
            </w:r>
            <w:r w:rsidR="001B622A">
              <w:t>.</w:t>
            </w:r>
          </w:p>
        </w:tc>
        <w:tc>
          <w:tcPr>
            <w:tcW w:w="3402" w:type="dxa"/>
            <w:tcBorders>
              <w:left w:val="single" w:sz="4" w:space="0" w:color="auto"/>
            </w:tcBorders>
            <w:noWrap/>
          </w:tcPr>
          <w:p w:rsidR="00AA2BE3" w:rsidRPr="006C2078" w:rsidRDefault="00AA2BE3" w:rsidP="001B622A">
            <w:pPr>
              <w:pStyle w:val="Tabletext"/>
              <w:jc w:val="center"/>
            </w:pPr>
            <w:r w:rsidRPr="006C2078">
              <w:t>–49.2</w:t>
            </w:r>
          </w:p>
        </w:tc>
      </w:tr>
      <w:tr w:rsidR="00AA2BE3" w:rsidRPr="006C2078" w:rsidTr="00964994">
        <w:trPr>
          <w:jc w:val="center"/>
        </w:trPr>
        <w:tc>
          <w:tcPr>
            <w:tcW w:w="1984" w:type="dxa"/>
            <w:vMerge/>
            <w:tcBorders>
              <w:bottom w:val="single" w:sz="4" w:space="0" w:color="auto"/>
            </w:tcBorders>
          </w:tcPr>
          <w:p w:rsidR="00AA2BE3" w:rsidRPr="006C2078" w:rsidRDefault="00AA2BE3" w:rsidP="001B622A">
            <w:pPr>
              <w:pStyle w:val="Tabletext"/>
              <w:jc w:val="left"/>
            </w:pPr>
          </w:p>
        </w:tc>
        <w:tc>
          <w:tcPr>
            <w:tcW w:w="1134" w:type="dxa"/>
            <w:tcBorders>
              <w:bottom w:val="single" w:sz="4" w:space="0" w:color="auto"/>
              <w:right w:val="single" w:sz="4" w:space="0" w:color="auto"/>
            </w:tcBorders>
            <w:noWrap/>
          </w:tcPr>
          <w:p w:rsidR="00AA2BE3" w:rsidRPr="006C2078" w:rsidRDefault="00AA2BE3" w:rsidP="001B622A">
            <w:pPr>
              <w:pStyle w:val="Tabletext"/>
              <w:jc w:val="left"/>
            </w:pPr>
            <w:r w:rsidRPr="006C2078">
              <w:t>max</w:t>
            </w:r>
            <w:r w:rsidR="001B622A">
              <w:t>.</w:t>
            </w:r>
          </w:p>
        </w:tc>
        <w:tc>
          <w:tcPr>
            <w:tcW w:w="3402" w:type="dxa"/>
            <w:tcBorders>
              <w:left w:val="single" w:sz="4" w:space="0" w:color="auto"/>
              <w:bottom w:val="single" w:sz="4" w:space="0" w:color="auto"/>
            </w:tcBorders>
            <w:noWrap/>
          </w:tcPr>
          <w:p w:rsidR="00AA2BE3" w:rsidRPr="006C2078" w:rsidRDefault="00AA2BE3" w:rsidP="001B622A">
            <w:pPr>
              <w:pStyle w:val="Tabletext"/>
              <w:jc w:val="center"/>
            </w:pPr>
            <w:r w:rsidRPr="006C2078">
              <w:t>–47.2</w:t>
            </w:r>
          </w:p>
        </w:tc>
      </w:tr>
    </w:tbl>
    <w:p w:rsidR="001B622A" w:rsidRDefault="001B622A" w:rsidP="001B622A">
      <w:pPr>
        <w:pStyle w:val="Tablefin"/>
      </w:pPr>
    </w:p>
    <w:p w:rsidR="00AA2BE3" w:rsidRPr="006C2078" w:rsidRDefault="00AA2BE3" w:rsidP="00AA2BE3">
      <w:pPr>
        <w:pStyle w:val="FigureNo"/>
        <w:rPr>
          <w:b/>
        </w:rPr>
      </w:pPr>
      <w:r w:rsidRPr="006C2078">
        <w:t>FIGURE A7-1</w:t>
      </w:r>
    </w:p>
    <w:p w:rsidR="00AA2BE3" w:rsidRPr="006C2078" w:rsidRDefault="00AA2BE3" w:rsidP="00AA2BE3">
      <w:pPr>
        <w:pStyle w:val="Figuretitle"/>
      </w:pPr>
      <w:r w:rsidRPr="006C2078">
        <w:t>In-band, one year</w:t>
      </w:r>
    </w:p>
    <w:p w:rsidR="00AA2BE3" w:rsidRPr="006C2078" w:rsidRDefault="00AA2BE3" w:rsidP="006119E4">
      <w:pPr>
        <w:pStyle w:val="Figure"/>
        <w:rPr>
          <w:b/>
        </w:rPr>
      </w:pPr>
      <w:r>
        <w:rPr>
          <w:noProof/>
          <w:lang w:val="en-US" w:eastAsia="zh-CN"/>
        </w:rPr>
        <w:drawing>
          <wp:inline distT="0" distB="0" distL="0" distR="0">
            <wp:extent cx="5892165" cy="3450590"/>
            <wp:effectExtent l="0" t="0" r="0" b="0"/>
            <wp:docPr id="7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5" cstate="print"/>
                    <a:srcRect/>
                    <a:stretch>
                      <a:fillRect/>
                    </a:stretch>
                  </pic:blipFill>
                  <pic:spPr bwMode="auto">
                    <a:xfrm>
                      <a:off x="0" y="0"/>
                      <a:ext cx="5892165" cy="3450590"/>
                    </a:xfrm>
                    <a:prstGeom prst="rect">
                      <a:avLst/>
                    </a:prstGeom>
                    <a:noFill/>
                    <a:ln w="9525">
                      <a:noFill/>
                      <a:miter lim="800000"/>
                      <a:headEnd/>
                      <a:tailEnd/>
                    </a:ln>
                  </pic:spPr>
                </pic:pic>
              </a:graphicData>
            </a:graphic>
          </wp:inline>
        </w:drawing>
      </w:r>
    </w:p>
    <w:p w:rsidR="00AA2BE3" w:rsidRPr="007D1EF7" w:rsidRDefault="00AA2BE3" w:rsidP="00AA2BE3">
      <w:pPr>
        <w:pStyle w:val="Heading2"/>
        <w:rPr>
          <w:lang w:val="en-US"/>
        </w:rPr>
      </w:pPr>
      <w:bookmarkStart w:id="99" w:name="_Toc277668661"/>
      <w:r w:rsidRPr="007D1EF7">
        <w:rPr>
          <w:lang w:val="en-US"/>
        </w:rPr>
        <w:t>2.3</w:t>
      </w:r>
      <w:r w:rsidRPr="007D1EF7">
        <w:rPr>
          <w:lang w:val="en-US"/>
        </w:rPr>
        <w:tab/>
        <w:t>Out-of-band case</w:t>
      </w:r>
      <w:bookmarkEnd w:id="99"/>
    </w:p>
    <w:p w:rsidR="00AA2BE3" w:rsidRPr="007D1EF7" w:rsidRDefault="00AA2BE3" w:rsidP="00472456">
      <w:pPr>
        <w:rPr>
          <w:lang w:val="en-US"/>
        </w:rPr>
      </w:pPr>
      <w:r w:rsidRPr="007D1EF7">
        <w:rPr>
          <w:lang w:val="en-US"/>
        </w:rPr>
        <w:t xml:space="preserve">The </w:t>
      </w:r>
      <w:r w:rsidR="00964994" w:rsidRPr="007D1EF7">
        <w:rPr>
          <w:lang w:val="en-US"/>
        </w:rPr>
        <w:t>OoB</w:t>
      </w:r>
      <w:r w:rsidRPr="007D1EF7">
        <w:rPr>
          <w:lang w:val="en-US"/>
        </w:rPr>
        <w:t xml:space="preserve"> case was run using sequential 1</w:t>
      </w:r>
      <w:r w:rsidR="00472456" w:rsidRPr="007D1EF7">
        <w:rPr>
          <w:lang w:val="en-US"/>
        </w:rPr>
        <w:t>-</w:t>
      </w:r>
      <w:r w:rsidRPr="007D1EF7">
        <w:rPr>
          <w:lang w:val="en-US"/>
        </w:rPr>
        <w:t>sec</w:t>
      </w:r>
      <w:r w:rsidR="00440D7C" w:rsidRPr="007D1EF7">
        <w:rPr>
          <w:lang w:val="en-US"/>
        </w:rPr>
        <w:t>ond</w:t>
      </w:r>
      <w:r w:rsidRPr="007D1EF7">
        <w:rPr>
          <w:lang w:val="en-US"/>
        </w:rPr>
        <w:t xml:space="preserve"> time intervals over a 1 year period</w:t>
      </w:r>
      <w:r w:rsidRPr="007D1EF7" w:rsidDel="001934C6">
        <w:rPr>
          <w:lang w:val="en-US"/>
        </w:rPr>
        <w:t>s</w:t>
      </w:r>
      <w:r w:rsidRPr="007D1EF7">
        <w:rPr>
          <w:lang w:val="en-US"/>
        </w:rPr>
        <w:t xml:space="preserve">, for a total of 31.536 </w:t>
      </w:r>
      <w:r w:rsidRPr="007D1EF7">
        <w:rPr>
          <w:rFonts w:ascii="Times" w:hAnsi="Times" w:cs="Times"/>
          <w:lang w:val="en-US"/>
        </w:rPr>
        <w:t>×</w:t>
      </w:r>
      <w:r w:rsidRPr="007D1EF7">
        <w:rPr>
          <w:lang w:val="en-US"/>
        </w:rPr>
        <w:t xml:space="preserve"> 10</w:t>
      </w:r>
      <w:r w:rsidRPr="007D1EF7">
        <w:rPr>
          <w:rFonts w:ascii="(Asiatische Schriftart verwende" w:hAnsi="(Asiatische Schriftart verwende"/>
          <w:vertAlign w:val="superscript"/>
          <w:lang w:val="en-US"/>
        </w:rPr>
        <w:t>6</w:t>
      </w:r>
      <w:r w:rsidRPr="007D1EF7">
        <w:rPr>
          <w:lang w:val="en-US"/>
        </w:rPr>
        <w:t xml:space="preserve"> time points. Table A7-3 summarizes the results for the simulation scenario</w:t>
      </w:r>
      <w:r w:rsidRPr="007D1EF7" w:rsidDel="001934C6">
        <w:rPr>
          <w:lang w:val="en-US"/>
        </w:rPr>
        <w:t>s</w:t>
      </w:r>
      <w:r w:rsidRPr="007D1EF7">
        <w:rPr>
          <w:lang w:val="en-US"/>
        </w:rPr>
        <w:t xml:space="preserve">’s </w:t>
      </w:r>
      <w:r w:rsidRPr="007D1EF7">
        <w:rPr>
          <w:i/>
          <w:iCs/>
          <w:lang w:val="en-US"/>
        </w:rPr>
        <w:t>I</w:t>
      </w:r>
      <w:r w:rsidRPr="007D1EF7">
        <w:rPr>
          <w:lang w:val="en-US"/>
        </w:rPr>
        <w:t>/</w:t>
      </w:r>
      <w:r w:rsidRPr="007D1EF7">
        <w:rPr>
          <w:i/>
          <w:iCs/>
          <w:lang w:val="en-US"/>
        </w:rPr>
        <w:t>N</w:t>
      </w:r>
      <w:r w:rsidRPr="007D1EF7">
        <w:rPr>
          <w:lang w:val="en-US"/>
        </w:rPr>
        <w:t xml:space="preserve"> statistics for the out-of-band case</w:t>
      </w:r>
      <w:r w:rsidRPr="007D1EF7" w:rsidDel="001934C6">
        <w:rPr>
          <w:lang w:val="en-US"/>
        </w:rPr>
        <w:t>s</w:t>
      </w:r>
      <w:r w:rsidRPr="007D1EF7">
        <w:rPr>
          <w:lang w:val="en-US"/>
        </w:rPr>
        <w:t xml:space="preserve">. Figure A7-2 shows the </w:t>
      </w:r>
      <w:r w:rsidRPr="007D1EF7">
        <w:rPr>
          <w:i/>
          <w:iCs/>
          <w:lang w:val="en-US"/>
        </w:rPr>
        <w:t>I</w:t>
      </w:r>
      <w:r w:rsidRPr="007D1EF7">
        <w:rPr>
          <w:lang w:val="en-US"/>
        </w:rPr>
        <w:t>/</w:t>
      </w:r>
      <w:r w:rsidRPr="007D1EF7">
        <w:rPr>
          <w:i/>
          <w:iCs/>
          <w:lang w:val="en-US"/>
        </w:rPr>
        <w:t>N</w:t>
      </w:r>
      <w:r w:rsidRPr="007D1EF7">
        <w:rPr>
          <w:lang w:val="en-US"/>
        </w:rPr>
        <w:t xml:space="preserve"> values for all 242 inter-satellite links for this case. The protection criterion is met by a wide margin.</w:t>
      </w:r>
    </w:p>
    <w:p w:rsidR="00AA2BE3" w:rsidRPr="007D1EF7" w:rsidRDefault="00AA2BE3" w:rsidP="00AA2BE3">
      <w:pPr>
        <w:pStyle w:val="TableNo"/>
        <w:rPr>
          <w:lang w:val="en-US"/>
        </w:rPr>
      </w:pPr>
      <w:r w:rsidRPr="007D1EF7">
        <w:rPr>
          <w:lang w:val="en-US"/>
        </w:rPr>
        <w:t>TABLE A7-3</w:t>
      </w:r>
    </w:p>
    <w:p w:rsidR="00AA2BE3" w:rsidRPr="007D1EF7" w:rsidRDefault="00AA2BE3" w:rsidP="00AA2BE3">
      <w:pPr>
        <w:pStyle w:val="Tabletitle"/>
        <w:rPr>
          <w:lang w:val="en-US"/>
        </w:rPr>
      </w:pPr>
      <w:r w:rsidRPr="007D1EF7">
        <w:rPr>
          <w:lang w:val="en-US"/>
        </w:rPr>
        <w:t xml:space="preserve">Out-of-band case summary for </w:t>
      </w:r>
      <w:r w:rsidRPr="007D1EF7">
        <w:rPr>
          <w:i/>
          <w:iCs/>
          <w:lang w:val="en-US"/>
        </w:rPr>
        <w:t>I</w:t>
      </w:r>
      <w:r w:rsidRPr="007D1EF7">
        <w:rPr>
          <w:lang w:val="en-US"/>
        </w:rPr>
        <w:t>/</w:t>
      </w:r>
      <w:r w:rsidRPr="007D1EF7">
        <w:rPr>
          <w:i/>
          <w:iCs/>
          <w:lang w:val="en-US"/>
        </w:rPr>
        <w:t>N</w:t>
      </w:r>
      <w:r w:rsidRPr="007D1EF7">
        <w:rPr>
          <w:lang w:val="en-US"/>
        </w:rPr>
        <w:t xml:space="preserve"> statistics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A0"/>
      </w:tblPr>
      <w:tblGrid>
        <w:gridCol w:w="1985"/>
        <w:gridCol w:w="1134"/>
        <w:gridCol w:w="3402"/>
      </w:tblGrid>
      <w:tr w:rsidR="00964994" w:rsidRPr="003B6E9A" w:rsidTr="00440D7C">
        <w:trPr>
          <w:jc w:val="center"/>
        </w:trPr>
        <w:tc>
          <w:tcPr>
            <w:tcW w:w="1985" w:type="dxa"/>
            <w:tcBorders>
              <w:top w:val="nil"/>
              <w:left w:val="nil"/>
              <w:bottom w:val="single" w:sz="4" w:space="0" w:color="auto"/>
              <w:right w:val="nil"/>
            </w:tcBorders>
            <w:noWrap/>
          </w:tcPr>
          <w:p w:rsidR="00964994" w:rsidRPr="007D1EF7" w:rsidRDefault="00964994" w:rsidP="00964994">
            <w:pPr>
              <w:pStyle w:val="Tablehead"/>
              <w:rPr>
                <w:lang w:val="en-US"/>
              </w:rPr>
            </w:pPr>
          </w:p>
        </w:tc>
        <w:tc>
          <w:tcPr>
            <w:tcW w:w="1134" w:type="dxa"/>
            <w:tcBorders>
              <w:top w:val="nil"/>
              <w:left w:val="nil"/>
              <w:bottom w:val="single" w:sz="4" w:space="0" w:color="auto"/>
              <w:right w:val="single" w:sz="4" w:space="0" w:color="auto"/>
            </w:tcBorders>
            <w:noWrap/>
          </w:tcPr>
          <w:p w:rsidR="00964994" w:rsidRPr="007D1EF7" w:rsidRDefault="00964994" w:rsidP="00964994">
            <w:pPr>
              <w:pStyle w:val="Tablehead"/>
              <w:rPr>
                <w:lang w:val="en-US"/>
              </w:rPr>
            </w:pPr>
          </w:p>
        </w:tc>
        <w:tc>
          <w:tcPr>
            <w:tcW w:w="3402" w:type="dxa"/>
            <w:tcBorders>
              <w:top w:val="single" w:sz="4" w:space="0" w:color="auto"/>
              <w:left w:val="single" w:sz="4" w:space="0" w:color="auto"/>
            </w:tcBorders>
            <w:noWrap/>
          </w:tcPr>
          <w:p w:rsidR="00964994" w:rsidRPr="007D1EF7" w:rsidRDefault="00964994" w:rsidP="00964994">
            <w:pPr>
              <w:pStyle w:val="Tablehead"/>
              <w:rPr>
                <w:lang w:val="en-US"/>
              </w:rPr>
            </w:pPr>
            <w:r w:rsidRPr="007D1EF7">
              <w:rPr>
                <w:lang w:val="en-US"/>
              </w:rPr>
              <w:t>Out-of-band case – per year</w:t>
            </w:r>
            <w:r w:rsidRPr="007D1EF7">
              <w:rPr>
                <w:lang w:val="en-US"/>
              </w:rPr>
              <w:br/>
              <w:t>Per link</w:t>
            </w:r>
          </w:p>
        </w:tc>
      </w:tr>
      <w:tr w:rsidR="00AA2BE3" w:rsidRPr="006C2078" w:rsidTr="00440D7C">
        <w:trPr>
          <w:jc w:val="center"/>
        </w:trPr>
        <w:tc>
          <w:tcPr>
            <w:tcW w:w="1985" w:type="dxa"/>
            <w:vMerge w:val="restart"/>
            <w:tcBorders>
              <w:top w:val="single" w:sz="4" w:space="0" w:color="auto"/>
              <w:bottom w:val="single" w:sz="4" w:space="0" w:color="auto"/>
              <w:right w:val="nil"/>
            </w:tcBorders>
          </w:tcPr>
          <w:p w:rsidR="00AA2BE3" w:rsidRPr="006C2078" w:rsidRDefault="00AA2BE3" w:rsidP="00964994">
            <w:pPr>
              <w:pStyle w:val="Tabletext"/>
              <w:jc w:val="left"/>
            </w:pPr>
            <w:r w:rsidRPr="006C2078">
              <w:rPr>
                <w:i/>
                <w:iCs/>
              </w:rPr>
              <w:t>I</w:t>
            </w:r>
            <w:r w:rsidRPr="006C2078">
              <w:t>/</w:t>
            </w:r>
            <w:r w:rsidRPr="006C2078">
              <w:rPr>
                <w:i/>
                <w:iCs/>
              </w:rPr>
              <w:t>N</w:t>
            </w:r>
            <w:r w:rsidRPr="006C2078">
              <w:t xml:space="preserve"> (dB) at 0.01%</w:t>
            </w:r>
          </w:p>
        </w:tc>
        <w:tc>
          <w:tcPr>
            <w:tcW w:w="1134" w:type="dxa"/>
            <w:tcBorders>
              <w:top w:val="single" w:sz="4" w:space="0" w:color="auto"/>
              <w:left w:val="nil"/>
              <w:right w:val="single" w:sz="4" w:space="0" w:color="auto"/>
            </w:tcBorders>
            <w:noWrap/>
          </w:tcPr>
          <w:p w:rsidR="00AA2BE3" w:rsidRPr="006C2078" w:rsidRDefault="00AA2BE3" w:rsidP="00964994">
            <w:pPr>
              <w:pStyle w:val="Tabletext"/>
              <w:jc w:val="center"/>
            </w:pPr>
            <w:r w:rsidRPr="006C2078">
              <w:t>mean</w:t>
            </w:r>
          </w:p>
        </w:tc>
        <w:tc>
          <w:tcPr>
            <w:tcW w:w="3402" w:type="dxa"/>
            <w:tcBorders>
              <w:top w:val="single" w:sz="4" w:space="0" w:color="auto"/>
              <w:left w:val="single" w:sz="4" w:space="0" w:color="auto"/>
            </w:tcBorders>
            <w:noWrap/>
          </w:tcPr>
          <w:p w:rsidR="00AA2BE3" w:rsidRPr="006C2078" w:rsidRDefault="00AA2BE3" w:rsidP="00964994">
            <w:pPr>
              <w:pStyle w:val="Tabletext"/>
              <w:jc w:val="center"/>
            </w:pPr>
            <w:r w:rsidRPr="006C2078">
              <w:t>–65.0</w:t>
            </w:r>
          </w:p>
        </w:tc>
      </w:tr>
      <w:tr w:rsidR="00AA2BE3" w:rsidRPr="006C2078" w:rsidTr="00964994">
        <w:trPr>
          <w:jc w:val="center"/>
        </w:trPr>
        <w:tc>
          <w:tcPr>
            <w:tcW w:w="1985" w:type="dxa"/>
            <w:vMerge/>
            <w:tcBorders>
              <w:bottom w:val="single" w:sz="4" w:space="0" w:color="auto"/>
              <w:right w:val="nil"/>
            </w:tcBorders>
          </w:tcPr>
          <w:p w:rsidR="00AA2BE3" w:rsidRPr="006C2078" w:rsidRDefault="00AA2BE3" w:rsidP="00192341"/>
        </w:tc>
        <w:tc>
          <w:tcPr>
            <w:tcW w:w="1134" w:type="dxa"/>
            <w:tcBorders>
              <w:left w:val="nil"/>
              <w:bottom w:val="nil"/>
              <w:right w:val="single" w:sz="4" w:space="0" w:color="auto"/>
            </w:tcBorders>
            <w:noWrap/>
          </w:tcPr>
          <w:p w:rsidR="00AA2BE3" w:rsidRPr="006C2078" w:rsidRDefault="00AA2BE3" w:rsidP="00964994">
            <w:pPr>
              <w:pStyle w:val="Tabletext"/>
              <w:jc w:val="center"/>
            </w:pPr>
            <w:r w:rsidRPr="006C2078">
              <w:t>min</w:t>
            </w:r>
            <w:r w:rsidR="00964994">
              <w:t>.</w:t>
            </w:r>
          </w:p>
        </w:tc>
        <w:tc>
          <w:tcPr>
            <w:tcW w:w="3402" w:type="dxa"/>
            <w:tcBorders>
              <w:left w:val="single" w:sz="4" w:space="0" w:color="auto"/>
            </w:tcBorders>
            <w:noWrap/>
          </w:tcPr>
          <w:p w:rsidR="00AA2BE3" w:rsidRPr="006C2078" w:rsidRDefault="00AA2BE3" w:rsidP="00964994">
            <w:pPr>
              <w:pStyle w:val="Tabletext"/>
              <w:jc w:val="center"/>
            </w:pPr>
            <w:r w:rsidRPr="006C2078">
              <w:t>–66.4</w:t>
            </w:r>
          </w:p>
        </w:tc>
      </w:tr>
      <w:tr w:rsidR="00AA2BE3" w:rsidRPr="006C2078" w:rsidTr="00964994">
        <w:trPr>
          <w:jc w:val="center"/>
        </w:trPr>
        <w:tc>
          <w:tcPr>
            <w:tcW w:w="1985" w:type="dxa"/>
            <w:vMerge/>
            <w:tcBorders>
              <w:bottom w:val="single" w:sz="4" w:space="0" w:color="auto"/>
              <w:right w:val="nil"/>
            </w:tcBorders>
          </w:tcPr>
          <w:p w:rsidR="00AA2BE3" w:rsidRPr="006C2078" w:rsidRDefault="00AA2BE3" w:rsidP="00192341"/>
        </w:tc>
        <w:tc>
          <w:tcPr>
            <w:tcW w:w="1134" w:type="dxa"/>
            <w:tcBorders>
              <w:top w:val="nil"/>
              <w:left w:val="nil"/>
              <w:bottom w:val="single" w:sz="4" w:space="0" w:color="auto"/>
              <w:right w:val="single" w:sz="4" w:space="0" w:color="auto"/>
            </w:tcBorders>
            <w:noWrap/>
          </w:tcPr>
          <w:p w:rsidR="00AA2BE3" w:rsidRPr="006C2078" w:rsidRDefault="00AA2BE3" w:rsidP="00964994">
            <w:pPr>
              <w:pStyle w:val="Tabletext"/>
              <w:jc w:val="center"/>
            </w:pPr>
            <w:r w:rsidRPr="006C2078">
              <w:t>max</w:t>
            </w:r>
            <w:r w:rsidR="00964994">
              <w:t>.</w:t>
            </w:r>
          </w:p>
        </w:tc>
        <w:tc>
          <w:tcPr>
            <w:tcW w:w="3402" w:type="dxa"/>
            <w:tcBorders>
              <w:left w:val="single" w:sz="4" w:space="0" w:color="auto"/>
              <w:bottom w:val="single" w:sz="4" w:space="0" w:color="auto"/>
            </w:tcBorders>
            <w:noWrap/>
          </w:tcPr>
          <w:p w:rsidR="00AA2BE3" w:rsidRPr="006C2078" w:rsidRDefault="00AA2BE3" w:rsidP="00964994">
            <w:pPr>
              <w:pStyle w:val="Tabletext"/>
              <w:jc w:val="center"/>
            </w:pPr>
            <w:r w:rsidRPr="006C2078">
              <w:t>–62.7</w:t>
            </w:r>
          </w:p>
        </w:tc>
      </w:tr>
    </w:tbl>
    <w:p w:rsidR="00964994" w:rsidRDefault="00964994" w:rsidP="00964994">
      <w:pPr>
        <w:pStyle w:val="Tablefin"/>
      </w:pPr>
    </w:p>
    <w:p w:rsidR="00AA2BE3" w:rsidRPr="006C2078" w:rsidRDefault="00AA2BE3" w:rsidP="00AA2BE3">
      <w:pPr>
        <w:pStyle w:val="FigureNo"/>
      </w:pPr>
      <w:r w:rsidRPr="006C2078">
        <w:lastRenderedPageBreak/>
        <w:t>FIGURE A7-2</w:t>
      </w:r>
    </w:p>
    <w:p w:rsidR="00AA2BE3" w:rsidRPr="006C2078" w:rsidRDefault="00AA2BE3" w:rsidP="00AA2BE3">
      <w:pPr>
        <w:pStyle w:val="Figuretitle"/>
      </w:pPr>
      <w:r w:rsidRPr="006C2078">
        <w:t>Out-of-band, 1 year</w:t>
      </w:r>
    </w:p>
    <w:p w:rsidR="00AA2BE3" w:rsidRPr="006C2078" w:rsidRDefault="00AA2BE3" w:rsidP="006119E4">
      <w:pPr>
        <w:pStyle w:val="Figure"/>
      </w:pPr>
      <w:r>
        <w:rPr>
          <w:noProof/>
          <w:lang w:val="en-US" w:eastAsia="zh-CN"/>
        </w:rPr>
        <w:drawing>
          <wp:inline distT="0" distB="0" distL="0" distR="0">
            <wp:extent cx="5391150" cy="3498850"/>
            <wp:effectExtent l="0" t="0" r="0" b="0"/>
            <wp:docPr id="73"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6" cstate="print"/>
                    <a:srcRect/>
                    <a:stretch>
                      <a:fillRect/>
                    </a:stretch>
                  </pic:blipFill>
                  <pic:spPr bwMode="auto">
                    <a:xfrm>
                      <a:off x="0" y="0"/>
                      <a:ext cx="5391150" cy="3498850"/>
                    </a:xfrm>
                    <a:prstGeom prst="rect">
                      <a:avLst/>
                    </a:prstGeom>
                    <a:noFill/>
                    <a:ln w="9525">
                      <a:noFill/>
                      <a:miter lim="800000"/>
                      <a:headEnd/>
                      <a:tailEnd/>
                    </a:ln>
                  </pic:spPr>
                </pic:pic>
              </a:graphicData>
            </a:graphic>
          </wp:inline>
        </w:drawing>
      </w:r>
    </w:p>
    <w:p w:rsidR="00EC61F5" w:rsidRDefault="00EC61F5" w:rsidP="00964994"/>
    <w:p w:rsidR="00AA2BE3" w:rsidRPr="007D1EF7" w:rsidRDefault="00AA2BE3" w:rsidP="00964994">
      <w:pPr>
        <w:rPr>
          <w:lang w:val="en-US"/>
        </w:rPr>
      </w:pPr>
      <w:r w:rsidRPr="007D1EF7">
        <w:rPr>
          <w:lang w:val="en-US"/>
        </w:rPr>
        <w:t>The event statistics in Table A7-4 are presented based on the individual satellite links. The simulation was run using sequential 0.05</w:t>
      </w:r>
      <w:r w:rsidR="00964994" w:rsidRPr="007D1EF7">
        <w:rPr>
          <w:lang w:val="en-US"/>
        </w:rPr>
        <w:t>-</w:t>
      </w:r>
      <w:r w:rsidRPr="007D1EF7">
        <w:rPr>
          <w:lang w:val="en-US"/>
        </w:rPr>
        <w:t>sec</w:t>
      </w:r>
      <w:r w:rsidR="00964994" w:rsidRPr="007D1EF7">
        <w:rPr>
          <w:lang w:val="en-US"/>
        </w:rPr>
        <w:t>ond</w:t>
      </w:r>
      <w:r w:rsidRPr="007D1EF7">
        <w:rPr>
          <w:lang w:val="en-US"/>
        </w:rPr>
        <w:t xml:space="preserve"> time intervals over a representative 30 day period, for a total of 51.85 </w:t>
      </w:r>
      <w:r w:rsidRPr="007D1EF7">
        <w:rPr>
          <w:rFonts w:ascii="Times" w:hAnsi="Times" w:cs="Times"/>
          <w:lang w:val="en-US"/>
        </w:rPr>
        <w:t>×</w:t>
      </w:r>
      <w:r w:rsidRPr="007D1EF7">
        <w:rPr>
          <w:lang w:val="en-US"/>
        </w:rPr>
        <w:t xml:space="preserve"> 10</w:t>
      </w:r>
      <w:r w:rsidRPr="007D1EF7">
        <w:rPr>
          <w:rFonts w:ascii="(Asiatische Schriftart verwende" w:hAnsi="(Asiatische Schriftart verwende"/>
          <w:vertAlign w:val="superscript"/>
          <w:lang w:val="en-US"/>
        </w:rPr>
        <w:t>6</w:t>
      </w:r>
      <w:r w:rsidRPr="007D1EF7">
        <w:rPr>
          <w:lang w:val="en-US"/>
        </w:rPr>
        <w:t xml:space="preserve"> time points. Table A7-4 contains an </w:t>
      </w:r>
      <w:r w:rsidRPr="007D1EF7">
        <w:rPr>
          <w:i/>
          <w:iCs/>
          <w:lang w:val="en-US"/>
        </w:rPr>
        <w:t>I</w:t>
      </w:r>
      <w:r w:rsidRPr="007D1EF7">
        <w:rPr>
          <w:lang w:val="en-US"/>
        </w:rPr>
        <w:t>/</w:t>
      </w:r>
      <w:r w:rsidRPr="007D1EF7">
        <w:rPr>
          <w:i/>
          <w:iCs/>
          <w:lang w:val="en-US"/>
        </w:rPr>
        <w:t>N</w:t>
      </w:r>
      <w:r w:rsidRPr="007D1EF7">
        <w:rPr>
          <w:lang w:val="en-US"/>
        </w:rPr>
        <w:t xml:space="preserve"> level above which an interference </w:t>
      </w:r>
      <w:r w:rsidR="009872B6" w:rsidRPr="007D1EF7">
        <w:rPr>
          <w:lang w:val="en-US"/>
        </w:rPr>
        <w:t>“</w:t>
      </w:r>
      <w:r w:rsidRPr="007D1EF7">
        <w:rPr>
          <w:lang w:val="en-US"/>
        </w:rPr>
        <w:t>event</w:t>
      </w:r>
      <w:r w:rsidR="009872B6" w:rsidRPr="007D1EF7">
        <w:rPr>
          <w:lang w:val="en-US"/>
        </w:rPr>
        <w:t>”</w:t>
      </w:r>
      <w:r w:rsidRPr="007D1EF7">
        <w:rPr>
          <w:lang w:val="en-US"/>
        </w:rPr>
        <w:t xml:space="preserve"> is defined to occur (e.g. </w:t>
      </w:r>
      <w:r w:rsidRPr="007D1EF7">
        <w:rPr>
          <w:i/>
          <w:iCs/>
          <w:lang w:val="en-US"/>
        </w:rPr>
        <w:t>I</w:t>
      </w:r>
      <w:r w:rsidRPr="007D1EF7">
        <w:rPr>
          <w:lang w:val="en-US"/>
        </w:rPr>
        <w:t>/</w:t>
      </w:r>
      <w:r w:rsidRPr="007D1EF7">
        <w:rPr>
          <w:i/>
          <w:iCs/>
          <w:lang w:val="en-US"/>
        </w:rPr>
        <w:t>N</w:t>
      </w:r>
      <w:r w:rsidRPr="007D1EF7">
        <w:rPr>
          <w:lang w:val="en-US"/>
        </w:rPr>
        <w:t xml:space="preserve"> &gt; = –16 dB). The Table A7-4 also contains the number of events, the mean, minimum and maximum time of events, and the total time of all events. Note that 0.01% of one month’s time is 259.2 s. </w:t>
      </w:r>
    </w:p>
    <w:p w:rsidR="00EC61F5" w:rsidRPr="007D1EF7" w:rsidRDefault="00EC61F5" w:rsidP="00964994">
      <w:pPr>
        <w:rPr>
          <w:lang w:val="en-US"/>
        </w:rPr>
      </w:pPr>
    </w:p>
    <w:p w:rsidR="00AA2BE3" w:rsidRPr="007D1EF7" w:rsidRDefault="00AA2BE3" w:rsidP="00AA2BE3">
      <w:pPr>
        <w:pStyle w:val="TableNo"/>
        <w:rPr>
          <w:lang w:val="en-US"/>
        </w:rPr>
      </w:pPr>
      <w:r w:rsidRPr="007D1EF7">
        <w:rPr>
          <w:lang w:val="en-US"/>
        </w:rPr>
        <w:t>TABLE A7-4</w:t>
      </w:r>
    </w:p>
    <w:p w:rsidR="00AA2BE3" w:rsidRPr="007D1EF7" w:rsidRDefault="00AA2BE3" w:rsidP="00AA2BE3">
      <w:pPr>
        <w:pStyle w:val="Tabletitle"/>
        <w:rPr>
          <w:lang w:val="en-US"/>
        </w:rPr>
      </w:pPr>
      <w:r w:rsidRPr="007D1EF7">
        <w:rPr>
          <w:lang w:val="en-US"/>
        </w:rPr>
        <w:t>Out-of-band case summary for event statistics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A0"/>
      </w:tblPr>
      <w:tblGrid>
        <w:gridCol w:w="2268"/>
        <w:gridCol w:w="1134"/>
        <w:gridCol w:w="1701"/>
      </w:tblGrid>
      <w:tr w:rsidR="00964994" w:rsidRPr="003B6E9A" w:rsidTr="00964994">
        <w:trPr>
          <w:jc w:val="center"/>
        </w:trPr>
        <w:tc>
          <w:tcPr>
            <w:tcW w:w="2268" w:type="dxa"/>
            <w:tcBorders>
              <w:top w:val="single" w:sz="4" w:space="0" w:color="auto"/>
              <w:right w:val="single" w:sz="4" w:space="0" w:color="auto"/>
            </w:tcBorders>
            <w:noWrap/>
            <w:vAlign w:val="center"/>
          </w:tcPr>
          <w:p w:rsidR="00964994" w:rsidRPr="006C2078" w:rsidRDefault="00964994" w:rsidP="00192341">
            <w:pPr>
              <w:pStyle w:val="Tablehead"/>
              <w:rPr>
                <w:szCs w:val="22"/>
              </w:rPr>
            </w:pPr>
            <w:r w:rsidRPr="006C2078">
              <w:t>Start month 1</w:t>
            </w:r>
          </w:p>
        </w:tc>
        <w:tc>
          <w:tcPr>
            <w:tcW w:w="1134" w:type="dxa"/>
            <w:tcBorders>
              <w:top w:val="single" w:sz="4" w:space="0" w:color="auto"/>
              <w:left w:val="single" w:sz="4" w:space="0" w:color="auto"/>
            </w:tcBorders>
            <w:noWrap/>
            <w:vAlign w:val="center"/>
          </w:tcPr>
          <w:p w:rsidR="00964994" w:rsidRPr="006C2078" w:rsidRDefault="00964994" w:rsidP="00BF3C71">
            <w:pPr>
              <w:rPr>
                <w:szCs w:val="22"/>
              </w:rPr>
            </w:pPr>
          </w:p>
        </w:tc>
        <w:tc>
          <w:tcPr>
            <w:tcW w:w="1701" w:type="dxa"/>
            <w:tcBorders>
              <w:top w:val="single" w:sz="4" w:space="0" w:color="auto"/>
            </w:tcBorders>
            <w:noWrap/>
            <w:vAlign w:val="center"/>
          </w:tcPr>
          <w:p w:rsidR="00964994" w:rsidRPr="007D1EF7" w:rsidRDefault="00964994" w:rsidP="00964994">
            <w:pPr>
              <w:pStyle w:val="Tablehead"/>
              <w:rPr>
                <w:lang w:val="en-US"/>
              </w:rPr>
            </w:pPr>
            <w:r w:rsidRPr="007D1EF7">
              <w:rPr>
                <w:szCs w:val="22"/>
                <w:lang w:val="en-US"/>
              </w:rPr>
              <w:t>Out-of-band</w:t>
            </w:r>
            <w:r w:rsidRPr="007D1EF7">
              <w:rPr>
                <w:lang w:val="en-US"/>
              </w:rPr>
              <w:br/>
            </w:r>
            <w:r w:rsidRPr="007D1EF7">
              <w:rPr>
                <w:szCs w:val="22"/>
                <w:lang w:val="en-US"/>
              </w:rPr>
              <w:t>Per link</w:t>
            </w:r>
          </w:p>
        </w:tc>
      </w:tr>
      <w:tr w:rsidR="00964994" w:rsidRPr="006C2078" w:rsidTr="00964994">
        <w:trPr>
          <w:jc w:val="center"/>
        </w:trPr>
        <w:tc>
          <w:tcPr>
            <w:tcW w:w="2268" w:type="dxa"/>
            <w:vMerge w:val="restart"/>
            <w:tcBorders>
              <w:top w:val="single" w:sz="4" w:space="0" w:color="auto"/>
              <w:right w:val="single" w:sz="4" w:space="0" w:color="auto"/>
            </w:tcBorders>
            <w:vAlign w:val="center"/>
          </w:tcPr>
          <w:p w:rsidR="00964994" w:rsidRPr="007D1EF7" w:rsidRDefault="00964994" w:rsidP="00964994">
            <w:pPr>
              <w:pStyle w:val="Tabletext"/>
              <w:jc w:val="center"/>
              <w:rPr>
                <w:lang w:val="en-US"/>
              </w:rPr>
            </w:pPr>
            <w:r w:rsidRPr="007D1EF7">
              <w:rPr>
                <w:lang w:val="en-US"/>
              </w:rPr>
              <w:t>Num Events</w:t>
            </w:r>
            <w:r w:rsidRPr="007D1EF7">
              <w:rPr>
                <w:lang w:val="en-US"/>
              </w:rPr>
              <w:br/>
              <w:t xml:space="preserve">at </w:t>
            </w:r>
            <w:r w:rsidRPr="007D1EF7">
              <w:rPr>
                <w:i/>
                <w:iCs/>
                <w:lang w:val="en-US"/>
              </w:rPr>
              <w:t>I</w:t>
            </w:r>
            <w:r w:rsidRPr="007D1EF7">
              <w:rPr>
                <w:lang w:val="en-US"/>
              </w:rPr>
              <w:t>/</w:t>
            </w:r>
            <w:r w:rsidRPr="007D1EF7">
              <w:rPr>
                <w:i/>
                <w:iCs/>
                <w:lang w:val="en-US"/>
              </w:rPr>
              <w:t>N</w:t>
            </w:r>
            <w:r w:rsidRPr="007D1EF7">
              <w:rPr>
                <w:lang w:val="en-US"/>
              </w:rPr>
              <w:t xml:space="preserve"> = –16 dB</w:t>
            </w:r>
          </w:p>
        </w:tc>
        <w:tc>
          <w:tcPr>
            <w:tcW w:w="1134" w:type="dxa"/>
            <w:tcBorders>
              <w:top w:val="single" w:sz="4" w:space="0" w:color="auto"/>
              <w:left w:val="single" w:sz="4" w:space="0" w:color="auto"/>
            </w:tcBorders>
            <w:noWrap/>
          </w:tcPr>
          <w:p w:rsidR="00964994" w:rsidRPr="006C2078" w:rsidRDefault="00964994" w:rsidP="00964994">
            <w:pPr>
              <w:pStyle w:val="Tabletext"/>
              <w:jc w:val="center"/>
            </w:pPr>
            <w:r w:rsidRPr="006C2078">
              <w:t>mean</w:t>
            </w:r>
          </w:p>
        </w:tc>
        <w:tc>
          <w:tcPr>
            <w:tcW w:w="1701" w:type="dxa"/>
            <w:tcBorders>
              <w:top w:val="single" w:sz="4" w:space="0" w:color="auto"/>
            </w:tcBorders>
            <w:noWrap/>
          </w:tcPr>
          <w:p w:rsidR="00964994" w:rsidRPr="006C2078" w:rsidRDefault="00964994" w:rsidP="00964994">
            <w:pPr>
              <w:pStyle w:val="Tabletext"/>
              <w:jc w:val="center"/>
            </w:pPr>
            <w:r w:rsidRPr="006C2078">
              <w:t>0.14</w:t>
            </w:r>
          </w:p>
        </w:tc>
      </w:tr>
      <w:tr w:rsidR="00964994" w:rsidRPr="006C2078" w:rsidTr="00964994">
        <w:trPr>
          <w:jc w:val="center"/>
        </w:trPr>
        <w:tc>
          <w:tcPr>
            <w:tcW w:w="2268" w:type="dxa"/>
            <w:vMerge/>
            <w:tcBorders>
              <w:right w:val="single" w:sz="4" w:space="0" w:color="auto"/>
            </w:tcBorders>
            <w:vAlign w:val="center"/>
          </w:tcPr>
          <w:p w:rsidR="00964994" w:rsidRPr="006C2078" w:rsidRDefault="00964994" w:rsidP="00964994">
            <w:pPr>
              <w:jc w:val="center"/>
            </w:pPr>
          </w:p>
        </w:tc>
        <w:tc>
          <w:tcPr>
            <w:tcW w:w="1134" w:type="dxa"/>
            <w:tcBorders>
              <w:left w:val="single" w:sz="4" w:space="0" w:color="auto"/>
            </w:tcBorders>
            <w:noWrap/>
          </w:tcPr>
          <w:p w:rsidR="00964994" w:rsidRPr="006C2078" w:rsidRDefault="00964994" w:rsidP="00964994">
            <w:pPr>
              <w:pStyle w:val="Tabletext"/>
              <w:jc w:val="center"/>
            </w:pPr>
            <w:r w:rsidRPr="006C2078">
              <w:t>min</w:t>
            </w:r>
            <w:r>
              <w:t>.</w:t>
            </w:r>
          </w:p>
        </w:tc>
        <w:tc>
          <w:tcPr>
            <w:tcW w:w="1701" w:type="dxa"/>
            <w:noWrap/>
          </w:tcPr>
          <w:p w:rsidR="00964994" w:rsidRPr="006C2078" w:rsidRDefault="00964994" w:rsidP="00964994">
            <w:pPr>
              <w:pStyle w:val="Tabletext"/>
              <w:jc w:val="center"/>
            </w:pPr>
            <w:r w:rsidRPr="006C2078">
              <w:t>0.00</w:t>
            </w:r>
          </w:p>
        </w:tc>
      </w:tr>
      <w:tr w:rsidR="00964994" w:rsidRPr="006C2078" w:rsidTr="00964994">
        <w:trPr>
          <w:jc w:val="center"/>
        </w:trPr>
        <w:tc>
          <w:tcPr>
            <w:tcW w:w="2268" w:type="dxa"/>
            <w:vMerge/>
            <w:tcBorders>
              <w:bottom w:val="single" w:sz="4" w:space="0" w:color="auto"/>
              <w:right w:val="single" w:sz="4" w:space="0" w:color="auto"/>
            </w:tcBorders>
            <w:vAlign w:val="center"/>
          </w:tcPr>
          <w:p w:rsidR="00964994" w:rsidRPr="006C2078" w:rsidRDefault="00964994" w:rsidP="00964994">
            <w:pPr>
              <w:jc w:val="center"/>
            </w:pPr>
          </w:p>
        </w:tc>
        <w:tc>
          <w:tcPr>
            <w:tcW w:w="1134" w:type="dxa"/>
            <w:tcBorders>
              <w:left w:val="single" w:sz="4" w:space="0" w:color="auto"/>
            </w:tcBorders>
            <w:noWrap/>
          </w:tcPr>
          <w:p w:rsidR="00964994" w:rsidRPr="006C2078" w:rsidRDefault="00964994" w:rsidP="00964994">
            <w:pPr>
              <w:pStyle w:val="Tabletext"/>
              <w:jc w:val="center"/>
            </w:pPr>
            <w:r w:rsidRPr="006C2078">
              <w:t>max</w:t>
            </w:r>
            <w:r>
              <w:t>.</w:t>
            </w:r>
          </w:p>
        </w:tc>
        <w:tc>
          <w:tcPr>
            <w:tcW w:w="1701" w:type="dxa"/>
            <w:noWrap/>
          </w:tcPr>
          <w:p w:rsidR="00964994" w:rsidRPr="006C2078" w:rsidRDefault="00964994" w:rsidP="00964994">
            <w:pPr>
              <w:pStyle w:val="Tabletext"/>
              <w:jc w:val="center"/>
            </w:pPr>
            <w:r w:rsidRPr="006C2078">
              <w:t>3.00</w:t>
            </w:r>
          </w:p>
        </w:tc>
      </w:tr>
      <w:tr w:rsidR="00AA2BE3" w:rsidRPr="006C2078" w:rsidTr="00964994">
        <w:trPr>
          <w:jc w:val="center"/>
        </w:trPr>
        <w:tc>
          <w:tcPr>
            <w:tcW w:w="2268" w:type="dxa"/>
            <w:vMerge w:val="restart"/>
            <w:tcBorders>
              <w:top w:val="nil"/>
              <w:bottom w:val="single" w:sz="4" w:space="0" w:color="auto"/>
              <w:right w:val="single" w:sz="4" w:space="0" w:color="auto"/>
            </w:tcBorders>
            <w:vAlign w:val="center"/>
          </w:tcPr>
          <w:p w:rsidR="00AA2BE3" w:rsidRPr="007D1EF7" w:rsidRDefault="00AA2BE3" w:rsidP="00440D7C">
            <w:pPr>
              <w:pStyle w:val="Tabletext"/>
              <w:jc w:val="center"/>
              <w:rPr>
                <w:lang w:val="en-US"/>
              </w:rPr>
            </w:pPr>
            <w:r w:rsidRPr="007D1EF7">
              <w:rPr>
                <w:lang w:val="en-US"/>
              </w:rPr>
              <w:t>Event time (s)</w:t>
            </w:r>
            <w:r w:rsidRPr="007D1EF7">
              <w:rPr>
                <w:lang w:val="en-US"/>
              </w:rPr>
              <w:br/>
              <w:t xml:space="preserve">at </w:t>
            </w:r>
            <w:r w:rsidRPr="007D1EF7">
              <w:rPr>
                <w:i/>
                <w:iCs/>
                <w:lang w:val="en-US"/>
              </w:rPr>
              <w:t>I</w:t>
            </w:r>
            <w:r w:rsidRPr="007D1EF7">
              <w:rPr>
                <w:lang w:val="en-US"/>
              </w:rPr>
              <w:t>/</w:t>
            </w:r>
            <w:r w:rsidRPr="007D1EF7">
              <w:rPr>
                <w:i/>
                <w:iCs/>
                <w:lang w:val="en-US"/>
              </w:rPr>
              <w:t>N</w:t>
            </w:r>
            <w:r w:rsidRPr="007D1EF7">
              <w:rPr>
                <w:lang w:val="en-US"/>
              </w:rPr>
              <w:t xml:space="preserve"> = –16 dB</w:t>
            </w:r>
          </w:p>
        </w:tc>
        <w:tc>
          <w:tcPr>
            <w:tcW w:w="1134" w:type="dxa"/>
            <w:tcBorders>
              <w:left w:val="single" w:sz="4" w:space="0" w:color="auto"/>
            </w:tcBorders>
            <w:noWrap/>
          </w:tcPr>
          <w:p w:rsidR="00AA2BE3" w:rsidRPr="006C2078" w:rsidRDefault="00AA2BE3" w:rsidP="00964994">
            <w:pPr>
              <w:pStyle w:val="Tabletext"/>
              <w:jc w:val="center"/>
            </w:pPr>
            <w:r w:rsidRPr="006C2078">
              <w:t>mean</w:t>
            </w:r>
          </w:p>
        </w:tc>
        <w:tc>
          <w:tcPr>
            <w:tcW w:w="1701" w:type="dxa"/>
            <w:noWrap/>
          </w:tcPr>
          <w:p w:rsidR="00AA2BE3" w:rsidRPr="006C2078" w:rsidRDefault="00AA2BE3" w:rsidP="00964994">
            <w:pPr>
              <w:pStyle w:val="Tabletext"/>
              <w:jc w:val="center"/>
            </w:pPr>
            <w:r w:rsidRPr="006C2078">
              <w:t>0.15</w:t>
            </w:r>
          </w:p>
        </w:tc>
      </w:tr>
      <w:tr w:rsidR="00AA2BE3" w:rsidRPr="006C2078" w:rsidTr="00964994">
        <w:trPr>
          <w:jc w:val="center"/>
        </w:trPr>
        <w:tc>
          <w:tcPr>
            <w:tcW w:w="2268" w:type="dxa"/>
            <w:vMerge/>
            <w:tcBorders>
              <w:top w:val="nil"/>
              <w:bottom w:val="single" w:sz="4" w:space="0" w:color="auto"/>
              <w:right w:val="single" w:sz="4" w:space="0" w:color="auto"/>
            </w:tcBorders>
            <w:vAlign w:val="center"/>
          </w:tcPr>
          <w:p w:rsidR="00AA2BE3" w:rsidRPr="006C2078" w:rsidRDefault="00AA2BE3" w:rsidP="00964994">
            <w:pPr>
              <w:jc w:val="center"/>
            </w:pPr>
          </w:p>
        </w:tc>
        <w:tc>
          <w:tcPr>
            <w:tcW w:w="1134" w:type="dxa"/>
            <w:tcBorders>
              <w:left w:val="single" w:sz="4" w:space="0" w:color="auto"/>
            </w:tcBorders>
            <w:noWrap/>
          </w:tcPr>
          <w:p w:rsidR="00AA2BE3" w:rsidRPr="006C2078" w:rsidRDefault="00AA2BE3" w:rsidP="00964994">
            <w:pPr>
              <w:pStyle w:val="Tabletext"/>
              <w:jc w:val="center"/>
            </w:pPr>
            <w:r w:rsidRPr="006C2078">
              <w:t>min</w:t>
            </w:r>
            <w:r w:rsidR="00964994">
              <w:t>.</w:t>
            </w:r>
          </w:p>
        </w:tc>
        <w:tc>
          <w:tcPr>
            <w:tcW w:w="1701" w:type="dxa"/>
            <w:noWrap/>
          </w:tcPr>
          <w:p w:rsidR="00AA2BE3" w:rsidRPr="006C2078" w:rsidRDefault="00AA2BE3" w:rsidP="00964994">
            <w:pPr>
              <w:pStyle w:val="Tabletext"/>
              <w:jc w:val="center"/>
            </w:pPr>
            <w:r w:rsidRPr="006C2078">
              <w:t>0.05</w:t>
            </w:r>
          </w:p>
        </w:tc>
      </w:tr>
      <w:tr w:rsidR="00AA2BE3" w:rsidRPr="006C2078" w:rsidTr="00964994">
        <w:trPr>
          <w:jc w:val="center"/>
        </w:trPr>
        <w:tc>
          <w:tcPr>
            <w:tcW w:w="2268" w:type="dxa"/>
            <w:vMerge/>
            <w:tcBorders>
              <w:top w:val="nil"/>
              <w:bottom w:val="single" w:sz="4" w:space="0" w:color="auto"/>
              <w:right w:val="single" w:sz="4" w:space="0" w:color="auto"/>
            </w:tcBorders>
            <w:vAlign w:val="center"/>
          </w:tcPr>
          <w:p w:rsidR="00AA2BE3" w:rsidRPr="006C2078" w:rsidRDefault="00AA2BE3" w:rsidP="00964994">
            <w:pPr>
              <w:jc w:val="center"/>
            </w:pPr>
          </w:p>
        </w:tc>
        <w:tc>
          <w:tcPr>
            <w:tcW w:w="1134" w:type="dxa"/>
            <w:tcBorders>
              <w:left w:val="single" w:sz="4" w:space="0" w:color="auto"/>
            </w:tcBorders>
            <w:noWrap/>
          </w:tcPr>
          <w:p w:rsidR="00AA2BE3" w:rsidRPr="006C2078" w:rsidRDefault="00AA2BE3" w:rsidP="00964994">
            <w:pPr>
              <w:pStyle w:val="Tabletext"/>
              <w:jc w:val="center"/>
            </w:pPr>
            <w:r w:rsidRPr="006C2078">
              <w:t>max</w:t>
            </w:r>
            <w:r w:rsidR="00964994">
              <w:t>.</w:t>
            </w:r>
          </w:p>
        </w:tc>
        <w:tc>
          <w:tcPr>
            <w:tcW w:w="1701" w:type="dxa"/>
            <w:noWrap/>
          </w:tcPr>
          <w:p w:rsidR="00AA2BE3" w:rsidRPr="006C2078" w:rsidRDefault="00AA2BE3" w:rsidP="00964994">
            <w:pPr>
              <w:pStyle w:val="Tabletext"/>
              <w:jc w:val="center"/>
            </w:pPr>
            <w:r w:rsidRPr="006C2078">
              <w:t>0.60</w:t>
            </w:r>
          </w:p>
        </w:tc>
      </w:tr>
      <w:tr w:rsidR="00AA2BE3" w:rsidRPr="006C2078" w:rsidTr="00964994">
        <w:trPr>
          <w:jc w:val="center"/>
        </w:trPr>
        <w:tc>
          <w:tcPr>
            <w:tcW w:w="2268" w:type="dxa"/>
            <w:vMerge w:val="restart"/>
            <w:tcBorders>
              <w:top w:val="nil"/>
              <w:bottom w:val="single" w:sz="4" w:space="0" w:color="auto"/>
              <w:right w:val="single" w:sz="4" w:space="0" w:color="auto"/>
            </w:tcBorders>
            <w:vAlign w:val="center"/>
          </w:tcPr>
          <w:p w:rsidR="00AA2BE3" w:rsidRPr="007D1EF7" w:rsidRDefault="00AA2BE3" w:rsidP="00440D7C">
            <w:pPr>
              <w:pStyle w:val="Tabletext"/>
              <w:jc w:val="center"/>
              <w:rPr>
                <w:lang w:val="en-US"/>
              </w:rPr>
            </w:pPr>
            <w:r w:rsidRPr="007D1EF7">
              <w:rPr>
                <w:lang w:val="en-US"/>
              </w:rPr>
              <w:t>Cumulative time (s)</w:t>
            </w:r>
            <w:r w:rsidRPr="007D1EF7">
              <w:rPr>
                <w:lang w:val="en-US"/>
              </w:rPr>
              <w:br/>
              <w:t xml:space="preserve">at </w:t>
            </w:r>
            <w:r w:rsidRPr="007D1EF7">
              <w:rPr>
                <w:i/>
                <w:iCs/>
                <w:lang w:val="en-US"/>
              </w:rPr>
              <w:t>I</w:t>
            </w:r>
            <w:r w:rsidRPr="007D1EF7">
              <w:rPr>
                <w:lang w:val="en-US"/>
              </w:rPr>
              <w:t>/</w:t>
            </w:r>
            <w:r w:rsidRPr="007D1EF7">
              <w:rPr>
                <w:i/>
                <w:iCs/>
                <w:lang w:val="en-US"/>
              </w:rPr>
              <w:t>N</w:t>
            </w:r>
            <w:r w:rsidRPr="007D1EF7">
              <w:rPr>
                <w:lang w:val="en-US"/>
              </w:rPr>
              <w:t xml:space="preserve"> = –16 dB</w:t>
            </w:r>
          </w:p>
        </w:tc>
        <w:tc>
          <w:tcPr>
            <w:tcW w:w="1134" w:type="dxa"/>
            <w:tcBorders>
              <w:left w:val="single" w:sz="4" w:space="0" w:color="auto"/>
            </w:tcBorders>
            <w:noWrap/>
          </w:tcPr>
          <w:p w:rsidR="00AA2BE3" w:rsidRPr="006C2078" w:rsidRDefault="00AA2BE3" w:rsidP="00964994">
            <w:pPr>
              <w:pStyle w:val="Tabletext"/>
              <w:jc w:val="center"/>
            </w:pPr>
            <w:r w:rsidRPr="006C2078">
              <w:t>mean</w:t>
            </w:r>
          </w:p>
        </w:tc>
        <w:tc>
          <w:tcPr>
            <w:tcW w:w="1701" w:type="dxa"/>
            <w:noWrap/>
          </w:tcPr>
          <w:p w:rsidR="00AA2BE3" w:rsidRPr="006C2078" w:rsidRDefault="00AA2BE3" w:rsidP="00964994">
            <w:pPr>
              <w:pStyle w:val="Tabletext"/>
              <w:jc w:val="center"/>
            </w:pPr>
            <w:r w:rsidRPr="006C2078">
              <w:t>0.02</w:t>
            </w:r>
          </w:p>
        </w:tc>
      </w:tr>
      <w:tr w:rsidR="00AA2BE3" w:rsidRPr="006C2078" w:rsidTr="00964994">
        <w:trPr>
          <w:jc w:val="center"/>
        </w:trPr>
        <w:tc>
          <w:tcPr>
            <w:tcW w:w="2268" w:type="dxa"/>
            <w:vMerge/>
            <w:tcBorders>
              <w:top w:val="nil"/>
              <w:bottom w:val="single" w:sz="4" w:space="0" w:color="auto"/>
              <w:right w:val="single" w:sz="4" w:space="0" w:color="auto"/>
            </w:tcBorders>
          </w:tcPr>
          <w:p w:rsidR="00AA2BE3" w:rsidRPr="006C2078" w:rsidRDefault="00AA2BE3" w:rsidP="00192341"/>
        </w:tc>
        <w:tc>
          <w:tcPr>
            <w:tcW w:w="1134" w:type="dxa"/>
            <w:tcBorders>
              <w:left w:val="single" w:sz="4" w:space="0" w:color="auto"/>
            </w:tcBorders>
            <w:noWrap/>
          </w:tcPr>
          <w:p w:rsidR="00AA2BE3" w:rsidRPr="006C2078" w:rsidRDefault="00AA2BE3" w:rsidP="00964994">
            <w:pPr>
              <w:pStyle w:val="Tabletext"/>
              <w:jc w:val="center"/>
            </w:pPr>
            <w:r w:rsidRPr="006C2078">
              <w:t>min</w:t>
            </w:r>
            <w:r w:rsidR="00964994">
              <w:t>.</w:t>
            </w:r>
          </w:p>
        </w:tc>
        <w:tc>
          <w:tcPr>
            <w:tcW w:w="1701" w:type="dxa"/>
            <w:noWrap/>
          </w:tcPr>
          <w:p w:rsidR="00AA2BE3" w:rsidRPr="006C2078" w:rsidRDefault="00AA2BE3" w:rsidP="00964994">
            <w:pPr>
              <w:pStyle w:val="Tabletext"/>
              <w:jc w:val="center"/>
            </w:pPr>
            <w:r w:rsidRPr="006C2078">
              <w:t>0.00</w:t>
            </w:r>
          </w:p>
        </w:tc>
      </w:tr>
      <w:tr w:rsidR="00AA2BE3" w:rsidRPr="006C2078" w:rsidTr="00964994">
        <w:trPr>
          <w:jc w:val="center"/>
        </w:trPr>
        <w:tc>
          <w:tcPr>
            <w:tcW w:w="2268" w:type="dxa"/>
            <w:vMerge/>
            <w:tcBorders>
              <w:top w:val="nil"/>
              <w:bottom w:val="single" w:sz="4" w:space="0" w:color="auto"/>
              <w:right w:val="single" w:sz="4" w:space="0" w:color="auto"/>
            </w:tcBorders>
          </w:tcPr>
          <w:p w:rsidR="00AA2BE3" w:rsidRPr="006C2078" w:rsidRDefault="00AA2BE3" w:rsidP="00192341">
            <w:pPr>
              <w:rPr>
                <w:rFonts w:ascii="Calibri" w:hAnsi="Calibri"/>
                <w:color w:val="000000"/>
                <w:szCs w:val="22"/>
              </w:rPr>
            </w:pPr>
          </w:p>
        </w:tc>
        <w:tc>
          <w:tcPr>
            <w:tcW w:w="1134" w:type="dxa"/>
            <w:tcBorders>
              <w:left w:val="single" w:sz="4" w:space="0" w:color="auto"/>
              <w:bottom w:val="single" w:sz="4" w:space="0" w:color="auto"/>
            </w:tcBorders>
            <w:noWrap/>
          </w:tcPr>
          <w:p w:rsidR="00AA2BE3" w:rsidRPr="006C2078" w:rsidRDefault="00AA2BE3" w:rsidP="00964994">
            <w:pPr>
              <w:pStyle w:val="Tabletext"/>
              <w:jc w:val="center"/>
            </w:pPr>
            <w:r w:rsidRPr="006C2078">
              <w:t>max</w:t>
            </w:r>
            <w:r w:rsidR="00964994">
              <w:t>.</w:t>
            </w:r>
          </w:p>
        </w:tc>
        <w:tc>
          <w:tcPr>
            <w:tcW w:w="1701" w:type="dxa"/>
            <w:tcBorders>
              <w:bottom w:val="single" w:sz="4" w:space="0" w:color="auto"/>
            </w:tcBorders>
            <w:noWrap/>
          </w:tcPr>
          <w:p w:rsidR="00AA2BE3" w:rsidRPr="006C2078" w:rsidRDefault="00AA2BE3" w:rsidP="00964994">
            <w:pPr>
              <w:pStyle w:val="Tabletext"/>
              <w:jc w:val="center"/>
            </w:pPr>
            <w:r w:rsidRPr="006C2078">
              <w:t>0.60</w:t>
            </w:r>
          </w:p>
        </w:tc>
      </w:tr>
    </w:tbl>
    <w:p w:rsidR="00964994" w:rsidRDefault="00964994" w:rsidP="00964994">
      <w:pPr>
        <w:pStyle w:val="Tablefin"/>
      </w:pPr>
    </w:p>
    <w:p w:rsidR="00AA2BE3" w:rsidRPr="006C2078" w:rsidRDefault="00AA2BE3" w:rsidP="00AA2BE3">
      <w:pPr>
        <w:pStyle w:val="Heading1"/>
        <w:rPr>
          <w:highlight w:val="yellow"/>
        </w:rPr>
      </w:pPr>
      <w:bookmarkStart w:id="100" w:name="_Toc277668662"/>
      <w:r w:rsidRPr="006C2078">
        <w:lastRenderedPageBreak/>
        <w:t>3</w:t>
      </w:r>
      <w:r w:rsidRPr="006C2078">
        <w:tab/>
        <w:t>Verification results</w:t>
      </w:r>
      <w:bookmarkEnd w:id="100"/>
    </w:p>
    <w:p w:rsidR="00AA2BE3" w:rsidRPr="007D1EF7" w:rsidRDefault="00AA2BE3" w:rsidP="00964994">
      <w:pPr>
        <w:rPr>
          <w:lang w:val="en-US"/>
        </w:rPr>
      </w:pPr>
      <w:r w:rsidRPr="007D1EF7">
        <w:rPr>
          <w:lang w:val="en-US"/>
        </w:rPr>
        <w:t>Since there may be differences in how simulation software tools may implement mathematical models of orbits and radio frequency propagation, the simulation scenario used above was repeated using a commercially available simulation and analysis tool, Visualyse</w:t>
      </w:r>
      <w:r w:rsidR="00964994">
        <w:rPr>
          <w:rStyle w:val="FootnoteReference"/>
        </w:rPr>
        <w:footnoteReference w:id="2"/>
      </w:r>
      <w:r w:rsidRPr="007D1EF7">
        <w:rPr>
          <w:lang w:val="en-US"/>
        </w:rPr>
        <w:t xml:space="preserve">. The simulation methodology and system configurations are identical to that used in the NASA simulation tool for the results given in </w:t>
      </w:r>
      <w:r w:rsidR="00964994" w:rsidRPr="007D1EF7">
        <w:rPr>
          <w:lang w:val="en-US"/>
        </w:rPr>
        <w:t>§</w:t>
      </w:r>
      <w:r w:rsidRPr="007D1EF7">
        <w:rPr>
          <w:lang w:val="en-US"/>
        </w:rPr>
        <w:t xml:space="preserve"> 2.</w:t>
      </w:r>
    </w:p>
    <w:p w:rsidR="00AA2BE3" w:rsidRPr="007D1EF7" w:rsidRDefault="00AA2BE3" w:rsidP="00AA2BE3">
      <w:pPr>
        <w:pStyle w:val="Heading2"/>
        <w:rPr>
          <w:lang w:val="en-US"/>
        </w:rPr>
      </w:pPr>
      <w:bookmarkStart w:id="101" w:name="_Toc277668663"/>
      <w:r w:rsidRPr="007D1EF7">
        <w:rPr>
          <w:lang w:val="en-US"/>
        </w:rPr>
        <w:t>3.1</w:t>
      </w:r>
      <w:r w:rsidRPr="007D1EF7">
        <w:rPr>
          <w:lang w:val="en-US"/>
        </w:rPr>
        <w:tab/>
        <w:t>In-band case</w:t>
      </w:r>
      <w:bookmarkEnd w:id="101"/>
    </w:p>
    <w:p w:rsidR="00AA2BE3" w:rsidRPr="007D1EF7" w:rsidRDefault="00AA2BE3" w:rsidP="00964994">
      <w:pPr>
        <w:rPr>
          <w:lang w:val="en-US"/>
        </w:rPr>
      </w:pPr>
      <w:r w:rsidRPr="007D1EF7">
        <w:rPr>
          <w:lang w:val="en-US"/>
        </w:rPr>
        <w:t>The in-band case was run using 1</w:t>
      </w:r>
      <w:r w:rsidR="00964994" w:rsidRPr="007D1EF7">
        <w:rPr>
          <w:lang w:val="en-US"/>
        </w:rPr>
        <w:t>-</w:t>
      </w:r>
      <w:r w:rsidRPr="007D1EF7">
        <w:rPr>
          <w:lang w:val="en-US"/>
        </w:rPr>
        <w:t xml:space="preserve">second time steps over a one year time period. For comparison purposes, mean </w:t>
      </w:r>
      <w:r w:rsidRPr="007D1EF7">
        <w:rPr>
          <w:i/>
          <w:iCs/>
          <w:lang w:val="en-US"/>
        </w:rPr>
        <w:t>I</w:t>
      </w:r>
      <w:r w:rsidRPr="007D1EF7">
        <w:rPr>
          <w:lang w:val="en-US"/>
        </w:rPr>
        <w:t>/</w:t>
      </w:r>
      <w:r w:rsidRPr="007D1EF7">
        <w:rPr>
          <w:i/>
          <w:iCs/>
          <w:lang w:val="en-US"/>
        </w:rPr>
        <w:t>N</w:t>
      </w:r>
      <w:r w:rsidRPr="007D1EF7">
        <w:rPr>
          <w:lang w:val="en-US"/>
        </w:rPr>
        <w:t xml:space="preserve"> values from </w:t>
      </w:r>
      <w:r w:rsidR="00964994" w:rsidRPr="007D1EF7">
        <w:rPr>
          <w:lang w:val="en-US"/>
        </w:rPr>
        <w:t>§</w:t>
      </w:r>
      <w:r w:rsidRPr="007D1EF7">
        <w:rPr>
          <w:lang w:val="en-US"/>
        </w:rPr>
        <w:t xml:space="preserve"> 2.2 are plotted against the mean of the Visualyse simulation results and are shown in Fig. A7-3. The results from </w:t>
      </w:r>
      <w:r w:rsidR="00964994" w:rsidRPr="007D1EF7">
        <w:rPr>
          <w:lang w:val="en-US"/>
        </w:rPr>
        <w:t>§</w:t>
      </w:r>
      <w:r w:rsidRPr="007D1EF7">
        <w:rPr>
          <w:lang w:val="en-US"/>
        </w:rPr>
        <w:t xml:space="preserve"> 2.2’s simulation and the Visualyse simulation are very close, results are within 0.5 dB.</w:t>
      </w:r>
    </w:p>
    <w:p w:rsidR="00EC61F5" w:rsidRPr="007D1EF7" w:rsidRDefault="00EC61F5" w:rsidP="00964994">
      <w:pPr>
        <w:rPr>
          <w:lang w:val="en-US"/>
        </w:rPr>
      </w:pPr>
    </w:p>
    <w:p w:rsidR="00AA2BE3" w:rsidRPr="007D1EF7" w:rsidRDefault="00AA2BE3" w:rsidP="00AA2BE3">
      <w:pPr>
        <w:pStyle w:val="FigureNo"/>
        <w:rPr>
          <w:b/>
          <w:lang w:val="en-US"/>
        </w:rPr>
      </w:pPr>
      <w:r w:rsidRPr="007D1EF7">
        <w:rPr>
          <w:lang w:val="en-US"/>
        </w:rPr>
        <w:t>FIGURE A7-3</w:t>
      </w:r>
    </w:p>
    <w:p w:rsidR="00AA2BE3" w:rsidRPr="007D1EF7" w:rsidRDefault="00AA2BE3" w:rsidP="00AA2BE3">
      <w:pPr>
        <w:pStyle w:val="Figuretitle"/>
        <w:rPr>
          <w:lang w:val="en-US"/>
        </w:rPr>
      </w:pPr>
      <w:r w:rsidRPr="007D1EF7">
        <w:rPr>
          <w:lang w:val="en-US"/>
        </w:rPr>
        <w:t>In-band verification comparison of mean values</w:t>
      </w:r>
    </w:p>
    <w:p w:rsidR="00AA2BE3" w:rsidRPr="006C2078" w:rsidRDefault="00AA2BE3" w:rsidP="00964994">
      <w:pPr>
        <w:pStyle w:val="Figure"/>
        <w:rPr>
          <w:b/>
        </w:rPr>
      </w:pPr>
      <w:r>
        <w:rPr>
          <w:noProof/>
          <w:lang w:val="en-US" w:eastAsia="zh-CN"/>
        </w:rPr>
        <w:drawing>
          <wp:inline distT="0" distB="0" distL="0" distR="0">
            <wp:extent cx="4946015" cy="2901950"/>
            <wp:effectExtent l="0" t="0" r="0" b="0"/>
            <wp:docPr id="74"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2" cstate="print"/>
                    <a:srcRect/>
                    <a:stretch>
                      <a:fillRect/>
                    </a:stretch>
                  </pic:blipFill>
                  <pic:spPr bwMode="auto">
                    <a:xfrm>
                      <a:off x="0" y="0"/>
                      <a:ext cx="4946015" cy="2901950"/>
                    </a:xfrm>
                    <a:prstGeom prst="rect">
                      <a:avLst/>
                    </a:prstGeom>
                    <a:noFill/>
                    <a:ln w="9525">
                      <a:noFill/>
                      <a:miter lim="800000"/>
                      <a:headEnd/>
                      <a:tailEnd/>
                    </a:ln>
                  </pic:spPr>
                </pic:pic>
              </a:graphicData>
            </a:graphic>
          </wp:inline>
        </w:drawing>
      </w:r>
    </w:p>
    <w:p w:rsidR="00AA2BE3" w:rsidRPr="007D1EF7" w:rsidRDefault="00AA2BE3" w:rsidP="00AA2BE3">
      <w:pPr>
        <w:pStyle w:val="Heading2"/>
        <w:rPr>
          <w:lang w:val="en-US"/>
        </w:rPr>
      </w:pPr>
      <w:bookmarkStart w:id="102" w:name="_Toc277668664"/>
      <w:r w:rsidRPr="007D1EF7">
        <w:rPr>
          <w:lang w:val="en-US"/>
        </w:rPr>
        <w:t>3.2</w:t>
      </w:r>
      <w:r w:rsidRPr="007D1EF7">
        <w:rPr>
          <w:lang w:val="en-US"/>
        </w:rPr>
        <w:tab/>
        <w:t>Out-of-band cases</w:t>
      </w:r>
      <w:bookmarkEnd w:id="102"/>
    </w:p>
    <w:p w:rsidR="00AA2BE3" w:rsidRPr="007D1EF7" w:rsidRDefault="00AA2BE3" w:rsidP="00440D7C">
      <w:pPr>
        <w:rPr>
          <w:b/>
          <w:lang w:val="en-US"/>
        </w:rPr>
      </w:pPr>
      <w:r w:rsidRPr="007D1EF7">
        <w:rPr>
          <w:lang w:val="en-US"/>
        </w:rPr>
        <w:t xml:space="preserve">The </w:t>
      </w:r>
      <w:r w:rsidR="00964994" w:rsidRPr="007D1EF7">
        <w:rPr>
          <w:lang w:val="en-US"/>
        </w:rPr>
        <w:t>OoB</w:t>
      </w:r>
      <w:r w:rsidRPr="007D1EF7">
        <w:rPr>
          <w:lang w:val="en-US"/>
        </w:rPr>
        <w:t xml:space="preserve"> case was run using a 1</w:t>
      </w:r>
      <w:r w:rsidR="00440D7C" w:rsidRPr="007D1EF7">
        <w:rPr>
          <w:lang w:val="en-US"/>
        </w:rPr>
        <w:t>-</w:t>
      </w:r>
      <w:r w:rsidRPr="007D1EF7">
        <w:rPr>
          <w:lang w:val="en-US"/>
        </w:rPr>
        <w:t xml:space="preserve">second time step over a one year period. For comparison purposes, mean </w:t>
      </w:r>
      <w:r w:rsidRPr="007D1EF7">
        <w:rPr>
          <w:i/>
          <w:iCs/>
          <w:lang w:val="en-US"/>
        </w:rPr>
        <w:t>I</w:t>
      </w:r>
      <w:r w:rsidRPr="007D1EF7">
        <w:rPr>
          <w:lang w:val="en-US"/>
        </w:rPr>
        <w:t>/</w:t>
      </w:r>
      <w:r w:rsidRPr="007D1EF7">
        <w:rPr>
          <w:i/>
          <w:iCs/>
          <w:lang w:val="en-US"/>
        </w:rPr>
        <w:t>N</w:t>
      </w:r>
      <w:r w:rsidRPr="007D1EF7">
        <w:rPr>
          <w:lang w:val="en-US"/>
        </w:rPr>
        <w:t xml:space="preserve"> values from </w:t>
      </w:r>
      <w:r w:rsidR="00964994" w:rsidRPr="007D1EF7">
        <w:rPr>
          <w:lang w:val="en-US"/>
        </w:rPr>
        <w:t>§</w:t>
      </w:r>
      <w:r w:rsidRPr="007D1EF7">
        <w:rPr>
          <w:lang w:val="en-US"/>
        </w:rPr>
        <w:t xml:space="preserve"> 2.3 are plotted against the mean of the Visualyse simulation results and are shown in Fig. A7-4. The </w:t>
      </w:r>
      <w:r w:rsidR="00964994" w:rsidRPr="007D1EF7">
        <w:rPr>
          <w:lang w:val="en-US"/>
        </w:rPr>
        <w:t>OoB</w:t>
      </w:r>
      <w:r w:rsidRPr="007D1EF7">
        <w:rPr>
          <w:lang w:val="en-US"/>
        </w:rPr>
        <w:t xml:space="preserve"> case is also shows very close agreement between the two simulation models.</w:t>
      </w:r>
    </w:p>
    <w:p w:rsidR="00AA2BE3" w:rsidRPr="007D1EF7" w:rsidRDefault="00AA2BE3" w:rsidP="00AA2BE3">
      <w:pPr>
        <w:pStyle w:val="FigureNo"/>
        <w:rPr>
          <w:b/>
          <w:lang w:val="en-US"/>
        </w:rPr>
      </w:pPr>
      <w:r w:rsidRPr="007D1EF7">
        <w:rPr>
          <w:lang w:val="en-US"/>
        </w:rPr>
        <w:lastRenderedPageBreak/>
        <w:t>FIGURE A7-4</w:t>
      </w:r>
    </w:p>
    <w:p w:rsidR="00AA2BE3" w:rsidRPr="007D1EF7" w:rsidRDefault="00AA2BE3" w:rsidP="00AA2BE3">
      <w:pPr>
        <w:pStyle w:val="Figuretitle"/>
        <w:rPr>
          <w:lang w:val="en-US"/>
        </w:rPr>
      </w:pPr>
      <w:r w:rsidRPr="007D1EF7">
        <w:rPr>
          <w:lang w:val="en-US"/>
        </w:rPr>
        <w:t>Out-of-band verification comparison of mean values</w:t>
      </w:r>
    </w:p>
    <w:p w:rsidR="00AA2BE3" w:rsidRPr="006C2078" w:rsidDel="00462188" w:rsidRDefault="00AA2BE3" w:rsidP="00964994">
      <w:pPr>
        <w:pStyle w:val="Figure"/>
      </w:pPr>
      <w:r>
        <w:rPr>
          <w:noProof/>
          <w:lang w:val="en-US" w:eastAsia="zh-CN"/>
        </w:rPr>
        <w:drawing>
          <wp:inline distT="0" distB="0" distL="0" distR="0">
            <wp:extent cx="5637530" cy="3434715"/>
            <wp:effectExtent l="0" t="0" r="0" b="0"/>
            <wp:docPr id="75"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3" cstate="print"/>
                    <a:srcRect/>
                    <a:stretch>
                      <a:fillRect/>
                    </a:stretch>
                  </pic:blipFill>
                  <pic:spPr bwMode="auto">
                    <a:xfrm>
                      <a:off x="0" y="0"/>
                      <a:ext cx="5637530" cy="3434715"/>
                    </a:xfrm>
                    <a:prstGeom prst="rect">
                      <a:avLst/>
                    </a:prstGeom>
                    <a:noFill/>
                    <a:ln w="9525">
                      <a:noFill/>
                      <a:miter lim="800000"/>
                      <a:headEnd/>
                      <a:tailEnd/>
                    </a:ln>
                  </pic:spPr>
                </pic:pic>
              </a:graphicData>
            </a:graphic>
          </wp:inline>
        </w:drawing>
      </w:r>
    </w:p>
    <w:p w:rsidR="00AA2BE3" w:rsidRPr="007D1EF7" w:rsidRDefault="00AA2BE3" w:rsidP="00AA2BE3">
      <w:pPr>
        <w:pStyle w:val="Heading2"/>
        <w:rPr>
          <w:lang w:val="en-US"/>
        </w:rPr>
      </w:pPr>
      <w:bookmarkStart w:id="103" w:name="_Toc277668665"/>
      <w:r w:rsidRPr="007D1EF7">
        <w:rPr>
          <w:lang w:val="en-US"/>
        </w:rPr>
        <w:t>3.3</w:t>
      </w:r>
      <w:r w:rsidRPr="007D1EF7">
        <w:rPr>
          <w:lang w:val="en-US"/>
        </w:rPr>
        <w:tab/>
        <w:t>Verification summary</w:t>
      </w:r>
      <w:bookmarkEnd w:id="103"/>
    </w:p>
    <w:p w:rsidR="00AA2BE3" w:rsidRPr="007D1EF7" w:rsidRDefault="00AA2BE3" w:rsidP="00964994">
      <w:pPr>
        <w:rPr>
          <w:lang w:val="en-US"/>
        </w:rPr>
      </w:pPr>
      <w:r w:rsidRPr="007D1EF7">
        <w:rPr>
          <w:lang w:val="en-US"/>
        </w:rPr>
        <w:t>The commercially available Visualyse simulation and analysis tool is a validated and verified program for radio frequency and satellite modelling (</w:t>
      </w:r>
      <w:hyperlink r:id="rId104" w:history="1">
        <w:r w:rsidRPr="007D1EF7">
          <w:rPr>
            <w:rStyle w:val="Hyperlink"/>
            <w:lang w:val="en-US"/>
          </w:rPr>
          <w:t>www.transfinite.com/content/itu3.html</w:t>
        </w:r>
      </w:hyperlink>
      <w:r w:rsidRPr="007D1EF7">
        <w:rPr>
          <w:lang w:val="en-US"/>
        </w:rPr>
        <w:t xml:space="preserve">). Using the same set of assumptions and inputs, the results for the two simulation models are very closely aligned for both the in band and </w:t>
      </w:r>
      <w:r w:rsidR="00964994" w:rsidRPr="007D1EF7">
        <w:rPr>
          <w:lang w:val="en-US"/>
        </w:rPr>
        <w:t>OoB</w:t>
      </w:r>
      <w:r w:rsidRPr="007D1EF7">
        <w:rPr>
          <w:lang w:val="en-US"/>
        </w:rPr>
        <w:t xml:space="preserve"> cases.</w:t>
      </w:r>
    </w:p>
    <w:p w:rsidR="00AA2BE3" w:rsidRPr="007D1EF7" w:rsidRDefault="00AA2BE3" w:rsidP="00AA2BE3">
      <w:pPr>
        <w:pStyle w:val="Heading1"/>
        <w:rPr>
          <w:lang w:val="en-US"/>
        </w:rPr>
      </w:pPr>
      <w:bookmarkStart w:id="104" w:name="_Toc277668666"/>
      <w:r w:rsidRPr="007D1EF7">
        <w:rPr>
          <w:lang w:val="en-US"/>
        </w:rPr>
        <w:t>4</w:t>
      </w:r>
      <w:r w:rsidRPr="007D1EF7">
        <w:rPr>
          <w:lang w:val="en-US"/>
        </w:rPr>
        <w:tab/>
        <w:t>Conclusions</w:t>
      </w:r>
      <w:bookmarkEnd w:id="104"/>
    </w:p>
    <w:p w:rsidR="00AA2BE3" w:rsidRPr="007D1EF7" w:rsidRDefault="00AA2BE3" w:rsidP="00964994">
      <w:pPr>
        <w:rPr>
          <w:lang w:val="en-US"/>
        </w:rPr>
      </w:pPr>
      <w:bookmarkStart w:id="105" w:name="TVG_Method"/>
      <w:bookmarkEnd w:id="105"/>
      <w:r w:rsidRPr="007D1EF7">
        <w:rPr>
          <w:lang w:val="en-US"/>
        </w:rPr>
        <w:t xml:space="preserve">This study has considered the determination of the compatibility between transmitting SRS earth stations and non-GSO-to-non-GSO space stations in the inter-satellite service of type HIBLEO-2 in the 22.55-23.55 GHz band for the criteria presented in </w:t>
      </w:r>
      <w:r w:rsidR="00964994" w:rsidRPr="007D1EF7">
        <w:rPr>
          <w:lang w:val="en-US"/>
        </w:rPr>
        <w:t>§</w:t>
      </w:r>
      <w:r w:rsidRPr="007D1EF7">
        <w:rPr>
          <w:lang w:val="en-US"/>
        </w:rPr>
        <w:t xml:space="preserve"> 3.3 of the main body of the </w:t>
      </w:r>
      <w:r w:rsidR="00964994" w:rsidRPr="007D1EF7">
        <w:rPr>
          <w:lang w:val="en-US"/>
        </w:rPr>
        <w:t>R</w:t>
      </w:r>
      <w:r w:rsidRPr="007D1EF7">
        <w:rPr>
          <w:lang w:val="en-US"/>
        </w:rPr>
        <w:t>eport, as specified by WP 4A, the results of the simulations were verified by using Visualyse, a commercially available simulation software tool.</w:t>
      </w:r>
    </w:p>
    <w:p w:rsidR="00AA2BE3" w:rsidRPr="007D1EF7" w:rsidRDefault="00AA2BE3" w:rsidP="00964994">
      <w:pPr>
        <w:rPr>
          <w:color w:val="000000"/>
          <w:lang w:val="en-US"/>
        </w:rPr>
      </w:pPr>
      <w:r w:rsidRPr="007D1EF7">
        <w:rPr>
          <w:color w:val="000000"/>
          <w:lang w:val="en-US"/>
        </w:rPr>
        <w:t xml:space="preserve">Table A7-5 is a summary of the results presented in </w:t>
      </w:r>
      <w:r w:rsidR="00964994" w:rsidRPr="007D1EF7">
        <w:rPr>
          <w:color w:val="000000"/>
          <w:lang w:val="en-US"/>
        </w:rPr>
        <w:t>§</w:t>
      </w:r>
      <w:r w:rsidRPr="007D1EF7" w:rsidDel="003D383D">
        <w:rPr>
          <w:color w:val="000000"/>
          <w:lang w:val="en-US"/>
        </w:rPr>
        <w:t xml:space="preserve"> </w:t>
      </w:r>
      <w:r w:rsidRPr="007D1EF7">
        <w:rPr>
          <w:color w:val="000000"/>
          <w:lang w:val="en-US"/>
        </w:rPr>
        <w:t xml:space="preserve">2 above. Also shown in the Table are reference levels of aggregate interference protection criteria for the in-band and out-of-band cases. For the in-band case, the agreed reference level is </w:t>
      </w:r>
      <w:r w:rsidRPr="007D1EF7">
        <w:rPr>
          <w:i/>
          <w:iCs/>
          <w:lang w:val="en-US"/>
        </w:rPr>
        <w:t>I</w:t>
      </w:r>
      <w:r w:rsidRPr="007D1EF7">
        <w:rPr>
          <w:vertAlign w:val="subscript"/>
          <w:lang w:val="en-US"/>
        </w:rPr>
        <w:t>0</w:t>
      </w:r>
      <w:r w:rsidRPr="007D1EF7">
        <w:rPr>
          <w:i/>
          <w:iCs/>
          <w:lang w:val="en-US"/>
        </w:rPr>
        <w:t>/N</w:t>
      </w:r>
      <w:r w:rsidRPr="007D1EF7">
        <w:rPr>
          <w:vertAlign w:val="subscript"/>
          <w:lang w:val="en-US"/>
        </w:rPr>
        <w:t>0</w:t>
      </w:r>
      <w:r w:rsidRPr="007D1EF7">
        <w:rPr>
          <w:i/>
          <w:iCs/>
          <w:color w:val="000000"/>
          <w:lang w:val="en-US"/>
        </w:rPr>
        <w:t xml:space="preserve"> </w:t>
      </w:r>
      <w:r w:rsidRPr="007D1EF7">
        <w:rPr>
          <w:color w:val="000000"/>
          <w:lang w:val="en-US"/>
        </w:rPr>
        <w:t xml:space="preserve">= –10 dB not to be exceeded for more than 0.1% per single link. For the out-of-band case, the reference level is </w:t>
      </w:r>
      <w:r w:rsidRPr="007D1EF7">
        <w:rPr>
          <w:i/>
          <w:iCs/>
          <w:lang w:val="en-US"/>
        </w:rPr>
        <w:t>I</w:t>
      </w:r>
      <w:r w:rsidRPr="007D1EF7">
        <w:rPr>
          <w:vertAlign w:val="subscript"/>
          <w:lang w:val="en-US"/>
        </w:rPr>
        <w:t>0</w:t>
      </w:r>
      <w:r w:rsidRPr="007D1EF7">
        <w:rPr>
          <w:i/>
          <w:iCs/>
          <w:lang w:val="en-US"/>
        </w:rPr>
        <w:t>/N</w:t>
      </w:r>
      <w:r w:rsidRPr="007D1EF7">
        <w:rPr>
          <w:vertAlign w:val="subscript"/>
          <w:lang w:val="en-US"/>
        </w:rPr>
        <w:t>0</w:t>
      </w:r>
      <w:r w:rsidRPr="007D1EF7">
        <w:rPr>
          <w:color w:val="000000"/>
          <w:lang w:val="en-US"/>
        </w:rPr>
        <w:t xml:space="preserve"> = –16 dB not to be exceeded for more than 0.01% per single link. It is important to note that the aggregate interference.</w:t>
      </w:r>
      <w:r w:rsidR="006119E4" w:rsidRPr="007D1EF7">
        <w:rPr>
          <w:color w:val="000000"/>
          <w:lang w:val="en-US"/>
        </w:rPr>
        <w:t xml:space="preserve"> </w:t>
      </w:r>
      <w:r w:rsidRPr="007D1EF7">
        <w:rPr>
          <w:color w:val="000000"/>
          <w:lang w:val="en-US"/>
        </w:rPr>
        <w:t>levels produced by the proposed SRS</w:t>
      </w:r>
      <w:r w:rsidRPr="007D1EF7" w:rsidDel="000470AE">
        <w:rPr>
          <w:color w:val="000000"/>
          <w:lang w:val="en-US"/>
        </w:rPr>
        <w:t xml:space="preserve"> </w:t>
      </w:r>
      <w:r w:rsidRPr="007D1EF7">
        <w:rPr>
          <w:color w:val="000000"/>
          <w:lang w:val="en-US"/>
        </w:rPr>
        <w:t xml:space="preserve">range from about 38 </w:t>
      </w:r>
      <w:r w:rsidRPr="007D1EF7">
        <w:rPr>
          <w:rFonts w:cs="Courier New"/>
          <w:color w:val="000000"/>
          <w:lang w:val="en-US"/>
        </w:rPr>
        <w:t>dB</w:t>
      </w:r>
      <w:r w:rsidRPr="007D1EF7">
        <w:rPr>
          <w:color w:val="000000"/>
          <w:lang w:val="en-US"/>
        </w:rPr>
        <w:t xml:space="preserve"> (for the in-band case) to 49 </w:t>
      </w:r>
      <w:r w:rsidRPr="007D1EF7">
        <w:rPr>
          <w:rFonts w:cs="Courier New"/>
          <w:color w:val="000000"/>
          <w:lang w:val="en-US"/>
        </w:rPr>
        <w:t xml:space="preserve">dB (for the </w:t>
      </w:r>
      <w:r w:rsidR="00964994" w:rsidRPr="007D1EF7">
        <w:rPr>
          <w:rFonts w:cs="Courier New"/>
          <w:color w:val="000000"/>
          <w:lang w:val="en-US"/>
        </w:rPr>
        <w:t>OoB</w:t>
      </w:r>
      <w:r w:rsidRPr="007D1EF7">
        <w:rPr>
          <w:rFonts w:cs="Courier New"/>
          <w:color w:val="000000"/>
          <w:lang w:val="en-US"/>
        </w:rPr>
        <w:t xml:space="preserve"> case) below the aggregate interference levels provided in the protection criteria</w:t>
      </w:r>
      <w:r w:rsidRPr="007D1EF7">
        <w:rPr>
          <w:color w:val="000000"/>
          <w:lang w:val="en-US"/>
        </w:rPr>
        <w:t>. The relative contribution of the SRS interference is negligible when compared to the overall aggregate level allowed for all sources of interference. Hence, it is</w:t>
      </w:r>
      <w:r w:rsidRPr="007D1EF7">
        <w:rPr>
          <w:lang w:val="en-US"/>
        </w:rPr>
        <w:t xml:space="preserve"> concluded from these studies that sharing between the SRS (Earth-to-space) and the inter-satellite service of type HIBLEO-2 in the 22.55</w:t>
      </w:r>
      <w:r w:rsidRPr="007D1EF7">
        <w:rPr>
          <w:lang w:val="en-US"/>
        </w:rPr>
        <w:noBreakHyphen/>
        <w:t>23.15 GHz band is feasible with no constraints on the SRS.</w:t>
      </w:r>
    </w:p>
    <w:p w:rsidR="00AA2BE3" w:rsidRPr="007D1EF7" w:rsidRDefault="00964994" w:rsidP="00AA2BE3">
      <w:pPr>
        <w:pStyle w:val="TableNo"/>
        <w:rPr>
          <w:lang w:val="en-US"/>
        </w:rPr>
      </w:pPr>
      <w:r w:rsidRPr="007D1EF7">
        <w:rPr>
          <w:lang w:val="en-US"/>
        </w:rPr>
        <w:lastRenderedPageBreak/>
        <w:t>TABLE</w:t>
      </w:r>
      <w:r w:rsidR="00AA2BE3" w:rsidRPr="007D1EF7">
        <w:rPr>
          <w:lang w:val="en-US"/>
        </w:rPr>
        <w:t xml:space="preserve"> A7-5 </w:t>
      </w:r>
    </w:p>
    <w:p w:rsidR="00AA2BE3" w:rsidRPr="007D1EF7" w:rsidRDefault="00AA2BE3" w:rsidP="00AA2BE3">
      <w:pPr>
        <w:pStyle w:val="Tabletitle"/>
        <w:rPr>
          <w:lang w:val="en-US"/>
        </w:rPr>
      </w:pPr>
      <w:r w:rsidRPr="007D1EF7">
        <w:rPr>
          <w:lang w:val="en-US"/>
        </w:rPr>
        <w:t xml:space="preserve">Summary of the worst-case level of interference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5103"/>
        <w:gridCol w:w="2835"/>
      </w:tblGrid>
      <w:tr w:rsidR="00AA2BE3" w:rsidRPr="003B6E9A" w:rsidTr="00964994">
        <w:trPr>
          <w:trHeight w:val="600"/>
          <w:jc w:val="center"/>
        </w:trPr>
        <w:tc>
          <w:tcPr>
            <w:tcW w:w="1701" w:type="dxa"/>
            <w:vAlign w:val="center"/>
          </w:tcPr>
          <w:p w:rsidR="00AA2BE3" w:rsidRPr="007D1EF7" w:rsidRDefault="00AA2BE3" w:rsidP="00BF3C71">
            <w:pPr>
              <w:pStyle w:val="Tablehead"/>
              <w:rPr>
                <w:lang w:val="en-US"/>
              </w:rPr>
            </w:pPr>
          </w:p>
        </w:tc>
        <w:tc>
          <w:tcPr>
            <w:tcW w:w="5103" w:type="dxa"/>
            <w:vAlign w:val="center"/>
          </w:tcPr>
          <w:p w:rsidR="00AA2BE3" w:rsidRPr="006C2078" w:rsidRDefault="00AA2BE3" w:rsidP="00BF3C71">
            <w:pPr>
              <w:pStyle w:val="Tablehead"/>
              <w:rPr>
                <w:szCs w:val="22"/>
              </w:rPr>
            </w:pPr>
            <w:r w:rsidRPr="006C2078">
              <w:rPr>
                <w:szCs w:val="22"/>
              </w:rPr>
              <w:t>Protection criterion</w:t>
            </w:r>
          </w:p>
        </w:tc>
        <w:tc>
          <w:tcPr>
            <w:tcW w:w="2835" w:type="dxa"/>
            <w:vAlign w:val="center"/>
          </w:tcPr>
          <w:p w:rsidR="00AA2BE3" w:rsidRPr="007D1EF7" w:rsidRDefault="00AA2BE3" w:rsidP="00964994">
            <w:pPr>
              <w:pStyle w:val="Tablehead"/>
              <w:rPr>
                <w:szCs w:val="22"/>
                <w:lang w:val="en-US"/>
              </w:rPr>
            </w:pPr>
            <w:r w:rsidRPr="007D1EF7">
              <w:rPr>
                <w:szCs w:val="22"/>
                <w:lang w:val="en-US"/>
              </w:rPr>
              <w:t>SRS interference margin, relative to aggregate interference criterion</w:t>
            </w:r>
            <w:r w:rsidR="00964994" w:rsidRPr="007D1EF7">
              <w:rPr>
                <w:szCs w:val="22"/>
                <w:lang w:val="en-US"/>
              </w:rPr>
              <w:br/>
            </w:r>
            <w:r w:rsidRPr="007D1EF7">
              <w:rPr>
                <w:szCs w:val="22"/>
                <w:lang w:val="en-US"/>
              </w:rPr>
              <w:t>(dB)</w:t>
            </w:r>
          </w:p>
        </w:tc>
      </w:tr>
      <w:tr w:rsidR="00AA2BE3" w:rsidRPr="006C2078" w:rsidTr="00964994">
        <w:trPr>
          <w:trHeight w:val="300"/>
          <w:jc w:val="center"/>
        </w:trPr>
        <w:tc>
          <w:tcPr>
            <w:tcW w:w="1701" w:type="dxa"/>
          </w:tcPr>
          <w:p w:rsidR="00AA2BE3" w:rsidRPr="006C2078" w:rsidRDefault="00AA2BE3" w:rsidP="00964994">
            <w:pPr>
              <w:pStyle w:val="Tabletext"/>
              <w:jc w:val="left"/>
            </w:pPr>
            <w:r w:rsidRPr="006C2078">
              <w:t>In-band case</w:t>
            </w:r>
          </w:p>
        </w:tc>
        <w:tc>
          <w:tcPr>
            <w:tcW w:w="5103" w:type="dxa"/>
          </w:tcPr>
          <w:p w:rsidR="00AA2BE3" w:rsidRPr="007D1EF7" w:rsidRDefault="00AA2BE3" w:rsidP="00440D7C">
            <w:pPr>
              <w:pStyle w:val="Tabletext"/>
              <w:jc w:val="left"/>
              <w:rPr>
                <w:lang w:val="en-US"/>
              </w:rPr>
            </w:pPr>
            <w:r w:rsidRPr="007D1EF7">
              <w:rPr>
                <w:lang w:val="en-US"/>
              </w:rPr>
              <w:t xml:space="preserve">Aggregate </w:t>
            </w:r>
            <w:r w:rsidRPr="007D1EF7">
              <w:rPr>
                <w:i/>
                <w:iCs/>
                <w:lang w:val="en-US"/>
              </w:rPr>
              <w:t>I</w:t>
            </w:r>
            <w:r w:rsidRPr="007D1EF7">
              <w:rPr>
                <w:lang w:val="en-US"/>
              </w:rPr>
              <w:t>/</w:t>
            </w:r>
            <w:r w:rsidRPr="007D1EF7">
              <w:rPr>
                <w:i/>
                <w:iCs/>
                <w:lang w:val="en-US"/>
              </w:rPr>
              <w:t>N</w:t>
            </w:r>
            <w:r w:rsidRPr="007D1EF7">
              <w:rPr>
                <w:lang w:val="en-US"/>
              </w:rPr>
              <w:t xml:space="preserve"> = –10.0 dB, from all services,</w:t>
            </w:r>
            <w:r w:rsidR="00440D7C" w:rsidRPr="007D1EF7">
              <w:rPr>
                <w:lang w:val="en-US"/>
              </w:rPr>
              <w:t xml:space="preserve"> </w:t>
            </w:r>
            <w:r w:rsidRPr="007D1EF7">
              <w:rPr>
                <w:lang w:val="en-US"/>
              </w:rPr>
              <w:t>not to be exceeded for 0.1% of time</w:t>
            </w:r>
          </w:p>
        </w:tc>
        <w:tc>
          <w:tcPr>
            <w:tcW w:w="2835" w:type="dxa"/>
          </w:tcPr>
          <w:p w:rsidR="00AA2BE3" w:rsidRPr="006C2078" w:rsidRDefault="00AA2BE3" w:rsidP="00964994">
            <w:pPr>
              <w:pStyle w:val="Tabletext"/>
              <w:jc w:val="center"/>
            </w:pPr>
            <w:r w:rsidRPr="006C2078">
              <w:t>38.3</w:t>
            </w:r>
          </w:p>
        </w:tc>
      </w:tr>
      <w:tr w:rsidR="00AA2BE3" w:rsidRPr="006C2078" w:rsidTr="00964994">
        <w:trPr>
          <w:trHeight w:val="300"/>
          <w:jc w:val="center"/>
        </w:trPr>
        <w:tc>
          <w:tcPr>
            <w:tcW w:w="1701" w:type="dxa"/>
          </w:tcPr>
          <w:p w:rsidR="00AA2BE3" w:rsidRPr="006C2078" w:rsidRDefault="00AA2BE3" w:rsidP="00964994">
            <w:pPr>
              <w:pStyle w:val="Tabletext"/>
              <w:jc w:val="left"/>
            </w:pPr>
            <w:r w:rsidRPr="006C2078">
              <w:t>O</w:t>
            </w:r>
            <w:r w:rsidR="00964994">
              <w:t>oB</w:t>
            </w:r>
            <w:r w:rsidRPr="006C2078">
              <w:t xml:space="preserve"> case</w:t>
            </w:r>
          </w:p>
        </w:tc>
        <w:tc>
          <w:tcPr>
            <w:tcW w:w="5103" w:type="dxa"/>
          </w:tcPr>
          <w:p w:rsidR="00AA2BE3" w:rsidRPr="007D1EF7" w:rsidRDefault="00AA2BE3" w:rsidP="00964994">
            <w:pPr>
              <w:pStyle w:val="Tabletext"/>
              <w:jc w:val="left"/>
              <w:rPr>
                <w:lang w:val="en-US"/>
              </w:rPr>
            </w:pPr>
            <w:r w:rsidRPr="007D1EF7">
              <w:rPr>
                <w:lang w:val="en-US"/>
              </w:rPr>
              <w:t xml:space="preserve">Aggregate </w:t>
            </w:r>
            <w:r w:rsidRPr="007D1EF7">
              <w:rPr>
                <w:i/>
                <w:iCs/>
                <w:lang w:val="en-US"/>
              </w:rPr>
              <w:t>I</w:t>
            </w:r>
            <w:r w:rsidRPr="007D1EF7">
              <w:rPr>
                <w:lang w:val="en-US"/>
              </w:rPr>
              <w:t>/</w:t>
            </w:r>
            <w:r w:rsidRPr="007D1EF7">
              <w:rPr>
                <w:i/>
                <w:iCs/>
                <w:lang w:val="en-US"/>
              </w:rPr>
              <w:t>N</w:t>
            </w:r>
            <w:r w:rsidRPr="007D1EF7">
              <w:rPr>
                <w:lang w:val="en-US"/>
              </w:rPr>
              <w:t xml:space="preserve"> = –16.0 dB, from all SRS earth </w:t>
            </w:r>
            <w:r w:rsidR="00964994" w:rsidRPr="007D1EF7">
              <w:rPr>
                <w:lang w:val="en-US"/>
              </w:rPr>
              <w:t>s</w:t>
            </w:r>
            <w:r w:rsidRPr="007D1EF7">
              <w:rPr>
                <w:lang w:val="en-US"/>
              </w:rPr>
              <w:t>tations, not to be exceeded for 0.01% of time</w:t>
            </w:r>
          </w:p>
        </w:tc>
        <w:tc>
          <w:tcPr>
            <w:tcW w:w="2835" w:type="dxa"/>
          </w:tcPr>
          <w:p w:rsidR="00AA2BE3" w:rsidRPr="006C2078" w:rsidRDefault="00AA2BE3" w:rsidP="00964994">
            <w:pPr>
              <w:pStyle w:val="Tabletext"/>
              <w:jc w:val="center"/>
            </w:pPr>
            <w:r w:rsidRPr="006C2078">
              <w:t>49.0</w:t>
            </w:r>
          </w:p>
        </w:tc>
      </w:tr>
    </w:tbl>
    <w:p w:rsidR="00AA2BE3" w:rsidRDefault="00AA2BE3" w:rsidP="00AA2BE3">
      <w:pPr>
        <w:pStyle w:val="Tablefin"/>
      </w:pPr>
    </w:p>
    <w:p w:rsidR="00AA2BE3" w:rsidRDefault="00AA2BE3" w:rsidP="00AA2BE3">
      <w:pPr>
        <w:rPr>
          <w:lang w:val="en-US"/>
        </w:rPr>
      </w:pPr>
    </w:p>
    <w:p w:rsidR="00AA2BE3" w:rsidRDefault="00AA2BE3" w:rsidP="00AA2BE3">
      <w:pPr>
        <w:rPr>
          <w:lang w:val="en-US"/>
        </w:rPr>
      </w:pPr>
    </w:p>
    <w:p w:rsidR="00AA2BE3" w:rsidRPr="00AA2BE3" w:rsidRDefault="00AA2BE3" w:rsidP="00AA2BE3">
      <w:pPr>
        <w:pStyle w:val="Line"/>
      </w:pPr>
    </w:p>
    <w:sectPr w:rsidR="00AA2BE3" w:rsidRPr="00AA2BE3" w:rsidSect="007565CC">
      <w:headerReference w:type="even" r:id="rId105"/>
      <w:headerReference w:type="default" r:id="rId106"/>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21F" w:rsidRDefault="00B4321F">
      <w:r>
        <w:separator/>
      </w:r>
    </w:p>
  </w:endnote>
  <w:endnote w:type="continuationSeparator" w:id="0">
    <w:p w:rsidR="00B4321F" w:rsidRDefault="00B432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Asiatische Schriftart verwende">
    <w:altName w:val="Times New Roman"/>
    <w:panose1 w:val="00000000000000000000"/>
    <w:charset w:val="00"/>
    <w:family w:val="roman"/>
    <w:notTrueType/>
    <w:pitch w:val="default"/>
    <w:sig w:usb0="00000003" w:usb1="00000000" w:usb2="00000000" w:usb3="00000000" w:csb0="00000001"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SimSun">
    <w:altName w:val="宋体"/>
    <w:panose1 w:val="02010600030101010101"/>
    <w:charset w:val="86"/>
    <w:family w:val="auto"/>
    <w:pitch w:val="variable"/>
    <w:sig w:usb0="00000003" w:usb1="080E0000" w:usb2="00000010" w:usb3="00000000" w:csb0="00040001" w:csb1="00000000"/>
  </w:font>
  <w:font w:name="Script MT Bold">
    <w:panose1 w:val="030406020406070809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21F" w:rsidRDefault="00B4321F">
      <w:r>
        <w:separator/>
      </w:r>
    </w:p>
  </w:footnote>
  <w:footnote w:type="continuationSeparator" w:id="0">
    <w:p w:rsidR="00B4321F" w:rsidRDefault="00B4321F">
      <w:r>
        <w:continuationSeparator/>
      </w:r>
    </w:p>
  </w:footnote>
  <w:footnote w:id="1">
    <w:p w:rsidR="00B4321F" w:rsidRPr="00BD064A" w:rsidRDefault="00B4321F" w:rsidP="00BD064A">
      <w:pPr>
        <w:pStyle w:val="FootnoteText"/>
        <w:rPr>
          <w:lang w:val="en-US"/>
        </w:rPr>
      </w:pPr>
      <w:r>
        <w:rPr>
          <w:rStyle w:val="FootnoteReference"/>
        </w:rPr>
        <w:footnoteRef/>
      </w:r>
      <w:r w:rsidRPr="007D1EF7">
        <w:rPr>
          <w:lang w:val="en-US"/>
        </w:rPr>
        <w:tab/>
        <w:t>BENITO O. GUTIERREZ LUACES [2008] Basic MATLAB programs used in all simulations may be found in the book “Principles of radio frequency interference analysis with emphasis on computer simulations of satellite constellations”. BUBOCK PUBLISHING S.L. (</w:t>
      </w:r>
      <w:hyperlink r:id="rId1" w:history="1">
        <w:r w:rsidRPr="007D1EF7">
          <w:rPr>
            <w:rStyle w:val="Hyperlink"/>
            <w:lang w:val="en-US"/>
          </w:rPr>
          <w:t>www.bubok.com</w:t>
        </w:r>
      </w:hyperlink>
      <w:r w:rsidRPr="007D1EF7">
        <w:rPr>
          <w:lang w:val="en-US"/>
        </w:rPr>
        <w:t>).</w:t>
      </w:r>
    </w:p>
  </w:footnote>
  <w:footnote w:id="2">
    <w:p w:rsidR="00B4321F" w:rsidRPr="00964994" w:rsidRDefault="00B4321F">
      <w:pPr>
        <w:pStyle w:val="FootnoteText"/>
        <w:rPr>
          <w:lang w:val="en-US"/>
        </w:rPr>
      </w:pPr>
      <w:r>
        <w:rPr>
          <w:rStyle w:val="FootnoteReference"/>
        </w:rPr>
        <w:footnoteRef/>
      </w:r>
      <w:r w:rsidRPr="007D1EF7">
        <w:rPr>
          <w:lang w:val="en-US"/>
        </w:rPr>
        <w:tab/>
      </w:r>
      <w:r>
        <w:rPr>
          <w:lang w:val="en-US"/>
        </w:rPr>
        <w:t>Visualyse Professional Version 7.05 (Transfinite Systems Ltd).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21F" w:rsidRPr="009770E7" w:rsidRDefault="00DC4C77" w:rsidP="00192341">
    <w:pPr>
      <w:pStyle w:val="Header"/>
      <w:jc w:val="both"/>
    </w:pPr>
    <w:r w:rsidRPr="00DC4C77">
      <w:rPr>
        <w:b/>
        <w:bCs/>
      </w:rPr>
      <w:fldChar w:fldCharType="begin"/>
    </w:r>
    <w:r w:rsidR="00B4321F" w:rsidRPr="009770E7">
      <w:rPr>
        <w:b/>
        <w:bCs/>
        <w:lang w:val="en-US"/>
      </w:rPr>
      <w:instrText xml:space="preserve"> PAGE </w:instrText>
    </w:r>
    <w:r w:rsidRPr="00DC4C77">
      <w:rPr>
        <w:b/>
        <w:bCs/>
      </w:rPr>
      <w:fldChar w:fldCharType="separate"/>
    </w:r>
    <w:r w:rsidR="003B6E9A">
      <w:rPr>
        <w:b/>
        <w:bCs/>
        <w:noProof/>
        <w:lang w:val="en-US"/>
      </w:rPr>
      <w:t>ii</w:t>
    </w:r>
    <w:r w:rsidRPr="009770E7">
      <w:fldChar w:fldCharType="end"/>
    </w:r>
    <w:r w:rsidR="00B4321F" w:rsidRPr="009770E7">
      <w:rPr>
        <w:lang w:val="en-US"/>
      </w:rPr>
      <w:tab/>
    </w:r>
    <w:fldSimple w:instr=" DOCPROPERTY &quot;Header 2&quot; \* MERGEFORMAT ">
      <w:r w:rsidR="00ED54AC" w:rsidRPr="00ED54AC">
        <w:rPr>
          <w:b/>
          <w:bCs/>
          <w:lang w:val="en-US"/>
        </w:rPr>
        <w:t xml:space="preserve">Rep. </w:t>
      </w:r>
    </w:fldSimple>
    <w:r w:rsidR="00B4321F" w:rsidRPr="009770E7">
      <w:rPr>
        <w:b/>
        <w:bCs/>
      </w:rPr>
      <w:t xml:space="preserve"> </w:t>
    </w:r>
    <w:r w:rsidRPr="00DC4C77">
      <w:rPr>
        <w:b/>
        <w:bCs/>
      </w:rPr>
      <w:fldChar w:fldCharType="begin"/>
    </w:r>
    <w:r w:rsidR="00B4321F" w:rsidRPr="009770E7">
      <w:rPr>
        <w:b/>
        <w:bCs/>
        <w:lang w:val="en-US"/>
      </w:rPr>
      <w:instrText>styleref href</w:instrText>
    </w:r>
    <w:r w:rsidRPr="00DC4C77">
      <w:rPr>
        <w:b/>
        <w:bCs/>
      </w:rPr>
      <w:fldChar w:fldCharType="separate"/>
    </w:r>
    <w:r w:rsidR="003B6E9A">
      <w:rPr>
        <w:b/>
        <w:bCs/>
        <w:noProof/>
      </w:rPr>
      <w:t>ITU-R  SA.2192</w:t>
    </w:r>
    <w:r w:rsidRPr="009770E7">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21F" w:rsidRDefault="00B4321F" w:rsidP="00B033C8">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21F" w:rsidRPr="009770E7" w:rsidRDefault="00DC4C77" w:rsidP="00192341">
    <w:pPr>
      <w:pStyle w:val="Header"/>
      <w:jc w:val="both"/>
    </w:pPr>
    <w:r w:rsidRPr="00DC4C77">
      <w:rPr>
        <w:b/>
        <w:bCs/>
      </w:rPr>
      <w:fldChar w:fldCharType="begin"/>
    </w:r>
    <w:r w:rsidR="00B4321F" w:rsidRPr="009770E7">
      <w:rPr>
        <w:b/>
        <w:bCs/>
        <w:lang w:val="en-US"/>
      </w:rPr>
      <w:instrText xml:space="preserve"> PAGE </w:instrText>
    </w:r>
    <w:r w:rsidRPr="00DC4C77">
      <w:rPr>
        <w:b/>
        <w:bCs/>
      </w:rPr>
      <w:fldChar w:fldCharType="separate"/>
    </w:r>
    <w:r w:rsidR="003B6E9A">
      <w:rPr>
        <w:b/>
        <w:bCs/>
        <w:noProof/>
        <w:lang w:val="en-US"/>
      </w:rPr>
      <w:t>74</w:t>
    </w:r>
    <w:r w:rsidRPr="009770E7">
      <w:fldChar w:fldCharType="end"/>
    </w:r>
    <w:r w:rsidR="00B4321F" w:rsidRPr="009770E7">
      <w:rPr>
        <w:lang w:val="en-US"/>
      </w:rPr>
      <w:tab/>
    </w:r>
    <w:fldSimple w:instr=" DOCPROPERTY &quot;Header 2&quot; \* MERGEFORMAT ">
      <w:r w:rsidR="00ED54AC" w:rsidRPr="00ED54AC">
        <w:rPr>
          <w:b/>
          <w:bCs/>
          <w:lang w:val="en-US"/>
        </w:rPr>
        <w:t xml:space="preserve">Rep. </w:t>
      </w:r>
    </w:fldSimple>
    <w:r w:rsidR="00B4321F" w:rsidRPr="009770E7">
      <w:rPr>
        <w:b/>
        <w:bCs/>
      </w:rPr>
      <w:t xml:space="preserve"> </w:t>
    </w:r>
    <w:r w:rsidRPr="00DC4C77">
      <w:rPr>
        <w:b/>
        <w:bCs/>
      </w:rPr>
      <w:fldChar w:fldCharType="begin"/>
    </w:r>
    <w:r w:rsidR="00B4321F" w:rsidRPr="009770E7">
      <w:rPr>
        <w:b/>
        <w:bCs/>
        <w:lang w:val="en-US"/>
      </w:rPr>
      <w:instrText>styleref href</w:instrText>
    </w:r>
    <w:r w:rsidRPr="00DC4C77">
      <w:rPr>
        <w:b/>
        <w:bCs/>
      </w:rPr>
      <w:fldChar w:fldCharType="separate"/>
    </w:r>
    <w:r w:rsidR="003B6E9A">
      <w:rPr>
        <w:b/>
        <w:bCs/>
        <w:noProof/>
      </w:rPr>
      <w:t>ITU-R  SA.2192</w:t>
    </w:r>
    <w:r w:rsidRPr="009770E7">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21F" w:rsidRPr="009770E7" w:rsidRDefault="00B4321F" w:rsidP="00192341">
    <w:pPr>
      <w:pStyle w:val="Header"/>
      <w:jc w:val="both"/>
    </w:pPr>
    <w:r w:rsidRPr="009770E7">
      <w:rPr>
        <w:lang w:val="en-US"/>
      </w:rPr>
      <w:tab/>
    </w:r>
    <w:fldSimple w:instr=" DOCPROPERTY &quot;Header 2&quot; \* MERGEFORMAT ">
      <w:r w:rsidR="00ED54AC" w:rsidRPr="00ED54AC">
        <w:rPr>
          <w:b/>
          <w:bCs/>
          <w:lang w:val="en-US"/>
        </w:rPr>
        <w:t xml:space="preserve">Rep. </w:t>
      </w:r>
    </w:fldSimple>
    <w:r w:rsidRPr="009770E7">
      <w:rPr>
        <w:b/>
        <w:bCs/>
      </w:rPr>
      <w:t xml:space="preserve"> </w:t>
    </w:r>
    <w:r w:rsidR="00DC4C77" w:rsidRPr="00DC4C77">
      <w:rPr>
        <w:b/>
        <w:bCs/>
      </w:rPr>
      <w:fldChar w:fldCharType="begin"/>
    </w:r>
    <w:r w:rsidRPr="009770E7">
      <w:rPr>
        <w:b/>
        <w:bCs/>
        <w:lang w:val="en-US"/>
      </w:rPr>
      <w:instrText>styleref href</w:instrText>
    </w:r>
    <w:r w:rsidR="00DC4C77" w:rsidRPr="00DC4C77">
      <w:rPr>
        <w:b/>
        <w:bCs/>
      </w:rPr>
      <w:fldChar w:fldCharType="separate"/>
    </w:r>
    <w:r w:rsidR="003B6E9A">
      <w:rPr>
        <w:b/>
        <w:bCs/>
        <w:noProof/>
      </w:rPr>
      <w:t>ITU-R  SA.2192</w:t>
    </w:r>
    <w:r w:rsidR="00DC4C77" w:rsidRPr="009770E7">
      <w:fldChar w:fldCharType="end"/>
    </w:r>
    <w:r w:rsidRPr="009770E7">
      <w:tab/>
    </w:r>
    <w:r w:rsidR="00DC4C77" w:rsidRPr="00DC4C77">
      <w:rPr>
        <w:b/>
        <w:bCs/>
      </w:rPr>
      <w:fldChar w:fldCharType="begin"/>
    </w:r>
    <w:r w:rsidRPr="009770E7">
      <w:rPr>
        <w:b/>
        <w:bCs/>
        <w:lang w:val="en-US"/>
      </w:rPr>
      <w:instrText xml:space="preserve"> PAGE </w:instrText>
    </w:r>
    <w:r w:rsidR="00DC4C77" w:rsidRPr="00DC4C77">
      <w:rPr>
        <w:b/>
        <w:bCs/>
      </w:rPr>
      <w:fldChar w:fldCharType="separate"/>
    </w:r>
    <w:r w:rsidR="003B6E9A">
      <w:rPr>
        <w:b/>
        <w:bCs/>
        <w:noProof/>
        <w:lang w:val="en-US"/>
      </w:rPr>
      <w:t>75</w:t>
    </w:r>
    <w:r w:rsidR="00DC4C77" w:rsidRPr="009770E7">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34817">
      <o:colormru v:ext="edit" colors="#d62a47"/>
      <o:colormenu v:ext="edit" strokecolor="#d62a47"/>
    </o:shapedefaults>
  </w:hdrShapeDefaults>
  <w:footnotePr>
    <w:footnote w:id="-1"/>
    <w:footnote w:id="0"/>
  </w:footnotePr>
  <w:endnotePr>
    <w:endnote w:id="-1"/>
    <w:endnote w:id="0"/>
  </w:endnotePr>
  <w:compat/>
  <w:rsids>
    <w:rsidRoot w:val="00934ED7"/>
    <w:rsid w:val="00002AA5"/>
    <w:rsid w:val="00013002"/>
    <w:rsid w:val="00023E30"/>
    <w:rsid w:val="00026779"/>
    <w:rsid w:val="00050D41"/>
    <w:rsid w:val="00072484"/>
    <w:rsid w:val="00081C0B"/>
    <w:rsid w:val="0009150E"/>
    <w:rsid w:val="00096612"/>
    <w:rsid w:val="000B7683"/>
    <w:rsid w:val="000B7B53"/>
    <w:rsid w:val="000C0413"/>
    <w:rsid w:val="000C3624"/>
    <w:rsid w:val="000E4FD1"/>
    <w:rsid w:val="000F3C25"/>
    <w:rsid w:val="000F452F"/>
    <w:rsid w:val="000F6FC4"/>
    <w:rsid w:val="00102934"/>
    <w:rsid w:val="0011388F"/>
    <w:rsid w:val="00114FBB"/>
    <w:rsid w:val="00147110"/>
    <w:rsid w:val="00192341"/>
    <w:rsid w:val="001A5259"/>
    <w:rsid w:val="001B622A"/>
    <w:rsid w:val="001C70F6"/>
    <w:rsid w:val="00201545"/>
    <w:rsid w:val="002058CE"/>
    <w:rsid w:val="00205EEB"/>
    <w:rsid w:val="002165F1"/>
    <w:rsid w:val="00247681"/>
    <w:rsid w:val="002558DC"/>
    <w:rsid w:val="00267ED8"/>
    <w:rsid w:val="00276D21"/>
    <w:rsid w:val="00280CD5"/>
    <w:rsid w:val="00296D7F"/>
    <w:rsid w:val="00297D43"/>
    <w:rsid w:val="002B32C9"/>
    <w:rsid w:val="002B3CF6"/>
    <w:rsid w:val="002B45AE"/>
    <w:rsid w:val="002C768A"/>
    <w:rsid w:val="002D1160"/>
    <w:rsid w:val="002D76C4"/>
    <w:rsid w:val="002D77AF"/>
    <w:rsid w:val="003071EA"/>
    <w:rsid w:val="00351573"/>
    <w:rsid w:val="003571CE"/>
    <w:rsid w:val="00357282"/>
    <w:rsid w:val="00362ED1"/>
    <w:rsid w:val="00377D55"/>
    <w:rsid w:val="00382E8A"/>
    <w:rsid w:val="003B4EE8"/>
    <w:rsid w:val="003B6E9A"/>
    <w:rsid w:val="003F2B1B"/>
    <w:rsid w:val="004056F5"/>
    <w:rsid w:val="00420DFD"/>
    <w:rsid w:val="00420EA0"/>
    <w:rsid w:val="004319C1"/>
    <w:rsid w:val="00440D7C"/>
    <w:rsid w:val="00470E28"/>
    <w:rsid w:val="004720FC"/>
    <w:rsid w:val="00472456"/>
    <w:rsid w:val="004934C5"/>
    <w:rsid w:val="004B57AE"/>
    <w:rsid w:val="004D108E"/>
    <w:rsid w:val="004D4936"/>
    <w:rsid w:val="00501A83"/>
    <w:rsid w:val="00505FB4"/>
    <w:rsid w:val="00526063"/>
    <w:rsid w:val="00531521"/>
    <w:rsid w:val="00537443"/>
    <w:rsid w:val="00556548"/>
    <w:rsid w:val="005600C9"/>
    <w:rsid w:val="00586EF8"/>
    <w:rsid w:val="005A791E"/>
    <w:rsid w:val="005B49AB"/>
    <w:rsid w:val="005B50E7"/>
    <w:rsid w:val="005C47FE"/>
    <w:rsid w:val="005D3544"/>
    <w:rsid w:val="005E7B4F"/>
    <w:rsid w:val="00606A81"/>
    <w:rsid w:val="00607D68"/>
    <w:rsid w:val="006119E4"/>
    <w:rsid w:val="006149B1"/>
    <w:rsid w:val="00667E1B"/>
    <w:rsid w:val="00680D2B"/>
    <w:rsid w:val="00681B32"/>
    <w:rsid w:val="006A1F02"/>
    <w:rsid w:val="006E2037"/>
    <w:rsid w:val="006E5757"/>
    <w:rsid w:val="006F2B77"/>
    <w:rsid w:val="00712870"/>
    <w:rsid w:val="00720C6D"/>
    <w:rsid w:val="00743D85"/>
    <w:rsid w:val="0074518F"/>
    <w:rsid w:val="00752FD3"/>
    <w:rsid w:val="00753CF4"/>
    <w:rsid w:val="007565CC"/>
    <w:rsid w:val="00763B9A"/>
    <w:rsid w:val="00791E9A"/>
    <w:rsid w:val="007A4F79"/>
    <w:rsid w:val="007A6AA8"/>
    <w:rsid w:val="007B203C"/>
    <w:rsid w:val="007C2459"/>
    <w:rsid w:val="007D1EF7"/>
    <w:rsid w:val="00811FBD"/>
    <w:rsid w:val="008310C9"/>
    <w:rsid w:val="008323DF"/>
    <w:rsid w:val="00836298"/>
    <w:rsid w:val="00852A34"/>
    <w:rsid w:val="00870342"/>
    <w:rsid w:val="0087251C"/>
    <w:rsid w:val="008815AC"/>
    <w:rsid w:val="008B2CC6"/>
    <w:rsid w:val="008C7848"/>
    <w:rsid w:val="008D3D8D"/>
    <w:rsid w:val="008F19BD"/>
    <w:rsid w:val="009030CC"/>
    <w:rsid w:val="0091532E"/>
    <w:rsid w:val="00917AF2"/>
    <w:rsid w:val="0092418A"/>
    <w:rsid w:val="00934ED7"/>
    <w:rsid w:val="009474D9"/>
    <w:rsid w:val="009543C3"/>
    <w:rsid w:val="00964994"/>
    <w:rsid w:val="00966E1B"/>
    <w:rsid w:val="00972367"/>
    <w:rsid w:val="009732F6"/>
    <w:rsid w:val="009770E7"/>
    <w:rsid w:val="009872B6"/>
    <w:rsid w:val="009A351D"/>
    <w:rsid w:val="009C3D6C"/>
    <w:rsid w:val="009D5E0B"/>
    <w:rsid w:val="009F2D2C"/>
    <w:rsid w:val="00A47FF8"/>
    <w:rsid w:val="00A54559"/>
    <w:rsid w:val="00A545B8"/>
    <w:rsid w:val="00A6617B"/>
    <w:rsid w:val="00A6716A"/>
    <w:rsid w:val="00A71FE5"/>
    <w:rsid w:val="00A731D2"/>
    <w:rsid w:val="00AA2BE3"/>
    <w:rsid w:val="00AA3AD8"/>
    <w:rsid w:val="00AB0DC8"/>
    <w:rsid w:val="00AC3946"/>
    <w:rsid w:val="00AD26B8"/>
    <w:rsid w:val="00B033C8"/>
    <w:rsid w:val="00B036D9"/>
    <w:rsid w:val="00B257C1"/>
    <w:rsid w:val="00B33425"/>
    <w:rsid w:val="00B4321F"/>
    <w:rsid w:val="00B44E24"/>
    <w:rsid w:val="00B47809"/>
    <w:rsid w:val="00B54ECC"/>
    <w:rsid w:val="00B567BC"/>
    <w:rsid w:val="00B61918"/>
    <w:rsid w:val="00B714F3"/>
    <w:rsid w:val="00B75A37"/>
    <w:rsid w:val="00B94387"/>
    <w:rsid w:val="00BC5D77"/>
    <w:rsid w:val="00BC6FC2"/>
    <w:rsid w:val="00BD064A"/>
    <w:rsid w:val="00BD3F5C"/>
    <w:rsid w:val="00BE5B84"/>
    <w:rsid w:val="00BF15C3"/>
    <w:rsid w:val="00BF3546"/>
    <w:rsid w:val="00BF3C71"/>
    <w:rsid w:val="00BF487A"/>
    <w:rsid w:val="00C114A7"/>
    <w:rsid w:val="00C364DC"/>
    <w:rsid w:val="00C46BD9"/>
    <w:rsid w:val="00C55258"/>
    <w:rsid w:val="00C728FC"/>
    <w:rsid w:val="00C73560"/>
    <w:rsid w:val="00C7761D"/>
    <w:rsid w:val="00C77A45"/>
    <w:rsid w:val="00C93B65"/>
    <w:rsid w:val="00CA7678"/>
    <w:rsid w:val="00CB0F14"/>
    <w:rsid w:val="00CB1116"/>
    <w:rsid w:val="00CB47A0"/>
    <w:rsid w:val="00CB60A4"/>
    <w:rsid w:val="00CD58B5"/>
    <w:rsid w:val="00CD659B"/>
    <w:rsid w:val="00CD7A62"/>
    <w:rsid w:val="00CE72D7"/>
    <w:rsid w:val="00CF0D45"/>
    <w:rsid w:val="00CF34B5"/>
    <w:rsid w:val="00D0034D"/>
    <w:rsid w:val="00D069F2"/>
    <w:rsid w:val="00D10CF1"/>
    <w:rsid w:val="00D503C9"/>
    <w:rsid w:val="00D50B43"/>
    <w:rsid w:val="00D55B55"/>
    <w:rsid w:val="00D57367"/>
    <w:rsid w:val="00D722EF"/>
    <w:rsid w:val="00D73FBE"/>
    <w:rsid w:val="00D8150A"/>
    <w:rsid w:val="00D83331"/>
    <w:rsid w:val="00D91F7F"/>
    <w:rsid w:val="00DB2677"/>
    <w:rsid w:val="00DB4F6A"/>
    <w:rsid w:val="00DC4C77"/>
    <w:rsid w:val="00DF087C"/>
    <w:rsid w:val="00DF4176"/>
    <w:rsid w:val="00E17240"/>
    <w:rsid w:val="00E1785F"/>
    <w:rsid w:val="00E42C9C"/>
    <w:rsid w:val="00E72429"/>
    <w:rsid w:val="00E7610E"/>
    <w:rsid w:val="00E83CDE"/>
    <w:rsid w:val="00E84492"/>
    <w:rsid w:val="00EB0992"/>
    <w:rsid w:val="00EC61F5"/>
    <w:rsid w:val="00ED54AC"/>
    <w:rsid w:val="00ED683F"/>
    <w:rsid w:val="00EF1E72"/>
    <w:rsid w:val="00F103A9"/>
    <w:rsid w:val="00F20231"/>
    <w:rsid w:val="00F30C9B"/>
    <w:rsid w:val="00F32303"/>
    <w:rsid w:val="00F354B1"/>
    <w:rsid w:val="00F545E6"/>
    <w:rsid w:val="00F72869"/>
    <w:rsid w:val="00F77437"/>
    <w:rsid w:val="00F9071F"/>
    <w:rsid w:val="00F90896"/>
    <w:rsid w:val="00F9736D"/>
    <w:rsid w:val="00FB0E4E"/>
    <w:rsid w:val="00FC1178"/>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4817">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99" w:unhideWhenUsed="1" w:qFormat="1"/>
    <w:lsdException w:name="table of figures" w:uiPriority="99"/>
    <w:lsdException w:name="annotation reference" w:uiPriority="99"/>
    <w:lsdException w:name="line number" w:uiPriority="99"/>
    <w:lsdException w:name="endnote reference" w:uiPriority="99"/>
    <w:lsdException w:name="endnote text" w:uiPriority="99"/>
    <w:lsdException w:name="List" w:uiPriority="99"/>
    <w:lsdException w:name="List 2" w:uiPriority="99"/>
    <w:lsdException w:name="List Bullet 5" w:uiPriority="99"/>
    <w:lsdException w:name="Title" w:uiPriority="99" w:qFormat="1"/>
    <w:lsdException w:name="Default Paragraph Font" w:uiPriority="1"/>
    <w:lsdException w:name="Body Text" w:uiPriority="99"/>
    <w:lsdException w:name="Body Text Indent" w:uiPriority="99"/>
    <w:lsdException w:name="Subtitle" w:qFormat="1"/>
    <w:lsdException w:name="Date" w:uiPriority="99"/>
    <w:lsdException w:name="Body Text First Indent" w:uiPriority="99"/>
    <w:lsdException w:name="Body Text 2" w:uiPriority="99"/>
    <w:lsdException w:name="Body Text 3"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HTML Acronym" w:uiPriority="99"/>
    <w:lsdException w:name="HTML Definition" w:uiPriority="99"/>
    <w:lsdException w:name="annotation subject" w:uiPriority="99"/>
    <w:lsdException w:name="No List" w:uiPriority="99"/>
    <w:lsdException w:name="Table Classic 1"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19234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92341"/>
    <w:pPr>
      <w:keepNext/>
      <w:keepLines/>
      <w:spacing w:before="480"/>
      <w:ind w:left="794" w:hanging="794"/>
      <w:outlineLvl w:val="0"/>
    </w:pPr>
    <w:rPr>
      <w:b/>
    </w:rPr>
  </w:style>
  <w:style w:type="paragraph" w:styleId="Heading2">
    <w:name w:val="heading 2"/>
    <w:basedOn w:val="Heading1"/>
    <w:next w:val="Normal"/>
    <w:link w:val="Heading2Char"/>
    <w:qFormat/>
    <w:rsid w:val="00192341"/>
    <w:pPr>
      <w:spacing w:before="320"/>
      <w:outlineLvl w:val="1"/>
    </w:pPr>
  </w:style>
  <w:style w:type="paragraph" w:styleId="Heading3">
    <w:name w:val="heading 3"/>
    <w:basedOn w:val="Heading1"/>
    <w:next w:val="Normal"/>
    <w:link w:val="Heading3Char"/>
    <w:qFormat/>
    <w:rsid w:val="00192341"/>
    <w:pPr>
      <w:spacing w:before="200"/>
      <w:outlineLvl w:val="2"/>
    </w:pPr>
  </w:style>
  <w:style w:type="paragraph" w:styleId="Heading4">
    <w:name w:val="heading 4"/>
    <w:basedOn w:val="Heading3"/>
    <w:next w:val="Normal"/>
    <w:link w:val="Heading4Char"/>
    <w:qFormat/>
    <w:rsid w:val="00192341"/>
    <w:pPr>
      <w:tabs>
        <w:tab w:val="clear" w:pos="794"/>
        <w:tab w:val="left" w:pos="992"/>
      </w:tabs>
      <w:ind w:left="992" w:hanging="992"/>
      <w:outlineLvl w:val="3"/>
    </w:pPr>
  </w:style>
  <w:style w:type="paragraph" w:styleId="Heading5">
    <w:name w:val="heading 5"/>
    <w:basedOn w:val="Heading4"/>
    <w:next w:val="Normal"/>
    <w:link w:val="Heading5Char"/>
    <w:qFormat/>
    <w:rsid w:val="00192341"/>
    <w:pPr>
      <w:outlineLvl w:val="4"/>
    </w:pPr>
  </w:style>
  <w:style w:type="paragraph" w:styleId="Heading6">
    <w:name w:val="heading 6"/>
    <w:basedOn w:val="Heading4"/>
    <w:next w:val="Normal"/>
    <w:link w:val="Heading6Char"/>
    <w:qFormat/>
    <w:rsid w:val="00192341"/>
    <w:pPr>
      <w:tabs>
        <w:tab w:val="clear" w:pos="992"/>
        <w:tab w:val="clear" w:pos="1191"/>
      </w:tabs>
      <w:ind w:left="1588" w:hanging="1588"/>
      <w:outlineLvl w:val="5"/>
    </w:pPr>
  </w:style>
  <w:style w:type="paragraph" w:styleId="Heading7">
    <w:name w:val="heading 7"/>
    <w:basedOn w:val="Heading6"/>
    <w:next w:val="Normal"/>
    <w:link w:val="Heading7Char"/>
    <w:qFormat/>
    <w:rsid w:val="00192341"/>
    <w:pPr>
      <w:outlineLvl w:val="6"/>
    </w:pPr>
  </w:style>
  <w:style w:type="paragraph" w:styleId="Heading8">
    <w:name w:val="heading 8"/>
    <w:basedOn w:val="Heading6"/>
    <w:next w:val="Normal"/>
    <w:link w:val="Heading8Char"/>
    <w:qFormat/>
    <w:rsid w:val="00192341"/>
    <w:pPr>
      <w:outlineLvl w:val="7"/>
    </w:pPr>
  </w:style>
  <w:style w:type="paragraph" w:styleId="Heading9">
    <w:name w:val="heading 9"/>
    <w:basedOn w:val="Heading6"/>
    <w:next w:val="Normal"/>
    <w:link w:val="Heading9Char"/>
    <w:qFormat/>
    <w:rsid w:val="0019234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A2BE3"/>
    <w:rPr>
      <w:b/>
      <w:sz w:val="24"/>
      <w:lang w:val="fr-FR" w:eastAsia="en-US"/>
    </w:rPr>
  </w:style>
  <w:style w:type="character" w:customStyle="1" w:styleId="Heading2Char">
    <w:name w:val="Heading 2 Char"/>
    <w:basedOn w:val="DefaultParagraphFont"/>
    <w:link w:val="Heading2"/>
    <w:locked/>
    <w:rsid w:val="00AA2BE3"/>
    <w:rPr>
      <w:b/>
      <w:sz w:val="24"/>
      <w:lang w:val="fr-FR" w:eastAsia="en-US"/>
    </w:rPr>
  </w:style>
  <w:style w:type="character" w:customStyle="1" w:styleId="Heading3Char">
    <w:name w:val="Heading 3 Char"/>
    <w:basedOn w:val="DefaultParagraphFont"/>
    <w:link w:val="Heading3"/>
    <w:locked/>
    <w:rsid w:val="00AA2BE3"/>
    <w:rPr>
      <w:b/>
      <w:sz w:val="24"/>
      <w:lang w:val="fr-FR" w:eastAsia="en-US"/>
    </w:rPr>
  </w:style>
  <w:style w:type="character" w:customStyle="1" w:styleId="Heading4Char">
    <w:name w:val="Heading 4 Char"/>
    <w:basedOn w:val="DefaultParagraphFont"/>
    <w:link w:val="Heading4"/>
    <w:locked/>
    <w:rsid w:val="00AA2BE3"/>
    <w:rPr>
      <w:b/>
      <w:sz w:val="24"/>
      <w:lang w:val="fr-FR" w:eastAsia="en-US"/>
    </w:rPr>
  </w:style>
  <w:style w:type="character" w:customStyle="1" w:styleId="Heading5Char">
    <w:name w:val="Heading 5 Char"/>
    <w:basedOn w:val="DefaultParagraphFont"/>
    <w:link w:val="Heading5"/>
    <w:locked/>
    <w:rsid w:val="00AA2BE3"/>
    <w:rPr>
      <w:b/>
      <w:sz w:val="24"/>
      <w:lang w:val="fr-FR" w:eastAsia="en-US"/>
    </w:rPr>
  </w:style>
  <w:style w:type="character" w:customStyle="1" w:styleId="Heading6Char">
    <w:name w:val="Heading 6 Char"/>
    <w:basedOn w:val="DefaultParagraphFont"/>
    <w:link w:val="Heading6"/>
    <w:locked/>
    <w:rsid w:val="00AA2BE3"/>
    <w:rPr>
      <w:b/>
      <w:sz w:val="24"/>
      <w:lang w:val="fr-FR" w:eastAsia="en-US"/>
    </w:rPr>
  </w:style>
  <w:style w:type="character" w:customStyle="1" w:styleId="Heading7Char">
    <w:name w:val="Heading 7 Char"/>
    <w:basedOn w:val="DefaultParagraphFont"/>
    <w:link w:val="Heading7"/>
    <w:locked/>
    <w:rsid w:val="00AA2BE3"/>
    <w:rPr>
      <w:b/>
      <w:sz w:val="24"/>
      <w:lang w:val="fr-FR" w:eastAsia="en-US"/>
    </w:rPr>
  </w:style>
  <w:style w:type="character" w:customStyle="1" w:styleId="Heading8Char">
    <w:name w:val="Heading 8 Char"/>
    <w:basedOn w:val="DefaultParagraphFont"/>
    <w:link w:val="Heading8"/>
    <w:locked/>
    <w:rsid w:val="00AA2BE3"/>
    <w:rPr>
      <w:b/>
      <w:sz w:val="24"/>
      <w:lang w:val="fr-FR" w:eastAsia="en-US"/>
    </w:rPr>
  </w:style>
  <w:style w:type="character" w:customStyle="1" w:styleId="Heading9Char">
    <w:name w:val="Heading 9 Char"/>
    <w:basedOn w:val="DefaultParagraphFont"/>
    <w:link w:val="Heading9"/>
    <w:locked/>
    <w:rsid w:val="00AA2BE3"/>
    <w:rPr>
      <w:b/>
      <w:sz w:val="24"/>
      <w:lang w:val="fr-FR" w:eastAsia="en-US"/>
    </w:rPr>
  </w:style>
  <w:style w:type="paragraph" w:customStyle="1" w:styleId="Annexref">
    <w:name w:val="Annex_ref"/>
    <w:basedOn w:val="Normal"/>
    <w:next w:val="Normalaftertitle"/>
    <w:rsid w:val="00192341"/>
    <w:pPr>
      <w:keepNext/>
      <w:keepLines/>
      <w:spacing w:after="280"/>
      <w:jc w:val="center"/>
    </w:pPr>
  </w:style>
  <w:style w:type="paragraph" w:customStyle="1" w:styleId="Normalaftertitle">
    <w:name w:val="Normal_after_title"/>
    <w:basedOn w:val="Normal"/>
    <w:next w:val="Normal"/>
    <w:rsid w:val="00192341"/>
    <w:pPr>
      <w:spacing w:before="320"/>
    </w:pPr>
  </w:style>
  <w:style w:type="paragraph" w:customStyle="1" w:styleId="Blanc">
    <w:name w:val="Blanc"/>
    <w:basedOn w:val="Normal"/>
    <w:next w:val="Tabletext"/>
    <w:rsid w:val="00192341"/>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1923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styleId="FootnoteReference">
    <w:name w:val="footnote reference"/>
    <w:basedOn w:val="DefaultParagraphFont"/>
    <w:rsid w:val="00192341"/>
    <w:rPr>
      <w:position w:val="6"/>
      <w:sz w:val="18"/>
    </w:rPr>
  </w:style>
  <w:style w:type="paragraph" w:styleId="Footer">
    <w:name w:val="footer"/>
    <w:basedOn w:val="Normal"/>
    <w:link w:val="FooterChar"/>
    <w:rsid w:val="00192341"/>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AA2BE3"/>
    <w:rPr>
      <w:noProof/>
      <w:sz w:val="18"/>
      <w:lang w:val="fr-FR" w:eastAsia="en-US"/>
    </w:rPr>
  </w:style>
  <w:style w:type="character" w:styleId="PageNumber">
    <w:name w:val="page number"/>
    <w:basedOn w:val="DefaultParagraphFont"/>
    <w:rsid w:val="00192341"/>
  </w:style>
  <w:style w:type="paragraph" w:customStyle="1" w:styleId="Headingb">
    <w:name w:val="Heading_b"/>
    <w:basedOn w:val="Heading3"/>
    <w:next w:val="Normal"/>
    <w:link w:val="HeadingbChar"/>
    <w:rsid w:val="00192341"/>
    <w:pPr>
      <w:spacing w:before="160"/>
      <w:ind w:left="0" w:firstLine="0"/>
      <w:outlineLvl w:val="9"/>
    </w:pPr>
  </w:style>
  <w:style w:type="character" w:customStyle="1" w:styleId="HeadingbChar">
    <w:name w:val="Heading_b Char"/>
    <w:basedOn w:val="DefaultParagraphFont"/>
    <w:link w:val="Headingb"/>
    <w:locked/>
    <w:rsid w:val="00AA2BE3"/>
    <w:rPr>
      <w:b/>
      <w:sz w:val="24"/>
      <w:lang w:val="fr-FR" w:eastAsia="en-US"/>
    </w:rPr>
  </w:style>
  <w:style w:type="paragraph" w:customStyle="1" w:styleId="Headingi">
    <w:name w:val="Heading_i"/>
    <w:basedOn w:val="Heading3"/>
    <w:next w:val="Normal"/>
    <w:rsid w:val="00192341"/>
    <w:pPr>
      <w:spacing w:before="160"/>
      <w:ind w:left="0" w:firstLine="0"/>
    </w:pPr>
    <w:rPr>
      <w:b w:val="0"/>
      <w:i/>
    </w:rPr>
  </w:style>
  <w:style w:type="character" w:customStyle="1" w:styleId="href">
    <w:name w:val="href"/>
    <w:basedOn w:val="DefaultParagraphFont"/>
    <w:rsid w:val="00192341"/>
  </w:style>
  <w:style w:type="paragraph" w:customStyle="1" w:styleId="AnnexNoTitle">
    <w:name w:val="Annex_NoTitle"/>
    <w:basedOn w:val="Normal"/>
    <w:next w:val="Normalaftertitle"/>
    <w:rsid w:val="00192341"/>
    <w:pPr>
      <w:keepNext/>
      <w:keepLines/>
      <w:spacing w:before="480" w:after="80"/>
      <w:jc w:val="center"/>
    </w:pPr>
    <w:rPr>
      <w:b/>
      <w:sz w:val="28"/>
    </w:rPr>
  </w:style>
  <w:style w:type="paragraph" w:customStyle="1" w:styleId="enumlev1">
    <w:name w:val="enumlev1"/>
    <w:basedOn w:val="Normal"/>
    <w:rsid w:val="00192341"/>
    <w:pPr>
      <w:spacing w:before="80"/>
      <w:ind w:left="794" w:hanging="794"/>
    </w:pPr>
  </w:style>
  <w:style w:type="paragraph" w:customStyle="1" w:styleId="Equation">
    <w:name w:val="Equation"/>
    <w:basedOn w:val="Normal"/>
    <w:link w:val="EquationChar"/>
    <w:rsid w:val="00192341"/>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AA2BE3"/>
    <w:rPr>
      <w:sz w:val="24"/>
      <w:lang w:val="fr-FR" w:eastAsia="en-US"/>
    </w:rPr>
  </w:style>
  <w:style w:type="paragraph" w:customStyle="1" w:styleId="enumlev2">
    <w:name w:val="enumlev2"/>
    <w:basedOn w:val="enumlev1"/>
    <w:rsid w:val="00192341"/>
    <w:pPr>
      <w:ind w:left="1191" w:hanging="397"/>
    </w:pPr>
  </w:style>
  <w:style w:type="paragraph" w:styleId="FootnoteText">
    <w:name w:val="footnote text"/>
    <w:basedOn w:val="Normal"/>
    <w:link w:val="FootnoteTextChar"/>
    <w:rsid w:val="00192341"/>
    <w:pPr>
      <w:keepLines/>
      <w:tabs>
        <w:tab w:val="left" w:pos="255"/>
      </w:tabs>
      <w:ind w:left="255" w:hanging="255"/>
    </w:pPr>
    <w:rPr>
      <w:sz w:val="22"/>
    </w:rPr>
  </w:style>
  <w:style w:type="character" w:customStyle="1" w:styleId="FootnoteTextChar">
    <w:name w:val="Footnote Text Char"/>
    <w:basedOn w:val="DefaultParagraphFont"/>
    <w:link w:val="FootnoteText"/>
    <w:rsid w:val="00192341"/>
    <w:rPr>
      <w:sz w:val="22"/>
      <w:lang w:val="fr-FR" w:eastAsia="en-US"/>
    </w:rPr>
  </w:style>
  <w:style w:type="paragraph" w:customStyle="1" w:styleId="enumlev3">
    <w:name w:val="enumlev3"/>
    <w:basedOn w:val="enumlev2"/>
    <w:rsid w:val="00192341"/>
    <w:pPr>
      <w:ind w:left="1588"/>
    </w:pPr>
  </w:style>
  <w:style w:type="paragraph" w:customStyle="1" w:styleId="Note">
    <w:name w:val="Note"/>
    <w:basedOn w:val="Normal"/>
    <w:rsid w:val="0019234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9234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192341"/>
    <w:pPr>
      <w:keepNext/>
      <w:keepLines/>
      <w:spacing w:before="240"/>
      <w:jc w:val="center"/>
    </w:pPr>
    <w:rPr>
      <w:b/>
      <w:sz w:val="28"/>
    </w:rPr>
  </w:style>
  <w:style w:type="paragraph" w:customStyle="1" w:styleId="Recref">
    <w:name w:val="Rec_ref"/>
    <w:basedOn w:val="Normal"/>
    <w:next w:val="Recdate"/>
    <w:rsid w:val="00192341"/>
    <w:pPr>
      <w:jc w:val="center"/>
    </w:pPr>
  </w:style>
  <w:style w:type="paragraph" w:customStyle="1" w:styleId="Recdate">
    <w:name w:val="Rec_date"/>
    <w:basedOn w:val="Recref"/>
    <w:next w:val="Normalaftertitle"/>
    <w:rsid w:val="00192341"/>
    <w:pPr>
      <w:jc w:val="right"/>
    </w:pPr>
  </w:style>
  <w:style w:type="character" w:customStyle="1" w:styleId="RectitleChar">
    <w:name w:val="Rec_title Char"/>
    <w:basedOn w:val="DefaultParagraphFont"/>
    <w:link w:val="Rectitle"/>
    <w:locked/>
    <w:rsid w:val="00AA2BE3"/>
    <w:rPr>
      <w:b/>
      <w:sz w:val="28"/>
      <w:lang w:val="fr-FR" w:eastAsia="en-US"/>
    </w:rPr>
  </w:style>
  <w:style w:type="paragraph" w:customStyle="1" w:styleId="HeadingSum">
    <w:name w:val="Heading_Sum"/>
    <w:basedOn w:val="Headingb"/>
    <w:next w:val="Normal"/>
    <w:rsid w:val="00192341"/>
    <w:pPr>
      <w:spacing w:before="240"/>
    </w:pPr>
    <w:rPr>
      <w:sz w:val="22"/>
      <w:lang w:val="es-ES_tradnl"/>
    </w:rPr>
  </w:style>
  <w:style w:type="paragraph" w:customStyle="1" w:styleId="AppendixNoTitle">
    <w:name w:val="Appendix_NoTitle"/>
    <w:basedOn w:val="AnnexNoTitle"/>
    <w:next w:val="Normal"/>
    <w:rsid w:val="00192341"/>
  </w:style>
  <w:style w:type="paragraph" w:customStyle="1" w:styleId="Tablefin">
    <w:name w:val="Table_fin"/>
    <w:basedOn w:val="Normal"/>
    <w:next w:val="Normal"/>
    <w:rsid w:val="00192341"/>
    <w:pPr>
      <w:spacing w:before="0"/>
    </w:pPr>
    <w:rPr>
      <w:sz w:val="20"/>
      <w:lang w:val="en-GB"/>
    </w:rPr>
  </w:style>
  <w:style w:type="paragraph" w:customStyle="1" w:styleId="Tablehead">
    <w:name w:val="Table_head"/>
    <w:basedOn w:val="Normal"/>
    <w:next w:val="Normal"/>
    <w:rsid w:val="0019234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1923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locked/>
    <w:rsid w:val="00192341"/>
    <w:rPr>
      <w:sz w:val="22"/>
      <w:lang w:val="fr-FR" w:eastAsia="en-US"/>
    </w:rPr>
  </w:style>
  <w:style w:type="paragraph" w:customStyle="1" w:styleId="TableNo">
    <w:name w:val="Table_No"/>
    <w:basedOn w:val="Normal"/>
    <w:next w:val="Normal"/>
    <w:rsid w:val="00192341"/>
    <w:pPr>
      <w:keepNext/>
      <w:spacing w:before="360" w:after="120"/>
      <w:jc w:val="center"/>
    </w:pPr>
  </w:style>
  <w:style w:type="paragraph" w:customStyle="1" w:styleId="Equationlegend">
    <w:name w:val="Equation_legend"/>
    <w:basedOn w:val="NormalIndent"/>
    <w:rsid w:val="0019234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92341"/>
    <w:pPr>
      <w:ind w:left="794"/>
    </w:pPr>
  </w:style>
  <w:style w:type="paragraph" w:customStyle="1" w:styleId="Figurelegend">
    <w:name w:val="Figure_legend"/>
    <w:basedOn w:val="Normal"/>
    <w:rsid w:val="0019234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92341"/>
    <w:pPr>
      <w:keepNext/>
      <w:keepLines/>
      <w:spacing w:before="480" w:after="80"/>
      <w:jc w:val="center"/>
    </w:pPr>
    <w:rPr>
      <w:caps/>
      <w:sz w:val="18"/>
    </w:rPr>
  </w:style>
  <w:style w:type="paragraph" w:customStyle="1" w:styleId="Figuretitle">
    <w:name w:val="Figure_title"/>
    <w:basedOn w:val="Normal"/>
    <w:next w:val="Figure"/>
    <w:rsid w:val="00192341"/>
    <w:pPr>
      <w:keepNext/>
      <w:spacing w:before="0" w:after="120"/>
      <w:jc w:val="center"/>
    </w:pPr>
    <w:rPr>
      <w:rFonts w:ascii="Times New Roman Bold" w:hAnsi="Times New Roman Bold"/>
      <w:b/>
      <w:sz w:val="18"/>
    </w:rPr>
  </w:style>
  <w:style w:type="paragraph" w:customStyle="1" w:styleId="Figure">
    <w:name w:val="Figure"/>
    <w:basedOn w:val="FigureNo"/>
    <w:next w:val="Normal"/>
    <w:rsid w:val="00192341"/>
    <w:pPr>
      <w:keepNext w:val="0"/>
      <w:spacing w:before="0" w:after="240"/>
    </w:pPr>
  </w:style>
  <w:style w:type="paragraph" w:customStyle="1" w:styleId="tocpart">
    <w:name w:val="tocpart"/>
    <w:basedOn w:val="Normal"/>
    <w:rsid w:val="0019234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92341"/>
    <w:pPr>
      <w:keepNext/>
      <w:keepLines/>
      <w:spacing w:before="480"/>
      <w:jc w:val="center"/>
    </w:pPr>
    <w:rPr>
      <w:sz w:val="28"/>
    </w:rPr>
  </w:style>
  <w:style w:type="paragraph" w:customStyle="1" w:styleId="Arttitle">
    <w:name w:val="Art_title"/>
    <w:basedOn w:val="Normal"/>
    <w:next w:val="Normalaftertitle"/>
    <w:link w:val="ArttitleCar"/>
    <w:rsid w:val="00192341"/>
    <w:pPr>
      <w:keepNext/>
      <w:keepLines/>
      <w:spacing w:before="240"/>
      <w:jc w:val="center"/>
    </w:pPr>
    <w:rPr>
      <w:b/>
      <w:sz w:val="28"/>
    </w:rPr>
  </w:style>
  <w:style w:type="character" w:customStyle="1" w:styleId="ArttitleCar">
    <w:name w:val="Art_title Car"/>
    <w:basedOn w:val="DefaultParagraphFont"/>
    <w:link w:val="Arttitle"/>
    <w:locked/>
    <w:rsid w:val="00AA2BE3"/>
    <w:rPr>
      <w:b/>
      <w:sz w:val="28"/>
      <w:lang w:val="fr-FR" w:eastAsia="en-US"/>
    </w:rPr>
  </w:style>
  <w:style w:type="paragraph" w:customStyle="1" w:styleId="ASN1">
    <w:name w:val="ASN.1"/>
    <w:basedOn w:val="Normal"/>
    <w:next w:val="Normal"/>
    <w:rsid w:val="0019234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92341"/>
    <w:pPr>
      <w:keepNext/>
      <w:keepLines/>
      <w:spacing w:before="160"/>
      <w:ind w:left="794"/>
    </w:pPr>
    <w:rPr>
      <w:i/>
    </w:rPr>
  </w:style>
  <w:style w:type="character" w:customStyle="1" w:styleId="CallChar">
    <w:name w:val="Call Char"/>
    <w:basedOn w:val="DefaultParagraphFont"/>
    <w:link w:val="Call"/>
    <w:locked/>
    <w:rsid w:val="00AA2BE3"/>
    <w:rPr>
      <w:i/>
      <w:sz w:val="24"/>
      <w:lang w:val="fr-FR" w:eastAsia="en-US"/>
    </w:rPr>
  </w:style>
  <w:style w:type="paragraph" w:customStyle="1" w:styleId="ChapNo">
    <w:name w:val="Chap_No"/>
    <w:basedOn w:val="ArtNo"/>
    <w:next w:val="Chaptitle"/>
    <w:rsid w:val="00192341"/>
    <w:rPr>
      <w:b/>
    </w:rPr>
  </w:style>
  <w:style w:type="paragraph" w:customStyle="1" w:styleId="Chaptitle">
    <w:name w:val="Chap_title"/>
    <w:basedOn w:val="Arttitle"/>
    <w:next w:val="Normalaftertitle"/>
    <w:rsid w:val="00192341"/>
  </w:style>
  <w:style w:type="paragraph" w:styleId="Index1">
    <w:name w:val="index 1"/>
    <w:basedOn w:val="Normal"/>
    <w:next w:val="Normal"/>
    <w:semiHidden/>
    <w:rsid w:val="00192341"/>
  </w:style>
  <w:style w:type="paragraph" w:styleId="Index2">
    <w:name w:val="index 2"/>
    <w:basedOn w:val="Normal"/>
    <w:next w:val="Normal"/>
    <w:semiHidden/>
    <w:rsid w:val="00192341"/>
    <w:pPr>
      <w:ind w:left="283"/>
    </w:pPr>
  </w:style>
  <w:style w:type="paragraph" w:styleId="Index3">
    <w:name w:val="index 3"/>
    <w:basedOn w:val="Normal"/>
    <w:next w:val="Normal"/>
    <w:semiHidden/>
    <w:rsid w:val="00192341"/>
    <w:pPr>
      <w:ind w:left="566"/>
    </w:pPr>
  </w:style>
  <w:style w:type="paragraph" w:styleId="IndexHeading">
    <w:name w:val="index heading"/>
    <w:basedOn w:val="Normal"/>
    <w:next w:val="Index1"/>
    <w:rsid w:val="00192341"/>
  </w:style>
  <w:style w:type="paragraph" w:customStyle="1" w:styleId="Line">
    <w:name w:val="Line"/>
    <w:basedOn w:val="Normal"/>
    <w:next w:val="Normal"/>
    <w:rsid w:val="0019234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9234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D064A"/>
    <w:pPr>
      <w:jc w:val="center"/>
    </w:pPr>
    <w:rPr>
      <w:sz w:val="28"/>
    </w:rPr>
  </w:style>
  <w:style w:type="paragraph" w:customStyle="1" w:styleId="Partref">
    <w:name w:val="Part_ref"/>
    <w:basedOn w:val="Normal"/>
    <w:next w:val="Normal"/>
    <w:rsid w:val="00192341"/>
    <w:pPr>
      <w:keepNext/>
      <w:keepLines/>
      <w:spacing w:after="280"/>
      <w:jc w:val="center"/>
    </w:pPr>
  </w:style>
  <w:style w:type="paragraph" w:customStyle="1" w:styleId="Parttitle">
    <w:name w:val="Part_title"/>
    <w:basedOn w:val="Normal"/>
    <w:next w:val="Normalaftertitle"/>
    <w:rsid w:val="0019234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92341"/>
  </w:style>
  <w:style w:type="paragraph" w:customStyle="1" w:styleId="QuestionNo">
    <w:name w:val="Question_No"/>
    <w:basedOn w:val="RecNo"/>
    <w:next w:val="Normal"/>
    <w:rsid w:val="00192341"/>
  </w:style>
  <w:style w:type="paragraph" w:customStyle="1" w:styleId="Questionref">
    <w:name w:val="Question_ref"/>
    <w:basedOn w:val="Recref"/>
    <w:next w:val="Questiondate"/>
    <w:rsid w:val="00192341"/>
  </w:style>
  <w:style w:type="paragraph" w:customStyle="1" w:styleId="Questiontitle">
    <w:name w:val="Question_title"/>
    <w:basedOn w:val="Normal"/>
    <w:next w:val="Questionref"/>
    <w:rsid w:val="00192341"/>
  </w:style>
  <w:style w:type="paragraph" w:customStyle="1" w:styleId="Reftext">
    <w:name w:val="Ref_text"/>
    <w:basedOn w:val="Normal"/>
    <w:rsid w:val="00192341"/>
    <w:pPr>
      <w:ind w:left="794" w:hanging="794"/>
    </w:pPr>
    <w:rPr>
      <w:sz w:val="22"/>
    </w:rPr>
  </w:style>
  <w:style w:type="paragraph" w:customStyle="1" w:styleId="Reftitle">
    <w:name w:val="Ref_title"/>
    <w:basedOn w:val="Normal"/>
    <w:next w:val="Reftext"/>
    <w:rsid w:val="0019234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92341"/>
  </w:style>
  <w:style w:type="paragraph" w:customStyle="1" w:styleId="RepNo">
    <w:name w:val="Rep_No"/>
    <w:basedOn w:val="RecNo"/>
    <w:next w:val="Reptitle"/>
    <w:rsid w:val="00192341"/>
  </w:style>
  <w:style w:type="paragraph" w:customStyle="1" w:styleId="Reptitle">
    <w:name w:val="Rep_title"/>
    <w:basedOn w:val="Rectitle"/>
    <w:next w:val="Repref"/>
    <w:rsid w:val="00192341"/>
  </w:style>
  <w:style w:type="paragraph" w:customStyle="1" w:styleId="Repref">
    <w:name w:val="Rep_ref"/>
    <w:basedOn w:val="Recref"/>
    <w:next w:val="Repdate"/>
    <w:rsid w:val="00192341"/>
  </w:style>
  <w:style w:type="paragraph" w:customStyle="1" w:styleId="Resdate">
    <w:name w:val="Res_date"/>
    <w:basedOn w:val="Recdate"/>
    <w:next w:val="Normalaftertitle"/>
    <w:rsid w:val="00192341"/>
  </w:style>
  <w:style w:type="paragraph" w:customStyle="1" w:styleId="ResNo">
    <w:name w:val="Res_No"/>
    <w:basedOn w:val="RecNo"/>
    <w:next w:val="Restitle"/>
    <w:link w:val="ResNoChar"/>
    <w:rsid w:val="00192341"/>
  </w:style>
  <w:style w:type="paragraph" w:customStyle="1" w:styleId="Restitle">
    <w:name w:val="Res_title"/>
    <w:basedOn w:val="Normal"/>
    <w:next w:val="Resref"/>
    <w:link w:val="RestitleChar"/>
    <w:rsid w:val="00192341"/>
    <w:pPr>
      <w:spacing w:before="240"/>
      <w:jc w:val="center"/>
    </w:pPr>
    <w:rPr>
      <w:b/>
      <w:sz w:val="28"/>
    </w:rPr>
  </w:style>
  <w:style w:type="paragraph" w:customStyle="1" w:styleId="Resref">
    <w:name w:val="Res_ref"/>
    <w:basedOn w:val="Recref"/>
    <w:next w:val="Resdate"/>
    <w:rsid w:val="00192341"/>
  </w:style>
  <w:style w:type="character" w:customStyle="1" w:styleId="RestitleChar">
    <w:name w:val="Res_title Char"/>
    <w:basedOn w:val="DefaultParagraphFont"/>
    <w:link w:val="Restitle"/>
    <w:locked/>
    <w:rsid w:val="00AA2BE3"/>
    <w:rPr>
      <w:b/>
      <w:sz w:val="28"/>
      <w:lang w:val="fr-FR" w:eastAsia="en-US"/>
    </w:rPr>
  </w:style>
  <w:style w:type="character" w:customStyle="1" w:styleId="ResNoChar">
    <w:name w:val="Res_No Char"/>
    <w:basedOn w:val="DefaultParagraphFont"/>
    <w:link w:val="ResNo"/>
    <w:locked/>
    <w:rsid w:val="00AA2BE3"/>
    <w:rPr>
      <w:sz w:val="28"/>
      <w:lang w:val="fr-FR" w:eastAsia="en-US"/>
    </w:rPr>
  </w:style>
  <w:style w:type="paragraph" w:customStyle="1" w:styleId="SectionNo">
    <w:name w:val="Section_No"/>
    <w:basedOn w:val="Normal"/>
    <w:next w:val="Normal"/>
    <w:rsid w:val="00192341"/>
  </w:style>
  <w:style w:type="paragraph" w:customStyle="1" w:styleId="Sectiontitle">
    <w:name w:val="Section_title"/>
    <w:basedOn w:val="Normal"/>
    <w:next w:val="Normalaftertitle"/>
    <w:rsid w:val="0019234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92341"/>
    <w:pPr>
      <w:tabs>
        <w:tab w:val="clear" w:pos="794"/>
        <w:tab w:val="clear" w:pos="1191"/>
        <w:tab w:val="clear" w:pos="1588"/>
        <w:tab w:val="clear" w:pos="1985"/>
        <w:tab w:val="right" w:pos="9611"/>
      </w:tabs>
    </w:pPr>
    <w:rPr>
      <w:i/>
    </w:rPr>
  </w:style>
  <w:style w:type="paragraph" w:styleId="TOC1">
    <w:name w:val="toc 1"/>
    <w:basedOn w:val="Normal"/>
    <w:uiPriority w:val="39"/>
    <w:rsid w:val="0019234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92341"/>
    <w:pPr>
      <w:tabs>
        <w:tab w:val="clear" w:pos="567"/>
        <w:tab w:val="left" w:pos="1276"/>
      </w:tabs>
      <w:spacing w:before="160"/>
      <w:ind w:left="1276" w:hanging="709"/>
    </w:pPr>
  </w:style>
  <w:style w:type="paragraph" w:styleId="TOC3">
    <w:name w:val="toc 3"/>
    <w:basedOn w:val="TOC2"/>
    <w:uiPriority w:val="39"/>
    <w:rsid w:val="00192341"/>
    <w:pPr>
      <w:tabs>
        <w:tab w:val="clear" w:pos="1276"/>
        <w:tab w:val="left" w:pos="2155"/>
      </w:tabs>
      <w:ind w:left="2155" w:hanging="879"/>
    </w:pPr>
  </w:style>
  <w:style w:type="paragraph" w:styleId="TOC4">
    <w:name w:val="toc 4"/>
    <w:basedOn w:val="TOC3"/>
    <w:uiPriority w:val="39"/>
    <w:rsid w:val="00192341"/>
    <w:pPr>
      <w:tabs>
        <w:tab w:val="left" w:pos="3261"/>
      </w:tabs>
      <w:spacing w:before="80"/>
      <w:ind w:left="3261" w:hanging="993"/>
    </w:pPr>
  </w:style>
  <w:style w:type="paragraph" w:styleId="TOC5">
    <w:name w:val="toc 5"/>
    <w:basedOn w:val="TOC4"/>
    <w:uiPriority w:val="39"/>
    <w:rsid w:val="00192341"/>
  </w:style>
  <w:style w:type="paragraph" w:styleId="TOC6">
    <w:name w:val="toc 6"/>
    <w:basedOn w:val="TOC4"/>
    <w:uiPriority w:val="39"/>
    <w:rsid w:val="00192341"/>
  </w:style>
  <w:style w:type="paragraph" w:styleId="TOC7">
    <w:name w:val="toc 7"/>
    <w:basedOn w:val="TOC4"/>
    <w:uiPriority w:val="39"/>
    <w:rsid w:val="00192341"/>
  </w:style>
  <w:style w:type="paragraph" w:styleId="TOC8">
    <w:name w:val="toc 8"/>
    <w:basedOn w:val="TOC4"/>
    <w:uiPriority w:val="39"/>
    <w:rsid w:val="00192341"/>
  </w:style>
  <w:style w:type="paragraph" w:customStyle="1" w:styleId="Appendixref">
    <w:name w:val="Appendix_ref"/>
    <w:basedOn w:val="Annexref"/>
    <w:next w:val="Normalaftertitle"/>
    <w:rsid w:val="00192341"/>
  </w:style>
  <w:style w:type="paragraph" w:customStyle="1" w:styleId="Tabletitle">
    <w:name w:val="Table_title"/>
    <w:basedOn w:val="Normal"/>
    <w:next w:val="Tablehead"/>
    <w:rsid w:val="00192341"/>
    <w:pPr>
      <w:keepNext/>
      <w:spacing w:before="0" w:after="120"/>
      <w:jc w:val="center"/>
    </w:pPr>
    <w:rPr>
      <w:b/>
    </w:rPr>
  </w:style>
  <w:style w:type="paragraph" w:customStyle="1" w:styleId="Summary">
    <w:name w:val="Summary"/>
    <w:basedOn w:val="Normal"/>
    <w:next w:val="Normalaftertitle"/>
    <w:rsid w:val="00192341"/>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styleId="Header">
    <w:name w:val="header"/>
    <w:basedOn w:val="Normal"/>
    <w:link w:val="HeaderChar"/>
    <w:rsid w:val="0019234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92341"/>
    <w:rPr>
      <w:sz w:val="24"/>
      <w:lang w:val="fr-FR" w:eastAsia="en-US"/>
    </w:rPr>
  </w:style>
  <w:style w:type="table" w:styleId="TableGrid">
    <w:name w:val="Table Grid"/>
    <w:basedOn w:val="TableNormal"/>
    <w:uiPriority w:val="99"/>
    <w:rsid w:val="00C364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192341"/>
    <w:pPr>
      <w:ind w:left="-85" w:firstLine="0"/>
    </w:pPr>
    <w:rPr>
      <w:lang w:val="en-US"/>
    </w:rPr>
  </w:style>
  <w:style w:type="paragraph" w:styleId="PlainText">
    <w:name w:val="Plain Text"/>
    <w:basedOn w:val="Normal"/>
    <w:link w:val="PlainTextChar"/>
    <w:uiPriority w:val="99"/>
    <w:rsid w:val="009732F6"/>
    <w:pPr>
      <w:jc w:val="left"/>
    </w:pPr>
    <w:rPr>
      <w:rFonts w:ascii="Courier New" w:hAnsi="Courier New"/>
      <w:sz w:val="20"/>
      <w:lang w:val="en-GB"/>
    </w:rPr>
  </w:style>
  <w:style w:type="character" w:customStyle="1" w:styleId="PlainTextChar">
    <w:name w:val="Plain Text Char"/>
    <w:basedOn w:val="DefaultParagraphFont"/>
    <w:link w:val="PlainText"/>
    <w:uiPriority w:val="99"/>
    <w:rsid w:val="009732F6"/>
    <w:rPr>
      <w:rFonts w:ascii="Courier New" w:hAnsi="Courier New"/>
      <w:lang w:val="en-GB" w:eastAsia="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oleObject" Target="embeddings/oleObject5.bin"/><Relationship Id="rId47" Type="http://schemas.openxmlformats.org/officeDocument/2006/relationships/image" Target="media/image33.png"/><Relationship Id="rId63" Type="http://schemas.openxmlformats.org/officeDocument/2006/relationships/image" Target="media/image42.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55.wmf"/><Relationship Id="rId7" Type="http://schemas.openxmlformats.org/officeDocument/2006/relationships/image" Target="media/image1.wmf"/><Relationship Id="rId71" Type="http://schemas.openxmlformats.org/officeDocument/2006/relationships/image" Target="media/image46.wmf"/><Relationship Id="rId92" Type="http://schemas.openxmlformats.org/officeDocument/2006/relationships/image" Target="media/image57.jpeg"/><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4.bin"/><Relationship Id="rId107" Type="http://schemas.openxmlformats.org/officeDocument/2006/relationships/fontTable" Target="fontTable.xml"/><Relationship Id="rId11" Type="http://schemas.openxmlformats.org/officeDocument/2006/relationships/hyperlink" Target="http://www.itu.int/ITU-R/go/patents/en" TargetMode="External"/><Relationship Id="rId24" Type="http://schemas.openxmlformats.org/officeDocument/2006/relationships/image" Target="media/image12.jpeg"/><Relationship Id="rId32" Type="http://schemas.openxmlformats.org/officeDocument/2006/relationships/image" Target="media/image19.emf"/><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wmf"/><Relationship Id="rId53" Type="http://schemas.openxmlformats.org/officeDocument/2006/relationships/image" Target="media/image37.wmf"/><Relationship Id="rId58" Type="http://schemas.openxmlformats.org/officeDocument/2006/relationships/oleObject" Target="embeddings/oleObject10.bin"/><Relationship Id="rId66" Type="http://schemas.openxmlformats.org/officeDocument/2006/relationships/oleObject" Target="embeddings/oleObject14.bin"/><Relationship Id="rId74" Type="http://schemas.openxmlformats.org/officeDocument/2006/relationships/oleObject" Target="embeddings/oleObject18.bin"/><Relationship Id="rId79" Type="http://schemas.openxmlformats.org/officeDocument/2006/relationships/image" Target="media/image50.wmf"/><Relationship Id="rId87" Type="http://schemas.openxmlformats.org/officeDocument/2006/relationships/image" Target="media/image54.wmf"/><Relationship Id="rId102" Type="http://schemas.openxmlformats.org/officeDocument/2006/relationships/image" Target="media/image67.emf"/><Relationship Id="rId5" Type="http://schemas.openxmlformats.org/officeDocument/2006/relationships/footnotes" Target="footnotes.xml"/><Relationship Id="rId61" Type="http://schemas.openxmlformats.org/officeDocument/2006/relationships/image" Target="media/image41.wmf"/><Relationship Id="rId82" Type="http://schemas.openxmlformats.org/officeDocument/2006/relationships/oleObject" Target="embeddings/oleObject22.bin"/><Relationship Id="rId90" Type="http://schemas.openxmlformats.org/officeDocument/2006/relationships/oleObject" Target="embeddings/oleObject26.bin"/><Relationship Id="rId95" Type="http://schemas.openxmlformats.org/officeDocument/2006/relationships/image" Target="media/image60.gif"/><Relationship Id="rId19" Type="http://schemas.openxmlformats.org/officeDocument/2006/relationships/image" Target="media/image7.jpeg"/><Relationship Id="rId14" Type="http://schemas.openxmlformats.org/officeDocument/2006/relationships/image" Target="media/image4.wmf"/><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emf"/><Relationship Id="rId35" Type="http://schemas.openxmlformats.org/officeDocument/2006/relationships/image" Target="media/image22.jpeg"/><Relationship Id="rId43" Type="http://schemas.openxmlformats.org/officeDocument/2006/relationships/image" Target="media/image29.wmf"/><Relationship Id="rId48" Type="http://schemas.openxmlformats.org/officeDocument/2006/relationships/image" Target="media/image34.wmf"/><Relationship Id="rId56" Type="http://schemas.openxmlformats.org/officeDocument/2006/relationships/oleObject" Target="embeddings/oleObject9.bin"/><Relationship Id="rId64" Type="http://schemas.openxmlformats.org/officeDocument/2006/relationships/oleObject" Target="embeddings/oleObject13.bin"/><Relationship Id="rId69" Type="http://schemas.openxmlformats.org/officeDocument/2006/relationships/image" Target="media/image45.wmf"/><Relationship Id="rId77" Type="http://schemas.openxmlformats.org/officeDocument/2006/relationships/image" Target="media/image49.emf"/><Relationship Id="rId100" Type="http://schemas.openxmlformats.org/officeDocument/2006/relationships/image" Target="media/image65.jpeg"/><Relationship Id="rId105" Type="http://schemas.openxmlformats.org/officeDocument/2006/relationships/header" Target="header3.xml"/><Relationship Id="rId8" Type="http://schemas.openxmlformats.org/officeDocument/2006/relationships/oleObject" Target="embeddings/oleObject1.bin"/><Relationship Id="rId51" Type="http://schemas.openxmlformats.org/officeDocument/2006/relationships/image" Target="media/image36.wmf"/><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53.wmf"/><Relationship Id="rId93" Type="http://schemas.openxmlformats.org/officeDocument/2006/relationships/image" Target="media/image58.jpeg"/><Relationship Id="rId98" Type="http://schemas.openxmlformats.org/officeDocument/2006/relationships/image" Target="media/image63.wmf"/><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oleObject" Target="embeddings/oleObject3.bin"/><Relationship Id="rId25" Type="http://schemas.openxmlformats.org/officeDocument/2006/relationships/image" Target="media/image13.emf"/><Relationship Id="rId33" Type="http://schemas.openxmlformats.org/officeDocument/2006/relationships/image" Target="media/image20.emf"/><Relationship Id="rId38" Type="http://schemas.openxmlformats.org/officeDocument/2006/relationships/image" Target="media/image25.jpeg"/><Relationship Id="rId46" Type="http://schemas.openxmlformats.org/officeDocument/2006/relationships/image" Target="media/image32.wmf"/><Relationship Id="rId59" Type="http://schemas.openxmlformats.org/officeDocument/2006/relationships/image" Target="media/image40.wmf"/><Relationship Id="rId67" Type="http://schemas.openxmlformats.org/officeDocument/2006/relationships/image" Target="media/image44.wmf"/><Relationship Id="rId103" Type="http://schemas.openxmlformats.org/officeDocument/2006/relationships/image" Target="media/image68.emf"/><Relationship Id="rId108"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image" Target="media/image28.wmf"/><Relationship Id="rId54" Type="http://schemas.openxmlformats.org/officeDocument/2006/relationships/oleObject" Target="embeddings/oleObject8.bin"/><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48.wmf"/><Relationship Id="rId83" Type="http://schemas.openxmlformats.org/officeDocument/2006/relationships/image" Target="media/image52.wmf"/><Relationship Id="rId88" Type="http://schemas.openxmlformats.org/officeDocument/2006/relationships/oleObject" Target="embeddings/oleObject25.bin"/><Relationship Id="rId91" Type="http://schemas.openxmlformats.org/officeDocument/2006/relationships/image" Target="media/image56.gif"/><Relationship Id="rId96"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3.jpeg"/><Relationship Id="rId49" Type="http://schemas.openxmlformats.org/officeDocument/2006/relationships/image" Target="media/image35.wmf"/><Relationship Id="rId57" Type="http://schemas.openxmlformats.org/officeDocument/2006/relationships/image" Target="media/image39.wmf"/><Relationship Id="rId106" Type="http://schemas.openxmlformats.org/officeDocument/2006/relationships/header" Target="header4.xml"/><Relationship Id="rId10" Type="http://schemas.openxmlformats.org/officeDocument/2006/relationships/header" Target="header2.xml"/><Relationship Id="rId31" Type="http://schemas.openxmlformats.org/officeDocument/2006/relationships/image" Target="media/image18.emf"/><Relationship Id="rId44" Type="http://schemas.openxmlformats.org/officeDocument/2006/relationships/image" Target="media/image30.wmf"/><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image" Target="media/image43.wmf"/><Relationship Id="rId73" Type="http://schemas.openxmlformats.org/officeDocument/2006/relationships/image" Target="media/image47.wmf"/><Relationship Id="rId78" Type="http://schemas.openxmlformats.org/officeDocument/2006/relationships/oleObject" Target="embeddings/oleObject20.bin"/><Relationship Id="rId81" Type="http://schemas.openxmlformats.org/officeDocument/2006/relationships/image" Target="media/image51.wmf"/><Relationship Id="rId86" Type="http://schemas.openxmlformats.org/officeDocument/2006/relationships/oleObject" Target="embeddings/oleObject24.bin"/><Relationship Id="rId94" Type="http://schemas.openxmlformats.org/officeDocument/2006/relationships/image" Target="media/image59.jpeg"/><Relationship Id="rId99" Type="http://schemas.openxmlformats.org/officeDocument/2006/relationships/image" Target="media/image64.jpeg"/><Relationship Id="rId101" Type="http://schemas.openxmlformats.org/officeDocument/2006/relationships/image" Target="media/image66.jpe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6.emf"/><Relationship Id="rId39" Type="http://schemas.openxmlformats.org/officeDocument/2006/relationships/image" Target="media/image26.jpeg"/><Relationship Id="rId34" Type="http://schemas.openxmlformats.org/officeDocument/2006/relationships/image" Target="media/image21.emf"/><Relationship Id="rId50" Type="http://schemas.openxmlformats.org/officeDocument/2006/relationships/oleObject" Target="embeddings/oleObject6.bin"/><Relationship Id="rId55" Type="http://schemas.openxmlformats.org/officeDocument/2006/relationships/image" Target="media/image38.wmf"/><Relationship Id="rId76" Type="http://schemas.openxmlformats.org/officeDocument/2006/relationships/oleObject" Target="embeddings/oleObject19.bin"/><Relationship Id="rId97" Type="http://schemas.openxmlformats.org/officeDocument/2006/relationships/image" Target="media/image62.jpeg"/><Relationship Id="rId104" Type="http://schemas.openxmlformats.org/officeDocument/2006/relationships/hyperlink" Target="http://www.transfinite.com/content/itu3.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www.bubok.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7835D-196C-432D-96D8-109621D7A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557</TotalTime>
  <Pages>81</Pages>
  <Words>20172</Words>
  <Characters>106623</Characters>
  <Application>Microsoft Office Word</Application>
  <DocSecurity>0</DocSecurity>
  <Lines>888</Lines>
  <Paragraphs>253</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126542</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valerian</cp:lastModifiedBy>
  <cp:revision>36</cp:revision>
  <cp:lastPrinted>2010-12-23T09:38:00Z</cp:lastPrinted>
  <dcterms:created xsi:type="dcterms:W3CDTF">2010-11-15T09:37:00Z</dcterms:created>
  <dcterms:modified xsi:type="dcterms:W3CDTF">2011-01-05T14:49:00Z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