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309293" w14:textId="77777777" w:rsidR="004E173A" w:rsidRDefault="004E173A" w:rsidP="004E173A"/>
    <w:p w14:paraId="4873C7E0" w14:textId="77777777" w:rsidR="004E173A" w:rsidRDefault="004E173A" w:rsidP="004E173A">
      <w:pPr>
        <w:tabs>
          <w:tab w:val="clear" w:pos="794"/>
          <w:tab w:val="clear" w:pos="1191"/>
          <w:tab w:val="clear" w:pos="1588"/>
          <w:tab w:val="clear" w:pos="1985"/>
        </w:tabs>
      </w:pPr>
    </w:p>
    <w:p w14:paraId="1CC7B83D" w14:textId="168921CE" w:rsidR="004E173A" w:rsidRPr="004A6FEB" w:rsidRDefault="004E173A" w:rsidP="004E173A">
      <w:pPr>
        <w:pStyle w:val="CoverNumber"/>
      </w:pPr>
      <w:r w:rsidRPr="00E97A57">
        <w:t xml:space="preserve">Report ITU-R </w:t>
      </w:r>
      <w:r>
        <w:t>S</w:t>
      </w:r>
      <w:r w:rsidRPr="00E97A57">
        <w:t>.</w:t>
      </w:r>
      <w:r w:rsidR="009C616D">
        <w:rPr>
          <w:lang w:val="en-GB"/>
        </w:rPr>
        <w:t>2565-0</w:t>
      </w:r>
    </w:p>
    <w:p w14:paraId="34F3CA29" w14:textId="555649AB" w:rsidR="004E173A" w:rsidRPr="004A6FEB" w:rsidRDefault="004E173A" w:rsidP="004E173A">
      <w:pPr>
        <w:pStyle w:val="CoverDate"/>
      </w:pPr>
      <w:r w:rsidRPr="004A6FEB">
        <w:t>(</w:t>
      </w:r>
      <w:r w:rsidR="009C616D">
        <w:t>11</w:t>
      </w:r>
      <w:r w:rsidRPr="004A6FEB">
        <w:t>/</w:t>
      </w:r>
      <w:r w:rsidR="009C616D">
        <w:t>2025</w:t>
      </w:r>
      <w:r w:rsidRPr="004A6FEB">
        <w:t>)</w:t>
      </w:r>
    </w:p>
    <w:p w14:paraId="079F641C" w14:textId="61F021CD" w:rsidR="004E173A" w:rsidRPr="004A6FEB" w:rsidRDefault="004E173A" w:rsidP="004E173A">
      <w:pPr>
        <w:pStyle w:val="CoverSeries"/>
      </w:pPr>
      <w:r>
        <w:t>S</w:t>
      </w:r>
      <w:r w:rsidRPr="00E97A57">
        <w:t xml:space="preserve"> Series: </w:t>
      </w:r>
      <w:r w:rsidRPr="00971106">
        <w:rPr>
          <w:bCs w:val="0"/>
          <w:iCs/>
          <w:lang w:val="en-GB"/>
        </w:rPr>
        <w:t>Fixed</w:t>
      </w:r>
      <w:r w:rsidR="00A43A79">
        <w:rPr>
          <w:bCs w:val="0"/>
          <w:iCs/>
          <w:lang w:val="en-GB"/>
        </w:rPr>
        <w:t>-</w:t>
      </w:r>
      <w:r w:rsidRPr="00971106">
        <w:rPr>
          <w:bCs w:val="0"/>
          <w:iCs/>
          <w:lang w:val="en-GB"/>
        </w:rPr>
        <w:t>satellite service</w:t>
      </w:r>
    </w:p>
    <w:p w14:paraId="08D03827" w14:textId="18B88814" w:rsidR="004E173A" w:rsidRPr="004A6FEB" w:rsidRDefault="004E173A" w:rsidP="004E173A">
      <w:pPr>
        <w:pStyle w:val="CoverTitle"/>
      </w:pPr>
      <w:r w:rsidRPr="004E173A">
        <w:rPr>
          <w:lang w:val="en-GB"/>
        </w:rPr>
        <w:t>Simulation results of fuselage attenuation for Aeronautical Earth Stations In Motion (A-ESIM) in the 27.5</w:t>
      </w:r>
      <w:r w:rsidR="0087440C">
        <w:rPr>
          <w:lang w:val="en-GB"/>
        </w:rPr>
        <w:noBreakHyphen/>
      </w:r>
      <w:r w:rsidRPr="004E173A">
        <w:rPr>
          <w:lang w:val="en-GB"/>
        </w:rPr>
        <w:t>29.5 GHz band</w:t>
      </w:r>
    </w:p>
    <w:p w14:paraId="3706E990" w14:textId="77777777" w:rsidR="004E173A" w:rsidRPr="005373E0" w:rsidRDefault="004E173A" w:rsidP="004E173A">
      <w:pPr>
        <w:rPr>
          <w:lang w:val="en-US"/>
        </w:rPr>
      </w:pPr>
    </w:p>
    <w:p w14:paraId="1F3B1866" w14:textId="77777777" w:rsidR="004E173A" w:rsidRPr="005373E0" w:rsidRDefault="004E173A" w:rsidP="004E173A"/>
    <w:p w14:paraId="3923C7CA" w14:textId="77777777" w:rsidR="004E173A" w:rsidRPr="005373E0" w:rsidRDefault="004E173A" w:rsidP="004E173A">
      <w:pPr>
        <w:sectPr w:rsidR="004E173A" w:rsidRPr="005373E0" w:rsidSect="004E173A">
          <w:headerReference w:type="even" r:id="rId6"/>
          <w:headerReference w:type="default" r:id="rId7"/>
          <w:footerReference w:type="default" r:id="rId8"/>
          <w:pgSz w:w="11907" w:h="16840" w:code="9"/>
          <w:pgMar w:top="1089" w:right="1089" w:bottom="284" w:left="1089" w:header="737" w:footer="284" w:gutter="0"/>
          <w:pgNumType w:start="1"/>
          <w:cols w:space="720"/>
          <w:docGrid w:linePitch="326"/>
        </w:sectPr>
      </w:pPr>
    </w:p>
    <w:p w14:paraId="2CB455D8" w14:textId="77777777" w:rsidR="004E173A" w:rsidRDefault="004E173A" w:rsidP="004E173A">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1D4E018F" w14:textId="77777777" w:rsidR="004E173A" w:rsidRDefault="004E173A" w:rsidP="004E173A">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549E865E" w14:textId="77777777" w:rsidR="004E173A" w:rsidRDefault="004E173A" w:rsidP="004E173A">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0959F8F" w14:textId="77777777" w:rsidR="004E173A" w:rsidRDefault="004E173A" w:rsidP="004E173A">
      <w:pPr>
        <w:pStyle w:val="Heading1"/>
        <w:spacing w:before="400"/>
        <w:jc w:val="center"/>
        <w:rPr>
          <w:szCs w:val="24"/>
          <w:lang w:val="en-US"/>
        </w:rPr>
      </w:pPr>
    </w:p>
    <w:p w14:paraId="671721DD" w14:textId="77777777" w:rsidR="004E173A" w:rsidRDefault="004E173A" w:rsidP="004E173A">
      <w:pPr>
        <w:pStyle w:val="Heading1"/>
        <w:spacing w:before="540"/>
        <w:jc w:val="center"/>
        <w:rPr>
          <w:szCs w:val="24"/>
          <w:lang w:val="en-US"/>
        </w:rPr>
      </w:pPr>
      <w:r>
        <w:rPr>
          <w:szCs w:val="24"/>
          <w:lang w:val="en-US"/>
        </w:rPr>
        <w:t>Policy on Intellectual Property Right (IPR)</w:t>
      </w:r>
    </w:p>
    <w:p w14:paraId="7D7B1138" w14:textId="77777777" w:rsidR="004E173A" w:rsidRDefault="004E173A" w:rsidP="004E173A">
      <w:pPr>
        <w:tabs>
          <w:tab w:val="left" w:pos="720"/>
        </w:tabs>
        <w:spacing w:before="240"/>
        <w:rPr>
          <w:sz w:val="20"/>
          <w:lang w:val="en-US"/>
        </w:rPr>
      </w:pPr>
      <w:r>
        <w:rPr>
          <w:sz w:val="20"/>
          <w:lang w:val="en-US"/>
        </w:rPr>
        <w:t>ITU-R policy on IPR is described in the Common Patent Policy for ITU-T/ITU-R/ISO/IEC referenced in Resolution ITU</w:t>
      </w:r>
      <w:r>
        <w:rPr>
          <w:sz w:val="20"/>
          <w:lang w:val="en-US"/>
        </w:rPr>
        <w:noBreakHyphen/>
        <w:t xml:space="preserve">R 1. Forms to be used for the submission of patent statements and licensing declarations by patent holders are available from </w:t>
      </w:r>
      <w:hyperlink r:id="rId9" w:history="1">
        <w:r w:rsidRPr="00927178">
          <w:rPr>
            <w:rStyle w:val="Hyperlink"/>
            <w:sz w:val="20"/>
            <w:lang w:val="en-US"/>
          </w:rPr>
          <w:t>https://www.itu.int/ITU-R/go/patents/en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75508DCC" w14:textId="77777777" w:rsidR="004E173A" w:rsidRDefault="004E173A" w:rsidP="004E173A">
      <w:pPr>
        <w:jc w:val="center"/>
        <w:rPr>
          <w:sz w:val="22"/>
          <w:lang w:val="en-US"/>
        </w:rPr>
      </w:pPr>
    </w:p>
    <w:p w14:paraId="2E5CC013" w14:textId="77777777" w:rsidR="004E173A" w:rsidRDefault="004E173A" w:rsidP="004E173A">
      <w:pPr>
        <w:jc w:val="center"/>
        <w:rPr>
          <w:sz w:val="22"/>
          <w:lang w:val="en-US"/>
        </w:rPr>
      </w:pPr>
    </w:p>
    <w:p w14:paraId="37416136" w14:textId="77777777" w:rsidR="004E173A" w:rsidRDefault="004E173A" w:rsidP="004E173A">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4E173A" w:rsidRPr="003C6718" w14:paraId="02F199DE" w14:textId="77777777" w:rsidTr="00E85867">
        <w:tc>
          <w:tcPr>
            <w:tcW w:w="9360" w:type="dxa"/>
            <w:gridSpan w:val="2"/>
            <w:tcBorders>
              <w:top w:val="single" w:sz="12" w:space="0" w:color="000080"/>
              <w:left w:val="single" w:sz="12" w:space="0" w:color="000080"/>
              <w:bottom w:val="nil"/>
              <w:right w:val="single" w:sz="12" w:space="0" w:color="000080"/>
            </w:tcBorders>
          </w:tcPr>
          <w:p w14:paraId="623B12F5" w14:textId="77777777" w:rsidR="004E173A" w:rsidRPr="00C7761D" w:rsidRDefault="004E173A" w:rsidP="00E85867">
            <w:pPr>
              <w:pStyle w:val="ChapNo"/>
              <w:spacing w:before="240"/>
              <w:rPr>
                <w:sz w:val="22"/>
                <w:szCs w:val="22"/>
                <w:lang w:val="en-US"/>
              </w:rPr>
            </w:pPr>
            <w:r w:rsidRPr="00C7761D">
              <w:rPr>
                <w:sz w:val="22"/>
                <w:szCs w:val="22"/>
                <w:lang w:val="en-US"/>
              </w:rPr>
              <w:t xml:space="preserve">Series of ITU-R Reports </w:t>
            </w:r>
          </w:p>
          <w:p w14:paraId="0F531FA4" w14:textId="77777777" w:rsidR="004E173A" w:rsidRDefault="004E173A" w:rsidP="00E85867">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0" w:history="1">
              <w:r>
                <w:rPr>
                  <w:rStyle w:val="Hyperlink"/>
                  <w:b w:val="0"/>
                  <w:bCs/>
                  <w:sz w:val="18"/>
                  <w:szCs w:val="18"/>
                  <w:lang w:val="en-US"/>
                </w:rPr>
                <w:t>https://www.itu.int/publ/R-REP/en</w:t>
              </w:r>
            </w:hyperlink>
            <w:r w:rsidRPr="00F103A9">
              <w:rPr>
                <w:b w:val="0"/>
                <w:sz w:val="18"/>
                <w:szCs w:val="18"/>
                <w:lang w:val="en-US"/>
              </w:rPr>
              <w:t>)</w:t>
            </w:r>
          </w:p>
        </w:tc>
      </w:tr>
      <w:tr w:rsidR="004E173A" w14:paraId="42300FA7" w14:textId="77777777" w:rsidTr="00E85867">
        <w:tc>
          <w:tcPr>
            <w:tcW w:w="1140" w:type="dxa"/>
            <w:tcBorders>
              <w:top w:val="nil"/>
              <w:left w:val="single" w:sz="12" w:space="0" w:color="000080"/>
              <w:bottom w:val="nil"/>
              <w:right w:val="nil"/>
            </w:tcBorders>
            <w:vAlign w:val="bottom"/>
          </w:tcPr>
          <w:p w14:paraId="09A89179" w14:textId="77777777" w:rsidR="004E173A" w:rsidRDefault="004E173A" w:rsidP="00E85867">
            <w:pPr>
              <w:spacing w:before="200" w:after="100"/>
              <w:ind w:left="57"/>
              <w:jc w:val="left"/>
              <w:rPr>
                <w:b/>
                <w:bCs/>
                <w:sz w:val="20"/>
                <w:lang w:val="en-US"/>
              </w:rPr>
            </w:pPr>
            <w:r>
              <w:rPr>
                <w:b/>
                <w:bCs/>
                <w:sz w:val="20"/>
                <w:lang w:val="en-US"/>
              </w:rPr>
              <w:t>Series</w:t>
            </w:r>
          </w:p>
        </w:tc>
        <w:tc>
          <w:tcPr>
            <w:tcW w:w="8220" w:type="dxa"/>
            <w:tcBorders>
              <w:top w:val="nil"/>
              <w:left w:val="nil"/>
              <w:bottom w:val="nil"/>
              <w:right w:val="single" w:sz="12" w:space="0" w:color="000080"/>
            </w:tcBorders>
            <w:vAlign w:val="bottom"/>
          </w:tcPr>
          <w:p w14:paraId="22E18ECD" w14:textId="77777777" w:rsidR="004E173A" w:rsidRDefault="004E173A" w:rsidP="00E85867">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4E173A" w14:paraId="3AD745BB" w14:textId="77777777" w:rsidTr="00E85867">
        <w:tc>
          <w:tcPr>
            <w:tcW w:w="1140" w:type="dxa"/>
            <w:tcBorders>
              <w:top w:val="nil"/>
              <w:left w:val="single" w:sz="12" w:space="0" w:color="000080"/>
              <w:bottom w:val="nil"/>
              <w:right w:val="nil"/>
            </w:tcBorders>
            <w:shd w:val="clear" w:color="auto" w:fill="FFFFFF" w:themeFill="background1"/>
          </w:tcPr>
          <w:p w14:paraId="48D5454F" w14:textId="77777777" w:rsidR="004E173A" w:rsidRPr="00BD3887" w:rsidRDefault="004E173A" w:rsidP="00E85867">
            <w:pPr>
              <w:spacing w:before="30" w:after="30"/>
              <w:ind w:left="57"/>
              <w:jc w:val="left"/>
              <w:rPr>
                <w:rFonts w:ascii="Times New Roman Bold" w:hAnsi="Times New Roman Bold" w:cs="Times New Roman Bold"/>
                <w:b/>
                <w:bCs/>
                <w:sz w:val="20"/>
                <w:lang w:val="en-US"/>
              </w:rPr>
            </w:pPr>
            <w:r w:rsidRPr="00BD388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FFFFFF" w:themeFill="background1"/>
          </w:tcPr>
          <w:p w14:paraId="38D0BC5E" w14:textId="77777777" w:rsidR="004E173A" w:rsidRPr="00BD3887" w:rsidRDefault="004E173A" w:rsidP="00E8586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887">
              <w:rPr>
                <w:b w:val="0"/>
                <w:sz w:val="20"/>
                <w:lang w:val="en-US"/>
              </w:rPr>
              <w:t>Satellite delivery</w:t>
            </w:r>
          </w:p>
        </w:tc>
      </w:tr>
      <w:tr w:rsidR="004E173A" w:rsidRPr="003C6718" w14:paraId="1D86C9FB" w14:textId="77777777" w:rsidTr="00E85867">
        <w:tc>
          <w:tcPr>
            <w:tcW w:w="1140" w:type="dxa"/>
            <w:tcBorders>
              <w:top w:val="nil"/>
              <w:left w:val="single" w:sz="12" w:space="0" w:color="000080"/>
              <w:bottom w:val="nil"/>
              <w:right w:val="nil"/>
            </w:tcBorders>
            <w:shd w:val="clear" w:color="auto" w:fill="FFFFFF" w:themeFill="background1"/>
          </w:tcPr>
          <w:p w14:paraId="6F9AD9C4" w14:textId="77777777" w:rsidR="004E173A" w:rsidRPr="00BD3887" w:rsidRDefault="004E173A" w:rsidP="00E85867">
            <w:pPr>
              <w:spacing w:before="30" w:after="30"/>
              <w:ind w:left="57"/>
              <w:jc w:val="left"/>
              <w:rPr>
                <w:b/>
                <w:bCs/>
                <w:color w:val="000080"/>
                <w:sz w:val="20"/>
                <w:lang w:val="en-US"/>
              </w:rPr>
            </w:pPr>
            <w:r w:rsidRPr="00D606E1">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FFFFFF" w:themeFill="background1"/>
          </w:tcPr>
          <w:p w14:paraId="22A1354F" w14:textId="77777777" w:rsidR="004E173A" w:rsidRPr="00BD3887" w:rsidRDefault="004E173A" w:rsidP="00E8586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lang w:val="en-US"/>
              </w:rPr>
            </w:pPr>
            <w:r w:rsidRPr="00D606E1">
              <w:rPr>
                <w:b w:val="0"/>
                <w:sz w:val="20"/>
                <w:lang w:val="en-US"/>
              </w:rPr>
              <w:t>Recording for production, archival and play-out; film for television</w:t>
            </w:r>
          </w:p>
        </w:tc>
      </w:tr>
      <w:tr w:rsidR="004E173A" w:rsidRPr="00D55B55" w14:paraId="15DC583D" w14:textId="77777777" w:rsidTr="00E85867">
        <w:tc>
          <w:tcPr>
            <w:tcW w:w="1140" w:type="dxa"/>
            <w:tcBorders>
              <w:top w:val="nil"/>
              <w:left w:val="single" w:sz="12" w:space="0" w:color="000080"/>
              <w:bottom w:val="nil"/>
              <w:right w:val="nil"/>
            </w:tcBorders>
            <w:shd w:val="clear" w:color="auto" w:fill="FFFFFF" w:themeFill="background1"/>
          </w:tcPr>
          <w:p w14:paraId="56FF5116" w14:textId="77777777" w:rsidR="004E173A" w:rsidRPr="00F06F93" w:rsidRDefault="004E173A" w:rsidP="00E85867">
            <w:pPr>
              <w:spacing w:before="30" w:after="30"/>
              <w:ind w:left="57"/>
              <w:jc w:val="left"/>
              <w:rPr>
                <w:rFonts w:ascii="Times New Roman Bold" w:hAnsi="Times New Roman Bold" w:cs="Times New Roman Bold"/>
                <w:b/>
                <w:bCs/>
                <w:sz w:val="20"/>
                <w:lang w:val="en-US"/>
              </w:rPr>
            </w:pPr>
            <w:r w:rsidRPr="00F06F93">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FFFFFF" w:themeFill="background1"/>
          </w:tcPr>
          <w:p w14:paraId="1BD6ADF5" w14:textId="77777777" w:rsidR="004E173A" w:rsidRPr="00D606E1" w:rsidRDefault="004E173A" w:rsidP="00E8586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F06F93">
              <w:rPr>
                <w:sz w:val="20"/>
                <w:lang w:val="fr-CH"/>
              </w:rPr>
              <w:t>Broadcasting service (</w:t>
            </w:r>
            <w:proofErr w:type="spellStart"/>
            <w:r w:rsidRPr="00F06F93">
              <w:rPr>
                <w:sz w:val="20"/>
                <w:lang w:val="fr-CH"/>
              </w:rPr>
              <w:t>sound</w:t>
            </w:r>
            <w:proofErr w:type="spellEnd"/>
            <w:r w:rsidRPr="00F06F93">
              <w:rPr>
                <w:sz w:val="20"/>
                <w:lang w:val="fr-CH"/>
              </w:rPr>
              <w:t>)</w:t>
            </w:r>
          </w:p>
        </w:tc>
      </w:tr>
      <w:tr w:rsidR="004E173A" w:rsidRPr="00BD3F5C" w14:paraId="4C266D2B" w14:textId="77777777" w:rsidTr="00E85867">
        <w:tc>
          <w:tcPr>
            <w:tcW w:w="1140" w:type="dxa"/>
            <w:tcBorders>
              <w:top w:val="nil"/>
              <w:left w:val="single" w:sz="12" w:space="0" w:color="000080"/>
              <w:bottom w:val="nil"/>
              <w:right w:val="nil"/>
            </w:tcBorders>
            <w:shd w:val="clear" w:color="auto" w:fill="FFFFFF" w:themeFill="background1"/>
          </w:tcPr>
          <w:p w14:paraId="4131D388" w14:textId="77777777" w:rsidR="004E173A" w:rsidRPr="000C0798" w:rsidRDefault="004E173A" w:rsidP="00E85867">
            <w:pPr>
              <w:spacing w:before="30" w:after="30"/>
              <w:ind w:left="57"/>
              <w:jc w:val="left"/>
              <w:rPr>
                <w:sz w:val="20"/>
                <w:lang w:val="fr-CH"/>
              </w:rPr>
            </w:pPr>
            <w:r w:rsidRPr="006B56A3">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FFFFFF" w:themeFill="background1"/>
          </w:tcPr>
          <w:p w14:paraId="2F8CEB2A" w14:textId="77777777" w:rsidR="004E173A" w:rsidRPr="000C0798" w:rsidRDefault="004E173A" w:rsidP="00E8586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0C0798">
              <w:rPr>
                <w:sz w:val="20"/>
                <w:lang w:val="fr-CH"/>
              </w:rPr>
              <w:t>Broadcasting service (</w:t>
            </w:r>
            <w:proofErr w:type="spellStart"/>
            <w:r w:rsidRPr="000C0798">
              <w:rPr>
                <w:sz w:val="20"/>
                <w:lang w:val="fr-CH"/>
              </w:rPr>
              <w:t>television</w:t>
            </w:r>
            <w:proofErr w:type="spellEnd"/>
            <w:r w:rsidRPr="000C0798">
              <w:rPr>
                <w:sz w:val="20"/>
                <w:lang w:val="fr-CH"/>
              </w:rPr>
              <w:t>)</w:t>
            </w:r>
          </w:p>
        </w:tc>
      </w:tr>
      <w:tr w:rsidR="004E173A" w:rsidRPr="00D069F2" w14:paraId="05847A1F" w14:textId="77777777" w:rsidTr="00E85867">
        <w:tc>
          <w:tcPr>
            <w:tcW w:w="1140" w:type="dxa"/>
            <w:tcBorders>
              <w:top w:val="nil"/>
              <w:left w:val="single" w:sz="12" w:space="0" w:color="000080"/>
              <w:bottom w:val="nil"/>
              <w:right w:val="nil"/>
            </w:tcBorders>
            <w:shd w:val="clear" w:color="auto" w:fill="FFFFFF" w:themeFill="background1"/>
          </w:tcPr>
          <w:p w14:paraId="7936EC53" w14:textId="77777777" w:rsidR="004E173A" w:rsidRPr="006B56A3" w:rsidRDefault="004E173A" w:rsidP="00E85867">
            <w:pPr>
              <w:spacing w:before="30" w:after="30"/>
              <w:ind w:left="57"/>
              <w:jc w:val="left"/>
              <w:rPr>
                <w:b/>
                <w:bCs/>
                <w:sz w:val="20"/>
                <w:lang w:val="fr-CH"/>
              </w:rPr>
            </w:pPr>
            <w:r w:rsidRPr="006B56A3">
              <w:rPr>
                <w:b/>
                <w:bCs/>
                <w:sz w:val="20"/>
                <w:lang w:val="fr-CH"/>
              </w:rPr>
              <w:t>F</w:t>
            </w:r>
          </w:p>
        </w:tc>
        <w:tc>
          <w:tcPr>
            <w:tcW w:w="8220" w:type="dxa"/>
            <w:tcBorders>
              <w:top w:val="nil"/>
              <w:left w:val="nil"/>
              <w:bottom w:val="nil"/>
              <w:right w:val="single" w:sz="12" w:space="0" w:color="000080"/>
            </w:tcBorders>
            <w:shd w:val="clear" w:color="auto" w:fill="FFFFFF" w:themeFill="background1"/>
          </w:tcPr>
          <w:p w14:paraId="4B1526F6" w14:textId="77777777" w:rsidR="004E173A" w:rsidRPr="00D069F2" w:rsidRDefault="004E173A" w:rsidP="00E8586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proofErr w:type="spellStart"/>
            <w:r w:rsidRPr="006B56A3">
              <w:rPr>
                <w:sz w:val="20"/>
                <w:lang w:val="fr-CH"/>
              </w:rPr>
              <w:t>Fixed</w:t>
            </w:r>
            <w:proofErr w:type="spellEnd"/>
            <w:r w:rsidRPr="006B56A3">
              <w:rPr>
                <w:sz w:val="20"/>
                <w:lang w:val="fr-CH"/>
              </w:rPr>
              <w:t xml:space="preserve"> service</w:t>
            </w:r>
          </w:p>
        </w:tc>
      </w:tr>
      <w:tr w:rsidR="004E173A" w:rsidRPr="008D3D8D" w14:paraId="5865DFA0" w14:textId="77777777" w:rsidTr="00E85867">
        <w:tc>
          <w:tcPr>
            <w:tcW w:w="1140" w:type="dxa"/>
            <w:tcBorders>
              <w:top w:val="nil"/>
              <w:left w:val="single" w:sz="12" w:space="0" w:color="000080"/>
              <w:bottom w:val="nil"/>
              <w:right w:val="nil"/>
            </w:tcBorders>
            <w:shd w:val="clear" w:color="auto" w:fill="FFFFFF" w:themeFill="background1"/>
          </w:tcPr>
          <w:p w14:paraId="464DA711" w14:textId="77777777" w:rsidR="004E173A" w:rsidRPr="008D3D8D" w:rsidRDefault="004E173A" w:rsidP="00E85867">
            <w:pPr>
              <w:spacing w:before="30" w:after="30"/>
              <w:ind w:left="57"/>
              <w:jc w:val="left"/>
              <w:rPr>
                <w:b/>
                <w:bCs/>
                <w:sz w:val="20"/>
                <w:lang w:val="en-US"/>
              </w:rPr>
            </w:pPr>
            <w:r w:rsidRPr="00684602">
              <w:rPr>
                <w:b/>
                <w:bCs/>
                <w:sz w:val="20"/>
                <w:lang w:val="fr-CH"/>
              </w:rPr>
              <w:t>M</w:t>
            </w:r>
          </w:p>
        </w:tc>
        <w:tc>
          <w:tcPr>
            <w:tcW w:w="8220" w:type="dxa"/>
            <w:tcBorders>
              <w:top w:val="nil"/>
              <w:left w:val="nil"/>
              <w:bottom w:val="nil"/>
              <w:right w:val="single" w:sz="12" w:space="0" w:color="000080"/>
            </w:tcBorders>
            <w:shd w:val="clear" w:color="auto" w:fill="FFFFFF" w:themeFill="background1"/>
          </w:tcPr>
          <w:p w14:paraId="2C0F0CAC" w14:textId="77777777" w:rsidR="004E173A" w:rsidRPr="008D3D8D" w:rsidRDefault="004E173A" w:rsidP="00E8586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sz w:val="20"/>
                <w:lang w:val="en-US"/>
              </w:rPr>
            </w:pPr>
            <w:r w:rsidRPr="00684602">
              <w:rPr>
                <w:sz w:val="20"/>
                <w:lang w:val="fr-CH"/>
              </w:rPr>
              <w:t xml:space="preserve">Mobile, </w:t>
            </w:r>
            <w:proofErr w:type="spellStart"/>
            <w:r w:rsidRPr="00684602">
              <w:rPr>
                <w:sz w:val="20"/>
                <w:lang w:val="fr-CH"/>
              </w:rPr>
              <w:t>radiodetermination</w:t>
            </w:r>
            <w:proofErr w:type="spellEnd"/>
            <w:r w:rsidRPr="00684602">
              <w:rPr>
                <w:sz w:val="20"/>
                <w:lang w:val="fr-CH"/>
              </w:rPr>
              <w:t xml:space="preserve">, amateur and </w:t>
            </w:r>
            <w:proofErr w:type="spellStart"/>
            <w:r w:rsidRPr="00684602">
              <w:rPr>
                <w:sz w:val="20"/>
                <w:lang w:val="fr-CH"/>
              </w:rPr>
              <w:t>related</w:t>
            </w:r>
            <w:proofErr w:type="spellEnd"/>
            <w:r w:rsidRPr="00684602">
              <w:rPr>
                <w:sz w:val="20"/>
                <w:lang w:val="fr-CH"/>
              </w:rPr>
              <w:t xml:space="preserve"> satellite services</w:t>
            </w:r>
          </w:p>
        </w:tc>
      </w:tr>
      <w:tr w:rsidR="004E173A" w:rsidRPr="002D77AF" w14:paraId="2A890390" w14:textId="77777777" w:rsidTr="00E85867">
        <w:tc>
          <w:tcPr>
            <w:tcW w:w="1140" w:type="dxa"/>
            <w:tcBorders>
              <w:top w:val="nil"/>
              <w:left w:val="single" w:sz="12" w:space="0" w:color="000080"/>
              <w:bottom w:val="nil"/>
              <w:right w:val="nil"/>
            </w:tcBorders>
            <w:shd w:val="clear" w:color="auto" w:fill="FFFFFF" w:themeFill="background1"/>
          </w:tcPr>
          <w:p w14:paraId="5740DF5B" w14:textId="77777777" w:rsidR="004E173A" w:rsidRPr="00A314E2" w:rsidRDefault="004E173A" w:rsidP="00E85867">
            <w:pPr>
              <w:spacing w:before="30" w:after="30"/>
              <w:ind w:left="57"/>
              <w:jc w:val="left"/>
              <w:rPr>
                <w:rFonts w:ascii="Times New Roman Bold" w:hAnsi="Times New Roman Bold" w:cs="Times New Roman Bold"/>
                <w:b/>
                <w:bCs/>
                <w:sz w:val="20"/>
                <w:lang w:val="en-US"/>
              </w:rPr>
            </w:pPr>
            <w:r w:rsidRPr="00A314E2">
              <w:rPr>
                <w:rFonts w:ascii="Times New Roman Bold" w:hAnsi="Times New Roman Bold" w:cs="Times New Roman Bold"/>
                <w:b/>
                <w:bCs/>
                <w:sz w:val="20"/>
                <w:lang w:val="en-US"/>
              </w:rPr>
              <w:t>P</w:t>
            </w:r>
          </w:p>
        </w:tc>
        <w:tc>
          <w:tcPr>
            <w:tcW w:w="8220" w:type="dxa"/>
            <w:tcBorders>
              <w:top w:val="nil"/>
              <w:left w:val="nil"/>
              <w:bottom w:val="nil"/>
              <w:right w:val="single" w:sz="12" w:space="0" w:color="000080"/>
            </w:tcBorders>
            <w:shd w:val="clear" w:color="auto" w:fill="FFFFFF" w:themeFill="background1"/>
          </w:tcPr>
          <w:p w14:paraId="6EC584EA" w14:textId="77777777" w:rsidR="004E173A" w:rsidRPr="00A314E2" w:rsidRDefault="004E173A" w:rsidP="00E85867">
            <w:pPr>
              <w:spacing w:before="30" w:after="30"/>
              <w:jc w:val="left"/>
              <w:rPr>
                <w:sz w:val="20"/>
                <w:lang w:val="en-US"/>
              </w:rPr>
            </w:pPr>
            <w:proofErr w:type="spellStart"/>
            <w:r w:rsidRPr="00A314E2">
              <w:rPr>
                <w:sz w:val="20"/>
                <w:lang w:val="en-US"/>
              </w:rPr>
              <w:t>Radiowave</w:t>
            </w:r>
            <w:proofErr w:type="spellEnd"/>
            <w:r w:rsidRPr="00A314E2">
              <w:rPr>
                <w:sz w:val="20"/>
                <w:lang w:val="en-US"/>
              </w:rPr>
              <w:t xml:space="preserve"> propagation</w:t>
            </w:r>
          </w:p>
        </w:tc>
      </w:tr>
      <w:tr w:rsidR="004E173A" w:rsidRPr="003B4EE8" w14:paraId="30260B16" w14:textId="77777777" w:rsidTr="00E85867">
        <w:tc>
          <w:tcPr>
            <w:tcW w:w="1140" w:type="dxa"/>
            <w:tcBorders>
              <w:top w:val="nil"/>
              <w:left w:val="single" w:sz="12" w:space="0" w:color="000080"/>
              <w:bottom w:val="nil"/>
              <w:right w:val="nil"/>
            </w:tcBorders>
            <w:shd w:val="clear" w:color="auto" w:fill="FFFFFF" w:themeFill="background1"/>
          </w:tcPr>
          <w:p w14:paraId="655A7D35" w14:textId="77777777" w:rsidR="004E173A" w:rsidRPr="00422C27" w:rsidRDefault="004E173A" w:rsidP="00E85867">
            <w:pPr>
              <w:spacing w:before="30" w:after="30"/>
              <w:ind w:left="57"/>
              <w:jc w:val="left"/>
              <w:rPr>
                <w:rFonts w:ascii="Times New Roman Bold" w:hAnsi="Times New Roman Bold" w:cs="Times New Roman Bold"/>
                <w:b/>
                <w:bCs/>
                <w:sz w:val="20"/>
                <w:lang w:val="en-US"/>
              </w:rPr>
            </w:pPr>
            <w:r w:rsidRPr="00422C27">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FFFFFF" w:themeFill="background1"/>
          </w:tcPr>
          <w:p w14:paraId="5B82488C" w14:textId="77777777" w:rsidR="004E173A" w:rsidRPr="00422C27" w:rsidRDefault="004E173A" w:rsidP="00E8586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422C27">
              <w:rPr>
                <w:sz w:val="20"/>
                <w:lang w:val="fr-CH"/>
              </w:rPr>
              <w:t xml:space="preserve">Radio </w:t>
            </w:r>
            <w:proofErr w:type="spellStart"/>
            <w:r w:rsidRPr="00422C27">
              <w:rPr>
                <w:sz w:val="20"/>
                <w:lang w:val="fr-CH"/>
              </w:rPr>
              <w:t>astronomy</w:t>
            </w:r>
            <w:proofErr w:type="spellEnd"/>
          </w:p>
        </w:tc>
      </w:tr>
      <w:tr w:rsidR="004E173A" w:rsidRPr="003B4EE8" w14:paraId="191C2A08" w14:textId="77777777" w:rsidTr="00E85867">
        <w:tc>
          <w:tcPr>
            <w:tcW w:w="1140" w:type="dxa"/>
            <w:tcBorders>
              <w:top w:val="nil"/>
              <w:left w:val="single" w:sz="12" w:space="0" w:color="000080"/>
              <w:bottom w:val="nil"/>
              <w:right w:val="nil"/>
            </w:tcBorders>
            <w:shd w:val="clear" w:color="auto" w:fill="FFFFFF" w:themeFill="background1"/>
          </w:tcPr>
          <w:p w14:paraId="3E8417DE" w14:textId="77777777" w:rsidR="004E173A" w:rsidRPr="00422C27" w:rsidRDefault="004E173A" w:rsidP="00E85867">
            <w:pPr>
              <w:spacing w:before="30" w:after="30"/>
              <w:ind w:left="57"/>
              <w:jc w:val="left"/>
              <w:rPr>
                <w:b/>
                <w:bCs/>
                <w:color w:val="000080"/>
                <w:sz w:val="20"/>
                <w:lang w:val="en-US"/>
              </w:rPr>
            </w:pPr>
            <w:r w:rsidRPr="006C5C63">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FFFFFF" w:themeFill="background1"/>
          </w:tcPr>
          <w:p w14:paraId="6C94876C" w14:textId="77777777" w:rsidR="004E173A" w:rsidRPr="00422C27" w:rsidRDefault="004E173A" w:rsidP="00E85867">
            <w:pPr>
              <w:spacing w:before="30" w:after="30"/>
              <w:jc w:val="left"/>
              <w:rPr>
                <w:b/>
                <w:bCs/>
                <w:color w:val="000080"/>
                <w:sz w:val="20"/>
                <w:lang w:val="en-US"/>
              </w:rPr>
            </w:pPr>
            <w:r w:rsidRPr="006C5C63">
              <w:rPr>
                <w:sz w:val="20"/>
                <w:lang w:val="en-US"/>
              </w:rPr>
              <w:t>Remote sensing systems</w:t>
            </w:r>
          </w:p>
        </w:tc>
      </w:tr>
      <w:tr w:rsidR="004E173A" w14:paraId="79694361" w14:textId="77777777" w:rsidTr="00E85867">
        <w:tc>
          <w:tcPr>
            <w:tcW w:w="1140" w:type="dxa"/>
            <w:tcBorders>
              <w:top w:val="nil"/>
              <w:left w:val="single" w:sz="12" w:space="0" w:color="000080"/>
              <w:bottom w:val="nil"/>
              <w:right w:val="nil"/>
            </w:tcBorders>
            <w:shd w:val="clear" w:color="auto" w:fill="D9D9D9" w:themeFill="background1" w:themeFillShade="D9"/>
          </w:tcPr>
          <w:p w14:paraId="688528AE" w14:textId="77777777" w:rsidR="004E173A" w:rsidRPr="006C5C63" w:rsidRDefault="004E173A" w:rsidP="00E85867">
            <w:pPr>
              <w:spacing w:before="30" w:after="30"/>
              <w:ind w:left="57"/>
              <w:jc w:val="left"/>
              <w:rPr>
                <w:b/>
                <w:bCs/>
                <w:color w:val="000080"/>
                <w:sz w:val="20"/>
                <w:lang w:val="en-US"/>
              </w:rPr>
            </w:pPr>
            <w:r w:rsidRPr="006C5C63">
              <w:rPr>
                <w:b/>
                <w:bCs/>
                <w:color w:val="000080"/>
                <w:sz w:val="20"/>
                <w:lang w:val="en-US"/>
              </w:rPr>
              <w:t>S</w:t>
            </w:r>
          </w:p>
        </w:tc>
        <w:tc>
          <w:tcPr>
            <w:tcW w:w="8220" w:type="dxa"/>
            <w:tcBorders>
              <w:top w:val="nil"/>
              <w:left w:val="nil"/>
              <w:bottom w:val="nil"/>
              <w:right w:val="single" w:sz="12" w:space="0" w:color="000080"/>
            </w:tcBorders>
            <w:shd w:val="clear" w:color="auto" w:fill="D9D9D9" w:themeFill="background1" w:themeFillShade="D9"/>
          </w:tcPr>
          <w:p w14:paraId="577688C1" w14:textId="77777777" w:rsidR="004E173A" w:rsidRDefault="004E173A" w:rsidP="00E8586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6C5C63">
              <w:rPr>
                <w:b/>
                <w:bCs/>
                <w:color w:val="000080"/>
                <w:sz w:val="20"/>
                <w:lang w:val="en-US"/>
              </w:rPr>
              <w:t>Fixed-satellite service</w:t>
            </w:r>
          </w:p>
        </w:tc>
      </w:tr>
      <w:tr w:rsidR="004E173A" w14:paraId="607F5B5B" w14:textId="77777777" w:rsidTr="00E85867">
        <w:tc>
          <w:tcPr>
            <w:tcW w:w="1140" w:type="dxa"/>
            <w:tcBorders>
              <w:top w:val="nil"/>
              <w:left w:val="single" w:sz="12" w:space="0" w:color="000080"/>
              <w:bottom w:val="nil"/>
              <w:right w:val="nil"/>
            </w:tcBorders>
          </w:tcPr>
          <w:p w14:paraId="564AD653" w14:textId="77777777" w:rsidR="004E173A" w:rsidRDefault="004E173A" w:rsidP="00E85867">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100D122F" w14:textId="77777777" w:rsidR="004E173A" w:rsidRDefault="004E173A" w:rsidP="00E85867">
            <w:pPr>
              <w:spacing w:before="30" w:after="30"/>
              <w:jc w:val="left"/>
              <w:rPr>
                <w:sz w:val="20"/>
                <w:lang w:val="en-US"/>
              </w:rPr>
            </w:pPr>
            <w:r>
              <w:rPr>
                <w:sz w:val="20"/>
                <w:lang w:val="en-US"/>
              </w:rPr>
              <w:t>Space applications and meteorology</w:t>
            </w:r>
          </w:p>
        </w:tc>
      </w:tr>
      <w:tr w:rsidR="004E173A" w:rsidRPr="003C6718" w14:paraId="4D61713F" w14:textId="77777777" w:rsidTr="00E85867">
        <w:tc>
          <w:tcPr>
            <w:tcW w:w="1140" w:type="dxa"/>
            <w:tcBorders>
              <w:top w:val="nil"/>
              <w:left w:val="single" w:sz="12" w:space="0" w:color="000080"/>
              <w:bottom w:val="nil"/>
              <w:right w:val="nil"/>
            </w:tcBorders>
          </w:tcPr>
          <w:p w14:paraId="10E09A70" w14:textId="77777777" w:rsidR="004E173A" w:rsidRDefault="004E173A" w:rsidP="00E85867">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13916F24" w14:textId="77777777" w:rsidR="004E173A" w:rsidRDefault="004E173A" w:rsidP="00E85867">
            <w:pPr>
              <w:spacing w:before="30" w:after="30"/>
              <w:jc w:val="left"/>
              <w:rPr>
                <w:sz w:val="20"/>
                <w:lang w:val="en-US"/>
              </w:rPr>
            </w:pPr>
            <w:r>
              <w:rPr>
                <w:sz w:val="20"/>
                <w:lang w:val="en-US"/>
              </w:rPr>
              <w:t>Frequency sharing and coordination between fixed-satellite and fixed service systems</w:t>
            </w:r>
          </w:p>
        </w:tc>
      </w:tr>
      <w:tr w:rsidR="004E173A" w:rsidRPr="003C6718" w14:paraId="3DCD14C9" w14:textId="77777777" w:rsidTr="00E85867">
        <w:tc>
          <w:tcPr>
            <w:tcW w:w="1140" w:type="dxa"/>
            <w:tcBorders>
              <w:top w:val="nil"/>
              <w:left w:val="single" w:sz="12" w:space="0" w:color="000080"/>
              <w:bottom w:val="nil"/>
              <w:right w:val="nil"/>
            </w:tcBorders>
          </w:tcPr>
          <w:p w14:paraId="2E426E6E" w14:textId="77777777" w:rsidR="004E173A" w:rsidRDefault="004E173A" w:rsidP="00E85867">
            <w:pPr>
              <w:spacing w:before="30" w:after="30"/>
              <w:ind w:left="57"/>
              <w:jc w:val="left"/>
              <w:rPr>
                <w:b/>
                <w:bCs/>
                <w:sz w:val="20"/>
                <w:lang w:val="en-US"/>
              </w:rPr>
            </w:pPr>
            <w:r>
              <w:rPr>
                <w:b/>
                <w:bCs/>
                <w:sz w:val="20"/>
                <w:lang w:val="en-US"/>
              </w:rPr>
              <w:t>SM</w:t>
            </w:r>
          </w:p>
        </w:tc>
        <w:tc>
          <w:tcPr>
            <w:tcW w:w="8220" w:type="dxa"/>
            <w:tcBorders>
              <w:top w:val="nil"/>
              <w:left w:val="nil"/>
              <w:bottom w:val="nil"/>
              <w:right w:val="single" w:sz="12" w:space="0" w:color="000080"/>
            </w:tcBorders>
          </w:tcPr>
          <w:p w14:paraId="4593450E" w14:textId="77777777" w:rsidR="004E173A" w:rsidRDefault="004E173A" w:rsidP="00E85867">
            <w:pPr>
              <w:spacing w:before="30" w:after="30"/>
              <w:jc w:val="left"/>
              <w:rPr>
                <w:sz w:val="20"/>
                <w:lang w:val="en-US"/>
              </w:rPr>
            </w:pPr>
            <w:r>
              <w:rPr>
                <w:sz w:val="20"/>
                <w:lang w:val="en-US"/>
              </w:rPr>
              <w:t>Spectrum management</w:t>
            </w:r>
          </w:p>
        </w:tc>
      </w:tr>
      <w:tr w:rsidR="004E173A" w14:paraId="74A8F500" w14:textId="77777777" w:rsidTr="00E85867">
        <w:tc>
          <w:tcPr>
            <w:tcW w:w="1140" w:type="dxa"/>
            <w:tcBorders>
              <w:top w:val="nil"/>
              <w:left w:val="single" w:sz="12" w:space="0" w:color="000080"/>
              <w:bottom w:val="single" w:sz="12" w:space="0" w:color="000080"/>
              <w:right w:val="nil"/>
            </w:tcBorders>
          </w:tcPr>
          <w:p w14:paraId="7FA32FAB" w14:textId="77777777" w:rsidR="004E173A" w:rsidRDefault="004E173A" w:rsidP="00E85867">
            <w:pPr>
              <w:spacing w:before="30" w:after="30"/>
              <w:ind w:left="57"/>
              <w:jc w:val="left"/>
              <w:rPr>
                <w:b/>
                <w:bCs/>
                <w:sz w:val="20"/>
                <w:lang w:val="en-US"/>
              </w:rPr>
            </w:pPr>
            <w:r>
              <w:rPr>
                <w:b/>
                <w:bCs/>
                <w:sz w:val="20"/>
                <w:lang w:val="en-US"/>
              </w:rPr>
              <w:t>TF</w:t>
            </w:r>
          </w:p>
        </w:tc>
        <w:tc>
          <w:tcPr>
            <w:tcW w:w="8220" w:type="dxa"/>
            <w:tcBorders>
              <w:top w:val="nil"/>
              <w:left w:val="nil"/>
              <w:bottom w:val="single" w:sz="12" w:space="0" w:color="000080"/>
              <w:right w:val="single" w:sz="12" w:space="0" w:color="000080"/>
            </w:tcBorders>
          </w:tcPr>
          <w:p w14:paraId="3268AC5B" w14:textId="77777777" w:rsidR="004E173A" w:rsidRDefault="004E173A" w:rsidP="00E85867">
            <w:pPr>
              <w:spacing w:before="30" w:after="180"/>
              <w:jc w:val="left"/>
              <w:rPr>
                <w:sz w:val="20"/>
                <w:lang w:val="en-US"/>
              </w:rPr>
            </w:pPr>
            <w:r w:rsidRPr="000F1EC4">
              <w:rPr>
                <w:sz w:val="20"/>
                <w:lang w:val="en-US"/>
              </w:rPr>
              <w:t>Time signals and frequency standards emissions</w:t>
            </w:r>
          </w:p>
        </w:tc>
      </w:tr>
    </w:tbl>
    <w:p w14:paraId="10CBE7F4" w14:textId="77777777" w:rsidR="004E173A" w:rsidRDefault="004E173A" w:rsidP="004E173A">
      <w:pPr>
        <w:spacing w:before="30" w:after="30"/>
        <w:jc w:val="center"/>
        <w:rPr>
          <w:sz w:val="20"/>
          <w:lang w:val="en-US"/>
        </w:rPr>
      </w:pPr>
    </w:p>
    <w:p w14:paraId="7E0D2136" w14:textId="77777777" w:rsidR="004E173A" w:rsidRDefault="004E173A" w:rsidP="004E173A">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4E173A" w:rsidRPr="003C6718" w14:paraId="5BA3B158" w14:textId="77777777" w:rsidTr="00E85867">
        <w:tc>
          <w:tcPr>
            <w:tcW w:w="9360" w:type="dxa"/>
            <w:tcBorders>
              <w:top w:val="single" w:sz="12" w:space="0" w:color="000080"/>
              <w:left w:val="single" w:sz="12" w:space="0" w:color="000080"/>
              <w:bottom w:val="single" w:sz="12" w:space="0" w:color="000080"/>
              <w:right w:val="single" w:sz="12" w:space="0" w:color="000080"/>
            </w:tcBorders>
          </w:tcPr>
          <w:p w14:paraId="58C012F2" w14:textId="77777777" w:rsidR="004E173A" w:rsidRPr="00517190" w:rsidRDefault="004E173A" w:rsidP="00E85867">
            <w:pPr>
              <w:spacing w:after="120"/>
              <w:rPr>
                <w:b/>
                <w:bCs/>
                <w:sz w:val="20"/>
                <w:lang w:val="en-US"/>
              </w:rPr>
            </w:pPr>
            <w:r w:rsidRPr="00517190">
              <w:rPr>
                <w:b/>
                <w:bCs/>
                <w:i/>
                <w:iCs/>
                <w:sz w:val="20"/>
                <w:lang w:val="en-US"/>
              </w:rPr>
              <w:t>Note</w:t>
            </w:r>
            <w:r w:rsidRPr="00517190">
              <w:rPr>
                <w:i/>
                <w:iCs/>
                <w:sz w:val="20"/>
                <w:lang w:val="en-US"/>
              </w:rPr>
              <w:t>: This ITU-R Report was approved in English by the Study Group under the procedure detailed in Resolution</w:t>
            </w:r>
            <w:r>
              <w:rPr>
                <w:i/>
                <w:iCs/>
                <w:sz w:val="20"/>
                <w:lang w:val="en-US"/>
              </w:rPr>
              <w:t xml:space="preserve"> </w:t>
            </w:r>
            <w:r w:rsidRPr="00517190">
              <w:rPr>
                <w:i/>
                <w:iCs/>
                <w:sz w:val="20"/>
                <w:lang w:val="en-US"/>
              </w:rPr>
              <w:t>ITU</w:t>
            </w:r>
            <w:r>
              <w:rPr>
                <w:i/>
                <w:iCs/>
                <w:sz w:val="20"/>
                <w:lang w:val="en-US"/>
              </w:rPr>
              <w:noBreakHyphen/>
            </w:r>
            <w:r w:rsidRPr="00517190">
              <w:rPr>
                <w:i/>
                <w:iCs/>
                <w:sz w:val="20"/>
                <w:lang w:val="en-US"/>
              </w:rPr>
              <w:t>R 1.</w:t>
            </w:r>
          </w:p>
        </w:tc>
      </w:tr>
    </w:tbl>
    <w:p w14:paraId="31D7583C" w14:textId="77777777" w:rsidR="004E173A" w:rsidRDefault="004E173A" w:rsidP="004E173A">
      <w:pPr>
        <w:spacing w:before="0"/>
        <w:jc w:val="center"/>
        <w:rPr>
          <w:sz w:val="22"/>
          <w:lang w:val="en-US"/>
        </w:rPr>
      </w:pPr>
    </w:p>
    <w:p w14:paraId="2D60B26A" w14:textId="77777777" w:rsidR="004E173A" w:rsidRDefault="004E173A" w:rsidP="004E173A">
      <w:pPr>
        <w:spacing w:before="0"/>
        <w:jc w:val="right"/>
        <w:rPr>
          <w:i/>
          <w:iCs/>
          <w:sz w:val="20"/>
          <w:lang w:val="en-US"/>
        </w:rPr>
      </w:pPr>
      <w:r>
        <w:rPr>
          <w:i/>
          <w:iCs/>
          <w:sz w:val="20"/>
          <w:lang w:val="en-US"/>
        </w:rPr>
        <w:t>Electronic Publication</w:t>
      </w:r>
    </w:p>
    <w:p w14:paraId="71A96452" w14:textId="1DED66A0" w:rsidR="004E173A" w:rsidRDefault="004E173A" w:rsidP="004E173A">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2026</w:t>
      </w:r>
    </w:p>
    <w:p w14:paraId="0A7A9980" w14:textId="31C81270" w:rsidR="004E173A" w:rsidRDefault="004E173A" w:rsidP="004E173A">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2026</w:t>
      </w:r>
    </w:p>
    <w:p w14:paraId="1C5F72C8" w14:textId="77777777" w:rsidR="004E173A" w:rsidRPr="00470E28" w:rsidRDefault="004E173A" w:rsidP="004E173A">
      <w:pPr>
        <w:rPr>
          <w:sz w:val="18"/>
          <w:szCs w:val="18"/>
          <w:lang w:val="en-US"/>
        </w:rPr>
      </w:pPr>
      <w:r>
        <w:rPr>
          <w:sz w:val="18"/>
          <w:szCs w:val="18"/>
          <w:lang w:val="en-US"/>
        </w:rPr>
        <w:t>All rights reserved. No part of this publication may be reproduced, by any means whatsoever, without written permission of ITU.</w:t>
      </w:r>
    </w:p>
    <w:p w14:paraId="14C32DBD" w14:textId="77777777" w:rsidR="004E173A" w:rsidRDefault="004E173A" w:rsidP="004E173A">
      <w:pPr>
        <w:spacing w:before="160"/>
        <w:rPr>
          <w:i/>
          <w:sz w:val="20"/>
          <w:lang w:val="en-US"/>
        </w:rPr>
        <w:sectPr w:rsidR="004E173A" w:rsidSect="004E173A">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1EBE5F4A" w14:textId="44A0893B" w:rsidR="004E173A" w:rsidRPr="00B874C6" w:rsidRDefault="004E173A" w:rsidP="0087440C">
      <w:pPr>
        <w:pStyle w:val="RepNo"/>
        <w:rPr>
          <w:lang w:val="en-US"/>
        </w:rPr>
      </w:pPr>
      <w:bookmarkStart w:id="2" w:name="irecnoe"/>
      <w:bookmarkEnd w:id="2"/>
      <w:r w:rsidRPr="00BF487A">
        <w:lastRenderedPageBreak/>
        <w:t>RE</w:t>
      </w:r>
      <w:r>
        <w:t>PORT</w:t>
      </w:r>
      <w:r w:rsidRPr="00BF487A">
        <w:t xml:space="preserve">  </w:t>
      </w:r>
      <w:r w:rsidRPr="00BF487A">
        <w:rPr>
          <w:rStyle w:val="href"/>
          <w:lang w:val="en-US"/>
        </w:rPr>
        <w:t xml:space="preserve">ITU-R  </w:t>
      </w:r>
      <w:r>
        <w:rPr>
          <w:rStyle w:val="href"/>
          <w:lang w:val="en-US"/>
        </w:rPr>
        <w:t>S</w:t>
      </w:r>
      <w:r w:rsidRPr="004E173A">
        <w:rPr>
          <w:rStyle w:val="href"/>
        </w:rPr>
        <w:t>.</w:t>
      </w:r>
      <w:r w:rsidR="009C616D">
        <w:rPr>
          <w:rStyle w:val="href"/>
        </w:rPr>
        <w:t>2565-0</w:t>
      </w:r>
    </w:p>
    <w:p w14:paraId="085A5322" w14:textId="6A787455" w:rsidR="004E173A" w:rsidRDefault="004E173A" w:rsidP="00A43A79">
      <w:pPr>
        <w:pStyle w:val="Reptitle"/>
      </w:pPr>
      <w:r w:rsidRPr="00A17221">
        <w:t>Simulation results of fuselage attenuation for Aeronautical Earth Stations In Motion (A-ESIM) in the 27.5-29.5 GHz band</w:t>
      </w:r>
    </w:p>
    <w:p w14:paraId="21FC8502" w14:textId="1B8C9F7B" w:rsidR="00A43A79" w:rsidRPr="00A43A79" w:rsidRDefault="00A43A79" w:rsidP="00A43A79">
      <w:pPr>
        <w:pStyle w:val="Repdate"/>
      </w:pPr>
      <w:r>
        <w:t>(202</w:t>
      </w:r>
      <w:r w:rsidR="009C616D">
        <w:t>5</w:t>
      </w:r>
      <w:r>
        <w:t>)</w:t>
      </w:r>
    </w:p>
    <w:p w14:paraId="70C8346F" w14:textId="77777777" w:rsidR="004E173A" w:rsidRPr="00A43A79" w:rsidRDefault="004E173A" w:rsidP="00A43A79">
      <w:pPr>
        <w:pStyle w:val="Headingb"/>
      </w:pPr>
      <w:r w:rsidRPr="00A43A79">
        <w:t>Keywords</w:t>
      </w:r>
    </w:p>
    <w:p w14:paraId="4B90737F" w14:textId="77777777" w:rsidR="004E173A" w:rsidRPr="00585F73" w:rsidRDefault="004E173A" w:rsidP="004E173A">
      <w:pPr>
        <w:rPr>
          <w:b/>
        </w:rPr>
      </w:pPr>
      <w:r>
        <w:rPr>
          <w:lang w:eastAsia="zh-CN"/>
        </w:rPr>
        <w:t>A-ESIM, ESIM, Fuselage attenuation</w:t>
      </w:r>
    </w:p>
    <w:p w14:paraId="7FAB9BA3" w14:textId="77777777" w:rsidR="004E173A" w:rsidRDefault="004E173A" w:rsidP="004E173A">
      <w:pPr>
        <w:pStyle w:val="Headingb"/>
      </w:pPr>
      <w:r w:rsidRPr="00A17221">
        <w:t>Glossary/Abbreviations</w:t>
      </w:r>
    </w:p>
    <w:p w14:paraId="757EA782" w14:textId="77777777" w:rsidR="004E173A" w:rsidRDefault="004E173A" w:rsidP="00A43A79">
      <w:pPr>
        <w:tabs>
          <w:tab w:val="clear" w:pos="794"/>
        </w:tabs>
        <w:rPr>
          <w:lang w:eastAsia="zh-CN"/>
        </w:rPr>
      </w:pPr>
      <w:r>
        <w:rPr>
          <w:lang w:eastAsia="zh-CN"/>
        </w:rPr>
        <w:t>AUT</w:t>
      </w:r>
      <w:r>
        <w:rPr>
          <w:lang w:eastAsia="zh-CN"/>
        </w:rPr>
        <w:tab/>
        <w:t>Antenna under test</w:t>
      </w:r>
    </w:p>
    <w:p w14:paraId="16ED2AA1" w14:textId="77777777" w:rsidR="004E173A" w:rsidRDefault="004E173A" w:rsidP="00A43A79">
      <w:pPr>
        <w:tabs>
          <w:tab w:val="clear" w:pos="794"/>
        </w:tabs>
        <w:rPr>
          <w:lang w:eastAsia="zh-CN"/>
        </w:rPr>
      </w:pPr>
      <w:r>
        <w:rPr>
          <w:lang w:eastAsia="zh-CN"/>
        </w:rPr>
        <w:t>A-ESIM</w:t>
      </w:r>
      <w:r>
        <w:rPr>
          <w:lang w:eastAsia="zh-CN"/>
        </w:rPr>
        <w:tab/>
        <w:t>Aeronautical earth station in motion</w:t>
      </w:r>
    </w:p>
    <w:p w14:paraId="23891478" w14:textId="77777777" w:rsidR="004E173A" w:rsidRDefault="004E173A" w:rsidP="00A43A79">
      <w:pPr>
        <w:tabs>
          <w:tab w:val="clear" w:pos="794"/>
        </w:tabs>
        <w:rPr>
          <w:lang w:eastAsia="zh-CN"/>
        </w:rPr>
      </w:pPr>
      <w:r>
        <w:rPr>
          <w:lang w:eastAsia="zh-CN"/>
        </w:rPr>
        <w:t>ESIM</w:t>
      </w:r>
      <w:r>
        <w:rPr>
          <w:lang w:eastAsia="zh-CN"/>
        </w:rPr>
        <w:tab/>
        <w:t>Earth station in motion</w:t>
      </w:r>
    </w:p>
    <w:p w14:paraId="5CE2F8FD" w14:textId="77777777" w:rsidR="004E173A" w:rsidRDefault="004E173A" w:rsidP="00A43A79">
      <w:pPr>
        <w:tabs>
          <w:tab w:val="clear" w:pos="794"/>
        </w:tabs>
        <w:rPr>
          <w:rFonts w:eastAsia="TimesNewRoman"/>
        </w:rPr>
      </w:pPr>
      <w:r w:rsidRPr="00A17221">
        <w:rPr>
          <w:rFonts w:eastAsia="TimesNewRoman"/>
        </w:rPr>
        <w:t>MLFMM</w:t>
      </w:r>
      <w:r>
        <w:rPr>
          <w:rFonts w:eastAsia="TimesNewRoman"/>
        </w:rPr>
        <w:tab/>
        <w:t>M</w:t>
      </w:r>
      <w:r w:rsidRPr="00A17221">
        <w:rPr>
          <w:rFonts w:eastAsia="TimesNewRoman"/>
        </w:rPr>
        <w:t>ulti-level fast multipole method</w:t>
      </w:r>
    </w:p>
    <w:p w14:paraId="0A76E0FF" w14:textId="77777777" w:rsidR="004E173A" w:rsidRPr="00170685" w:rsidRDefault="004E173A" w:rsidP="00A43A79">
      <w:pPr>
        <w:tabs>
          <w:tab w:val="clear" w:pos="794"/>
        </w:tabs>
      </w:pPr>
      <w:r>
        <w:rPr>
          <w:rFonts w:eastAsia="TimesNewRoman"/>
        </w:rPr>
        <w:t>MOM</w:t>
      </w:r>
      <w:r>
        <w:rPr>
          <w:rFonts w:eastAsia="TimesNewRoman"/>
        </w:rPr>
        <w:tab/>
        <w:t>Method of moments</w:t>
      </w:r>
    </w:p>
    <w:p w14:paraId="0DA25D5F" w14:textId="77777777" w:rsidR="004E173A" w:rsidRPr="00A17221" w:rsidRDefault="004E173A" w:rsidP="004E173A">
      <w:pPr>
        <w:pStyle w:val="Headingb"/>
      </w:pPr>
      <w:r w:rsidRPr="00A17221">
        <w:t>Relevant ITU-R Reports</w:t>
      </w:r>
    </w:p>
    <w:p w14:paraId="28E4CAF9" w14:textId="77777777" w:rsidR="004E173A" w:rsidRPr="00A17221" w:rsidRDefault="004E173A" w:rsidP="00A43A79">
      <w:pPr>
        <w:pStyle w:val="Reftext"/>
      </w:pPr>
      <w:bookmarkStart w:id="3" w:name="_Hlk47445316"/>
      <w:r w:rsidRPr="00A17221">
        <w:t xml:space="preserve">Report </w:t>
      </w:r>
      <w:hyperlink r:id="rId13" w:history="1">
        <w:r w:rsidRPr="009C616D">
          <w:rPr>
            <w:rStyle w:val="Hyperlink"/>
            <w:color w:val="auto"/>
            <w:u w:val="none"/>
          </w:rPr>
          <w:t>ITU-R M.2221</w:t>
        </w:r>
      </w:hyperlink>
      <w:r w:rsidRPr="00A17221">
        <w:t xml:space="preserve"> – </w:t>
      </w:r>
      <w:bookmarkEnd w:id="3"/>
      <w:r w:rsidRPr="00A17221">
        <w:t>Feasibility of MSS operations in certain frequency bands</w:t>
      </w:r>
    </w:p>
    <w:p w14:paraId="6C4B748B" w14:textId="77777777" w:rsidR="004E173A" w:rsidRPr="00A17221" w:rsidRDefault="004E173A" w:rsidP="004E173A">
      <w:pPr>
        <w:pStyle w:val="Heading1"/>
      </w:pPr>
      <w:r w:rsidRPr="00A17221">
        <w:t>1</w:t>
      </w:r>
      <w:r w:rsidRPr="00A17221">
        <w:tab/>
        <w:t>Introduction</w:t>
      </w:r>
    </w:p>
    <w:p w14:paraId="25C2DA48" w14:textId="7CD2AD76" w:rsidR="004E173A" w:rsidRPr="00A17221" w:rsidRDefault="004E173A" w:rsidP="004E173A">
      <w:pPr>
        <w:rPr>
          <w:bCs/>
        </w:rPr>
      </w:pPr>
      <w:r w:rsidRPr="00A17221">
        <w:rPr>
          <w:bCs/>
        </w:rPr>
        <w:t xml:space="preserve">This </w:t>
      </w:r>
      <w:r w:rsidR="00512341">
        <w:rPr>
          <w:bCs/>
        </w:rPr>
        <w:t>R</w:t>
      </w:r>
      <w:r w:rsidRPr="00A17221">
        <w:rPr>
          <w:bCs/>
        </w:rPr>
        <w:t>eport provides simulation results for fuselage attenuation of A-ESIM mounted on two cylindrical simulations of commercial aircrafts in the frequency range 27.5-29.5 GHz. The simulation modelling was simplified to make it more tractable and feasible. The entire aircraft was not modelled, nor the actual shape of the aircraft. A small section of perfectly round cylindrical section was used to model the area right around the ESIM antenna and the creeping wave effects.</w:t>
      </w:r>
    </w:p>
    <w:p w14:paraId="3F3CB148" w14:textId="77777777" w:rsidR="004E173A" w:rsidRPr="00A17221" w:rsidRDefault="004E173A" w:rsidP="004E173A">
      <w:pPr>
        <w:pStyle w:val="Heading1"/>
        <w:rPr>
          <w:b w:val="0"/>
        </w:rPr>
      </w:pPr>
      <w:r w:rsidRPr="00A17221">
        <w:t>2</w:t>
      </w:r>
      <w:r w:rsidRPr="00A17221">
        <w:tab/>
        <w:t xml:space="preserve">Background </w:t>
      </w:r>
    </w:p>
    <w:p w14:paraId="1669E8AE" w14:textId="7FDCA431" w:rsidR="004E173A" w:rsidRPr="00A17221" w:rsidRDefault="004E173A" w:rsidP="004E173A">
      <w:r w:rsidRPr="00A17221">
        <w:t>Consideration of fuselage attenuation is important as this attenuation reduces emissions from the ESIM mounted on aircraft toward terrestrial stations on the Earth’s surface. An evaluation of fuselage attenuation characteristics is necessary because there may be a possibility of radio frequency (RF) energy radiated below the line-of-sight of the antenna due to “creeping waves” around the fuselage of the aircraft (with an example depicted in Fig</w:t>
      </w:r>
      <w:r w:rsidR="0087440C">
        <w:t>.</w:t>
      </w:r>
      <w:r w:rsidRPr="00A17221">
        <w:t xml:space="preserve"> 1). This type of analysis was previously conducted in </w:t>
      </w:r>
      <w:hyperlink r:id="rId14" w:history="1">
        <w:r w:rsidRPr="00C54517">
          <w:t xml:space="preserve">Report </w:t>
        </w:r>
        <w:hyperlink r:id="rId15" w:history="1">
          <w:r w:rsidR="009C616D" w:rsidRPr="009C616D">
            <w:rPr>
              <w:rStyle w:val="Hyperlink"/>
              <w:color w:val="auto"/>
              <w:u w:val="none"/>
            </w:rPr>
            <w:t>ITU-R M.2221</w:t>
          </w:r>
        </w:hyperlink>
      </w:hyperlink>
      <w:r w:rsidRPr="00A17221">
        <w:t xml:space="preserve"> under </w:t>
      </w:r>
      <w:r w:rsidR="009C616D">
        <w:t xml:space="preserve">§ </w:t>
      </w:r>
      <w:r w:rsidRPr="00A17221">
        <w:t>3.6.2.6.2 “Interference from aircraft earth stations to radio astronomy stations”, specifically in Fig</w:t>
      </w:r>
      <w:r w:rsidR="009C616D">
        <w:t>.</w:t>
      </w:r>
      <w:r w:rsidRPr="00A17221">
        <w:t xml:space="preserve"> 3.6-14, which proposes an off-axis attenuation (or relative sidelobe envelope loss to the free-space antenna sidelobes) due to the fuselage blockage for an antenna mounted on the fuselage looking port (left) and starboard (right) on the narrow side of the fuselage or azimuth 90 degrees at Ku-band (14.2 GHz) based on antenna measurements. While the instant analysis is based on cylindrical simulations, the analysis in Report </w:t>
      </w:r>
      <w:hyperlink r:id="rId16" w:history="1">
        <w:r w:rsidR="009C616D" w:rsidRPr="009C616D">
          <w:rPr>
            <w:rStyle w:val="Hyperlink"/>
            <w:color w:val="auto"/>
            <w:u w:val="none"/>
          </w:rPr>
          <w:t>ITU-R M.2221</w:t>
        </w:r>
      </w:hyperlink>
      <w:r>
        <w:t xml:space="preserve"> </w:t>
      </w:r>
      <w:r w:rsidRPr="00A17221">
        <w:t xml:space="preserve">was based on “a measurement campaign run by an aeronautical Internet Service Provider has been considered as reference. In this particular study, the attenuation due to the aircraft body on the roll-plane (i.e. for azimuth = 90°) has been measured when an antenna was mounted on </w:t>
      </w:r>
      <w:r w:rsidRPr="00F83C9D">
        <w:rPr>
          <w:spacing w:val="-2"/>
        </w:rPr>
        <w:t>top of a full cylinder with radius of curvature approximately equal to that of a Boeing 737 fuselage.”</w:t>
      </w:r>
    </w:p>
    <w:p w14:paraId="781026A9" w14:textId="696C1D0B" w:rsidR="004E173A" w:rsidRPr="00A17221" w:rsidRDefault="004E173A" w:rsidP="004E173A">
      <w:pPr>
        <w:pStyle w:val="FigureNo"/>
      </w:pPr>
      <w:r w:rsidRPr="00A17221">
        <w:lastRenderedPageBreak/>
        <w:t xml:space="preserve">Figure </w:t>
      </w:r>
      <w:r w:rsidRPr="00A17221">
        <w:fldChar w:fldCharType="begin"/>
      </w:r>
      <w:r w:rsidRPr="00A17221">
        <w:instrText xml:space="preserve"> SEQ Fig. \* ARABIC </w:instrText>
      </w:r>
      <w:r w:rsidRPr="00A17221">
        <w:fldChar w:fldCharType="separate"/>
      </w:r>
      <w:r w:rsidR="00DA5B22">
        <w:rPr>
          <w:noProof/>
        </w:rPr>
        <w:t>1</w:t>
      </w:r>
      <w:r w:rsidRPr="00A17221">
        <w:fldChar w:fldCharType="end"/>
      </w:r>
      <w:r w:rsidRPr="00A17221">
        <w:t xml:space="preserve"> </w:t>
      </w:r>
    </w:p>
    <w:p w14:paraId="1EA81E3A" w14:textId="77777777" w:rsidR="004E173A" w:rsidRPr="00A17221" w:rsidRDefault="004E173A" w:rsidP="004E173A">
      <w:pPr>
        <w:pStyle w:val="Figuretitle"/>
      </w:pPr>
      <w:r w:rsidRPr="00A17221">
        <w:t>Example fuselage surface currents or “creeping wave” from array</w:t>
      </w:r>
    </w:p>
    <w:p w14:paraId="329C6239" w14:textId="77777777" w:rsidR="004E173A" w:rsidRPr="00A17221" w:rsidRDefault="004E173A" w:rsidP="004E173A">
      <w:pPr>
        <w:pStyle w:val="Figure"/>
      </w:pPr>
      <w:r w:rsidRPr="00A17221">
        <w:rPr>
          <w:noProof/>
        </w:rPr>
        <w:drawing>
          <wp:inline distT="0" distB="0" distL="0" distR="0" wp14:anchorId="09509325" wp14:editId="45DBD9D5">
            <wp:extent cx="4086225" cy="3857625"/>
            <wp:effectExtent l="0" t="0" r="9525" b="9525"/>
            <wp:docPr id="30" name="Picture 30" descr="Figure 1 - Example fuselage surface currents or “creeping wave” from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1 - Example fuselage surface currents or “creeping wave” from arra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6225" cy="3857625"/>
                    </a:xfrm>
                    <a:prstGeom prst="rect">
                      <a:avLst/>
                    </a:prstGeom>
                    <a:noFill/>
                    <a:ln>
                      <a:noFill/>
                    </a:ln>
                  </pic:spPr>
                </pic:pic>
              </a:graphicData>
            </a:graphic>
          </wp:inline>
        </w:drawing>
      </w:r>
    </w:p>
    <w:p w14:paraId="347105AA" w14:textId="77777777" w:rsidR="004E173A" w:rsidRPr="00A17221" w:rsidRDefault="004E173A" w:rsidP="004E173A">
      <w:pPr>
        <w:pStyle w:val="Heading2"/>
      </w:pPr>
      <w:r w:rsidRPr="00A17221">
        <w:t>2.1</w:t>
      </w:r>
      <w:r w:rsidRPr="00A17221">
        <w:tab/>
        <w:t>Typical aircraft and mounting geometry</w:t>
      </w:r>
    </w:p>
    <w:p w14:paraId="6EF3263E" w14:textId="3145AA8C" w:rsidR="004E173A" w:rsidRPr="00A17221" w:rsidRDefault="004E173A" w:rsidP="004E173A">
      <w:r w:rsidRPr="00A17221">
        <w:t xml:space="preserve">To properly address the question of fuselage attenuation, the typical commercial aircraft antenna </w:t>
      </w:r>
      <w:r w:rsidRPr="00EA56FD">
        <w:rPr>
          <w:spacing w:val="-2"/>
        </w:rPr>
        <w:t>configuration is explored. In 2022, the majority of the world’s commercial aircraft (assumed &gt; 45%)</w:t>
      </w:r>
      <w:r w:rsidRPr="00A17221">
        <w:t xml:space="preserve"> are either Boeing 737 or Airbus A320 models that have a fuselage diameter between 3.76 m to 3.95</w:t>
      </w:r>
      <w:r w:rsidR="00526059">
        <w:t> </w:t>
      </w:r>
      <w:r w:rsidRPr="00A17221">
        <w:t>m. This fuselage diameter may represent mid-sized aircraft. Other common commercial aircraft have larger fuselage diameters (</w:t>
      </w:r>
      <w:r w:rsidRPr="009C616D">
        <w:t>e.g.</w:t>
      </w:r>
      <w:r w:rsidRPr="00A17221">
        <w:t xml:space="preserve"> Airbus A340 and Boeing 787) range in fuselage size from 5.64 m to 5.77 m. Common commercial aircraft that are smaller (</w:t>
      </w:r>
      <w:r w:rsidRPr="009C616D">
        <w:t>e.g.</w:t>
      </w:r>
      <w:r w:rsidRPr="00A17221">
        <w:t xml:space="preserve"> Embraer E190) have fuselage diameters of approximately 3.0 m. Other antenna characteristics, aircraft types and mounting scenarios need to be considered in future additions to this Report. Moreover, additional modelling, such as a sensitivity analysis, showing that slightly different radii cylinders, or shapes that are slightly modified off of a purely cylindrical shape, would help verify that the cylindrical simplification of the fuselage in the simulation study has minimal impact on the results.</w:t>
      </w:r>
    </w:p>
    <w:p w14:paraId="010F106A" w14:textId="73AE2337" w:rsidR="004E173A" w:rsidRPr="00A17221" w:rsidRDefault="004E173A" w:rsidP="004E173A">
      <w:r w:rsidRPr="00A17221">
        <w:t>Due to the long and narrow nature of commercial aircraft fuselages, coupled with the need for high antenna gain, the aeronautical satellite connectivity community has settled on two main antenna configurations for commercial broadband connectivity: (</w:t>
      </w:r>
      <w:proofErr w:type="spellStart"/>
      <w:r w:rsidRPr="00A17221">
        <w:t>i</w:t>
      </w:r>
      <w:proofErr w:type="spellEnd"/>
      <w:r w:rsidRPr="00A17221">
        <w:t>) upward looking electronically steered variable aperture (ES-VA) arrays and (ii) mechanically steered, fixed aperture (MS-FA)</w:t>
      </w:r>
      <w:r w:rsidRPr="00A17221">
        <w:rPr>
          <w:rStyle w:val="FootnoteReference"/>
        </w:rPr>
        <w:footnoteReference w:id="1"/>
      </w:r>
      <w:r w:rsidRPr="00A17221">
        <w:t xml:space="preserve"> arrays. Of these antenna configurations, the mechanically steered array has the widest adoption and is the focus of this analysis. Due to aerodynamic constraints, the antenna must have a narrow height above the aircraft fuselage but achieves high gain capabilities by increasing the width of the antenna array</w:t>
      </w:r>
      <w:r w:rsidR="009C616D">
        <w:t>,</w:t>
      </w:r>
      <w:r w:rsidRPr="00A17221">
        <w:t xml:space="preserve"> giving the antenna a rectangular aperture configuration. The geometry of a typical mechanically steered antenna array is depicted in Fi</w:t>
      </w:r>
      <w:r w:rsidR="009C616D">
        <w:t>g</w:t>
      </w:r>
      <w:r w:rsidRPr="00A17221">
        <w:t xml:space="preserve">s </w:t>
      </w:r>
      <w:r w:rsidR="007B2AA6">
        <w:t>2</w:t>
      </w:r>
      <w:r w:rsidRPr="00A17221">
        <w:t xml:space="preserve"> and </w:t>
      </w:r>
      <w:r w:rsidR="007B2AA6">
        <w:t>3</w:t>
      </w:r>
      <w:r w:rsidRPr="00A17221">
        <w:t xml:space="preserve">. </w:t>
      </w:r>
    </w:p>
    <w:p w14:paraId="39F55799" w14:textId="6E211EFA" w:rsidR="004E173A" w:rsidRPr="00A17221" w:rsidRDefault="004E173A" w:rsidP="004E173A">
      <w:pPr>
        <w:pStyle w:val="FigureNo"/>
      </w:pPr>
      <w:r w:rsidRPr="00A17221">
        <w:lastRenderedPageBreak/>
        <w:t xml:space="preserve">Figure </w:t>
      </w:r>
      <w:r w:rsidR="007B2AA6">
        <w:t>2</w:t>
      </w:r>
    </w:p>
    <w:p w14:paraId="142E5F0E" w14:textId="77777777" w:rsidR="004E173A" w:rsidRPr="00A17221" w:rsidRDefault="004E173A" w:rsidP="004E173A">
      <w:pPr>
        <w:pStyle w:val="Figuretitle"/>
      </w:pPr>
      <w:r w:rsidRPr="00A17221">
        <w:t>Typical fuselage mounted antenna assembly</w:t>
      </w:r>
    </w:p>
    <w:p w14:paraId="52014C30" w14:textId="77777777" w:rsidR="004E173A" w:rsidRPr="00A17221" w:rsidRDefault="004E173A" w:rsidP="004E173A">
      <w:pPr>
        <w:pStyle w:val="Figure"/>
      </w:pPr>
      <w:r w:rsidRPr="00A17221">
        <w:rPr>
          <w:noProof/>
        </w:rPr>
        <w:drawing>
          <wp:inline distT="0" distB="0" distL="0" distR="0" wp14:anchorId="1D59765E" wp14:editId="0A6D953D">
            <wp:extent cx="6057900" cy="3514725"/>
            <wp:effectExtent l="0" t="0" r="0" b="9525"/>
            <wp:docPr id="28" name="Picture 28" descr="Figure 2 - Typical fuselage mounted antenna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2 - Typical fuselage mounted antenna assembl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7900" cy="3514725"/>
                    </a:xfrm>
                    <a:prstGeom prst="rect">
                      <a:avLst/>
                    </a:prstGeom>
                    <a:noFill/>
                    <a:ln>
                      <a:noFill/>
                    </a:ln>
                  </pic:spPr>
                </pic:pic>
              </a:graphicData>
            </a:graphic>
          </wp:inline>
        </w:drawing>
      </w:r>
    </w:p>
    <w:p w14:paraId="16D4BECF" w14:textId="41C82EC5" w:rsidR="004E173A" w:rsidRPr="00A17221" w:rsidRDefault="004E173A" w:rsidP="004E173A">
      <w:pPr>
        <w:pStyle w:val="FigureNo"/>
      </w:pPr>
      <w:r w:rsidRPr="00A17221">
        <w:t xml:space="preserve">Figure </w:t>
      </w:r>
      <w:r w:rsidR="007B2AA6">
        <w:t>3</w:t>
      </w:r>
    </w:p>
    <w:p w14:paraId="7AA8B7DA" w14:textId="77777777" w:rsidR="004E173A" w:rsidRPr="00A17221" w:rsidRDefault="004E173A" w:rsidP="004E173A">
      <w:pPr>
        <w:pStyle w:val="Figuretitle"/>
      </w:pPr>
      <w:r w:rsidRPr="00A17221">
        <w:t>Breakdown of the assembly by individual parts</w:t>
      </w:r>
    </w:p>
    <w:p w14:paraId="35A2304A" w14:textId="77777777" w:rsidR="004E173A" w:rsidRPr="00A17221" w:rsidRDefault="004E173A" w:rsidP="004E173A">
      <w:pPr>
        <w:pStyle w:val="Figure"/>
      </w:pPr>
      <w:r w:rsidRPr="00A17221">
        <w:rPr>
          <w:noProof/>
        </w:rPr>
        <w:drawing>
          <wp:inline distT="0" distB="0" distL="0" distR="0" wp14:anchorId="120854A8" wp14:editId="3E597E54">
            <wp:extent cx="6096000" cy="3895725"/>
            <wp:effectExtent l="0" t="0" r="0" b="9525"/>
            <wp:docPr id="27" name="Picture 27" descr="Figure 3 - Breakdown of the assembly by individual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3 - Breakdown of the assembly by individual par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3895725"/>
                    </a:xfrm>
                    <a:prstGeom prst="rect">
                      <a:avLst/>
                    </a:prstGeom>
                    <a:noFill/>
                    <a:ln>
                      <a:noFill/>
                    </a:ln>
                  </pic:spPr>
                </pic:pic>
              </a:graphicData>
            </a:graphic>
          </wp:inline>
        </w:drawing>
      </w:r>
    </w:p>
    <w:p w14:paraId="2A2357BB" w14:textId="77777777" w:rsidR="004E173A" w:rsidRPr="00A17221" w:rsidRDefault="004E173A" w:rsidP="004E173A">
      <w:pPr>
        <w:pStyle w:val="Heading2"/>
      </w:pPr>
      <w:bookmarkStart w:id="4" w:name="_Hlk100762079"/>
      <w:r w:rsidRPr="00A17221">
        <w:lastRenderedPageBreak/>
        <w:t>2.2</w:t>
      </w:r>
      <w:r w:rsidRPr="00A17221">
        <w:tab/>
        <w:t>Simulation details</w:t>
      </w:r>
    </w:p>
    <w:bookmarkEnd w:id="4"/>
    <w:p w14:paraId="28E97A66" w14:textId="77777777" w:rsidR="004E173A" w:rsidRPr="00A17221" w:rsidRDefault="004E173A" w:rsidP="004E173A">
      <w:pPr>
        <w:rPr>
          <w:rFonts w:eastAsia="TimesNewRoman"/>
        </w:rPr>
      </w:pPr>
      <w:r w:rsidRPr="00A17221">
        <w:rPr>
          <w:rFonts w:eastAsia="TimesNewRoman"/>
        </w:rPr>
        <w:t xml:space="preserve">The following analysis includes a full-wave simulation using the method of moments (MOM) solver tool along with the multi-level fast multipole method (MLFMM) to simulate the electrically large environment in an accurate and efficient way. Specifically, this work uses the TICRA GRASP 10.6 tool. Any MOM solver could be similarly used. The simulations are performed used large computing nodes (needing roughly 500-1 000 GB of RAM to run the models) and 24-36 CPUs. </w:t>
      </w:r>
    </w:p>
    <w:p w14:paraId="20097040" w14:textId="3C8357EA" w:rsidR="004E173A" w:rsidRPr="00A17221" w:rsidRDefault="004E173A" w:rsidP="004E173A">
      <w:pPr>
        <w:rPr>
          <w:rFonts w:eastAsia="TimesNewRoman"/>
        </w:rPr>
      </w:pPr>
      <w:r w:rsidRPr="00A17221">
        <w:rPr>
          <w:rFonts w:eastAsia="TimesNewRoman"/>
        </w:rPr>
        <w:t>The electrical excitation source for the analysis (</w:t>
      </w:r>
      <w:r w:rsidRPr="009C616D">
        <w:rPr>
          <w:rFonts w:eastAsia="TimesNewRoman"/>
        </w:rPr>
        <w:t>i.e.</w:t>
      </w:r>
      <w:r w:rsidRPr="00A17221">
        <w:rPr>
          <w:rFonts w:eastAsia="TimesNewRoman"/>
        </w:rPr>
        <w:t xml:space="preserve"> the antenna radiating above the fuselage) is a 40</w:t>
      </w:r>
      <w:r w:rsidR="009C616D">
        <w:rPr>
          <w:rFonts w:eastAsia="TimesNewRoman"/>
        </w:rPr>
        <w:t> </w:t>
      </w:r>
      <w:r w:rsidRPr="00A17221">
        <w:rPr>
          <w:rFonts w:eastAsia="TimesNewRoman"/>
        </w:rPr>
        <w:t>× 16 waveguide array modelled as individual circular apertures. (Note: the actual array is closer to 80</w:t>
      </w:r>
      <w:r w:rsidR="009C616D">
        <w:rPr>
          <w:rFonts w:eastAsia="TimesNewRoman"/>
        </w:rPr>
        <w:t> </w:t>
      </w:r>
      <w:r w:rsidRPr="00A17221">
        <w:rPr>
          <w:rFonts w:eastAsia="TimesNewRoman"/>
        </w:rPr>
        <w:t>× 16, but this model produces similar results in the elevation plane (perpendicular to fuselage) as an approximation for accelerated computation. In the long dimension, or horizontal plane, the taper is a Taylor distribution and in the vertical plane the taper is uniform. Given these tapers, the beam is broadest and sidelobes are the highest in the elevation plane. The antenna model and free-space far field patterns are depicted in Fig</w:t>
      </w:r>
      <w:r w:rsidR="009C616D">
        <w:rPr>
          <w:rFonts w:eastAsia="TimesNewRoman"/>
        </w:rPr>
        <w:t>.</w:t>
      </w:r>
      <w:r w:rsidRPr="00A17221">
        <w:rPr>
          <w:rFonts w:eastAsia="TimesNewRoman"/>
        </w:rPr>
        <w:t xml:space="preserve"> </w:t>
      </w:r>
      <w:r w:rsidR="00526059">
        <w:rPr>
          <w:rFonts w:eastAsia="TimesNewRoman"/>
        </w:rPr>
        <w:t>4</w:t>
      </w:r>
      <w:r w:rsidRPr="00A17221">
        <w:rPr>
          <w:rFonts w:eastAsia="TimesNewRoman"/>
        </w:rPr>
        <w:t xml:space="preserve"> (left). The antenna is located roughly 15 cm above the fuselage.</w:t>
      </w:r>
    </w:p>
    <w:p w14:paraId="25240EE2" w14:textId="1F4E4608" w:rsidR="004E173A" w:rsidRPr="00A17221" w:rsidRDefault="004E173A" w:rsidP="004E173A">
      <w:pPr>
        <w:rPr>
          <w:rFonts w:eastAsia="TimesNewRoman"/>
        </w:rPr>
      </w:pPr>
      <w:r w:rsidRPr="00A17221">
        <w:rPr>
          <w:rFonts w:eastAsia="TimesNewRoman"/>
        </w:rPr>
        <w:t xml:space="preserve">Two aircraft configurations are considered for this </w:t>
      </w:r>
      <w:r w:rsidR="009C616D">
        <w:rPr>
          <w:rFonts w:eastAsia="TimesNewRoman"/>
        </w:rPr>
        <w:t>Report,</w:t>
      </w:r>
      <w:r w:rsidRPr="00A17221">
        <w:rPr>
          <w:rFonts w:eastAsia="TimesNewRoman"/>
        </w:rPr>
        <w:t xml:space="preserve"> namely, a 3.76 m and 5.77 m diameter cylinder, as described in the previous section, with the boundary condition as a perfect electric conductor (PEC) </w:t>
      </w:r>
      <w:r w:rsidR="007B2AA6">
        <w:rPr>
          <w:rFonts w:eastAsia="TimesNewRoman"/>
        </w:rPr>
        <w:t>(</w:t>
      </w:r>
      <w:r w:rsidRPr="00A17221">
        <w:rPr>
          <w:rFonts w:eastAsia="TimesNewRoman"/>
        </w:rPr>
        <w:t>see Fig</w:t>
      </w:r>
      <w:r w:rsidR="009C616D">
        <w:rPr>
          <w:rFonts w:eastAsia="TimesNewRoman"/>
        </w:rPr>
        <w:t>.</w:t>
      </w:r>
      <w:r w:rsidRPr="00A17221">
        <w:rPr>
          <w:rFonts w:eastAsia="TimesNewRoman"/>
        </w:rPr>
        <w:t xml:space="preserve"> </w:t>
      </w:r>
      <w:r w:rsidR="007B2AA6">
        <w:rPr>
          <w:rFonts w:eastAsia="TimesNewRoman"/>
        </w:rPr>
        <w:t>4</w:t>
      </w:r>
      <w:r w:rsidRPr="00A17221">
        <w:rPr>
          <w:rFonts w:eastAsia="TimesNewRoman"/>
        </w:rPr>
        <w:t xml:space="preserve"> (right)</w:t>
      </w:r>
      <w:r w:rsidR="007B2AA6">
        <w:rPr>
          <w:rFonts w:eastAsia="TimesNewRoman"/>
        </w:rPr>
        <w:t>)</w:t>
      </w:r>
      <w:r w:rsidRPr="00A17221">
        <w:rPr>
          <w:rFonts w:eastAsia="TimesNewRoman"/>
        </w:rPr>
        <w:t>. The fairing is approximated as an ogival shape with draft and cross-bars as seen in Fig</w:t>
      </w:r>
      <w:r w:rsidR="009C616D">
        <w:rPr>
          <w:rFonts w:eastAsia="TimesNewRoman"/>
        </w:rPr>
        <w:t>.</w:t>
      </w:r>
      <w:r w:rsidRPr="00A17221">
        <w:rPr>
          <w:rFonts w:eastAsia="TimesNewRoman"/>
        </w:rPr>
        <w:t xml:space="preserve"> </w:t>
      </w:r>
      <w:r w:rsidR="007B2AA6">
        <w:rPr>
          <w:rFonts w:eastAsia="TimesNewRoman"/>
        </w:rPr>
        <w:t>4</w:t>
      </w:r>
      <w:r w:rsidRPr="00A17221">
        <w:rPr>
          <w:rFonts w:eastAsia="TimesNewRoman"/>
        </w:rPr>
        <w:t xml:space="preserve"> (bottom) with thickness, height, and shape approximately equal to that depicted in Figs </w:t>
      </w:r>
      <w:r w:rsidR="007B2AA6">
        <w:rPr>
          <w:rFonts w:eastAsia="TimesNewRoman"/>
        </w:rPr>
        <w:t>2</w:t>
      </w:r>
      <w:r w:rsidR="009C616D">
        <w:rPr>
          <w:rFonts w:eastAsia="TimesNewRoman"/>
        </w:rPr>
        <w:t xml:space="preserve"> to </w:t>
      </w:r>
      <w:r w:rsidR="007B2AA6">
        <w:rPr>
          <w:rFonts w:eastAsia="TimesNewRoman"/>
        </w:rPr>
        <w:t>3</w:t>
      </w:r>
      <w:r w:rsidRPr="00A17221">
        <w:rPr>
          <w:rFonts w:eastAsia="TimesNewRoman"/>
        </w:rPr>
        <w:t xml:space="preserve"> to reduce computational complexity and number of mesh faces. The off-axis angle orientation is also shown (see bottom right). The array is placed approximately 15.25 cm above the fuselage, and the fairing ring’s height is set below the bottom element. The fairing ogive ring’s thickness is approximately 3.8 cm with a slight draft angle. These parameters are based on actual fairing models. </w:t>
      </w:r>
    </w:p>
    <w:p w14:paraId="735BC073" w14:textId="2D291EAE" w:rsidR="004E173A" w:rsidRPr="00A17221" w:rsidRDefault="004E173A" w:rsidP="004E173A">
      <w:pPr>
        <w:pStyle w:val="FigureNo"/>
      </w:pPr>
      <w:r w:rsidRPr="00A17221">
        <w:t xml:space="preserve">Figure </w:t>
      </w:r>
      <w:r w:rsidR="007B2AA6">
        <w:t>4</w:t>
      </w:r>
    </w:p>
    <w:p w14:paraId="21F2FF81" w14:textId="6F070971" w:rsidR="004E173A" w:rsidRPr="00A17221" w:rsidRDefault="004E173A" w:rsidP="004E173A">
      <w:pPr>
        <w:pStyle w:val="Figuretitle"/>
      </w:pPr>
      <w:r w:rsidRPr="00A17221">
        <w:t>Array-Only Model and Far Fields (</w:t>
      </w:r>
      <w:r w:rsidR="009C616D">
        <w:t>l</w:t>
      </w:r>
      <w:r w:rsidRPr="00A17221">
        <w:t>eft); Reference Geometry (</w:t>
      </w:r>
      <w:r w:rsidR="009C616D">
        <w:t>r</w:t>
      </w:r>
      <w:r w:rsidRPr="00A17221">
        <w:t>ight); Detailed Fairing Model (</w:t>
      </w:r>
      <w:r w:rsidR="009C616D">
        <w:t>b</w:t>
      </w:r>
      <w:r w:rsidRPr="00A17221">
        <w:t>ottom)</w:t>
      </w:r>
    </w:p>
    <w:p w14:paraId="0240B7EE" w14:textId="77777777" w:rsidR="004E173A" w:rsidRPr="00A17221" w:rsidRDefault="004E173A" w:rsidP="004E173A">
      <w:pPr>
        <w:pStyle w:val="Figure"/>
        <w:jc w:val="left"/>
      </w:pPr>
      <w:r w:rsidRPr="00A17221">
        <w:rPr>
          <w:noProof/>
        </w:rPr>
        <w:drawing>
          <wp:inline distT="0" distB="0" distL="0" distR="0" wp14:anchorId="154E3742" wp14:editId="26DF8E63">
            <wp:extent cx="3171825" cy="3857625"/>
            <wp:effectExtent l="0" t="0" r="9525" b="9525"/>
            <wp:docPr id="26" name="Picture 26" descr="Figure 4 - Array-Only Model and Far Fields (left); Reference Geometry (right); Detailed Fairing Model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4 - Array-Only Model and Far Fields (left); Reference Geometry (right); Detailed Fairing Model (bott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1825" cy="3857625"/>
                    </a:xfrm>
                    <a:prstGeom prst="rect">
                      <a:avLst/>
                    </a:prstGeom>
                    <a:noFill/>
                    <a:ln>
                      <a:noFill/>
                    </a:ln>
                  </pic:spPr>
                </pic:pic>
              </a:graphicData>
            </a:graphic>
          </wp:inline>
        </w:drawing>
      </w:r>
      <w:r w:rsidRPr="00A17221">
        <w:t xml:space="preserve"> </w:t>
      </w:r>
      <w:r w:rsidRPr="00A17221">
        <w:rPr>
          <w:noProof/>
        </w:rPr>
        <w:drawing>
          <wp:inline distT="0" distB="0" distL="0" distR="0" wp14:anchorId="510BA36E" wp14:editId="23A4E551">
            <wp:extent cx="2876550" cy="2371725"/>
            <wp:effectExtent l="0" t="0" r="0" b="9525"/>
            <wp:docPr id="25" name="Picture 25" descr="Figure 4 - Array-Only Model and Far Fields (left); Reference Geometry (right); Detailed Fairing Model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4 - Array-Only Model and Far Fields (left); Reference Geometry (right); Detailed Fairing Model (botto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6550" cy="2371725"/>
                    </a:xfrm>
                    <a:prstGeom prst="rect">
                      <a:avLst/>
                    </a:prstGeom>
                    <a:noFill/>
                    <a:ln>
                      <a:noFill/>
                    </a:ln>
                  </pic:spPr>
                </pic:pic>
              </a:graphicData>
            </a:graphic>
          </wp:inline>
        </w:drawing>
      </w:r>
    </w:p>
    <w:p w14:paraId="07DCE48E" w14:textId="77777777" w:rsidR="004E173A" w:rsidRPr="00A17221" w:rsidRDefault="004E173A" w:rsidP="004E173A">
      <w:pPr>
        <w:pStyle w:val="Figure"/>
      </w:pPr>
      <w:r w:rsidRPr="00A17221">
        <w:rPr>
          <w:noProof/>
        </w:rPr>
        <w:lastRenderedPageBreak/>
        <w:drawing>
          <wp:inline distT="0" distB="0" distL="0" distR="0" wp14:anchorId="265E60F9" wp14:editId="0DBAFE76">
            <wp:extent cx="4943475" cy="2047875"/>
            <wp:effectExtent l="0" t="0" r="0" b="0"/>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containing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3475" cy="2047875"/>
                    </a:xfrm>
                    <a:prstGeom prst="rect">
                      <a:avLst/>
                    </a:prstGeom>
                    <a:noFill/>
                    <a:ln>
                      <a:noFill/>
                    </a:ln>
                  </pic:spPr>
                </pic:pic>
              </a:graphicData>
            </a:graphic>
          </wp:inline>
        </w:drawing>
      </w:r>
    </w:p>
    <w:p w14:paraId="4038CCD1" w14:textId="3F851A3C" w:rsidR="004E173A" w:rsidRPr="00A17221" w:rsidRDefault="004E173A" w:rsidP="004E173A">
      <w:pPr>
        <w:pStyle w:val="Heading2"/>
      </w:pPr>
      <w:r w:rsidRPr="00A17221">
        <w:t>2.3</w:t>
      </w:r>
      <w:r w:rsidRPr="00A17221">
        <w:tab/>
        <w:t xml:space="preserve">Solution </w:t>
      </w:r>
      <w:r w:rsidR="00791858">
        <w:t>r</w:t>
      </w:r>
      <w:r w:rsidRPr="00A17221">
        <w:t xml:space="preserve">egions </w:t>
      </w:r>
    </w:p>
    <w:p w14:paraId="5E16455B" w14:textId="47B77CBC" w:rsidR="004E173A" w:rsidRPr="00A17221" w:rsidRDefault="004E173A" w:rsidP="004E173A">
      <w:r w:rsidRPr="00A17221">
        <w:t>The following three regions are proposed as a framework for consideration of the fuselage attenuation analysis and solutions</w:t>
      </w:r>
      <w:r w:rsidR="00791858">
        <w:t>. T</w:t>
      </w:r>
      <w:r w:rsidRPr="00A17221">
        <w:t xml:space="preserve">he preliminary results section </w:t>
      </w:r>
      <w:proofErr w:type="gramStart"/>
      <w:r w:rsidRPr="00A17221">
        <w:t>provide</w:t>
      </w:r>
      <w:proofErr w:type="gramEnd"/>
      <w:r w:rsidRPr="00A17221">
        <w:t xml:space="preserve"> results from the visible and deep shadow region</w:t>
      </w:r>
      <w:r w:rsidR="00791858">
        <w:t>.</w:t>
      </w:r>
    </w:p>
    <w:p w14:paraId="176FA401" w14:textId="72EEA202" w:rsidR="004E173A" w:rsidRPr="00A17221" w:rsidRDefault="004E173A" w:rsidP="004E173A">
      <w:pPr>
        <w:pStyle w:val="enumlev1"/>
      </w:pPr>
      <w:r w:rsidRPr="00A17221">
        <w:t>–</w:t>
      </w:r>
      <w:r w:rsidRPr="00A17221">
        <w:tab/>
      </w:r>
      <w:r w:rsidRPr="00512341">
        <w:t>Visible Region</w:t>
      </w:r>
      <w:r w:rsidRPr="00A17221">
        <w:t>: This section is the line-of-sight region where, in the array and fuselage only case, a ray is traced from the phase centr</w:t>
      </w:r>
      <w:r w:rsidR="00791858">
        <w:t>e</w:t>
      </w:r>
      <w:r w:rsidRPr="00A17221">
        <w:t xml:space="preserve"> on the array and is not blocked by the aircraft fuselage. This is the geometric non-blockage region. </w:t>
      </w:r>
    </w:p>
    <w:p w14:paraId="30F37C14" w14:textId="77240340" w:rsidR="004E173A" w:rsidRPr="00A17221" w:rsidRDefault="004E173A" w:rsidP="004E173A">
      <w:pPr>
        <w:pStyle w:val="enumlev2"/>
        <w:rPr>
          <w:lang w:eastAsia="ko-KR"/>
        </w:rPr>
      </w:pPr>
      <w:r w:rsidRPr="00A17221">
        <w:t>•</w:t>
      </w:r>
      <w:r w:rsidRPr="00A17221">
        <w:tab/>
        <w:t xml:space="preserve">For the 3.76 m diameter aircraft fuselage example, with a 15 cm antenna phase </w:t>
      </w:r>
      <w:proofErr w:type="spellStart"/>
      <w:r w:rsidRPr="00A17221">
        <w:t>center</w:t>
      </w:r>
      <w:proofErr w:type="spellEnd"/>
      <w:r w:rsidRPr="00A17221">
        <w:t xml:space="preserve"> above the cylinder, the visible region approximately corresponds to the angles of 0</w:t>
      </w:r>
      <w:r w:rsidR="007C47AE">
        <w:t> </w:t>
      </w:r>
      <w:r w:rsidR="00791858">
        <w:t>degrees</w:t>
      </w:r>
      <w:r w:rsidRPr="00A17221">
        <w:t xml:space="preserve"> to 23</w:t>
      </w:r>
      <w:r w:rsidR="00791858">
        <w:t xml:space="preserve"> degrees</w:t>
      </w:r>
      <w:r w:rsidRPr="00A17221">
        <w:t xml:space="preserve">. </w:t>
      </w:r>
    </w:p>
    <w:p w14:paraId="07EBCA36" w14:textId="1F01856E" w:rsidR="004E173A" w:rsidRPr="00A17221" w:rsidRDefault="004E173A" w:rsidP="004E173A">
      <w:pPr>
        <w:pStyle w:val="enumlev2"/>
      </w:pPr>
      <w:r w:rsidRPr="00A17221">
        <w:t>•</w:t>
      </w:r>
      <w:r w:rsidRPr="00A17221">
        <w:tab/>
        <w:t xml:space="preserve">For the 5.77 m diameter aircraft fuselage example, with a 15 cm antenna phase </w:t>
      </w:r>
      <w:proofErr w:type="spellStart"/>
      <w:r w:rsidRPr="00A17221">
        <w:t>center</w:t>
      </w:r>
      <w:proofErr w:type="spellEnd"/>
      <w:r w:rsidRPr="00A17221">
        <w:t xml:space="preserve"> above the cylinder, the visible region approximately corresponds to the angles of 0</w:t>
      </w:r>
      <w:r w:rsidR="007C47AE">
        <w:t> </w:t>
      </w:r>
      <w:r w:rsidR="00791858">
        <w:t>degrees</w:t>
      </w:r>
      <w:r w:rsidRPr="00A17221">
        <w:t xml:space="preserve"> to 29</w:t>
      </w:r>
      <w:r w:rsidR="00791858" w:rsidRPr="00791858">
        <w:t xml:space="preserve"> </w:t>
      </w:r>
      <w:r w:rsidR="00791858">
        <w:t>degrees</w:t>
      </w:r>
      <w:r w:rsidRPr="00A17221">
        <w:t xml:space="preserve">. </w:t>
      </w:r>
    </w:p>
    <w:p w14:paraId="7BB91CE8" w14:textId="77777777" w:rsidR="004E173A" w:rsidRPr="00A17221" w:rsidRDefault="004E173A" w:rsidP="004E173A">
      <w:pPr>
        <w:pStyle w:val="enumlev1"/>
      </w:pPr>
      <w:r w:rsidRPr="00A17221">
        <w:t>–</w:t>
      </w:r>
      <w:r w:rsidRPr="00A17221">
        <w:tab/>
      </w:r>
      <w:r w:rsidRPr="00512341">
        <w:t>Deep Shadow Region</w:t>
      </w:r>
      <w:r w:rsidRPr="00A17221">
        <w:t xml:space="preserve">: This section is the region where the excited surface currents, or "creeping waves", produce the far field environment independent of the antenna source. </w:t>
      </w:r>
    </w:p>
    <w:p w14:paraId="0796DF54" w14:textId="6927C320" w:rsidR="004E173A" w:rsidRPr="00A17221" w:rsidRDefault="004E173A" w:rsidP="004E173A">
      <w:pPr>
        <w:pStyle w:val="enumlev2"/>
      </w:pPr>
      <w:r w:rsidRPr="00A17221">
        <w:t>•</w:t>
      </w:r>
      <w:r w:rsidRPr="00A17221">
        <w:tab/>
        <w:t>For the 3.76 m diameter aircraft fuselage example, with a 15 cm phase centr</w:t>
      </w:r>
      <w:r w:rsidR="00791858">
        <w:t>e</w:t>
      </w:r>
      <w:r w:rsidRPr="00A17221">
        <w:t xml:space="preserve"> above the cylinder, the deep shadow region approximately corresponds to the angles of 35 </w:t>
      </w:r>
      <w:r w:rsidR="00791858">
        <w:t xml:space="preserve">degrees </w:t>
      </w:r>
      <w:r w:rsidRPr="00A17221">
        <w:t>to 90</w:t>
      </w:r>
      <w:r w:rsidR="00791858">
        <w:t xml:space="preserve"> degrees</w:t>
      </w:r>
      <w:r w:rsidRPr="00A17221">
        <w:t xml:space="preserve">. </w:t>
      </w:r>
    </w:p>
    <w:p w14:paraId="4202547C" w14:textId="66F24180" w:rsidR="004E173A" w:rsidRPr="00A17221" w:rsidRDefault="004E173A" w:rsidP="004E173A">
      <w:pPr>
        <w:pStyle w:val="enumlev2"/>
      </w:pPr>
      <w:r w:rsidRPr="00A17221">
        <w:t>•</w:t>
      </w:r>
      <w:r w:rsidRPr="00A17221">
        <w:tab/>
        <w:t xml:space="preserve">For the 5.77 m diameter aircraft fuselage example, with a 15 cm phase </w:t>
      </w:r>
      <w:proofErr w:type="spellStart"/>
      <w:r w:rsidRPr="00A17221">
        <w:t>center</w:t>
      </w:r>
      <w:proofErr w:type="spellEnd"/>
      <w:r w:rsidRPr="00A17221">
        <w:t xml:space="preserve"> above the cylinder, the deep shadow region approximately corresponds to the angles of 29</w:t>
      </w:r>
      <w:r w:rsidR="00791858" w:rsidRPr="00791858">
        <w:t xml:space="preserve"> </w:t>
      </w:r>
      <w:r w:rsidR="00791858">
        <w:t>degrees</w:t>
      </w:r>
      <w:r w:rsidRPr="00A17221">
        <w:t xml:space="preserve"> to 90</w:t>
      </w:r>
      <w:r w:rsidR="00ED60ED" w:rsidRPr="00ED60ED">
        <w:t xml:space="preserve"> </w:t>
      </w:r>
      <w:r w:rsidR="00ED60ED">
        <w:t>degrees</w:t>
      </w:r>
      <w:r w:rsidRPr="00A17221">
        <w:t xml:space="preserve">. </w:t>
      </w:r>
    </w:p>
    <w:p w14:paraId="6E6FF103" w14:textId="77777777" w:rsidR="004E173A" w:rsidRPr="00A17221" w:rsidRDefault="004E173A" w:rsidP="004E173A">
      <w:pPr>
        <w:pStyle w:val="enumlev1"/>
      </w:pPr>
      <w:r w:rsidRPr="00A17221">
        <w:t>–</w:t>
      </w:r>
      <w:r w:rsidRPr="00A17221">
        <w:tab/>
      </w:r>
      <w:r w:rsidRPr="00512341">
        <w:t>Transition Region</w:t>
      </w:r>
      <w:r w:rsidRPr="00A17221">
        <w:t xml:space="preserve">: This section is the region between the visible and deep shadow regions. </w:t>
      </w:r>
    </w:p>
    <w:p w14:paraId="577DE35E" w14:textId="775234BF" w:rsidR="004E173A" w:rsidRPr="00A17221" w:rsidRDefault="004E173A" w:rsidP="004E173A">
      <w:pPr>
        <w:pStyle w:val="enumlev2"/>
      </w:pPr>
      <w:r w:rsidRPr="00A17221">
        <w:t>•</w:t>
      </w:r>
      <w:r w:rsidRPr="00A17221">
        <w:tab/>
        <w:t xml:space="preserve">For the 3.76 m diameter aircraft fuselage example, with a 15 cm phase </w:t>
      </w:r>
      <w:r w:rsidR="00ED60ED" w:rsidRPr="00A17221">
        <w:t>centr</w:t>
      </w:r>
      <w:r w:rsidR="00ED60ED">
        <w:t>e</w:t>
      </w:r>
      <w:r w:rsidR="00ED60ED" w:rsidRPr="00A17221">
        <w:t xml:space="preserve"> </w:t>
      </w:r>
      <w:r w:rsidRPr="00A17221">
        <w:t>above the cylinder, the transition region approximately corresponds to the angles of 23</w:t>
      </w:r>
      <w:r w:rsidR="00ED60ED" w:rsidRPr="00ED60ED">
        <w:t xml:space="preserve"> </w:t>
      </w:r>
      <w:r w:rsidR="00ED60ED">
        <w:t>degrees</w:t>
      </w:r>
      <w:r w:rsidRPr="00A17221">
        <w:t xml:space="preserve"> to 35</w:t>
      </w:r>
      <w:r w:rsidR="00ED60ED" w:rsidRPr="00ED60ED">
        <w:t xml:space="preserve"> </w:t>
      </w:r>
      <w:r w:rsidR="00ED60ED">
        <w:t>degrees</w:t>
      </w:r>
      <w:r w:rsidRPr="00A17221">
        <w:t xml:space="preserve">. </w:t>
      </w:r>
    </w:p>
    <w:p w14:paraId="138880EA" w14:textId="27D6DD56" w:rsidR="004E173A" w:rsidRPr="00A17221" w:rsidRDefault="004E173A" w:rsidP="004E173A">
      <w:pPr>
        <w:pStyle w:val="enumlev2"/>
      </w:pPr>
      <w:r w:rsidRPr="00A17221">
        <w:t>•</w:t>
      </w:r>
      <w:r w:rsidRPr="00A17221">
        <w:tab/>
        <w:t xml:space="preserve">For the 5.77 m diameter aircraft fuselage example, with a 15 cm phase </w:t>
      </w:r>
      <w:r w:rsidR="00ED60ED" w:rsidRPr="00A17221">
        <w:t>centr</w:t>
      </w:r>
      <w:r w:rsidR="00ED60ED">
        <w:t>e</w:t>
      </w:r>
      <w:r w:rsidR="00ED60ED" w:rsidRPr="00A17221">
        <w:t xml:space="preserve"> </w:t>
      </w:r>
      <w:r w:rsidRPr="00A17221">
        <w:t>above the cylinder, the transition region approximately corresponds to the angles of 18</w:t>
      </w:r>
      <w:r w:rsidR="00ED60ED" w:rsidRPr="00ED60ED">
        <w:t xml:space="preserve"> </w:t>
      </w:r>
      <w:r w:rsidR="00ED60ED">
        <w:t>degrees</w:t>
      </w:r>
      <w:r w:rsidRPr="00A17221">
        <w:t xml:space="preserve"> to 29</w:t>
      </w:r>
      <w:r w:rsidR="00ED60ED" w:rsidRPr="00ED60ED">
        <w:t xml:space="preserve"> </w:t>
      </w:r>
      <w:r w:rsidR="00ED60ED">
        <w:t>degrees</w:t>
      </w:r>
      <w:r w:rsidRPr="00A17221">
        <w:t>.</w:t>
      </w:r>
    </w:p>
    <w:p w14:paraId="76C65CD5" w14:textId="7DAF087B" w:rsidR="004E173A" w:rsidRPr="00A17221" w:rsidRDefault="004E173A" w:rsidP="004E173A">
      <w:pPr>
        <w:pStyle w:val="FigureNo"/>
      </w:pPr>
      <w:r w:rsidRPr="00A17221">
        <w:lastRenderedPageBreak/>
        <w:t xml:space="preserve">Figure </w:t>
      </w:r>
      <w:r w:rsidR="007B2AA6">
        <w:t>5</w:t>
      </w:r>
    </w:p>
    <w:p w14:paraId="32E450B0" w14:textId="269BC1A5" w:rsidR="004E173A" w:rsidRPr="00A17221" w:rsidRDefault="004E173A" w:rsidP="004E173A">
      <w:pPr>
        <w:pStyle w:val="Figuretitle"/>
      </w:pPr>
      <w:r w:rsidRPr="00A17221">
        <w:t xml:space="preserve">Illustration of the </w:t>
      </w:r>
      <w:r w:rsidR="00ED60ED">
        <w:t>s</w:t>
      </w:r>
      <w:r w:rsidRPr="00A17221">
        <w:t xml:space="preserve">olution </w:t>
      </w:r>
      <w:r w:rsidR="00ED60ED">
        <w:t>r</w:t>
      </w:r>
      <w:r w:rsidRPr="00A17221">
        <w:t xml:space="preserve">egions </w:t>
      </w:r>
      <w:r w:rsidR="00ED60ED">
        <w:t>u</w:t>
      </w:r>
      <w:r w:rsidRPr="00A17221">
        <w:t xml:space="preserve">nder </w:t>
      </w:r>
      <w:r w:rsidR="00ED60ED">
        <w:t>c</w:t>
      </w:r>
      <w:r w:rsidRPr="00A17221">
        <w:t>onsideration</w:t>
      </w:r>
    </w:p>
    <w:p w14:paraId="7BF84CC5" w14:textId="77777777" w:rsidR="004E173A" w:rsidRPr="00A17221" w:rsidRDefault="004E173A" w:rsidP="004E173A">
      <w:pPr>
        <w:pStyle w:val="Figure"/>
      </w:pPr>
      <w:r w:rsidRPr="00A17221">
        <w:rPr>
          <w:noProof/>
        </w:rPr>
        <w:drawing>
          <wp:inline distT="0" distB="0" distL="0" distR="0" wp14:anchorId="59C0ABB7" wp14:editId="6D0B45F5">
            <wp:extent cx="4200525" cy="4257675"/>
            <wp:effectExtent l="0" t="0" r="9525" b="9525"/>
            <wp:docPr id="23" name="Picture 23" descr="Figure 5 - Illustration of the solution regions under consi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5 - Illustration of the solution regions under consider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00525" cy="4257675"/>
                    </a:xfrm>
                    <a:prstGeom prst="rect">
                      <a:avLst/>
                    </a:prstGeom>
                    <a:noFill/>
                    <a:ln>
                      <a:noFill/>
                    </a:ln>
                  </pic:spPr>
                </pic:pic>
              </a:graphicData>
            </a:graphic>
          </wp:inline>
        </w:drawing>
      </w:r>
    </w:p>
    <w:p w14:paraId="63A3FD77" w14:textId="6275E214" w:rsidR="007F3F22" w:rsidRDefault="007F3F22" w:rsidP="007F3F22">
      <w:pPr>
        <w:pStyle w:val="Heading1"/>
      </w:pPr>
      <w:r>
        <w:t>3</w:t>
      </w:r>
      <w:r>
        <w:tab/>
        <w:t>Simulation results</w:t>
      </w:r>
    </w:p>
    <w:p w14:paraId="7FA623CA" w14:textId="6B458BBF" w:rsidR="004E173A" w:rsidRPr="00A17221" w:rsidRDefault="004E173A" w:rsidP="004E173A">
      <w:pPr>
        <w:pStyle w:val="Heading2"/>
      </w:pPr>
      <w:r w:rsidRPr="00A17221">
        <w:t>3.1</w:t>
      </w:r>
      <w:r w:rsidRPr="00A17221">
        <w:tab/>
        <w:t xml:space="preserve">Results: Visible </w:t>
      </w:r>
      <w:r w:rsidR="007F3F22">
        <w:t>r</w:t>
      </w:r>
      <w:r w:rsidRPr="00A17221">
        <w:t>egion</w:t>
      </w:r>
    </w:p>
    <w:p w14:paraId="23B7F0E6" w14:textId="496C7E01" w:rsidR="004E173A" w:rsidRPr="00A17221" w:rsidRDefault="004E173A" w:rsidP="004E173A">
      <w:r w:rsidRPr="00A17221">
        <w:t xml:space="preserve">To validate the Report </w:t>
      </w:r>
      <w:hyperlink r:id="rId24" w:history="1">
        <w:r w:rsidR="009C616D" w:rsidRPr="009C616D">
          <w:rPr>
            <w:rStyle w:val="Hyperlink"/>
            <w:color w:val="auto"/>
            <w:u w:val="none"/>
          </w:rPr>
          <w:t>ITU-R M.2221</w:t>
        </w:r>
      </w:hyperlink>
      <w:r w:rsidRPr="00A17221">
        <w:t xml:space="preserve"> mask in the visible region, a simulation is performed for the 3.76 m and 5.77 m adapter assemblies along with the upper portion of the fuselage corresponding to the visible region and some simple crossbar structures typical of the mounting assembly. This analysis will not yield results in the deep shadow or transition regions since the full fuselage is not in the model. Nonetheless, the model will yield results for the visible region. That is, the </w:t>
      </w:r>
      <w:proofErr w:type="spellStart"/>
      <w:r w:rsidRPr="00A17221">
        <w:t>radome</w:t>
      </w:r>
      <w:proofErr w:type="spellEnd"/>
      <w:r w:rsidRPr="00A17221">
        <w:t xml:space="preserve"> is not modelled but it will only increase the attenuation. The results are shown in Fig</w:t>
      </w:r>
      <w:r w:rsidR="007B2AA6">
        <w:t>. 6</w:t>
      </w:r>
      <w:r w:rsidRPr="00A17221">
        <w:t xml:space="preserve"> as well as the geometry of the analysis for the 3.76 m and 5.77 m cases. There is an assumed 1 dB </w:t>
      </w:r>
      <w:proofErr w:type="spellStart"/>
      <w:r w:rsidRPr="00A17221">
        <w:t>radome</w:t>
      </w:r>
      <w:proofErr w:type="spellEnd"/>
      <w:r w:rsidRPr="00A17221">
        <w:t xml:space="preserve"> loss in order to be consistent with the </w:t>
      </w:r>
      <w:r w:rsidRPr="00A17221">
        <w:rPr>
          <w:lang w:eastAsia="ko-KR"/>
        </w:rPr>
        <w:t xml:space="preserve">Report </w:t>
      </w:r>
      <w:hyperlink r:id="rId25" w:history="1">
        <w:r w:rsidR="009C616D" w:rsidRPr="009C616D">
          <w:rPr>
            <w:rStyle w:val="Hyperlink"/>
            <w:color w:val="auto"/>
            <w:u w:val="none"/>
          </w:rPr>
          <w:t>ITU-R M.2221</w:t>
        </w:r>
      </w:hyperlink>
      <w:r w:rsidRPr="00A17221">
        <w:t xml:space="preserve"> mask. </w:t>
      </w:r>
    </w:p>
    <w:p w14:paraId="62A16C69" w14:textId="50A4617A" w:rsidR="004E173A" w:rsidRPr="00A17221" w:rsidRDefault="004E173A" w:rsidP="004E173A">
      <w:r w:rsidRPr="00A17221">
        <w:t xml:space="preserve">The results demonstrate that the Report </w:t>
      </w:r>
      <w:hyperlink r:id="rId26" w:history="1">
        <w:r w:rsidR="009C616D" w:rsidRPr="009C616D">
          <w:rPr>
            <w:rStyle w:val="Hyperlink"/>
            <w:color w:val="auto"/>
            <w:u w:val="none"/>
          </w:rPr>
          <w:t>ITU-R M.2221</w:t>
        </w:r>
      </w:hyperlink>
      <w:r w:rsidRPr="00A17221">
        <w:t xml:space="preserve"> result is almost exactly consistent for this region and no change is needed to the Report </w:t>
      </w:r>
      <w:hyperlink r:id="rId27" w:history="1">
        <w:r w:rsidR="009C616D" w:rsidRPr="009C616D">
          <w:rPr>
            <w:rStyle w:val="Hyperlink"/>
            <w:color w:val="auto"/>
            <w:u w:val="none"/>
          </w:rPr>
          <w:t>ITU-R M.2221</w:t>
        </w:r>
      </w:hyperlink>
      <w:r w:rsidRPr="00A17221">
        <w:t xml:space="preserve"> mask. The differences between the two fuselage sizes are minor and can be attributed to the differing local flatness or curvature of the fuselage (i.e. larger fuselage is more locally flat in the visible region).</w:t>
      </w:r>
    </w:p>
    <w:p w14:paraId="65C8F593" w14:textId="2673C08D" w:rsidR="004E173A" w:rsidRPr="00A17221" w:rsidRDefault="004E173A" w:rsidP="004E173A">
      <w:pPr>
        <w:pStyle w:val="FigureNo"/>
        <w:rPr>
          <w:i/>
          <w:iCs/>
        </w:rPr>
      </w:pPr>
      <w:r w:rsidRPr="00A17221">
        <w:lastRenderedPageBreak/>
        <w:t xml:space="preserve">Figure </w:t>
      </w:r>
      <w:r w:rsidR="007B2AA6">
        <w:t>6</w:t>
      </w:r>
    </w:p>
    <w:p w14:paraId="6981E4C9" w14:textId="77777777" w:rsidR="004E173A" w:rsidRPr="00201916" w:rsidRDefault="004E173A" w:rsidP="004E173A">
      <w:pPr>
        <w:pStyle w:val="Figuretitle"/>
      </w:pPr>
      <w:r w:rsidRPr="00A17221">
        <w:t>Visible Region Mounting Assembly</w:t>
      </w:r>
    </w:p>
    <w:p w14:paraId="3732F1CD" w14:textId="77777777" w:rsidR="004E173A" w:rsidRPr="00A17221" w:rsidRDefault="004E173A" w:rsidP="004E173A">
      <w:pPr>
        <w:pStyle w:val="Figure"/>
      </w:pPr>
      <w:r w:rsidRPr="00A17221">
        <w:rPr>
          <w:noProof/>
        </w:rPr>
        <w:drawing>
          <wp:inline distT="0" distB="0" distL="0" distR="0" wp14:anchorId="3E6A4F0C" wp14:editId="449E9197">
            <wp:extent cx="6115050" cy="4162425"/>
            <wp:effectExtent l="0" t="0" r="0" b="9525"/>
            <wp:docPr id="22" name="Picture 22" descr="Figure 6 - Visible Region Mounting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6 - Visible Region Mounting Assembl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050" cy="4162425"/>
                    </a:xfrm>
                    <a:prstGeom prst="rect">
                      <a:avLst/>
                    </a:prstGeom>
                    <a:noFill/>
                    <a:ln>
                      <a:noFill/>
                    </a:ln>
                  </pic:spPr>
                </pic:pic>
              </a:graphicData>
            </a:graphic>
          </wp:inline>
        </w:drawing>
      </w:r>
    </w:p>
    <w:p w14:paraId="387305D6" w14:textId="77777777" w:rsidR="004E173A" w:rsidRPr="00A17221" w:rsidRDefault="004E173A" w:rsidP="004E173A">
      <w:pPr>
        <w:pStyle w:val="Heading2"/>
      </w:pPr>
      <w:r w:rsidRPr="00A17221">
        <w:t>3.2</w:t>
      </w:r>
      <w:r w:rsidRPr="00A17221">
        <w:tab/>
        <w:t>Results: Deep shadow region</w:t>
      </w:r>
    </w:p>
    <w:p w14:paraId="2FB3BDB5" w14:textId="605D3E62" w:rsidR="004E173A" w:rsidRPr="00A17221" w:rsidRDefault="004E173A" w:rsidP="004E173A">
      <w:pPr>
        <w:keepNext/>
        <w:keepLines/>
      </w:pPr>
      <w:r w:rsidRPr="00A17221">
        <w:t xml:space="preserve">To validate the Report </w:t>
      </w:r>
      <w:hyperlink r:id="rId29" w:history="1">
        <w:r w:rsidR="009C616D" w:rsidRPr="009C616D">
          <w:rPr>
            <w:rStyle w:val="Hyperlink"/>
            <w:color w:val="auto"/>
            <w:u w:val="none"/>
          </w:rPr>
          <w:t>ITU-R M.2221</w:t>
        </w:r>
      </w:hyperlink>
      <w:r w:rsidRPr="00A17221">
        <w:t xml:space="preserve"> mask in the deep shadow region, the aircraft fuselage-only scattering case is considered for both the 3.76 m and 5.77 m fuselage diameters. This analysis will not yield results in the visible or transition regions since there is no fairing or mounting adapter to scatter the transmissions. The analysis will yield results in the deep shadow region that are considered conservative. Adding the fairing and mounting adapter to the scatter will only increase the attenuation. </w:t>
      </w:r>
    </w:p>
    <w:p w14:paraId="1D818FDD" w14:textId="744F8565" w:rsidR="004E173A" w:rsidRPr="00A17221" w:rsidRDefault="004E173A" w:rsidP="004E173A">
      <w:r w:rsidRPr="00A17221">
        <w:t>The results are shown in Fig</w:t>
      </w:r>
      <w:r w:rsidR="00201916">
        <w:t>.</w:t>
      </w:r>
      <w:r w:rsidRPr="00A17221">
        <w:t xml:space="preserve"> </w:t>
      </w:r>
      <w:r w:rsidR="007B2AA6">
        <w:t>7,</w:t>
      </w:r>
      <w:r w:rsidRPr="00A17221">
        <w:t xml:space="preserve"> where blue is the antenna (AUT) circular (CP) co-polarized (COPOL) far field in free space, black is the envelope for the free space AUT, red is the circular CP COPOL result including the aircraft fuselage, green is the worst-case linear result including the fuselage and the black dashed line is the Report </w:t>
      </w:r>
      <w:hyperlink r:id="rId30" w:history="1">
        <w:r w:rsidR="009C616D" w:rsidRPr="009C616D">
          <w:rPr>
            <w:rStyle w:val="Hyperlink"/>
            <w:color w:val="auto"/>
            <w:u w:val="none"/>
          </w:rPr>
          <w:t>ITU-R M.2221</w:t>
        </w:r>
      </w:hyperlink>
      <w:r w:rsidRPr="00A17221">
        <w:t xml:space="preserve"> mask offset by the AUT envelope.</w:t>
      </w:r>
    </w:p>
    <w:p w14:paraId="0E78D33A" w14:textId="033C7105" w:rsidR="004E173A" w:rsidRPr="00A17221" w:rsidRDefault="004E173A" w:rsidP="004E173A">
      <w:r w:rsidRPr="00A17221">
        <w:t xml:space="preserve">The results show that the Report </w:t>
      </w:r>
      <w:hyperlink r:id="rId31" w:history="1">
        <w:r w:rsidR="009C616D" w:rsidRPr="009C616D">
          <w:rPr>
            <w:rStyle w:val="Hyperlink"/>
            <w:color w:val="auto"/>
            <w:u w:val="none"/>
          </w:rPr>
          <w:t>ITU-R M.2221</w:t>
        </w:r>
      </w:hyperlink>
      <w:r w:rsidRPr="00A17221">
        <w:t xml:space="preserve"> result is consistent with the start of the region. The Report </w:t>
      </w:r>
      <w:hyperlink r:id="rId32" w:history="1">
        <w:r w:rsidR="009C616D" w:rsidRPr="009C616D">
          <w:rPr>
            <w:rStyle w:val="Hyperlink"/>
            <w:color w:val="auto"/>
            <w:u w:val="none"/>
          </w:rPr>
          <w:t>ITU-R M.2221</w:t>
        </w:r>
      </w:hyperlink>
      <w:r w:rsidRPr="00A17221">
        <w:t xml:space="preserve"> result flattens out the simulated result demonstrating that the aircraft fuselage linearly attenuates the fields. Therefore, the recommendation based on these results is that the Report </w:t>
      </w:r>
      <w:hyperlink r:id="rId33" w:history="1">
        <w:r w:rsidR="009C616D" w:rsidRPr="009C616D">
          <w:rPr>
            <w:rStyle w:val="Hyperlink"/>
            <w:color w:val="auto"/>
            <w:u w:val="none"/>
          </w:rPr>
          <w:t>ITU-R M.2221</w:t>
        </w:r>
      </w:hyperlink>
      <w:r w:rsidRPr="00A17221">
        <w:t xml:space="preserve"> mask should have the 5</w:t>
      </w:r>
      <w:r w:rsidR="00201916">
        <w:t>0 degrees</w:t>
      </w:r>
      <w:r w:rsidRPr="00A17221">
        <w:t xml:space="preserve"> floor lowered further to account for the additional attenuation. This recommendation is plotted in Fig</w:t>
      </w:r>
      <w:r w:rsidR="00201916">
        <w:t>.</w:t>
      </w:r>
      <w:r w:rsidRPr="00A17221">
        <w:t xml:space="preserve"> </w:t>
      </w:r>
      <w:r w:rsidR="007B2AA6">
        <w:t>7</w:t>
      </w:r>
      <w:r w:rsidRPr="00A17221">
        <w:t xml:space="preserve"> and is identified in the legend as “-.-.-“ mask title “proposed Mask Update </w:t>
      </w:r>
      <w:proofErr w:type="spellStart"/>
      <w:r w:rsidRPr="00A17221">
        <w:t>wrt</w:t>
      </w:r>
      <w:proofErr w:type="spellEnd"/>
      <w:r w:rsidRPr="00A17221">
        <w:t>. AUT Env”</w:t>
      </w:r>
      <w:r w:rsidR="00201916">
        <w:t>.</w:t>
      </w:r>
    </w:p>
    <w:p w14:paraId="4C4C058D" w14:textId="525B77BC" w:rsidR="004E173A" w:rsidRPr="00A17221" w:rsidRDefault="004E173A" w:rsidP="004E173A">
      <w:pPr>
        <w:pStyle w:val="FigureNo"/>
        <w:rPr>
          <w:i/>
          <w:iCs/>
        </w:rPr>
      </w:pPr>
      <w:r w:rsidRPr="00A17221">
        <w:lastRenderedPageBreak/>
        <w:t xml:space="preserve">Figure </w:t>
      </w:r>
      <w:r w:rsidR="007B2AA6">
        <w:t>7</w:t>
      </w:r>
    </w:p>
    <w:p w14:paraId="1B7DD5E1" w14:textId="77777777" w:rsidR="004E173A" w:rsidRPr="007B2AA6" w:rsidRDefault="004E173A" w:rsidP="004E173A">
      <w:pPr>
        <w:pStyle w:val="Figuretitle"/>
      </w:pPr>
      <w:r w:rsidRPr="00A17221">
        <w:t>Deep shadow region fuselage</w:t>
      </w:r>
    </w:p>
    <w:p w14:paraId="4582E28B" w14:textId="77777777" w:rsidR="004E173A" w:rsidRPr="00A17221" w:rsidRDefault="004E173A" w:rsidP="004E173A">
      <w:pPr>
        <w:pStyle w:val="Figure"/>
      </w:pPr>
      <w:r w:rsidRPr="00A17221">
        <w:t xml:space="preserve"> </w:t>
      </w:r>
      <w:r w:rsidRPr="00A17221">
        <w:rPr>
          <w:noProof/>
        </w:rPr>
        <w:drawing>
          <wp:inline distT="0" distB="0" distL="0" distR="0" wp14:anchorId="0B9F0226" wp14:editId="0DFCEBB6">
            <wp:extent cx="6120765" cy="4569460"/>
            <wp:effectExtent l="0" t="0" r="0" b="2540"/>
            <wp:docPr id="21" name="Picture 21" descr="Figure 7 - Deep shadow region fuse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7 - Deep shadow region fusel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765" cy="4569460"/>
                    </a:xfrm>
                    <a:prstGeom prst="rect">
                      <a:avLst/>
                    </a:prstGeom>
                    <a:noFill/>
                    <a:ln>
                      <a:noFill/>
                    </a:ln>
                  </pic:spPr>
                </pic:pic>
              </a:graphicData>
            </a:graphic>
          </wp:inline>
        </w:drawing>
      </w:r>
    </w:p>
    <w:p w14:paraId="4939C51D" w14:textId="4A615347" w:rsidR="004E173A" w:rsidRPr="00A17221" w:rsidRDefault="004E173A" w:rsidP="004E173A">
      <w:pPr>
        <w:pStyle w:val="Normalaftertitle"/>
      </w:pPr>
      <w:bookmarkStart w:id="5" w:name="_Hlk102487126"/>
      <w:r w:rsidRPr="00A17221">
        <w:t xml:space="preserve">“Worst-case linear” represents the conservative case where attenuation is the weakest or max(H,V) of the linear polarizations. Specifically, the “worst-case” represents the vertical “y” polarization or the perpendicular ( _|_ ) case with respect to the orientation of the fuselage providing the least attenuation (presented here). In the “best-case,” the polarization is horizontal “x” or the parallel ( || ) case with respect to the orientation of the fuselage providing the most attenuation (not depicted in this analysis but there is up to 10 dB of additional attenuation starting at the transition region). The formulations in this analysis are based on Ludwig’s </w:t>
      </w:r>
      <w:r w:rsidR="007B2AA6">
        <w:t>third</w:t>
      </w:r>
      <w:r w:rsidRPr="00A17221">
        <w:t xml:space="preserve"> definition where the linear E co-polarization is on the “x” axis (horizontal/parallel</w:t>
      </w:r>
      <w:proofErr w:type="gramStart"/>
      <w:r w:rsidRPr="00A17221">
        <w:t>)</w:t>
      </w:r>
      <w:proofErr w:type="gramEnd"/>
      <w:r w:rsidRPr="00A17221">
        <w:t xml:space="preserve"> and the linear E cross-polarization is on the “y” axis (vertical/perpendicular) assuming θ is zero for reference. Note: The worst-case circular polarization is always the co-polarized component because that is what the antenna radiates. While the analysis provides the “worst-case” circular and linear converge in the deep shadow region, the “best-case” (not shown) linear component provides even more attenuation.</w:t>
      </w:r>
      <w:bookmarkEnd w:id="5"/>
    </w:p>
    <w:p w14:paraId="484BC27A" w14:textId="7F98BE80" w:rsidR="004E173A" w:rsidRPr="00A17221" w:rsidRDefault="004E173A" w:rsidP="004E173A">
      <w:pPr>
        <w:pStyle w:val="FigureNo"/>
        <w:rPr>
          <w:i/>
          <w:iCs/>
        </w:rPr>
      </w:pPr>
      <w:r w:rsidRPr="00A17221">
        <w:lastRenderedPageBreak/>
        <w:t xml:space="preserve">Figure </w:t>
      </w:r>
      <w:r w:rsidR="007B2AA6">
        <w:t>8</w:t>
      </w:r>
    </w:p>
    <w:p w14:paraId="1D708D1A" w14:textId="77777777" w:rsidR="004E173A" w:rsidRPr="007B2AA6" w:rsidRDefault="004E173A" w:rsidP="004E173A">
      <w:pPr>
        <w:pStyle w:val="Figuretitle"/>
      </w:pPr>
      <w:r w:rsidRPr="00A17221">
        <w:t>Simulated Ku OMNI source a-top fuselage</w:t>
      </w:r>
    </w:p>
    <w:p w14:paraId="01E1DC91" w14:textId="77777777" w:rsidR="004E173A" w:rsidRPr="00A17221" w:rsidRDefault="004E173A" w:rsidP="004E173A">
      <w:pPr>
        <w:pStyle w:val="Figure"/>
      </w:pPr>
      <w:r w:rsidRPr="00A17221">
        <w:rPr>
          <w:noProof/>
        </w:rPr>
        <w:drawing>
          <wp:inline distT="0" distB="0" distL="0" distR="0" wp14:anchorId="30C8BFCB" wp14:editId="0BCA42AC">
            <wp:extent cx="4876048" cy="3811164"/>
            <wp:effectExtent l="0" t="0" r="0" b="8255"/>
            <wp:docPr id="17" name="Picture 17" descr="Figure 8 - Simulated Ku OMNI source a-top fuse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8 - Simulated Ku OMNI source a-top fuselage"/>
                    <pic:cNvPicPr>
                      <a:picLocks noChangeAspect="1" noChangeArrowheads="1"/>
                    </pic:cNvPicPr>
                  </pic:nvPicPr>
                  <pic:blipFill>
                    <a:blip r:embed="rId35">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4876048" cy="3811164"/>
                    </a:xfrm>
                    <a:prstGeom prst="rect">
                      <a:avLst/>
                    </a:prstGeom>
                    <a:noFill/>
                    <a:ln>
                      <a:noFill/>
                    </a:ln>
                  </pic:spPr>
                </pic:pic>
              </a:graphicData>
            </a:graphic>
          </wp:inline>
        </w:drawing>
      </w:r>
    </w:p>
    <w:p w14:paraId="50D74A0B" w14:textId="77777777" w:rsidR="004E173A" w:rsidRPr="00A17221" w:rsidRDefault="004E173A" w:rsidP="004E173A">
      <w:pPr>
        <w:pStyle w:val="Heading1"/>
      </w:pPr>
      <w:r w:rsidRPr="00A17221">
        <w:t>4</w:t>
      </w:r>
      <w:r w:rsidRPr="00A17221">
        <w:tab/>
        <w:t>Summary</w:t>
      </w:r>
    </w:p>
    <w:p w14:paraId="6E4057A5" w14:textId="362D4ECD" w:rsidR="004E173A" w:rsidRPr="00A17221" w:rsidRDefault="004E173A" w:rsidP="004E173A">
      <w:pPr>
        <w:keepNext/>
        <w:keepLines/>
        <w:rPr>
          <w:lang w:eastAsia="zh-CN"/>
        </w:rPr>
      </w:pPr>
      <w:r w:rsidRPr="00A17221">
        <w:t xml:space="preserve">Consideration of fuselage attenuation is important as this attenuation reduces emissions from the ESIM mounted on aircraft toward terrestrial stations on the Earth’s surface. Full-wave simulations were conducted for a typical mechanically steered antenna array, operating within frequency range of 27.5-29.5 GHz, with </w:t>
      </w:r>
      <w:r w:rsidRPr="00A17221">
        <w:rPr>
          <w:rFonts w:eastAsia="TimesNewRoman"/>
        </w:rPr>
        <w:t>two aircraft configurations</w:t>
      </w:r>
      <w:r w:rsidR="00201916">
        <w:rPr>
          <w:rFonts w:eastAsia="TimesNewRoman"/>
        </w:rPr>
        <w:t>,</w:t>
      </w:r>
      <w:r w:rsidRPr="00A17221">
        <w:rPr>
          <w:rFonts w:eastAsia="TimesNewRoman"/>
        </w:rPr>
        <w:t xml:space="preserve"> namely a 3.76 m and 5.77 m diameter cylinder.</w:t>
      </w:r>
      <w:r w:rsidRPr="00A17221">
        <w:t xml:space="preserve"> A similar analysis using measured data was previously conducted in Repor</w:t>
      </w:r>
      <w:r w:rsidR="009C616D">
        <w:t xml:space="preserve">t </w:t>
      </w:r>
      <w:hyperlink r:id="rId36" w:history="1">
        <w:hyperlink r:id="rId37" w:history="1">
          <w:hyperlink r:id="rId38" w:history="1">
            <w:r w:rsidR="009C616D" w:rsidRPr="009C616D">
              <w:rPr>
                <w:rStyle w:val="Hyperlink"/>
                <w:color w:val="auto"/>
                <w:u w:val="none"/>
              </w:rPr>
              <w:t>ITU-R M.2221</w:t>
            </w:r>
          </w:hyperlink>
        </w:hyperlink>
      </w:hyperlink>
      <w:r w:rsidRPr="00A17221">
        <w:t xml:space="preserve"> under </w:t>
      </w:r>
      <w:r w:rsidR="00201916">
        <w:t>§ </w:t>
      </w:r>
      <w:r w:rsidRPr="00A17221">
        <w:t>3.6.2.6.2 “Interference from aircraft earth stations to radio astronomy stations”, specifically in Fig</w:t>
      </w:r>
      <w:r w:rsidR="007B2AA6">
        <w:t>.</w:t>
      </w:r>
      <w:r w:rsidR="00EB2781">
        <w:t> </w:t>
      </w:r>
      <w:r w:rsidRPr="00A17221">
        <w:t xml:space="preserve">3.6-14. In this </w:t>
      </w:r>
      <w:r w:rsidR="007B2AA6">
        <w:t>R</w:t>
      </w:r>
      <w:r w:rsidRPr="00A17221">
        <w:t xml:space="preserve">eport, fuselage attenuation results are provided for visible region, deep shadow region and transition region. The results demonstrate that, for visible region, the Report </w:t>
      </w:r>
      <w:hyperlink r:id="rId39" w:history="1">
        <w:r w:rsidR="009C616D" w:rsidRPr="009C616D">
          <w:rPr>
            <w:rStyle w:val="Hyperlink"/>
            <w:color w:val="auto"/>
            <w:u w:val="none"/>
          </w:rPr>
          <w:t>ITU-R M.2221</w:t>
        </w:r>
      </w:hyperlink>
      <w:r w:rsidRPr="00A17221">
        <w:t xml:space="preserve"> result is almost exactly consistent, and no change is needed to the Report </w:t>
      </w:r>
      <w:hyperlink r:id="rId40" w:history="1">
        <w:r w:rsidR="009C616D" w:rsidRPr="009C616D">
          <w:rPr>
            <w:rStyle w:val="Hyperlink"/>
            <w:color w:val="auto"/>
            <w:u w:val="none"/>
          </w:rPr>
          <w:t>ITU-R M.2221</w:t>
        </w:r>
      </w:hyperlink>
      <w:r w:rsidRPr="00A17221">
        <w:t xml:space="preserve"> mask. For deep shadow region, the results show that the Report </w:t>
      </w:r>
      <w:hyperlink r:id="rId41" w:history="1">
        <w:r w:rsidR="009C616D" w:rsidRPr="009C616D">
          <w:rPr>
            <w:rStyle w:val="Hyperlink"/>
            <w:color w:val="auto"/>
            <w:u w:val="none"/>
          </w:rPr>
          <w:t>ITU-R M.2221</w:t>
        </w:r>
      </w:hyperlink>
      <w:r w:rsidRPr="00A17221">
        <w:t xml:space="preserve"> result is consistent with the start of the region. The results show significant difference after 50</w:t>
      </w:r>
      <w:r w:rsidR="005B3505">
        <w:t xml:space="preserve"> degrees</w:t>
      </w:r>
      <w:r w:rsidRPr="00A17221">
        <w:t xml:space="preserve"> off-axis angle with respect to the Report </w:t>
      </w:r>
      <w:hyperlink r:id="rId42" w:history="1">
        <w:r w:rsidR="009C616D" w:rsidRPr="009C616D">
          <w:rPr>
            <w:rStyle w:val="Hyperlink"/>
            <w:color w:val="auto"/>
            <w:u w:val="none"/>
          </w:rPr>
          <w:t>ITU-R M.2221</w:t>
        </w:r>
      </w:hyperlink>
      <w:r w:rsidRPr="00A17221">
        <w:t xml:space="preserve"> mask, demonstrating that the aircraft fuselage linearly attenuates the fields. </w:t>
      </w:r>
    </w:p>
    <w:p w14:paraId="0C33EA24" w14:textId="356F4902" w:rsidR="004E173A" w:rsidRDefault="004E173A" w:rsidP="004E173A">
      <w:r w:rsidRPr="00A17221">
        <w:rPr>
          <w:lang w:eastAsia="ko-KR"/>
        </w:rPr>
        <w:t xml:space="preserve">In addition, it should be noted that </w:t>
      </w:r>
      <w:r w:rsidRPr="00A17221">
        <w:t>other antenna and aircraft combinations and mounting scenarios need to be considered in future additions to this Report. And as noted before, additional modelling, such as a sensitivity analysis, showing that slightly different radii cylinders, or shapes that are slightly modified off of a purely cylindrical shape, would help verify that the cylindrical simplification of the fuselage in the simulation study has minimal impact on the results.</w:t>
      </w:r>
    </w:p>
    <w:p w14:paraId="3A8651CA" w14:textId="77777777" w:rsidR="00A43A79" w:rsidRDefault="00A43A79" w:rsidP="00A43A79">
      <w:pPr>
        <w:pStyle w:val="Line"/>
      </w:pPr>
    </w:p>
    <w:sectPr w:rsidR="00A43A79" w:rsidSect="00A43A79">
      <w:headerReference w:type="even" r:id="rId43"/>
      <w:headerReference w:type="default" r:id="rId44"/>
      <w:footerReference w:type="default" r:id="rId4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8BDD3" w14:textId="77777777" w:rsidR="00000310" w:rsidRDefault="00000310">
      <w:r>
        <w:separator/>
      </w:r>
    </w:p>
  </w:endnote>
  <w:endnote w:type="continuationSeparator" w:id="0">
    <w:p w14:paraId="50087AA5" w14:textId="77777777" w:rsidR="00000310" w:rsidRDefault="00000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571A4" w14:textId="77777777" w:rsidR="004E173A" w:rsidRDefault="004E173A">
    <w:pPr>
      <w:pStyle w:val="Footer"/>
    </w:pPr>
    <w:r>
      <w:drawing>
        <wp:anchor distT="0" distB="0" distL="0" distR="0" simplePos="0" relativeHeight="251656192" behindDoc="0" locked="0" layoutInCell="1" allowOverlap="1" wp14:anchorId="3674ED52" wp14:editId="3EC12E8B">
          <wp:simplePos x="0" y="0"/>
          <wp:positionH relativeFrom="page">
            <wp:posOffset>6346209</wp:posOffset>
          </wp:positionH>
          <wp:positionV relativeFrom="page">
            <wp:posOffset>9501505</wp:posOffset>
          </wp:positionV>
          <wp:extent cx="738000" cy="813600"/>
          <wp:effectExtent l="0" t="0" r="0" b="0"/>
          <wp:wrapNone/>
          <wp:docPr id="1"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F4D60" w14:textId="1D488763" w:rsidR="00A43A79" w:rsidRDefault="00A43A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6DB58" w14:textId="77777777" w:rsidR="00000310" w:rsidRDefault="00000310">
      <w:r>
        <w:separator/>
      </w:r>
    </w:p>
  </w:footnote>
  <w:footnote w:type="continuationSeparator" w:id="0">
    <w:p w14:paraId="4765AD94" w14:textId="77777777" w:rsidR="00000310" w:rsidRDefault="00000310">
      <w:r>
        <w:continuationSeparator/>
      </w:r>
    </w:p>
  </w:footnote>
  <w:footnote w:id="1">
    <w:p w14:paraId="65310869" w14:textId="77777777" w:rsidR="004E173A" w:rsidRDefault="004E173A" w:rsidP="004E173A">
      <w:pPr>
        <w:pStyle w:val="FootnoteText"/>
      </w:pPr>
      <w:r>
        <w:rPr>
          <w:rStyle w:val="FootnoteReference"/>
        </w:rPr>
        <w:footnoteRef/>
      </w:r>
      <w:r>
        <w:tab/>
        <w:t>ETSI TR 103 233, Technical Report on antenna performance characterization for GSO mobile applications.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8BE03" w14:textId="77777777" w:rsidR="004E173A" w:rsidRDefault="004E173A">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4E173A" w:rsidRPr="00A239D1" w14:paraId="64EEED08" w14:textId="77777777" w:rsidTr="0019307B">
      <w:tc>
        <w:tcPr>
          <w:tcW w:w="4634" w:type="dxa"/>
          <w:vAlign w:val="center"/>
        </w:tcPr>
        <w:p w14:paraId="210F42FA" w14:textId="77777777" w:rsidR="004E173A" w:rsidRPr="005B0371" w:rsidRDefault="004E173A"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189221F" w14:textId="77777777" w:rsidR="004E173A" w:rsidRPr="00260B24" w:rsidRDefault="004E173A"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4E173A" w:rsidRPr="00A239D1" w14:paraId="7E2D1F0A" w14:textId="77777777" w:rsidTr="0019307B">
      <w:tc>
        <w:tcPr>
          <w:tcW w:w="4634" w:type="dxa"/>
          <w:vAlign w:val="center"/>
        </w:tcPr>
        <w:p w14:paraId="3D0829B8" w14:textId="77777777" w:rsidR="004E173A" w:rsidRPr="00260B24" w:rsidRDefault="004E173A" w:rsidP="00744F8B">
          <w:pPr>
            <w:pStyle w:val="Header"/>
            <w:jc w:val="left"/>
            <w:rPr>
              <w:rFonts w:asciiTheme="minorBidi" w:hAnsiTheme="minorBidi"/>
              <w:spacing w:val="4"/>
              <w:sz w:val="21"/>
              <w:szCs w:val="21"/>
            </w:rPr>
          </w:pPr>
        </w:p>
      </w:tc>
      <w:tc>
        <w:tcPr>
          <w:tcW w:w="5998" w:type="dxa"/>
          <w:vAlign w:val="center"/>
        </w:tcPr>
        <w:p w14:paraId="7D353B33" w14:textId="77777777" w:rsidR="004E173A" w:rsidRPr="00260B24" w:rsidRDefault="004E173A"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240CCB3B" w14:textId="77777777" w:rsidR="004E173A" w:rsidRDefault="004E173A"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00AFBA62" wp14:editId="708E02F0">
          <wp:simplePos x="0" y="0"/>
          <wp:positionH relativeFrom="column">
            <wp:posOffset>-358302</wp:posOffset>
          </wp:positionH>
          <wp:positionV relativeFrom="paragraph">
            <wp:posOffset>-534670</wp:posOffset>
          </wp:positionV>
          <wp:extent cx="1945758" cy="414616"/>
          <wp:effectExtent l="0" t="0" r="0" b="0"/>
          <wp:wrapNone/>
          <wp:docPr id="5" name="Picture 5" descr="ITU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Public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58240" behindDoc="0" locked="0" layoutInCell="1" allowOverlap="1" wp14:anchorId="13139A04" wp14:editId="72084EF6">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72672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19DD4F02" w14:textId="77777777" w:rsidR="004E173A" w:rsidRDefault="004E173A"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43CA2675" wp14:editId="3D323058">
              <wp:simplePos x="0" y="0"/>
              <wp:positionH relativeFrom="page">
                <wp:posOffset>0</wp:posOffset>
              </wp:positionH>
              <wp:positionV relativeFrom="page">
                <wp:posOffset>1196340</wp:posOffset>
              </wp:positionV>
              <wp:extent cx="7560310" cy="236220"/>
              <wp:effectExtent l="0" t="0" r="0" b="0"/>
              <wp:wrapNone/>
              <wp:docPr id="7"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E7BA0D" id="Group 7" o:spid="_x0000_s1026" alt="&quot;&quot;"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3567A" w14:textId="2AA721CD" w:rsidR="004E173A" w:rsidRPr="00D72623" w:rsidRDefault="004E173A"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DA5B22">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7F3F22">
      <w:rPr>
        <w:b/>
        <w:bCs/>
        <w:noProof/>
      </w:rPr>
      <w:t>ITU-R  S.2565-0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94CA0" w14:textId="02430ADE" w:rsidR="004E173A" w:rsidRDefault="004E173A">
    <w:pPr>
      <w:pStyle w:val="Header"/>
    </w:pPr>
    <w:r>
      <w:tab/>
    </w:r>
    <w:r>
      <w:rPr>
        <w:b/>
        <w:bCs/>
      </w:rPr>
      <w:fldChar w:fldCharType="begin"/>
    </w:r>
    <w:r>
      <w:rPr>
        <w:b/>
        <w:bCs/>
      </w:rPr>
      <w:instrText xml:space="preserve"> DOCPROPERTY  "Header 2"  \* MERGEFORMAT </w:instrText>
    </w:r>
    <w:r>
      <w:rPr>
        <w:b/>
        <w:bCs/>
      </w:rPr>
      <w:fldChar w:fldCharType="separate"/>
    </w:r>
    <w:r w:rsidR="00DA5B22">
      <w:rPr>
        <w:b/>
        <w:bCs/>
      </w:rPr>
      <w:t xml:space="preserve">Rep. </w:t>
    </w:r>
    <w:r>
      <w:rPr>
        <w:b/>
        <w:bCs/>
      </w:rPr>
      <w:fldChar w:fldCharType="end"/>
    </w:r>
    <w:r>
      <w:rPr>
        <w:b/>
        <w:bCs/>
      </w:rPr>
      <w:t xml:space="preserve"> </w:t>
    </w:r>
    <w:r>
      <w:rPr>
        <w:b/>
        <w:bCs/>
      </w:rPr>
      <w:fldChar w:fldCharType="begin"/>
    </w:r>
    <w:r>
      <w:rPr>
        <w:b/>
        <w:bCs/>
      </w:rPr>
      <w:instrText>styleref href</w:instrText>
    </w:r>
    <w:r>
      <w:rPr>
        <w:b/>
        <w:bCs/>
      </w:rPr>
      <w:fldChar w:fldCharType="separate"/>
    </w:r>
    <w:r w:rsidR="00DA5B22">
      <w:rPr>
        <w:b/>
        <w:bCs/>
        <w:noProof/>
      </w:rPr>
      <w:t>ITU-R  S.2565-0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41842" w14:textId="26DCA88F"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A43A79">
      <w:rPr>
        <w:b/>
        <w:bCs/>
        <w:lang w:val="en-US"/>
      </w:rPr>
      <w:fldChar w:fldCharType="begin"/>
    </w:r>
    <w:r w:rsidR="00A43A79">
      <w:rPr>
        <w:b/>
        <w:bCs/>
        <w:lang w:val="en-US"/>
      </w:rPr>
      <w:instrText xml:space="preserve"> DOCPROPERTY  "Header 2"  \* MERGEFORMAT </w:instrText>
    </w:r>
    <w:r w:rsidR="00A43A79">
      <w:rPr>
        <w:b/>
        <w:bCs/>
        <w:lang w:val="en-US"/>
      </w:rPr>
      <w:fldChar w:fldCharType="separate"/>
    </w:r>
    <w:r w:rsidR="00DA5B22">
      <w:rPr>
        <w:b/>
        <w:bCs/>
        <w:lang w:val="en-US"/>
      </w:rPr>
      <w:t xml:space="preserve">Rep. </w:t>
    </w:r>
    <w:r w:rsidR="00A43A79">
      <w:rPr>
        <w:b/>
        <w:bCs/>
        <w:lang w:val="en-US"/>
      </w:rPr>
      <w:fldChar w:fldCharType="end"/>
    </w:r>
    <w:r w:rsidR="00A43A79">
      <w:rPr>
        <w:b/>
        <w:bCs/>
      </w:rPr>
      <w:t xml:space="preserve"> </w:t>
    </w:r>
    <w:r w:rsidR="00A43A79">
      <w:rPr>
        <w:b/>
        <w:bCs/>
      </w:rPr>
      <w:fldChar w:fldCharType="begin"/>
    </w:r>
    <w:r w:rsidR="00A43A79">
      <w:rPr>
        <w:b/>
        <w:bCs/>
        <w:lang w:val="en-US"/>
      </w:rPr>
      <w:instrText>styleref href</w:instrText>
    </w:r>
    <w:r w:rsidR="00A43A79">
      <w:rPr>
        <w:b/>
        <w:bCs/>
      </w:rPr>
      <w:fldChar w:fldCharType="separate"/>
    </w:r>
    <w:r w:rsidR="007F3F22">
      <w:rPr>
        <w:b/>
        <w:bCs/>
        <w:noProof/>
      </w:rPr>
      <w:t>ITU-R  S.2565-0</w:t>
    </w:r>
    <w:r w:rsidR="00A43A79">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7FDA1" w14:textId="6B3C21A9" w:rsidR="00607D68" w:rsidRDefault="00607D68">
    <w:pPr>
      <w:pStyle w:val="Header"/>
    </w:pPr>
    <w:r>
      <w:tab/>
    </w:r>
    <w:r w:rsidR="00A43A79">
      <w:rPr>
        <w:b/>
        <w:bCs/>
        <w:lang w:val="en-US"/>
      </w:rPr>
      <w:fldChar w:fldCharType="begin"/>
    </w:r>
    <w:r w:rsidR="00A43A79">
      <w:rPr>
        <w:b/>
        <w:bCs/>
        <w:lang w:val="en-US"/>
      </w:rPr>
      <w:instrText xml:space="preserve"> DOCPROPERTY  "Header 2"  \* MERGEFORMAT </w:instrText>
    </w:r>
    <w:r w:rsidR="00A43A79">
      <w:rPr>
        <w:b/>
        <w:bCs/>
        <w:lang w:val="en-US"/>
      </w:rPr>
      <w:fldChar w:fldCharType="separate"/>
    </w:r>
    <w:r w:rsidR="00DA5B22">
      <w:rPr>
        <w:b/>
        <w:bCs/>
        <w:lang w:val="en-US"/>
      </w:rPr>
      <w:t xml:space="preserve">Rep. </w:t>
    </w:r>
    <w:r w:rsidR="00A43A79">
      <w:rPr>
        <w:b/>
        <w:bCs/>
        <w:lang w:val="en-US"/>
      </w:rPr>
      <w:fldChar w:fldCharType="end"/>
    </w:r>
    <w:r w:rsidR="00A43A79">
      <w:rPr>
        <w:b/>
        <w:bCs/>
      </w:rPr>
      <w:t xml:space="preserve"> </w:t>
    </w:r>
    <w:r w:rsidR="00A43A79">
      <w:rPr>
        <w:b/>
        <w:bCs/>
      </w:rPr>
      <w:fldChar w:fldCharType="begin"/>
    </w:r>
    <w:r w:rsidR="00A43A79">
      <w:rPr>
        <w:b/>
        <w:bCs/>
        <w:lang w:val="en-US"/>
      </w:rPr>
      <w:instrText>styleref href</w:instrText>
    </w:r>
    <w:r w:rsidR="00A43A79">
      <w:rPr>
        <w:b/>
        <w:bCs/>
      </w:rPr>
      <w:fldChar w:fldCharType="separate"/>
    </w:r>
    <w:r w:rsidR="007F3F22">
      <w:rPr>
        <w:b/>
        <w:bCs/>
        <w:noProof/>
      </w:rPr>
      <w:t>ITU-R  S.2565-0</w:t>
    </w:r>
    <w:r w:rsidR="00A43A79">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73A"/>
    <w:rsid w:val="00000310"/>
    <w:rsid w:val="00201916"/>
    <w:rsid w:val="00217EBF"/>
    <w:rsid w:val="00242AEE"/>
    <w:rsid w:val="002D76C4"/>
    <w:rsid w:val="004104A3"/>
    <w:rsid w:val="004E173A"/>
    <w:rsid w:val="00512341"/>
    <w:rsid w:val="0052529D"/>
    <w:rsid w:val="00526059"/>
    <w:rsid w:val="00580CC5"/>
    <w:rsid w:val="005B12AA"/>
    <w:rsid w:val="005B3505"/>
    <w:rsid w:val="00607D68"/>
    <w:rsid w:val="006A706C"/>
    <w:rsid w:val="007468DA"/>
    <w:rsid w:val="00791858"/>
    <w:rsid w:val="007B2AA6"/>
    <w:rsid w:val="007C47AE"/>
    <w:rsid w:val="007F3F22"/>
    <w:rsid w:val="00807929"/>
    <w:rsid w:val="0087440C"/>
    <w:rsid w:val="009C616D"/>
    <w:rsid w:val="009E00A8"/>
    <w:rsid w:val="00A43A79"/>
    <w:rsid w:val="00A6617B"/>
    <w:rsid w:val="00AB0DC8"/>
    <w:rsid w:val="00B44E24"/>
    <w:rsid w:val="00DA5B22"/>
    <w:rsid w:val="00DC2B47"/>
    <w:rsid w:val="00DF4176"/>
    <w:rsid w:val="00E00708"/>
    <w:rsid w:val="00EB2781"/>
    <w:rsid w:val="00ED60E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50"/>
    <o:shapelayout v:ext="edit">
      <o:idmap v:ext="edit" data="2"/>
    </o:shapelayout>
  </w:shapeDefaults>
  <w:decimalSymbol w:val="."/>
  <w:listSeparator w:val=","/>
  <w14:docId w14:val="163A41C1"/>
  <w15:docId w15:val="{E3AB2381-8E18-4B4B-8B4C-4B4D06455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2B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uiPriority w:val="9"/>
    <w:rsid w:val="004E173A"/>
    <w:rPr>
      <w:b/>
      <w:sz w:val="24"/>
      <w:lang w:val="en-GB" w:eastAsia="en-US"/>
    </w:rPr>
  </w:style>
  <w:style w:type="character" w:customStyle="1" w:styleId="HeaderChar">
    <w:name w:val="Header Char"/>
    <w:basedOn w:val="DefaultParagraphFont"/>
    <w:link w:val="Header"/>
    <w:uiPriority w:val="99"/>
    <w:rsid w:val="004E173A"/>
    <w:rPr>
      <w:sz w:val="24"/>
      <w:lang w:val="en-GB" w:eastAsia="en-US"/>
    </w:rPr>
  </w:style>
  <w:style w:type="character" w:customStyle="1" w:styleId="FooterChar">
    <w:name w:val="Footer Char"/>
    <w:basedOn w:val="DefaultParagraphFont"/>
    <w:link w:val="Footer"/>
    <w:rsid w:val="004E173A"/>
    <w:rPr>
      <w:noProof/>
      <w:sz w:val="18"/>
      <w:lang w:val="en-GB" w:eastAsia="en-US"/>
    </w:rPr>
  </w:style>
  <w:style w:type="character" w:styleId="Hyperlink">
    <w:name w:val="Hyperlink"/>
    <w:basedOn w:val="DefaultParagraphFont"/>
    <w:rsid w:val="004E173A"/>
    <w:rPr>
      <w:color w:val="0000FF"/>
      <w:u w:val="single"/>
    </w:rPr>
  </w:style>
  <w:style w:type="table" w:styleId="TableGrid">
    <w:name w:val="Table Grid"/>
    <w:basedOn w:val="TableNormal"/>
    <w:uiPriority w:val="39"/>
    <w:rsid w:val="004E173A"/>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4E173A"/>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4E173A"/>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4E173A"/>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4E173A"/>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2Char">
    <w:name w:val="Heading 2 Char"/>
    <w:basedOn w:val="DefaultParagraphFont"/>
    <w:link w:val="Heading2"/>
    <w:rsid w:val="004E173A"/>
    <w:rPr>
      <w:b/>
      <w:sz w:val="24"/>
      <w:lang w:val="en-GB" w:eastAsia="en-US"/>
    </w:rPr>
  </w:style>
  <w:style w:type="character" w:customStyle="1" w:styleId="FootnoteTextChar">
    <w:name w:val="Footnote Text Char"/>
    <w:basedOn w:val="DefaultParagraphFont"/>
    <w:link w:val="FootnoteText"/>
    <w:rsid w:val="004E173A"/>
    <w:rPr>
      <w:sz w:val="22"/>
      <w:lang w:val="en-GB" w:eastAsia="en-US"/>
    </w:rPr>
  </w:style>
  <w:style w:type="character" w:customStyle="1" w:styleId="FiguretitleChar">
    <w:name w:val="Figure_title Char"/>
    <w:basedOn w:val="DefaultParagraphFont"/>
    <w:link w:val="Figuretitle"/>
    <w:rsid w:val="004E173A"/>
    <w:rPr>
      <w:rFonts w:ascii="Times New Roman Bold" w:hAnsi="Times New Roman Bold"/>
      <w:b/>
      <w:sz w:val="18"/>
      <w:lang w:val="en-GB" w:eastAsia="en-US"/>
    </w:rPr>
  </w:style>
  <w:style w:type="character" w:customStyle="1" w:styleId="HeadingbChar">
    <w:name w:val="Heading_b Char"/>
    <w:link w:val="Headingb"/>
    <w:qFormat/>
    <w:locked/>
    <w:rsid w:val="004E173A"/>
    <w:rPr>
      <w:b/>
      <w:sz w:val="24"/>
      <w:lang w:val="en-GB" w:eastAsia="en-US"/>
    </w:rPr>
  </w:style>
  <w:style w:type="character" w:customStyle="1" w:styleId="NormalaftertitleChar">
    <w:name w:val="Normal_after_title Char"/>
    <w:link w:val="Normalaftertitle"/>
    <w:locked/>
    <w:rsid w:val="004E173A"/>
    <w:rPr>
      <w:sz w:val="24"/>
      <w:lang w:val="en-GB" w:eastAsia="en-US"/>
    </w:rPr>
  </w:style>
  <w:style w:type="character" w:customStyle="1" w:styleId="enumlev1Char">
    <w:name w:val="enumlev1 Char"/>
    <w:basedOn w:val="DefaultParagraphFont"/>
    <w:link w:val="enumlev1"/>
    <w:qFormat/>
    <w:locked/>
    <w:rsid w:val="004E173A"/>
    <w:rPr>
      <w:sz w:val="24"/>
      <w:lang w:val="en-GB" w:eastAsia="en-US"/>
    </w:rPr>
  </w:style>
  <w:style w:type="character" w:styleId="CommentReference">
    <w:name w:val="annotation reference"/>
    <w:basedOn w:val="DefaultParagraphFont"/>
    <w:semiHidden/>
    <w:unhideWhenUsed/>
    <w:rsid w:val="00DA5B22"/>
    <w:rPr>
      <w:sz w:val="16"/>
      <w:szCs w:val="16"/>
    </w:rPr>
  </w:style>
  <w:style w:type="paragraph" w:styleId="CommentText">
    <w:name w:val="annotation text"/>
    <w:basedOn w:val="Normal"/>
    <w:link w:val="CommentTextChar"/>
    <w:unhideWhenUsed/>
    <w:rsid w:val="00DA5B22"/>
    <w:rPr>
      <w:sz w:val="20"/>
    </w:rPr>
  </w:style>
  <w:style w:type="character" w:customStyle="1" w:styleId="CommentTextChar">
    <w:name w:val="Comment Text Char"/>
    <w:basedOn w:val="DefaultParagraphFont"/>
    <w:link w:val="CommentText"/>
    <w:rsid w:val="00DA5B22"/>
    <w:rPr>
      <w:lang w:val="en-GB" w:eastAsia="en-US"/>
    </w:rPr>
  </w:style>
  <w:style w:type="paragraph" w:styleId="CommentSubject">
    <w:name w:val="annotation subject"/>
    <w:basedOn w:val="CommentText"/>
    <w:next w:val="CommentText"/>
    <w:link w:val="CommentSubjectChar"/>
    <w:semiHidden/>
    <w:unhideWhenUsed/>
    <w:rsid w:val="00DA5B22"/>
    <w:rPr>
      <w:b/>
      <w:bCs/>
    </w:rPr>
  </w:style>
  <w:style w:type="character" w:customStyle="1" w:styleId="CommentSubjectChar">
    <w:name w:val="Comment Subject Char"/>
    <w:basedOn w:val="CommentTextChar"/>
    <w:link w:val="CommentSubject"/>
    <w:semiHidden/>
    <w:rsid w:val="00DA5B22"/>
    <w:rPr>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pub/R-REP-M.2221" TargetMode="External"/><Relationship Id="rId18" Type="http://schemas.openxmlformats.org/officeDocument/2006/relationships/image" Target="media/image4.png"/><Relationship Id="rId26" Type="http://schemas.openxmlformats.org/officeDocument/2006/relationships/hyperlink" Target="https://www.itu.int/pub/R-REP-M.2221" TargetMode="External"/><Relationship Id="rId39" Type="http://schemas.openxmlformats.org/officeDocument/2006/relationships/hyperlink" Target="https://www.itu.int/pub/R-REP-M.2221" TargetMode="External"/><Relationship Id="rId21" Type="http://schemas.openxmlformats.org/officeDocument/2006/relationships/image" Target="media/image7.png"/><Relationship Id="rId34" Type="http://schemas.openxmlformats.org/officeDocument/2006/relationships/image" Target="media/image11.png"/><Relationship Id="rId42" Type="http://schemas.openxmlformats.org/officeDocument/2006/relationships/hyperlink" Target="https://www.itu.int/pub/R-REP-M.2221" TargetMode="External"/><Relationship Id="rId47" Type="http://schemas.openxmlformats.org/officeDocument/2006/relationships/theme" Target="theme/theme1.xm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yperlink" Target="https://www.itu.int/pub/R-REP-M.2221" TargetMode="External"/><Relationship Id="rId29" Type="http://schemas.openxmlformats.org/officeDocument/2006/relationships/hyperlink" Target="https://www.itu.int/pub/R-REP-M.2221"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3.xml"/><Relationship Id="rId24" Type="http://schemas.openxmlformats.org/officeDocument/2006/relationships/hyperlink" Target="https://www.itu.int/pub/R-REP-M.2221" TargetMode="External"/><Relationship Id="rId32" Type="http://schemas.openxmlformats.org/officeDocument/2006/relationships/hyperlink" Target="https://www.itu.int/pub/R-REP-M.2221" TargetMode="External"/><Relationship Id="rId37" Type="http://schemas.openxmlformats.org/officeDocument/2006/relationships/hyperlink" Target="https://www.itu.int/pub/R-REP-M.2221" TargetMode="External"/><Relationship Id="rId40" Type="http://schemas.openxmlformats.org/officeDocument/2006/relationships/hyperlink" Target="https://www.itu.int/pub/R-REP-M.2221" TargetMode="External"/><Relationship Id="rId45"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https://www.itu.int/pub/R-REP-M.2221" TargetMode="External"/><Relationship Id="rId23" Type="http://schemas.openxmlformats.org/officeDocument/2006/relationships/image" Target="media/image9.png"/><Relationship Id="rId28" Type="http://schemas.openxmlformats.org/officeDocument/2006/relationships/image" Target="media/image10.png"/><Relationship Id="rId36" Type="http://schemas.openxmlformats.org/officeDocument/2006/relationships/hyperlink" Target="https://www.itu.int/pub/R-REP-M.2221" TargetMode="External"/><Relationship Id="rId10" Type="http://schemas.openxmlformats.org/officeDocument/2006/relationships/hyperlink" Target="https://www.itu.int/publ/R-REP/en" TargetMode="External"/><Relationship Id="rId19" Type="http://schemas.openxmlformats.org/officeDocument/2006/relationships/image" Target="media/image5.png"/><Relationship Id="rId31" Type="http://schemas.openxmlformats.org/officeDocument/2006/relationships/hyperlink" Target="https://www.itu.int/pub/R-REP-M.2221" TargetMode="External"/><Relationship Id="rId44" Type="http://schemas.openxmlformats.org/officeDocument/2006/relationships/header" Target="header6.xml"/><Relationship Id="rId4" Type="http://schemas.openxmlformats.org/officeDocument/2006/relationships/footnotes" Target="footnotes.xml"/><Relationship Id="rId9" Type="http://schemas.openxmlformats.org/officeDocument/2006/relationships/hyperlink" Target="https://www.itu.int/ITU-R/go/patents/en" TargetMode="External"/><Relationship Id="rId14" Type="http://schemas.openxmlformats.org/officeDocument/2006/relationships/hyperlink" Target="https://www.itu.int/pub/R-REP-M.2221" TargetMode="External"/><Relationship Id="rId22" Type="http://schemas.openxmlformats.org/officeDocument/2006/relationships/image" Target="media/image8.png"/><Relationship Id="rId27" Type="http://schemas.openxmlformats.org/officeDocument/2006/relationships/hyperlink" Target="https://www.itu.int/pub/R-REP-M.2221" TargetMode="External"/><Relationship Id="rId30" Type="http://schemas.openxmlformats.org/officeDocument/2006/relationships/hyperlink" Target="https://www.itu.int/pub/R-REP-M.2221" TargetMode="External"/><Relationship Id="rId35" Type="http://schemas.openxmlformats.org/officeDocument/2006/relationships/image" Target="media/image12.png"/><Relationship Id="rId43" Type="http://schemas.openxmlformats.org/officeDocument/2006/relationships/header" Target="header5.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header" Target="header4.xml"/><Relationship Id="rId17" Type="http://schemas.openxmlformats.org/officeDocument/2006/relationships/image" Target="media/image3.png"/><Relationship Id="rId25" Type="http://schemas.openxmlformats.org/officeDocument/2006/relationships/hyperlink" Target="https://www.itu.int/pub/R-REP-M.2221" TargetMode="External"/><Relationship Id="rId33" Type="http://schemas.openxmlformats.org/officeDocument/2006/relationships/hyperlink" Target="https://www.itu.int/pub/R-REP-M.2221" TargetMode="External"/><Relationship Id="rId38" Type="http://schemas.openxmlformats.org/officeDocument/2006/relationships/hyperlink" Target="https://www.itu.int/pub/R-REP-M.2221" TargetMode="External"/><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https://www.itu.int/pub/R-REP-M.222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mezy\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17</TotalTime>
  <Pages>11</Pages>
  <Words>2512</Words>
  <Characters>15126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S.2565-0 (11/2025) Simulation results of fuselage attenuation for Aeronautical Earth Stations In Motion (A-ESIM) in the 27.5 29.5 GHz band</dc:title>
  <dc:subject/>
  <dc:creator>Gachet, Christelle</dc:creator>
  <cp:keywords>A-ESIM, ESIM, Fuselage attenuation</cp:keywords>
  <dc:description/>
  <cp:lastModifiedBy>Gomez, Yoanni</cp:lastModifiedBy>
  <cp:revision>8</cp:revision>
  <cp:lastPrinted>2005-02-10T15:54:00Z</cp:lastPrinted>
  <dcterms:created xsi:type="dcterms:W3CDTF">2026-01-12T13:45:00Z</dcterms:created>
  <dcterms:modified xsi:type="dcterms:W3CDTF">2026-01-19T08:39:00Z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