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15989" w14:textId="77777777" w:rsidR="00FE79FE" w:rsidRPr="00F03387" w:rsidRDefault="00FE79FE">
      <w:pPr>
        <w:rPr>
          <w:lang w:val="en-GB"/>
        </w:rPr>
      </w:pPr>
    </w:p>
    <w:p w14:paraId="00C4E00C" w14:textId="77777777" w:rsidR="00FE79FE" w:rsidRPr="00F03387" w:rsidRDefault="00FE79FE">
      <w:pPr>
        <w:rPr>
          <w:lang w:val="en-GB"/>
        </w:rPr>
      </w:pPr>
    </w:p>
    <w:p w14:paraId="1BD3E8D4" w14:textId="4199743A" w:rsidR="00FE79FE" w:rsidRPr="00F03387" w:rsidRDefault="00FE79FE">
      <w:pPr>
        <w:rPr>
          <w:lang w:val="en-GB"/>
        </w:rPr>
      </w:pPr>
    </w:p>
    <w:p w14:paraId="2B97D6E6" w14:textId="77777777" w:rsidR="00FE79FE" w:rsidRPr="00F03387" w:rsidRDefault="00FE79FE">
      <w:pPr>
        <w:rPr>
          <w:lang w:val="en-GB"/>
        </w:rPr>
      </w:pPr>
    </w:p>
    <w:p w14:paraId="7B1BF846" w14:textId="77777777" w:rsidR="00FE79FE" w:rsidRPr="00F03387" w:rsidRDefault="00FE79FE">
      <w:pPr>
        <w:rPr>
          <w:lang w:val="en-GB"/>
        </w:rPr>
      </w:pPr>
    </w:p>
    <w:p w14:paraId="7B109F42" w14:textId="77777777" w:rsidR="00013002" w:rsidRPr="00F03387" w:rsidRDefault="00013002">
      <w:pPr>
        <w:rPr>
          <w:lang w:val="en-GB"/>
        </w:rPr>
      </w:pPr>
    </w:p>
    <w:p w14:paraId="47BA98F1" w14:textId="77777777" w:rsidR="00013002" w:rsidRPr="00F03387" w:rsidRDefault="00013002">
      <w:pPr>
        <w:rPr>
          <w:lang w:val="en-GB"/>
        </w:rPr>
      </w:pPr>
    </w:p>
    <w:p w14:paraId="5C8A3A07" w14:textId="77777777" w:rsidR="00013002" w:rsidRPr="00F03387" w:rsidRDefault="00013002">
      <w:pPr>
        <w:rPr>
          <w:lang w:val="en-GB"/>
        </w:rPr>
      </w:pPr>
    </w:p>
    <w:p w14:paraId="3DE10EA3" w14:textId="77777777" w:rsidR="00FE79FE" w:rsidRPr="00F03387" w:rsidRDefault="00FE79FE">
      <w:pPr>
        <w:rPr>
          <w:lang w:val="en-GB"/>
        </w:rPr>
      </w:pPr>
    </w:p>
    <w:p w14:paraId="7DFB52DC" w14:textId="77777777" w:rsidR="00FE79FE" w:rsidRPr="00F03387" w:rsidRDefault="00FE79FE">
      <w:pPr>
        <w:rPr>
          <w:lang w:val="en-GB"/>
        </w:rPr>
      </w:pPr>
    </w:p>
    <w:p w14:paraId="2DA6C559" w14:textId="77777777" w:rsidR="00FE79FE" w:rsidRPr="00F03387" w:rsidRDefault="00FE79FE">
      <w:pPr>
        <w:rPr>
          <w:lang w:val="en-GB"/>
        </w:rPr>
      </w:pPr>
    </w:p>
    <w:p w14:paraId="71EDB1E2" w14:textId="77777777" w:rsidR="00FE79FE" w:rsidRPr="00F03387" w:rsidRDefault="00FE79FE">
      <w:pPr>
        <w:rPr>
          <w:lang w:val="en-GB"/>
        </w:rPr>
      </w:pPr>
    </w:p>
    <w:tbl>
      <w:tblPr>
        <w:tblW w:w="10089" w:type="dxa"/>
        <w:tblLook w:val="01E0" w:firstRow="1" w:lastRow="1" w:firstColumn="1" w:lastColumn="1" w:noHBand="0" w:noVBand="0"/>
      </w:tblPr>
      <w:tblGrid>
        <w:gridCol w:w="10089"/>
      </w:tblGrid>
      <w:tr w:rsidR="00FE79FE" w:rsidRPr="00F03387" w14:paraId="0E318D35" w14:textId="77777777" w:rsidTr="00CA47D8">
        <w:tc>
          <w:tcPr>
            <w:tcW w:w="10089" w:type="dxa"/>
          </w:tcPr>
          <w:p w14:paraId="46CE210A" w14:textId="77777777" w:rsidR="00276D21" w:rsidRPr="00F03387" w:rsidRDefault="00D73FBE" w:rsidP="00CA47D8">
            <w:pPr>
              <w:spacing w:before="380" w:line="280" w:lineRule="exact"/>
              <w:jc w:val="right"/>
              <w:rPr>
                <w:rFonts w:ascii="Tahoma" w:hAnsi="Tahoma" w:cs="Tahoma"/>
                <w:b/>
                <w:bCs/>
                <w:iCs/>
                <w:color w:val="509141"/>
                <w:sz w:val="32"/>
                <w:szCs w:val="32"/>
                <w:lang w:val="en-GB"/>
              </w:rPr>
            </w:pPr>
            <w:r w:rsidRPr="00F03387">
              <w:rPr>
                <w:rFonts w:ascii="Tahoma" w:hAnsi="Tahoma" w:cs="Tahoma"/>
                <w:b/>
                <w:bCs/>
                <w:iCs/>
                <w:color w:val="509141"/>
                <w:position w:val="-10"/>
                <w:sz w:val="32"/>
                <w:szCs w:val="32"/>
                <w:lang w:val="en-GB"/>
              </w:rPr>
              <w:object w:dxaOrig="180" w:dyaOrig="340" w14:anchorId="3D5D2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6.85pt" o:ole="">
                  <v:imagedata r:id="rId8" o:title=""/>
                </v:shape>
                <o:OLEObject Type="Embed" ProgID="Equation.3" ShapeID="_x0000_i1025" DrawAspect="Content" ObjectID="_1732006193" r:id="rId9"/>
              </w:object>
            </w:r>
          </w:p>
          <w:p w14:paraId="683B5DCF" w14:textId="2C9A94D8" w:rsidR="00FE79FE" w:rsidRPr="00F03387" w:rsidRDefault="00FE79FE" w:rsidP="00CA47D8">
            <w:pPr>
              <w:spacing w:before="380" w:line="280" w:lineRule="exact"/>
              <w:jc w:val="right"/>
              <w:rPr>
                <w:rFonts w:ascii="Tahoma" w:hAnsi="Tahoma" w:cs="Tahoma"/>
                <w:b/>
                <w:bCs/>
                <w:iCs/>
                <w:color w:val="509141"/>
                <w:sz w:val="36"/>
                <w:szCs w:val="36"/>
                <w:lang w:val="en-GB"/>
              </w:rPr>
            </w:pPr>
            <w:proofErr w:type="gramStart"/>
            <w:r w:rsidRPr="00F03387">
              <w:rPr>
                <w:rFonts w:ascii="Tahoma" w:hAnsi="Tahoma" w:cs="Tahoma"/>
                <w:b/>
                <w:bCs/>
                <w:iCs/>
                <w:color w:val="509141"/>
                <w:sz w:val="36"/>
                <w:szCs w:val="36"/>
                <w:lang w:val="en-GB"/>
              </w:rPr>
              <w:t>R</w:t>
            </w:r>
            <w:r w:rsidR="00526063" w:rsidRPr="00F03387">
              <w:rPr>
                <w:rFonts w:ascii="Tahoma" w:hAnsi="Tahoma" w:cs="Tahoma"/>
                <w:b/>
                <w:bCs/>
                <w:iCs/>
                <w:color w:val="509141"/>
                <w:sz w:val="36"/>
                <w:szCs w:val="36"/>
                <w:lang w:val="en-GB"/>
              </w:rPr>
              <w:t>eport</w:t>
            </w:r>
            <w:r w:rsidRPr="00F03387">
              <w:rPr>
                <w:rFonts w:ascii="Tahoma" w:hAnsi="Tahoma" w:cs="Tahoma"/>
                <w:b/>
                <w:bCs/>
                <w:iCs/>
                <w:color w:val="509141"/>
                <w:sz w:val="36"/>
                <w:szCs w:val="36"/>
                <w:lang w:val="en-GB"/>
              </w:rPr>
              <w:t xml:space="preserve">  ITU</w:t>
            </w:r>
            <w:proofErr w:type="gramEnd"/>
            <w:r w:rsidRPr="00F03387">
              <w:rPr>
                <w:rFonts w:ascii="Tahoma" w:hAnsi="Tahoma" w:cs="Tahoma"/>
                <w:b/>
                <w:bCs/>
                <w:iCs/>
                <w:color w:val="509141"/>
                <w:sz w:val="36"/>
                <w:szCs w:val="36"/>
                <w:lang w:val="en-GB"/>
              </w:rPr>
              <w:t xml:space="preserve">-R  </w:t>
            </w:r>
            <w:r w:rsidR="003B4EE8" w:rsidRPr="00F03387">
              <w:rPr>
                <w:rFonts w:ascii="Tahoma" w:hAnsi="Tahoma" w:cs="Tahoma"/>
                <w:b/>
                <w:bCs/>
                <w:iCs/>
                <w:color w:val="509141"/>
                <w:sz w:val="36"/>
                <w:szCs w:val="36"/>
                <w:lang w:val="en-GB"/>
              </w:rPr>
              <w:t>S</w:t>
            </w:r>
            <w:r w:rsidRPr="00F03387">
              <w:rPr>
                <w:rFonts w:ascii="Tahoma" w:hAnsi="Tahoma" w:cs="Tahoma"/>
                <w:b/>
                <w:bCs/>
                <w:iCs/>
                <w:color w:val="509141"/>
                <w:sz w:val="36"/>
                <w:szCs w:val="36"/>
                <w:lang w:val="en-GB"/>
              </w:rPr>
              <w:t>.</w:t>
            </w:r>
            <w:r w:rsidR="00843EBB" w:rsidRPr="00F03387">
              <w:rPr>
                <w:rFonts w:ascii="Tahoma" w:hAnsi="Tahoma" w:cs="Tahoma"/>
                <w:b/>
                <w:bCs/>
                <w:iCs/>
                <w:color w:val="509141"/>
                <w:sz w:val="36"/>
                <w:szCs w:val="36"/>
                <w:lang w:val="en-GB"/>
              </w:rPr>
              <w:t>2</w:t>
            </w:r>
            <w:r w:rsidR="00FF5F09" w:rsidRPr="00F03387">
              <w:rPr>
                <w:rFonts w:ascii="Tahoma" w:hAnsi="Tahoma" w:cs="Tahoma"/>
                <w:b/>
                <w:bCs/>
                <w:iCs/>
                <w:color w:val="509141"/>
                <w:sz w:val="36"/>
                <w:szCs w:val="36"/>
                <w:lang w:val="en-GB"/>
              </w:rPr>
              <w:t>515</w:t>
            </w:r>
            <w:r w:rsidR="00843EBB" w:rsidRPr="00F03387">
              <w:rPr>
                <w:rFonts w:ascii="Tahoma" w:hAnsi="Tahoma" w:cs="Tahoma"/>
                <w:b/>
                <w:bCs/>
                <w:iCs/>
                <w:color w:val="509141"/>
                <w:sz w:val="36"/>
                <w:szCs w:val="36"/>
                <w:lang w:val="en-GB"/>
              </w:rPr>
              <w:t>-0</w:t>
            </w:r>
          </w:p>
          <w:p w14:paraId="488AC197" w14:textId="542B786B" w:rsidR="00FE79FE" w:rsidRPr="00F03387" w:rsidRDefault="00FE79FE" w:rsidP="003C2F20">
            <w:pPr>
              <w:spacing w:before="80" w:line="280" w:lineRule="exact"/>
              <w:jc w:val="right"/>
              <w:rPr>
                <w:rFonts w:ascii="Tahoma" w:hAnsi="Tahoma" w:cs="Tahoma"/>
                <w:iCs/>
                <w:color w:val="509141"/>
                <w:szCs w:val="24"/>
                <w:lang w:val="en-GB"/>
              </w:rPr>
            </w:pPr>
            <w:r w:rsidRPr="00F03387">
              <w:rPr>
                <w:rFonts w:ascii="Tahoma" w:hAnsi="Tahoma" w:cs="Tahoma"/>
                <w:b/>
                <w:bCs/>
                <w:iCs/>
                <w:color w:val="509141"/>
                <w:szCs w:val="24"/>
                <w:lang w:val="en-GB"/>
              </w:rPr>
              <w:t>(</w:t>
            </w:r>
            <w:r w:rsidR="00FF5F09" w:rsidRPr="00F03387">
              <w:rPr>
                <w:rFonts w:ascii="Tahoma" w:hAnsi="Tahoma" w:cs="Tahoma"/>
                <w:b/>
                <w:bCs/>
                <w:iCs/>
                <w:color w:val="509141"/>
                <w:szCs w:val="24"/>
                <w:lang w:val="en-GB"/>
              </w:rPr>
              <w:t>09</w:t>
            </w:r>
            <w:r w:rsidRPr="00F03387">
              <w:rPr>
                <w:rFonts w:ascii="Tahoma" w:hAnsi="Tahoma" w:cs="Tahoma"/>
                <w:b/>
                <w:bCs/>
                <w:iCs/>
                <w:color w:val="509141"/>
                <w:szCs w:val="24"/>
                <w:lang w:val="en-GB"/>
              </w:rPr>
              <w:t>/</w:t>
            </w:r>
            <w:r w:rsidR="00756367" w:rsidRPr="00F03387">
              <w:rPr>
                <w:rFonts w:ascii="Tahoma" w:hAnsi="Tahoma" w:cs="Tahoma"/>
                <w:b/>
                <w:bCs/>
                <w:iCs/>
                <w:color w:val="509141"/>
                <w:szCs w:val="24"/>
                <w:lang w:val="en-GB"/>
              </w:rPr>
              <w:t>20</w:t>
            </w:r>
            <w:r w:rsidR="00FF5F09" w:rsidRPr="00F03387">
              <w:rPr>
                <w:rFonts w:ascii="Tahoma" w:hAnsi="Tahoma" w:cs="Tahoma"/>
                <w:b/>
                <w:bCs/>
                <w:iCs/>
                <w:color w:val="509141"/>
                <w:szCs w:val="24"/>
                <w:lang w:val="en-GB"/>
              </w:rPr>
              <w:t>22</w:t>
            </w:r>
            <w:r w:rsidRPr="00F03387">
              <w:rPr>
                <w:rFonts w:ascii="Tahoma" w:hAnsi="Tahoma" w:cs="Tahoma"/>
                <w:b/>
                <w:bCs/>
                <w:iCs/>
                <w:color w:val="509141"/>
                <w:szCs w:val="24"/>
                <w:lang w:val="en-GB"/>
              </w:rPr>
              <w:t>)</w:t>
            </w:r>
          </w:p>
        </w:tc>
      </w:tr>
      <w:tr w:rsidR="00FE79FE" w:rsidRPr="00A31FFF" w14:paraId="0A23FD5D" w14:textId="77777777" w:rsidTr="00CA47D8">
        <w:tc>
          <w:tcPr>
            <w:tcW w:w="10089" w:type="dxa"/>
          </w:tcPr>
          <w:p w14:paraId="1E02EB72" w14:textId="77777777" w:rsidR="00013002" w:rsidRPr="00F03387" w:rsidRDefault="00013002" w:rsidP="00CA47D8">
            <w:pPr>
              <w:spacing w:before="80" w:line="500" w:lineRule="exact"/>
              <w:jc w:val="right"/>
              <w:rPr>
                <w:rFonts w:ascii="Tahoma" w:hAnsi="Tahoma" w:cs="Tahoma"/>
                <w:b/>
                <w:bCs/>
                <w:iCs/>
                <w:color w:val="509141"/>
                <w:sz w:val="44"/>
                <w:szCs w:val="44"/>
                <w:lang w:val="en-GB"/>
              </w:rPr>
            </w:pPr>
          </w:p>
          <w:p w14:paraId="710F28F0" w14:textId="0E415B17" w:rsidR="00D8150A" w:rsidRPr="00F03387" w:rsidRDefault="00EA33AE" w:rsidP="00CA47D8">
            <w:pPr>
              <w:spacing w:before="80" w:line="500" w:lineRule="exact"/>
              <w:jc w:val="right"/>
              <w:rPr>
                <w:rFonts w:ascii="Tahoma" w:hAnsi="Tahoma" w:cs="Tahoma"/>
                <w:b/>
                <w:bCs/>
                <w:iCs/>
                <w:color w:val="509141"/>
                <w:sz w:val="44"/>
                <w:szCs w:val="44"/>
                <w:lang w:val="en-GB"/>
              </w:rPr>
            </w:pPr>
            <w:r w:rsidRPr="00F03387">
              <w:rPr>
                <w:rFonts w:ascii="Tahoma" w:hAnsi="Tahoma" w:cs="Tahoma"/>
                <w:b/>
                <w:bCs/>
                <w:iCs/>
                <w:color w:val="509141"/>
                <w:sz w:val="44"/>
                <w:szCs w:val="44"/>
                <w:lang w:val="en-GB"/>
              </w:rPr>
              <w:t xml:space="preserve">Uplink interference considerations in the frequency band 7 025-7 075 MHz </w:t>
            </w:r>
            <w:r w:rsidRPr="00F03387">
              <w:rPr>
                <w:rFonts w:ascii="Tahoma" w:hAnsi="Tahoma" w:cs="Tahoma"/>
                <w:b/>
                <w:bCs/>
                <w:iCs/>
                <w:color w:val="509141"/>
                <w:sz w:val="44"/>
                <w:szCs w:val="44"/>
                <w:lang w:val="en-GB"/>
              </w:rPr>
              <w:br/>
              <w:t xml:space="preserve">for a broadcasting-satellite </w:t>
            </w:r>
            <w:r w:rsidR="00523DDE" w:rsidRPr="00F03387">
              <w:rPr>
                <w:rFonts w:ascii="Tahoma" w:hAnsi="Tahoma" w:cs="Tahoma"/>
                <w:b/>
                <w:bCs/>
                <w:iCs/>
                <w:color w:val="509141"/>
                <w:sz w:val="44"/>
                <w:szCs w:val="44"/>
                <w:lang w:val="en-GB"/>
              </w:rPr>
              <w:br/>
            </w:r>
            <w:r w:rsidRPr="00F03387">
              <w:rPr>
                <w:rFonts w:ascii="Tahoma" w:hAnsi="Tahoma" w:cs="Tahoma"/>
                <w:b/>
                <w:bCs/>
                <w:iCs/>
                <w:color w:val="509141"/>
                <w:sz w:val="44"/>
                <w:szCs w:val="44"/>
                <w:lang w:val="en-GB"/>
              </w:rPr>
              <w:t>service (sound) in Region 2</w:t>
            </w:r>
          </w:p>
          <w:p w14:paraId="6DA265B0" w14:textId="77777777" w:rsidR="00FE79FE" w:rsidRPr="00F03387" w:rsidRDefault="00AD26B8" w:rsidP="00CA47D8">
            <w:pPr>
              <w:spacing w:before="80" w:line="500" w:lineRule="exact"/>
              <w:jc w:val="right"/>
              <w:rPr>
                <w:rFonts w:ascii="Tahoma" w:hAnsi="Tahoma" w:cs="Tahoma"/>
                <w:b/>
                <w:bCs/>
                <w:iCs/>
                <w:color w:val="509141"/>
                <w:sz w:val="44"/>
                <w:szCs w:val="44"/>
                <w:lang w:val="en-GB"/>
              </w:rPr>
            </w:pPr>
            <w:r w:rsidRPr="00F03387">
              <w:rPr>
                <w:rFonts w:ascii="Tahoma" w:hAnsi="Tahoma" w:cs="Tahoma"/>
                <w:b/>
                <w:bCs/>
                <w:iCs/>
                <w:color w:val="509141"/>
                <w:sz w:val="44"/>
                <w:szCs w:val="44"/>
                <w:lang w:val="en-GB"/>
              </w:rPr>
              <w:t xml:space="preserve">  </w:t>
            </w:r>
          </w:p>
        </w:tc>
      </w:tr>
      <w:tr w:rsidR="00FE79FE" w:rsidRPr="00A31FFF" w14:paraId="391A1DD1" w14:textId="77777777" w:rsidTr="00CA47D8">
        <w:tc>
          <w:tcPr>
            <w:tcW w:w="10089" w:type="dxa"/>
          </w:tcPr>
          <w:p w14:paraId="21BB85F8" w14:textId="77777777" w:rsidR="007B203C" w:rsidRPr="00F03387" w:rsidRDefault="007B203C" w:rsidP="00CA47D8">
            <w:pPr>
              <w:spacing w:before="80" w:line="280" w:lineRule="exact"/>
              <w:ind w:right="640"/>
              <w:rPr>
                <w:rFonts w:ascii="Tahoma" w:hAnsi="Tahoma" w:cs="Tahoma"/>
                <w:b/>
                <w:bCs/>
                <w:iCs/>
                <w:color w:val="243285"/>
                <w:sz w:val="32"/>
                <w:szCs w:val="32"/>
                <w:lang w:val="en-GB"/>
              </w:rPr>
            </w:pPr>
          </w:p>
          <w:p w14:paraId="320F42E0" w14:textId="77777777" w:rsidR="007B203C" w:rsidRPr="00F03387" w:rsidRDefault="007B203C" w:rsidP="00CA47D8">
            <w:pPr>
              <w:spacing w:before="80" w:line="280" w:lineRule="exact"/>
              <w:ind w:right="640"/>
              <w:rPr>
                <w:rFonts w:ascii="Tahoma" w:hAnsi="Tahoma" w:cs="Tahoma"/>
                <w:b/>
                <w:bCs/>
                <w:iCs/>
                <w:color w:val="243285"/>
                <w:sz w:val="32"/>
                <w:szCs w:val="32"/>
                <w:lang w:val="en-GB"/>
              </w:rPr>
            </w:pPr>
          </w:p>
          <w:p w14:paraId="0E8565AB" w14:textId="77777777" w:rsidR="007B203C" w:rsidRPr="00F03387" w:rsidRDefault="007B203C" w:rsidP="00CA47D8">
            <w:pPr>
              <w:spacing w:before="80" w:line="280" w:lineRule="exact"/>
              <w:ind w:right="640"/>
              <w:rPr>
                <w:rFonts w:ascii="Tahoma" w:hAnsi="Tahoma" w:cs="Tahoma"/>
                <w:b/>
                <w:bCs/>
                <w:iCs/>
                <w:color w:val="243285"/>
                <w:sz w:val="32"/>
                <w:szCs w:val="32"/>
                <w:lang w:val="en-GB"/>
              </w:rPr>
            </w:pPr>
          </w:p>
          <w:p w14:paraId="2E99FFE1" w14:textId="77777777" w:rsidR="007B203C" w:rsidRPr="00F03387" w:rsidRDefault="007B203C" w:rsidP="00CA47D8">
            <w:pPr>
              <w:spacing w:before="80" w:after="180" w:line="360" w:lineRule="exact"/>
              <w:jc w:val="right"/>
              <w:rPr>
                <w:rFonts w:ascii="Tahoma" w:hAnsi="Tahoma" w:cs="Tahoma"/>
                <w:b/>
                <w:bCs/>
                <w:iCs/>
                <w:color w:val="243285"/>
                <w:sz w:val="36"/>
                <w:szCs w:val="36"/>
                <w:lang w:val="en-GB"/>
              </w:rPr>
            </w:pPr>
          </w:p>
          <w:p w14:paraId="64FA1B66" w14:textId="77777777" w:rsidR="00013002" w:rsidRPr="00F03387" w:rsidRDefault="003B4EE8" w:rsidP="00CA47D8">
            <w:pPr>
              <w:spacing w:before="80" w:after="180" w:line="360" w:lineRule="exact"/>
              <w:jc w:val="right"/>
              <w:rPr>
                <w:rFonts w:ascii="Tahoma" w:hAnsi="Tahoma" w:cs="Tahoma"/>
                <w:b/>
                <w:bCs/>
                <w:iCs/>
                <w:color w:val="509141"/>
                <w:sz w:val="36"/>
                <w:szCs w:val="36"/>
                <w:lang w:val="en-GB"/>
              </w:rPr>
            </w:pPr>
            <w:r w:rsidRPr="00F03387">
              <w:rPr>
                <w:rFonts w:ascii="Tahoma" w:hAnsi="Tahoma" w:cs="Tahoma"/>
                <w:b/>
                <w:bCs/>
                <w:iCs/>
                <w:color w:val="509141"/>
                <w:sz w:val="36"/>
                <w:szCs w:val="36"/>
                <w:lang w:val="en-GB"/>
              </w:rPr>
              <w:t>S</w:t>
            </w:r>
            <w:r w:rsidR="00FE79FE" w:rsidRPr="00F03387">
              <w:rPr>
                <w:rFonts w:ascii="Tahoma" w:hAnsi="Tahoma" w:cs="Tahoma"/>
                <w:b/>
                <w:bCs/>
                <w:iCs/>
                <w:color w:val="509141"/>
                <w:sz w:val="36"/>
                <w:szCs w:val="36"/>
                <w:lang w:val="en-GB"/>
              </w:rPr>
              <w:t xml:space="preserve"> Series</w:t>
            </w:r>
          </w:p>
          <w:p w14:paraId="69FA0EE4" w14:textId="77777777" w:rsidR="00FE79FE" w:rsidRPr="00F03387" w:rsidRDefault="000A599D" w:rsidP="00CA47D8">
            <w:pPr>
              <w:spacing w:before="80" w:line="420" w:lineRule="exact"/>
              <w:jc w:val="right"/>
              <w:rPr>
                <w:rFonts w:ascii="Tahoma" w:hAnsi="Tahoma" w:cs="Tahoma"/>
                <w:b/>
                <w:bCs/>
                <w:iCs/>
                <w:color w:val="509141"/>
                <w:sz w:val="36"/>
                <w:szCs w:val="36"/>
                <w:lang w:val="en-GB"/>
              </w:rPr>
            </w:pPr>
            <w:r w:rsidRPr="00F03387">
              <w:rPr>
                <w:rFonts w:ascii="Tahoma" w:hAnsi="Tahoma" w:cs="Tahoma"/>
                <w:b/>
                <w:bCs/>
                <w:iCs/>
                <w:color w:val="509141"/>
                <w:sz w:val="36"/>
                <w:szCs w:val="36"/>
                <w:lang w:val="en-GB"/>
              </w:rPr>
              <w:t>Fixed-</w:t>
            </w:r>
            <w:r w:rsidR="00CB1116" w:rsidRPr="00F03387">
              <w:rPr>
                <w:rFonts w:ascii="Tahoma" w:hAnsi="Tahoma" w:cs="Tahoma"/>
                <w:b/>
                <w:bCs/>
                <w:iCs/>
                <w:color w:val="509141"/>
                <w:sz w:val="36"/>
                <w:szCs w:val="36"/>
                <w:lang w:val="en-GB"/>
              </w:rPr>
              <w:t>satellite service</w:t>
            </w:r>
          </w:p>
        </w:tc>
      </w:tr>
    </w:tbl>
    <w:p w14:paraId="39F69E5D" w14:textId="77777777" w:rsidR="00A71FE5" w:rsidRPr="00F03387" w:rsidRDefault="00A71FE5" w:rsidP="00CD659B">
      <w:pPr>
        <w:spacing w:before="80"/>
        <w:rPr>
          <w:i/>
          <w:sz w:val="22"/>
          <w:lang w:val="en-GB"/>
        </w:rPr>
      </w:pPr>
    </w:p>
    <w:p w14:paraId="45261B8B" w14:textId="77777777" w:rsidR="00FE79FE" w:rsidRPr="00F03387" w:rsidRDefault="00FE79FE" w:rsidP="00CD659B">
      <w:pPr>
        <w:spacing w:before="80"/>
        <w:rPr>
          <w:i/>
          <w:sz w:val="22"/>
          <w:lang w:val="en-GB"/>
        </w:rPr>
      </w:pPr>
    </w:p>
    <w:p w14:paraId="61FB8174" w14:textId="77777777" w:rsidR="00FE79FE" w:rsidRPr="00F03387" w:rsidRDefault="00FE79FE" w:rsidP="00CD659B">
      <w:pPr>
        <w:spacing w:before="80"/>
        <w:rPr>
          <w:i/>
          <w:sz w:val="22"/>
          <w:lang w:val="en-GB"/>
        </w:rPr>
      </w:pPr>
    </w:p>
    <w:p w14:paraId="08A236CE" w14:textId="77777777" w:rsidR="00FE79FE" w:rsidRPr="00F03387" w:rsidRDefault="00FE79FE" w:rsidP="00CD659B">
      <w:pPr>
        <w:spacing w:before="80"/>
        <w:rPr>
          <w:i/>
          <w:sz w:val="22"/>
          <w:lang w:val="en-GB"/>
        </w:rPr>
      </w:pPr>
    </w:p>
    <w:p w14:paraId="521D3362" w14:textId="77777777" w:rsidR="00FE79FE" w:rsidRPr="00F03387" w:rsidRDefault="00FE79FE" w:rsidP="00CD659B">
      <w:pPr>
        <w:spacing w:before="80"/>
        <w:rPr>
          <w:i/>
          <w:sz w:val="22"/>
          <w:lang w:val="en-GB"/>
        </w:rPr>
      </w:pPr>
    </w:p>
    <w:p w14:paraId="4549196F" w14:textId="77777777" w:rsidR="00A71FE5" w:rsidRPr="00F03387" w:rsidRDefault="00A71FE5" w:rsidP="00CD659B">
      <w:pPr>
        <w:spacing w:before="80"/>
        <w:rPr>
          <w:i/>
          <w:sz w:val="22"/>
          <w:lang w:val="en-GB"/>
        </w:rPr>
      </w:pPr>
    </w:p>
    <w:p w14:paraId="77D08663" w14:textId="77777777" w:rsidR="00CD659B" w:rsidRPr="00F03387" w:rsidRDefault="00CD659B" w:rsidP="00CD659B">
      <w:pPr>
        <w:rPr>
          <w:rFonts w:ascii="Palatino Linotype" w:hAnsi="Palatino Linotype"/>
          <w:lang w:val="en-GB"/>
        </w:rPr>
        <w:sectPr w:rsidR="00CD659B" w:rsidRPr="00F03387" w:rsidSect="009A351D">
          <w:headerReference w:type="even" r:id="rId10"/>
          <w:headerReference w:type="default" r:id="rId11"/>
          <w:pgSz w:w="11907" w:h="16840" w:code="9"/>
          <w:pgMar w:top="1089" w:right="1089" w:bottom="284" w:left="1089" w:header="567" w:footer="284" w:gutter="0"/>
          <w:pgNumType w:start="1"/>
          <w:cols w:space="720"/>
        </w:sectPr>
      </w:pPr>
    </w:p>
    <w:p w14:paraId="15C085D2" w14:textId="77777777" w:rsidR="00CB60A4" w:rsidRPr="00F03387"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F03387">
        <w:rPr>
          <w:bCs/>
          <w:sz w:val="24"/>
          <w:szCs w:val="24"/>
          <w:lang w:val="en-GB"/>
        </w:rPr>
        <w:lastRenderedPageBreak/>
        <w:t>Foreword</w:t>
      </w:r>
    </w:p>
    <w:p w14:paraId="15DA7487" w14:textId="77777777" w:rsidR="00CB60A4" w:rsidRPr="00F03387" w:rsidRDefault="00CB60A4" w:rsidP="00CB60A4">
      <w:pPr>
        <w:spacing w:before="240"/>
        <w:rPr>
          <w:sz w:val="20"/>
          <w:lang w:val="en-GB"/>
        </w:rPr>
      </w:pPr>
      <w:r w:rsidRPr="00F03387">
        <w:rPr>
          <w:sz w:val="20"/>
          <w:lang w:val="en-GB"/>
        </w:rPr>
        <w:t xml:space="preserve">The role of the Radiocommunication Sector is to ensure the rational, equitable, </w:t>
      </w:r>
      <w:proofErr w:type="gramStart"/>
      <w:r w:rsidRPr="00F03387">
        <w:rPr>
          <w:sz w:val="20"/>
          <w:lang w:val="en-GB"/>
        </w:rPr>
        <w:t>efficient</w:t>
      </w:r>
      <w:proofErr w:type="gramEnd"/>
      <w:r w:rsidRPr="00F03387">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78B50B19" w14:textId="77777777" w:rsidR="00CB60A4" w:rsidRPr="00F03387" w:rsidRDefault="00CB60A4" w:rsidP="00CB60A4">
      <w:pPr>
        <w:rPr>
          <w:sz w:val="20"/>
          <w:lang w:val="en-GB"/>
        </w:rPr>
      </w:pPr>
      <w:r w:rsidRPr="00F03387">
        <w:rPr>
          <w:sz w:val="20"/>
          <w:lang w:val="en-GB"/>
        </w:rPr>
        <w:t>The regulatory and policy functions of the Radiocommunication Sector are performed by World and Regional Radiocommunication Conferences and Radiocommunication Assemblies supported by Study Groups.</w:t>
      </w:r>
    </w:p>
    <w:p w14:paraId="5477B6CA" w14:textId="77777777" w:rsidR="00505FB4" w:rsidRPr="00F03387" w:rsidRDefault="00505FB4" w:rsidP="00505FB4">
      <w:pPr>
        <w:pStyle w:val="Heading1"/>
        <w:spacing w:before="400"/>
        <w:jc w:val="center"/>
        <w:rPr>
          <w:szCs w:val="24"/>
          <w:lang w:val="en-GB"/>
        </w:rPr>
      </w:pPr>
    </w:p>
    <w:p w14:paraId="0FAC5534" w14:textId="77777777" w:rsidR="00CB60A4" w:rsidRPr="00F03387" w:rsidRDefault="00CB60A4" w:rsidP="000C0413">
      <w:pPr>
        <w:pStyle w:val="Heading1"/>
        <w:spacing w:before="540"/>
        <w:jc w:val="center"/>
        <w:rPr>
          <w:szCs w:val="24"/>
          <w:lang w:val="en-GB"/>
        </w:rPr>
      </w:pPr>
      <w:r w:rsidRPr="00F03387">
        <w:rPr>
          <w:szCs w:val="24"/>
          <w:lang w:val="en-GB"/>
        </w:rPr>
        <w:t>Policy on Intellectual Property Right (IPR)</w:t>
      </w:r>
    </w:p>
    <w:p w14:paraId="614D5BFE" w14:textId="77777777" w:rsidR="00CB60A4" w:rsidRPr="00F03387" w:rsidRDefault="00CB60A4" w:rsidP="003C3E4D">
      <w:pPr>
        <w:tabs>
          <w:tab w:val="left" w:pos="720"/>
        </w:tabs>
        <w:spacing w:before="240"/>
        <w:rPr>
          <w:sz w:val="20"/>
          <w:lang w:val="en-GB"/>
        </w:rPr>
      </w:pPr>
      <w:r w:rsidRPr="00F03387">
        <w:rPr>
          <w:sz w:val="20"/>
          <w:lang w:val="en-GB"/>
        </w:rPr>
        <w:t>ITU-R policy on IPR is described in the Common Patent Policy for ITU-T/ITU-R/ISO/IEC referenced in Resolution ITU</w:t>
      </w:r>
      <w:r w:rsidR="000A599D" w:rsidRPr="00F03387">
        <w:rPr>
          <w:sz w:val="20"/>
          <w:lang w:val="en-GB"/>
        </w:rPr>
        <w:noBreakHyphen/>
      </w:r>
      <w:r w:rsidRPr="00F03387">
        <w:rPr>
          <w:sz w:val="20"/>
          <w:lang w:val="en-GB"/>
        </w:rPr>
        <w:t xml:space="preserve">R 1. Forms to be used for the submission of patent statements and licensing declarations by patent holders are available from </w:t>
      </w:r>
      <w:hyperlink r:id="rId12" w:history="1">
        <w:r w:rsidRPr="00F03387">
          <w:rPr>
            <w:rStyle w:val="Hyperlink"/>
            <w:sz w:val="20"/>
            <w:lang w:val="en-GB"/>
          </w:rPr>
          <w:t>http://www.itu.int/ITU</w:t>
        </w:r>
        <w:r w:rsidR="009030CC" w:rsidRPr="00F03387">
          <w:rPr>
            <w:rStyle w:val="Hyperlink"/>
            <w:sz w:val="20"/>
            <w:lang w:val="en-GB"/>
          </w:rPr>
          <w:t>-</w:t>
        </w:r>
        <w:r w:rsidRPr="00F03387">
          <w:rPr>
            <w:rStyle w:val="Hyperlink"/>
            <w:sz w:val="20"/>
            <w:lang w:val="en-GB"/>
          </w:rPr>
          <w:t>R/go/patents/en</w:t>
        </w:r>
      </w:hyperlink>
      <w:r w:rsidRPr="00F03387">
        <w:rPr>
          <w:sz w:val="20"/>
          <w:lang w:val="en-GB"/>
        </w:rPr>
        <w:t xml:space="preserve"> where the Guidelines for Implementation of the Common Patent Policy for ITU</w:t>
      </w:r>
      <w:r w:rsidRPr="00F03387">
        <w:rPr>
          <w:sz w:val="20"/>
          <w:lang w:val="en-GB"/>
        </w:rPr>
        <w:noBreakHyphen/>
        <w:t>T/ITU</w:t>
      </w:r>
      <w:r w:rsidRPr="00F03387">
        <w:rPr>
          <w:sz w:val="20"/>
          <w:lang w:val="en-GB"/>
        </w:rPr>
        <w:noBreakHyphen/>
        <w:t xml:space="preserve">R/ISO/IEC and the ITU-R patent information database can also be found. </w:t>
      </w:r>
    </w:p>
    <w:p w14:paraId="6FCF10A3" w14:textId="77777777" w:rsidR="00CB60A4" w:rsidRPr="00F03387" w:rsidRDefault="00CB60A4" w:rsidP="00CB60A4">
      <w:pPr>
        <w:jc w:val="center"/>
        <w:rPr>
          <w:sz w:val="22"/>
          <w:lang w:val="en-GB"/>
        </w:rPr>
      </w:pPr>
    </w:p>
    <w:p w14:paraId="75BE3699" w14:textId="77777777" w:rsidR="00505FB4" w:rsidRPr="00F03387" w:rsidRDefault="00505FB4" w:rsidP="00CB60A4">
      <w:pPr>
        <w:jc w:val="center"/>
        <w:rPr>
          <w:sz w:val="22"/>
          <w:lang w:val="en-GB"/>
        </w:rPr>
      </w:pPr>
    </w:p>
    <w:p w14:paraId="1D416F50" w14:textId="77777777" w:rsidR="00CB60A4" w:rsidRPr="00F03387"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31FFF" w14:paraId="49545B84" w14:textId="77777777">
        <w:tc>
          <w:tcPr>
            <w:tcW w:w="9360" w:type="dxa"/>
            <w:gridSpan w:val="2"/>
            <w:tcBorders>
              <w:top w:val="single" w:sz="12" w:space="0" w:color="000080"/>
              <w:left w:val="single" w:sz="12" w:space="0" w:color="000080"/>
              <w:bottom w:val="nil"/>
              <w:right w:val="single" w:sz="12" w:space="0" w:color="000080"/>
            </w:tcBorders>
          </w:tcPr>
          <w:p w14:paraId="725820E8" w14:textId="77777777" w:rsidR="00CB60A4" w:rsidRPr="00F03387" w:rsidRDefault="00CB60A4" w:rsidP="00C7761D">
            <w:pPr>
              <w:pStyle w:val="ChapNo"/>
              <w:spacing w:before="240"/>
              <w:rPr>
                <w:sz w:val="22"/>
                <w:szCs w:val="22"/>
                <w:lang w:val="en-GB"/>
              </w:rPr>
            </w:pPr>
            <w:r w:rsidRPr="00F03387">
              <w:rPr>
                <w:sz w:val="22"/>
                <w:szCs w:val="22"/>
                <w:lang w:val="en-GB"/>
              </w:rPr>
              <w:t xml:space="preserve">Series of ITU-R </w:t>
            </w:r>
            <w:r w:rsidR="00505FB4" w:rsidRPr="00F03387">
              <w:rPr>
                <w:sz w:val="22"/>
                <w:szCs w:val="22"/>
                <w:lang w:val="en-GB"/>
              </w:rPr>
              <w:t>Reports</w:t>
            </w:r>
            <w:r w:rsidRPr="00F03387">
              <w:rPr>
                <w:sz w:val="22"/>
                <w:szCs w:val="22"/>
                <w:lang w:val="en-GB"/>
              </w:rPr>
              <w:t xml:space="preserve"> </w:t>
            </w:r>
          </w:p>
          <w:p w14:paraId="39F3641C" w14:textId="77777777" w:rsidR="00CB60A4" w:rsidRPr="00F0338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F03387">
              <w:rPr>
                <w:b w:val="0"/>
                <w:sz w:val="18"/>
                <w:szCs w:val="18"/>
                <w:lang w:val="en-GB"/>
              </w:rPr>
              <w:t xml:space="preserve">(Also available online at </w:t>
            </w:r>
            <w:hyperlink r:id="rId13" w:history="1">
              <w:r w:rsidR="009030CC" w:rsidRPr="00F03387">
                <w:rPr>
                  <w:rStyle w:val="Hyperlink"/>
                  <w:b w:val="0"/>
                  <w:bCs/>
                  <w:sz w:val="18"/>
                  <w:szCs w:val="18"/>
                  <w:lang w:val="en-GB"/>
                </w:rPr>
                <w:t>http://www.itu.int/publ</w:t>
              </w:r>
              <w:r w:rsidR="00505FB4" w:rsidRPr="00F03387">
                <w:rPr>
                  <w:rStyle w:val="Hyperlink"/>
                  <w:b w:val="0"/>
                  <w:bCs/>
                  <w:sz w:val="18"/>
                  <w:szCs w:val="18"/>
                  <w:lang w:val="en-GB"/>
                </w:rPr>
                <w:t>/R-REP/en</w:t>
              </w:r>
            </w:hyperlink>
            <w:r w:rsidRPr="00F03387">
              <w:rPr>
                <w:b w:val="0"/>
                <w:sz w:val="18"/>
                <w:szCs w:val="18"/>
                <w:lang w:val="en-GB"/>
              </w:rPr>
              <w:t>)</w:t>
            </w:r>
          </w:p>
        </w:tc>
      </w:tr>
      <w:tr w:rsidR="00CB60A4" w:rsidRPr="00F03387" w14:paraId="306BA77E" w14:textId="77777777" w:rsidTr="006F2B77">
        <w:tc>
          <w:tcPr>
            <w:tcW w:w="1140" w:type="dxa"/>
            <w:tcBorders>
              <w:top w:val="nil"/>
              <w:left w:val="single" w:sz="12" w:space="0" w:color="000080"/>
              <w:bottom w:val="nil"/>
              <w:right w:val="nil"/>
            </w:tcBorders>
          </w:tcPr>
          <w:p w14:paraId="4447AC85" w14:textId="77777777" w:rsidR="00CB60A4" w:rsidRPr="00F03387" w:rsidRDefault="00CB60A4">
            <w:pPr>
              <w:spacing w:before="200" w:after="100"/>
              <w:ind w:left="57"/>
              <w:rPr>
                <w:b/>
                <w:bCs/>
                <w:sz w:val="20"/>
                <w:lang w:val="en-GB"/>
              </w:rPr>
            </w:pPr>
            <w:r w:rsidRPr="00F03387">
              <w:rPr>
                <w:b/>
                <w:bCs/>
                <w:sz w:val="20"/>
                <w:lang w:val="en-GB"/>
              </w:rPr>
              <w:t>Series</w:t>
            </w:r>
          </w:p>
        </w:tc>
        <w:tc>
          <w:tcPr>
            <w:tcW w:w="8220" w:type="dxa"/>
            <w:tcBorders>
              <w:top w:val="nil"/>
              <w:left w:val="nil"/>
              <w:bottom w:val="nil"/>
              <w:right w:val="single" w:sz="12" w:space="0" w:color="000080"/>
            </w:tcBorders>
          </w:tcPr>
          <w:p w14:paraId="0CB254CB" w14:textId="77777777" w:rsidR="00CB60A4" w:rsidRPr="00F0338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F03387">
              <w:rPr>
                <w:bCs/>
                <w:sz w:val="20"/>
                <w:lang w:val="en-GB"/>
              </w:rPr>
              <w:t>Title</w:t>
            </w:r>
          </w:p>
        </w:tc>
      </w:tr>
      <w:tr w:rsidR="00CB60A4" w:rsidRPr="00F03387" w14:paraId="4FC4CF45" w14:textId="77777777" w:rsidTr="006F2B77">
        <w:tc>
          <w:tcPr>
            <w:tcW w:w="1140" w:type="dxa"/>
            <w:tcBorders>
              <w:top w:val="nil"/>
              <w:left w:val="single" w:sz="12" w:space="0" w:color="000080"/>
              <w:bottom w:val="nil"/>
              <w:right w:val="nil"/>
            </w:tcBorders>
            <w:shd w:val="clear" w:color="auto" w:fill="auto"/>
          </w:tcPr>
          <w:p w14:paraId="2D056C02" w14:textId="77777777" w:rsidR="00CB60A4" w:rsidRPr="00F03387" w:rsidRDefault="00CB60A4">
            <w:pPr>
              <w:spacing w:before="30" w:after="30"/>
              <w:ind w:left="57"/>
              <w:jc w:val="left"/>
              <w:rPr>
                <w:rFonts w:ascii="Times New Roman Bold" w:hAnsi="Times New Roman Bold" w:cs="Times New Roman Bold"/>
                <w:b/>
                <w:bCs/>
                <w:sz w:val="20"/>
                <w:lang w:val="en-GB"/>
              </w:rPr>
            </w:pPr>
            <w:r w:rsidRPr="00F03387">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440D5D65" w14:textId="77777777" w:rsidR="00CB60A4" w:rsidRPr="00F0338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03387">
              <w:rPr>
                <w:b w:val="0"/>
                <w:sz w:val="20"/>
                <w:lang w:val="en-GB"/>
              </w:rPr>
              <w:t>Satellite delivery</w:t>
            </w:r>
          </w:p>
        </w:tc>
      </w:tr>
      <w:tr w:rsidR="00CB60A4" w:rsidRPr="00A31FFF" w14:paraId="7B30119D" w14:textId="77777777" w:rsidTr="00D55B55">
        <w:tc>
          <w:tcPr>
            <w:tcW w:w="1140" w:type="dxa"/>
            <w:tcBorders>
              <w:top w:val="nil"/>
              <w:left w:val="single" w:sz="12" w:space="0" w:color="000080"/>
              <w:bottom w:val="nil"/>
              <w:right w:val="nil"/>
            </w:tcBorders>
          </w:tcPr>
          <w:p w14:paraId="4C507344" w14:textId="77777777" w:rsidR="00CB60A4" w:rsidRPr="00F03387" w:rsidRDefault="00CB60A4">
            <w:pPr>
              <w:spacing w:before="30" w:after="30"/>
              <w:ind w:left="57"/>
              <w:jc w:val="left"/>
              <w:rPr>
                <w:b/>
                <w:bCs/>
                <w:sz w:val="20"/>
                <w:lang w:val="en-GB"/>
              </w:rPr>
            </w:pPr>
            <w:r w:rsidRPr="00F03387">
              <w:rPr>
                <w:b/>
                <w:bCs/>
                <w:sz w:val="20"/>
                <w:lang w:val="en-GB"/>
              </w:rPr>
              <w:t>BR</w:t>
            </w:r>
          </w:p>
        </w:tc>
        <w:tc>
          <w:tcPr>
            <w:tcW w:w="8220" w:type="dxa"/>
            <w:tcBorders>
              <w:top w:val="nil"/>
              <w:left w:val="nil"/>
              <w:bottom w:val="nil"/>
              <w:right w:val="single" w:sz="12" w:space="0" w:color="000080"/>
            </w:tcBorders>
          </w:tcPr>
          <w:p w14:paraId="4562D271" w14:textId="77777777" w:rsidR="00CB60A4" w:rsidRPr="00F0338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03387">
              <w:rPr>
                <w:b w:val="0"/>
                <w:sz w:val="20"/>
                <w:lang w:val="en-GB"/>
              </w:rPr>
              <w:t>Recording for production, archival and play-out; film for television</w:t>
            </w:r>
          </w:p>
        </w:tc>
      </w:tr>
      <w:tr w:rsidR="00CB60A4" w:rsidRPr="00F03387" w14:paraId="56BD468D" w14:textId="77777777" w:rsidTr="00D55B55">
        <w:tc>
          <w:tcPr>
            <w:tcW w:w="1140" w:type="dxa"/>
            <w:tcBorders>
              <w:top w:val="nil"/>
              <w:left w:val="single" w:sz="12" w:space="0" w:color="000080"/>
              <w:bottom w:val="nil"/>
              <w:right w:val="nil"/>
            </w:tcBorders>
            <w:shd w:val="clear" w:color="auto" w:fill="auto"/>
          </w:tcPr>
          <w:p w14:paraId="7E20A8B2" w14:textId="77777777" w:rsidR="00CB60A4" w:rsidRPr="00F03387" w:rsidRDefault="00CB60A4">
            <w:pPr>
              <w:spacing w:before="30" w:after="30"/>
              <w:ind w:left="57"/>
              <w:jc w:val="left"/>
              <w:rPr>
                <w:rFonts w:ascii="Times New Roman Bold" w:hAnsi="Times New Roman Bold" w:cs="Times New Roman Bold"/>
                <w:b/>
                <w:bCs/>
                <w:sz w:val="20"/>
                <w:lang w:val="en-GB"/>
              </w:rPr>
            </w:pPr>
            <w:r w:rsidRPr="00F03387">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45F4ADD3" w14:textId="77777777" w:rsidR="00CB60A4" w:rsidRPr="00F0338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03387">
              <w:rPr>
                <w:b w:val="0"/>
                <w:sz w:val="20"/>
                <w:lang w:val="en-GB"/>
              </w:rPr>
              <w:t>Broadcasting service (sound)</w:t>
            </w:r>
          </w:p>
        </w:tc>
      </w:tr>
      <w:tr w:rsidR="00CB60A4" w:rsidRPr="00F03387" w14:paraId="20DE8576" w14:textId="77777777" w:rsidTr="00D069F2">
        <w:tc>
          <w:tcPr>
            <w:tcW w:w="1140" w:type="dxa"/>
            <w:tcBorders>
              <w:top w:val="nil"/>
              <w:left w:val="single" w:sz="12" w:space="0" w:color="000080"/>
              <w:bottom w:val="nil"/>
              <w:right w:val="nil"/>
            </w:tcBorders>
            <w:shd w:val="clear" w:color="auto" w:fill="auto"/>
          </w:tcPr>
          <w:p w14:paraId="36487354" w14:textId="77777777" w:rsidR="00CB60A4" w:rsidRPr="00F03387" w:rsidRDefault="00CB60A4">
            <w:pPr>
              <w:spacing w:before="30" w:after="30"/>
              <w:ind w:left="57"/>
              <w:jc w:val="left"/>
              <w:rPr>
                <w:rFonts w:ascii="Times New Roman Bold" w:hAnsi="Times New Roman Bold" w:cs="Times New Roman Bold"/>
                <w:b/>
                <w:bCs/>
                <w:sz w:val="20"/>
                <w:lang w:val="en-GB"/>
              </w:rPr>
            </w:pPr>
            <w:r w:rsidRPr="00F03387">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147D2AC5" w14:textId="77777777" w:rsidR="00CB60A4" w:rsidRPr="00F0338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03387">
              <w:rPr>
                <w:b w:val="0"/>
                <w:sz w:val="20"/>
                <w:lang w:val="en-GB"/>
              </w:rPr>
              <w:t>Broadcasting service (television)</w:t>
            </w:r>
          </w:p>
        </w:tc>
      </w:tr>
      <w:tr w:rsidR="00CB60A4" w:rsidRPr="00F03387" w14:paraId="0326C701" w14:textId="77777777" w:rsidTr="00D069F2">
        <w:tc>
          <w:tcPr>
            <w:tcW w:w="1140" w:type="dxa"/>
            <w:tcBorders>
              <w:top w:val="nil"/>
              <w:left w:val="single" w:sz="12" w:space="0" w:color="000080"/>
              <w:bottom w:val="nil"/>
              <w:right w:val="nil"/>
            </w:tcBorders>
            <w:shd w:val="clear" w:color="auto" w:fill="auto"/>
          </w:tcPr>
          <w:p w14:paraId="13B2B4B2" w14:textId="77777777" w:rsidR="00CB60A4" w:rsidRPr="00F03387" w:rsidRDefault="00CB60A4">
            <w:pPr>
              <w:spacing w:before="30" w:after="30"/>
              <w:ind w:left="57"/>
              <w:jc w:val="left"/>
              <w:rPr>
                <w:rFonts w:ascii="Times New Roman Bold" w:hAnsi="Times New Roman Bold" w:cs="Times New Roman Bold"/>
                <w:b/>
                <w:bCs/>
                <w:sz w:val="20"/>
                <w:lang w:val="en-GB"/>
              </w:rPr>
            </w:pPr>
            <w:r w:rsidRPr="00F03387">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49CAC650" w14:textId="77777777" w:rsidR="00CB60A4" w:rsidRPr="00F0338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03387">
              <w:rPr>
                <w:sz w:val="20"/>
                <w:lang w:val="en-GB"/>
              </w:rPr>
              <w:t>Fixed service</w:t>
            </w:r>
          </w:p>
        </w:tc>
      </w:tr>
      <w:tr w:rsidR="00CB60A4" w:rsidRPr="00F03387" w14:paraId="2A8168CA" w14:textId="77777777" w:rsidTr="002D77AF">
        <w:tc>
          <w:tcPr>
            <w:tcW w:w="1140" w:type="dxa"/>
            <w:tcBorders>
              <w:top w:val="nil"/>
              <w:left w:val="single" w:sz="12" w:space="0" w:color="000080"/>
              <w:bottom w:val="nil"/>
              <w:right w:val="nil"/>
            </w:tcBorders>
            <w:shd w:val="clear" w:color="auto" w:fill="auto"/>
          </w:tcPr>
          <w:p w14:paraId="01AD1FF9" w14:textId="77777777" w:rsidR="00CB60A4" w:rsidRPr="00F03387" w:rsidRDefault="00CB60A4">
            <w:pPr>
              <w:spacing w:before="30" w:after="30"/>
              <w:ind w:left="57"/>
              <w:jc w:val="left"/>
              <w:rPr>
                <w:b/>
                <w:bCs/>
                <w:sz w:val="20"/>
                <w:lang w:val="en-GB"/>
              </w:rPr>
            </w:pPr>
            <w:r w:rsidRPr="00F03387">
              <w:rPr>
                <w:b/>
                <w:bCs/>
                <w:sz w:val="20"/>
                <w:lang w:val="en-GB"/>
              </w:rPr>
              <w:t>M</w:t>
            </w:r>
          </w:p>
        </w:tc>
        <w:tc>
          <w:tcPr>
            <w:tcW w:w="8220" w:type="dxa"/>
            <w:tcBorders>
              <w:top w:val="nil"/>
              <w:left w:val="nil"/>
              <w:bottom w:val="nil"/>
              <w:right w:val="single" w:sz="12" w:space="0" w:color="000080"/>
            </w:tcBorders>
            <w:shd w:val="clear" w:color="auto" w:fill="auto"/>
          </w:tcPr>
          <w:p w14:paraId="69B0462F" w14:textId="77777777" w:rsidR="00CB60A4" w:rsidRPr="00F0338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03387">
              <w:rPr>
                <w:b w:val="0"/>
                <w:sz w:val="20"/>
                <w:lang w:val="en-GB"/>
              </w:rPr>
              <w:t>Mobile, radiodetermination, amateur and related satellite services</w:t>
            </w:r>
          </w:p>
        </w:tc>
      </w:tr>
      <w:tr w:rsidR="00CB60A4" w:rsidRPr="00F03387" w14:paraId="48822C83" w14:textId="77777777" w:rsidTr="003B4EE8">
        <w:tc>
          <w:tcPr>
            <w:tcW w:w="1140" w:type="dxa"/>
            <w:tcBorders>
              <w:top w:val="nil"/>
              <w:left w:val="single" w:sz="12" w:space="0" w:color="000080"/>
              <w:bottom w:val="nil"/>
              <w:right w:val="nil"/>
            </w:tcBorders>
            <w:shd w:val="clear" w:color="auto" w:fill="auto"/>
          </w:tcPr>
          <w:p w14:paraId="419DD8E9" w14:textId="77777777" w:rsidR="00CB60A4" w:rsidRPr="00F03387" w:rsidRDefault="00CB60A4">
            <w:pPr>
              <w:spacing w:before="30" w:after="30"/>
              <w:ind w:left="57"/>
              <w:jc w:val="left"/>
              <w:rPr>
                <w:rFonts w:ascii="Times New Roman Bold" w:hAnsi="Times New Roman Bold" w:cs="Times New Roman Bold"/>
                <w:b/>
                <w:bCs/>
                <w:sz w:val="20"/>
                <w:lang w:val="en-GB"/>
              </w:rPr>
            </w:pPr>
            <w:r w:rsidRPr="00F03387">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5F974014" w14:textId="77777777" w:rsidR="00CB60A4" w:rsidRPr="00F03387" w:rsidRDefault="00CB60A4">
            <w:pPr>
              <w:spacing w:before="30" w:after="30"/>
              <w:jc w:val="left"/>
              <w:rPr>
                <w:sz w:val="20"/>
                <w:lang w:val="en-GB"/>
              </w:rPr>
            </w:pPr>
            <w:r w:rsidRPr="00F03387">
              <w:rPr>
                <w:sz w:val="20"/>
                <w:lang w:val="en-GB"/>
              </w:rPr>
              <w:t>Radiowave propagation</w:t>
            </w:r>
          </w:p>
        </w:tc>
      </w:tr>
      <w:tr w:rsidR="00CB60A4" w:rsidRPr="00F03387" w14:paraId="2FCAF5A5" w14:textId="77777777" w:rsidTr="00CB1116">
        <w:tc>
          <w:tcPr>
            <w:tcW w:w="1140" w:type="dxa"/>
            <w:tcBorders>
              <w:top w:val="nil"/>
              <w:left w:val="single" w:sz="12" w:space="0" w:color="000080"/>
              <w:bottom w:val="nil"/>
              <w:right w:val="nil"/>
            </w:tcBorders>
            <w:shd w:val="clear" w:color="auto" w:fill="auto"/>
          </w:tcPr>
          <w:p w14:paraId="44F270FC" w14:textId="77777777" w:rsidR="00CB60A4" w:rsidRPr="00F03387" w:rsidRDefault="00CB60A4">
            <w:pPr>
              <w:spacing w:before="30" w:after="30"/>
              <w:ind w:left="57"/>
              <w:jc w:val="left"/>
              <w:rPr>
                <w:rFonts w:ascii="Times New Roman Bold" w:hAnsi="Times New Roman Bold" w:cs="Times New Roman Bold"/>
                <w:b/>
                <w:bCs/>
                <w:sz w:val="20"/>
                <w:lang w:val="en-GB"/>
              </w:rPr>
            </w:pPr>
            <w:r w:rsidRPr="00F03387">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23E553C2" w14:textId="77777777" w:rsidR="00CB60A4" w:rsidRPr="00F0338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03387">
              <w:rPr>
                <w:sz w:val="20"/>
                <w:lang w:val="en-GB"/>
              </w:rPr>
              <w:t>Radio astronomy</w:t>
            </w:r>
          </w:p>
        </w:tc>
      </w:tr>
      <w:tr w:rsidR="00CB60A4" w:rsidRPr="00F03387" w14:paraId="09F2D3E4" w14:textId="77777777" w:rsidTr="00CB1116">
        <w:tc>
          <w:tcPr>
            <w:tcW w:w="1140" w:type="dxa"/>
            <w:tcBorders>
              <w:top w:val="nil"/>
              <w:left w:val="single" w:sz="12" w:space="0" w:color="000080"/>
              <w:bottom w:val="nil"/>
              <w:right w:val="nil"/>
            </w:tcBorders>
            <w:shd w:val="clear" w:color="auto" w:fill="auto"/>
          </w:tcPr>
          <w:p w14:paraId="183E8F50" w14:textId="77777777" w:rsidR="00CB60A4" w:rsidRPr="00F03387" w:rsidRDefault="00CB60A4">
            <w:pPr>
              <w:spacing w:before="30" w:after="30"/>
              <w:ind w:left="57"/>
              <w:jc w:val="left"/>
              <w:rPr>
                <w:rFonts w:ascii="Times New Roman Bold" w:hAnsi="Times New Roman Bold" w:cs="Times New Roman Bold"/>
                <w:b/>
                <w:bCs/>
                <w:sz w:val="20"/>
                <w:lang w:val="en-GB"/>
              </w:rPr>
            </w:pPr>
            <w:r w:rsidRPr="00F03387">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14:paraId="330CB7C5" w14:textId="77777777" w:rsidR="00CB60A4" w:rsidRPr="00F0338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03387">
              <w:rPr>
                <w:sz w:val="20"/>
                <w:lang w:val="en-GB"/>
              </w:rPr>
              <w:t>Remote sensing systems</w:t>
            </w:r>
          </w:p>
        </w:tc>
      </w:tr>
      <w:tr w:rsidR="00CD7A62" w:rsidRPr="00F03387" w14:paraId="07557DFF" w14:textId="77777777" w:rsidTr="00CB1116">
        <w:tc>
          <w:tcPr>
            <w:tcW w:w="1140" w:type="dxa"/>
            <w:tcBorders>
              <w:top w:val="nil"/>
              <w:left w:val="single" w:sz="12" w:space="0" w:color="000080"/>
              <w:bottom w:val="nil"/>
              <w:right w:val="nil"/>
            </w:tcBorders>
            <w:shd w:val="clear" w:color="auto" w:fill="F3F3F3"/>
          </w:tcPr>
          <w:p w14:paraId="43B784B4" w14:textId="77777777" w:rsidR="00CD7A62" w:rsidRPr="00F03387" w:rsidRDefault="00CD7A62">
            <w:pPr>
              <w:spacing w:before="30" w:after="30"/>
              <w:ind w:left="57"/>
              <w:jc w:val="left"/>
              <w:rPr>
                <w:b/>
                <w:bCs/>
                <w:color w:val="000080"/>
                <w:sz w:val="20"/>
                <w:lang w:val="en-GB"/>
              </w:rPr>
            </w:pPr>
            <w:r w:rsidRPr="00F03387">
              <w:rPr>
                <w:b/>
                <w:bCs/>
                <w:color w:val="000080"/>
                <w:sz w:val="20"/>
                <w:lang w:val="en-GB"/>
              </w:rPr>
              <w:t>S</w:t>
            </w:r>
          </w:p>
        </w:tc>
        <w:tc>
          <w:tcPr>
            <w:tcW w:w="8220" w:type="dxa"/>
            <w:tcBorders>
              <w:top w:val="nil"/>
              <w:left w:val="nil"/>
              <w:bottom w:val="nil"/>
              <w:right w:val="single" w:sz="12" w:space="0" w:color="000080"/>
            </w:tcBorders>
            <w:shd w:val="clear" w:color="auto" w:fill="F3F3F3"/>
          </w:tcPr>
          <w:p w14:paraId="726AD40A" w14:textId="77777777" w:rsidR="00CD7A62" w:rsidRPr="00F03387" w:rsidRDefault="00CD7A62">
            <w:pPr>
              <w:spacing w:before="30" w:after="30"/>
              <w:jc w:val="left"/>
              <w:rPr>
                <w:b/>
                <w:bCs/>
                <w:color w:val="000080"/>
                <w:sz w:val="20"/>
                <w:lang w:val="en-GB"/>
              </w:rPr>
            </w:pPr>
            <w:r w:rsidRPr="00F03387">
              <w:rPr>
                <w:b/>
                <w:bCs/>
                <w:color w:val="000080"/>
                <w:sz w:val="20"/>
                <w:lang w:val="en-GB"/>
              </w:rPr>
              <w:t>Fixed</w:t>
            </w:r>
            <w:r w:rsidR="008F508C" w:rsidRPr="00F03387">
              <w:rPr>
                <w:b/>
                <w:bCs/>
                <w:color w:val="000080"/>
                <w:sz w:val="20"/>
                <w:lang w:val="en-GB"/>
              </w:rPr>
              <w:t>-</w:t>
            </w:r>
            <w:r w:rsidRPr="00F03387">
              <w:rPr>
                <w:b/>
                <w:bCs/>
                <w:color w:val="000080"/>
                <w:sz w:val="20"/>
                <w:lang w:val="en-GB"/>
              </w:rPr>
              <w:t>satellite service</w:t>
            </w:r>
          </w:p>
        </w:tc>
      </w:tr>
      <w:tr w:rsidR="00CB60A4" w:rsidRPr="00F03387" w14:paraId="683FF8DA" w14:textId="77777777">
        <w:tc>
          <w:tcPr>
            <w:tcW w:w="1140" w:type="dxa"/>
            <w:tcBorders>
              <w:top w:val="nil"/>
              <w:left w:val="single" w:sz="12" w:space="0" w:color="000080"/>
              <w:bottom w:val="nil"/>
              <w:right w:val="nil"/>
            </w:tcBorders>
          </w:tcPr>
          <w:p w14:paraId="75CF4493" w14:textId="77777777" w:rsidR="00CB60A4" w:rsidRPr="00F03387" w:rsidRDefault="00CB60A4">
            <w:pPr>
              <w:spacing w:before="30" w:after="30"/>
              <w:ind w:left="57"/>
              <w:jc w:val="left"/>
              <w:rPr>
                <w:b/>
                <w:bCs/>
                <w:sz w:val="20"/>
                <w:lang w:val="en-GB"/>
              </w:rPr>
            </w:pPr>
            <w:r w:rsidRPr="00F03387">
              <w:rPr>
                <w:b/>
                <w:bCs/>
                <w:sz w:val="20"/>
                <w:lang w:val="en-GB"/>
              </w:rPr>
              <w:t>SA</w:t>
            </w:r>
          </w:p>
        </w:tc>
        <w:tc>
          <w:tcPr>
            <w:tcW w:w="8220" w:type="dxa"/>
            <w:tcBorders>
              <w:top w:val="nil"/>
              <w:left w:val="nil"/>
              <w:bottom w:val="nil"/>
              <w:right w:val="single" w:sz="12" w:space="0" w:color="000080"/>
            </w:tcBorders>
          </w:tcPr>
          <w:p w14:paraId="2B86AA4C" w14:textId="77777777" w:rsidR="00CB60A4" w:rsidRPr="00F03387" w:rsidRDefault="00CB60A4">
            <w:pPr>
              <w:spacing w:before="30" w:after="30"/>
              <w:jc w:val="left"/>
              <w:rPr>
                <w:sz w:val="20"/>
                <w:lang w:val="en-GB"/>
              </w:rPr>
            </w:pPr>
            <w:r w:rsidRPr="00F03387">
              <w:rPr>
                <w:sz w:val="20"/>
                <w:lang w:val="en-GB"/>
              </w:rPr>
              <w:t>Space applications and meteorology</w:t>
            </w:r>
          </w:p>
        </w:tc>
      </w:tr>
      <w:tr w:rsidR="00CB60A4" w:rsidRPr="00A31FFF" w14:paraId="2C8C7F14" w14:textId="77777777">
        <w:tc>
          <w:tcPr>
            <w:tcW w:w="1140" w:type="dxa"/>
            <w:tcBorders>
              <w:top w:val="nil"/>
              <w:left w:val="single" w:sz="12" w:space="0" w:color="000080"/>
              <w:bottom w:val="nil"/>
              <w:right w:val="nil"/>
            </w:tcBorders>
          </w:tcPr>
          <w:p w14:paraId="793ABBD4" w14:textId="77777777" w:rsidR="00CB60A4" w:rsidRPr="00F03387" w:rsidRDefault="00CB60A4">
            <w:pPr>
              <w:spacing w:before="30" w:after="30"/>
              <w:ind w:left="57"/>
              <w:jc w:val="left"/>
              <w:rPr>
                <w:b/>
                <w:bCs/>
                <w:sz w:val="20"/>
                <w:lang w:val="en-GB"/>
              </w:rPr>
            </w:pPr>
            <w:r w:rsidRPr="00F03387">
              <w:rPr>
                <w:b/>
                <w:bCs/>
                <w:sz w:val="20"/>
                <w:lang w:val="en-GB"/>
              </w:rPr>
              <w:t>SF</w:t>
            </w:r>
          </w:p>
        </w:tc>
        <w:tc>
          <w:tcPr>
            <w:tcW w:w="8220" w:type="dxa"/>
            <w:tcBorders>
              <w:top w:val="nil"/>
              <w:left w:val="nil"/>
              <w:bottom w:val="nil"/>
              <w:right w:val="single" w:sz="12" w:space="0" w:color="000080"/>
            </w:tcBorders>
          </w:tcPr>
          <w:p w14:paraId="5D449EC9" w14:textId="77777777" w:rsidR="00CB60A4" w:rsidRPr="00F03387" w:rsidRDefault="00CB60A4">
            <w:pPr>
              <w:spacing w:before="30" w:after="30"/>
              <w:jc w:val="left"/>
              <w:rPr>
                <w:sz w:val="20"/>
                <w:lang w:val="en-GB"/>
              </w:rPr>
            </w:pPr>
            <w:r w:rsidRPr="00F03387">
              <w:rPr>
                <w:sz w:val="20"/>
                <w:lang w:val="en-GB"/>
              </w:rPr>
              <w:t>Frequency sharing and coordination between fixed-satellite and fixed service systems</w:t>
            </w:r>
          </w:p>
        </w:tc>
      </w:tr>
      <w:tr w:rsidR="00CB60A4" w:rsidRPr="00F03387" w14:paraId="6889AD16" w14:textId="77777777">
        <w:tc>
          <w:tcPr>
            <w:tcW w:w="1140" w:type="dxa"/>
            <w:tcBorders>
              <w:top w:val="nil"/>
              <w:left w:val="single" w:sz="12" w:space="0" w:color="000080"/>
              <w:bottom w:val="single" w:sz="12" w:space="0" w:color="000080"/>
              <w:right w:val="nil"/>
            </w:tcBorders>
          </w:tcPr>
          <w:p w14:paraId="24F3F7FC" w14:textId="77777777" w:rsidR="00CB60A4" w:rsidRPr="00F03387" w:rsidRDefault="00CB60A4">
            <w:pPr>
              <w:spacing w:before="30" w:after="30"/>
              <w:ind w:left="57"/>
              <w:jc w:val="left"/>
              <w:rPr>
                <w:b/>
                <w:bCs/>
                <w:sz w:val="20"/>
                <w:lang w:val="en-GB"/>
              </w:rPr>
            </w:pPr>
            <w:r w:rsidRPr="00F03387">
              <w:rPr>
                <w:b/>
                <w:bCs/>
                <w:sz w:val="20"/>
                <w:lang w:val="en-GB"/>
              </w:rPr>
              <w:t>SM</w:t>
            </w:r>
          </w:p>
        </w:tc>
        <w:tc>
          <w:tcPr>
            <w:tcW w:w="8220" w:type="dxa"/>
            <w:tcBorders>
              <w:top w:val="nil"/>
              <w:left w:val="nil"/>
              <w:bottom w:val="single" w:sz="12" w:space="0" w:color="000080"/>
              <w:right w:val="single" w:sz="12" w:space="0" w:color="000080"/>
            </w:tcBorders>
          </w:tcPr>
          <w:p w14:paraId="3E7D5098" w14:textId="77777777" w:rsidR="00CB60A4" w:rsidRPr="00F03387" w:rsidRDefault="00CB60A4" w:rsidP="00505FB4">
            <w:pPr>
              <w:spacing w:before="30" w:after="180"/>
              <w:jc w:val="left"/>
              <w:rPr>
                <w:sz w:val="20"/>
                <w:lang w:val="en-GB"/>
              </w:rPr>
            </w:pPr>
            <w:r w:rsidRPr="00F03387">
              <w:rPr>
                <w:sz w:val="20"/>
                <w:lang w:val="en-GB"/>
              </w:rPr>
              <w:t>Spectrum management</w:t>
            </w:r>
          </w:p>
        </w:tc>
      </w:tr>
    </w:tbl>
    <w:p w14:paraId="04C204FB" w14:textId="77777777" w:rsidR="00CB60A4" w:rsidRPr="00F03387"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F03387" w14:paraId="67C1CE25" w14:textId="77777777">
        <w:tc>
          <w:tcPr>
            <w:tcW w:w="720" w:type="dxa"/>
          </w:tcPr>
          <w:p w14:paraId="2245B873" w14:textId="77777777" w:rsidR="00CB60A4" w:rsidRPr="00F03387" w:rsidRDefault="00CB60A4">
            <w:pPr>
              <w:jc w:val="center"/>
              <w:rPr>
                <w:sz w:val="22"/>
                <w:lang w:val="en-GB"/>
              </w:rPr>
            </w:pPr>
          </w:p>
        </w:tc>
      </w:tr>
    </w:tbl>
    <w:p w14:paraId="110E4E64" w14:textId="77777777" w:rsidR="00CB60A4" w:rsidRPr="00F03387"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31FFF" w14:paraId="36A0BA86" w14:textId="77777777" w:rsidTr="00CA47D8">
        <w:tc>
          <w:tcPr>
            <w:tcW w:w="9360" w:type="dxa"/>
            <w:tcBorders>
              <w:top w:val="single" w:sz="12" w:space="0" w:color="000080"/>
              <w:left w:val="single" w:sz="12" w:space="0" w:color="000080"/>
              <w:bottom w:val="single" w:sz="12" w:space="0" w:color="000080"/>
              <w:right w:val="single" w:sz="12" w:space="0" w:color="000080"/>
            </w:tcBorders>
          </w:tcPr>
          <w:p w14:paraId="6CE209D9" w14:textId="77777777" w:rsidR="00CB60A4" w:rsidRPr="00F03387" w:rsidRDefault="00CB60A4" w:rsidP="006323E9">
            <w:pPr>
              <w:spacing w:after="120"/>
              <w:jc w:val="left"/>
              <w:rPr>
                <w:b/>
                <w:bCs/>
                <w:sz w:val="20"/>
                <w:lang w:val="en-GB"/>
              </w:rPr>
            </w:pPr>
            <w:r w:rsidRPr="00F03387">
              <w:rPr>
                <w:b/>
                <w:bCs/>
                <w:i/>
                <w:iCs/>
                <w:sz w:val="20"/>
                <w:lang w:val="en-GB"/>
              </w:rPr>
              <w:t>Note</w:t>
            </w:r>
            <w:r w:rsidRPr="00F03387">
              <w:rPr>
                <w:i/>
                <w:iCs/>
                <w:sz w:val="20"/>
                <w:lang w:val="en-GB"/>
              </w:rPr>
              <w:t xml:space="preserve">: This ITU-R </w:t>
            </w:r>
            <w:r w:rsidR="00505FB4" w:rsidRPr="00F03387">
              <w:rPr>
                <w:i/>
                <w:iCs/>
                <w:sz w:val="20"/>
                <w:lang w:val="en-GB"/>
              </w:rPr>
              <w:t>Report</w:t>
            </w:r>
            <w:r w:rsidRPr="00F03387">
              <w:rPr>
                <w:i/>
                <w:iCs/>
                <w:sz w:val="20"/>
                <w:lang w:val="en-GB"/>
              </w:rPr>
              <w:t xml:space="preserve"> was approved in English </w:t>
            </w:r>
            <w:r w:rsidR="001A5259" w:rsidRPr="00F03387">
              <w:rPr>
                <w:i/>
                <w:iCs/>
                <w:sz w:val="20"/>
                <w:lang w:val="en-GB"/>
              </w:rPr>
              <w:t xml:space="preserve">by the Study Group </w:t>
            </w:r>
            <w:r w:rsidRPr="00F03387">
              <w:rPr>
                <w:i/>
                <w:iCs/>
                <w:sz w:val="20"/>
                <w:lang w:val="en-GB"/>
              </w:rPr>
              <w:t xml:space="preserve">under the </w:t>
            </w:r>
            <w:r w:rsidR="001A5259" w:rsidRPr="00F03387">
              <w:rPr>
                <w:i/>
                <w:iCs/>
                <w:sz w:val="20"/>
                <w:lang w:val="en-GB"/>
              </w:rPr>
              <w:t>procedure detailed in Resolution</w:t>
            </w:r>
            <w:r w:rsidR="006323E9" w:rsidRPr="00F03387">
              <w:rPr>
                <w:i/>
                <w:iCs/>
                <w:sz w:val="20"/>
                <w:lang w:val="en-GB"/>
              </w:rPr>
              <w:t> </w:t>
            </w:r>
            <w:r w:rsidRPr="00F03387">
              <w:rPr>
                <w:i/>
                <w:iCs/>
                <w:sz w:val="20"/>
                <w:lang w:val="en-GB"/>
              </w:rPr>
              <w:t>ITU-R 1.</w:t>
            </w:r>
          </w:p>
        </w:tc>
      </w:tr>
    </w:tbl>
    <w:p w14:paraId="4F2087B6" w14:textId="77777777" w:rsidR="00CB60A4" w:rsidRPr="00F03387" w:rsidRDefault="00CB60A4" w:rsidP="00CB60A4">
      <w:pPr>
        <w:spacing w:before="0"/>
        <w:jc w:val="center"/>
        <w:rPr>
          <w:sz w:val="22"/>
          <w:lang w:val="en-GB"/>
        </w:rPr>
      </w:pPr>
    </w:p>
    <w:p w14:paraId="2E033393" w14:textId="77777777" w:rsidR="00CB60A4" w:rsidRPr="00F03387" w:rsidRDefault="00CB60A4" w:rsidP="00CB60A4">
      <w:pPr>
        <w:spacing w:before="0"/>
        <w:jc w:val="center"/>
        <w:rPr>
          <w:sz w:val="22"/>
          <w:lang w:val="en-GB"/>
        </w:rPr>
      </w:pPr>
    </w:p>
    <w:p w14:paraId="4BDE5BCE" w14:textId="77777777" w:rsidR="00CB60A4" w:rsidRPr="00F03387" w:rsidRDefault="00CB60A4" w:rsidP="00CB60A4">
      <w:pPr>
        <w:spacing w:before="0"/>
        <w:jc w:val="right"/>
        <w:rPr>
          <w:i/>
          <w:iCs/>
          <w:sz w:val="20"/>
          <w:lang w:val="en-GB"/>
        </w:rPr>
      </w:pPr>
      <w:r w:rsidRPr="00F03387">
        <w:rPr>
          <w:i/>
          <w:iCs/>
          <w:sz w:val="20"/>
          <w:lang w:val="en-GB"/>
        </w:rPr>
        <w:t>Electronic Publication</w:t>
      </w:r>
    </w:p>
    <w:p w14:paraId="2C74B9AA" w14:textId="38083625" w:rsidR="00CB60A4" w:rsidRPr="00F03387" w:rsidRDefault="00CB60A4" w:rsidP="006551B3">
      <w:pPr>
        <w:spacing w:before="0"/>
        <w:jc w:val="right"/>
        <w:rPr>
          <w:sz w:val="20"/>
          <w:lang w:val="en-GB"/>
        </w:rPr>
      </w:pPr>
      <w:r w:rsidRPr="00F03387">
        <w:rPr>
          <w:sz w:val="20"/>
          <w:lang w:val="en-GB"/>
        </w:rPr>
        <w:t>Geneva, 20</w:t>
      </w:r>
      <w:r w:rsidR="00523DDE" w:rsidRPr="00F03387">
        <w:rPr>
          <w:sz w:val="20"/>
          <w:lang w:val="en-GB"/>
        </w:rPr>
        <w:t>22</w:t>
      </w:r>
    </w:p>
    <w:p w14:paraId="150381B5" w14:textId="22DA58D8" w:rsidR="00CB60A4" w:rsidRPr="00F03387" w:rsidRDefault="00CB60A4" w:rsidP="006551B3">
      <w:pPr>
        <w:jc w:val="center"/>
        <w:rPr>
          <w:sz w:val="20"/>
          <w:lang w:val="en-GB"/>
        </w:rPr>
      </w:pPr>
      <w:r w:rsidRPr="00F03387">
        <w:rPr>
          <w:sz w:val="20"/>
          <w:lang w:val="en-GB"/>
        </w:rPr>
        <w:sym w:font="Symbol" w:char="00E3"/>
      </w:r>
      <w:r w:rsidRPr="00F03387">
        <w:rPr>
          <w:sz w:val="20"/>
          <w:lang w:val="en-GB"/>
        </w:rPr>
        <w:t xml:space="preserve"> ITU </w:t>
      </w:r>
      <w:bookmarkStart w:id="1" w:name="iiannee"/>
      <w:bookmarkEnd w:id="1"/>
      <w:r w:rsidRPr="00F03387">
        <w:rPr>
          <w:sz w:val="20"/>
          <w:lang w:val="en-GB"/>
        </w:rPr>
        <w:t>20</w:t>
      </w:r>
      <w:r w:rsidR="00523DDE" w:rsidRPr="00F03387">
        <w:rPr>
          <w:sz w:val="20"/>
          <w:lang w:val="en-GB"/>
        </w:rPr>
        <w:t>22</w:t>
      </w:r>
    </w:p>
    <w:p w14:paraId="4293B327" w14:textId="77777777" w:rsidR="00CB60A4" w:rsidRPr="00F03387" w:rsidRDefault="00CB60A4" w:rsidP="00CB60A4">
      <w:pPr>
        <w:rPr>
          <w:sz w:val="18"/>
          <w:szCs w:val="18"/>
          <w:lang w:val="en-GB"/>
        </w:rPr>
      </w:pPr>
      <w:r w:rsidRPr="00F03387">
        <w:rPr>
          <w:sz w:val="18"/>
          <w:szCs w:val="18"/>
          <w:lang w:val="en-GB"/>
        </w:rPr>
        <w:t>All rights reserved. No part of this publication may be reproduced, by any means whatsoever, without written permission of ITU.</w:t>
      </w:r>
    </w:p>
    <w:p w14:paraId="374CB410" w14:textId="77777777" w:rsidR="00CB60A4" w:rsidRPr="00F03387"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F03387">
          <w:pgSz w:w="11907" w:h="16834"/>
          <w:pgMar w:top="1418" w:right="1134" w:bottom="1134" w:left="1134" w:header="720" w:footer="482" w:gutter="0"/>
          <w:paperSrc w:first="15" w:other="15"/>
          <w:pgNumType w:fmt="lowerRoman" w:start="2"/>
          <w:cols w:space="720"/>
        </w:sectPr>
      </w:pPr>
    </w:p>
    <w:p w14:paraId="14A49BF0" w14:textId="60F3E5E4" w:rsidR="00934ED7" w:rsidRPr="00F03387" w:rsidRDefault="00934ED7" w:rsidP="00CB1116">
      <w:pPr>
        <w:pStyle w:val="RepNo"/>
        <w:spacing w:before="0"/>
        <w:rPr>
          <w:lang w:val="en-GB"/>
        </w:rPr>
      </w:pPr>
      <w:bookmarkStart w:id="2" w:name="irecnoe"/>
      <w:bookmarkEnd w:id="2"/>
      <w:proofErr w:type="gramStart"/>
      <w:r w:rsidRPr="00F03387">
        <w:rPr>
          <w:lang w:val="en-GB"/>
        </w:rPr>
        <w:lastRenderedPageBreak/>
        <w:t>R</w:t>
      </w:r>
      <w:r w:rsidR="008D3D8D" w:rsidRPr="00F03387">
        <w:rPr>
          <w:lang w:val="en-GB"/>
        </w:rPr>
        <w:t>EPORT</w:t>
      </w:r>
      <w:r w:rsidRPr="00F03387">
        <w:rPr>
          <w:lang w:val="en-GB"/>
        </w:rPr>
        <w:t xml:space="preserve">  </w:t>
      </w:r>
      <w:r w:rsidRPr="00F03387">
        <w:rPr>
          <w:rStyle w:val="href"/>
          <w:lang w:val="en-GB"/>
        </w:rPr>
        <w:t>ITU</w:t>
      </w:r>
      <w:proofErr w:type="gramEnd"/>
      <w:r w:rsidRPr="00F03387">
        <w:rPr>
          <w:rStyle w:val="href"/>
          <w:lang w:val="en-GB"/>
        </w:rPr>
        <w:t xml:space="preserve">-R  </w:t>
      </w:r>
      <w:r w:rsidR="003B4EE8" w:rsidRPr="00F03387">
        <w:rPr>
          <w:rStyle w:val="href"/>
          <w:lang w:val="en-GB"/>
        </w:rPr>
        <w:t>S</w:t>
      </w:r>
      <w:r w:rsidR="008D3D8D" w:rsidRPr="00F03387">
        <w:rPr>
          <w:rStyle w:val="href"/>
          <w:lang w:val="en-GB"/>
        </w:rPr>
        <w:t>.</w:t>
      </w:r>
      <w:r w:rsidR="00843EBB" w:rsidRPr="00F03387">
        <w:rPr>
          <w:rStyle w:val="href"/>
          <w:lang w:val="en-GB"/>
        </w:rPr>
        <w:t>2</w:t>
      </w:r>
      <w:r w:rsidR="00523DDE" w:rsidRPr="00F03387">
        <w:rPr>
          <w:rStyle w:val="href"/>
          <w:lang w:val="en-GB"/>
        </w:rPr>
        <w:t>515</w:t>
      </w:r>
      <w:r w:rsidR="00843EBB" w:rsidRPr="00F03387">
        <w:rPr>
          <w:rStyle w:val="href"/>
          <w:lang w:val="en-GB"/>
        </w:rPr>
        <w:t>-0</w:t>
      </w:r>
    </w:p>
    <w:p w14:paraId="633F1CFD" w14:textId="2BBC16AD" w:rsidR="006C3F50" w:rsidRPr="00F03387" w:rsidRDefault="00523DDE" w:rsidP="003C2F20">
      <w:pPr>
        <w:pStyle w:val="Reptitle"/>
        <w:rPr>
          <w:lang w:val="en-GB"/>
        </w:rPr>
      </w:pPr>
      <w:r w:rsidRPr="00F03387">
        <w:rPr>
          <w:lang w:val="en-GB"/>
        </w:rPr>
        <w:t xml:space="preserve">Uplink interference considerations in the frequency band 7 025-7 075 MHz </w:t>
      </w:r>
      <w:r w:rsidRPr="00F03387">
        <w:rPr>
          <w:lang w:val="en-GB"/>
        </w:rPr>
        <w:br/>
        <w:t>for a broadcasting-satellite service (sound) in Region 2</w:t>
      </w:r>
    </w:p>
    <w:p w14:paraId="734E4847" w14:textId="10DBCFF3" w:rsidR="003C2F20" w:rsidRDefault="003C2F20" w:rsidP="003C2F20">
      <w:pPr>
        <w:pStyle w:val="Repdate"/>
        <w:rPr>
          <w:lang w:val="en-GB"/>
        </w:rPr>
      </w:pPr>
      <w:r w:rsidRPr="00F03387">
        <w:rPr>
          <w:lang w:val="en-GB"/>
        </w:rPr>
        <w:t>(20</w:t>
      </w:r>
      <w:r w:rsidR="00B85989" w:rsidRPr="00F03387">
        <w:rPr>
          <w:lang w:val="en-GB"/>
        </w:rPr>
        <w:t>22</w:t>
      </w:r>
      <w:r w:rsidRPr="00F03387">
        <w:rPr>
          <w:lang w:val="en-GB"/>
        </w:rPr>
        <w:t>)</w:t>
      </w:r>
    </w:p>
    <w:p w14:paraId="62AA3501" w14:textId="77777777" w:rsidR="0093092C" w:rsidRPr="00F03387" w:rsidRDefault="0093092C" w:rsidP="0093092C">
      <w:pPr>
        <w:pStyle w:val="Heading1"/>
        <w:rPr>
          <w:lang w:val="en-GB" w:eastAsia="zh-CN"/>
        </w:rPr>
      </w:pPr>
      <w:r w:rsidRPr="00F03387">
        <w:rPr>
          <w:lang w:val="en-GB" w:eastAsia="zh-CN"/>
        </w:rPr>
        <w:t>1</w:t>
      </w:r>
      <w:r w:rsidRPr="00F03387">
        <w:rPr>
          <w:lang w:val="en-GB" w:eastAsia="zh-CN"/>
        </w:rPr>
        <w:tab/>
        <w:t>Introduction</w:t>
      </w:r>
    </w:p>
    <w:p w14:paraId="36C06133" w14:textId="0239FE81" w:rsidR="0093092C" w:rsidRPr="00F03387" w:rsidRDefault="0093092C" w:rsidP="0093092C">
      <w:pPr>
        <w:rPr>
          <w:lang w:val="en-GB" w:eastAsia="zh-CN"/>
        </w:rPr>
      </w:pPr>
      <w:r w:rsidRPr="00F03387">
        <w:rPr>
          <w:lang w:val="en-GB" w:eastAsia="zh-CN"/>
        </w:rPr>
        <w:t xml:space="preserve">There has been much analysis of interference into satellite communications and broadcast mobile receiving terminals by the International Telecommunication Union. Most of these analyses have centred on the interference to proper reception at such terminals which is normally termed the </w:t>
      </w:r>
      <w:r w:rsidR="00F03387">
        <w:rPr>
          <w:lang w:val="en-GB" w:eastAsia="zh-CN"/>
        </w:rPr>
        <w:t>‘</w:t>
      </w:r>
      <w:r w:rsidRPr="00F03387">
        <w:rPr>
          <w:lang w:val="en-GB" w:eastAsia="zh-CN"/>
        </w:rPr>
        <w:t>downlink</w:t>
      </w:r>
      <w:r w:rsidR="00F03387">
        <w:rPr>
          <w:lang w:val="en-GB" w:eastAsia="zh-CN"/>
        </w:rPr>
        <w:t>’</w:t>
      </w:r>
      <w:r w:rsidRPr="00F03387">
        <w:rPr>
          <w:lang w:val="en-GB" w:eastAsia="zh-CN"/>
        </w:rPr>
        <w:t xml:space="preserve"> (the desired radio transmission from the satellite to the mobile receiving terminals). All broadcast and communications satellites also have an </w:t>
      </w:r>
      <w:r w:rsidR="00F03387">
        <w:rPr>
          <w:lang w:val="en-GB" w:eastAsia="zh-CN"/>
        </w:rPr>
        <w:t>‘</w:t>
      </w:r>
      <w:r w:rsidRPr="00F03387">
        <w:rPr>
          <w:lang w:val="en-GB" w:eastAsia="zh-CN"/>
        </w:rPr>
        <w:t>uplink</w:t>
      </w:r>
      <w:r w:rsidR="00F03387">
        <w:rPr>
          <w:lang w:val="en-GB" w:eastAsia="zh-CN"/>
        </w:rPr>
        <w:t>’</w:t>
      </w:r>
      <w:r w:rsidRPr="00F03387">
        <w:rPr>
          <w:lang w:val="en-GB" w:eastAsia="zh-CN"/>
        </w:rPr>
        <w:t xml:space="preserve"> (the desired radio transmission from central earth stations to the satellite containing the signal(s) that the satellite is to retransmit). There are a wide variety of communications and broadcast satellite systems operating in many different radio frequency bands. The following uses as its technical model the satellite parameters of the Region 2 broadcasting-satellite service (sound) (BSS (sound)) network employing geostationary orbit (GEO) satellites USASAT-28 K, N, O and</w:t>
      </w:r>
      <w:r w:rsidRPr="00F03387">
        <w:rPr>
          <w:lang w:val="en-GB"/>
        </w:rPr>
        <w:t> Q</w:t>
      </w:r>
      <w:r w:rsidRPr="00F03387">
        <w:rPr>
          <w:lang w:val="en-GB" w:eastAsia="zh-CN"/>
        </w:rPr>
        <w:t xml:space="preserve">, two located on that orbit near 85° West and two located near 115° West. This BSS (sound) system has operated for two decades [Ref. 1], and currently provides satellite radio broadcast service to nearly 37 million mobile subscribers throughout North America. The satellite uplink radio frequency band for the system is 7 025-7 075 MHz, referred to hereafter as the 7 GHz band. It should be noted that the fixed-satellite service </w:t>
      </w:r>
      <w:r w:rsidRPr="00F03387">
        <w:rPr>
          <w:color w:val="000000"/>
          <w:lang w:val="en-GB"/>
        </w:rPr>
        <w:t>(Earth-to-space) (space-to-Earth)</w:t>
      </w:r>
      <w:r w:rsidRPr="00F03387">
        <w:rPr>
          <w:lang w:val="en-GB" w:eastAsia="zh-CN"/>
        </w:rPr>
        <w:t xml:space="preserve"> is allocated and operated on a co-primary basis with the fixed and mobile services in the 7 025-7 075 MHz </w:t>
      </w:r>
      <w:r w:rsidRPr="00F03387">
        <w:rPr>
          <w:lang w:val="en-GB"/>
        </w:rPr>
        <w:t>frequency band</w:t>
      </w:r>
      <w:r w:rsidRPr="00F03387">
        <w:rPr>
          <w:lang w:val="en-GB" w:eastAsia="zh-CN"/>
        </w:rPr>
        <w:t xml:space="preserve"> in accordance with the Radio Regulations.</w:t>
      </w:r>
      <w:r w:rsidRPr="00F03387">
        <w:rPr>
          <w:lang w:val="en-GB"/>
        </w:rPr>
        <w:t xml:space="preserve"> The examples contained in the study are intended to provide guidance to address any potential cross-border interference situations for certain countries in Region 2, and potential domestic interference situations should be considered a national matter and are not addressed in this study.</w:t>
      </w:r>
    </w:p>
    <w:p w14:paraId="0D5DA258" w14:textId="77777777" w:rsidR="0093092C" w:rsidRPr="00F03387" w:rsidRDefault="0093092C" w:rsidP="0093092C">
      <w:pPr>
        <w:pStyle w:val="Heading1"/>
        <w:rPr>
          <w:lang w:val="en-GB" w:eastAsia="zh-CN"/>
        </w:rPr>
      </w:pPr>
      <w:r w:rsidRPr="00F03387">
        <w:rPr>
          <w:lang w:val="en-GB" w:eastAsia="zh-CN"/>
        </w:rPr>
        <w:t>2</w:t>
      </w:r>
      <w:r w:rsidRPr="00F03387">
        <w:rPr>
          <w:lang w:val="en-GB" w:eastAsia="zh-CN"/>
        </w:rPr>
        <w:tab/>
        <w:t>Satellite system configuration</w:t>
      </w:r>
    </w:p>
    <w:p w14:paraId="5C29C204" w14:textId="67EAA733" w:rsidR="0093092C" w:rsidRPr="00F03387" w:rsidRDefault="0093092C" w:rsidP="0093092C">
      <w:pPr>
        <w:rPr>
          <w:lang w:val="en-GB"/>
        </w:rPr>
      </w:pPr>
      <w:r w:rsidRPr="00F03387">
        <w:rPr>
          <w:lang w:val="en-GB"/>
        </w:rPr>
        <w:t xml:space="preserve">Figure 1 shows the BSS </w:t>
      </w:r>
      <w:r w:rsidRPr="00F03387">
        <w:rPr>
          <w:lang w:val="en-GB" w:eastAsia="zh-CN"/>
        </w:rPr>
        <w:t>(sound)</w:t>
      </w:r>
      <w:r w:rsidRPr="00F03387">
        <w:rPr>
          <w:lang w:val="en-GB"/>
        </w:rPr>
        <w:t xml:space="preserve"> system that includes the uplink radio transmission from the system’s ground stations to the satellites for retransmission by the satellites to the mobile receiving terminals. There are </w:t>
      </w:r>
      <w:r w:rsidR="00B85C83">
        <w:rPr>
          <w:lang w:val="en-GB"/>
        </w:rPr>
        <w:t>six</w:t>
      </w:r>
      <w:r w:rsidRPr="00F03387">
        <w:rPr>
          <w:lang w:val="en-GB"/>
        </w:rPr>
        <w:t xml:space="preserve"> uplink carrier frequencies used continuously plus </w:t>
      </w:r>
      <w:r w:rsidR="00E4774C">
        <w:rPr>
          <w:lang w:val="en-GB"/>
        </w:rPr>
        <w:t>four</w:t>
      </w:r>
      <w:r w:rsidRPr="00F03387">
        <w:rPr>
          <w:lang w:val="en-GB"/>
        </w:rPr>
        <w:t xml:space="preserve"> command carriers at radio frequencies around 7 GHz to the four active satellites in the constellation. Figure 2 shows both the uplink and downlink frequencies. Other uplink frequency configurations than those shown in Figs 1 and 2 can be employed in the 7 025-7 075 MHz frequency band.</w:t>
      </w:r>
    </w:p>
    <w:p w14:paraId="4904E832" w14:textId="77777777" w:rsidR="0093092C" w:rsidRPr="00F03387" w:rsidRDefault="0093092C" w:rsidP="0093092C">
      <w:pPr>
        <w:pStyle w:val="FigureNo"/>
        <w:rPr>
          <w:lang w:val="en-GB" w:eastAsia="zh-TW"/>
        </w:rPr>
      </w:pPr>
      <w:r w:rsidRPr="00F03387">
        <w:rPr>
          <w:lang w:val="en-GB" w:eastAsia="zh-TW"/>
        </w:rPr>
        <w:t>Figure 1</w:t>
      </w:r>
    </w:p>
    <w:p w14:paraId="5C4CB0B6" w14:textId="77777777" w:rsidR="0093092C" w:rsidRPr="00F03387" w:rsidRDefault="0093092C" w:rsidP="0093092C">
      <w:pPr>
        <w:pStyle w:val="Figuretitle"/>
        <w:rPr>
          <w:lang w:val="en-GB"/>
        </w:rPr>
      </w:pPr>
      <w:r w:rsidRPr="00F03387">
        <w:rPr>
          <w:lang w:val="en-GB" w:eastAsia="zh-TW"/>
        </w:rPr>
        <w:t>BSS (</w:t>
      </w:r>
      <w:r w:rsidRPr="00F03387">
        <w:rPr>
          <w:lang w:val="en-GB" w:eastAsia="zh-CN"/>
        </w:rPr>
        <w:t>sound</w:t>
      </w:r>
      <w:r w:rsidRPr="00F03387">
        <w:rPr>
          <w:lang w:val="en-GB" w:eastAsia="zh-TW"/>
        </w:rPr>
        <w:t>) satellite radio transmission system</w:t>
      </w:r>
    </w:p>
    <w:p w14:paraId="05241B33" w14:textId="6E0923DD" w:rsidR="0093092C" w:rsidRPr="00F03387" w:rsidRDefault="00A31FFF" w:rsidP="0093092C">
      <w:pPr>
        <w:pStyle w:val="Figure"/>
        <w:rPr>
          <w:lang w:val="en-GB"/>
        </w:rPr>
      </w:pPr>
      <w:r>
        <w:rPr>
          <w:noProof/>
          <w:lang w:val="en-GB"/>
        </w:rPr>
        <w:drawing>
          <wp:inline distT="0" distB="0" distL="0" distR="0" wp14:anchorId="6FB1D197" wp14:editId="2CFE705F">
            <wp:extent cx="6022860" cy="4514097"/>
            <wp:effectExtent l="0" t="0" r="0" b="127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2860" cy="4514097"/>
                    </a:xfrm>
                    <a:prstGeom prst="rect">
                      <a:avLst/>
                    </a:prstGeom>
                  </pic:spPr>
                </pic:pic>
              </a:graphicData>
            </a:graphic>
          </wp:inline>
        </w:drawing>
      </w:r>
    </w:p>
    <w:p w14:paraId="55342847" w14:textId="77777777" w:rsidR="0093092C" w:rsidRPr="00F03387" w:rsidRDefault="0093092C" w:rsidP="0093092C">
      <w:pPr>
        <w:pStyle w:val="FigureNo"/>
        <w:spacing w:before="360"/>
        <w:rPr>
          <w:lang w:val="en-GB" w:eastAsia="zh-TW"/>
        </w:rPr>
      </w:pPr>
      <w:r w:rsidRPr="00F03387">
        <w:rPr>
          <w:lang w:val="en-GB" w:eastAsia="zh-TW"/>
        </w:rPr>
        <w:t>Figure 2</w:t>
      </w:r>
    </w:p>
    <w:p w14:paraId="4CFA00D6" w14:textId="77777777" w:rsidR="0093092C" w:rsidRPr="00F03387" w:rsidRDefault="0093092C" w:rsidP="0093092C">
      <w:pPr>
        <w:pStyle w:val="Figuretitle"/>
        <w:rPr>
          <w:lang w:val="en-GB" w:eastAsia="zh-TW"/>
        </w:rPr>
      </w:pPr>
      <w:r w:rsidRPr="00F03387">
        <w:rPr>
          <w:lang w:val="en-GB" w:eastAsia="zh-TW"/>
        </w:rPr>
        <w:t>BSS (</w:t>
      </w:r>
      <w:r w:rsidRPr="00F03387">
        <w:rPr>
          <w:lang w:val="en-GB" w:eastAsia="zh-CN"/>
        </w:rPr>
        <w:t>sound</w:t>
      </w:r>
      <w:r w:rsidRPr="00F03387">
        <w:rPr>
          <w:lang w:val="en-GB" w:eastAsia="zh-TW"/>
        </w:rPr>
        <w:t>) frequency plan</w:t>
      </w:r>
    </w:p>
    <w:p w14:paraId="2DFEF1CD" w14:textId="77CFFAC5" w:rsidR="0093092C" w:rsidRPr="00F03387" w:rsidRDefault="00770201" w:rsidP="0093092C">
      <w:pPr>
        <w:pStyle w:val="Figure"/>
        <w:rPr>
          <w:lang w:val="en-GB" w:eastAsia="zh-TW"/>
        </w:rPr>
      </w:pPr>
      <w:r>
        <w:rPr>
          <w:noProof/>
          <w:lang w:val="en-GB" w:eastAsia="zh-TW"/>
        </w:rPr>
        <w:drawing>
          <wp:inline distT="0" distB="0" distL="0" distR="0" wp14:anchorId="00D44052" wp14:editId="085A77B6">
            <wp:extent cx="5556515" cy="3477775"/>
            <wp:effectExtent l="0" t="0" r="6350" b="889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6515" cy="3477775"/>
                    </a:xfrm>
                    <a:prstGeom prst="rect">
                      <a:avLst/>
                    </a:prstGeom>
                  </pic:spPr>
                </pic:pic>
              </a:graphicData>
            </a:graphic>
          </wp:inline>
        </w:drawing>
      </w:r>
    </w:p>
    <w:p w14:paraId="288F1A12" w14:textId="4BD30EF0" w:rsidR="0093092C" w:rsidRPr="00F03387" w:rsidRDefault="0093092C" w:rsidP="0093092C">
      <w:pPr>
        <w:rPr>
          <w:lang w:val="en-GB"/>
        </w:rPr>
      </w:pPr>
      <w:r w:rsidRPr="00F03387">
        <w:rPr>
          <w:lang w:val="en-GB" w:eastAsia="zh-TW"/>
        </w:rPr>
        <w:t>The satellite uplink radio frequency implementation is simple. The uplink transmissions from the central earth stations, which employ 11.3 m diameter antennas, are amplified by the satellite receive antenna and coupled to a 7</w:t>
      </w:r>
      <w:r w:rsidRPr="00F03387">
        <w:rPr>
          <w:rFonts w:eastAsia="Calibri"/>
          <w:color w:val="000000"/>
          <w:lang w:val="en-GB"/>
        </w:rPr>
        <w:t> </w:t>
      </w:r>
      <w:r w:rsidRPr="00F03387">
        <w:rPr>
          <w:lang w:val="en-GB" w:eastAsia="zh-TW"/>
        </w:rPr>
        <w:t>GHz receiver. The satellite 7 GHz receiver further amplifies the transmission and sends it to a frequency translator converting it to 2.3 GHz. The 2.3 GHz transmission is then amplified by paralleled traveling-wave tube amplifiers (TWTAs) and transmitted by the satellite transmit antenna to the mobile subscriber receiving terminals on Earth. The satellite receive system noise temperature is typically 900 deg</w:t>
      </w:r>
      <w:r w:rsidR="00E638CB">
        <w:rPr>
          <w:lang w:val="en-GB" w:eastAsia="zh-TW"/>
        </w:rPr>
        <w:t>rees</w:t>
      </w:r>
      <w:r w:rsidRPr="00F03387">
        <w:rPr>
          <w:lang w:val="en-GB" w:eastAsia="zh-TW"/>
        </w:rPr>
        <w:t xml:space="preserve"> Kelvin including earth noise seen by the satellite receive antenna. The widest current uplink transmission bandwidth is 4.5 MHz, resulting in a </w:t>
      </w:r>
      <w:bookmarkStart w:id="3" w:name="_Hlk521072834"/>
      <w:r w:rsidRPr="00F03387">
        <w:rPr>
          <w:lang w:val="en-GB" w:eastAsia="zh-TW"/>
        </w:rPr>
        <w:t xml:space="preserve">satellite receiving thermal noise floor of −132.5 dBW. </w:t>
      </w:r>
      <w:bookmarkEnd w:id="3"/>
      <w:r w:rsidRPr="00F03387">
        <w:rPr>
          <w:lang w:val="en-GB" w:eastAsia="zh-TW"/>
        </w:rPr>
        <w:t>The full technical parameters of the network’s transmission system are contained in the satellites’ ITU registrations [2].</w:t>
      </w:r>
    </w:p>
    <w:p w14:paraId="14E7DACA" w14:textId="77777777" w:rsidR="0093092C" w:rsidRPr="00F03387" w:rsidRDefault="0093092C" w:rsidP="0093092C">
      <w:pPr>
        <w:pStyle w:val="Heading1"/>
        <w:rPr>
          <w:lang w:val="en-GB"/>
        </w:rPr>
      </w:pPr>
      <w:r w:rsidRPr="00F03387">
        <w:rPr>
          <w:lang w:val="en-GB" w:eastAsia="zh-TW"/>
        </w:rPr>
        <w:t>3</w:t>
      </w:r>
      <w:r w:rsidRPr="00F03387">
        <w:rPr>
          <w:lang w:val="en-GB" w:eastAsia="zh-TW"/>
        </w:rPr>
        <w:tab/>
        <w:t xml:space="preserve">Examples of sources of potential </w:t>
      </w:r>
      <w:r w:rsidRPr="00F03387">
        <w:rPr>
          <w:lang w:val="en-GB"/>
        </w:rPr>
        <w:t xml:space="preserve">interference </w:t>
      </w:r>
    </w:p>
    <w:p w14:paraId="1DC13E58" w14:textId="38E42B42" w:rsidR="0093092C" w:rsidRPr="00F03387" w:rsidRDefault="0093092C" w:rsidP="0093092C">
      <w:pPr>
        <w:rPr>
          <w:lang w:val="en-GB"/>
        </w:rPr>
      </w:pPr>
      <w:r w:rsidRPr="00F03387">
        <w:rPr>
          <w:lang w:val="en-GB"/>
        </w:rPr>
        <w:t>Examples of potential uplink interference can be categorized as those within the uplink transmission bandwidth (</w:t>
      </w:r>
      <w:r w:rsidR="00E92EFE">
        <w:rPr>
          <w:lang w:val="en-GB"/>
        </w:rPr>
        <w:t>‘</w:t>
      </w:r>
      <w:r w:rsidRPr="00F03387">
        <w:rPr>
          <w:lang w:val="en-GB"/>
        </w:rPr>
        <w:t>in-band</w:t>
      </w:r>
      <w:r w:rsidR="00E92EFE">
        <w:rPr>
          <w:lang w:val="en-GB"/>
        </w:rPr>
        <w:t>’</w:t>
      </w:r>
      <w:r w:rsidRPr="00F03387">
        <w:rPr>
          <w:lang w:val="en-GB"/>
        </w:rPr>
        <w:t>), those adjacent to the band, and intermodulation products. The primary sources are from transmitters on the Earth’s surface but, as described later, there are proposals to share the 7</w:t>
      </w:r>
      <w:r w:rsidR="00E92EFE">
        <w:rPr>
          <w:lang w:val="en-GB"/>
        </w:rPr>
        <w:t> </w:t>
      </w:r>
      <w:r w:rsidRPr="00F03387">
        <w:rPr>
          <w:lang w:val="en-GB"/>
        </w:rPr>
        <w:t xml:space="preserve">GHz broadcast uplink band by non-geostationary orbit (non-GSO) satellite constellations. </w:t>
      </w:r>
    </w:p>
    <w:p w14:paraId="198169F9" w14:textId="77777777" w:rsidR="0093092C" w:rsidRPr="00F03387" w:rsidRDefault="0093092C" w:rsidP="0093092C">
      <w:pPr>
        <w:rPr>
          <w:lang w:val="en-GB"/>
        </w:rPr>
      </w:pPr>
      <w:r w:rsidRPr="00F03387">
        <w:rPr>
          <w:lang w:val="en-GB"/>
        </w:rPr>
        <w:t xml:space="preserve">There are two characteristics which distinguish uplink interference from downlink interference. The first is that most communications/broadcasting satellite systems </w:t>
      </w:r>
      <w:proofErr w:type="gramStart"/>
      <w:r w:rsidRPr="00F03387">
        <w:rPr>
          <w:lang w:val="en-GB"/>
        </w:rPr>
        <w:t>are located in</w:t>
      </w:r>
      <w:proofErr w:type="gramEnd"/>
      <w:r w:rsidRPr="00F03387">
        <w:rPr>
          <w:lang w:val="en-GB"/>
        </w:rPr>
        <w:t xml:space="preserve"> geostationary orbits. This means that any earth-based transmissions will be attenuated by the path loss to the satellite which, at 7 GHz, is typically 201.2 dB. The second is that the satellite receiving antenna generally has a large field-of-view of the Earth’s surface. Any earth-based transmitters operating at in-band frequencies within the satellite’s field-of-view would be sources of potential uplink interference depending on the deployment and operation circumstances. As such, any aggregate effects from multiple sources of potential interference from adjacent, neighbouring countries could be received and amplified by the satellite’s receive (uplink) antenna gain. Figure 3 shows one example of the typical BSS </w:t>
      </w:r>
      <w:r w:rsidRPr="00F03387">
        <w:rPr>
          <w:lang w:val="en-GB" w:eastAsia="zh-CN"/>
        </w:rPr>
        <w:t xml:space="preserve">(sound) </w:t>
      </w:r>
      <w:r w:rsidRPr="00F03387">
        <w:rPr>
          <w:lang w:val="en-GB"/>
        </w:rPr>
        <w:t>satellite receive antenna coverage and directionality. The antenna coverage includes most of the continental United States and adjacent portions of Canada, Mexico and the Caribbean. Any potential interfering flux density from in-band earth-based transmitters from adjacent, neighbouring countries throughout this area of the Earth would be received and amplified by the satellite receive antenna gain of up to a factor of approximately 800 (e.g. up to 29 dBi).</w:t>
      </w:r>
    </w:p>
    <w:p w14:paraId="14CB2B2F" w14:textId="77777777" w:rsidR="0093092C" w:rsidRPr="00F03387" w:rsidRDefault="0093092C" w:rsidP="0093092C">
      <w:pPr>
        <w:pStyle w:val="FigureNo"/>
        <w:rPr>
          <w:lang w:val="en-GB" w:eastAsia="zh-TW"/>
        </w:rPr>
      </w:pPr>
      <w:r w:rsidRPr="00F03387">
        <w:rPr>
          <w:lang w:val="en-GB" w:eastAsia="zh-TW"/>
        </w:rPr>
        <w:t>Figure 3</w:t>
      </w:r>
    </w:p>
    <w:p w14:paraId="5144669E" w14:textId="77777777" w:rsidR="0093092C" w:rsidRPr="00F03387" w:rsidRDefault="0093092C" w:rsidP="0093092C">
      <w:pPr>
        <w:pStyle w:val="Figuretitle"/>
        <w:spacing w:after="240"/>
        <w:rPr>
          <w:lang w:val="en-GB" w:eastAsia="zh-TW"/>
        </w:rPr>
      </w:pPr>
      <w:r w:rsidRPr="00F03387">
        <w:rPr>
          <w:lang w:val="en-GB" w:eastAsia="zh-TW"/>
        </w:rPr>
        <w:t>Typical BSS (sound) satellite uplink receive antenna pattern</w:t>
      </w:r>
    </w:p>
    <w:p w14:paraId="48218C3F" w14:textId="6866041C" w:rsidR="0093092C" w:rsidRPr="00F03387" w:rsidRDefault="00A31FFF" w:rsidP="0093092C">
      <w:pPr>
        <w:pStyle w:val="Figure"/>
        <w:spacing w:after="120"/>
        <w:rPr>
          <w:lang w:val="en-GB" w:eastAsia="zh-TW"/>
        </w:rPr>
      </w:pPr>
      <w:r>
        <w:rPr>
          <w:noProof/>
          <w:lang w:val="en-GB" w:eastAsia="zh-TW"/>
        </w:rPr>
        <w:drawing>
          <wp:inline distT="0" distB="0" distL="0" distR="0" wp14:anchorId="2CB8A135" wp14:editId="0FAB847B">
            <wp:extent cx="5108458" cy="5096266"/>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8458" cy="5096266"/>
                    </a:xfrm>
                    <a:prstGeom prst="rect">
                      <a:avLst/>
                    </a:prstGeom>
                  </pic:spPr>
                </pic:pic>
              </a:graphicData>
            </a:graphic>
          </wp:inline>
        </w:drawing>
      </w:r>
    </w:p>
    <w:p w14:paraId="4A0E265A" w14:textId="77777777" w:rsidR="0093092C" w:rsidRPr="00F03387" w:rsidRDefault="0093092C" w:rsidP="0093092C">
      <w:pPr>
        <w:pStyle w:val="Heading1"/>
        <w:rPr>
          <w:lang w:val="en-GB"/>
        </w:rPr>
      </w:pPr>
      <w:r w:rsidRPr="00F03387">
        <w:rPr>
          <w:lang w:val="en-GB" w:eastAsia="zh-TW"/>
        </w:rPr>
        <w:t>4</w:t>
      </w:r>
      <w:r w:rsidRPr="00F03387">
        <w:rPr>
          <w:lang w:val="en-GB" w:eastAsia="zh-TW"/>
        </w:rPr>
        <w:tab/>
      </w:r>
      <w:r w:rsidRPr="00F03387">
        <w:rPr>
          <w:lang w:val="en-GB"/>
        </w:rPr>
        <w:t>Types of potential interference scenarios to uplink</w:t>
      </w:r>
    </w:p>
    <w:p w14:paraId="1BE21FE4" w14:textId="032916A8" w:rsidR="0093092C" w:rsidRPr="00F03387" w:rsidRDefault="0093092C" w:rsidP="0093092C">
      <w:pPr>
        <w:pStyle w:val="Heading2"/>
        <w:ind w:left="0" w:firstLine="0"/>
        <w:rPr>
          <w:shd w:val="clear" w:color="auto" w:fill="FFFFFF"/>
          <w:lang w:val="en-GB" w:eastAsia="zh-TW"/>
        </w:rPr>
      </w:pPr>
      <w:r w:rsidRPr="00F03387">
        <w:rPr>
          <w:shd w:val="clear" w:color="auto" w:fill="FFFFFF"/>
          <w:lang w:val="en-GB" w:eastAsia="zh-TW"/>
        </w:rPr>
        <w:t>4.1</w:t>
      </w:r>
      <w:r w:rsidRPr="00F03387">
        <w:rPr>
          <w:shd w:val="clear" w:color="auto" w:fill="FFFFFF"/>
          <w:lang w:val="en-GB" w:eastAsia="zh-TW"/>
        </w:rPr>
        <w:tab/>
        <w:t>In-band</w:t>
      </w:r>
    </w:p>
    <w:p w14:paraId="4CEE3576" w14:textId="77777777" w:rsidR="0093092C" w:rsidRPr="00F03387" w:rsidRDefault="0093092C" w:rsidP="0093092C">
      <w:pPr>
        <w:rPr>
          <w:lang w:val="en-GB"/>
        </w:rPr>
      </w:pPr>
      <w:r w:rsidRPr="00F03387">
        <w:rPr>
          <w:lang w:val="en-GB" w:eastAsia="zh-CN"/>
        </w:rPr>
        <w:t xml:space="preserve">The fixed-satellite service </w:t>
      </w:r>
      <w:r w:rsidRPr="00F03387">
        <w:rPr>
          <w:color w:val="000000"/>
          <w:lang w:val="en-GB"/>
        </w:rPr>
        <w:t>(Earth-to-space) (space-to-Earth)</w:t>
      </w:r>
      <w:r w:rsidRPr="00F03387">
        <w:rPr>
          <w:lang w:val="en-GB" w:eastAsia="zh-CN"/>
        </w:rPr>
        <w:t xml:space="preserve"> is allocated and is operated co-primary with the fixed and mobile services in the 7 025-7 075 MHz frequency band in accordance with the Radio Regulations, such as Article </w:t>
      </w:r>
      <w:r w:rsidRPr="00F03387">
        <w:rPr>
          <w:b/>
          <w:bCs/>
          <w:lang w:val="en-GB" w:eastAsia="zh-CN"/>
        </w:rPr>
        <w:t>21</w:t>
      </w:r>
      <w:r w:rsidRPr="00F03387">
        <w:rPr>
          <w:lang w:val="en-GB" w:eastAsia="zh-CN"/>
        </w:rPr>
        <w:t xml:space="preserve">. </w:t>
      </w:r>
      <w:r w:rsidRPr="00F03387">
        <w:rPr>
          <w:lang w:val="en-GB"/>
        </w:rPr>
        <w:t>Some examples of Region 2 applications that operate in this band include fixed service (FS) microwave links, television Broadcast Auxiliary Service (BAS), Cable Television Relay Service (CARS), Local Television Transmission Service (LTTS), Radiocommunication Local Area Networks (RLANs) and Ultra-Wideband devices (UWB). Generally, these transmitters are not high powered and some use directive antennas. Aggregate uplink interference from adjacent neighbouring countries from these co-sharing services is currently feasible and further use may be coordinated between concerned administrations, as appropriate, in order to facilitate coexistence.</w:t>
      </w:r>
    </w:p>
    <w:p w14:paraId="6985BC38" w14:textId="77777777" w:rsidR="0093092C" w:rsidRPr="00F03387" w:rsidRDefault="0093092C" w:rsidP="0093092C">
      <w:pPr>
        <w:rPr>
          <w:lang w:val="en-GB"/>
        </w:rPr>
      </w:pPr>
      <w:r w:rsidRPr="00F03387">
        <w:rPr>
          <w:lang w:val="en-GB"/>
        </w:rPr>
        <w:t>Besides earth-based transmitter interferers, there are recent ITU filings for non-GSO satellite constellations, including a few that specify use of the 7 GHz frequencies used for the BSS (sound) uplinks. These systems could become a potential source of interference in the future.</w:t>
      </w:r>
    </w:p>
    <w:p w14:paraId="4A928DB4" w14:textId="77777777" w:rsidR="0093092C" w:rsidRPr="00F03387" w:rsidRDefault="0093092C" w:rsidP="0093092C">
      <w:pPr>
        <w:pStyle w:val="Heading2"/>
        <w:rPr>
          <w:shd w:val="clear" w:color="auto" w:fill="FFFFFF"/>
          <w:lang w:val="en-GB" w:eastAsia="zh-TW"/>
        </w:rPr>
      </w:pPr>
      <w:r w:rsidRPr="00F03387">
        <w:rPr>
          <w:shd w:val="clear" w:color="auto" w:fill="FFFFFF"/>
          <w:lang w:val="en-GB" w:eastAsia="zh-TW"/>
        </w:rPr>
        <w:t>4.2</w:t>
      </w:r>
      <w:r w:rsidRPr="00F03387">
        <w:rPr>
          <w:shd w:val="clear" w:color="auto" w:fill="FFFFFF"/>
          <w:lang w:val="en-GB" w:eastAsia="zh-TW"/>
        </w:rPr>
        <w:tab/>
      </w:r>
      <w:proofErr w:type="gramStart"/>
      <w:r w:rsidRPr="00F03387">
        <w:rPr>
          <w:shd w:val="clear" w:color="auto" w:fill="FFFFFF"/>
          <w:lang w:val="en-GB" w:eastAsia="zh-TW"/>
        </w:rPr>
        <w:t>Adjacent-band</w:t>
      </w:r>
      <w:proofErr w:type="gramEnd"/>
    </w:p>
    <w:p w14:paraId="735318AA" w14:textId="77777777" w:rsidR="0093092C" w:rsidRPr="00F03387" w:rsidRDefault="0093092C" w:rsidP="0093092C">
      <w:pPr>
        <w:rPr>
          <w:lang w:val="en-GB"/>
        </w:rPr>
      </w:pPr>
      <w:r w:rsidRPr="00F03387">
        <w:rPr>
          <w:lang w:val="en-GB"/>
        </w:rPr>
        <w:t>The selectivity of the satellite uplink radio frequency filtering in the 7 GHz receiver is not perfect at band edge. Potential interference sources close to the band edge can produce interference levels almost equivalent to in-band interferers. This interference source can be avoided by ensuring the adjacent frequency allocated transmissions at band edge have low interference potential.</w:t>
      </w:r>
    </w:p>
    <w:p w14:paraId="55E62FA3" w14:textId="77777777" w:rsidR="0093092C" w:rsidRPr="00F03387" w:rsidRDefault="0093092C" w:rsidP="0093092C">
      <w:pPr>
        <w:pStyle w:val="Heading2"/>
        <w:rPr>
          <w:shd w:val="clear" w:color="auto" w:fill="FFFFFF"/>
          <w:lang w:val="en-GB" w:eastAsia="zh-TW"/>
        </w:rPr>
      </w:pPr>
      <w:r w:rsidRPr="00F03387">
        <w:rPr>
          <w:shd w:val="clear" w:color="auto" w:fill="FFFFFF"/>
          <w:lang w:val="en-GB" w:eastAsia="zh-TW"/>
        </w:rPr>
        <w:t>4.3</w:t>
      </w:r>
      <w:r w:rsidRPr="00F03387">
        <w:rPr>
          <w:shd w:val="clear" w:color="auto" w:fill="FFFFFF"/>
          <w:lang w:val="en-GB" w:eastAsia="zh-TW"/>
        </w:rPr>
        <w:tab/>
        <w:t>Intermodulation</w:t>
      </w:r>
    </w:p>
    <w:p w14:paraId="7ABE600B" w14:textId="77777777" w:rsidR="0093092C" w:rsidRPr="00F03387" w:rsidRDefault="0093092C" w:rsidP="0093092C">
      <w:pPr>
        <w:rPr>
          <w:lang w:val="en-GB"/>
        </w:rPr>
      </w:pPr>
      <w:r w:rsidRPr="00F03387">
        <w:rPr>
          <w:lang w:val="en-GB"/>
        </w:rPr>
        <w:t xml:space="preserve">It is possible that intermodulation products can fall into the 7 GHz band, causing potential interference. Practically, the major contributors would be the 2A-B (or 2B-A) intermodulation products, where A and B are strong radio frequency carriers in the 5-9 GHz range which impinge the geostationary orbit where the satellite is located. This can be mitigated and addressed through proper coordination between concerned administrations. </w:t>
      </w:r>
    </w:p>
    <w:p w14:paraId="74779269" w14:textId="77777777" w:rsidR="0093092C" w:rsidRPr="00F03387" w:rsidRDefault="0093092C" w:rsidP="0093092C">
      <w:pPr>
        <w:pStyle w:val="Heading1"/>
        <w:rPr>
          <w:lang w:val="en-GB"/>
        </w:rPr>
      </w:pPr>
      <w:r w:rsidRPr="00F03387">
        <w:rPr>
          <w:lang w:val="en-GB"/>
        </w:rPr>
        <w:t>5</w:t>
      </w:r>
      <w:r w:rsidRPr="00F03387">
        <w:rPr>
          <w:lang w:val="en-GB"/>
        </w:rPr>
        <w:tab/>
        <w:t>Interference protection criteria</w:t>
      </w:r>
    </w:p>
    <w:p w14:paraId="2A38AF45" w14:textId="77777777" w:rsidR="0093092C" w:rsidRPr="00F03387" w:rsidRDefault="0093092C" w:rsidP="0093092C">
      <w:pPr>
        <w:rPr>
          <w:lang w:val="en-GB"/>
        </w:rPr>
      </w:pPr>
      <w:r w:rsidRPr="00F03387">
        <w:rPr>
          <w:lang w:val="en-GB"/>
        </w:rPr>
        <w:t xml:space="preserve">The maximum aggregate interference level is </w:t>
      </w:r>
      <w:r w:rsidRPr="00F03387">
        <w:rPr>
          <w:i/>
          <w:iCs/>
          <w:lang w:val="en-GB"/>
        </w:rPr>
        <w:t>I</w:t>
      </w:r>
      <w:r w:rsidRPr="00D72BBA">
        <w:rPr>
          <w:lang w:val="en-GB"/>
        </w:rPr>
        <w:t>/</w:t>
      </w:r>
      <w:r w:rsidRPr="00F03387">
        <w:rPr>
          <w:i/>
          <w:iCs/>
          <w:lang w:val="en-GB"/>
        </w:rPr>
        <w:t>N</w:t>
      </w:r>
      <w:r w:rsidRPr="00F03387">
        <w:rPr>
          <w:lang w:val="en-GB"/>
        </w:rPr>
        <w:t xml:space="preserve"> = −12 dB for time invariant sources (Recommendation ITU-R S.1432-1). Study Group 4 has recently provisionally recommended </w:t>
      </w:r>
      <w:r w:rsidRPr="00F03387">
        <w:rPr>
          <w:i/>
          <w:iCs/>
          <w:lang w:val="en-GB"/>
        </w:rPr>
        <w:t>I</w:t>
      </w:r>
      <w:r w:rsidRPr="00D72BBA">
        <w:rPr>
          <w:lang w:val="en-GB"/>
        </w:rPr>
        <w:t>/</w:t>
      </w:r>
      <w:r w:rsidRPr="00F03387">
        <w:rPr>
          <w:i/>
          <w:iCs/>
          <w:lang w:val="en-GB"/>
        </w:rPr>
        <w:t>N</w:t>
      </w:r>
      <w:r w:rsidRPr="00F03387">
        <w:rPr>
          <w:lang w:val="en-GB"/>
        </w:rPr>
        <w:t>s for time variant sources of −10.5 dB for 20%, −2.33 dB for 0.001% and −6 dB for 0.03%.</w:t>
      </w:r>
    </w:p>
    <w:p w14:paraId="5BA8BDE9" w14:textId="16575B60" w:rsidR="0093092C" w:rsidRPr="00F03387" w:rsidRDefault="0093092C" w:rsidP="0093092C">
      <w:pPr>
        <w:rPr>
          <w:lang w:val="en-GB"/>
        </w:rPr>
      </w:pPr>
      <w:r w:rsidRPr="00F03387">
        <w:rPr>
          <w:i/>
          <w:iCs/>
          <w:lang w:val="en-GB"/>
        </w:rPr>
        <w:t>C</w:t>
      </w:r>
      <w:r w:rsidRPr="0052076C">
        <w:rPr>
          <w:lang w:val="en-GB"/>
        </w:rPr>
        <w:t>/</w:t>
      </w:r>
      <w:r w:rsidRPr="00F03387">
        <w:rPr>
          <w:i/>
          <w:iCs/>
          <w:lang w:val="en-GB"/>
        </w:rPr>
        <w:t>N</w:t>
      </w:r>
      <w:r w:rsidRPr="00F03387">
        <w:rPr>
          <w:i/>
          <w:iCs/>
          <w:vertAlign w:val="subscript"/>
          <w:lang w:val="en-GB"/>
        </w:rPr>
        <w:t>up</w:t>
      </w:r>
      <w:r w:rsidRPr="00F03387">
        <w:rPr>
          <w:lang w:val="en-GB"/>
        </w:rPr>
        <w:t xml:space="preserve"> is automatically combined with the </w:t>
      </w:r>
      <w:r w:rsidRPr="00F03387">
        <w:rPr>
          <w:i/>
          <w:iCs/>
          <w:lang w:val="en-GB"/>
        </w:rPr>
        <w:t>C</w:t>
      </w:r>
      <w:r w:rsidRPr="0052076C">
        <w:rPr>
          <w:lang w:val="en-GB"/>
        </w:rPr>
        <w:t>/</w:t>
      </w:r>
      <w:r w:rsidRPr="00F03387">
        <w:rPr>
          <w:i/>
          <w:iCs/>
          <w:lang w:val="en-GB"/>
        </w:rPr>
        <w:t>N</w:t>
      </w:r>
      <w:r w:rsidRPr="00F03387">
        <w:rPr>
          <w:vertAlign w:val="subscript"/>
          <w:lang w:val="en-GB"/>
        </w:rPr>
        <w:t>down</w:t>
      </w:r>
      <w:r w:rsidRPr="00F03387">
        <w:rPr>
          <w:lang w:val="en-GB"/>
        </w:rPr>
        <w:t xml:space="preserve"> for satellites using linear translation repeaters of transmissions (reflecting the design of many communications/broadcasting satellites), which results in </w:t>
      </w:r>
      <w:r w:rsidRPr="00F03387">
        <w:rPr>
          <w:i/>
          <w:iCs/>
          <w:lang w:val="en-GB"/>
        </w:rPr>
        <w:t>C</w:t>
      </w:r>
      <w:r w:rsidRPr="0052076C">
        <w:rPr>
          <w:lang w:val="en-GB"/>
        </w:rPr>
        <w:t>/</w:t>
      </w:r>
      <w:r w:rsidRPr="00F03387">
        <w:rPr>
          <w:i/>
          <w:iCs/>
          <w:lang w:val="en-GB"/>
        </w:rPr>
        <w:t>N</w:t>
      </w:r>
      <w:r w:rsidRPr="00F03387">
        <w:rPr>
          <w:i/>
          <w:iCs/>
          <w:vertAlign w:val="subscript"/>
          <w:lang w:val="en-GB"/>
        </w:rPr>
        <w:t>total</w:t>
      </w:r>
      <w:r w:rsidRPr="00F03387">
        <w:rPr>
          <w:lang w:val="en-GB"/>
        </w:rPr>
        <w:t xml:space="preserve">. </w:t>
      </w:r>
      <w:r w:rsidRPr="00F03387">
        <w:rPr>
          <w:i/>
          <w:iCs/>
          <w:lang w:val="en-GB"/>
        </w:rPr>
        <w:t>C</w:t>
      </w:r>
      <w:r w:rsidRPr="0052076C">
        <w:rPr>
          <w:lang w:val="en-GB"/>
        </w:rPr>
        <w:t>/</w:t>
      </w:r>
      <w:r w:rsidRPr="00F03387">
        <w:rPr>
          <w:i/>
          <w:iCs/>
          <w:lang w:val="en-GB"/>
        </w:rPr>
        <w:t>N</w:t>
      </w:r>
      <w:r w:rsidRPr="00F03387">
        <w:rPr>
          <w:i/>
          <w:iCs/>
          <w:vertAlign w:val="subscript"/>
          <w:lang w:val="en-GB"/>
        </w:rPr>
        <w:t>up</w:t>
      </w:r>
      <w:r w:rsidRPr="00F03387">
        <w:rPr>
          <w:lang w:val="en-GB"/>
        </w:rPr>
        <w:t xml:space="preserve"> can be considered an interference contribution to </w:t>
      </w:r>
      <w:r w:rsidRPr="00F03387">
        <w:rPr>
          <w:i/>
          <w:iCs/>
          <w:lang w:val="en-GB"/>
        </w:rPr>
        <w:t>C</w:t>
      </w:r>
      <w:r w:rsidRPr="0052076C">
        <w:rPr>
          <w:lang w:val="en-GB"/>
        </w:rPr>
        <w:t>/</w:t>
      </w:r>
      <w:r w:rsidRPr="00F03387">
        <w:rPr>
          <w:i/>
          <w:iCs/>
          <w:lang w:val="en-GB"/>
        </w:rPr>
        <w:t>N</w:t>
      </w:r>
      <w:r w:rsidRPr="00F03387">
        <w:rPr>
          <w:i/>
          <w:iCs/>
          <w:vertAlign w:val="subscript"/>
          <w:lang w:val="en-GB"/>
        </w:rPr>
        <w:t>total</w:t>
      </w:r>
      <w:r w:rsidRPr="00F03387">
        <w:rPr>
          <w:lang w:val="en-GB"/>
        </w:rPr>
        <w:t>. However, in the subject BSS (</w:t>
      </w:r>
      <w:r w:rsidRPr="00F03387">
        <w:rPr>
          <w:lang w:val="en-GB" w:eastAsia="zh-CN"/>
        </w:rPr>
        <w:t>sound</w:t>
      </w:r>
      <w:r w:rsidRPr="00F03387">
        <w:rPr>
          <w:lang w:val="en-GB"/>
        </w:rPr>
        <w:t xml:space="preserve">) system, </w:t>
      </w:r>
      <w:r w:rsidRPr="00F03387">
        <w:rPr>
          <w:i/>
          <w:iCs/>
          <w:lang w:val="en-GB"/>
        </w:rPr>
        <w:t>C</w:t>
      </w:r>
      <w:r w:rsidRPr="0052076C">
        <w:rPr>
          <w:lang w:val="en-GB"/>
        </w:rPr>
        <w:t>/</w:t>
      </w:r>
      <w:r w:rsidRPr="00F03387">
        <w:rPr>
          <w:i/>
          <w:iCs/>
          <w:lang w:val="en-GB"/>
        </w:rPr>
        <w:t>N</w:t>
      </w:r>
      <w:r w:rsidRPr="00F03387">
        <w:rPr>
          <w:i/>
          <w:iCs/>
          <w:vertAlign w:val="subscript"/>
          <w:lang w:val="en-GB"/>
        </w:rPr>
        <w:t>total</w:t>
      </w:r>
      <w:r w:rsidRPr="00F03387">
        <w:rPr>
          <w:lang w:val="en-GB"/>
        </w:rPr>
        <w:t xml:space="preserve"> must be sufficient to overcome foliage attenuation [3], which is prevalent over the northern United States and Canada. </w:t>
      </w:r>
      <w:r w:rsidRPr="00F03387">
        <w:rPr>
          <w:i/>
          <w:iCs/>
          <w:lang w:val="en-GB"/>
        </w:rPr>
        <w:t>C</w:t>
      </w:r>
      <w:r w:rsidRPr="0052076C">
        <w:rPr>
          <w:lang w:val="en-GB"/>
        </w:rPr>
        <w:t>/</w:t>
      </w:r>
      <w:r w:rsidRPr="00F03387">
        <w:rPr>
          <w:i/>
          <w:iCs/>
          <w:lang w:val="en-GB"/>
        </w:rPr>
        <w:t>N</w:t>
      </w:r>
      <w:r w:rsidRPr="00F03387">
        <w:rPr>
          <w:i/>
          <w:iCs/>
          <w:vertAlign w:val="subscript"/>
          <w:lang w:val="en-GB"/>
        </w:rPr>
        <w:t>total</w:t>
      </w:r>
      <w:r w:rsidRPr="00F03387">
        <w:rPr>
          <w:lang w:val="en-GB"/>
        </w:rPr>
        <w:t xml:space="preserve"> must be sufficient after inclusion of all interference contributions to provide mobile subscribers with very high service availability (e.g. a goal of greater than 99.9%), since BSS (</w:t>
      </w:r>
      <w:r w:rsidRPr="00F03387">
        <w:rPr>
          <w:lang w:val="en-GB" w:eastAsia="zh-CN"/>
        </w:rPr>
        <w:t>sound</w:t>
      </w:r>
      <w:r w:rsidRPr="00F03387">
        <w:rPr>
          <w:lang w:val="en-GB"/>
        </w:rPr>
        <w:t xml:space="preserve">) programmed music listening will otherwise not be satisfactory. </w:t>
      </w:r>
    </w:p>
    <w:p w14:paraId="738A774C" w14:textId="710BFCC9" w:rsidR="0093092C" w:rsidRPr="00F03387" w:rsidRDefault="0093092C" w:rsidP="0093092C">
      <w:pPr>
        <w:rPr>
          <w:lang w:val="en-GB"/>
        </w:rPr>
      </w:pPr>
      <w:r w:rsidRPr="00F03387">
        <w:rPr>
          <w:i/>
          <w:iCs/>
          <w:lang w:val="en-GB"/>
        </w:rPr>
        <w:t>C</w:t>
      </w:r>
      <w:r w:rsidRPr="00F04BCC">
        <w:rPr>
          <w:lang w:val="en-GB"/>
        </w:rPr>
        <w:t>/</w:t>
      </w:r>
      <w:r w:rsidRPr="00F03387">
        <w:rPr>
          <w:i/>
          <w:iCs/>
          <w:lang w:val="en-GB"/>
        </w:rPr>
        <w:t>N</w:t>
      </w:r>
      <w:r w:rsidRPr="00F04BCC">
        <w:rPr>
          <w:i/>
          <w:iCs/>
          <w:vertAlign w:val="subscript"/>
          <w:lang w:val="en-GB"/>
        </w:rPr>
        <w:t>down</w:t>
      </w:r>
      <w:r w:rsidRPr="00F03387">
        <w:rPr>
          <w:lang w:val="en-GB"/>
        </w:rPr>
        <w:t xml:space="preserve"> is generally interference critical, so a low interference allowance is desirable. For the BSS (</w:t>
      </w:r>
      <w:r w:rsidRPr="00F03387">
        <w:rPr>
          <w:lang w:val="en-GB" w:eastAsia="zh-CN"/>
        </w:rPr>
        <w:t>sound</w:t>
      </w:r>
      <w:r w:rsidRPr="00F03387">
        <w:rPr>
          <w:lang w:val="en-GB"/>
        </w:rPr>
        <w:t xml:space="preserve">) system described in this Report, the downlink is to subscriber mobile terminals of high sensitivity (terminal receiver noise temperatures of </w:t>
      </w:r>
      <w:proofErr w:type="gramStart"/>
      <w:r w:rsidRPr="00F03387">
        <w:rPr>
          <w:lang w:val="en-GB"/>
        </w:rPr>
        <w:t>80 deg</w:t>
      </w:r>
      <w:r w:rsidR="00333F30">
        <w:rPr>
          <w:lang w:val="en-GB"/>
        </w:rPr>
        <w:t>ree</w:t>
      </w:r>
      <w:proofErr w:type="gramEnd"/>
      <w:r w:rsidRPr="00F03387">
        <w:rPr>
          <w:lang w:val="en-GB"/>
        </w:rPr>
        <w:t xml:space="preserve"> Kelvin) and, as noted above, there is a need to provide very high subscriber digital broadcast audio signal availability. The system link budget design in many communications/broadcasting satellites is done so that the </w:t>
      </w:r>
      <w:r w:rsidRPr="00F03387">
        <w:rPr>
          <w:i/>
          <w:iCs/>
          <w:lang w:val="en-GB"/>
        </w:rPr>
        <w:t>C</w:t>
      </w:r>
      <w:r w:rsidRPr="00F04BCC">
        <w:rPr>
          <w:lang w:val="en-GB"/>
        </w:rPr>
        <w:t>/</w:t>
      </w:r>
      <w:r w:rsidRPr="00F03387">
        <w:rPr>
          <w:i/>
          <w:iCs/>
          <w:lang w:val="en-GB"/>
        </w:rPr>
        <w:t>N</w:t>
      </w:r>
      <w:r w:rsidRPr="00F03387">
        <w:rPr>
          <w:i/>
          <w:iCs/>
          <w:vertAlign w:val="subscript"/>
          <w:lang w:val="en-GB"/>
        </w:rPr>
        <w:t>up</w:t>
      </w:r>
      <w:r w:rsidRPr="00F03387">
        <w:rPr>
          <w:lang w:val="en-GB"/>
        </w:rPr>
        <w:t xml:space="preserve"> does not significantly increase </w:t>
      </w:r>
      <w:r w:rsidRPr="00F03387">
        <w:rPr>
          <w:i/>
          <w:iCs/>
          <w:lang w:val="en-GB"/>
        </w:rPr>
        <w:t>C</w:t>
      </w:r>
      <w:r w:rsidRPr="00F04BCC">
        <w:rPr>
          <w:lang w:val="en-GB"/>
        </w:rPr>
        <w:t>/</w:t>
      </w:r>
      <w:r w:rsidRPr="00F03387">
        <w:rPr>
          <w:i/>
          <w:iCs/>
          <w:lang w:val="en-GB"/>
        </w:rPr>
        <w:t>N</w:t>
      </w:r>
      <w:r w:rsidRPr="00F03387">
        <w:rPr>
          <w:i/>
          <w:iCs/>
          <w:vertAlign w:val="subscript"/>
          <w:lang w:val="en-GB"/>
        </w:rPr>
        <w:t>total</w:t>
      </w:r>
      <w:r w:rsidRPr="00F03387">
        <w:rPr>
          <w:lang w:val="en-GB"/>
        </w:rPr>
        <w:t>.</w:t>
      </w:r>
    </w:p>
    <w:p w14:paraId="220F8EC7" w14:textId="77777777" w:rsidR="0093092C" w:rsidRPr="00F03387" w:rsidRDefault="0093092C" w:rsidP="0093092C">
      <w:pPr>
        <w:rPr>
          <w:lang w:val="en-GB"/>
        </w:rPr>
      </w:pPr>
      <w:r w:rsidRPr="00F03387">
        <w:rPr>
          <w:lang w:val="en-GB"/>
        </w:rPr>
        <w:t>It is evident from the above that sharing with the BSS (</w:t>
      </w:r>
      <w:r w:rsidRPr="00F03387">
        <w:rPr>
          <w:lang w:val="en-GB" w:eastAsia="zh-CN"/>
        </w:rPr>
        <w:t>sound</w:t>
      </w:r>
      <w:r w:rsidRPr="00F03387">
        <w:rPr>
          <w:lang w:val="en-GB"/>
        </w:rPr>
        <w:t xml:space="preserve">) uplink must consider a variety of potentially interfering sources. Various models and interference criteria are available in the Radio Regulations and relevant ITU-R documents to accomplish such analyses. One is RR Article </w:t>
      </w:r>
      <w:r w:rsidRPr="00F03387">
        <w:rPr>
          <w:b/>
          <w:bCs/>
          <w:lang w:val="en-GB"/>
        </w:rPr>
        <w:t>21</w:t>
      </w:r>
      <w:r w:rsidRPr="00F03387">
        <w:rPr>
          <w:lang w:val="en-GB"/>
        </w:rPr>
        <w:t xml:space="preserve"> where the subject radio frequency band is noted in RR Table </w:t>
      </w:r>
      <w:r w:rsidRPr="00F03387">
        <w:rPr>
          <w:b/>
          <w:bCs/>
          <w:lang w:val="en-GB"/>
        </w:rPr>
        <w:t>21-2</w:t>
      </w:r>
      <w:r w:rsidRPr="00F03387">
        <w:rPr>
          <w:lang w:val="en-GB"/>
        </w:rPr>
        <w:t>. The aggregate interference noise floor increase must account for the previously mentioned existing in-band and adjacent-band services.</w:t>
      </w:r>
    </w:p>
    <w:p w14:paraId="49E53EFC" w14:textId="77777777" w:rsidR="0093092C" w:rsidRPr="00F03387" w:rsidRDefault="0093092C" w:rsidP="0093092C">
      <w:pPr>
        <w:pStyle w:val="Heading1"/>
        <w:rPr>
          <w:lang w:val="en-GB"/>
        </w:rPr>
      </w:pPr>
      <w:r w:rsidRPr="00F03387">
        <w:rPr>
          <w:lang w:val="en-GB"/>
        </w:rPr>
        <w:t>6</w:t>
      </w:r>
      <w:r w:rsidRPr="00F03387">
        <w:rPr>
          <w:lang w:val="en-GB"/>
        </w:rPr>
        <w:tab/>
        <w:t xml:space="preserve">Summary </w:t>
      </w:r>
    </w:p>
    <w:p w14:paraId="7AAE2974" w14:textId="74C64BC1" w:rsidR="0093092C" w:rsidRPr="00F03387" w:rsidRDefault="0093092C" w:rsidP="0093092C">
      <w:pPr>
        <w:rPr>
          <w:lang w:val="en-GB"/>
        </w:rPr>
      </w:pPr>
      <w:r w:rsidRPr="00F03387">
        <w:rPr>
          <w:lang w:val="en-GB"/>
        </w:rPr>
        <w:t xml:space="preserve">This </w:t>
      </w:r>
      <w:r w:rsidR="00BA53C2">
        <w:rPr>
          <w:lang w:val="en-GB"/>
        </w:rPr>
        <w:t>Report</w:t>
      </w:r>
      <w:r w:rsidRPr="00F03387">
        <w:rPr>
          <w:lang w:val="en-GB"/>
        </w:rPr>
        <w:t xml:space="preserve"> provides guidance on the </w:t>
      </w:r>
      <w:r w:rsidRPr="00F03387">
        <w:rPr>
          <w:lang w:val="en-GB" w:eastAsia="zh-CN"/>
        </w:rPr>
        <w:t>use and operation of uplink transmission satellite parameters for a Region 2 BSS (sound). It is illustrated by an existing network employing geostationary orbit (GEO) satellites USASAT-28 K, N, O and</w:t>
      </w:r>
      <w:r w:rsidRPr="00F03387">
        <w:rPr>
          <w:lang w:val="en-GB"/>
        </w:rPr>
        <w:t> Q</w:t>
      </w:r>
      <w:r w:rsidRPr="00F03387">
        <w:rPr>
          <w:lang w:val="en-GB" w:eastAsia="zh-CN"/>
        </w:rPr>
        <w:t>, two located on that orbit near 85 deg</w:t>
      </w:r>
      <w:r w:rsidR="00BA53C2">
        <w:rPr>
          <w:lang w:val="en-GB" w:eastAsia="zh-CN"/>
        </w:rPr>
        <w:t>rees</w:t>
      </w:r>
      <w:r w:rsidRPr="00F03387">
        <w:rPr>
          <w:lang w:val="en-GB" w:eastAsia="zh-CN"/>
        </w:rPr>
        <w:t xml:space="preserve">. West and two located near 115° West. This </w:t>
      </w:r>
      <w:r w:rsidR="00BA53C2">
        <w:rPr>
          <w:lang w:val="en-GB" w:eastAsia="zh-CN"/>
        </w:rPr>
        <w:t>Report</w:t>
      </w:r>
      <w:r w:rsidRPr="00F03387">
        <w:rPr>
          <w:lang w:val="en-GB" w:eastAsia="zh-CN"/>
        </w:rPr>
        <w:t xml:space="preserve"> also notes </w:t>
      </w:r>
      <w:r w:rsidRPr="00F03387">
        <w:rPr>
          <w:lang w:val="en-GB"/>
        </w:rPr>
        <w:t>potential interference scenarios into the satellite radio broadcast service from in-band and adjacent-band transmissions from neighbouring countries and from associated intermodulation products by transmitters sharing the BSS (</w:t>
      </w:r>
      <w:r w:rsidRPr="00F03387">
        <w:rPr>
          <w:lang w:val="en-GB" w:eastAsia="zh-CN"/>
        </w:rPr>
        <w:t>sound</w:t>
      </w:r>
      <w:r w:rsidRPr="00F03387">
        <w:rPr>
          <w:lang w:val="en-GB"/>
        </w:rPr>
        <w:t>) uplink radio frequency spectrum. Such sharing services should be carefully arranged between concerned administrations in the radio frequencies utilized and limited in flux densities impinging the geostationary orbital arc to conform to the aggregate interference protection criterion in the 7 GHz BSS (</w:t>
      </w:r>
      <w:r w:rsidRPr="00F03387">
        <w:rPr>
          <w:lang w:val="en-GB" w:eastAsia="zh-CN"/>
        </w:rPr>
        <w:t>sound</w:t>
      </w:r>
      <w:r w:rsidRPr="00F03387">
        <w:rPr>
          <w:lang w:val="en-GB"/>
        </w:rPr>
        <w:t>) uplink radio frequency band so that potential disruptions to the radio broadcast satellite service are mitigated. As earlier noted, this BSS (</w:t>
      </w:r>
      <w:r w:rsidRPr="00F03387">
        <w:rPr>
          <w:lang w:val="en-GB" w:eastAsia="zh-CN"/>
        </w:rPr>
        <w:t>sound</w:t>
      </w:r>
      <w:r w:rsidRPr="00F03387">
        <w:rPr>
          <w:lang w:val="en-GB"/>
        </w:rPr>
        <w:t xml:space="preserve">) currently shares the uplink satellite radio frequency band with several other services without significant interference. </w:t>
      </w:r>
    </w:p>
    <w:p w14:paraId="0679342A" w14:textId="76891CE3" w:rsidR="0093092C" w:rsidRDefault="0093092C" w:rsidP="0093092C">
      <w:pPr>
        <w:rPr>
          <w:lang w:val="en-GB"/>
        </w:rPr>
      </w:pPr>
      <w:r w:rsidRPr="00F03387">
        <w:rPr>
          <w:lang w:val="en-GB"/>
        </w:rPr>
        <w:t>Significant interference into uplinks of broadcast and communications satellites should be avoided. Although sharing of the frequency bands used by BSS (</w:t>
      </w:r>
      <w:r w:rsidRPr="00F03387">
        <w:rPr>
          <w:lang w:val="en-GB" w:eastAsia="zh-CN"/>
        </w:rPr>
        <w:t>sound</w:t>
      </w:r>
      <w:r w:rsidRPr="00F03387">
        <w:rPr>
          <w:lang w:val="en-GB"/>
        </w:rPr>
        <w:t xml:space="preserve">) GEO satellites with other services is quite feasible, such sharing cases must be limited in the total tolerable amount of interfering power as seen by the satellites’ receiving antennas to keep within the system’s aggregate uplink interference tolerance requirement. </w:t>
      </w:r>
    </w:p>
    <w:p w14:paraId="0526243C" w14:textId="77777777" w:rsidR="00FC16C5" w:rsidRPr="00F03387" w:rsidRDefault="00FC16C5" w:rsidP="0093092C">
      <w:pPr>
        <w:rPr>
          <w:lang w:val="en-GB"/>
        </w:rPr>
      </w:pPr>
    </w:p>
    <w:p w14:paraId="72D2EDD2" w14:textId="79AEBA3B" w:rsidR="0093092C" w:rsidRPr="00F03387" w:rsidRDefault="0093092C" w:rsidP="0093092C">
      <w:pPr>
        <w:pStyle w:val="Reftitle"/>
        <w:spacing w:after="360"/>
        <w:rPr>
          <w:rFonts w:eastAsia="PMingLiU"/>
          <w:u w:val="single"/>
          <w:shd w:val="clear" w:color="auto" w:fill="FFFFFF"/>
          <w:lang w:val="en-GB"/>
        </w:rPr>
      </w:pPr>
      <w:r w:rsidRPr="00F03387">
        <w:rPr>
          <w:rFonts w:eastAsia="PMingLiU"/>
          <w:lang w:val="en-GB"/>
        </w:rPr>
        <w:t>References</w:t>
      </w:r>
    </w:p>
    <w:p w14:paraId="20FA84D5" w14:textId="77777777" w:rsidR="0093092C" w:rsidRPr="00F03387" w:rsidRDefault="0093092C" w:rsidP="0093092C">
      <w:pPr>
        <w:pStyle w:val="Reftext"/>
        <w:rPr>
          <w:lang w:val="en-GB"/>
        </w:rPr>
      </w:pPr>
      <w:r w:rsidRPr="00F03387">
        <w:rPr>
          <w:lang w:val="en-GB"/>
        </w:rPr>
        <w:t>[1]</w:t>
      </w:r>
      <w:r w:rsidRPr="00F03387">
        <w:rPr>
          <w:lang w:val="en-GB"/>
        </w:rPr>
        <w:tab/>
        <w:t xml:space="preserve">R. Akturan, </w:t>
      </w:r>
      <w:r w:rsidRPr="00F03387">
        <w:rPr>
          <w:i/>
          <w:iCs/>
          <w:lang w:val="en-GB"/>
        </w:rPr>
        <w:t>An Overview of the Sirius Satellite Radio System</w:t>
      </w:r>
      <w:r w:rsidRPr="00F03387">
        <w:rPr>
          <w:lang w:val="en-GB"/>
        </w:rPr>
        <w:t>, International Journal of Satellite Communications and Networking. Vol 26 Is. 5 (2008).</w:t>
      </w:r>
    </w:p>
    <w:p w14:paraId="45C69674" w14:textId="77777777" w:rsidR="0093092C" w:rsidRPr="00F03387" w:rsidRDefault="0093092C" w:rsidP="0093092C">
      <w:pPr>
        <w:pStyle w:val="Reftext"/>
        <w:rPr>
          <w:lang w:val="en-GB"/>
        </w:rPr>
      </w:pPr>
      <w:r w:rsidRPr="00F03387">
        <w:rPr>
          <w:lang w:val="en-GB"/>
        </w:rPr>
        <w:t>[2]</w:t>
      </w:r>
      <w:r w:rsidRPr="00F03387">
        <w:rPr>
          <w:lang w:val="en-GB"/>
        </w:rPr>
        <w:tab/>
        <w:t>ITU IFICs 2679, 2739, 2843 and 2931.</w:t>
      </w:r>
    </w:p>
    <w:p w14:paraId="6E86A705" w14:textId="77777777" w:rsidR="0093092C" w:rsidRPr="00F03387" w:rsidRDefault="0093092C" w:rsidP="0093092C">
      <w:pPr>
        <w:pStyle w:val="Reftext"/>
        <w:rPr>
          <w:lang w:val="en-GB"/>
        </w:rPr>
      </w:pPr>
      <w:r w:rsidRPr="00F03387">
        <w:rPr>
          <w:lang w:val="en-GB"/>
        </w:rPr>
        <w:t>[3]</w:t>
      </w:r>
      <w:r w:rsidRPr="00F03387">
        <w:rPr>
          <w:lang w:val="en-GB"/>
        </w:rPr>
        <w:tab/>
        <w:t xml:space="preserve">Dr J. Goldhirsh, Dr W. Vogel, </w:t>
      </w:r>
      <w:r w:rsidRPr="00F03387">
        <w:rPr>
          <w:i/>
          <w:iCs/>
          <w:lang w:val="en-GB"/>
        </w:rPr>
        <w:t>Propagation Effects for Land Mobile Satellite Systems: Overview of Experimental Modeling Results</w:t>
      </w:r>
      <w:r w:rsidRPr="00F03387">
        <w:rPr>
          <w:lang w:val="en-GB"/>
        </w:rPr>
        <w:t>, NASA Reference Publication 1274, 1992.</w:t>
      </w:r>
    </w:p>
    <w:p w14:paraId="3EC26493" w14:textId="77777777" w:rsidR="0093092C" w:rsidRPr="00F03387" w:rsidRDefault="0093092C" w:rsidP="0093092C">
      <w:pPr>
        <w:rPr>
          <w:lang w:val="en-GB" w:eastAsia="zh-CN"/>
        </w:rPr>
      </w:pPr>
    </w:p>
    <w:p w14:paraId="4D7D6FDC" w14:textId="77777777" w:rsidR="006C3F50" w:rsidRPr="00F03387" w:rsidRDefault="006C3F50" w:rsidP="00285E5E">
      <w:pPr>
        <w:pStyle w:val="Line"/>
      </w:pPr>
    </w:p>
    <w:sectPr w:rsidR="006C3F50" w:rsidRPr="00F03387" w:rsidSect="007565CC">
      <w:headerReference w:type="even" r:id="rId17"/>
      <w:head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716AB" w14:textId="77777777" w:rsidR="002A2556" w:rsidRDefault="002A2556">
      <w:r>
        <w:separator/>
      </w:r>
    </w:p>
  </w:endnote>
  <w:endnote w:type="continuationSeparator" w:id="0">
    <w:p w14:paraId="1DBF8EC5" w14:textId="77777777" w:rsidR="002A2556" w:rsidRDefault="002A2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CF3AF" w14:textId="77777777" w:rsidR="002A2556" w:rsidRDefault="002A2556">
      <w:r>
        <w:separator/>
      </w:r>
    </w:p>
  </w:footnote>
  <w:footnote w:type="continuationSeparator" w:id="0">
    <w:p w14:paraId="525DFC5E" w14:textId="77777777" w:rsidR="002A2556" w:rsidRDefault="002A2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857A" w14:textId="142980F6" w:rsidR="00AC348B" w:rsidRPr="006323E9" w:rsidRDefault="00AC348B" w:rsidP="007166CD">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0F3B65">
      <w:rPr>
        <w:b/>
        <w:bCs/>
        <w:noProof/>
        <w:lang w:val="en-US"/>
      </w:rPr>
      <w:t>ii</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00FC16C5" w:rsidRPr="00FC16C5">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CD1695">
      <w:rPr>
        <w:b/>
        <w:bCs/>
        <w:noProof/>
        <w:lang w:val="en-US"/>
      </w:rPr>
      <w:t>ITU-R  S.2515-0</w:t>
    </w:r>
    <w:r w:rsidRPr="007166C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263C" w14:textId="77777777" w:rsidR="00AC348B" w:rsidRDefault="00AC348B" w:rsidP="00B033C8">
    <w:pPr>
      <w:pStyle w:val="Header"/>
      <w:ind w:right="360" w:firstLine="360"/>
    </w:pPr>
    <w:r>
      <w:rPr>
        <w:noProof/>
        <w:lang w:val="en-US" w:eastAsia="zh-CN"/>
      </w:rPr>
      <w:drawing>
        <wp:anchor distT="0" distB="0" distL="114300" distR="114300" simplePos="0" relativeHeight="251656704" behindDoc="1" locked="0" layoutInCell="1" allowOverlap="1" wp14:anchorId="10BA1927" wp14:editId="4E63A5B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2E09" w14:textId="5E9B2B7F" w:rsidR="00AC348B" w:rsidRPr="007166CD" w:rsidRDefault="00AC348B" w:rsidP="0080142E">
    <w:pPr>
      <w:pStyle w:val="Header"/>
      <w:jc w:val="both"/>
    </w:pPr>
    <w:r w:rsidRPr="007166CD">
      <w:rPr>
        <w:b/>
        <w:bCs/>
      </w:rPr>
      <w:fldChar w:fldCharType="begin"/>
    </w:r>
    <w:r w:rsidRPr="007166CD">
      <w:rPr>
        <w:b/>
        <w:bCs/>
        <w:lang w:val="en-US"/>
      </w:rPr>
      <w:instrText xml:space="preserve"> PAGE </w:instrText>
    </w:r>
    <w:r w:rsidRPr="007166CD">
      <w:rPr>
        <w:b/>
        <w:bCs/>
      </w:rPr>
      <w:fldChar w:fldCharType="separate"/>
    </w:r>
    <w:r w:rsidR="000F3B65">
      <w:rPr>
        <w:b/>
        <w:bCs/>
        <w:noProof/>
        <w:lang w:val="en-US"/>
      </w:rPr>
      <w:t>24</w:t>
    </w:r>
    <w:r w:rsidRPr="007166CD">
      <w:fldChar w:fldCharType="end"/>
    </w:r>
    <w:r w:rsidRPr="007166CD">
      <w:rPr>
        <w:lang w:val="en-US"/>
      </w:rPr>
      <w:tab/>
    </w:r>
    <w:r w:rsidR="009F0B38">
      <w:rPr>
        <w:b/>
        <w:bCs/>
        <w:lang w:val="en-US"/>
      </w:rPr>
      <w:fldChar w:fldCharType="begin"/>
    </w:r>
    <w:r w:rsidR="009F0B38">
      <w:rPr>
        <w:b/>
        <w:bCs/>
        <w:lang w:val="en-US"/>
      </w:rPr>
      <w:instrText xml:space="preserve"> DOCPROPERTY "Header 2" \* MERGEFORMAT </w:instrText>
    </w:r>
    <w:r w:rsidR="009F0B38">
      <w:rPr>
        <w:b/>
        <w:bCs/>
        <w:lang w:val="en-US"/>
      </w:rPr>
      <w:fldChar w:fldCharType="separate"/>
    </w:r>
    <w:r w:rsidR="00FC16C5">
      <w:rPr>
        <w:b/>
        <w:bCs/>
        <w:lang w:val="en-US"/>
      </w:rPr>
      <w:t xml:space="preserve">Rep. </w:t>
    </w:r>
    <w:r w:rsidR="009F0B38">
      <w:rPr>
        <w:b/>
        <w:bCs/>
        <w:lang w:val="en-US"/>
      </w:rPr>
      <w:fldChar w:fldCharType="end"/>
    </w:r>
    <w:r w:rsidRPr="007166CD">
      <w:rPr>
        <w:b/>
        <w:bCs/>
      </w:rPr>
      <w:t xml:space="preserve"> </w:t>
    </w:r>
    <w:r w:rsidRPr="007166CD">
      <w:rPr>
        <w:b/>
        <w:bCs/>
      </w:rPr>
      <w:fldChar w:fldCharType="begin"/>
    </w:r>
    <w:r w:rsidRPr="007166CD">
      <w:rPr>
        <w:b/>
        <w:bCs/>
        <w:lang w:val="en-US"/>
      </w:rPr>
      <w:instrText>styleref href</w:instrText>
    </w:r>
    <w:r w:rsidRPr="007166CD">
      <w:rPr>
        <w:b/>
        <w:bCs/>
      </w:rPr>
      <w:fldChar w:fldCharType="separate"/>
    </w:r>
    <w:r w:rsidR="00CD1695">
      <w:rPr>
        <w:b/>
        <w:bCs/>
        <w:noProof/>
        <w:lang w:val="en-US"/>
      </w:rPr>
      <w:t>ITU-R  S.2515-0</w:t>
    </w:r>
    <w:r w:rsidRPr="007166C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B314" w14:textId="0108D124" w:rsidR="00AC348B" w:rsidRPr="007166CD" w:rsidRDefault="00AC348B" w:rsidP="007166CD">
    <w:pPr>
      <w:pStyle w:val="Header"/>
      <w:jc w:val="both"/>
    </w:pPr>
    <w:r w:rsidRPr="007166CD">
      <w:rPr>
        <w:lang w:val="en-US"/>
      </w:rPr>
      <w:tab/>
    </w:r>
    <w:r w:rsidR="009F0B38">
      <w:rPr>
        <w:b/>
        <w:bCs/>
        <w:lang w:val="en-US"/>
      </w:rPr>
      <w:fldChar w:fldCharType="begin"/>
    </w:r>
    <w:r w:rsidR="009F0B38">
      <w:rPr>
        <w:b/>
        <w:bCs/>
        <w:lang w:val="en-US"/>
      </w:rPr>
      <w:instrText xml:space="preserve"> DOCPROPERTY "Header 2" \* MERGEFORMAT </w:instrText>
    </w:r>
    <w:r w:rsidR="009F0B38">
      <w:rPr>
        <w:b/>
        <w:bCs/>
        <w:lang w:val="en-US"/>
      </w:rPr>
      <w:fldChar w:fldCharType="separate"/>
    </w:r>
    <w:r w:rsidR="00FC16C5">
      <w:rPr>
        <w:b/>
        <w:bCs/>
        <w:lang w:val="en-US"/>
      </w:rPr>
      <w:t xml:space="preserve">Rep. </w:t>
    </w:r>
    <w:r w:rsidR="009F0B38">
      <w:rPr>
        <w:b/>
        <w:bCs/>
        <w:lang w:val="en-US"/>
      </w:rPr>
      <w:fldChar w:fldCharType="end"/>
    </w:r>
    <w:r w:rsidRPr="007166CD">
      <w:rPr>
        <w:b/>
        <w:bCs/>
      </w:rPr>
      <w:t xml:space="preserve"> </w:t>
    </w:r>
    <w:r w:rsidRPr="007166CD">
      <w:rPr>
        <w:b/>
        <w:bCs/>
      </w:rPr>
      <w:fldChar w:fldCharType="begin"/>
    </w:r>
    <w:r w:rsidRPr="007166CD">
      <w:rPr>
        <w:b/>
        <w:bCs/>
        <w:lang w:val="en-US"/>
      </w:rPr>
      <w:instrText>styleref href</w:instrText>
    </w:r>
    <w:r w:rsidRPr="007166CD">
      <w:rPr>
        <w:b/>
        <w:bCs/>
      </w:rPr>
      <w:fldChar w:fldCharType="separate"/>
    </w:r>
    <w:r w:rsidR="00CD1695">
      <w:rPr>
        <w:b/>
        <w:bCs/>
        <w:noProof/>
        <w:lang w:val="en-US"/>
      </w:rPr>
      <w:t>ITU-R  S.2515-0</w:t>
    </w:r>
    <w:r w:rsidRPr="007166CD">
      <w:fldChar w:fldCharType="end"/>
    </w:r>
    <w:r w:rsidRPr="007166CD">
      <w:tab/>
    </w:r>
    <w:r w:rsidRPr="007166CD">
      <w:rPr>
        <w:b/>
        <w:bCs/>
      </w:rPr>
      <w:fldChar w:fldCharType="begin"/>
    </w:r>
    <w:r w:rsidRPr="007166CD">
      <w:rPr>
        <w:b/>
        <w:bCs/>
        <w:lang w:val="en-US"/>
      </w:rPr>
      <w:instrText xml:space="preserve"> PAGE </w:instrText>
    </w:r>
    <w:r w:rsidRPr="007166CD">
      <w:rPr>
        <w:b/>
        <w:bCs/>
      </w:rPr>
      <w:fldChar w:fldCharType="separate"/>
    </w:r>
    <w:r w:rsidR="000F3B65">
      <w:rPr>
        <w:b/>
        <w:bCs/>
        <w:noProof/>
        <w:lang w:val="en-US"/>
      </w:rPr>
      <w:t>25</w:t>
    </w:r>
    <w:r w:rsidRPr="007166C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756CA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B2E47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63EBDB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8F4DA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A749E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4E78B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AE4B45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4C5C6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FF09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DACD21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CBE3BA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350AAA"/>
    <w:multiLevelType w:val="multilevel"/>
    <w:tmpl w:val="D17ABFB6"/>
    <w:lvl w:ilvl="0">
      <w:start w:val="2"/>
      <w:numFmt w:val="decimal"/>
      <w:lvlText w:val="%1."/>
      <w:lvlJc w:val="left"/>
      <w:pPr>
        <w:ind w:left="1861" w:hanging="360"/>
      </w:pPr>
      <w:rPr>
        <w:rFonts w:hint="default"/>
      </w:rPr>
    </w:lvl>
    <w:lvl w:ilvl="1">
      <w:start w:val="1"/>
      <w:numFmt w:val="decimal"/>
      <w:isLgl/>
      <w:lvlText w:val="%1.%2"/>
      <w:lvlJc w:val="left"/>
      <w:pPr>
        <w:ind w:left="2641" w:hanging="1140"/>
      </w:pPr>
      <w:rPr>
        <w:rFonts w:hint="default"/>
      </w:rPr>
    </w:lvl>
    <w:lvl w:ilvl="2">
      <w:start w:val="1"/>
      <w:numFmt w:val="decimal"/>
      <w:isLgl/>
      <w:lvlText w:val="%1.%2.%3"/>
      <w:lvlJc w:val="left"/>
      <w:pPr>
        <w:ind w:left="2641" w:hanging="1140"/>
      </w:pPr>
      <w:rPr>
        <w:rFonts w:hint="default"/>
      </w:rPr>
    </w:lvl>
    <w:lvl w:ilvl="3">
      <w:start w:val="1"/>
      <w:numFmt w:val="decimal"/>
      <w:isLgl/>
      <w:lvlText w:val="%1.%2.%3.%4"/>
      <w:lvlJc w:val="left"/>
      <w:pPr>
        <w:ind w:left="2641" w:hanging="1140"/>
      </w:pPr>
      <w:rPr>
        <w:rFonts w:hint="default"/>
      </w:rPr>
    </w:lvl>
    <w:lvl w:ilvl="4">
      <w:start w:val="1"/>
      <w:numFmt w:val="decimal"/>
      <w:isLgl/>
      <w:lvlText w:val="%1.%2.%3.%4.%5"/>
      <w:lvlJc w:val="left"/>
      <w:pPr>
        <w:ind w:left="2641" w:hanging="1140"/>
      </w:pPr>
      <w:rPr>
        <w:rFonts w:hint="default"/>
      </w:rPr>
    </w:lvl>
    <w:lvl w:ilvl="5">
      <w:start w:val="1"/>
      <w:numFmt w:val="decimal"/>
      <w:isLgl/>
      <w:lvlText w:val="%1.%2.%3.%4.%5.%6"/>
      <w:lvlJc w:val="left"/>
      <w:pPr>
        <w:ind w:left="2641" w:hanging="1140"/>
      </w:pPr>
      <w:rPr>
        <w:rFonts w:hint="default"/>
      </w:rPr>
    </w:lvl>
    <w:lvl w:ilvl="6">
      <w:start w:val="1"/>
      <w:numFmt w:val="decimal"/>
      <w:isLgl/>
      <w:lvlText w:val="%1.%2.%3.%4.%5.%6.%7"/>
      <w:lvlJc w:val="left"/>
      <w:pPr>
        <w:ind w:left="2941" w:hanging="1440"/>
      </w:pPr>
      <w:rPr>
        <w:rFonts w:hint="default"/>
      </w:rPr>
    </w:lvl>
    <w:lvl w:ilvl="7">
      <w:start w:val="1"/>
      <w:numFmt w:val="decimal"/>
      <w:isLgl/>
      <w:lvlText w:val="%1.%2.%3.%4.%5.%6.%7.%8"/>
      <w:lvlJc w:val="left"/>
      <w:pPr>
        <w:ind w:left="2941" w:hanging="1440"/>
      </w:pPr>
      <w:rPr>
        <w:rFonts w:hint="default"/>
      </w:rPr>
    </w:lvl>
    <w:lvl w:ilvl="8">
      <w:start w:val="1"/>
      <w:numFmt w:val="decimal"/>
      <w:isLgl/>
      <w:lvlText w:val="%1.%2.%3.%4.%5.%6.%7.%8.%9"/>
      <w:lvlJc w:val="left"/>
      <w:pPr>
        <w:ind w:left="3301" w:hanging="1800"/>
      </w:pPr>
      <w:rPr>
        <w:rFonts w:hint="default"/>
      </w:rPr>
    </w:lvl>
  </w:abstractNum>
  <w:abstractNum w:abstractNumId="12" w15:restartNumberingAfterBreak="0">
    <w:nsid w:val="2F9473D8"/>
    <w:multiLevelType w:val="hybridMultilevel"/>
    <w:tmpl w:val="44889022"/>
    <w:lvl w:ilvl="0" w:tplc="C55E5EA4">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BE2F54"/>
    <w:multiLevelType w:val="multilevel"/>
    <w:tmpl w:val="518E26BC"/>
    <w:lvl w:ilvl="0">
      <w:start w:val="1"/>
      <w:numFmt w:val="decimal"/>
      <w:lvlText w:val="%1."/>
      <w:lvlJc w:val="left"/>
      <w:pPr>
        <w:ind w:left="1861" w:hanging="360"/>
      </w:pPr>
    </w:lvl>
    <w:lvl w:ilvl="1">
      <w:start w:val="2"/>
      <w:numFmt w:val="decimal"/>
      <w:isLgl/>
      <w:lvlText w:val="%1.%2"/>
      <w:lvlJc w:val="left"/>
      <w:pPr>
        <w:ind w:left="2641" w:hanging="1140"/>
      </w:pPr>
      <w:rPr>
        <w:rFonts w:hint="default"/>
      </w:rPr>
    </w:lvl>
    <w:lvl w:ilvl="2">
      <w:start w:val="1"/>
      <w:numFmt w:val="decimal"/>
      <w:isLgl/>
      <w:lvlText w:val="%1.%2.%3"/>
      <w:lvlJc w:val="left"/>
      <w:pPr>
        <w:ind w:left="2641" w:hanging="1140"/>
      </w:pPr>
      <w:rPr>
        <w:rFonts w:hint="default"/>
      </w:rPr>
    </w:lvl>
    <w:lvl w:ilvl="3">
      <w:start w:val="1"/>
      <w:numFmt w:val="decimal"/>
      <w:isLgl/>
      <w:lvlText w:val="%1.%2.%3.%4"/>
      <w:lvlJc w:val="left"/>
      <w:pPr>
        <w:ind w:left="2641" w:hanging="1140"/>
      </w:pPr>
      <w:rPr>
        <w:rFonts w:hint="default"/>
      </w:rPr>
    </w:lvl>
    <w:lvl w:ilvl="4">
      <w:start w:val="1"/>
      <w:numFmt w:val="decimal"/>
      <w:isLgl/>
      <w:lvlText w:val="%1.%2.%3.%4.%5"/>
      <w:lvlJc w:val="left"/>
      <w:pPr>
        <w:ind w:left="2641" w:hanging="1140"/>
      </w:pPr>
      <w:rPr>
        <w:rFonts w:hint="default"/>
      </w:rPr>
    </w:lvl>
    <w:lvl w:ilvl="5">
      <w:start w:val="1"/>
      <w:numFmt w:val="decimal"/>
      <w:isLgl/>
      <w:lvlText w:val="%1.%2.%3.%4.%5.%6"/>
      <w:lvlJc w:val="left"/>
      <w:pPr>
        <w:ind w:left="2641" w:hanging="1140"/>
      </w:pPr>
      <w:rPr>
        <w:rFonts w:hint="default"/>
      </w:rPr>
    </w:lvl>
    <w:lvl w:ilvl="6">
      <w:start w:val="1"/>
      <w:numFmt w:val="decimal"/>
      <w:isLgl/>
      <w:lvlText w:val="%1.%2.%3.%4.%5.%6.%7"/>
      <w:lvlJc w:val="left"/>
      <w:pPr>
        <w:ind w:left="2941" w:hanging="1440"/>
      </w:pPr>
      <w:rPr>
        <w:rFonts w:hint="default"/>
      </w:rPr>
    </w:lvl>
    <w:lvl w:ilvl="7">
      <w:start w:val="1"/>
      <w:numFmt w:val="decimal"/>
      <w:isLgl/>
      <w:lvlText w:val="%1.%2.%3.%4.%5.%6.%7.%8"/>
      <w:lvlJc w:val="left"/>
      <w:pPr>
        <w:ind w:left="2941" w:hanging="1440"/>
      </w:pPr>
      <w:rPr>
        <w:rFonts w:hint="default"/>
      </w:rPr>
    </w:lvl>
    <w:lvl w:ilvl="8">
      <w:start w:val="1"/>
      <w:numFmt w:val="decimal"/>
      <w:isLgl/>
      <w:lvlText w:val="%1.%2.%3.%4.%5.%6.%7.%8.%9"/>
      <w:lvlJc w:val="left"/>
      <w:pPr>
        <w:ind w:left="3301" w:hanging="1800"/>
      </w:pPr>
      <w:rPr>
        <w:rFonts w:hint="default"/>
      </w:rPr>
    </w:lvl>
  </w:abstractNum>
  <w:abstractNum w:abstractNumId="14" w15:restartNumberingAfterBreak="0">
    <w:nsid w:val="394125E8"/>
    <w:multiLevelType w:val="hybridMultilevel"/>
    <w:tmpl w:val="81CE5C88"/>
    <w:lvl w:ilvl="0" w:tplc="B9162270">
      <w:start w:val="2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AA7CCE"/>
    <w:multiLevelType w:val="hybridMultilevel"/>
    <w:tmpl w:val="F97A5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C26119"/>
    <w:multiLevelType w:val="hybridMultilevel"/>
    <w:tmpl w:val="CA085410"/>
    <w:lvl w:ilvl="0" w:tplc="E7A2B1E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933330C"/>
    <w:multiLevelType w:val="multilevel"/>
    <w:tmpl w:val="BB9AA33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FB4B9C"/>
    <w:multiLevelType w:val="multilevel"/>
    <w:tmpl w:val="CCC8CF1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6A4525B7"/>
    <w:multiLevelType w:val="hybridMultilevel"/>
    <w:tmpl w:val="69E01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4D5A18"/>
    <w:multiLevelType w:val="hybridMultilevel"/>
    <w:tmpl w:val="4282DB96"/>
    <w:lvl w:ilvl="0" w:tplc="78A61468">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AD1304"/>
    <w:multiLevelType w:val="hybridMultilevel"/>
    <w:tmpl w:val="04E2B570"/>
    <w:lvl w:ilvl="0" w:tplc="FF5C2F6E">
      <w:start w:val="1"/>
      <w:numFmt w:val="lowerLetter"/>
      <w:lvlText w:val="%1."/>
      <w:lvlJc w:val="left"/>
      <w:pPr>
        <w:tabs>
          <w:tab w:val="num" w:pos="0"/>
        </w:tabs>
        <w:ind w:left="360" w:firstLine="0"/>
      </w:pPr>
      <w:rPr>
        <w:rFonts w:ascii="Times New Roman" w:hAnsi="Times New Roman" w:cs="Times New Roman" w:hint="default"/>
        <w:b w:val="0"/>
        <w:i w:val="0"/>
        <w:sz w:val="24"/>
      </w:rPr>
    </w:lvl>
    <w:lvl w:ilvl="1" w:tplc="14D0E94E">
      <w:start w:val="1"/>
      <w:numFmt w:val="lowerLetter"/>
      <w:lvlText w:val="%2."/>
      <w:lvlJc w:val="left"/>
      <w:pPr>
        <w:tabs>
          <w:tab w:val="num" w:pos="288"/>
        </w:tabs>
        <w:ind w:left="288" w:hanging="288"/>
      </w:pPr>
      <w:rPr>
        <w:rFonts w:ascii="Times New Roman" w:hAnsi="Times New Roman" w:cs="Times New Roman" w:hint="default"/>
        <w:b w:val="0"/>
        <w:i w:val="0"/>
        <w:sz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E917711"/>
    <w:multiLevelType w:val="hybridMultilevel"/>
    <w:tmpl w:val="45E2747C"/>
    <w:lvl w:ilvl="0" w:tplc="23B2BC5E">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43166B"/>
    <w:multiLevelType w:val="hybridMultilevel"/>
    <w:tmpl w:val="8CA2BC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F8680B"/>
    <w:multiLevelType w:val="hybridMultilevel"/>
    <w:tmpl w:val="4F5E62F2"/>
    <w:lvl w:ilvl="0" w:tplc="A1B8B0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5"/>
  </w:num>
  <w:num w:numId="3">
    <w:abstractNumId w:val="2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3"/>
  </w:num>
  <w:num w:numId="15">
    <w:abstractNumId w:val="11"/>
  </w:num>
  <w:num w:numId="16">
    <w:abstractNumId w:val="14"/>
  </w:num>
  <w:num w:numId="17">
    <w:abstractNumId w:val="0"/>
  </w:num>
  <w:num w:numId="18">
    <w:abstractNumId w:val="18"/>
  </w:num>
  <w:num w:numId="19">
    <w:abstractNumId w:val="19"/>
  </w:num>
  <w:num w:numId="20">
    <w:abstractNumId w:val="24"/>
  </w:num>
  <w:num w:numId="21">
    <w:abstractNumId w:val="17"/>
  </w:num>
  <w:num w:numId="22">
    <w:abstractNumId w:val="16"/>
  </w:num>
  <w:num w:numId="23">
    <w:abstractNumId w:val="20"/>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66A2"/>
    <w:rsid w:val="00023E30"/>
    <w:rsid w:val="00025615"/>
    <w:rsid w:val="000420CE"/>
    <w:rsid w:val="00050D41"/>
    <w:rsid w:val="00072484"/>
    <w:rsid w:val="00081C0B"/>
    <w:rsid w:val="0009150E"/>
    <w:rsid w:val="00096612"/>
    <w:rsid w:val="00097F76"/>
    <w:rsid w:val="000A03EF"/>
    <w:rsid w:val="000A57F1"/>
    <w:rsid w:val="000A599D"/>
    <w:rsid w:val="000B7683"/>
    <w:rsid w:val="000B7B53"/>
    <w:rsid w:val="000C0413"/>
    <w:rsid w:val="000C3624"/>
    <w:rsid w:val="000E3639"/>
    <w:rsid w:val="000E4FD1"/>
    <w:rsid w:val="000E5E66"/>
    <w:rsid w:val="000F3B65"/>
    <w:rsid w:val="000F3C25"/>
    <w:rsid w:val="000F6FC4"/>
    <w:rsid w:val="00102934"/>
    <w:rsid w:val="001074CF"/>
    <w:rsid w:val="00107B24"/>
    <w:rsid w:val="00125145"/>
    <w:rsid w:val="00147110"/>
    <w:rsid w:val="001508F3"/>
    <w:rsid w:val="0018770B"/>
    <w:rsid w:val="001A5259"/>
    <w:rsid w:val="001C70F6"/>
    <w:rsid w:val="001D467F"/>
    <w:rsid w:val="001E07E7"/>
    <w:rsid w:val="001F7DC1"/>
    <w:rsid w:val="00201545"/>
    <w:rsid w:val="002058CE"/>
    <w:rsid w:val="00205EEB"/>
    <w:rsid w:val="002165F1"/>
    <w:rsid w:val="00247681"/>
    <w:rsid w:val="002558DC"/>
    <w:rsid w:val="00256248"/>
    <w:rsid w:val="00276D21"/>
    <w:rsid w:val="00280CD5"/>
    <w:rsid w:val="00285E5E"/>
    <w:rsid w:val="00296D7F"/>
    <w:rsid w:val="00297D43"/>
    <w:rsid w:val="002A2556"/>
    <w:rsid w:val="002B32C9"/>
    <w:rsid w:val="002B3CF6"/>
    <w:rsid w:val="002C768A"/>
    <w:rsid w:val="002D1160"/>
    <w:rsid w:val="002D76C4"/>
    <w:rsid w:val="002D77AF"/>
    <w:rsid w:val="002E4D7C"/>
    <w:rsid w:val="00333F30"/>
    <w:rsid w:val="00345250"/>
    <w:rsid w:val="00351573"/>
    <w:rsid w:val="003571CE"/>
    <w:rsid w:val="00357282"/>
    <w:rsid w:val="00362ED1"/>
    <w:rsid w:val="00367DD1"/>
    <w:rsid w:val="00377D55"/>
    <w:rsid w:val="00382E8A"/>
    <w:rsid w:val="003900FC"/>
    <w:rsid w:val="003A6AD5"/>
    <w:rsid w:val="003B4EE8"/>
    <w:rsid w:val="003B5C17"/>
    <w:rsid w:val="003C2F20"/>
    <w:rsid w:val="003C3E4D"/>
    <w:rsid w:val="003E1778"/>
    <w:rsid w:val="003E59CB"/>
    <w:rsid w:val="003E7FB1"/>
    <w:rsid w:val="003F0AD4"/>
    <w:rsid w:val="003F19D3"/>
    <w:rsid w:val="004056F5"/>
    <w:rsid w:val="00411095"/>
    <w:rsid w:val="00420DFD"/>
    <w:rsid w:val="004319C1"/>
    <w:rsid w:val="004518D5"/>
    <w:rsid w:val="00470E28"/>
    <w:rsid w:val="004720FC"/>
    <w:rsid w:val="00485CDD"/>
    <w:rsid w:val="004934C5"/>
    <w:rsid w:val="004C24A6"/>
    <w:rsid w:val="004C5A0C"/>
    <w:rsid w:val="004E66D9"/>
    <w:rsid w:val="00505FB4"/>
    <w:rsid w:val="00515E97"/>
    <w:rsid w:val="0052076C"/>
    <w:rsid w:val="00523DDE"/>
    <w:rsid w:val="00526063"/>
    <w:rsid w:val="00544B28"/>
    <w:rsid w:val="005537C5"/>
    <w:rsid w:val="00556548"/>
    <w:rsid w:val="005600C9"/>
    <w:rsid w:val="0056758E"/>
    <w:rsid w:val="00586EF8"/>
    <w:rsid w:val="005A791E"/>
    <w:rsid w:val="005B0699"/>
    <w:rsid w:val="005B49AB"/>
    <w:rsid w:val="005B50E7"/>
    <w:rsid w:val="005B5B75"/>
    <w:rsid w:val="005D3544"/>
    <w:rsid w:val="005E6C3C"/>
    <w:rsid w:val="005E7B4F"/>
    <w:rsid w:val="00607D68"/>
    <w:rsid w:val="006149B1"/>
    <w:rsid w:val="006207C3"/>
    <w:rsid w:val="006323E9"/>
    <w:rsid w:val="00637952"/>
    <w:rsid w:val="006551B3"/>
    <w:rsid w:val="00666971"/>
    <w:rsid w:val="00680D2B"/>
    <w:rsid w:val="00681B32"/>
    <w:rsid w:val="006A1F02"/>
    <w:rsid w:val="006A7502"/>
    <w:rsid w:val="006C3F50"/>
    <w:rsid w:val="006E2037"/>
    <w:rsid w:val="006F2B77"/>
    <w:rsid w:val="00712870"/>
    <w:rsid w:val="007166CD"/>
    <w:rsid w:val="00743D85"/>
    <w:rsid w:val="0074518F"/>
    <w:rsid w:val="007528A6"/>
    <w:rsid w:val="00752FD3"/>
    <w:rsid w:val="00753CF4"/>
    <w:rsid w:val="00756367"/>
    <w:rsid w:val="007565CC"/>
    <w:rsid w:val="00763B9A"/>
    <w:rsid w:val="00770201"/>
    <w:rsid w:val="0079183B"/>
    <w:rsid w:val="007A4468"/>
    <w:rsid w:val="007A4F79"/>
    <w:rsid w:val="007A6AA8"/>
    <w:rsid w:val="007B203C"/>
    <w:rsid w:val="007C0071"/>
    <w:rsid w:val="007C2459"/>
    <w:rsid w:val="007E7347"/>
    <w:rsid w:val="0080142E"/>
    <w:rsid w:val="0080333F"/>
    <w:rsid w:val="00811FBD"/>
    <w:rsid w:val="008310C9"/>
    <w:rsid w:val="008318FB"/>
    <w:rsid w:val="00836298"/>
    <w:rsid w:val="00843EBB"/>
    <w:rsid w:val="00852A34"/>
    <w:rsid w:val="00854DD4"/>
    <w:rsid w:val="00870342"/>
    <w:rsid w:val="0087251C"/>
    <w:rsid w:val="008815AC"/>
    <w:rsid w:val="008A28A1"/>
    <w:rsid w:val="008A4DFE"/>
    <w:rsid w:val="008B0C80"/>
    <w:rsid w:val="008B18D5"/>
    <w:rsid w:val="008B2CC6"/>
    <w:rsid w:val="008C7848"/>
    <w:rsid w:val="008D3D8D"/>
    <w:rsid w:val="008E72FB"/>
    <w:rsid w:val="008F508C"/>
    <w:rsid w:val="009030CC"/>
    <w:rsid w:val="00913CCD"/>
    <w:rsid w:val="00917AF2"/>
    <w:rsid w:val="0092418A"/>
    <w:rsid w:val="0093092C"/>
    <w:rsid w:val="009346F5"/>
    <w:rsid w:val="00934ED7"/>
    <w:rsid w:val="00936FB7"/>
    <w:rsid w:val="009474D9"/>
    <w:rsid w:val="009543C3"/>
    <w:rsid w:val="009574C8"/>
    <w:rsid w:val="00966E1B"/>
    <w:rsid w:val="00990F6B"/>
    <w:rsid w:val="00996F1C"/>
    <w:rsid w:val="009A351D"/>
    <w:rsid w:val="009A478A"/>
    <w:rsid w:val="009B055C"/>
    <w:rsid w:val="009B6664"/>
    <w:rsid w:val="009F0B38"/>
    <w:rsid w:val="009F2D2C"/>
    <w:rsid w:val="00A00BF7"/>
    <w:rsid w:val="00A31FFF"/>
    <w:rsid w:val="00A54559"/>
    <w:rsid w:val="00A6617B"/>
    <w:rsid w:val="00A71FE5"/>
    <w:rsid w:val="00A83BD6"/>
    <w:rsid w:val="00A83E19"/>
    <w:rsid w:val="00AA3AD8"/>
    <w:rsid w:val="00AA702C"/>
    <w:rsid w:val="00AB0DC8"/>
    <w:rsid w:val="00AC348B"/>
    <w:rsid w:val="00AC3946"/>
    <w:rsid w:val="00AD26B8"/>
    <w:rsid w:val="00B033C8"/>
    <w:rsid w:val="00B036D9"/>
    <w:rsid w:val="00B257C1"/>
    <w:rsid w:val="00B33425"/>
    <w:rsid w:val="00B3360A"/>
    <w:rsid w:val="00B44E24"/>
    <w:rsid w:val="00B47809"/>
    <w:rsid w:val="00B54ECC"/>
    <w:rsid w:val="00B567BC"/>
    <w:rsid w:val="00B61918"/>
    <w:rsid w:val="00B714F3"/>
    <w:rsid w:val="00B75A37"/>
    <w:rsid w:val="00B80DF7"/>
    <w:rsid w:val="00B85989"/>
    <w:rsid w:val="00B85C83"/>
    <w:rsid w:val="00B942F6"/>
    <w:rsid w:val="00BA53C2"/>
    <w:rsid w:val="00BA7E5B"/>
    <w:rsid w:val="00BC5D77"/>
    <w:rsid w:val="00BC6FC2"/>
    <w:rsid w:val="00BD3F5C"/>
    <w:rsid w:val="00BE5559"/>
    <w:rsid w:val="00BE5B84"/>
    <w:rsid w:val="00BF15C3"/>
    <w:rsid w:val="00BF487A"/>
    <w:rsid w:val="00C14C32"/>
    <w:rsid w:val="00C46BD9"/>
    <w:rsid w:val="00C55258"/>
    <w:rsid w:val="00C728FC"/>
    <w:rsid w:val="00C73560"/>
    <w:rsid w:val="00C7761D"/>
    <w:rsid w:val="00C93B65"/>
    <w:rsid w:val="00CA47D8"/>
    <w:rsid w:val="00CA7678"/>
    <w:rsid w:val="00CB0F14"/>
    <w:rsid w:val="00CB1116"/>
    <w:rsid w:val="00CB47A0"/>
    <w:rsid w:val="00CB60A4"/>
    <w:rsid w:val="00CC34B1"/>
    <w:rsid w:val="00CD1695"/>
    <w:rsid w:val="00CD3E67"/>
    <w:rsid w:val="00CD58B5"/>
    <w:rsid w:val="00CD5AC1"/>
    <w:rsid w:val="00CD659B"/>
    <w:rsid w:val="00CD7A62"/>
    <w:rsid w:val="00CF0D45"/>
    <w:rsid w:val="00CF0E49"/>
    <w:rsid w:val="00CF34B5"/>
    <w:rsid w:val="00D0034D"/>
    <w:rsid w:val="00D069F2"/>
    <w:rsid w:val="00D10CF1"/>
    <w:rsid w:val="00D1330F"/>
    <w:rsid w:val="00D15EF3"/>
    <w:rsid w:val="00D34DDA"/>
    <w:rsid w:val="00D44CE2"/>
    <w:rsid w:val="00D503C9"/>
    <w:rsid w:val="00D50B43"/>
    <w:rsid w:val="00D55B55"/>
    <w:rsid w:val="00D57367"/>
    <w:rsid w:val="00D65C3D"/>
    <w:rsid w:val="00D722EF"/>
    <w:rsid w:val="00D72BBA"/>
    <w:rsid w:val="00D73FBE"/>
    <w:rsid w:val="00D764F5"/>
    <w:rsid w:val="00D8150A"/>
    <w:rsid w:val="00D83331"/>
    <w:rsid w:val="00D91F7F"/>
    <w:rsid w:val="00DB4F6A"/>
    <w:rsid w:val="00DC3CE0"/>
    <w:rsid w:val="00DE3AAF"/>
    <w:rsid w:val="00DF087C"/>
    <w:rsid w:val="00DF4176"/>
    <w:rsid w:val="00E04724"/>
    <w:rsid w:val="00E17240"/>
    <w:rsid w:val="00E1785F"/>
    <w:rsid w:val="00E24656"/>
    <w:rsid w:val="00E4774C"/>
    <w:rsid w:val="00E61A09"/>
    <w:rsid w:val="00E638CB"/>
    <w:rsid w:val="00E7610E"/>
    <w:rsid w:val="00E83CB7"/>
    <w:rsid w:val="00E83CDE"/>
    <w:rsid w:val="00E84492"/>
    <w:rsid w:val="00E92EFE"/>
    <w:rsid w:val="00E94F59"/>
    <w:rsid w:val="00EA33AE"/>
    <w:rsid w:val="00EB3D47"/>
    <w:rsid w:val="00EC0D48"/>
    <w:rsid w:val="00ED07B2"/>
    <w:rsid w:val="00ED683F"/>
    <w:rsid w:val="00ED6A80"/>
    <w:rsid w:val="00EE6D06"/>
    <w:rsid w:val="00F03387"/>
    <w:rsid w:val="00F037B0"/>
    <w:rsid w:val="00F04BCC"/>
    <w:rsid w:val="00F103A9"/>
    <w:rsid w:val="00F20231"/>
    <w:rsid w:val="00F2112F"/>
    <w:rsid w:val="00F30C9B"/>
    <w:rsid w:val="00F354B1"/>
    <w:rsid w:val="00F545E6"/>
    <w:rsid w:val="00F72869"/>
    <w:rsid w:val="00F77437"/>
    <w:rsid w:val="00F90896"/>
    <w:rsid w:val="00FB0E4E"/>
    <w:rsid w:val="00FC16C5"/>
    <w:rsid w:val="00FC3927"/>
    <w:rsid w:val="00FD620D"/>
    <w:rsid w:val="00FE2346"/>
    <w:rsid w:val="00FE79FE"/>
    <w:rsid w:val="00FF5F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2CFF998E"/>
  <w15:docId w15:val="{B759977A-15CE-4C43-819D-4F6E0E50B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4C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A4DFE"/>
    <w:pPr>
      <w:keepNext/>
      <w:keepLines/>
      <w:spacing w:before="480"/>
      <w:ind w:left="794" w:hanging="794"/>
      <w:outlineLvl w:val="0"/>
    </w:pPr>
    <w:rPr>
      <w:b/>
    </w:rPr>
  </w:style>
  <w:style w:type="paragraph" w:styleId="Heading2">
    <w:name w:val="heading 2"/>
    <w:basedOn w:val="Heading1"/>
    <w:next w:val="Normal"/>
    <w:link w:val="Heading2Char"/>
    <w:qFormat/>
    <w:rsid w:val="008A4DFE"/>
    <w:pPr>
      <w:spacing w:before="320"/>
      <w:outlineLvl w:val="1"/>
    </w:pPr>
  </w:style>
  <w:style w:type="paragraph" w:styleId="Heading3">
    <w:name w:val="heading 3"/>
    <w:basedOn w:val="Heading1"/>
    <w:next w:val="Normal"/>
    <w:link w:val="Heading3Char"/>
    <w:qFormat/>
    <w:rsid w:val="008A4DFE"/>
    <w:pPr>
      <w:spacing w:before="200"/>
      <w:outlineLvl w:val="2"/>
    </w:pPr>
  </w:style>
  <w:style w:type="paragraph" w:styleId="Heading4">
    <w:name w:val="heading 4"/>
    <w:basedOn w:val="Heading3"/>
    <w:next w:val="Normal"/>
    <w:link w:val="Heading4Char"/>
    <w:qFormat/>
    <w:rsid w:val="008A4DFE"/>
    <w:pPr>
      <w:tabs>
        <w:tab w:val="clear" w:pos="794"/>
        <w:tab w:val="left" w:pos="992"/>
      </w:tabs>
      <w:ind w:left="992" w:hanging="992"/>
      <w:outlineLvl w:val="3"/>
    </w:pPr>
  </w:style>
  <w:style w:type="paragraph" w:styleId="Heading5">
    <w:name w:val="heading 5"/>
    <w:basedOn w:val="Heading4"/>
    <w:next w:val="Normal"/>
    <w:link w:val="Heading5Char"/>
    <w:qFormat/>
    <w:rsid w:val="008A4DFE"/>
    <w:pPr>
      <w:outlineLvl w:val="4"/>
    </w:pPr>
  </w:style>
  <w:style w:type="paragraph" w:styleId="Heading6">
    <w:name w:val="heading 6"/>
    <w:basedOn w:val="Heading4"/>
    <w:next w:val="Normal"/>
    <w:link w:val="Heading6Char"/>
    <w:qFormat/>
    <w:rsid w:val="008A4DFE"/>
    <w:pPr>
      <w:tabs>
        <w:tab w:val="clear" w:pos="992"/>
        <w:tab w:val="clear" w:pos="1191"/>
      </w:tabs>
      <w:ind w:left="1588" w:hanging="1588"/>
      <w:outlineLvl w:val="5"/>
    </w:pPr>
  </w:style>
  <w:style w:type="paragraph" w:styleId="Heading7">
    <w:name w:val="heading 7"/>
    <w:basedOn w:val="Heading6"/>
    <w:next w:val="Normal"/>
    <w:link w:val="Heading7Char"/>
    <w:qFormat/>
    <w:rsid w:val="008A4DFE"/>
    <w:pPr>
      <w:outlineLvl w:val="6"/>
    </w:pPr>
  </w:style>
  <w:style w:type="paragraph" w:styleId="Heading8">
    <w:name w:val="heading 8"/>
    <w:basedOn w:val="Heading6"/>
    <w:next w:val="Normal"/>
    <w:link w:val="Heading8Char"/>
    <w:qFormat/>
    <w:rsid w:val="008A4DFE"/>
    <w:pPr>
      <w:outlineLvl w:val="7"/>
    </w:pPr>
  </w:style>
  <w:style w:type="paragraph" w:styleId="Heading9">
    <w:name w:val="heading 9"/>
    <w:basedOn w:val="Heading6"/>
    <w:next w:val="Normal"/>
    <w:link w:val="Heading9Char"/>
    <w:qFormat/>
    <w:rsid w:val="008A4D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A4DFE"/>
    <w:pPr>
      <w:keepNext/>
      <w:keepLines/>
      <w:spacing w:after="280"/>
      <w:jc w:val="center"/>
    </w:pPr>
  </w:style>
  <w:style w:type="paragraph" w:customStyle="1" w:styleId="Blanc">
    <w:name w:val="Blanc"/>
    <w:basedOn w:val="Normal"/>
    <w:next w:val="Tabletext"/>
    <w:rsid w:val="008A4DF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0256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aliases w:val="encabezado,header odd,header odd1,header odd2,he,h,Header/Footer,Page No"/>
    <w:basedOn w:val="Normal"/>
    <w:link w:val="HeaderChar"/>
    <w:uiPriority w:val="99"/>
    <w:rsid w:val="008A4D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8A4D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4DFE"/>
  </w:style>
  <w:style w:type="paragraph" w:customStyle="1" w:styleId="Headingb">
    <w:name w:val="Heading_b"/>
    <w:basedOn w:val="Heading3"/>
    <w:next w:val="Normal"/>
    <w:link w:val="HeadingbChar"/>
    <w:qFormat/>
    <w:rsid w:val="008A4DFE"/>
    <w:pPr>
      <w:spacing w:before="160"/>
      <w:ind w:left="0" w:firstLine="0"/>
      <w:outlineLvl w:val="9"/>
    </w:pPr>
  </w:style>
  <w:style w:type="paragraph" w:customStyle="1" w:styleId="Headingi">
    <w:name w:val="Heading_i"/>
    <w:basedOn w:val="Heading3"/>
    <w:next w:val="Normal"/>
    <w:qFormat/>
    <w:rsid w:val="008A4DFE"/>
    <w:pPr>
      <w:spacing w:before="160"/>
      <w:ind w:left="0" w:firstLine="0"/>
    </w:pPr>
    <w:rPr>
      <w:b w:val="0"/>
      <w:i/>
    </w:rPr>
  </w:style>
  <w:style w:type="character" w:customStyle="1" w:styleId="href">
    <w:name w:val="href"/>
    <w:basedOn w:val="DefaultParagraphFont"/>
    <w:rsid w:val="008A4DFE"/>
  </w:style>
  <w:style w:type="paragraph" w:customStyle="1" w:styleId="AnnexNoTitle">
    <w:name w:val="Annex_NoTitle"/>
    <w:basedOn w:val="Normal"/>
    <w:next w:val="Normalaftertitle"/>
    <w:rsid w:val="008A4DFE"/>
    <w:pPr>
      <w:keepNext/>
      <w:keepLines/>
      <w:spacing w:before="480" w:after="80"/>
      <w:jc w:val="center"/>
    </w:pPr>
    <w:rPr>
      <w:b/>
      <w:sz w:val="28"/>
    </w:rPr>
  </w:style>
  <w:style w:type="paragraph" w:customStyle="1" w:styleId="enumlev1">
    <w:name w:val="enumlev1"/>
    <w:basedOn w:val="Normal"/>
    <w:link w:val="enumlev10"/>
    <w:qFormat/>
    <w:rsid w:val="008A4DFE"/>
    <w:pPr>
      <w:spacing w:before="80"/>
      <w:ind w:left="794" w:hanging="794"/>
    </w:pPr>
  </w:style>
  <w:style w:type="paragraph" w:customStyle="1" w:styleId="Equation">
    <w:name w:val="Equation"/>
    <w:basedOn w:val="Normal"/>
    <w:rsid w:val="008A4DFE"/>
    <w:pPr>
      <w:tabs>
        <w:tab w:val="clear" w:pos="1191"/>
        <w:tab w:val="clear" w:pos="1588"/>
        <w:tab w:val="clear" w:pos="1985"/>
        <w:tab w:val="center" w:pos="4820"/>
        <w:tab w:val="right" w:pos="9639"/>
      </w:tabs>
    </w:pPr>
  </w:style>
  <w:style w:type="paragraph" w:customStyle="1" w:styleId="enumlev2">
    <w:name w:val="enumlev2"/>
    <w:basedOn w:val="enumlev1"/>
    <w:rsid w:val="008A4DFE"/>
    <w:pPr>
      <w:ind w:left="1191" w:hanging="397"/>
    </w:pPr>
  </w:style>
  <w:style w:type="paragraph" w:styleId="FootnoteText">
    <w:name w:val="footnote text"/>
    <w:aliases w:val="ECC Footnote,Schriftart: 9 pt,Schriftart: 10 pt,Schriftart: 8 pt,WB-Fußnotentext,fn,footnote text,Footnotes,Footnote ak,FoodNote,ft,Footnote text,Footnote,Footnote Text Char1,Footnote Text Char Char,Footnote Text Char1 Char Char,DNV-FT,DNV"/>
    <w:basedOn w:val="Normal"/>
    <w:link w:val="FootnoteTextChar"/>
    <w:uiPriority w:val="99"/>
    <w:qFormat/>
    <w:rsid w:val="008A4DF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A4DFE"/>
    <w:pPr>
      <w:spacing w:before="320"/>
    </w:pPr>
  </w:style>
  <w:style w:type="paragraph" w:customStyle="1" w:styleId="enumlev3">
    <w:name w:val="enumlev3"/>
    <w:basedOn w:val="enumlev2"/>
    <w:rsid w:val="008A4DFE"/>
    <w:pPr>
      <w:ind w:left="1588"/>
    </w:pPr>
  </w:style>
  <w:style w:type="paragraph" w:customStyle="1" w:styleId="Note">
    <w:name w:val="Note"/>
    <w:basedOn w:val="Normal"/>
    <w:rsid w:val="008A4D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A4D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A4DFE"/>
    <w:pPr>
      <w:keepNext/>
      <w:keepLines/>
      <w:spacing w:before="240"/>
      <w:jc w:val="center"/>
    </w:pPr>
    <w:rPr>
      <w:b/>
      <w:sz w:val="28"/>
    </w:rPr>
  </w:style>
  <w:style w:type="paragraph" w:customStyle="1" w:styleId="Recref">
    <w:name w:val="Rec_ref"/>
    <w:basedOn w:val="Normal"/>
    <w:next w:val="Recdate"/>
    <w:rsid w:val="008A4DFE"/>
    <w:pPr>
      <w:jc w:val="center"/>
    </w:pPr>
  </w:style>
  <w:style w:type="paragraph" w:customStyle="1" w:styleId="Recdate">
    <w:name w:val="Rec_date"/>
    <w:basedOn w:val="Recref"/>
    <w:next w:val="Normalaftertitle"/>
    <w:rsid w:val="008A4DFE"/>
    <w:pPr>
      <w:jc w:val="right"/>
    </w:pPr>
  </w:style>
  <w:style w:type="paragraph" w:customStyle="1" w:styleId="HeadingSum">
    <w:name w:val="Heading_Sum"/>
    <w:basedOn w:val="Headingb"/>
    <w:next w:val="Normal"/>
    <w:autoRedefine/>
    <w:rsid w:val="008A4DFE"/>
    <w:pPr>
      <w:spacing w:before="240"/>
    </w:pPr>
    <w:rPr>
      <w:lang w:val="es-ES_tradnl"/>
    </w:rPr>
  </w:style>
  <w:style w:type="paragraph" w:customStyle="1" w:styleId="AppendixNoTitle">
    <w:name w:val="Appendix_NoTitle"/>
    <w:basedOn w:val="AnnexNoTitle"/>
    <w:next w:val="Normal"/>
    <w:rsid w:val="008A4DFE"/>
  </w:style>
  <w:style w:type="paragraph" w:customStyle="1" w:styleId="Tablefin">
    <w:name w:val="Table_fin"/>
    <w:basedOn w:val="Normal"/>
    <w:next w:val="Normal"/>
    <w:rsid w:val="008A4DFE"/>
    <w:pPr>
      <w:spacing w:before="0"/>
    </w:pPr>
    <w:rPr>
      <w:sz w:val="20"/>
      <w:lang w:val="en-GB"/>
    </w:rPr>
  </w:style>
  <w:style w:type="paragraph" w:customStyle="1" w:styleId="Tablehead">
    <w:name w:val="Table_head"/>
    <w:basedOn w:val="Normal"/>
    <w:next w:val="Normal"/>
    <w:link w:val="TableheadChar"/>
    <w:rsid w:val="008A4D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A4D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A4DFE"/>
    <w:pPr>
      <w:keepNext/>
      <w:spacing w:before="360" w:after="120"/>
      <w:jc w:val="center"/>
    </w:pPr>
  </w:style>
  <w:style w:type="paragraph" w:customStyle="1" w:styleId="Equationlegend">
    <w:name w:val="Equation_legend"/>
    <w:basedOn w:val="NormalIndent"/>
    <w:rsid w:val="008A4D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4DFE"/>
    <w:pPr>
      <w:ind w:left="794"/>
    </w:pPr>
  </w:style>
  <w:style w:type="paragraph" w:customStyle="1" w:styleId="Figurelegend">
    <w:name w:val="Figure_legend"/>
    <w:basedOn w:val="Normal"/>
    <w:rsid w:val="008A4D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1"/>
    <w:rsid w:val="008A4DFE"/>
    <w:pPr>
      <w:keepNext/>
      <w:keepLines/>
      <w:spacing w:before="480" w:after="80"/>
      <w:jc w:val="center"/>
    </w:pPr>
    <w:rPr>
      <w:caps/>
      <w:sz w:val="18"/>
    </w:rPr>
  </w:style>
  <w:style w:type="paragraph" w:customStyle="1" w:styleId="Figuretitle">
    <w:name w:val="Figure_title"/>
    <w:basedOn w:val="Normal"/>
    <w:next w:val="Figure"/>
    <w:link w:val="FiguretitleChar"/>
    <w:rsid w:val="008A4DFE"/>
    <w:pPr>
      <w:keepNext/>
      <w:spacing w:before="0" w:after="120"/>
      <w:jc w:val="center"/>
    </w:pPr>
    <w:rPr>
      <w:rFonts w:ascii="Times New Roman Bold" w:hAnsi="Times New Roman Bold"/>
      <w:b/>
      <w:sz w:val="18"/>
    </w:rPr>
  </w:style>
  <w:style w:type="paragraph" w:customStyle="1" w:styleId="Figure">
    <w:name w:val="Figure"/>
    <w:basedOn w:val="FigureNo"/>
    <w:next w:val="Normal"/>
    <w:rsid w:val="008A4DFE"/>
    <w:pPr>
      <w:keepNext w:val="0"/>
      <w:spacing w:before="0" w:after="240"/>
    </w:pPr>
  </w:style>
  <w:style w:type="paragraph" w:customStyle="1" w:styleId="tocpart">
    <w:name w:val="tocpart"/>
    <w:basedOn w:val="Normal"/>
    <w:rsid w:val="008A4D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4DFE"/>
    <w:pPr>
      <w:keepNext/>
      <w:keepLines/>
      <w:spacing w:before="480"/>
      <w:jc w:val="center"/>
    </w:pPr>
    <w:rPr>
      <w:sz w:val="28"/>
    </w:rPr>
  </w:style>
  <w:style w:type="paragraph" w:customStyle="1" w:styleId="Arttitle">
    <w:name w:val="Art_title"/>
    <w:basedOn w:val="Normal"/>
    <w:next w:val="Normalaftertitle"/>
    <w:rsid w:val="008A4DFE"/>
    <w:pPr>
      <w:keepNext/>
      <w:keepLines/>
      <w:spacing w:before="240"/>
      <w:jc w:val="center"/>
    </w:pPr>
    <w:rPr>
      <w:b/>
      <w:sz w:val="28"/>
    </w:rPr>
  </w:style>
  <w:style w:type="paragraph" w:customStyle="1" w:styleId="ASN1">
    <w:name w:val="ASN.1"/>
    <w:basedOn w:val="Normal"/>
    <w:next w:val="Normal"/>
    <w:rsid w:val="008A4D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4DFE"/>
    <w:pPr>
      <w:keepNext/>
      <w:keepLines/>
      <w:spacing w:before="160"/>
      <w:ind w:left="794"/>
    </w:pPr>
    <w:rPr>
      <w:i/>
    </w:rPr>
  </w:style>
  <w:style w:type="paragraph" w:customStyle="1" w:styleId="ChapNo">
    <w:name w:val="Chap_No"/>
    <w:basedOn w:val="ArtNo"/>
    <w:next w:val="Chaptitle"/>
    <w:rsid w:val="008A4DFE"/>
    <w:rPr>
      <w:b/>
    </w:rPr>
  </w:style>
  <w:style w:type="character" w:styleId="FootnoteReference">
    <w:name w:val="footnote reference"/>
    <w:aliases w:val="ECC Footnote number,Footnote symbol,Times 10 Point,Exposant 3 Point, Exposant 3 Point,gloss-sign,Appel note de bas de p,Footnote Reference/,Style 12,(NECG) Footnote Reference,Style 124,o,fr,Style 13,FR,Style 17,Italic"/>
    <w:basedOn w:val="DefaultParagraphFont"/>
    <w:uiPriority w:val="99"/>
    <w:rsid w:val="008A4DFE"/>
    <w:rPr>
      <w:position w:val="6"/>
      <w:sz w:val="18"/>
    </w:rPr>
  </w:style>
  <w:style w:type="paragraph" w:styleId="Index1">
    <w:name w:val="index 1"/>
    <w:basedOn w:val="Normal"/>
    <w:next w:val="Normal"/>
    <w:semiHidden/>
    <w:rsid w:val="008A4DFE"/>
  </w:style>
  <w:style w:type="paragraph" w:styleId="Index2">
    <w:name w:val="index 2"/>
    <w:basedOn w:val="Normal"/>
    <w:next w:val="Normal"/>
    <w:semiHidden/>
    <w:rsid w:val="008A4DFE"/>
    <w:pPr>
      <w:ind w:left="283"/>
    </w:pPr>
  </w:style>
  <w:style w:type="paragraph" w:styleId="Index3">
    <w:name w:val="index 3"/>
    <w:basedOn w:val="Normal"/>
    <w:next w:val="Normal"/>
    <w:rsid w:val="008A4DFE"/>
    <w:pPr>
      <w:ind w:left="566"/>
    </w:pPr>
  </w:style>
  <w:style w:type="paragraph" w:styleId="IndexHeading">
    <w:name w:val="index heading"/>
    <w:basedOn w:val="Normal"/>
    <w:next w:val="Index1"/>
    <w:rsid w:val="008A4DFE"/>
  </w:style>
  <w:style w:type="paragraph" w:customStyle="1" w:styleId="Line">
    <w:name w:val="Line"/>
    <w:basedOn w:val="Normal"/>
    <w:next w:val="Normal"/>
    <w:rsid w:val="008A4D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4D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4DFE"/>
  </w:style>
  <w:style w:type="paragraph" w:customStyle="1" w:styleId="Partref">
    <w:name w:val="Part_ref"/>
    <w:basedOn w:val="Normal"/>
    <w:next w:val="Normal"/>
    <w:rsid w:val="008A4DFE"/>
    <w:pPr>
      <w:keepNext/>
      <w:keepLines/>
      <w:spacing w:after="280"/>
      <w:jc w:val="center"/>
    </w:pPr>
  </w:style>
  <w:style w:type="paragraph" w:customStyle="1" w:styleId="Parttitle">
    <w:name w:val="Part_title"/>
    <w:basedOn w:val="Normal"/>
    <w:next w:val="Normalaftertitle"/>
    <w:rsid w:val="008A4D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A4DFE"/>
  </w:style>
  <w:style w:type="paragraph" w:customStyle="1" w:styleId="QuestionNo">
    <w:name w:val="Question_No"/>
    <w:basedOn w:val="RecNo"/>
    <w:next w:val="Normal"/>
    <w:rsid w:val="008A4DFE"/>
  </w:style>
  <w:style w:type="paragraph" w:customStyle="1" w:styleId="Questionref">
    <w:name w:val="Question_ref"/>
    <w:basedOn w:val="Recref"/>
    <w:next w:val="Questiondate"/>
    <w:rsid w:val="008A4DFE"/>
  </w:style>
  <w:style w:type="paragraph" w:customStyle="1" w:styleId="Questiontitle">
    <w:name w:val="Question_title"/>
    <w:basedOn w:val="Normal"/>
    <w:next w:val="Questionref"/>
    <w:rsid w:val="008A4DFE"/>
  </w:style>
  <w:style w:type="paragraph" w:customStyle="1" w:styleId="Reftext">
    <w:name w:val="Ref_text"/>
    <w:basedOn w:val="Normal"/>
    <w:rsid w:val="008A4DFE"/>
    <w:pPr>
      <w:ind w:left="794" w:hanging="794"/>
    </w:pPr>
    <w:rPr>
      <w:sz w:val="22"/>
    </w:rPr>
  </w:style>
  <w:style w:type="paragraph" w:customStyle="1" w:styleId="Reftitle">
    <w:name w:val="Ref_title"/>
    <w:basedOn w:val="Normal"/>
    <w:next w:val="Reftext"/>
    <w:rsid w:val="008A4D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A4DFE"/>
  </w:style>
  <w:style w:type="paragraph" w:customStyle="1" w:styleId="RepNo">
    <w:name w:val="Rep_No"/>
    <w:basedOn w:val="RecNo"/>
    <w:next w:val="Reptitle"/>
    <w:rsid w:val="008A4DFE"/>
  </w:style>
  <w:style w:type="paragraph" w:customStyle="1" w:styleId="Reptitle">
    <w:name w:val="Rep_title"/>
    <w:basedOn w:val="Rectitle"/>
    <w:next w:val="Repref"/>
    <w:rsid w:val="008A4DFE"/>
  </w:style>
  <w:style w:type="paragraph" w:customStyle="1" w:styleId="Repref">
    <w:name w:val="Rep_ref"/>
    <w:basedOn w:val="Recref"/>
    <w:next w:val="Repdate"/>
    <w:rsid w:val="008A4DFE"/>
  </w:style>
  <w:style w:type="paragraph" w:customStyle="1" w:styleId="Resdate">
    <w:name w:val="Res_date"/>
    <w:basedOn w:val="Recdate"/>
    <w:next w:val="Normalaftertitle"/>
    <w:rsid w:val="008A4DFE"/>
  </w:style>
  <w:style w:type="paragraph" w:customStyle="1" w:styleId="ResNo">
    <w:name w:val="Res_No"/>
    <w:basedOn w:val="RecNo"/>
    <w:next w:val="Restitle"/>
    <w:rsid w:val="008A4DFE"/>
  </w:style>
  <w:style w:type="paragraph" w:customStyle="1" w:styleId="Restitle">
    <w:name w:val="Res_title"/>
    <w:basedOn w:val="Normal"/>
    <w:next w:val="Resref"/>
    <w:rsid w:val="008A4DFE"/>
    <w:pPr>
      <w:spacing w:before="240"/>
      <w:jc w:val="center"/>
    </w:pPr>
    <w:rPr>
      <w:b/>
      <w:sz w:val="28"/>
    </w:rPr>
  </w:style>
  <w:style w:type="paragraph" w:customStyle="1" w:styleId="Resref">
    <w:name w:val="Res_ref"/>
    <w:basedOn w:val="Recref"/>
    <w:next w:val="Resdate"/>
    <w:rsid w:val="008A4DFE"/>
  </w:style>
  <w:style w:type="paragraph" w:customStyle="1" w:styleId="SectionNo">
    <w:name w:val="Section_No"/>
    <w:basedOn w:val="Normal"/>
    <w:next w:val="Normal"/>
    <w:rsid w:val="008A4DFE"/>
  </w:style>
  <w:style w:type="paragraph" w:customStyle="1" w:styleId="Sectiontitle">
    <w:name w:val="Section_title"/>
    <w:basedOn w:val="Normal"/>
    <w:next w:val="Normalaftertitle"/>
    <w:rsid w:val="008A4D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A4DFE"/>
    <w:pPr>
      <w:tabs>
        <w:tab w:val="clear" w:pos="794"/>
        <w:tab w:val="clear" w:pos="1191"/>
        <w:tab w:val="clear" w:pos="1588"/>
        <w:tab w:val="clear" w:pos="1985"/>
        <w:tab w:val="right" w:pos="9611"/>
      </w:tabs>
    </w:pPr>
    <w:rPr>
      <w:i/>
    </w:rPr>
  </w:style>
  <w:style w:type="paragraph" w:styleId="TOC1">
    <w:name w:val="toc 1"/>
    <w:basedOn w:val="Normal"/>
    <w:rsid w:val="008A4D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A4DFE"/>
    <w:pPr>
      <w:tabs>
        <w:tab w:val="clear" w:pos="567"/>
        <w:tab w:val="left" w:pos="1276"/>
      </w:tabs>
      <w:spacing w:before="160"/>
      <w:ind w:left="1276" w:hanging="709"/>
    </w:pPr>
  </w:style>
  <w:style w:type="paragraph" w:styleId="TOC3">
    <w:name w:val="toc 3"/>
    <w:basedOn w:val="TOC2"/>
    <w:rsid w:val="008A4DFE"/>
    <w:pPr>
      <w:tabs>
        <w:tab w:val="clear" w:pos="1276"/>
        <w:tab w:val="left" w:pos="2155"/>
      </w:tabs>
      <w:ind w:left="2155" w:hanging="879"/>
    </w:pPr>
  </w:style>
  <w:style w:type="paragraph" w:styleId="TOC4">
    <w:name w:val="toc 4"/>
    <w:basedOn w:val="TOC3"/>
    <w:rsid w:val="008A4DFE"/>
    <w:pPr>
      <w:tabs>
        <w:tab w:val="left" w:pos="3261"/>
      </w:tabs>
      <w:spacing w:before="80"/>
      <w:ind w:left="3261" w:hanging="993"/>
    </w:pPr>
  </w:style>
  <w:style w:type="paragraph" w:styleId="TOC5">
    <w:name w:val="toc 5"/>
    <w:basedOn w:val="TOC4"/>
    <w:rsid w:val="008A4DFE"/>
  </w:style>
  <w:style w:type="paragraph" w:styleId="TOC6">
    <w:name w:val="toc 6"/>
    <w:basedOn w:val="TOC4"/>
    <w:rsid w:val="008A4DFE"/>
  </w:style>
  <w:style w:type="paragraph" w:styleId="TOC7">
    <w:name w:val="toc 7"/>
    <w:basedOn w:val="TOC4"/>
    <w:rsid w:val="008A4DFE"/>
  </w:style>
  <w:style w:type="paragraph" w:styleId="TOC8">
    <w:name w:val="toc 8"/>
    <w:basedOn w:val="TOC4"/>
    <w:rsid w:val="008A4DFE"/>
  </w:style>
  <w:style w:type="paragraph" w:customStyle="1" w:styleId="Appendixref">
    <w:name w:val="Appendix_ref"/>
    <w:basedOn w:val="Annexref"/>
    <w:next w:val="Normalaftertitle"/>
    <w:rsid w:val="008A4DFE"/>
  </w:style>
  <w:style w:type="paragraph" w:customStyle="1" w:styleId="Tabletitle">
    <w:name w:val="Table_title"/>
    <w:basedOn w:val="Normal"/>
    <w:next w:val="Tablehead"/>
    <w:link w:val="TabletitleChar"/>
    <w:rsid w:val="008A4DFE"/>
    <w:pPr>
      <w:keepNext/>
      <w:spacing w:before="0" w:after="120"/>
      <w:jc w:val="center"/>
    </w:pPr>
    <w:rPr>
      <w:b/>
    </w:rPr>
  </w:style>
  <w:style w:type="paragraph" w:customStyle="1" w:styleId="Summary">
    <w:name w:val="Summary"/>
    <w:basedOn w:val="Normal"/>
    <w:next w:val="Normalaftertitle"/>
    <w:autoRedefine/>
    <w:rsid w:val="008A4DFE"/>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8A4DFE"/>
  </w:style>
  <w:style w:type="paragraph" w:customStyle="1" w:styleId="TableLegendNote">
    <w:name w:val="Table_Legend_Note"/>
    <w:basedOn w:val="Tablelegend"/>
    <w:next w:val="Tablelegend"/>
    <w:rsid w:val="008A4DFE"/>
    <w:pPr>
      <w:ind w:left="-85" w:firstLine="0"/>
    </w:pPr>
    <w:rPr>
      <w:lang w:val="en-US"/>
    </w:rPr>
  </w:style>
  <w:style w:type="paragraph" w:customStyle="1" w:styleId="Artheading">
    <w:name w:val="Art_heading"/>
    <w:basedOn w:val="Normal"/>
    <w:next w:val="Normal"/>
    <w:rsid w:val="006C3F50"/>
    <w:pPr>
      <w:spacing w:before="480"/>
      <w:jc w:val="center"/>
    </w:pPr>
    <w:rPr>
      <w:rFonts w:ascii="Times New Roman Bold" w:hAnsi="Times New Roman Bold"/>
      <w:b/>
      <w:sz w:val="28"/>
    </w:rPr>
  </w:style>
  <w:style w:type="character" w:styleId="EndnoteReference">
    <w:name w:val="endnote reference"/>
    <w:basedOn w:val="DefaultParagraphFont"/>
    <w:rsid w:val="006C3F50"/>
    <w:rPr>
      <w:vertAlign w:val="superscript"/>
    </w:rPr>
  </w:style>
  <w:style w:type="paragraph" w:customStyle="1" w:styleId="Figurewithouttitle">
    <w:name w:val="Figure_without_title"/>
    <w:basedOn w:val="FigureNo"/>
    <w:next w:val="Normal"/>
    <w:rsid w:val="006C3F50"/>
    <w:pPr>
      <w:keepNext w:val="0"/>
    </w:pPr>
  </w:style>
  <w:style w:type="paragraph" w:customStyle="1" w:styleId="FirstFooter">
    <w:name w:val="FirstFooter"/>
    <w:basedOn w:val="Footer"/>
    <w:rsid w:val="006C3F50"/>
    <w:pPr>
      <w:overflowPunct/>
      <w:autoSpaceDE/>
      <w:autoSpaceDN/>
      <w:adjustRightInd/>
      <w:spacing w:before="40"/>
      <w:textAlignment w:val="auto"/>
    </w:pPr>
    <w:rPr>
      <w:caps/>
      <w:noProof w:val="0"/>
    </w:rPr>
  </w:style>
  <w:style w:type="paragraph" w:customStyle="1" w:styleId="Source">
    <w:name w:val="Source"/>
    <w:basedOn w:val="Normal"/>
    <w:next w:val="Normal"/>
    <w:rsid w:val="006C3F50"/>
    <w:pPr>
      <w:spacing w:before="840"/>
      <w:jc w:val="center"/>
    </w:pPr>
    <w:rPr>
      <w:b/>
      <w:sz w:val="28"/>
    </w:rPr>
  </w:style>
  <w:style w:type="paragraph" w:customStyle="1" w:styleId="SpecialFooter">
    <w:name w:val="Special Footer"/>
    <w:basedOn w:val="Footer"/>
    <w:rsid w:val="006C3F50"/>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6C3F50"/>
    <w:pPr>
      <w:keepNext/>
      <w:spacing w:before="560"/>
      <w:jc w:val="center"/>
    </w:pPr>
    <w:rPr>
      <w:sz w:val="20"/>
    </w:rPr>
  </w:style>
  <w:style w:type="paragraph" w:customStyle="1" w:styleId="Title1">
    <w:name w:val="Title 1"/>
    <w:basedOn w:val="Source"/>
    <w:next w:val="Normal"/>
    <w:rsid w:val="006C3F50"/>
    <w:pPr>
      <w:tabs>
        <w:tab w:val="left" w:pos="567"/>
        <w:tab w:val="left" w:pos="1701"/>
        <w:tab w:val="left" w:pos="2835"/>
      </w:tabs>
      <w:spacing w:before="240"/>
    </w:pPr>
    <w:rPr>
      <w:b w:val="0"/>
      <w:caps/>
    </w:rPr>
  </w:style>
  <w:style w:type="paragraph" w:customStyle="1" w:styleId="Title2">
    <w:name w:val="Title 2"/>
    <w:basedOn w:val="Source"/>
    <w:next w:val="Normal"/>
    <w:rsid w:val="006C3F50"/>
    <w:pPr>
      <w:overflowPunct/>
      <w:autoSpaceDE/>
      <w:autoSpaceDN/>
      <w:adjustRightInd/>
      <w:spacing w:before="480"/>
      <w:textAlignment w:val="auto"/>
    </w:pPr>
    <w:rPr>
      <w:b w:val="0"/>
      <w:caps/>
    </w:rPr>
  </w:style>
  <w:style w:type="paragraph" w:customStyle="1" w:styleId="Title3">
    <w:name w:val="Title 3"/>
    <w:basedOn w:val="Title2"/>
    <w:next w:val="Normal"/>
    <w:rsid w:val="006C3F50"/>
    <w:pPr>
      <w:spacing w:before="240"/>
    </w:pPr>
    <w:rPr>
      <w:caps w:val="0"/>
    </w:rPr>
  </w:style>
  <w:style w:type="paragraph" w:customStyle="1" w:styleId="Title4">
    <w:name w:val="Title 4"/>
    <w:basedOn w:val="Title3"/>
    <w:next w:val="Heading1"/>
    <w:rsid w:val="006C3F50"/>
    <w:rPr>
      <w:b/>
    </w:rPr>
  </w:style>
  <w:style w:type="character" w:customStyle="1" w:styleId="Appdef">
    <w:name w:val="App_def"/>
    <w:basedOn w:val="DefaultParagraphFont"/>
    <w:rsid w:val="006C3F50"/>
    <w:rPr>
      <w:rFonts w:ascii="Times New Roman" w:hAnsi="Times New Roman"/>
      <w:b/>
    </w:rPr>
  </w:style>
  <w:style w:type="character" w:customStyle="1" w:styleId="Appref">
    <w:name w:val="App_ref"/>
    <w:basedOn w:val="DefaultParagraphFont"/>
    <w:rsid w:val="006C3F50"/>
  </w:style>
  <w:style w:type="character" w:customStyle="1" w:styleId="Artdef">
    <w:name w:val="Art_def"/>
    <w:basedOn w:val="DefaultParagraphFont"/>
    <w:rsid w:val="006C3F50"/>
    <w:rPr>
      <w:rFonts w:ascii="Times New Roman" w:hAnsi="Times New Roman"/>
      <w:b/>
    </w:rPr>
  </w:style>
  <w:style w:type="character" w:customStyle="1" w:styleId="Artref">
    <w:name w:val="Art_ref"/>
    <w:basedOn w:val="DefaultParagraphFont"/>
    <w:rsid w:val="006C3F50"/>
  </w:style>
  <w:style w:type="character" w:customStyle="1" w:styleId="Recdef">
    <w:name w:val="Rec_def"/>
    <w:basedOn w:val="DefaultParagraphFont"/>
    <w:rsid w:val="006C3F50"/>
    <w:rPr>
      <w:b/>
    </w:rPr>
  </w:style>
  <w:style w:type="character" w:customStyle="1" w:styleId="Resdef">
    <w:name w:val="Res_def"/>
    <w:basedOn w:val="DefaultParagraphFont"/>
    <w:rsid w:val="006C3F50"/>
    <w:rPr>
      <w:rFonts w:ascii="Times New Roman" w:hAnsi="Times New Roman"/>
      <w:b/>
    </w:rPr>
  </w:style>
  <w:style w:type="character" w:customStyle="1" w:styleId="Tablefreq">
    <w:name w:val="Table_freq"/>
    <w:basedOn w:val="DefaultParagraphFont"/>
    <w:rsid w:val="006C3F50"/>
    <w:rPr>
      <w:b/>
      <w:color w:val="auto"/>
      <w:sz w:val="20"/>
    </w:rPr>
  </w:style>
  <w:style w:type="paragraph" w:customStyle="1" w:styleId="Formal">
    <w:name w:val="Formal"/>
    <w:basedOn w:val="ASN1"/>
    <w:rsid w:val="006C3F50"/>
    <w:rPr>
      <w:b w:val="0"/>
    </w:rPr>
  </w:style>
  <w:style w:type="paragraph" w:customStyle="1" w:styleId="Section1">
    <w:name w:val="Section_1"/>
    <w:basedOn w:val="Normal"/>
    <w:rsid w:val="006C3F50"/>
    <w:pPr>
      <w:tabs>
        <w:tab w:val="center" w:pos="4820"/>
      </w:tabs>
      <w:spacing w:before="360"/>
      <w:jc w:val="center"/>
    </w:pPr>
    <w:rPr>
      <w:b/>
    </w:rPr>
  </w:style>
  <w:style w:type="paragraph" w:customStyle="1" w:styleId="Section2">
    <w:name w:val="Section_2"/>
    <w:basedOn w:val="Section1"/>
    <w:rsid w:val="006C3F50"/>
    <w:rPr>
      <w:b w:val="0"/>
      <w:i/>
    </w:rPr>
  </w:style>
  <w:style w:type="paragraph" w:customStyle="1" w:styleId="AnnexNo">
    <w:name w:val="Annex_No"/>
    <w:basedOn w:val="Normal"/>
    <w:next w:val="Normal"/>
    <w:rsid w:val="006C3F50"/>
    <w:pPr>
      <w:keepNext/>
      <w:keepLines/>
      <w:spacing w:before="480" w:after="80"/>
      <w:jc w:val="center"/>
    </w:pPr>
    <w:rPr>
      <w:caps/>
      <w:sz w:val="28"/>
    </w:rPr>
  </w:style>
  <w:style w:type="paragraph" w:customStyle="1" w:styleId="Annextitle">
    <w:name w:val="Annex_title"/>
    <w:basedOn w:val="Normal"/>
    <w:next w:val="Normal"/>
    <w:rsid w:val="006C3F50"/>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link w:val="AppendixNoChar"/>
    <w:rsid w:val="006C3F50"/>
  </w:style>
  <w:style w:type="paragraph" w:customStyle="1" w:styleId="Appendixtitle">
    <w:name w:val="Appendix_title"/>
    <w:basedOn w:val="Annextitle"/>
    <w:next w:val="Normal"/>
    <w:rsid w:val="006C3F50"/>
  </w:style>
  <w:style w:type="paragraph" w:customStyle="1" w:styleId="Border">
    <w:name w:val="Border"/>
    <w:basedOn w:val="Normal"/>
    <w:rsid w:val="006C3F50"/>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6C3F50"/>
    <w:pPr>
      <w:ind w:left="849"/>
    </w:pPr>
  </w:style>
  <w:style w:type="paragraph" w:styleId="Index5">
    <w:name w:val="index 5"/>
    <w:basedOn w:val="Normal"/>
    <w:next w:val="Normal"/>
    <w:rsid w:val="006C3F50"/>
    <w:pPr>
      <w:ind w:left="1132"/>
    </w:pPr>
  </w:style>
  <w:style w:type="paragraph" w:styleId="Index6">
    <w:name w:val="index 6"/>
    <w:basedOn w:val="Normal"/>
    <w:next w:val="Normal"/>
    <w:rsid w:val="006C3F50"/>
    <w:pPr>
      <w:ind w:left="1415"/>
    </w:pPr>
  </w:style>
  <w:style w:type="paragraph" w:styleId="Index7">
    <w:name w:val="index 7"/>
    <w:basedOn w:val="Normal"/>
    <w:next w:val="Normal"/>
    <w:rsid w:val="006C3F50"/>
    <w:pPr>
      <w:ind w:left="1698"/>
    </w:pPr>
  </w:style>
  <w:style w:type="character" w:styleId="LineNumber">
    <w:name w:val="line number"/>
    <w:basedOn w:val="DefaultParagraphFont"/>
    <w:rsid w:val="006C3F50"/>
  </w:style>
  <w:style w:type="paragraph" w:customStyle="1" w:styleId="Normalaftertitle0">
    <w:name w:val="Normal after title"/>
    <w:basedOn w:val="Normal"/>
    <w:next w:val="Normal"/>
    <w:rsid w:val="006C3F50"/>
    <w:pPr>
      <w:spacing w:before="280"/>
    </w:pPr>
  </w:style>
  <w:style w:type="paragraph" w:customStyle="1" w:styleId="Proposal">
    <w:name w:val="Proposal"/>
    <w:basedOn w:val="Normal"/>
    <w:next w:val="Normal"/>
    <w:rsid w:val="006C3F50"/>
    <w:pPr>
      <w:keepNext/>
      <w:spacing w:before="240"/>
    </w:pPr>
    <w:rPr>
      <w:rFonts w:hAnsi="Times New Roman Bold"/>
      <w:b/>
    </w:rPr>
  </w:style>
  <w:style w:type="paragraph" w:customStyle="1" w:styleId="Reasons">
    <w:name w:val="Reasons"/>
    <w:basedOn w:val="Normal"/>
    <w:qFormat/>
    <w:rsid w:val="006C3F50"/>
  </w:style>
  <w:style w:type="paragraph" w:customStyle="1" w:styleId="Section3">
    <w:name w:val="Section_3"/>
    <w:basedOn w:val="Section1"/>
    <w:rsid w:val="006C3F50"/>
    <w:rPr>
      <w:b w:val="0"/>
    </w:rPr>
  </w:style>
  <w:style w:type="paragraph" w:customStyle="1" w:styleId="TableTextS5">
    <w:name w:val="Table_TextS5"/>
    <w:basedOn w:val="Normal"/>
    <w:rsid w:val="006C3F50"/>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6C3F50"/>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C3F50"/>
  </w:style>
  <w:style w:type="paragraph" w:customStyle="1" w:styleId="AppArttitle">
    <w:name w:val="App_Art_title"/>
    <w:basedOn w:val="Arttitle"/>
    <w:qFormat/>
    <w:rsid w:val="006C3F50"/>
  </w:style>
  <w:style w:type="paragraph" w:customStyle="1" w:styleId="ApptoAnnex">
    <w:name w:val="App_to_Annex"/>
    <w:basedOn w:val="AppendixNo"/>
    <w:next w:val="Normal"/>
    <w:qFormat/>
    <w:rsid w:val="006C3F50"/>
  </w:style>
  <w:style w:type="paragraph" w:customStyle="1" w:styleId="Committee">
    <w:name w:val="Committee"/>
    <w:basedOn w:val="Normal"/>
    <w:qFormat/>
    <w:rsid w:val="006C3F50"/>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6C3F50"/>
    <w:rPr>
      <w:noProof/>
      <w:sz w:val="18"/>
      <w:lang w:val="fr-FR" w:eastAsia="en-US"/>
    </w:rPr>
  </w:style>
  <w:style w:type="character" w:customStyle="1" w:styleId="FootnoteTextChar">
    <w:name w:val="Footnote Text Char"/>
    <w:aliases w:val="ECC Footnote Char,Schriftart: 9 pt Char,Schriftart: 10 pt Char,Schriftart: 8 pt Char,WB-Fußnotentext Char,fn Char,footnote text Char,Footnotes Char,Footnote ak Char,FoodNote Char,ft Char,Footnote text Char,Footnote Char,DNV-FT Char"/>
    <w:basedOn w:val="DefaultParagraphFont"/>
    <w:link w:val="FootnoteText"/>
    <w:uiPriority w:val="99"/>
    <w:rsid w:val="006C3F50"/>
    <w:rPr>
      <w:sz w:val="22"/>
      <w:lang w:val="fr-FR" w:eastAsia="en-US"/>
    </w:rPr>
  </w:style>
  <w:style w:type="character" w:customStyle="1" w:styleId="HeaderChar">
    <w:name w:val="Header Char"/>
    <w:aliases w:val="encabezado Char,header odd Char,header odd1 Char,header odd2 Char,he Char,h Char,Header/Footer Char,Page No Char"/>
    <w:basedOn w:val="DefaultParagraphFont"/>
    <w:link w:val="Header"/>
    <w:uiPriority w:val="99"/>
    <w:rsid w:val="006C3F50"/>
    <w:rPr>
      <w:sz w:val="24"/>
      <w:lang w:val="fr-FR" w:eastAsia="en-US"/>
    </w:rPr>
  </w:style>
  <w:style w:type="paragraph" w:customStyle="1" w:styleId="Normalend">
    <w:name w:val="Normal_end"/>
    <w:basedOn w:val="Normal"/>
    <w:next w:val="Normal"/>
    <w:qFormat/>
    <w:rsid w:val="006C3F50"/>
    <w:rPr>
      <w:lang w:val="en-US"/>
    </w:rPr>
  </w:style>
  <w:style w:type="paragraph" w:customStyle="1" w:styleId="Part1">
    <w:name w:val="Part_1"/>
    <w:basedOn w:val="Section1"/>
    <w:next w:val="Section1"/>
    <w:qFormat/>
    <w:rsid w:val="006C3F50"/>
  </w:style>
  <w:style w:type="paragraph" w:customStyle="1" w:styleId="Subsection1">
    <w:name w:val="Subsection_1"/>
    <w:basedOn w:val="Section1"/>
    <w:next w:val="Normalaftertitle0"/>
    <w:qFormat/>
    <w:rsid w:val="006C3F50"/>
  </w:style>
  <w:style w:type="paragraph" w:customStyle="1" w:styleId="Volumetitle">
    <w:name w:val="Volume_title"/>
    <w:basedOn w:val="Normal"/>
    <w:qFormat/>
    <w:rsid w:val="006C3F50"/>
    <w:pPr>
      <w:jc w:val="center"/>
    </w:pPr>
    <w:rPr>
      <w:b/>
      <w:bCs/>
      <w:sz w:val="28"/>
      <w:szCs w:val="28"/>
    </w:rPr>
  </w:style>
  <w:style w:type="paragraph" w:customStyle="1" w:styleId="Headingsplit">
    <w:name w:val="Heading_split"/>
    <w:basedOn w:val="Headingi"/>
    <w:qFormat/>
    <w:rsid w:val="006C3F50"/>
    <w:rPr>
      <w:lang w:val="en-US"/>
    </w:rPr>
  </w:style>
  <w:style w:type="paragraph" w:customStyle="1" w:styleId="Normalsplit">
    <w:name w:val="Normal_split"/>
    <w:basedOn w:val="Normal"/>
    <w:qFormat/>
    <w:rsid w:val="006C3F50"/>
  </w:style>
  <w:style w:type="character" w:customStyle="1" w:styleId="Provsplit">
    <w:name w:val="Prov_split"/>
    <w:basedOn w:val="DefaultParagraphFont"/>
    <w:qFormat/>
    <w:rsid w:val="006C3F50"/>
    <w:rPr>
      <w:rFonts w:ascii="Times New Roman" w:hAnsi="Times New Roman"/>
      <w:b w:val="0"/>
    </w:rPr>
  </w:style>
  <w:style w:type="paragraph" w:customStyle="1" w:styleId="Tablesplit">
    <w:name w:val="Table_split"/>
    <w:basedOn w:val="Tabletext"/>
    <w:qFormat/>
    <w:rsid w:val="006C3F5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6C3F50"/>
  </w:style>
  <w:style w:type="paragraph" w:customStyle="1" w:styleId="Methodheading2">
    <w:name w:val="Method_heading2"/>
    <w:basedOn w:val="Heading2"/>
    <w:next w:val="Normal"/>
    <w:qFormat/>
    <w:rsid w:val="006C3F50"/>
  </w:style>
  <w:style w:type="paragraph" w:customStyle="1" w:styleId="Methodheading3">
    <w:name w:val="Method_heading3"/>
    <w:basedOn w:val="Heading3"/>
    <w:next w:val="Normal"/>
    <w:qFormat/>
    <w:rsid w:val="006C3F50"/>
  </w:style>
  <w:style w:type="paragraph" w:customStyle="1" w:styleId="Methodheading4">
    <w:name w:val="Method_heading4"/>
    <w:basedOn w:val="Heading4"/>
    <w:next w:val="Normal"/>
    <w:qFormat/>
    <w:rsid w:val="006C3F50"/>
  </w:style>
  <w:style w:type="paragraph" w:customStyle="1" w:styleId="MethodHeadingb">
    <w:name w:val="Method_Headingb"/>
    <w:basedOn w:val="Headingb"/>
    <w:qFormat/>
    <w:rsid w:val="006C3F50"/>
    <w:pPr>
      <w:overflowPunct/>
      <w:autoSpaceDE/>
      <w:autoSpaceDN/>
      <w:adjustRightInd/>
      <w:spacing w:before="0"/>
      <w:textAlignment w:val="auto"/>
    </w:pPr>
  </w:style>
  <w:style w:type="character" w:customStyle="1" w:styleId="Heading1Char">
    <w:name w:val="Heading 1 Char"/>
    <w:basedOn w:val="DefaultParagraphFont"/>
    <w:link w:val="Heading1"/>
    <w:rsid w:val="006C3F50"/>
    <w:rPr>
      <w:b/>
      <w:sz w:val="24"/>
      <w:lang w:val="fr-FR" w:eastAsia="en-US"/>
    </w:rPr>
  </w:style>
  <w:style w:type="character" w:customStyle="1" w:styleId="Heading2Char">
    <w:name w:val="Heading 2 Char"/>
    <w:basedOn w:val="DefaultParagraphFont"/>
    <w:link w:val="Heading2"/>
    <w:rsid w:val="006C3F50"/>
    <w:rPr>
      <w:b/>
      <w:sz w:val="24"/>
      <w:lang w:val="fr-FR" w:eastAsia="en-US"/>
    </w:rPr>
  </w:style>
  <w:style w:type="character" w:customStyle="1" w:styleId="Heading3Char">
    <w:name w:val="Heading 3 Char"/>
    <w:basedOn w:val="DefaultParagraphFont"/>
    <w:link w:val="Heading3"/>
    <w:rsid w:val="006C3F50"/>
    <w:rPr>
      <w:b/>
      <w:sz w:val="24"/>
      <w:lang w:val="fr-FR" w:eastAsia="en-US"/>
    </w:rPr>
  </w:style>
  <w:style w:type="character" w:customStyle="1" w:styleId="Heading4Char">
    <w:name w:val="Heading 4 Char"/>
    <w:basedOn w:val="DefaultParagraphFont"/>
    <w:link w:val="Heading4"/>
    <w:rsid w:val="006C3F50"/>
    <w:rPr>
      <w:b/>
      <w:sz w:val="24"/>
      <w:lang w:val="fr-FR" w:eastAsia="en-US"/>
    </w:rPr>
  </w:style>
  <w:style w:type="character" w:customStyle="1" w:styleId="Heading5Char">
    <w:name w:val="Heading 5 Char"/>
    <w:basedOn w:val="DefaultParagraphFont"/>
    <w:link w:val="Heading5"/>
    <w:rsid w:val="006C3F50"/>
    <w:rPr>
      <w:b/>
      <w:sz w:val="24"/>
      <w:lang w:val="fr-FR" w:eastAsia="en-US"/>
    </w:rPr>
  </w:style>
  <w:style w:type="character" w:customStyle="1" w:styleId="Heading6Char">
    <w:name w:val="Heading 6 Char"/>
    <w:basedOn w:val="DefaultParagraphFont"/>
    <w:link w:val="Heading6"/>
    <w:rsid w:val="006C3F50"/>
    <w:rPr>
      <w:b/>
      <w:sz w:val="24"/>
      <w:lang w:val="fr-FR" w:eastAsia="en-US"/>
    </w:rPr>
  </w:style>
  <w:style w:type="character" w:customStyle="1" w:styleId="Heading7Char">
    <w:name w:val="Heading 7 Char"/>
    <w:basedOn w:val="DefaultParagraphFont"/>
    <w:link w:val="Heading7"/>
    <w:rsid w:val="006C3F50"/>
    <w:rPr>
      <w:b/>
      <w:sz w:val="24"/>
      <w:lang w:val="fr-FR" w:eastAsia="en-US"/>
    </w:rPr>
  </w:style>
  <w:style w:type="character" w:customStyle="1" w:styleId="Heading8Char">
    <w:name w:val="Heading 8 Char"/>
    <w:basedOn w:val="DefaultParagraphFont"/>
    <w:link w:val="Heading8"/>
    <w:rsid w:val="006C3F50"/>
    <w:rPr>
      <w:b/>
      <w:sz w:val="24"/>
      <w:lang w:val="fr-FR" w:eastAsia="en-US"/>
    </w:rPr>
  </w:style>
  <w:style w:type="character" w:customStyle="1" w:styleId="Heading9Char">
    <w:name w:val="Heading 9 Char"/>
    <w:basedOn w:val="DefaultParagraphFont"/>
    <w:link w:val="Heading9"/>
    <w:rsid w:val="006C3F50"/>
    <w:rPr>
      <w:b/>
      <w:sz w:val="24"/>
      <w:lang w:val="fr-FR" w:eastAsia="en-US"/>
    </w:rPr>
  </w:style>
  <w:style w:type="paragraph" w:styleId="BalloonText">
    <w:name w:val="Balloon Text"/>
    <w:basedOn w:val="Normal"/>
    <w:link w:val="BalloonTextChar"/>
    <w:unhideWhenUsed/>
    <w:rsid w:val="006C3F50"/>
    <w:pPr>
      <w:spacing w:before="0"/>
    </w:pPr>
    <w:rPr>
      <w:rFonts w:ascii="Tahoma" w:hAnsi="Tahoma" w:cs="Tahoma"/>
      <w:sz w:val="16"/>
      <w:szCs w:val="16"/>
    </w:rPr>
  </w:style>
  <w:style w:type="character" w:customStyle="1" w:styleId="BalloonTextChar">
    <w:name w:val="Balloon Text Char"/>
    <w:basedOn w:val="DefaultParagraphFont"/>
    <w:link w:val="BalloonText"/>
    <w:rsid w:val="006C3F50"/>
    <w:rPr>
      <w:rFonts w:ascii="Tahoma" w:hAnsi="Tahoma" w:cs="Tahoma"/>
      <w:sz w:val="16"/>
      <w:szCs w:val="16"/>
      <w:lang w:val="fr-FR" w:eastAsia="en-US"/>
    </w:rPr>
  </w:style>
  <w:style w:type="character" w:customStyle="1" w:styleId="TabletextChar">
    <w:name w:val="Table_text Char"/>
    <w:link w:val="Tabletext"/>
    <w:locked/>
    <w:rsid w:val="00025615"/>
    <w:rPr>
      <w:sz w:val="22"/>
      <w:lang w:val="fr-FR" w:eastAsia="en-US"/>
    </w:rPr>
  </w:style>
  <w:style w:type="character" w:styleId="CommentReference">
    <w:name w:val="annotation reference"/>
    <w:basedOn w:val="DefaultParagraphFont"/>
    <w:uiPriority w:val="99"/>
    <w:unhideWhenUsed/>
    <w:rsid w:val="006C3F50"/>
    <w:rPr>
      <w:sz w:val="16"/>
      <w:szCs w:val="16"/>
    </w:rPr>
  </w:style>
  <w:style w:type="paragraph" w:styleId="CommentText">
    <w:name w:val="annotation text"/>
    <w:basedOn w:val="Normal"/>
    <w:link w:val="CommentTextChar"/>
    <w:uiPriority w:val="99"/>
    <w:unhideWhenUsed/>
    <w:rsid w:val="006C3F50"/>
    <w:rPr>
      <w:sz w:val="20"/>
    </w:rPr>
  </w:style>
  <w:style w:type="character" w:customStyle="1" w:styleId="CommentTextChar">
    <w:name w:val="Comment Text Char"/>
    <w:basedOn w:val="DefaultParagraphFont"/>
    <w:link w:val="CommentText"/>
    <w:uiPriority w:val="99"/>
    <w:rsid w:val="006C3F50"/>
    <w:rPr>
      <w:lang w:val="fr-FR" w:eastAsia="en-US"/>
    </w:rPr>
  </w:style>
  <w:style w:type="paragraph" w:styleId="CommentSubject">
    <w:name w:val="annotation subject"/>
    <w:basedOn w:val="CommentText"/>
    <w:next w:val="CommentText"/>
    <w:link w:val="CommentSubjectChar"/>
    <w:uiPriority w:val="99"/>
    <w:unhideWhenUsed/>
    <w:rsid w:val="006C3F50"/>
    <w:rPr>
      <w:b/>
      <w:bCs/>
    </w:rPr>
  </w:style>
  <w:style w:type="character" w:customStyle="1" w:styleId="CommentSubjectChar">
    <w:name w:val="Comment Subject Char"/>
    <w:basedOn w:val="CommentTextChar"/>
    <w:link w:val="CommentSubject"/>
    <w:uiPriority w:val="99"/>
    <w:rsid w:val="006C3F50"/>
    <w:rPr>
      <w:b/>
      <w:bCs/>
      <w:lang w:val="fr-FR" w:eastAsia="en-US"/>
    </w:rPr>
  </w:style>
  <w:style w:type="character" w:customStyle="1" w:styleId="TableheadChar">
    <w:name w:val="Table_head Char"/>
    <w:link w:val="Tablehead"/>
    <w:locked/>
    <w:rsid w:val="006C3F50"/>
    <w:rPr>
      <w:b/>
      <w:sz w:val="22"/>
      <w:lang w:val="fr-FR" w:eastAsia="en-US"/>
    </w:rPr>
  </w:style>
  <w:style w:type="character" w:customStyle="1" w:styleId="TableNoChar">
    <w:name w:val="Table_No Char"/>
    <w:link w:val="TableNo"/>
    <w:locked/>
    <w:rsid w:val="006C3F50"/>
    <w:rPr>
      <w:sz w:val="24"/>
      <w:lang w:val="fr-FR" w:eastAsia="en-US"/>
    </w:rPr>
  </w:style>
  <w:style w:type="character" w:customStyle="1" w:styleId="TabletitleChar">
    <w:name w:val="Table_title Char"/>
    <w:link w:val="Tabletitle"/>
    <w:locked/>
    <w:rsid w:val="006C3F50"/>
    <w:rPr>
      <w:b/>
      <w:sz w:val="24"/>
      <w:lang w:val="fr-FR" w:eastAsia="en-US"/>
    </w:rPr>
  </w:style>
  <w:style w:type="paragraph" w:styleId="ListParagraph">
    <w:name w:val="List Paragraph"/>
    <w:basedOn w:val="Normal"/>
    <w:uiPriority w:val="34"/>
    <w:qFormat/>
    <w:rsid w:val="006C3F50"/>
    <w:pPr>
      <w:ind w:left="720"/>
      <w:contextualSpacing/>
    </w:pPr>
  </w:style>
  <w:style w:type="table" w:styleId="TableGrid">
    <w:name w:val="Table Grid"/>
    <w:basedOn w:val="TableNormal"/>
    <w:rsid w:val="006C3F50"/>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3F50"/>
    <w:pPr>
      <w:overflowPunct/>
      <w:autoSpaceDE/>
      <w:autoSpaceDN/>
      <w:adjustRightInd/>
      <w:spacing w:before="100" w:beforeAutospacing="1" w:after="100" w:afterAutospacing="1"/>
      <w:textAlignment w:val="auto"/>
    </w:pPr>
    <w:rPr>
      <w:rFonts w:eastAsiaTheme="minorEastAsia"/>
      <w:szCs w:val="24"/>
      <w:lang w:eastAsia="fr-FR"/>
    </w:rPr>
  </w:style>
  <w:style w:type="paragraph" w:styleId="Revision">
    <w:name w:val="Revision"/>
    <w:hidden/>
    <w:uiPriority w:val="99"/>
    <w:semiHidden/>
    <w:rsid w:val="006C3F50"/>
    <w:rPr>
      <w:sz w:val="24"/>
      <w:lang w:val="en-GB" w:eastAsia="en-US"/>
    </w:rPr>
  </w:style>
  <w:style w:type="paragraph" w:styleId="DocumentMap">
    <w:name w:val="Document Map"/>
    <w:basedOn w:val="Normal"/>
    <w:link w:val="DocumentMapChar"/>
    <w:uiPriority w:val="99"/>
    <w:unhideWhenUsed/>
    <w:rsid w:val="006C3F50"/>
    <w:pPr>
      <w:spacing w:before="0"/>
    </w:pPr>
    <w:rPr>
      <w:szCs w:val="24"/>
    </w:rPr>
  </w:style>
  <w:style w:type="character" w:customStyle="1" w:styleId="DocumentMapChar">
    <w:name w:val="Document Map Char"/>
    <w:basedOn w:val="DefaultParagraphFont"/>
    <w:link w:val="DocumentMap"/>
    <w:uiPriority w:val="99"/>
    <w:rsid w:val="006C3F50"/>
    <w:rPr>
      <w:sz w:val="24"/>
      <w:szCs w:val="24"/>
      <w:lang w:val="fr-FR" w:eastAsia="en-US"/>
    </w:rPr>
  </w:style>
  <w:style w:type="character" w:customStyle="1" w:styleId="HeadingbChar">
    <w:name w:val="Heading_b Char"/>
    <w:link w:val="Headingb"/>
    <w:qFormat/>
    <w:locked/>
    <w:rsid w:val="006C3F50"/>
    <w:rPr>
      <w:b/>
      <w:sz w:val="24"/>
      <w:lang w:val="fr-FR" w:eastAsia="en-US"/>
    </w:rPr>
  </w:style>
  <w:style w:type="character" w:customStyle="1" w:styleId="ECCParagraph">
    <w:name w:val="ECC Paragraph"/>
    <w:basedOn w:val="DefaultParagraphFont"/>
    <w:uiPriority w:val="1"/>
    <w:qFormat/>
    <w:rsid w:val="006C3F50"/>
    <w:rPr>
      <w:rFonts w:ascii="Arial" w:hAnsi="Arial"/>
      <w:noProof w:val="0"/>
      <w:sz w:val="20"/>
      <w:bdr w:val="none" w:sz="0" w:space="0" w:color="auto"/>
      <w:lang w:val="en-GB"/>
    </w:rPr>
  </w:style>
  <w:style w:type="character" w:customStyle="1" w:styleId="FigureNoChar1">
    <w:name w:val="Figure_No Char1"/>
    <w:link w:val="FigureNo"/>
    <w:locked/>
    <w:rsid w:val="006C3F50"/>
    <w:rPr>
      <w:caps/>
      <w:sz w:val="18"/>
      <w:lang w:val="fr-FR" w:eastAsia="en-US"/>
    </w:rPr>
  </w:style>
  <w:style w:type="character" w:customStyle="1" w:styleId="FiguretitleChar">
    <w:name w:val="Figure_title Char"/>
    <w:link w:val="Figuretitle"/>
    <w:locked/>
    <w:rsid w:val="006C3F50"/>
    <w:rPr>
      <w:rFonts w:ascii="Times New Roman Bold" w:hAnsi="Times New Roman Bold"/>
      <w:b/>
      <w:sz w:val="18"/>
      <w:lang w:val="fr-FR" w:eastAsia="en-US"/>
    </w:rPr>
  </w:style>
  <w:style w:type="character" w:styleId="PlaceholderText">
    <w:name w:val="Placeholder Text"/>
    <w:basedOn w:val="DefaultParagraphFont"/>
    <w:uiPriority w:val="99"/>
    <w:semiHidden/>
    <w:rsid w:val="006C3F50"/>
    <w:rPr>
      <w:color w:val="808080"/>
    </w:rPr>
  </w:style>
  <w:style w:type="character" w:customStyle="1" w:styleId="TableNo0">
    <w:name w:val="Table_No Знак"/>
    <w:basedOn w:val="DefaultParagraphFont"/>
    <w:locked/>
    <w:rsid w:val="006C3F50"/>
    <w:rPr>
      <w:rFonts w:ascii="Times New Roman" w:hAnsi="Times New Roman"/>
      <w:caps/>
      <w:lang w:val="en-GB" w:eastAsia="en-US"/>
    </w:rPr>
  </w:style>
  <w:style w:type="character" w:customStyle="1" w:styleId="Tabletitle0">
    <w:name w:val="Table_title Знак"/>
    <w:locked/>
    <w:rsid w:val="006C3F50"/>
    <w:rPr>
      <w:rFonts w:ascii="Times New Roman Bold" w:hAnsi="Times New Roman Bold"/>
      <w:b/>
      <w:lang w:val="en-GB" w:eastAsia="en-US"/>
    </w:rPr>
  </w:style>
  <w:style w:type="character" w:styleId="FollowedHyperlink">
    <w:name w:val="FollowedHyperlink"/>
    <w:basedOn w:val="DefaultParagraphFont"/>
    <w:uiPriority w:val="99"/>
    <w:unhideWhenUsed/>
    <w:rsid w:val="006C3F50"/>
    <w:rPr>
      <w:color w:val="800080" w:themeColor="followedHyperlink"/>
      <w:u w:val="single"/>
    </w:rPr>
  </w:style>
  <w:style w:type="paragraph" w:customStyle="1" w:styleId="EditorsNote">
    <w:name w:val="EditorsNote"/>
    <w:basedOn w:val="Normal"/>
    <w:rsid w:val="006C3F50"/>
    <w:pPr>
      <w:spacing w:before="240" w:after="240"/>
    </w:pPr>
    <w:rPr>
      <w:i/>
      <w:lang w:val="en-US"/>
    </w:rPr>
  </w:style>
  <w:style w:type="paragraph" w:customStyle="1" w:styleId="MTDisplayEquation">
    <w:name w:val="MTDisplayEquation"/>
    <w:basedOn w:val="Normal"/>
    <w:next w:val="Normal"/>
    <w:link w:val="MTDisplayEquationChar"/>
    <w:rsid w:val="006C3F50"/>
    <w:pPr>
      <w:tabs>
        <w:tab w:val="center" w:pos="4820"/>
        <w:tab w:val="right" w:pos="9640"/>
      </w:tabs>
    </w:pPr>
    <w:rPr>
      <w:rFonts w:eastAsiaTheme="minorEastAsia"/>
      <w:lang w:val="en-US" w:eastAsia="zh-CN"/>
    </w:rPr>
  </w:style>
  <w:style w:type="character" w:customStyle="1" w:styleId="MTDisplayEquationChar">
    <w:name w:val="MTDisplayEquation Char"/>
    <w:basedOn w:val="DefaultParagraphFont"/>
    <w:link w:val="MTDisplayEquation"/>
    <w:rsid w:val="006C3F50"/>
    <w:rPr>
      <w:rFonts w:eastAsiaTheme="minorEastAsia"/>
      <w:sz w:val="24"/>
    </w:rPr>
  </w:style>
  <w:style w:type="character" w:customStyle="1" w:styleId="UnresolvedMention1">
    <w:name w:val="Unresolved Mention1"/>
    <w:basedOn w:val="DefaultParagraphFont"/>
    <w:uiPriority w:val="99"/>
    <w:semiHidden/>
    <w:unhideWhenUsed/>
    <w:rsid w:val="006C3F50"/>
    <w:rPr>
      <w:color w:val="605E5C"/>
      <w:shd w:val="clear" w:color="auto" w:fill="E1DFDD"/>
    </w:rPr>
  </w:style>
  <w:style w:type="character" w:customStyle="1" w:styleId="enumlev10">
    <w:name w:val="enumlev1 Знак"/>
    <w:link w:val="enumlev1"/>
    <w:qFormat/>
    <w:locked/>
    <w:rsid w:val="003C2F20"/>
    <w:rPr>
      <w:sz w:val="24"/>
      <w:lang w:val="fr-FR" w:eastAsia="en-US"/>
    </w:rPr>
  </w:style>
  <w:style w:type="table" w:customStyle="1" w:styleId="ECCTable-redheader">
    <w:name w:val="ECC Table - red header"/>
    <w:basedOn w:val="TableNormal"/>
    <w:uiPriority w:val="99"/>
    <w:rsid w:val="003C2F2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TabletitleBR">
    <w:name w:val="Table_title_BR"/>
    <w:basedOn w:val="Normal"/>
    <w:next w:val="Normal"/>
    <w:rsid w:val="005537C5"/>
    <w:pPr>
      <w:keepNext/>
      <w:keepLines/>
      <w:spacing w:before="0" w:after="120"/>
      <w:jc w:val="center"/>
    </w:pPr>
    <w:rPr>
      <w:b/>
      <w:lang w:val="en-GB"/>
    </w:rPr>
  </w:style>
  <w:style w:type="paragraph" w:styleId="BodyTextIndent">
    <w:name w:val="Body Text Indent"/>
    <w:basedOn w:val="Normal"/>
    <w:link w:val="BodyTextIndentChar"/>
    <w:semiHidden/>
    <w:rsid w:val="005537C5"/>
    <w:pPr>
      <w:spacing w:after="120"/>
      <w:ind w:left="360"/>
      <w:jc w:val="left"/>
    </w:pPr>
    <w:rPr>
      <w:lang w:val="en-GB"/>
    </w:rPr>
  </w:style>
  <w:style w:type="character" w:customStyle="1" w:styleId="BodyTextIndentChar">
    <w:name w:val="Body Text Indent Char"/>
    <w:basedOn w:val="DefaultParagraphFont"/>
    <w:link w:val="BodyTextIndent"/>
    <w:semiHidden/>
    <w:rsid w:val="005537C5"/>
    <w:rPr>
      <w:sz w:val="24"/>
      <w:lang w:val="en-GB" w:eastAsia="en-US"/>
    </w:rPr>
  </w:style>
  <w:style w:type="character" w:customStyle="1" w:styleId="NormalaftertitleChar">
    <w:name w:val="Normal_after_title Char"/>
    <w:basedOn w:val="DefaultParagraphFont"/>
    <w:link w:val="Normalaftertitle"/>
    <w:locked/>
    <w:rsid w:val="005537C5"/>
    <w:rPr>
      <w:sz w:val="24"/>
      <w:lang w:val="fr-FR" w:eastAsia="en-US"/>
    </w:rPr>
  </w:style>
  <w:style w:type="character" w:customStyle="1" w:styleId="enumlev1Char">
    <w:name w:val="enumlev1 Char"/>
    <w:qFormat/>
    <w:locked/>
    <w:rsid w:val="005537C5"/>
    <w:rPr>
      <w:rFonts w:ascii="Times New Roman" w:hAnsi="Times New Roman"/>
      <w:sz w:val="24"/>
      <w:lang w:val="en-GB" w:eastAsia="en-US"/>
    </w:rPr>
  </w:style>
  <w:style w:type="character" w:customStyle="1" w:styleId="FigureNoChar">
    <w:name w:val="Figure_No Char"/>
    <w:locked/>
    <w:rsid w:val="005537C5"/>
    <w:rPr>
      <w:rFonts w:ascii="Times New Roman" w:hAnsi="Times New Roman"/>
      <w:caps/>
      <w:lang w:val="en-GB" w:eastAsia="en-US"/>
    </w:rPr>
  </w:style>
  <w:style w:type="character" w:customStyle="1" w:styleId="AppendixNoChar">
    <w:name w:val="Appendix_No Char"/>
    <w:link w:val="AppendixNo"/>
    <w:locked/>
    <w:rsid w:val="005537C5"/>
    <w:rPr>
      <w:caps/>
      <w:sz w:val="28"/>
      <w:lang w:val="fr-FR" w:eastAsia="en-US"/>
    </w:rPr>
  </w:style>
  <w:style w:type="paragraph" w:styleId="EndnoteText">
    <w:name w:val="endnote text"/>
    <w:basedOn w:val="Normal"/>
    <w:link w:val="EndnoteTextChar"/>
    <w:rsid w:val="005537C5"/>
    <w:pPr>
      <w:widowControl w:val="0"/>
      <w:tabs>
        <w:tab w:val="clear" w:pos="794"/>
        <w:tab w:val="clear" w:pos="1191"/>
        <w:tab w:val="clear" w:pos="1588"/>
        <w:tab w:val="clear" w:pos="1985"/>
      </w:tabs>
      <w:overflowPunct/>
      <w:autoSpaceDE/>
      <w:autoSpaceDN/>
      <w:adjustRightInd/>
      <w:spacing w:before="0"/>
      <w:jc w:val="left"/>
      <w:textAlignment w:val="auto"/>
    </w:pPr>
    <w:rPr>
      <w:rFonts w:ascii="Courier New" w:hAnsi="Courier New"/>
      <w:lang w:val="en-US"/>
    </w:rPr>
  </w:style>
  <w:style w:type="character" w:customStyle="1" w:styleId="EndnoteTextChar">
    <w:name w:val="Endnote Text Char"/>
    <w:basedOn w:val="DefaultParagraphFont"/>
    <w:link w:val="EndnoteText"/>
    <w:rsid w:val="005537C5"/>
    <w:rPr>
      <w:rFonts w:ascii="Courier New" w:hAnsi="Courier New"/>
      <w:sz w:val="24"/>
      <w:lang w:eastAsia="en-US"/>
    </w:rPr>
  </w:style>
  <w:style w:type="paragraph" w:styleId="TOC9">
    <w:name w:val="toc 9"/>
    <w:basedOn w:val="Normal"/>
    <w:next w:val="Normal"/>
    <w:uiPriority w:val="99"/>
    <w:rsid w:val="005537C5"/>
    <w:pPr>
      <w:widowControl w:val="0"/>
      <w:tabs>
        <w:tab w:val="clear" w:pos="794"/>
        <w:tab w:val="clear" w:pos="1191"/>
        <w:tab w:val="clear" w:pos="1588"/>
        <w:tab w:val="clear" w:pos="1985"/>
        <w:tab w:val="right" w:leader="dot" w:pos="9360"/>
      </w:tabs>
      <w:suppressAutoHyphens/>
      <w:overflowPunct/>
      <w:autoSpaceDE/>
      <w:autoSpaceDN/>
      <w:adjustRightInd/>
      <w:spacing w:before="0"/>
      <w:ind w:left="720" w:hanging="720"/>
      <w:jc w:val="left"/>
      <w:textAlignment w:val="auto"/>
    </w:pPr>
    <w:rPr>
      <w:rFonts w:ascii="Courier New" w:hAnsi="Courier New"/>
      <w:lang w:val="en-US"/>
    </w:rPr>
  </w:style>
  <w:style w:type="paragraph" w:styleId="Caption">
    <w:name w:val="caption"/>
    <w:aliases w:val="Caption Char,Legend,3559Caption,Légende italique,topic,c,C,topic1,topic2,topic3,Reference,Beschriftung Bild,Figure Caption,kuvateksti,Legend Char,3559Caption Char,Légende italique Char,kuvateksti Char,Figure-caption,CAPTION Char Char"/>
    <w:basedOn w:val="Normal"/>
    <w:next w:val="Normal"/>
    <w:link w:val="CaptionChar1"/>
    <w:uiPriority w:val="35"/>
    <w:qFormat/>
    <w:rsid w:val="005537C5"/>
    <w:pPr>
      <w:widowControl w:val="0"/>
      <w:tabs>
        <w:tab w:val="clear" w:pos="794"/>
        <w:tab w:val="clear" w:pos="1191"/>
        <w:tab w:val="clear" w:pos="1588"/>
        <w:tab w:val="clear" w:pos="1985"/>
      </w:tabs>
      <w:overflowPunct/>
      <w:autoSpaceDE/>
      <w:autoSpaceDN/>
      <w:adjustRightInd/>
      <w:spacing w:before="0"/>
      <w:jc w:val="left"/>
      <w:textAlignment w:val="auto"/>
    </w:pPr>
    <w:rPr>
      <w:rFonts w:ascii="Courier New" w:hAnsi="Courier New"/>
      <w:lang w:val="en-US"/>
    </w:rPr>
  </w:style>
  <w:style w:type="character" w:customStyle="1" w:styleId="CaptionChar1">
    <w:name w:val="Caption Char1"/>
    <w:aliases w:val="Caption Char Char,Legend Char1,3559Caption Char1,Légende italique Char1,topic Char,c Char,C Char,topic1 Char,topic2 Char,topic3 Char,Reference Char,Beschriftung Bild Char,Figure Caption Char,kuvateksti Char1,Legend Char Char"/>
    <w:basedOn w:val="DefaultParagraphFont"/>
    <w:link w:val="Caption"/>
    <w:uiPriority w:val="35"/>
    <w:locked/>
    <w:rsid w:val="005537C5"/>
    <w:rPr>
      <w:rFonts w:ascii="Courier New" w:hAnsi="Courier New"/>
      <w:sz w:val="24"/>
      <w:lang w:eastAsia="en-US"/>
    </w:rPr>
  </w:style>
  <w:style w:type="paragraph" w:styleId="BodyText">
    <w:name w:val="Body Text"/>
    <w:basedOn w:val="Normal"/>
    <w:link w:val="BodyTextChar"/>
    <w:rsid w:val="005537C5"/>
    <w:pPr>
      <w:widowControl w:val="0"/>
      <w:tabs>
        <w:tab w:val="clear" w:pos="794"/>
        <w:tab w:val="clear" w:pos="1191"/>
        <w:tab w:val="clear" w:pos="1588"/>
        <w:tab w:val="clear" w:pos="1985"/>
        <w:tab w:val="left" w:pos="-720"/>
      </w:tabs>
      <w:suppressAutoHyphens/>
      <w:overflowPunct/>
      <w:autoSpaceDE/>
      <w:autoSpaceDN/>
      <w:adjustRightInd/>
      <w:spacing w:before="0"/>
      <w:jc w:val="left"/>
      <w:textAlignment w:val="auto"/>
    </w:pPr>
    <w:rPr>
      <w:rFonts w:ascii="Courier New" w:hAnsi="Courier New"/>
      <w:b/>
      <w:bCs/>
      <w:spacing w:val="-3"/>
      <w:lang w:val="en-US"/>
    </w:rPr>
  </w:style>
  <w:style w:type="character" w:customStyle="1" w:styleId="BodyTextChar">
    <w:name w:val="Body Text Char"/>
    <w:basedOn w:val="DefaultParagraphFont"/>
    <w:link w:val="BodyText"/>
    <w:rsid w:val="005537C5"/>
    <w:rPr>
      <w:rFonts w:ascii="Courier New" w:hAnsi="Courier New"/>
      <w:b/>
      <w:bCs/>
      <w:spacing w:val="-3"/>
      <w:sz w:val="24"/>
      <w:lang w:eastAsia="en-US"/>
    </w:rPr>
  </w:style>
  <w:style w:type="character" w:styleId="Emphasis">
    <w:name w:val="Emphasis"/>
    <w:basedOn w:val="DefaultParagraphFont"/>
    <w:qFormat/>
    <w:rsid w:val="005537C5"/>
    <w:rPr>
      <w:i/>
      <w:iCs/>
    </w:rPr>
  </w:style>
  <w:style w:type="paragraph" w:styleId="Title">
    <w:name w:val="Title"/>
    <w:basedOn w:val="Normal"/>
    <w:link w:val="TitleChar"/>
    <w:uiPriority w:val="99"/>
    <w:qFormat/>
    <w:rsid w:val="005537C5"/>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5537C5"/>
    <w:rPr>
      <w:b/>
      <w:bCs/>
      <w:sz w:val="24"/>
      <w:szCs w:val="24"/>
      <w:lang w:val="en-GB" w:eastAsia="en-US"/>
    </w:rPr>
  </w:style>
  <w:style w:type="paragraph" w:styleId="TOCHeading">
    <w:name w:val="TOC Heading"/>
    <w:basedOn w:val="Heading1"/>
    <w:next w:val="Normal"/>
    <w:uiPriority w:val="99"/>
    <w:unhideWhenUsed/>
    <w:qFormat/>
    <w:rsid w:val="005537C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HTMLAcronym">
    <w:name w:val="HTML Acronym"/>
    <w:uiPriority w:val="99"/>
    <w:unhideWhenUsed/>
    <w:rsid w:val="005537C5"/>
    <w:rPr>
      <w:rFonts w:ascii="Times New Roman" w:hAnsi="Times New Roman" w:cs="Times New Roman" w:hint="default"/>
    </w:rPr>
  </w:style>
  <w:style w:type="paragraph" w:styleId="HTMLAddress">
    <w:name w:val="HTML Address"/>
    <w:basedOn w:val="Normal"/>
    <w:link w:val="HTMLAddressChar"/>
    <w:uiPriority w:val="99"/>
    <w:unhideWhenUsed/>
    <w:rsid w:val="005537C5"/>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5537C5"/>
    <w:rPr>
      <w:rFonts w:eastAsia="Batang"/>
      <w:i/>
      <w:iCs/>
      <w:lang w:val="en-GB" w:eastAsia="de-DE"/>
    </w:rPr>
  </w:style>
  <w:style w:type="paragraph" w:styleId="HTMLPreformatted">
    <w:name w:val="HTML Preformatted"/>
    <w:basedOn w:val="Normal"/>
    <w:link w:val="HTMLPreformattedChar"/>
    <w:uiPriority w:val="99"/>
    <w:unhideWhenUsed/>
    <w:rsid w:val="005537C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120"/>
      <w:jc w:val="left"/>
      <w:textAlignment w:val="auto"/>
    </w:pPr>
    <w:rPr>
      <w:rFonts w:ascii="Arial Unicode MS" w:eastAsia="SimSun" w:hAnsi="Arial Unicode MS"/>
      <w:sz w:val="20"/>
      <w:lang w:val="en-GB"/>
    </w:rPr>
  </w:style>
  <w:style w:type="character" w:customStyle="1" w:styleId="HTMLPreformattedChar">
    <w:name w:val="HTML Preformatted Char"/>
    <w:basedOn w:val="DefaultParagraphFont"/>
    <w:link w:val="HTMLPreformatted"/>
    <w:uiPriority w:val="99"/>
    <w:rsid w:val="005537C5"/>
    <w:rPr>
      <w:rFonts w:ascii="Arial Unicode MS" w:eastAsia="SimSun" w:hAnsi="Arial Unicode MS"/>
      <w:lang w:val="en-GB" w:eastAsia="en-US"/>
    </w:rPr>
  </w:style>
  <w:style w:type="character" w:styleId="HTMLTypewriter">
    <w:name w:val="HTML Typewriter"/>
    <w:uiPriority w:val="99"/>
    <w:unhideWhenUsed/>
    <w:rsid w:val="005537C5"/>
    <w:rPr>
      <w:rFonts w:ascii="Arial Unicode MS" w:eastAsia="Arial Unicode MS" w:hAnsi="Times New Roman" w:cs="Times New Roman" w:hint="eastAsia"/>
      <w:sz w:val="20"/>
      <w:szCs w:val="20"/>
    </w:rPr>
  </w:style>
  <w:style w:type="paragraph" w:styleId="Index8">
    <w:name w:val="index 8"/>
    <w:basedOn w:val="Normal"/>
    <w:next w:val="Normal"/>
    <w:autoRedefine/>
    <w:uiPriority w:val="99"/>
    <w:unhideWhenUsed/>
    <w:rsid w:val="005537C5"/>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unhideWhenUsed/>
    <w:rsid w:val="005537C5"/>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ableofFigures">
    <w:name w:val="table of figures"/>
    <w:basedOn w:val="Normal"/>
    <w:next w:val="Normal"/>
    <w:uiPriority w:val="99"/>
    <w:unhideWhenUsed/>
    <w:rsid w:val="005537C5"/>
    <w:pPr>
      <w:tabs>
        <w:tab w:val="clear" w:pos="794"/>
        <w:tab w:val="clear" w:pos="1191"/>
        <w:tab w:val="clear" w:pos="1588"/>
        <w:tab w:val="clear" w:pos="1985"/>
      </w:tabs>
      <w:spacing w:before="0" w:after="120"/>
      <w:ind w:left="440" w:hanging="440"/>
      <w:jc w:val="left"/>
      <w:textAlignment w:val="auto"/>
    </w:pPr>
    <w:rPr>
      <w:rFonts w:ascii="Calibri" w:hAnsi="Calibri"/>
      <w:caps/>
      <w:sz w:val="20"/>
      <w:lang w:val="en-GB"/>
    </w:rPr>
  </w:style>
  <w:style w:type="paragraph" w:styleId="NoteHeading">
    <w:name w:val="Note Heading"/>
    <w:basedOn w:val="Normal"/>
    <w:next w:val="Normal"/>
    <w:link w:val="NoteHeadingChar"/>
    <w:uiPriority w:val="99"/>
    <w:unhideWhenUsed/>
    <w:rsid w:val="005537C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5537C5"/>
    <w:rPr>
      <w:rFonts w:eastAsia="Batang"/>
      <w:lang w:val="en-GB" w:eastAsia="de-DE"/>
    </w:rPr>
  </w:style>
  <w:style w:type="character" w:customStyle="1" w:styleId="apple-converted-space">
    <w:name w:val="apple-converted-space"/>
    <w:basedOn w:val="DefaultParagraphFont"/>
    <w:rsid w:val="005537C5"/>
  </w:style>
  <w:style w:type="table" w:customStyle="1" w:styleId="3">
    <w:name w:val="Сетка таблицы3"/>
    <w:basedOn w:val="TableNormal"/>
    <w:next w:val="TableGrid"/>
    <w:rsid w:val="005537C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101607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FB327-C8AE-4D29-8FC2-6C558014E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4368</TotalTime>
  <Pages>8</Pages>
  <Words>1974</Words>
  <Characters>11750</Characters>
  <Application>Microsoft Office Word</Application>
  <DocSecurity>0</DocSecurity>
  <Lines>235</Lines>
  <Paragraphs>82</Paragraphs>
  <ScaleCrop>false</ScaleCrop>
  <HeadingPairs>
    <vt:vector size="2" baseType="variant">
      <vt:variant>
        <vt:lpstr>Title</vt:lpstr>
      </vt:variant>
      <vt:variant>
        <vt:i4>1</vt:i4>
      </vt:variant>
    </vt:vector>
  </HeadingPairs>
  <TitlesOfParts>
    <vt:vector size="1" baseType="lpstr">
      <vt:lpstr>REPORT  ITU-R  S.2515-0 - Uplink interference considerations in the frequency band 7 025-7 075 MHz  for a broadcasting-satellite service (sound) in Region 2</vt:lpstr>
    </vt:vector>
  </TitlesOfParts>
  <Manager/>
  <Company>ITU</Company>
  <LinksUpToDate>false</LinksUpToDate>
  <CharactersWithSpaces>13658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S.2515-0 - Uplink interference considerations in the frequency band 7 025-7 075 MHz  for a broadcasting-satellite service (sound) in Region 2</dc:title>
  <dc:subject>S Series = Fixed-satellite service</dc:subject>
  <dc:creator>ITU Radiocommunication Bureau (BR)</dc:creator>
  <cp:keywords>S,2515-0</cp:keywords>
  <dc:description>Gachetc, 08/12/2022, ITU51013811</dc:description>
  <cp:lastModifiedBy>Christelle Gachet</cp:lastModifiedBy>
  <cp:revision>113</cp:revision>
  <cp:lastPrinted>2019-08-27T08:44:00Z</cp:lastPrinted>
  <dcterms:created xsi:type="dcterms:W3CDTF">2019-08-15T11:50:00Z</dcterms:created>
  <dcterms:modified xsi:type="dcterms:W3CDTF">2022-12-08T11:02:00Z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12 septembre 2019</vt:lpwstr>
  </property>
</Properties>
</file>