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bookmarkStart w:id="0" w:name="_GoBack"/>
      <w:bookmarkEnd w:id="0"/>
    </w:p>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5.9pt" o:ole="">
                  <v:imagedata r:id="rId8" o:title=""/>
                </v:shape>
                <o:OLEObject Type="Embed" ProgID="Equation.3" ShapeID="_x0000_i1025" DrawAspect="Content" ObjectID="_1498372982" r:id="rId9"/>
              </w:object>
            </w:r>
          </w:p>
          <w:p w:rsidR="00FE79FE" w:rsidRPr="004C5120" w:rsidRDefault="00FE79FE" w:rsidP="00F23979">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00CE2594">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CE2594">
              <w:rPr>
                <w:rFonts w:ascii="Tahoma" w:hAnsi="Tahoma" w:cs="Tahoma"/>
                <w:b/>
                <w:bCs/>
                <w:iCs/>
                <w:color w:val="509141"/>
                <w:sz w:val="36"/>
                <w:szCs w:val="36"/>
                <w:lang w:val="en-US"/>
              </w:rPr>
              <w:t xml:space="preserve"> </w:t>
            </w:r>
            <w:r w:rsidR="00F23979">
              <w:rPr>
                <w:rFonts w:ascii="Tahoma" w:hAnsi="Tahoma" w:cs="Tahoma"/>
                <w:b/>
                <w:bCs/>
                <w:iCs/>
                <w:color w:val="509141"/>
                <w:sz w:val="36"/>
                <w:szCs w:val="36"/>
                <w:lang w:val="en-US"/>
              </w:rPr>
              <w:t>S</w:t>
            </w:r>
            <w:r w:rsidRPr="004C5120">
              <w:rPr>
                <w:rFonts w:ascii="Tahoma" w:hAnsi="Tahoma" w:cs="Tahoma"/>
                <w:b/>
                <w:bCs/>
                <w:iCs/>
                <w:color w:val="509141"/>
                <w:sz w:val="36"/>
                <w:szCs w:val="36"/>
                <w:lang w:val="en-US"/>
              </w:rPr>
              <w:t>.</w:t>
            </w:r>
            <w:r w:rsidR="006338C0">
              <w:rPr>
                <w:rFonts w:ascii="Tahoma" w:hAnsi="Tahoma" w:cs="Tahoma"/>
                <w:b/>
                <w:bCs/>
                <w:iCs/>
                <w:color w:val="509141"/>
                <w:sz w:val="36"/>
                <w:szCs w:val="36"/>
                <w:lang w:val="en-US"/>
              </w:rPr>
              <w:t>23</w:t>
            </w:r>
            <w:r w:rsidR="00F06BA4">
              <w:rPr>
                <w:rFonts w:ascii="Tahoma" w:hAnsi="Tahoma" w:cs="Tahoma"/>
                <w:b/>
                <w:bCs/>
                <w:iCs/>
                <w:color w:val="509141"/>
                <w:sz w:val="36"/>
                <w:szCs w:val="36"/>
                <w:lang w:val="en-US"/>
              </w:rPr>
              <w:t>57</w:t>
            </w:r>
            <w:r w:rsidR="006338C0">
              <w:rPr>
                <w:rFonts w:ascii="Tahoma" w:hAnsi="Tahoma" w:cs="Tahoma"/>
                <w:b/>
                <w:bCs/>
                <w:iCs/>
                <w:color w:val="509141"/>
                <w:sz w:val="36"/>
                <w:szCs w:val="36"/>
                <w:lang w:val="en-US"/>
              </w:rPr>
              <w:t>-0</w:t>
            </w:r>
          </w:p>
          <w:p w:rsidR="00FE79FE" w:rsidRPr="004C5120" w:rsidRDefault="00FE79FE" w:rsidP="00FC7A2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C7A2D">
              <w:rPr>
                <w:rFonts w:ascii="Tahoma" w:hAnsi="Tahoma" w:cs="Tahoma"/>
                <w:b/>
                <w:bCs/>
                <w:iCs/>
                <w:color w:val="509141"/>
                <w:szCs w:val="24"/>
                <w:lang w:val="en-US"/>
              </w:rPr>
              <w:t>06</w:t>
            </w:r>
            <w:r w:rsidRPr="004C5120">
              <w:rPr>
                <w:rFonts w:ascii="Tahoma" w:hAnsi="Tahoma" w:cs="Tahoma"/>
                <w:b/>
                <w:bCs/>
                <w:iCs/>
                <w:color w:val="509141"/>
                <w:szCs w:val="24"/>
                <w:lang w:val="en-US"/>
              </w:rPr>
              <w:t>/</w:t>
            </w:r>
            <w:r w:rsidR="006338C0">
              <w:rPr>
                <w:rFonts w:ascii="Tahoma" w:hAnsi="Tahoma" w:cs="Tahoma"/>
                <w:b/>
                <w:bCs/>
                <w:iCs/>
                <w:color w:val="509141"/>
                <w:szCs w:val="24"/>
                <w:lang w:val="en-US"/>
              </w:rPr>
              <w:t>201</w:t>
            </w:r>
            <w:r w:rsidR="00F06BA4">
              <w:rPr>
                <w:rFonts w:ascii="Tahoma" w:hAnsi="Tahoma" w:cs="Tahoma"/>
                <w:b/>
                <w:bCs/>
                <w:iCs/>
                <w:color w:val="509141"/>
                <w:szCs w:val="24"/>
                <w:lang w:val="en-US"/>
              </w:rPr>
              <w:t>5</w:t>
            </w:r>
            <w:r w:rsidRPr="004C5120">
              <w:rPr>
                <w:rFonts w:ascii="Tahoma" w:hAnsi="Tahoma" w:cs="Tahoma"/>
                <w:b/>
                <w:bCs/>
                <w:iCs/>
                <w:color w:val="509141"/>
                <w:szCs w:val="24"/>
                <w:lang w:val="en-US"/>
              </w:rPr>
              <w:t>)</w:t>
            </w:r>
          </w:p>
        </w:tc>
      </w:tr>
      <w:tr w:rsidR="00FE79FE" w:rsidRPr="00F23979"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FE79FE" w:rsidRPr="004C5120" w:rsidRDefault="00A72F4B" w:rsidP="00A72F4B">
            <w:pPr>
              <w:spacing w:before="80" w:line="500" w:lineRule="exact"/>
              <w:jc w:val="right"/>
              <w:rPr>
                <w:rFonts w:ascii="Tahoma" w:hAnsi="Tahoma" w:cs="Tahoma"/>
                <w:b/>
                <w:bCs/>
                <w:iCs/>
                <w:color w:val="509141"/>
                <w:sz w:val="44"/>
                <w:szCs w:val="44"/>
                <w:lang w:val="en-US"/>
              </w:rPr>
            </w:pPr>
            <w:r w:rsidRPr="00A72F4B">
              <w:rPr>
                <w:rFonts w:ascii="Tahoma" w:hAnsi="Tahoma" w:cs="Tahoma"/>
                <w:b/>
                <w:bCs/>
                <w:iCs/>
                <w:color w:val="509141"/>
                <w:sz w:val="44"/>
                <w:szCs w:val="44"/>
                <w:lang w:val="en-US"/>
              </w:rPr>
              <w:t>Technical and operational guidelines</w:t>
            </w:r>
            <w:r>
              <w:rPr>
                <w:rFonts w:ascii="Tahoma" w:hAnsi="Tahoma" w:cs="Tahoma"/>
                <w:b/>
                <w:bCs/>
                <w:iCs/>
                <w:color w:val="509141"/>
                <w:sz w:val="44"/>
                <w:szCs w:val="44"/>
                <w:lang w:val="en-US"/>
              </w:rPr>
              <w:t xml:space="preserve"> </w:t>
            </w:r>
            <w:r w:rsidRPr="00A72F4B">
              <w:rPr>
                <w:rFonts w:ascii="Tahoma" w:hAnsi="Tahoma" w:cs="Tahoma"/>
                <w:b/>
                <w:bCs/>
                <w:iCs/>
                <w:color w:val="509141"/>
                <w:sz w:val="44"/>
                <w:szCs w:val="44"/>
                <w:lang w:val="en-US"/>
              </w:rPr>
              <w:t>for</w:t>
            </w:r>
            <w:r>
              <w:rPr>
                <w:rFonts w:ascii="Tahoma" w:hAnsi="Tahoma" w:cs="Tahoma"/>
                <w:b/>
                <w:bCs/>
                <w:iCs/>
                <w:color w:val="509141"/>
                <w:sz w:val="44"/>
                <w:szCs w:val="44"/>
                <w:lang w:val="en-US"/>
              </w:rPr>
              <w:t> </w:t>
            </w:r>
            <w:r w:rsidRPr="00A72F4B">
              <w:rPr>
                <w:rFonts w:ascii="Tahoma" w:hAnsi="Tahoma" w:cs="Tahoma"/>
                <w:b/>
                <w:bCs/>
                <w:iCs/>
                <w:color w:val="509141"/>
                <w:sz w:val="44"/>
                <w:szCs w:val="44"/>
                <w:lang w:val="en-US"/>
              </w:rPr>
              <w:t>earth stations on mobile platforms communi</w:t>
            </w:r>
            <w:r>
              <w:rPr>
                <w:rFonts w:ascii="Tahoma" w:hAnsi="Tahoma" w:cs="Tahoma"/>
                <w:b/>
                <w:bCs/>
                <w:iCs/>
                <w:color w:val="509141"/>
                <w:sz w:val="44"/>
                <w:szCs w:val="44"/>
                <w:lang w:val="en-US"/>
              </w:rPr>
              <w:t xml:space="preserve">cating with geostationary space </w:t>
            </w:r>
            <w:r w:rsidRPr="00A72F4B">
              <w:rPr>
                <w:rFonts w:ascii="Tahoma" w:hAnsi="Tahoma" w:cs="Tahoma"/>
                <w:b/>
                <w:bCs/>
                <w:iCs/>
                <w:color w:val="509141"/>
                <w:sz w:val="44"/>
                <w:szCs w:val="44"/>
                <w:lang w:val="en-US"/>
              </w:rPr>
              <w:t>stations in the fixed-satellite</w:t>
            </w:r>
            <w:r>
              <w:rPr>
                <w:rFonts w:ascii="Tahoma" w:hAnsi="Tahoma" w:cs="Tahoma"/>
                <w:b/>
                <w:bCs/>
                <w:iCs/>
                <w:color w:val="509141"/>
                <w:sz w:val="44"/>
                <w:szCs w:val="44"/>
                <w:lang w:val="en-US"/>
              </w:rPr>
              <w:t xml:space="preserve"> </w:t>
            </w:r>
            <w:r w:rsidRPr="00A72F4B">
              <w:rPr>
                <w:rFonts w:ascii="Tahoma" w:hAnsi="Tahoma" w:cs="Tahoma"/>
                <w:b/>
                <w:bCs/>
                <w:iCs/>
                <w:color w:val="509141"/>
                <w:sz w:val="44"/>
                <w:szCs w:val="44"/>
                <w:lang w:val="en-US"/>
              </w:rPr>
              <w:t>service in</w:t>
            </w:r>
            <w:r>
              <w:rPr>
                <w:rFonts w:ascii="Tahoma" w:hAnsi="Tahoma" w:cs="Tahoma"/>
                <w:b/>
                <w:bCs/>
                <w:iCs/>
                <w:color w:val="509141"/>
                <w:sz w:val="44"/>
                <w:szCs w:val="44"/>
                <w:lang w:val="en-US"/>
              </w:rPr>
              <w:br/>
            </w:r>
            <w:r w:rsidRPr="00A72F4B">
              <w:rPr>
                <w:rFonts w:ascii="Tahoma" w:hAnsi="Tahoma" w:cs="Tahoma"/>
                <w:b/>
                <w:bCs/>
                <w:iCs/>
                <w:color w:val="509141"/>
                <w:sz w:val="44"/>
                <w:szCs w:val="44"/>
                <w:lang w:val="en-US"/>
              </w:rPr>
              <w:t xml:space="preserve"> the frequency bands 19.7</w:t>
            </w:r>
            <w:r>
              <w:rPr>
                <w:rFonts w:ascii="Tahoma" w:hAnsi="Tahoma" w:cs="Tahoma"/>
                <w:b/>
                <w:bCs/>
                <w:iCs/>
                <w:color w:val="509141"/>
                <w:sz w:val="44"/>
                <w:szCs w:val="44"/>
                <w:lang w:val="en-US"/>
              </w:rPr>
              <w:noBreakHyphen/>
            </w:r>
            <w:r w:rsidRPr="00A72F4B">
              <w:rPr>
                <w:rFonts w:ascii="Tahoma" w:hAnsi="Tahoma" w:cs="Tahoma"/>
                <w:b/>
                <w:bCs/>
                <w:iCs/>
                <w:color w:val="509141"/>
                <w:sz w:val="44"/>
                <w:szCs w:val="44"/>
                <w:lang w:val="en-US"/>
              </w:rPr>
              <w:t>20.2</w:t>
            </w:r>
            <w:r>
              <w:rPr>
                <w:rFonts w:ascii="Tahoma" w:hAnsi="Tahoma" w:cs="Tahoma"/>
                <w:b/>
                <w:bCs/>
                <w:iCs/>
                <w:color w:val="509141"/>
                <w:sz w:val="44"/>
                <w:szCs w:val="44"/>
                <w:lang w:val="en-US"/>
              </w:rPr>
              <w:t> </w:t>
            </w:r>
            <w:r w:rsidRPr="00A72F4B">
              <w:rPr>
                <w:rFonts w:ascii="Tahoma" w:hAnsi="Tahoma" w:cs="Tahoma"/>
                <w:b/>
                <w:bCs/>
                <w:iCs/>
                <w:color w:val="509141"/>
                <w:sz w:val="44"/>
                <w:szCs w:val="44"/>
                <w:lang w:val="en-US"/>
              </w:rPr>
              <w:t>GHz and 29.5-30.0 GHz</w:t>
            </w:r>
            <w:r w:rsidR="00CE2594">
              <w:rPr>
                <w:rFonts w:ascii="Tahoma" w:hAnsi="Tahoma" w:cs="Tahoma"/>
                <w:b/>
                <w:bCs/>
                <w:iCs/>
                <w:color w:val="509141"/>
                <w:sz w:val="44"/>
                <w:szCs w:val="44"/>
                <w:lang w:val="en-US"/>
              </w:rPr>
              <w:t xml:space="preserve"> </w:t>
            </w:r>
          </w:p>
        </w:tc>
      </w:tr>
      <w:tr w:rsidR="00FE79FE" w:rsidRPr="00F23979" w:rsidTr="004C5120">
        <w:tc>
          <w:tcPr>
            <w:tcW w:w="10089" w:type="dxa"/>
          </w:tcPr>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B81687" w:rsidP="004C5120">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S</w:t>
            </w:r>
            <w:r w:rsidR="00FE79FE" w:rsidRPr="004C5120">
              <w:rPr>
                <w:rFonts w:ascii="Tahoma" w:hAnsi="Tahoma" w:cs="Tahoma"/>
                <w:b/>
                <w:bCs/>
                <w:iCs/>
                <w:color w:val="509141"/>
                <w:sz w:val="36"/>
                <w:szCs w:val="36"/>
                <w:lang w:val="en-US"/>
              </w:rPr>
              <w:t xml:space="preserve"> Series</w:t>
            </w:r>
          </w:p>
          <w:p w:rsidR="00FE79FE" w:rsidRPr="00B81687" w:rsidRDefault="00C41FA1" w:rsidP="00AF0C96">
            <w:pPr>
              <w:spacing w:before="80" w:line="42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Fixed-</w:t>
            </w:r>
            <w:r w:rsidR="00B81687" w:rsidRPr="00B81687">
              <w:rPr>
                <w:rFonts w:ascii="Tahoma" w:hAnsi="Tahoma" w:cs="Tahoma"/>
                <w:b/>
                <w:bCs/>
                <w:iCs/>
                <w:color w:val="509141"/>
                <w:sz w:val="36"/>
                <w:szCs w:val="36"/>
                <w:lang w:val="en-US"/>
              </w:rPr>
              <w:t>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14455458"/>
      <w:r>
        <w:rPr>
          <w:szCs w:val="24"/>
          <w:lang w:val="en-US"/>
        </w:rPr>
        <w:t>Policy on Intellectual Property Right (IPR)</w:t>
      </w:r>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sz w:val="20"/>
            <w:lang w:val="en-US"/>
          </w:rPr>
          <w:t>http://www.itu.int/ITU</w:t>
        </w:r>
        <w:r w:rsidR="009030CC">
          <w:rPr>
            <w:sz w:val="20"/>
            <w:lang w:val="en-US"/>
          </w:rPr>
          <w:t>-</w:t>
        </w:r>
        <w:r>
          <w:rPr>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F23979" w:rsidTr="00956823">
        <w:tc>
          <w:tcPr>
            <w:tcW w:w="9321" w:type="dxa"/>
            <w:gridSpan w:val="2"/>
            <w:tcBorders>
              <w:top w:val="single" w:sz="12" w:space="0" w:color="000080"/>
              <w:left w:val="single" w:sz="12" w:space="0" w:color="000080"/>
              <w:bottom w:val="nil"/>
              <w:right w:val="single" w:sz="12" w:space="0" w:color="000080"/>
            </w:tcBorders>
          </w:tcPr>
          <w:p w:rsidR="00CB5D73" w:rsidRPr="00C7761D" w:rsidRDefault="00CB5D73" w:rsidP="00CB5D73">
            <w:pPr>
              <w:pStyle w:val="ChapNo"/>
              <w:spacing w:before="240"/>
              <w:rPr>
                <w:sz w:val="22"/>
                <w:szCs w:val="22"/>
                <w:lang w:val="en-US"/>
              </w:rPr>
            </w:pPr>
            <w:r w:rsidRPr="00C7761D">
              <w:rPr>
                <w:sz w:val="22"/>
                <w:szCs w:val="22"/>
                <w:lang w:val="en-US"/>
              </w:rPr>
              <w:t>Series of ITU-R Reports</w:t>
            </w:r>
          </w:p>
          <w:p w:rsidR="00CB60A4" w:rsidRDefault="00CB60A4" w:rsidP="00CB5D7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b w:val="0"/>
                  <w:bCs/>
                  <w:sz w:val="18"/>
                  <w:szCs w:val="18"/>
                  <w:lang w:val="en-US"/>
                </w:rPr>
                <w:t>http://www.itu.int/publ</w:t>
              </w:r>
              <w:r w:rsidR="00505FB4" w:rsidRPr="00F103A9">
                <w:rPr>
                  <w:b w:val="0"/>
                  <w:bCs/>
                  <w:sz w:val="18"/>
                  <w:szCs w:val="18"/>
                  <w:lang w:val="en-US"/>
                </w:rPr>
                <w:t>/R-REP/en</w:t>
              </w:r>
            </w:hyperlink>
            <w:r w:rsidRPr="00F103A9">
              <w:rPr>
                <w:b w:val="0"/>
                <w:sz w:val="18"/>
                <w:szCs w:val="18"/>
                <w:lang w:val="en-US"/>
              </w:rPr>
              <w:t>)</w:t>
            </w:r>
          </w:p>
        </w:tc>
      </w:tr>
      <w:tr w:rsidR="00CB60A4" w:rsidTr="00956823">
        <w:tc>
          <w:tcPr>
            <w:tcW w:w="1138"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F23979" w:rsidTr="00956823">
        <w:tc>
          <w:tcPr>
            <w:tcW w:w="1138"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183"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183"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56823">
        <w:tc>
          <w:tcPr>
            <w:tcW w:w="1138"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183"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56823" w:rsidTr="00956823">
        <w:tc>
          <w:tcPr>
            <w:tcW w:w="1138" w:type="dxa"/>
            <w:tcBorders>
              <w:top w:val="nil"/>
              <w:left w:val="single" w:sz="12" w:space="0" w:color="000080"/>
              <w:bottom w:val="nil"/>
              <w:right w:val="nil"/>
            </w:tcBorders>
          </w:tcPr>
          <w:p w:rsidR="00956823" w:rsidRDefault="00956823">
            <w:pPr>
              <w:spacing w:before="30" w:after="30"/>
              <w:ind w:left="57"/>
              <w:jc w:val="left"/>
              <w:rPr>
                <w:b/>
                <w:bCs/>
                <w:sz w:val="20"/>
                <w:lang w:val="fr-CH"/>
              </w:rPr>
            </w:pPr>
            <w:r>
              <w:rPr>
                <w:b/>
                <w:bCs/>
                <w:sz w:val="20"/>
                <w:lang w:val="fr-CH"/>
              </w:rPr>
              <w:t>M</w:t>
            </w:r>
          </w:p>
        </w:tc>
        <w:tc>
          <w:tcPr>
            <w:tcW w:w="8183" w:type="dxa"/>
            <w:tcBorders>
              <w:top w:val="nil"/>
              <w:left w:val="nil"/>
              <w:bottom w:val="nil"/>
              <w:right w:val="single" w:sz="12" w:space="0" w:color="000080"/>
            </w:tcBorders>
          </w:tcPr>
          <w:p w:rsidR="00956823" w:rsidRDefault="0095682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t>Mobile, radiodetermination, amateur and related satellite services</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183"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183"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56823" w:rsidRPr="008D3D8D" w:rsidTr="00956823">
        <w:tc>
          <w:tcPr>
            <w:tcW w:w="1138" w:type="dxa"/>
            <w:tcBorders>
              <w:top w:val="nil"/>
              <w:left w:val="single" w:sz="12" w:space="0" w:color="000080"/>
              <w:bottom w:val="nil"/>
              <w:right w:val="nil"/>
            </w:tcBorders>
            <w:shd w:val="clear" w:color="auto" w:fill="F3F3F3"/>
          </w:tcPr>
          <w:p w:rsidR="00956823" w:rsidRPr="002F00DE" w:rsidRDefault="00956823" w:rsidP="00A54EA5">
            <w:pPr>
              <w:spacing w:before="30" w:after="30"/>
              <w:ind w:left="57"/>
              <w:jc w:val="left"/>
              <w:rPr>
                <w:b/>
                <w:bCs/>
                <w:color w:val="000080"/>
                <w:sz w:val="20"/>
                <w:lang w:val="en-US"/>
              </w:rPr>
            </w:pPr>
            <w:r>
              <w:rPr>
                <w:b/>
                <w:bCs/>
                <w:color w:val="000080"/>
                <w:sz w:val="20"/>
                <w:lang w:val="en-US"/>
              </w:rPr>
              <w:t>S</w:t>
            </w:r>
          </w:p>
        </w:tc>
        <w:tc>
          <w:tcPr>
            <w:tcW w:w="8183" w:type="dxa"/>
            <w:tcBorders>
              <w:top w:val="nil"/>
              <w:left w:val="nil"/>
              <w:bottom w:val="nil"/>
              <w:right w:val="single" w:sz="12" w:space="0" w:color="000080"/>
            </w:tcBorders>
            <w:shd w:val="clear" w:color="auto" w:fill="F3F3F3"/>
          </w:tcPr>
          <w:p w:rsidR="00956823" w:rsidRPr="002F00DE" w:rsidRDefault="00956823" w:rsidP="00A54E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Pr>
                <w:sz w:val="20"/>
                <w:lang w:val="en-US"/>
              </w:rPr>
              <w:t>Fixed-satellite service</w:t>
            </w:r>
          </w:p>
        </w:tc>
      </w:tr>
      <w:tr w:rsidR="00CB60A4"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F23979" w:rsidTr="00956823">
        <w:tc>
          <w:tcPr>
            <w:tcW w:w="1138"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183"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rsidTr="00956823">
        <w:tc>
          <w:tcPr>
            <w:tcW w:w="1138"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183"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F23979"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DC59F0">
          <w:pgSz w:w="11907" w:h="16834" w:code="9"/>
          <w:pgMar w:top="1418" w:right="1134" w:bottom="1134" w:left="1134" w:header="720" w:footer="482" w:gutter="0"/>
          <w:paperSrc w:first="15" w:other="15"/>
          <w:pgNumType w:fmt="lowerRoman" w:start="2"/>
          <w:cols w:space="720"/>
        </w:sectPr>
      </w:pPr>
    </w:p>
    <w:p w:rsidR="006338C0" w:rsidRPr="008D3D8D" w:rsidRDefault="00934ED7" w:rsidP="00F23979">
      <w:pPr>
        <w:pStyle w:val="RepNo"/>
        <w:spacing w:before="0"/>
        <w:rPr>
          <w:lang w:val="en-US"/>
        </w:rPr>
      </w:pPr>
      <w:bookmarkStart w:id="4" w:name="irecnoe"/>
      <w:bookmarkEnd w:id="4"/>
      <w:r w:rsidRPr="008D3D8D">
        <w:rPr>
          <w:lang w:val="en-US"/>
        </w:rPr>
        <w:lastRenderedPageBreak/>
        <w:t>R</w:t>
      </w:r>
      <w:r w:rsidR="008D3D8D" w:rsidRPr="008D3D8D">
        <w:rPr>
          <w:lang w:val="en-US"/>
        </w:rPr>
        <w:t>EPORT</w:t>
      </w:r>
      <w:r w:rsidR="00CE2594">
        <w:rPr>
          <w:lang w:val="en-US"/>
        </w:rPr>
        <w:t xml:space="preserve"> </w:t>
      </w:r>
      <w:r w:rsidRPr="00CB5D73">
        <w:rPr>
          <w:rStyle w:val="href"/>
          <w:lang w:val="en-US"/>
        </w:rPr>
        <w:t>ITU-R</w:t>
      </w:r>
      <w:r w:rsidR="00CE2594">
        <w:rPr>
          <w:rStyle w:val="href"/>
          <w:lang w:val="en-US"/>
        </w:rPr>
        <w:t xml:space="preserve"> </w:t>
      </w:r>
      <w:r w:rsidR="00F23979">
        <w:rPr>
          <w:rStyle w:val="href"/>
          <w:lang w:val="en-US"/>
        </w:rPr>
        <w:t>S</w:t>
      </w:r>
      <w:r w:rsidR="008D3D8D" w:rsidRPr="00CB5D73">
        <w:rPr>
          <w:rStyle w:val="href"/>
          <w:lang w:val="en-US"/>
        </w:rPr>
        <w:t>.</w:t>
      </w:r>
      <w:r w:rsidR="006338C0" w:rsidRPr="00CB5D73">
        <w:rPr>
          <w:rStyle w:val="href"/>
          <w:lang w:val="en-US"/>
        </w:rPr>
        <w:t>23</w:t>
      </w:r>
      <w:r w:rsidR="00956823">
        <w:rPr>
          <w:rStyle w:val="href"/>
          <w:lang w:val="en-US"/>
        </w:rPr>
        <w:t>57</w:t>
      </w:r>
      <w:r w:rsidR="006338C0" w:rsidRPr="00CB5D73">
        <w:rPr>
          <w:rStyle w:val="href"/>
          <w:lang w:val="en-US"/>
        </w:rPr>
        <w:t>-0</w:t>
      </w:r>
    </w:p>
    <w:p w:rsidR="006338C0" w:rsidRDefault="00956823" w:rsidP="00956823">
      <w:pPr>
        <w:pStyle w:val="Reptitle"/>
        <w:rPr>
          <w:lang w:val="en-US"/>
        </w:rPr>
      </w:pPr>
      <w:bookmarkStart w:id="5" w:name="recibido"/>
      <w:bookmarkStart w:id="6" w:name="dbreak"/>
      <w:bookmarkEnd w:id="5"/>
      <w:bookmarkEnd w:id="6"/>
      <w:r w:rsidRPr="00956823">
        <w:rPr>
          <w:lang w:val="en-US"/>
        </w:rPr>
        <w:t>Technical and operational guidelines for earth stations on mobile platforms communicating with geostationary space stations in the fixed-satellite service in the frequency bands 19.7-20.2 GHz and 29.5-30.0 GHz</w:t>
      </w:r>
    </w:p>
    <w:p w:rsidR="006338C0" w:rsidRDefault="006338C0" w:rsidP="00956823">
      <w:pPr>
        <w:pStyle w:val="Repdate"/>
        <w:rPr>
          <w:lang w:val="en-US"/>
        </w:rPr>
      </w:pPr>
      <w:r>
        <w:rPr>
          <w:lang w:val="en-US"/>
        </w:rPr>
        <w:t>(201</w:t>
      </w:r>
      <w:r w:rsidR="00956823">
        <w:rPr>
          <w:lang w:val="en-US"/>
        </w:rPr>
        <w:t>5</w:t>
      </w:r>
      <w:r>
        <w:rPr>
          <w:lang w:val="en-US"/>
        </w:rPr>
        <w:t>)</w:t>
      </w:r>
    </w:p>
    <w:p w:rsidR="006338C0" w:rsidRPr="001A2455" w:rsidRDefault="006338C0" w:rsidP="006338C0">
      <w:pPr>
        <w:spacing w:before="480"/>
        <w:jc w:val="center"/>
        <w:rPr>
          <w:lang w:val="en-US" w:eastAsia="ja-JP"/>
        </w:rPr>
      </w:pPr>
      <w:r w:rsidRPr="001A2455">
        <w:rPr>
          <w:lang w:val="en-US" w:eastAsia="ja-JP"/>
        </w:rPr>
        <w:t>TABLE OF CONTENTS</w:t>
      </w:r>
    </w:p>
    <w:p w:rsidR="00DF234F" w:rsidRPr="00DF234F" w:rsidRDefault="00DF234F" w:rsidP="00DF234F">
      <w:pPr>
        <w:pStyle w:val="toc0"/>
        <w:ind w:right="992"/>
        <w:rPr>
          <w:noProof/>
          <w:lang w:val="en-US"/>
        </w:rPr>
      </w:pPr>
      <w:bookmarkStart w:id="7" w:name="_Toc414354347"/>
      <w:r>
        <w:rPr>
          <w:lang w:val="en-US"/>
        </w:rPr>
        <w:tab/>
        <w:t>Page</w:t>
      </w:r>
    </w:p>
    <w:bookmarkEnd w:id="7"/>
    <w:p w:rsidR="006C5CDB" w:rsidRPr="006C5CDB" w:rsidRDefault="006C5CDB" w:rsidP="006C5CDB">
      <w:pPr>
        <w:pStyle w:val="TOC1"/>
        <w:rPr>
          <w:rFonts w:asciiTheme="minorHAnsi" w:eastAsiaTheme="minorEastAsia" w:hAnsiTheme="minorHAnsi" w:cstheme="minorBidi"/>
          <w:noProof/>
          <w:sz w:val="22"/>
          <w:szCs w:val="22"/>
          <w:lang w:eastAsia="zh-CN"/>
        </w:rPr>
      </w:pPr>
      <w:r w:rsidRPr="006C5CDB">
        <w:rPr>
          <w:rStyle w:val="Hyperlink"/>
          <w:noProof/>
          <w:color w:val="auto"/>
          <w:u w:val="none"/>
        </w:rPr>
        <w:t>1</w:t>
      </w:r>
      <w:r w:rsidRPr="006C5CDB">
        <w:rPr>
          <w:rFonts w:asciiTheme="minorHAnsi" w:eastAsiaTheme="minorEastAsia" w:hAnsiTheme="minorHAnsi" w:cstheme="minorBidi"/>
          <w:noProof/>
          <w:sz w:val="22"/>
          <w:szCs w:val="22"/>
          <w:lang w:eastAsia="zh-CN"/>
        </w:rPr>
        <w:tab/>
      </w:r>
      <w:r w:rsidRPr="006C5CDB">
        <w:rPr>
          <w:rStyle w:val="Hyperlink"/>
          <w:noProof/>
          <w:color w:val="auto"/>
          <w:u w:val="none"/>
        </w:rPr>
        <w:t>Introduction</w:t>
      </w:r>
      <w:r w:rsidRPr="006C5CDB">
        <w:rPr>
          <w:noProof/>
          <w:webHidden/>
        </w:rPr>
        <w:tab/>
      </w:r>
      <w:r w:rsidRPr="006C5CDB">
        <w:rPr>
          <w:noProof/>
          <w:webHidden/>
        </w:rPr>
        <w:tab/>
        <w:t>2</w:t>
      </w:r>
    </w:p>
    <w:p w:rsidR="006C5CDB" w:rsidRPr="006C5CDB" w:rsidRDefault="006C5CDB" w:rsidP="006C5CDB">
      <w:pPr>
        <w:pStyle w:val="TOC1"/>
        <w:rPr>
          <w:rFonts w:asciiTheme="minorHAnsi" w:eastAsiaTheme="minorEastAsia" w:hAnsiTheme="minorHAnsi" w:cstheme="minorBidi"/>
          <w:noProof/>
          <w:sz w:val="22"/>
          <w:szCs w:val="22"/>
          <w:lang w:eastAsia="zh-CN"/>
        </w:rPr>
      </w:pPr>
      <w:r w:rsidRPr="006C5CDB">
        <w:rPr>
          <w:rStyle w:val="Hyperlink"/>
          <w:noProof/>
          <w:color w:val="auto"/>
          <w:u w:val="none"/>
        </w:rPr>
        <w:t>2</w:t>
      </w:r>
      <w:r w:rsidRPr="006C5CDB">
        <w:rPr>
          <w:rFonts w:asciiTheme="minorHAnsi" w:eastAsiaTheme="minorEastAsia" w:hAnsiTheme="minorHAnsi" w:cstheme="minorBidi"/>
          <w:noProof/>
          <w:sz w:val="22"/>
          <w:szCs w:val="22"/>
          <w:lang w:eastAsia="zh-CN"/>
        </w:rPr>
        <w:tab/>
      </w:r>
      <w:r w:rsidRPr="006C5CDB">
        <w:rPr>
          <w:rStyle w:val="Hyperlink"/>
          <w:noProof/>
          <w:color w:val="auto"/>
          <w:u w:val="none"/>
        </w:rPr>
        <w:t>Technical Guidelines</w:t>
      </w:r>
      <w:r w:rsidRPr="006C5CDB">
        <w:rPr>
          <w:noProof/>
          <w:webHidden/>
        </w:rPr>
        <w:tab/>
      </w:r>
      <w:r w:rsidRPr="006C5CDB">
        <w:rPr>
          <w:noProof/>
          <w:webHidden/>
        </w:rPr>
        <w:tab/>
        <w:t>2</w:t>
      </w:r>
    </w:p>
    <w:p w:rsidR="006C5CDB" w:rsidRPr="006C5CDB" w:rsidRDefault="006C5CDB" w:rsidP="006C5CDB">
      <w:pPr>
        <w:pStyle w:val="TOC1"/>
        <w:rPr>
          <w:noProof/>
          <w:webHidden/>
        </w:rPr>
      </w:pPr>
      <w:r w:rsidRPr="006C5CDB">
        <w:rPr>
          <w:rStyle w:val="Hyperlink"/>
          <w:noProof/>
          <w:color w:val="auto"/>
          <w:u w:val="none"/>
        </w:rPr>
        <w:t>3</w:t>
      </w:r>
      <w:r w:rsidRPr="006C5CDB">
        <w:rPr>
          <w:rFonts w:eastAsiaTheme="minorEastAsia"/>
          <w:noProof/>
          <w:sz w:val="22"/>
          <w:szCs w:val="22"/>
          <w:lang w:eastAsia="zh-CN"/>
        </w:rPr>
        <w:tab/>
      </w:r>
      <w:r w:rsidRPr="006C5CDB">
        <w:rPr>
          <w:rFonts w:eastAsiaTheme="minorEastAsia"/>
          <w:noProof/>
          <w:szCs w:val="24"/>
          <w:lang w:eastAsia="zh-CN"/>
        </w:rPr>
        <w:t>Operational Guidelines</w:t>
      </w:r>
      <w:r w:rsidRPr="006C5CDB">
        <w:rPr>
          <w:noProof/>
          <w:webHidden/>
        </w:rPr>
        <w:tab/>
      </w:r>
      <w:r w:rsidRPr="006C5CDB">
        <w:rPr>
          <w:noProof/>
          <w:webHidden/>
        </w:rPr>
        <w:tab/>
        <w:t>3</w:t>
      </w:r>
    </w:p>
    <w:p w:rsidR="006C5CDB" w:rsidRPr="006C5CDB" w:rsidRDefault="006C5CDB" w:rsidP="006C5CDB">
      <w:pPr>
        <w:pStyle w:val="TOC1"/>
        <w:rPr>
          <w:rStyle w:val="Hyperlink"/>
          <w:noProof/>
          <w:color w:val="auto"/>
          <w:u w:val="none"/>
        </w:rPr>
      </w:pPr>
      <w:r w:rsidRPr="006C5CDB">
        <w:rPr>
          <w:rStyle w:val="Hyperlink"/>
          <w:noProof/>
          <w:color w:val="auto"/>
          <w:u w:val="none"/>
        </w:rPr>
        <w:t>4</w:t>
      </w:r>
      <w:r w:rsidRPr="006C5CDB">
        <w:rPr>
          <w:rStyle w:val="Hyperlink"/>
          <w:noProof/>
          <w:color w:val="auto"/>
          <w:u w:val="none"/>
        </w:rPr>
        <w:tab/>
        <w:t>Conclusions………………………………………………………………….</w:t>
      </w:r>
      <w:r w:rsidRPr="006C5CDB">
        <w:rPr>
          <w:rStyle w:val="Hyperlink"/>
          <w:noProof/>
          <w:color w:val="auto"/>
          <w:u w:val="none"/>
        </w:rPr>
        <w:tab/>
      </w:r>
      <w:r w:rsidRPr="006C5CDB">
        <w:rPr>
          <w:rStyle w:val="Hyperlink"/>
          <w:noProof/>
          <w:color w:val="auto"/>
          <w:u w:val="none"/>
        </w:rPr>
        <w:tab/>
        <w:t>3</w:t>
      </w:r>
    </w:p>
    <w:p w:rsidR="006C5CDB" w:rsidRPr="006C5CDB" w:rsidRDefault="006C5CDB" w:rsidP="006C5CDB">
      <w:pPr>
        <w:pStyle w:val="TOC1"/>
        <w:ind w:left="0" w:firstLine="0"/>
        <w:rPr>
          <w:rStyle w:val="Hyperlink"/>
          <w:noProof/>
          <w:color w:val="auto"/>
          <w:u w:val="none"/>
        </w:rPr>
      </w:pPr>
      <w:r w:rsidRPr="006C5CDB">
        <w:rPr>
          <w:rStyle w:val="Hyperlink"/>
          <w:noProof/>
          <w:color w:val="auto"/>
          <w:u w:val="none"/>
        </w:rPr>
        <w:t xml:space="preserve">Annex 1: </w:t>
      </w:r>
      <w:r w:rsidRPr="006C5CDB">
        <w:t>Off-axis e.i.r.p. density levels for earth station on mobile platforms</w:t>
      </w:r>
      <w:r w:rsidRPr="006C5CDB">
        <w:rPr>
          <w:lang w:eastAsia="zh-CN"/>
        </w:rPr>
        <w:t xml:space="preserve"> </w:t>
      </w:r>
      <w:r w:rsidRPr="006C5CDB">
        <w:rPr>
          <w:lang w:eastAsia="zh-CN"/>
        </w:rPr>
        <w:br/>
        <w:t>communicating with geostationary space stations in the fixed-satellite service</w:t>
      </w:r>
      <w:r w:rsidRPr="006C5CDB">
        <w:t xml:space="preserve"> </w:t>
      </w:r>
      <w:r w:rsidRPr="006C5CDB">
        <w:br/>
        <w:t>operating in the frequency band 29.5-30.0 GHz</w:t>
      </w:r>
      <w:r w:rsidRPr="006C5CDB">
        <w:rPr>
          <w:rStyle w:val="Hyperlink"/>
          <w:noProof/>
          <w:color w:val="auto"/>
          <w:u w:val="none"/>
        </w:rPr>
        <w:t xml:space="preserve"> </w:t>
      </w:r>
      <w:r w:rsidRPr="006C5CDB">
        <w:rPr>
          <w:rStyle w:val="Hyperlink"/>
          <w:noProof/>
          <w:color w:val="auto"/>
          <w:u w:val="none"/>
        </w:rPr>
        <w:tab/>
      </w:r>
      <w:r w:rsidRPr="006C5CDB">
        <w:rPr>
          <w:rStyle w:val="Hyperlink"/>
          <w:noProof/>
          <w:color w:val="auto"/>
          <w:u w:val="none"/>
        </w:rPr>
        <w:tab/>
        <w:t>4</w:t>
      </w:r>
    </w:p>
    <w:p w:rsidR="006C5CDB" w:rsidRPr="006C5CDB" w:rsidRDefault="006C5CDB" w:rsidP="006C5CDB">
      <w:pPr>
        <w:pStyle w:val="TOC1"/>
        <w:ind w:left="0" w:firstLine="0"/>
        <w:rPr>
          <w:rStyle w:val="Hyperlink"/>
          <w:noProof/>
          <w:color w:val="auto"/>
          <w:u w:val="none"/>
        </w:rPr>
      </w:pPr>
      <w:r w:rsidRPr="006C5CDB">
        <w:rPr>
          <w:rStyle w:val="Hyperlink"/>
          <w:noProof/>
          <w:color w:val="auto"/>
          <w:u w:val="none"/>
        </w:rPr>
        <w:t xml:space="preserve">Annex 2: </w:t>
      </w:r>
      <w:r w:rsidRPr="006C5CDB">
        <w:t xml:space="preserve">Satellite tracking and pointing techniques of earth stations on mobile </w:t>
      </w:r>
      <w:r w:rsidRPr="006C5CDB">
        <w:br/>
        <w:t xml:space="preserve">platforms </w:t>
      </w:r>
      <w:r w:rsidRPr="006C5CDB">
        <w:rPr>
          <w:lang w:eastAsia="zh-CN"/>
        </w:rPr>
        <w:t xml:space="preserve">communicating with geostationary space stations in the </w:t>
      </w:r>
      <w:r w:rsidRPr="006C5CDB">
        <w:rPr>
          <w:lang w:eastAsia="zh-CN"/>
        </w:rPr>
        <w:br/>
        <w:t>fixed-satellite service</w:t>
      </w:r>
      <w:r w:rsidRPr="006C5CDB">
        <w:t xml:space="preserve"> operating in the frequency band 29.5-30.0 GHz</w:t>
      </w:r>
      <w:r w:rsidRPr="006C5CDB">
        <w:rPr>
          <w:rStyle w:val="Hyperlink"/>
          <w:noProof/>
          <w:color w:val="auto"/>
          <w:u w:val="none"/>
        </w:rPr>
        <w:tab/>
      </w:r>
      <w:r w:rsidRPr="006C5CDB">
        <w:rPr>
          <w:rStyle w:val="Hyperlink"/>
          <w:noProof/>
          <w:color w:val="auto"/>
          <w:u w:val="none"/>
        </w:rPr>
        <w:tab/>
        <w:t>8</w:t>
      </w:r>
    </w:p>
    <w:p w:rsidR="006C5CDB" w:rsidRPr="006C5CDB" w:rsidRDefault="006C5CDB" w:rsidP="006C5CDB">
      <w:pPr>
        <w:overflowPunct/>
        <w:autoSpaceDE/>
        <w:autoSpaceDN/>
        <w:adjustRightInd/>
        <w:spacing w:before="0"/>
        <w:textAlignment w:val="auto"/>
        <w:rPr>
          <w:rStyle w:val="Hyperlink"/>
          <w:noProof/>
          <w:color w:val="auto"/>
          <w:lang w:val="en-US"/>
        </w:rPr>
      </w:pPr>
      <w:r w:rsidRPr="006C5CDB">
        <w:rPr>
          <w:rStyle w:val="Hyperlink"/>
          <w:noProof/>
          <w:color w:val="auto"/>
          <w:lang w:val="en-US"/>
        </w:rPr>
        <w:br w:type="page"/>
      </w:r>
    </w:p>
    <w:p w:rsidR="006C5CDB" w:rsidRPr="006C5CDB" w:rsidRDefault="006C5CDB" w:rsidP="006C5CDB">
      <w:pPr>
        <w:pStyle w:val="Heading1"/>
        <w:spacing w:before="360"/>
        <w:rPr>
          <w:i/>
          <w:lang w:val="en-US"/>
        </w:rPr>
      </w:pPr>
      <w:r w:rsidRPr="006C5CDB">
        <w:rPr>
          <w:lang w:val="en-US"/>
        </w:rPr>
        <w:lastRenderedPageBreak/>
        <w:t>1</w:t>
      </w:r>
      <w:r w:rsidRPr="006C5CDB">
        <w:rPr>
          <w:lang w:val="en-US"/>
        </w:rPr>
        <w:tab/>
        <w:t>Introduction</w:t>
      </w:r>
    </w:p>
    <w:p w:rsidR="006C5CDB" w:rsidRPr="006C5CDB" w:rsidRDefault="006C5CDB" w:rsidP="006C5CDB">
      <w:pPr>
        <w:rPr>
          <w:lang w:val="en-US"/>
        </w:rPr>
      </w:pPr>
      <w:r w:rsidRPr="006C5CDB">
        <w:rPr>
          <w:lang w:val="en-US"/>
        </w:rPr>
        <w:t>There is an increasing need for broadband communications.</w:t>
      </w:r>
      <w:r w:rsidR="00CE2594">
        <w:rPr>
          <w:lang w:val="en-US"/>
        </w:rPr>
        <w:t xml:space="preserve"> </w:t>
      </w:r>
      <w:r w:rsidRPr="006C5CDB">
        <w:rPr>
          <w:lang w:val="en-US"/>
        </w:rPr>
        <w:t xml:space="preserve">This need is </w:t>
      </w:r>
      <w:r w:rsidRPr="00786FCF">
        <w:rPr>
          <w:lang w:val="en-US"/>
        </w:rPr>
        <w:t>not location specific and includes requirements on vessels</w:t>
      </w:r>
      <w:r>
        <w:rPr>
          <w:lang w:val="en-US"/>
        </w:rPr>
        <w:t>, aircraft</w:t>
      </w:r>
      <w:r w:rsidRPr="00786FCF">
        <w:rPr>
          <w:lang w:val="en-US"/>
        </w:rPr>
        <w:t xml:space="preserve"> and </w:t>
      </w:r>
      <w:r>
        <w:rPr>
          <w:lang w:val="en-US"/>
        </w:rPr>
        <w:t xml:space="preserve">land </w:t>
      </w:r>
      <w:r w:rsidRPr="00786FCF">
        <w:rPr>
          <w:lang w:val="en-US"/>
        </w:rPr>
        <w:t>vehicles that operate at fixed locations and while in motion</w:t>
      </w:r>
      <w:r>
        <w:rPr>
          <w:lang w:val="en-US"/>
        </w:rPr>
        <w:t>, often in very remote parts of the globe</w:t>
      </w:r>
      <w:r w:rsidRPr="00786FCF">
        <w:rPr>
          <w:lang w:val="en-US"/>
        </w:rPr>
        <w:t xml:space="preserve">. </w:t>
      </w:r>
      <w:r>
        <w:rPr>
          <w:lang w:val="en-US"/>
        </w:rPr>
        <w:t>Earth</w:t>
      </w:r>
      <w:r w:rsidRPr="006C5CDB">
        <w:rPr>
          <w:lang w:val="en-US"/>
        </w:rPr>
        <w:t xml:space="preserve"> stations on mobile platforms (ESOMPs) that communicate with geostationary (GSO) fixed-satellite service (FSS) networks can meet this need.</w:t>
      </w:r>
      <w:r w:rsidR="00CE2594">
        <w:rPr>
          <w:lang w:val="en-US"/>
        </w:rPr>
        <w:t xml:space="preserve"> </w:t>
      </w:r>
      <w:r w:rsidRPr="006C5CDB">
        <w:rPr>
          <w:lang w:val="en-US"/>
        </w:rPr>
        <w:t>Satellites provide secure and essential communication services often when there are no other alternatives available. This Report provides technical and operational guidelines to administrations wishing to use ESOMPs communicating with GSO space stations in the FSS in the frequency bands 19.7-20.2 GHz and 29.5-30.0 GHz</w:t>
      </w:r>
      <w:r>
        <w:rPr>
          <w:rStyle w:val="FootnoteReference"/>
        </w:rPr>
        <w:footnoteReference w:id="1"/>
      </w:r>
      <w:r w:rsidRPr="006C5CDB">
        <w:rPr>
          <w:lang w:val="en-US"/>
        </w:rPr>
        <w:t>.</w:t>
      </w:r>
      <w:r w:rsidRPr="006C5CDB" w:rsidDel="006D366F">
        <w:rPr>
          <w:lang w:val="en-US"/>
        </w:rPr>
        <w:t xml:space="preserve"> </w:t>
      </w:r>
      <w:r w:rsidRPr="006C5CDB">
        <w:rPr>
          <w:lang w:val="en-US"/>
        </w:rPr>
        <w:t>The primary intention of this Report is to aid administrations that want to authorise ESOMPs by assisting in the prevention of unacceptable interference to other GSO FSS networks and systems of other services operating in the same frequency bands.</w:t>
      </w:r>
    </w:p>
    <w:p w:rsidR="006C5CDB" w:rsidRPr="006C5CDB" w:rsidRDefault="006C5CDB" w:rsidP="006C5CDB">
      <w:pPr>
        <w:rPr>
          <w:lang w:val="en-US"/>
        </w:rPr>
      </w:pPr>
      <w:r w:rsidRPr="006C5CDB">
        <w:rPr>
          <w:lang w:val="en-US"/>
        </w:rPr>
        <w:t>ESOMPs as considered in this Report are not intended to be used to provide safety-of-life services/applications.</w:t>
      </w:r>
    </w:p>
    <w:p w:rsidR="006C5CDB" w:rsidRPr="006C5CDB" w:rsidRDefault="006C5CDB" w:rsidP="006C5CDB">
      <w:pPr>
        <w:pStyle w:val="Heading1"/>
        <w:rPr>
          <w:lang w:val="en-US"/>
        </w:rPr>
      </w:pPr>
      <w:r w:rsidRPr="006C5CDB">
        <w:rPr>
          <w:lang w:val="en-US"/>
        </w:rPr>
        <w:t>2</w:t>
      </w:r>
      <w:r w:rsidRPr="006C5CDB">
        <w:rPr>
          <w:lang w:val="en-US"/>
        </w:rPr>
        <w:tab/>
        <w:t xml:space="preserve">Technical Guidelines </w:t>
      </w:r>
    </w:p>
    <w:p w:rsidR="006C5CDB" w:rsidRPr="006C5CDB" w:rsidRDefault="006C5CDB" w:rsidP="006C5CDB">
      <w:pPr>
        <w:rPr>
          <w:lang w:val="en-US"/>
        </w:rPr>
      </w:pPr>
      <w:r w:rsidRPr="006C5CDB">
        <w:rPr>
          <w:lang w:val="en-US"/>
        </w:rPr>
        <w:t>It is important to ensure that ESOMPs using this new technology are compatible with other GSO FSS networks and systems of other services operating in the frequency bands below.</w:t>
      </w:r>
    </w:p>
    <w:p w:rsidR="006C5CDB" w:rsidRPr="006C5CDB" w:rsidRDefault="006C5CDB" w:rsidP="006C5CDB">
      <w:pPr>
        <w:rPr>
          <w:lang w:val="en-US"/>
        </w:rPr>
      </w:pPr>
      <w:r w:rsidRPr="006C5CDB">
        <w:rPr>
          <w:lang w:val="en-US"/>
        </w:rPr>
        <w:t>The 29.5-30.0 GHz is the uplink band where the ESOMP transmits to the GSO FSS satellite.</w:t>
      </w:r>
      <w:r w:rsidR="00CE2594">
        <w:rPr>
          <w:lang w:val="en-US"/>
        </w:rPr>
        <w:t xml:space="preserve"> </w:t>
      </w:r>
      <w:r w:rsidRPr="006C5CDB">
        <w:rPr>
          <w:lang w:val="en-US"/>
        </w:rPr>
        <w:t>Since the GSO FSS network communicating with an ESOMP is likely to operate adjacent to GSO FSS networks communicating with earth stations at a fixed location, the ESOMP must employ multiple-axis stabilized directional antennas that allow for high pointing accuracy towards the wanted GSO FSS satellite and must ensure that the radiation towards adjacent satellites on the GSO is similar to that of FSS earth stations at fixed locations.</w:t>
      </w:r>
    </w:p>
    <w:p w:rsidR="006C5CDB" w:rsidRPr="006C5CDB" w:rsidRDefault="006C5CDB" w:rsidP="006C5CDB">
      <w:pPr>
        <w:rPr>
          <w:lang w:val="en-US"/>
        </w:rPr>
      </w:pPr>
      <w:r w:rsidRPr="006C5CDB">
        <w:rPr>
          <w:lang w:val="en-US" w:eastAsia="zh-CN"/>
        </w:rPr>
        <w:t xml:space="preserve">Annex 1 of this Report provides </w:t>
      </w:r>
      <w:r w:rsidRPr="006C5CDB">
        <w:rPr>
          <w:lang w:val="en-US"/>
        </w:rPr>
        <w:t>a set of off-axis e.i.r.p. density levels that an ESOMP operating in the frequency band 29.5-30.0 GHz should comply with.</w:t>
      </w:r>
      <w:r w:rsidR="00CE2594">
        <w:rPr>
          <w:lang w:val="en-US"/>
        </w:rPr>
        <w:t xml:space="preserve"> </w:t>
      </w:r>
      <w:r w:rsidRPr="006C5CDB">
        <w:rPr>
          <w:lang w:val="en-US"/>
        </w:rPr>
        <w:t>These emission levels are based on the relevant levels in Recommendation ITU-R S.524-9 that were derived using a statistical methodology and using parameters that may not be representative of all FSS networks operating in this frequency band.</w:t>
      </w:r>
      <w:r w:rsidR="00CE2594">
        <w:rPr>
          <w:lang w:val="en-US"/>
        </w:rPr>
        <w:t xml:space="preserve"> </w:t>
      </w:r>
      <w:r w:rsidRPr="006C5CDB">
        <w:rPr>
          <w:lang w:val="en-US"/>
        </w:rPr>
        <w:t>However, it is noted that other emission levels may be mutually agreed between satellite operators and administrations during network coordination in order to take into account the actual parameters of the respective networks and ensure compatibility.</w:t>
      </w:r>
    </w:p>
    <w:p w:rsidR="006C5CDB" w:rsidRPr="006C5CDB" w:rsidRDefault="006C5CDB" w:rsidP="006C5CDB">
      <w:pPr>
        <w:rPr>
          <w:lang w:val="en-US"/>
        </w:rPr>
      </w:pPr>
      <w:r w:rsidRPr="006C5CDB">
        <w:rPr>
          <w:lang w:val="en-US"/>
        </w:rPr>
        <w:t xml:space="preserve">Under RR No. </w:t>
      </w:r>
      <w:r w:rsidRPr="006C5CDB">
        <w:rPr>
          <w:b/>
          <w:lang w:val="en-US"/>
        </w:rPr>
        <w:t>5.542</w:t>
      </w:r>
      <w:r w:rsidRPr="006C5CDB">
        <w:rPr>
          <w:lang w:val="en-US"/>
        </w:rPr>
        <w:t xml:space="preserve"> there is an additional allocation to fixed and mobile services on a secondary basis in a number of countries.</w:t>
      </w:r>
      <w:r w:rsidR="00CE2594">
        <w:rPr>
          <w:lang w:val="en-US"/>
        </w:rPr>
        <w:t xml:space="preserve"> </w:t>
      </w:r>
      <w:r w:rsidRPr="006C5CDB">
        <w:rPr>
          <w:lang w:val="en-US"/>
        </w:rPr>
        <w:t>Therefore, in some geographical areas in Regions 1 and 3, there is a need to manage the potential interference from transmitting ESOMPs into terrestrial receivers operating under the additional secondary allocation in the frequency band 29.5-29.9 GHz.</w:t>
      </w:r>
      <w:r w:rsidR="00CE2594">
        <w:rPr>
          <w:lang w:val="en-US"/>
        </w:rPr>
        <w:t xml:space="preserve"> </w:t>
      </w:r>
      <w:r>
        <w:rPr>
          <w:rFonts w:eastAsiaTheme="minorHAnsi"/>
          <w:lang w:val="en-US"/>
        </w:rPr>
        <w:t>A</w:t>
      </w:r>
      <w:r w:rsidRPr="007F5615">
        <w:rPr>
          <w:rFonts w:eastAsiaTheme="minorHAnsi"/>
          <w:lang w:val="en-US"/>
        </w:rPr>
        <w:t xml:space="preserve">dministrations which notify </w:t>
      </w:r>
      <w:r>
        <w:rPr>
          <w:rFonts w:eastAsiaTheme="minorHAnsi"/>
          <w:lang w:val="en-US"/>
        </w:rPr>
        <w:t xml:space="preserve">GSO </w:t>
      </w:r>
      <w:r w:rsidRPr="007F5615">
        <w:rPr>
          <w:rFonts w:eastAsiaTheme="minorHAnsi"/>
          <w:lang w:val="en-US"/>
        </w:rPr>
        <w:t xml:space="preserve">networks </w:t>
      </w:r>
      <w:r>
        <w:rPr>
          <w:rFonts w:eastAsiaTheme="minorHAnsi"/>
          <w:lang w:val="en-US"/>
        </w:rPr>
        <w:t xml:space="preserve">intended to be </w:t>
      </w:r>
      <w:r w:rsidRPr="007F5615">
        <w:rPr>
          <w:rFonts w:eastAsiaTheme="minorHAnsi"/>
          <w:lang w:val="en-US"/>
        </w:rPr>
        <w:t xml:space="preserve">used by maritime </w:t>
      </w:r>
      <w:r>
        <w:rPr>
          <w:rFonts w:eastAsiaTheme="minorHAnsi"/>
          <w:lang w:val="en-US"/>
        </w:rPr>
        <w:t xml:space="preserve">and aeronautical </w:t>
      </w:r>
      <w:r w:rsidRPr="007F5615">
        <w:rPr>
          <w:rFonts w:eastAsiaTheme="minorHAnsi"/>
          <w:lang w:val="en-US"/>
        </w:rPr>
        <w:t>ESOMPs</w:t>
      </w:r>
      <w:r>
        <w:rPr>
          <w:rFonts w:eastAsiaTheme="minorHAnsi"/>
          <w:lang w:val="en-US"/>
        </w:rPr>
        <w:t xml:space="preserve"> in these frequency bands</w:t>
      </w:r>
      <w:r w:rsidRPr="007F5615">
        <w:rPr>
          <w:rFonts w:eastAsiaTheme="minorHAnsi"/>
          <w:lang w:val="en-US"/>
        </w:rPr>
        <w:t xml:space="preserve"> should ensure that such operations do not cause unacceptable interference to any terrestrial systems operating in the countries listed in </w:t>
      </w:r>
      <w:r>
        <w:rPr>
          <w:rFonts w:eastAsiaTheme="minorHAnsi"/>
          <w:lang w:val="en-US"/>
        </w:rPr>
        <w:t>RR </w:t>
      </w:r>
      <w:r w:rsidRPr="007F5615">
        <w:rPr>
          <w:rFonts w:eastAsiaTheme="minorHAnsi"/>
          <w:lang w:val="en-US"/>
        </w:rPr>
        <w:t>No.</w:t>
      </w:r>
      <w:r>
        <w:rPr>
          <w:rFonts w:eastAsiaTheme="minorHAnsi"/>
          <w:sz w:val="22"/>
          <w:szCs w:val="18"/>
          <w:lang w:val="en-US"/>
        </w:rPr>
        <w:t> </w:t>
      </w:r>
      <w:r w:rsidRPr="0084437C">
        <w:rPr>
          <w:rFonts w:eastAsiaTheme="minorHAnsi"/>
          <w:b/>
          <w:lang w:val="en-US"/>
        </w:rPr>
        <w:t>5.542</w:t>
      </w:r>
      <w:r w:rsidRPr="00147497">
        <w:rPr>
          <w:rFonts w:eastAsiaTheme="minorHAnsi"/>
          <w:lang w:val="en-US"/>
        </w:rPr>
        <w:t>.</w:t>
      </w:r>
      <w:r w:rsidR="00CE2594">
        <w:rPr>
          <w:lang w:val="en-US"/>
        </w:rPr>
        <w:t xml:space="preserve"> </w:t>
      </w:r>
      <w:r w:rsidRPr="006C5CDB">
        <w:rPr>
          <w:lang w:val="en-US"/>
        </w:rPr>
        <w:t>This may be accomplished through consultation between relevant administrations.</w:t>
      </w:r>
    </w:p>
    <w:p w:rsidR="006C5CDB" w:rsidRPr="006C5CDB" w:rsidRDefault="006C5CDB" w:rsidP="006C5CDB">
      <w:pPr>
        <w:rPr>
          <w:lang w:val="en-US"/>
        </w:rPr>
      </w:pPr>
      <w:r w:rsidRPr="006C5CDB">
        <w:rPr>
          <w:lang w:val="en-US"/>
        </w:rPr>
        <w:t>The 19.7-20.2 GHz frequency band is the downlink band where the ESOMP receives transmission from the GSO FSS satellite.</w:t>
      </w:r>
      <w:r w:rsidR="00CE2594">
        <w:rPr>
          <w:lang w:val="en-US"/>
        </w:rPr>
        <w:t xml:space="preserve"> </w:t>
      </w:r>
      <w:r w:rsidRPr="006C5CDB">
        <w:rPr>
          <w:lang w:val="en-US"/>
        </w:rPr>
        <w:t>In this case, the signal transmitted from the GSO FSS satellite would be in the service area and be consistent with the technical parameters submitted by the responsible Administration to the Radiocommunication Bureau.</w:t>
      </w:r>
      <w:r w:rsidR="00CE2594">
        <w:rPr>
          <w:lang w:val="en-US"/>
        </w:rPr>
        <w:t xml:space="preserve"> </w:t>
      </w:r>
      <w:r w:rsidRPr="006C5CDB">
        <w:rPr>
          <w:lang w:val="en-US"/>
        </w:rPr>
        <w:t xml:space="preserve">There would be no additional potential interference to other services that operate in this frequency band simply because the transmitted signal is being received by an earth station in motion, i.e. the reception by an ESOMP of a signal that is </w:t>
      </w:r>
      <w:r w:rsidRPr="006C5CDB">
        <w:rPr>
          <w:lang w:val="en-US"/>
        </w:rPr>
        <w:lastRenderedPageBreak/>
        <w:t>already being transmitted does not change the interference into other services.</w:t>
      </w:r>
      <w:r w:rsidR="00CE2594">
        <w:rPr>
          <w:lang w:val="en-US"/>
        </w:rPr>
        <w:t xml:space="preserve"> </w:t>
      </w:r>
      <w:r w:rsidRPr="006C5CDB">
        <w:rPr>
          <w:lang w:val="en-US"/>
        </w:rPr>
        <w:t xml:space="preserve">Under RR No. </w:t>
      </w:r>
      <w:r w:rsidRPr="006C5CDB">
        <w:rPr>
          <w:b/>
          <w:lang w:val="en-US"/>
        </w:rPr>
        <w:t>5.524</w:t>
      </w:r>
      <w:r w:rsidRPr="006C5CDB">
        <w:rPr>
          <w:lang w:val="en-US"/>
        </w:rPr>
        <w:t xml:space="preserve"> there is an additional allocation to the fixed and mobile service on a primary basis in a number of countries in the frequency band 19.7-21.2 GHz.</w:t>
      </w:r>
      <w:r w:rsidR="00CE2594">
        <w:rPr>
          <w:lang w:val="en-US"/>
        </w:rPr>
        <w:t xml:space="preserve"> </w:t>
      </w:r>
      <w:r w:rsidRPr="006C5CDB">
        <w:rPr>
          <w:lang w:val="en-US"/>
        </w:rPr>
        <w:t xml:space="preserve">As a consequence, receiving ESOMPs cannot claim protection from potential interference caused by terrestrial transmitters operating in accordance with RR No. </w:t>
      </w:r>
      <w:r w:rsidRPr="006C5CDB">
        <w:rPr>
          <w:b/>
          <w:lang w:val="en-US"/>
        </w:rPr>
        <w:t>5.524</w:t>
      </w:r>
      <w:r w:rsidRPr="006C5CDB">
        <w:rPr>
          <w:lang w:val="en-US"/>
        </w:rPr>
        <w:t>.</w:t>
      </w:r>
    </w:p>
    <w:p w:rsidR="006C5CDB" w:rsidRPr="006C5CDB" w:rsidRDefault="006C5CDB" w:rsidP="006C5CDB">
      <w:pPr>
        <w:pStyle w:val="Heading1"/>
        <w:rPr>
          <w:lang w:val="en-US"/>
        </w:rPr>
      </w:pPr>
      <w:r w:rsidRPr="006C5CDB">
        <w:rPr>
          <w:lang w:val="en-US"/>
        </w:rPr>
        <w:t>3</w:t>
      </w:r>
      <w:r w:rsidRPr="006C5CDB">
        <w:rPr>
          <w:lang w:val="en-US"/>
        </w:rPr>
        <w:tab/>
        <w:t>Operational Guidelines</w:t>
      </w:r>
    </w:p>
    <w:p w:rsidR="006C5CDB" w:rsidRPr="006C5CDB" w:rsidRDefault="006C5CDB" w:rsidP="006C5CDB">
      <w:pPr>
        <w:rPr>
          <w:lang w:val="en-US"/>
        </w:rPr>
      </w:pPr>
      <w:r w:rsidRPr="00297143">
        <w:rPr>
          <w:lang w:val="en-US"/>
        </w:rPr>
        <w:t>Satellite t</w:t>
      </w:r>
      <w:r>
        <w:rPr>
          <w:lang w:val="en-US"/>
        </w:rPr>
        <w:t>racking and pointing accuracy by</w:t>
      </w:r>
      <w:r w:rsidRPr="00297143">
        <w:rPr>
          <w:lang w:val="en-US"/>
        </w:rPr>
        <w:t xml:space="preserve"> </w:t>
      </w:r>
      <w:r>
        <w:rPr>
          <w:lang w:val="en-US"/>
        </w:rPr>
        <w:t xml:space="preserve">ESOMPs are essential requirements for the proper operation of ESOMPs </w:t>
      </w:r>
      <w:r w:rsidRPr="00297143">
        <w:rPr>
          <w:lang w:val="en-US"/>
        </w:rPr>
        <w:t>in order to avoid unacceptable interference to adjacent satellites.</w:t>
      </w:r>
      <w:r w:rsidR="00CE2594">
        <w:rPr>
          <w:lang w:val="en-US"/>
        </w:rPr>
        <w:t xml:space="preserve"> </w:t>
      </w:r>
      <w:r w:rsidRPr="006C5CDB">
        <w:rPr>
          <w:lang w:val="en-US"/>
        </w:rPr>
        <w:t>ESOMPs employ relatively high gain directional antennas with multiple-axis stabilization that allows the signal quality of the link between the earth station antenna and the wanted GSO FSS satellite (and vice-versa) to be appropriate to close the link.</w:t>
      </w:r>
      <w:r w:rsidR="00CE2594">
        <w:rPr>
          <w:lang w:val="en-US"/>
        </w:rPr>
        <w:t xml:space="preserve"> </w:t>
      </w:r>
      <w:r w:rsidRPr="006C5CDB">
        <w:rPr>
          <w:lang w:val="en-US"/>
        </w:rPr>
        <w:t>To maintain the signal quality and to allow sharing with adjacent satellites it is necessary for these earth stations to maintain high pointing accuracy towards the wanted GSO FSS satellite.</w:t>
      </w:r>
      <w:r w:rsidR="00CE2594">
        <w:rPr>
          <w:lang w:val="en-US"/>
        </w:rPr>
        <w:t xml:space="preserve"> </w:t>
      </w:r>
      <w:r w:rsidRPr="006C5CDB">
        <w:rPr>
          <w:lang w:val="en-US"/>
        </w:rPr>
        <w:t>Annex 2 describes algorithms that may be employed by earth stations that operate in motion for tracking of the wanted satellite as well as pointing techniques that reduce the possibility of capturing and tracking an adjacent unwanted satellite.</w:t>
      </w:r>
    </w:p>
    <w:p w:rsidR="006C5CDB" w:rsidRPr="006C5CDB" w:rsidRDefault="006C5CDB" w:rsidP="006C5CDB">
      <w:pPr>
        <w:rPr>
          <w:lang w:val="en-US" w:eastAsia="zh-CN"/>
        </w:rPr>
      </w:pPr>
      <w:r w:rsidRPr="006C5CDB">
        <w:rPr>
          <w:iCs/>
          <w:lang w:val="en-US" w:eastAsia="zh-CN"/>
        </w:rPr>
        <w:t xml:space="preserve">In addition to these capabilities, ESOMPs </w:t>
      </w:r>
      <w:r w:rsidRPr="006C5CDB">
        <w:rPr>
          <w:lang w:val="en-US"/>
        </w:rPr>
        <w:t>should be subject to permanent monitoring and control by a Network Control and Monitoring Center (NCMC) or equivalent facility.</w:t>
      </w:r>
      <w:r w:rsidR="00CE2594">
        <w:rPr>
          <w:lang w:val="en-US"/>
        </w:rPr>
        <w:t xml:space="preserve"> </w:t>
      </w:r>
      <w:r w:rsidRPr="006C5CDB">
        <w:rPr>
          <w:lang w:val="en-US"/>
        </w:rPr>
        <w:t>It should be possible for the NCMC to monitor the operation of an ESOMP to determine if it is malfunctioning.</w:t>
      </w:r>
      <w:r w:rsidR="00CE2594">
        <w:rPr>
          <w:lang w:val="en-US"/>
        </w:rPr>
        <w:t xml:space="preserve"> </w:t>
      </w:r>
      <w:r w:rsidRPr="006C5CDB">
        <w:rPr>
          <w:lang w:val="en-US"/>
        </w:rPr>
        <w:t>The ESOMP terminal should be capable of receiving and acting upon at least an “enable transmission” and “disable transmission” command from the NCMC. O</w:t>
      </w:r>
      <w:r w:rsidRPr="006C5CDB">
        <w:rPr>
          <w:iCs/>
          <w:lang w:val="en-US" w:eastAsia="zh-CN"/>
        </w:rPr>
        <w:t xml:space="preserve">perators of </w:t>
      </w:r>
      <w:r w:rsidRPr="006C5CDB">
        <w:rPr>
          <w:lang w:val="en-US"/>
        </w:rPr>
        <w:t>ESOMPs</w:t>
      </w:r>
      <w:r w:rsidRPr="006C5CDB" w:rsidDel="00E62CC0">
        <w:rPr>
          <w:lang w:val="en-US" w:eastAsia="zh-CN"/>
        </w:rPr>
        <w:t xml:space="preserve"> </w:t>
      </w:r>
      <w:r w:rsidRPr="006C5CDB">
        <w:rPr>
          <w:lang w:val="en-US" w:eastAsia="zh-CN"/>
        </w:rPr>
        <w:t>terminals should have the ability to immediately reduce or cease transmission if the terminal’s antenna mis-pointing would result in exceeding the levels referred to in Annex 1.</w:t>
      </w:r>
      <w:r w:rsidR="00CE2594">
        <w:rPr>
          <w:lang w:val="en-US" w:eastAsia="zh-CN"/>
        </w:rPr>
        <w:t xml:space="preserve"> </w:t>
      </w:r>
    </w:p>
    <w:p w:rsidR="006C5CDB" w:rsidRPr="006C5CDB" w:rsidRDefault="006C5CDB" w:rsidP="006C5CDB">
      <w:pPr>
        <w:pStyle w:val="Heading1"/>
        <w:rPr>
          <w:lang w:val="en-US" w:eastAsia="zh-CN"/>
        </w:rPr>
      </w:pPr>
      <w:r w:rsidRPr="006C5CDB">
        <w:rPr>
          <w:lang w:val="en-US" w:eastAsia="zh-CN"/>
        </w:rPr>
        <w:t>4</w:t>
      </w:r>
      <w:r w:rsidRPr="006C5CDB">
        <w:rPr>
          <w:lang w:val="en-US" w:eastAsia="zh-CN"/>
        </w:rPr>
        <w:tab/>
        <w:t>Conclusions</w:t>
      </w:r>
    </w:p>
    <w:p w:rsidR="006C5CDB" w:rsidRPr="006C5CDB" w:rsidRDefault="006C5CDB" w:rsidP="006C5CDB">
      <w:pPr>
        <w:rPr>
          <w:lang w:val="en-US" w:eastAsia="zh-CN"/>
        </w:rPr>
      </w:pPr>
      <w:r w:rsidRPr="006C5CDB">
        <w:rPr>
          <w:lang w:val="en-US"/>
        </w:rPr>
        <w:t xml:space="preserve">Administrations that wish to authorize the operation of ESOMPs should </w:t>
      </w:r>
      <w:r w:rsidRPr="007F5615">
        <w:rPr>
          <w:rFonts w:eastAsiaTheme="minorHAnsi"/>
          <w:lang w:val="en-US"/>
        </w:rPr>
        <w:t>take into account the guidelines provided in this Re</w:t>
      </w:r>
      <w:r>
        <w:rPr>
          <w:rFonts w:eastAsiaTheme="minorHAnsi"/>
          <w:lang w:val="en-US"/>
        </w:rPr>
        <w:t xml:space="preserve">port and </w:t>
      </w:r>
      <w:r w:rsidRPr="007F5615">
        <w:rPr>
          <w:rFonts w:eastAsiaTheme="minorHAnsi"/>
          <w:lang w:val="en-US"/>
        </w:rPr>
        <w:t xml:space="preserve">ensure the protection of all </w:t>
      </w:r>
      <w:r>
        <w:rPr>
          <w:rFonts w:eastAsiaTheme="minorHAnsi"/>
          <w:lang w:val="en-US"/>
        </w:rPr>
        <w:t xml:space="preserve">networks and systems of other </w:t>
      </w:r>
      <w:r w:rsidRPr="007F5615">
        <w:rPr>
          <w:rFonts w:eastAsiaTheme="minorHAnsi"/>
          <w:lang w:val="en-US"/>
        </w:rPr>
        <w:t xml:space="preserve">services operating in these </w:t>
      </w:r>
      <w:r w:rsidRPr="006C5CDB">
        <w:rPr>
          <w:lang w:val="en-US"/>
        </w:rPr>
        <w:t xml:space="preserve">frequency </w:t>
      </w:r>
      <w:r w:rsidRPr="007F5615">
        <w:rPr>
          <w:rFonts w:eastAsiaTheme="minorHAnsi"/>
          <w:lang w:val="en-US"/>
        </w:rPr>
        <w:t xml:space="preserve">bands in accordance with the </w:t>
      </w:r>
      <w:r>
        <w:rPr>
          <w:rFonts w:eastAsiaTheme="minorHAnsi"/>
          <w:lang w:val="en-US"/>
        </w:rPr>
        <w:t xml:space="preserve">relevant provisions of the </w:t>
      </w:r>
      <w:r w:rsidRPr="007F5615">
        <w:rPr>
          <w:rFonts w:eastAsiaTheme="minorHAnsi"/>
          <w:lang w:val="en-US"/>
        </w:rPr>
        <w:t>Radio Regulations</w:t>
      </w:r>
      <w:r>
        <w:rPr>
          <w:rFonts w:eastAsiaTheme="minorHAnsi"/>
          <w:lang w:val="en-US"/>
        </w:rPr>
        <w:t>.</w:t>
      </w:r>
      <w:r w:rsidR="00CE2594">
        <w:rPr>
          <w:rFonts w:eastAsiaTheme="minorHAnsi"/>
          <w:lang w:val="en-US"/>
        </w:rPr>
        <w:t xml:space="preserve"> </w:t>
      </w:r>
      <w:r w:rsidRPr="006C5CDB">
        <w:rPr>
          <w:lang w:val="en-US"/>
        </w:rPr>
        <w:t>The notifying administration for the satellite network should require ESOMP operators to provide a point of contact for the purpose of tracing any suspected cases of interference from ESOMPs.</w:t>
      </w:r>
      <w:r w:rsidR="00CE2594">
        <w:rPr>
          <w:lang w:val="en-US"/>
        </w:rPr>
        <w:t xml:space="preserve"> </w:t>
      </w:r>
      <w:r w:rsidRPr="006C5CDB">
        <w:rPr>
          <w:lang w:val="en-US"/>
        </w:rPr>
        <w:t>Neither the guidelines provided in this Report</w:t>
      </w:r>
      <w:r w:rsidRPr="005F03EA">
        <w:rPr>
          <w:rFonts w:eastAsiaTheme="minorHAnsi"/>
          <w:lang w:val="en-US"/>
        </w:rPr>
        <w:t xml:space="preserve"> nor the operation of ESOMPs </w:t>
      </w:r>
      <w:r w:rsidRPr="006C5CDB">
        <w:rPr>
          <w:lang w:val="en-US"/>
        </w:rPr>
        <w:t>communicating with FSS GSO space stations operating in the frequency bands 19.7-20.2 GHz and 29.5-30.0 GHz create or address any</w:t>
      </w:r>
      <w:r w:rsidRPr="006C5CDB">
        <w:rPr>
          <w:lang w:val="en-US" w:eastAsia="zh-CN"/>
        </w:rPr>
        <w:t xml:space="preserve"> regulatory status for ESOMPs under the Radio Regulations.</w:t>
      </w:r>
      <w:r w:rsidR="00CE2594">
        <w:rPr>
          <w:lang w:val="en-US" w:eastAsia="zh-CN"/>
        </w:rPr>
        <w:t xml:space="preserve"> </w:t>
      </w:r>
    </w:p>
    <w:p w:rsidR="006C5CDB" w:rsidRPr="006C5CDB" w:rsidRDefault="006C5CDB" w:rsidP="006C5CDB">
      <w:pPr>
        <w:rPr>
          <w:lang w:val="en-US" w:eastAsia="zh-CN"/>
        </w:rPr>
      </w:pPr>
      <w:r w:rsidRPr="006C5CDB">
        <w:rPr>
          <w:lang w:val="en-US" w:eastAsia="zh-CN"/>
        </w:rPr>
        <w:br w:type="page"/>
      </w:r>
    </w:p>
    <w:p w:rsidR="006C5CDB" w:rsidRPr="00250E45" w:rsidRDefault="006C5CDB" w:rsidP="00250E45">
      <w:pPr>
        <w:pStyle w:val="AnnexNoTitle"/>
        <w:rPr>
          <w:lang w:val="en-US"/>
        </w:rPr>
      </w:pPr>
      <w:r w:rsidRPr="00250E45">
        <w:rPr>
          <w:lang w:val="en-US"/>
        </w:rPr>
        <w:lastRenderedPageBreak/>
        <w:t>Annex 1</w:t>
      </w:r>
      <w:r w:rsidR="00250E45" w:rsidRPr="00250E45">
        <w:rPr>
          <w:lang w:val="en-US"/>
        </w:rPr>
        <w:br/>
      </w:r>
      <w:r w:rsidR="00250E45">
        <w:rPr>
          <w:lang w:val="en-US"/>
        </w:rPr>
        <w:br/>
      </w:r>
      <w:r w:rsidRPr="00250E45">
        <w:rPr>
          <w:lang w:val="en-US"/>
        </w:rPr>
        <w:t>Off-axis e.i.r.p. density levels for earth station on mobile platforms</w:t>
      </w:r>
      <w:r w:rsidRPr="00250E45">
        <w:rPr>
          <w:lang w:val="en-US" w:eastAsia="zh-CN"/>
        </w:rPr>
        <w:t xml:space="preserve"> communicating with geostationary space stations in the fixed-satellite </w:t>
      </w:r>
      <w:r w:rsidRPr="00250E45">
        <w:rPr>
          <w:lang w:val="en-US" w:eastAsia="zh-CN"/>
        </w:rPr>
        <w:br/>
        <w:t>service</w:t>
      </w:r>
      <w:r w:rsidRPr="00250E45">
        <w:rPr>
          <w:lang w:val="en-US"/>
        </w:rPr>
        <w:t xml:space="preserve"> operating in the frequency band 29.5-30.0 GHz</w:t>
      </w:r>
    </w:p>
    <w:p w:rsidR="006C5CDB" w:rsidRPr="006C5CDB" w:rsidRDefault="006C5CDB" w:rsidP="006C5CDB">
      <w:pPr>
        <w:rPr>
          <w:lang w:val="en-US"/>
        </w:rPr>
      </w:pPr>
      <w:r w:rsidRPr="006C5CDB">
        <w:rPr>
          <w:lang w:val="en-US"/>
        </w:rPr>
        <w:t>This Annex provides a set of off-axis e.i.r.p. levels that ESOMPs operating in the frequency band 29.5</w:t>
      </w:r>
      <w:r w:rsidRPr="006C5CDB">
        <w:rPr>
          <w:lang w:val="en-US"/>
        </w:rPr>
        <w:noBreakHyphen/>
        <w:t>30.0 GHz should comply with. However other levels may be mutually agreed between satellite operators and administrations during coordination in order to take into account the actual parameters of the respective networks and ensure compatibility.</w:t>
      </w:r>
    </w:p>
    <w:p w:rsidR="006C5CDB" w:rsidRPr="006C5CDB" w:rsidRDefault="006C5CDB" w:rsidP="006C5CDB">
      <w:pPr>
        <w:rPr>
          <w:color w:val="000000"/>
          <w:lang w:val="en-US" w:eastAsia="zh-CN"/>
        </w:rPr>
      </w:pPr>
      <w:r w:rsidRPr="006C5CDB">
        <w:rPr>
          <w:lang w:val="en-US"/>
        </w:rPr>
        <w:t>ESOMPs</w:t>
      </w:r>
      <w:r w:rsidRPr="006C5CDB" w:rsidDel="00E62CC0">
        <w:rPr>
          <w:lang w:val="en-US"/>
        </w:rPr>
        <w:t xml:space="preserve"> </w:t>
      </w:r>
      <w:r w:rsidRPr="006C5CDB">
        <w:rPr>
          <w:lang w:val="en-US" w:eastAsia="zh-CN"/>
        </w:rPr>
        <w:t>communicating with GSO space stations in the FSS</w:t>
      </w:r>
      <w:r w:rsidRPr="006C5CDB">
        <w:rPr>
          <w:color w:val="000000"/>
          <w:lang w:val="en-US" w:eastAsia="zh-CN"/>
        </w:rPr>
        <w:t xml:space="preserve"> transmitting in the </w:t>
      </w:r>
      <w:r w:rsidRPr="006C5CDB">
        <w:rPr>
          <w:lang w:val="en-US"/>
        </w:rPr>
        <w:t xml:space="preserve">frequency </w:t>
      </w:r>
      <w:r w:rsidRPr="006C5CDB">
        <w:rPr>
          <w:color w:val="000000"/>
          <w:lang w:val="en-US" w:eastAsia="zh-CN"/>
        </w:rPr>
        <w:t>band 29.5-30.0 GHz should be designed in such a manner that at any angle</w:t>
      </w:r>
      <w:r w:rsidRPr="004146E1">
        <w:rPr>
          <w:rStyle w:val="FootnoteReference"/>
        </w:rPr>
        <w:footnoteReference w:id="2"/>
      </w:r>
      <w:r w:rsidRPr="006C5CDB">
        <w:rPr>
          <w:color w:val="000000"/>
          <w:lang w:val="en-US" w:eastAsia="zh-CN"/>
        </w:rPr>
        <w:t xml:space="preserve">, </w:t>
      </w:r>
      <w:r w:rsidRPr="004146E1">
        <w:t>θ</w:t>
      </w:r>
      <w:r w:rsidRPr="006C5CDB">
        <w:rPr>
          <w:color w:val="000000"/>
          <w:lang w:val="en-US" w:eastAsia="zh-CN"/>
        </w:rPr>
        <w:t>, which is 2</w:t>
      </w:r>
      <w:r w:rsidRPr="004146E1">
        <w:rPr>
          <w:rFonts w:ascii="Symbol" w:hAnsi="Symbol" w:cs="Symbol"/>
          <w:color w:val="000000"/>
          <w:lang w:eastAsia="zh-CN"/>
        </w:rPr>
        <w:t></w:t>
      </w:r>
      <w:r w:rsidRPr="004146E1">
        <w:rPr>
          <w:rFonts w:ascii="Symbol" w:hAnsi="Symbol" w:cs="Symbol"/>
          <w:color w:val="000000"/>
          <w:lang w:eastAsia="zh-CN"/>
        </w:rPr>
        <w:t></w:t>
      </w:r>
      <w:r w:rsidRPr="006C5CDB">
        <w:rPr>
          <w:color w:val="000000"/>
          <w:lang w:val="en-US" w:eastAsia="zh-CN"/>
        </w:rPr>
        <w:t xml:space="preserve">or more </w:t>
      </w:r>
      <w:r w:rsidRPr="006C5CDB">
        <w:rPr>
          <w:color w:val="000000"/>
          <w:lang w:val="en-US"/>
        </w:rPr>
        <w:t>from the vector from the earth station antenna to the wanted satellite (see Figures 1a and 1b below for the reference geometry, compared with that of Recommendation ITU-R S.524-9)</w:t>
      </w:r>
      <w:r w:rsidRPr="006C5CDB">
        <w:rPr>
          <w:color w:val="000000"/>
          <w:lang w:val="en-US" w:eastAsia="zh-CN"/>
        </w:rPr>
        <w:t>, the e.i.r.p. density in any direction within 3</w:t>
      </w:r>
      <w:r w:rsidRPr="00B2130C">
        <w:rPr>
          <w:rFonts w:ascii="Symbol" w:hAnsi="Symbol" w:cs="Symbol"/>
          <w:color w:val="000000"/>
          <w:lang w:eastAsia="zh-CN"/>
        </w:rPr>
        <w:t></w:t>
      </w:r>
      <w:r w:rsidRPr="00B2130C">
        <w:rPr>
          <w:rFonts w:ascii="Symbol" w:hAnsi="Symbol" w:cs="Symbol"/>
          <w:color w:val="000000"/>
          <w:lang w:eastAsia="zh-CN"/>
        </w:rPr>
        <w:t></w:t>
      </w:r>
      <w:r w:rsidRPr="006C5CDB">
        <w:rPr>
          <w:color w:val="000000"/>
          <w:lang w:val="en-US" w:eastAsia="zh-CN"/>
        </w:rPr>
        <w:t>of the GSO, should not exceed the following values:</w:t>
      </w:r>
    </w:p>
    <w:p w:rsidR="006C5CDB" w:rsidRPr="006C5CDB" w:rsidRDefault="006C5CDB" w:rsidP="006C5CDB">
      <w:pPr>
        <w:rPr>
          <w:color w:val="000000"/>
          <w:lang w:val="en-US" w:eastAsia="zh-CN"/>
        </w:rPr>
      </w:pPr>
    </w:p>
    <w:tbl>
      <w:tblPr>
        <w:tblStyle w:val="TableGrid"/>
        <w:tblW w:w="0" w:type="auto"/>
        <w:jc w:val="center"/>
        <w:tblLook w:val="04A0" w:firstRow="1" w:lastRow="0" w:firstColumn="1" w:lastColumn="0" w:noHBand="0" w:noVBand="1"/>
      </w:tblPr>
      <w:tblGrid>
        <w:gridCol w:w="2464"/>
        <w:gridCol w:w="3260"/>
      </w:tblGrid>
      <w:tr w:rsidR="006C5CDB" w:rsidRPr="00F23979" w:rsidTr="00A54EA5">
        <w:trPr>
          <w:jc w:val="center"/>
        </w:trPr>
        <w:tc>
          <w:tcPr>
            <w:tcW w:w="2464" w:type="dxa"/>
          </w:tcPr>
          <w:p w:rsidR="006C5CDB" w:rsidRPr="00B2130C" w:rsidRDefault="006C5CDB" w:rsidP="00A54EA5">
            <w:pPr>
              <w:pStyle w:val="Tablehead"/>
              <w:rPr>
                <w:lang w:eastAsia="zh-CN"/>
              </w:rPr>
            </w:pPr>
            <w:r w:rsidRPr="00B2130C">
              <w:rPr>
                <w:lang w:eastAsia="zh-CN"/>
              </w:rPr>
              <w:t xml:space="preserve">Angle </w:t>
            </w:r>
            <w:r w:rsidRPr="00250E45">
              <w:rPr>
                <w:rFonts w:asciiTheme="majorBidi" w:hAnsiTheme="majorBidi" w:cstheme="majorBidi"/>
              </w:rPr>
              <w:t>θ</w:t>
            </w:r>
          </w:p>
        </w:tc>
        <w:tc>
          <w:tcPr>
            <w:tcW w:w="3260" w:type="dxa"/>
          </w:tcPr>
          <w:p w:rsidR="006C5CDB" w:rsidRPr="006C5CDB" w:rsidRDefault="006C5CDB" w:rsidP="00A54EA5">
            <w:pPr>
              <w:pStyle w:val="Tablehead"/>
              <w:rPr>
                <w:lang w:val="en-US" w:eastAsia="zh-CN"/>
              </w:rPr>
            </w:pPr>
            <w:r w:rsidRPr="006C5CDB">
              <w:rPr>
                <w:lang w:val="en-US" w:eastAsia="zh-CN"/>
              </w:rPr>
              <w:t>Maximum e.i.r.p. per 40 kHz</w:t>
            </w:r>
          </w:p>
        </w:tc>
      </w:tr>
      <w:tr w:rsidR="006C5CDB" w:rsidRPr="00F23979" w:rsidTr="00A54EA5">
        <w:trPr>
          <w:jc w:val="center"/>
        </w:trPr>
        <w:tc>
          <w:tcPr>
            <w:tcW w:w="2464" w:type="dxa"/>
          </w:tcPr>
          <w:p w:rsidR="006C5CDB" w:rsidRPr="00B2130C" w:rsidRDefault="006C5CDB" w:rsidP="00A54EA5">
            <w:pPr>
              <w:jc w:val="center"/>
              <w:rPr>
                <w:color w:val="000000"/>
                <w:sz w:val="20"/>
                <w:lang w:eastAsia="zh-CN"/>
              </w:rPr>
            </w:pPr>
            <w:r w:rsidRPr="00B2130C">
              <w:rPr>
                <w:color w:val="000000"/>
                <w:sz w:val="20"/>
                <w:lang w:eastAsia="zh-CN"/>
              </w:rPr>
              <w:t>2</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color w:val="000000"/>
                <w:sz w:val="20"/>
                <w:lang w:eastAsia="zh-CN"/>
              </w:rPr>
              <w:t>≤</w:t>
            </w:r>
            <w:r w:rsidRPr="00B2130C">
              <w:rPr>
                <w:rFonts w:ascii="Symbol" w:hAnsi="Symbol" w:cs="Symbol"/>
                <w:color w:val="000000"/>
                <w:sz w:val="20"/>
                <w:lang w:eastAsia="zh-CN"/>
              </w:rPr>
              <w:t></w:t>
            </w:r>
            <w:r w:rsidRPr="00B2130C">
              <w:rPr>
                <w:sz w:val="20"/>
              </w:rPr>
              <w:t xml:space="preserve"> θ</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color w:val="000000"/>
                <w:sz w:val="20"/>
                <w:lang w:eastAsia="zh-CN"/>
              </w:rPr>
              <w:t>≤</w:t>
            </w:r>
            <w:r w:rsidRPr="00B2130C">
              <w:rPr>
                <w:rFonts w:ascii="Symbol" w:hAnsi="Symbol" w:cs="Symbol"/>
                <w:color w:val="000000"/>
                <w:sz w:val="20"/>
                <w:lang w:eastAsia="zh-CN"/>
              </w:rPr>
              <w:t></w:t>
            </w:r>
            <w:r w:rsidRPr="00B2130C">
              <w:rPr>
                <w:color w:val="000000"/>
                <w:sz w:val="20"/>
                <w:lang w:eastAsia="zh-CN"/>
              </w:rPr>
              <w:t>7</w:t>
            </w:r>
            <w:r w:rsidRPr="00B2130C">
              <w:rPr>
                <w:rFonts w:ascii="Symbol" w:hAnsi="Symbol" w:cs="Symbol"/>
                <w:color w:val="000000"/>
                <w:sz w:val="20"/>
                <w:lang w:eastAsia="zh-CN"/>
              </w:rPr>
              <w:t></w:t>
            </w:r>
            <w:r w:rsidRPr="00B2130C">
              <w:rPr>
                <w:rFonts w:ascii="Symbol" w:hAnsi="Symbol" w:cs="Symbol"/>
                <w:color w:val="000000"/>
                <w:sz w:val="20"/>
                <w:lang w:eastAsia="zh-CN"/>
              </w:rPr>
              <w:t></w:t>
            </w:r>
          </w:p>
        </w:tc>
        <w:tc>
          <w:tcPr>
            <w:tcW w:w="3260" w:type="dxa"/>
          </w:tcPr>
          <w:p w:rsidR="006C5CDB" w:rsidRPr="008E3B23" w:rsidRDefault="006C5CDB" w:rsidP="00A54EA5">
            <w:pPr>
              <w:keepLines/>
              <w:tabs>
                <w:tab w:val="left" w:pos="567"/>
                <w:tab w:val="left" w:leader="dot" w:pos="7938"/>
                <w:tab w:val="center" w:pos="9526"/>
              </w:tabs>
              <w:ind w:left="567" w:hanging="567"/>
              <w:jc w:val="center"/>
              <w:rPr>
                <w:color w:val="000000"/>
                <w:sz w:val="20"/>
                <w:lang w:val="de-CH" w:eastAsia="zh-CN"/>
              </w:rPr>
            </w:pPr>
            <w:r w:rsidRPr="008E3B23">
              <w:rPr>
                <w:color w:val="000000"/>
                <w:sz w:val="20"/>
                <w:lang w:val="de-CH" w:eastAsia="zh-CN"/>
              </w:rPr>
              <w:t xml:space="preserve">(19 – 25 log </w:t>
            </w:r>
            <w:r w:rsidRPr="00B2130C">
              <w:rPr>
                <w:sz w:val="20"/>
              </w:rPr>
              <w:t>θ</w:t>
            </w:r>
            <w:r w:rsidRPr="008E3B23">
              <w:rPr>
                <w:color w:val="000000"/>
                <w:sz w:val="20"/>
                <w:lang w:val="de-CH" w:eastAsia="zh-CN"/>
              </w:rPr>
              <w:t>) dB(W/40 kHz)</w:t>
            </w:r>
          </w:p>
        </w:tc>
      </w:tr>
      <w:tr w:rsidR="006C5CDB" w:rsidRPr="00B2130C" w:rsidTr="00A54EA5">
        <w:trPr>
          <w:jc w:val="center"/>
        </w:trPr>
        <w:tc>
          <w:tcPr>
            <w:tcW w:w="2464" w:type="dxa"/>
          </w:tcPr>
          <w:p w:rsidR="006C5CDB" w:rsidRPr="00B2130C" w:rsidRDefault="006C5CDB" w:rsidP="00A54EA5">
            <w:pPr>
              <w:keepLines/>
              <w:tabs>
                <w:tab w:val="left" w:pos="567"/>
                <w:tab w:val="left" w:leader="dot" w:pos="7938"/>
                <w:tab w:val="center" w:pos="9526"/>
              </w:tabs>
              <w:ind w:left="567" w:hanging="567"/>
              <w:jc w:val="center"/>
              <w:rPr>
                <w:color w:val="000000"/>
                <w:sz w:val="20"/>
                <w:lang w:eastAsia="zh-CN"/>
              </w:rPr>
            </w:pPr>
            <w:r w:rsidRPr="00B2130C">
              <w:rPr>
                <w:color w:val="000000"/>
                <w:sz w:val="20"/>
                <w:lang w:eastAsia="zh-CN"/>
              </w:rPr>
              <w:t>7</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sz w:val="20"/>
              </w:rPr>
              <w:t xml:space="preserve"> θ</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color w:val="000000"/>
                <w:sz w:val="20"/>
                <w:lang w:eastAsia="zh-CN"/>
              </w:rPr>
              <w:t>≤</w:t>
            </w:r>
            <w:r w:rsidRPr="00B2130C">
              <w:rPr>
                <w:rFonts w:ascii="Symbol" w:hAnsi="Symbol" w:cs="Symbol"/>
                <w:color w:val="000000"/>
                <w:sz w:val="20"/>
                <w:lang w:eastAsia="zh-CN"/>
              </w:rPr>
              <w:t></w:t>
            </w:r>
            <w:r w:rsidRPr="00B2130C">
              <w:rPr>
                <w:color w:val="000000"/>
                <w:sz w:val="20"/>
                <w:lang w:eastAsia="zh-CN"/>
              </w:rPr>
              <w:t>9.2</w:t>
            </w:r>
            <w:r w:rsidRPr="00B2130C">
              <w:rPr>
                <w:rFonts w:ascii="Symbol" w:hAnsi="Symbol" w:cs="Symbol"/>
                <w:color w:val="000000"/>
                <w:sz w:val="20"/>
                <w:lang w:eastAsia="zh-CN"/>
              </w:rPr>
              <w:t></w:t>
            </w:r>
            <w:r w:rsidRPr="00B2130C">
              <w:rPr>
                <w:rFonts w:ascii="Symbol" w:hAnsi="Symbol" w:cs="Symbol"/>
                <w:color w:val="000000"/>
                <w:sz w:val="20"/>
                <w:lang w:eastAsia="zh-CN"/>
              </w:rPr>
              <w:t></w:t>
            </w:r>
          </w:p>
        </w:tc>
        <w:tc>
          <w:tcPr>
            <w:tcW w:w="3260" w:type="dxa"/>
          </w:tcPr>
          <w:p w:rsidR="006C5CDB" w:rsidRPr="00B2130C" w:rsidRDefault="006C5CDB" w:rsidP="00A54EA5">
            <w:pPr>
              <w:keepLines/>
              <w:tabs>
                <w:tab w:val="left" w:pos="567"/>
                <w:tab w:val="left" w:leader="dot" w:pos="7938"/>
                <w:tab w:val="center" w:pos="9526"/>
              </w:tabs>
              <w:ind w:left="567" w:hanging="567"/>
              <w:jc w:val="center"/>
              <w:rPr>
                <w:color w:val="000000"/>
                <w:sz w:val="20"/>
                <w:lang w:eastAsia="zh-CN"/>
              </w:rPr>
            </w:pPr>
            <w:r w:rsidRPr="00B2130C">
              <w:rPr>
                <w:color w:val="000000"/>
                <w:sz w:val="20"/>
                <w:lang w:eastAsia="zh-CN"/>
              </w:rPr>
              <w:t>–2 dB(W/40 kHz)</w:t>
            </w:r>
          </w:p>
        </w:tc>
      </w:tr>
      <w:tr w:rsidR="006C5CDB" w:rsidRPr="00F23979" w:rsidTr="00A54EA5">
        <w:trPr>
          <w:jc w:val="center"/>
        </w:trPr>
        <w:tc>
          <w:tcPr>
            <w:tcW w:w="2464" w:type="dxa"/>
          </w:tcPr>
          <w:p w:rsidR="006C5CDB" w:rsidRPr="00B2130C" w:rsidRDefault="006C5CDB" w:rsidP="00A54EA5">
            <w:pPr>
              <w:keepLines/>
              <w:tabs>
                <w:tab w:val="left" w:pos="567"/>
                <w:tab w:val="left" w:leader="dot" w:pos="7938"/>
                <w:tab w:val="center" w:pos="9526"/>
              </w:tabs>
              <w:ind w:left="567" w:hanging="567"/>
              <w:jc w:val="center"/>
              <w:rPr>
                <w:color w:val="000000"/>
                <w:sz w:val="20"/>
                <w:lang w:eastAsia="zh-CN"/>
              </w:rPr>
            </w:pPr>
            <w:r w:rsidRPr="00B2130C">
              <w:rPr>
                <w:color w:val="000000"/>
                <w:sz w:val="20"/>
                <w:lang w:eastAsia="zh-CN"/>
              </w:rPr>
              <w:t>9.2</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sz w:val="20"/>
              </w:rPr>
              <w:t xml:space="preserve"> θ</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color w:val="000000"/>
                <w:sz w:val="20"/>
                <w:lang w:eastAsia="zh-CN"/>
              </w:rPr>
              <w:t>≤</w:t>
            </w:r>
            <w:r w:rsidRPr="00B2130C">
              <w:rPr>
                <w:rFonts w:ascii="Symbol" w:hAnsi="Symbol" w:cs="Symbol"/>
                <w:color w:val="000000"/>
                <w:sz w:val="20"/>
                <w:lang w:eastAsia="zh-CN"/>
              </w:rPr>
              <w:t></w:t>
            </w:r>
            <w:r w:rsidRPr="00B2130C">
              <w:rPr>
                <w:color w:val="000000"/>
                <w:sz w:val="20"/>
                <w:lang w:eastAsia="zh-CN"/>
              </w:rPr>
              <w:t>48</w:t>
            </w:r>
            <w:r w:rsidRPr="00B2130C">
              <w:rPr>
                <w:rFonts w:ascii="Symbol" w:hAnsi="Symbol" w:cs="Symbol"/>
                <w:color w:val="000000"/>
                <w:sz w:val="20"/>
                <w:lang w:eastAsia="zh-CN"/>
              </w:rPr>
              <w:t></w:t>
            </w:r>
            <w:r w:rsidRPr="00B2130C">
              <w:rPr>
                <w:rFonts w:ascii="Symbol" w:hAnsi="Symbol" w:cs="Symbol"/>
                <w:color w:val="000000"/>
                <w:sz w:val="20"/>
                <w:lang w:eastAsia="zh-CN"/>
              </w:rPr>
              <w:t></w:t>
            </w:r>
          </w:p>
        </w:tc>
        <w:tc>
          <w:tcPr>
            <w:tcW w:w="3260" w:type="dxa"/>
          </w:tcPr>
          <w:p w:rsidR="006C5CDB" w:rsidRPr="008E3B23" w:rsidRDefault="006C5CDB" w:rsidP="00A54EA5">
            <w:pPr>
              <w:keepLines/>
              <w:tabs>
                <w:tab w:val="left" w:pos="567"/>
                <w:tab w:val="left" w:leader="dot" w:pos="7938"/>
                <w:tab w:val="center" w:pos="9526"/>
              </w:tabs>
              <w:ind w:left="567" w:hanging="567"/>
              <w:jc w:val="center"/>
              <w:rPr>
                <w:color w:val="000000"/>
                <w:sz w:val="20"/>
                <w:lang w:val="de-CH" w:eastAsia="zh-CN"/>
              </w:rPr>
            </w:pPr>
            <w:r w:rsidRPr="008E3B23">
              <w:rPr>
                <w:color w:val="000000"/>
                <w:sz w:val="20"/>
                <w:lang w:val="de-CH" w:eastAsia="zh-CN"/>
              </w:rPr>
              <w:t xml:space="preserve">(22 – 25 log </w:t>
            </w:r>
            <w:r w:rsidRPr="00B2130C">
              <w:rPr>
                <w:sz w:val="20"/>
              </w:rPr>
              <w:t>θ</w:t>
            </w:r>
            <w:r w:rsidRPr="008E3B23">
              <w:rPr>
                <w:color w:val="000000"/>
                <w:sz w:val="20"/>
                <w:lang w:val="de-CH" w:eastAsia="zh-CN"/>
              </w:rPr>
              <w:t>) dB(W/40 kHz)</w:t>
            </w:r>
          </w:p>
        </w:tc>
      </w:tr>
      <w:tr w:rsidR="006C5CDB" w:rsidRPr="00B2130C" w:rsidTr="00A54EA5">
        <w:trPr>
          <w:jc w:val="center"/>
        </w:trPr>
        <w:tc>
          <w:tcPr>
            <w:tcW w:w="2464" w:type="dxa"/>
          </w:tcPr>
          <w:p w:rsidR="006C5CDB" w:rsidRPr="00B2130C" w:rsidRDefault="006C5CDB" w:rsidP="00A54EA5">
            <w:pPr>
              <w:keepLines/>
              <w:tabs>
                <w:tab w:val="left" w:pos="567"/>
                <w:tab w:val="left" w:leader="dot" w:pos="7938"/>
                <w:tab w:val="center" w:pos="9526"/>
              </w:tabs>
              <w:ind w:left="567" w:hanging="567"/>
              <w:jc w:val="center"/>
              <w:rPr>
                <w:color w:val="000000"/>
                <w:sz w:val="20"/>
                <w:lang w:eastAsia="zh-CN"/>
              </w:rPr>
            </w:pPr>
            <w:r w:rsidRPr="00B2130C">
              <w:rPr>
                <w:color w:val="000000"/>
                <w:sz w:val="20"/>
                <w:lang w:eastAsia="zh-CN"/>
              </w:rPr>
              <w:t>48</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sz w:val="20"/>
              </w:rPr>
              <w:t xml:space="preserve"> θ</w:t>
            </w:r>
            <w:r w:rsidRPr="00B2130C">
              <w:rPr>
                <w:rFonts w:ascii="Symbol" w:hAnsi="Symbol" w:cs="Symbol"/>
                <w:color w:val="000000"/>
                <w:sz w:val="20"/>
                <w:lang w:eastAsia="zh-CN"/>
              </w:rPr>
              <w:t></w:t>
            </w:r>
            <w:r w:rsidRPr="00B2130C">
              <w:rPr>
                <w:rFonts w:ascii="Symbol" w:hAnsi="Symbol" w:cs="Symbol"/>
                <w:color w:val="000000"/>
                <w:sz w:val="20"/>
                <w:lang w:eastAsia="zh-CN"/>
              </w:rPr>
              <w:t></w:t>
            </w:r>
            <w:r w:rsidRPr="00B2130C">
              <w:rPr>
                <w:color w:val="000000"/>
                <w:sz w:val="20"/>
                <w:lang w:eastAsia="zh-CN"/>
              </w:rPr>
              <w:t>≤</w:t>
            </w:r>
            <w:r w:rsidRPr="00B2130C">
              <w:rPr>
                <w:rFonts w:ascii="Symbol" w:hAnsi="Symbol" w:cs="Symbol"/>
                <w:color w:val="000000"/>
                <w:sz w:val="20"/>
                <w:lang w:eastAsia="zh-CN"/>
              </w:rPr>
              <w:t></w:t>
            </w:r>
            <w:r w:rsidRPr="00B2130C">
              <w:rPr>
                <w:color w:val="000000"/>
                <w:sz w:val="20"/>
                <w:lang w:eastAsia="zh-CN"/>
              </w:rPr>
              <w:t>180</w:t>
            </w:r>
            <w:r w:rsidRPr="00B2130C">
              <w:rPr>
                <w:rFonts w:ascii="Symbol" w:hAnsi="Symbol" w:cs="Symbol"/>
                <w:color w:val="000000"/>
                <w:sz w:val="20"/>
                <w:lang w:eastAsia="zh-CN"/>
              </w:rPr>
              <w:t></w:t>
            </w:r>
            <w:r w:rsidRPr="00B2130C">
              <w:rPr>
                <w:rFonts w:ascii="Symbol" w:hAnsi="Symbol" w:cs="Symbol"/>
                <w:color w:val="000000"/>
                <w:sz w:val="20"/>
                <w:lang w:eastAsia="zh-CN"/>
              </w:rPr>
              <w:t></w:t>
            </w:r>
          </w:p>
        </w:tc>
        <w:tc>
          <w:tcPr>
            <w:tcW w:w="3260" w:type="dxa"/>
          </w:tcPr>
          <w:p w:rsidR="006C5CDB" w:rsidRPr="00B2130C" w:rsidRDefault="006C5CDB" w:rsidP="00A54EA5">
            <w:pPr>
              <w:keepLines/>
              <w:tabs>
                <w:tab w:val="left" w:pos="567"/>
                <w:tab w:val="left" w:leader="dot" w:pos="7938"/>
                <w:tab w:val="center" w:pos="9526"/>
              </w:tabs>
              <w:ind w:left="567" w:hanging="567"/>
              <w:jc w:val="center"/>
              <w:rPr>
                <w:color w:val="000000"/>
                <w:sz w:val="20"/>
                <w:lang w:eastAsia="zh-CN"/>
              </w:rPr>
            </w:pPr>
            <w:r w:rsidRPr="00B2130C">
              <w:rPr>
                <w:color w:val="000000"/>
                <w:sz w:val="20"/>
                <w:lang w:eastAsia="zh-CN"/>
              </w:rPr>
              <w:t>–10 dB(W/40 kHz)</w:t>
            </w:r>
          </w:p>
        </w:tc>
      </w:tr>
    </w:tbl>
    <w:p w:rsidR="006C5CDB" w:rsidRPr="00B2130C" w:rsidRDefault="006C5CDB" w:rsidP="006C5CDB">
      <w:pPr>
        <w:overflowPunct/>
        <w:autoSpaceDE/>
        <w:autoSpaceDN/>
        <w:adjustRightInd/>
        <w:spacing w:before="0"/>
        <w:textAlignment w:val="auto"/>
        <w:rPr>
          <w:color w:val="000000"/>
          <w:lang w:eastAsia="zh-CN"/>
        </w:rPr>
      </w:pPr>
    </w:p>
    <w:p w:rsidR="006C5CDB" w:rsidRPr="00255F89" w:rsidRDefault="006C5CDB" w:rsidP="006C5CDB">
      <w:pPr>
        <w:rPr>
          <w:lang w:val="en-US"/>
        </w:rPr>
      </w:pPr>
      <w:r w:rsidRPr="00DF38B4">
        <w:rPr>
          <w:lang w:val="en-US"/>
        </w:rPr>
        <w:t>For any direction in the region outside 3° of the GSO, the above levels may be exceeded by no more than 3 dB.</w:t>
      </w:r>
      <w:r w:rsidR="00CE2594">
        <w:rPr>
          <w:lang w:val="en-US"/>
        </w:rPr>
        <w:t xml:space="preserve"> </w:t>
      </w:r>
      <w:r w:rsidRPr="00DF38B4">
        <w:rPr>
          <w:lang w:val="en-US"/>
        </w:rPr>
        <w:t>Studies are being conducted which may lead to revision of this value</w:t>
      </w:r>
      <w:r>
        <w:rPr>
          <w:lang w:val="en-US"/>
        </w:rPr>
        <w:t>.</w:t>
      </w:r>
    </w:p>
    <w:p w:rsidR="006C5CDB" w:rsidRPr="006C5CDB" w:rsidRDefault="006C5CDB" w:rsidP="00250E45">
      <w:pPr>
        <w:pStyle w:val="Note"/>
        <w:rPr>
          <w:lang w:val="en-US"/>
        </w:rPr>
      </w:pPr>
      <w:r w:rsidRPr="006C5CDB">
        <w:rPr>
          <w:lang w:val="en-US"/>
        </w:rPr>
        <w:t>NOTE 1</w:t>
      </w:r>
      <w:r w:rsidR="00250E45">
        <w:rPr>
          <w:lang w:val="en-US"/>
        </w:rPr>
        <w:t xml:space="preserve"> </w:t>
      </w:r>
      <w:r w:rsidRPr="006C5CDB">
        <w:rPr>
          <w:lang w:val="en-US"/>
        </w:rPr>
        <w:t>– The values above should be maximal values under clear-sky conditions. In case of networks employing uplink power control, these levels should include any additional margins above the minimum clear-sky level necessary for the implementation of uplink power control. When uplink power control is used and rain fades makes it necessary, the levels stated above may be exceeded for the duration of that period. When uplink power control is not used and the e.i.r.p. density levels given above are not met, different values could be used in compliance with the values agreed to through bilateral coordination of GSO FSS satellite networks.</w:t>
      </w:r>
    </w:p>
    <w:p w:rsidR="006C5CDB" w:rsidRPr="006C5CDB" w:rsidRDefault="006C5CDB" w:rsidP="006C5CDB">
      <w:pPr>
        <w:pStyle w:val="Note"/>
        <w:rPr>
          <w:lang w:val="en-US"/>
        </w:rPr>
      </w:pPr>
      <w:r w:rsidRPr="006C5CDB">
        <w:rPr>
          <w:lang w:val="en-US"/>
        </w:rPr>
        <w:t xml:space="preserve">NOTE 2 – The e.i.r.p. density levels for angles of </w:t>
      </w:r>
      <w:r w:rsidRPr="00D5405C">
        <w:t>θ</w:t>
      </w:r>
      <w:r w:rsidRPr="006C5CDB">
        <w:rPr>
          <w:lang w:val="en-US"/>
        </w:rPr>
        <w:t xml:space="preserve"> less than 2° may be determined from GSO FSS coordination agreements taking into account the specific parameters of the two GSO FSS satellite networks.</w:t>
      </w:r>
    </w:p>
    <w:p w:rsidR="006C5CDB" w:rsidRPr="006C5CDB" w:rsidRDefault="006C5CDB" w:rsidP="006C5CDB">
      <w:pPr>
        <w:overflowPunct/>
        <w:autoSpaceDE/>
        <w:autoSpaceDN/>
        <w:adjustRightInd/>
        <w:spacing w:before="0"/>
        <w:textAlignment w:val="auto"/>
        <w:rPr>
          <w:lang w:val="en-US"/>
        </w:rPr>
      </w:pPr>
      <w:r w:rsidRPr="006C5CDB">
        <w:rPr>
          <w:lang w:val="en-US"/>
        </w:rPr>
        <w:br w:type="page"/>
      </w:r>
    </w:p>
    <w:p w:rsidR="006C5CDB" w:rsidRPr="006C5CDB" w:rsidRDefault="006C5CDB" w:rsidP="006C5CDB">
      <w:pPr>
        <w:pStyle w:val="Note"/>
        <w:rPr>
          <w:lang w:val="en-US"/>
        </w:rPr>
      </w:pPr>
      <w:r w:rsidRPr="006C5CDB">
        <w:rPr>
          <w:lang w:val="en-US"/>
        </w:rPr>
        <w:lastRenderedPageBreak/>
        <w:t>NOTE 3 – For GSO space stations in the FSS with which the ESOMPs are expected to transmit simultaneously in the same 40 kHz band, e.g., employing code division multiple access (CDMA), the maximum e.i.r.p. density values should be decreased by 10 log(N) dB, where N is the number of ESOMPs that are in the receive satellite beam of the satellite with which these earth stations are communicating and that are expected to transmit simultaneously on the same frequency.</w:t>
      </w:r>
    </w:p>
    <w:p w:rsidR="006C5CDB" w:rsidRPr="006C5CDB" w:rsidRDefault="006C5CDB" w:rsidP="006C5CDB">
      <w:pPr>
        <w:pStyle w:val="Note"/>
        <w:rPr>
          <w:lang w:val="en-US"/>
        </w:rPr>
      </w:pPr>
      <w:r w:rsidRPr="006C5CDB">
        <w:rPr>
          <w:lang w:val="en-US"/>
        </w:rPr>
        <w:t xml:space="preserve">NOTE 4 – Potential </w:t>
      </w:r>
      <w:r w:rsidRPr="006C5CDB">
        <w:rPr>
          <w:lang w:val="en-US" w:eastAsia="zh-CN"/>
        </w:rPr>
        <w:t xml:space="preserve">aggregate interference from </w:t>
      </w:r>
      <w:r w:rsidRPr="006C5CDB">
        <w:rPr>
          <w:lang w:val="en-US"/>
        </w:rPr>
        <w:t>ESOMPs</w:t>
      </w:r>
      <w:r w:rsidRPr="006C5CDB" w:rsidDel="00E62CC0">
        <w:rPr>
          <w:lang w:val="en-US" w:eastAsia="zh-CN"/>
        </w:rPr>
        <w:t xml:space="preserve"> </w:t>
      </w:r>
      <w:r w:rsidRPr="006C5CDB">
        <w:rPr>
          <w:lang w:val="en-US" w:eastAsia="zh-CN"/>
        </w:rPr>
        <w:t>operating with satellites using multi-spot frequency reuse technologies should be taken into account in agreements between the GSO FSS satellite operators and their administrations.</w:t>
      </w:r>
    </w:p>
    <w:p w:rsidR="006C5CDB" w:rsidRPr="006C5CDB" w:rsidRDefault="006C5CDB" w:rsidP="006C5CDB">
      <w:pPr>
        <w:pStyle w:val="Note"/>
        <w:rPr>
          <w:lang w:val="en-US"/>
        </w:rPr>
      </w:pPr>
      <w:r w:rsidRPr="006C5CDB">
        <w:rPr>
          <w:lang w:val="en-US"/>
        </w:rPr>
        <w:t>NOTE 5 – ESOMPs</w:t>
      </w:r>
      <w:r w:rsidRPr="006C5CDB" w:rsidDel="00E62CC0">
        <w:rPr>
          <w:lang w:val="en-US"/>
        </w:rPr>
        <w:t xml:space="preserve"> </w:t>
      </w:r>
      <w:r w:rsidRPr="006C5CDB">
        <w:rPr>
          <w:lang w:val="en-US"/>
        </w:rPr>
        <w:t>operating in the frequency band 29.5-30.0 GHz that have lower elevation angles to the GSO will require higher e.i.r.p. levels relative to the same terminals at higher elevation angles to achieve the same power flux-densities (pfds) at the GSO due to the combined effect of increased distance and atmospheric absorption. Earth stations with low elevation angles may exceed the above levels by the following amount:</w:t>
      </w:r>
    </w:p>
    <w:p w:rsidR="006C5CDB" w:rsidRPr="006C5CDB" w:rsidRDefault="006C5CDB" w:rsidP="006C5CDB">
      <w:pPr>
        <w:pStyle w:val="Note"/>
        <w:rPr>
          <w:lang w:val="en-US"/>
        </w:rPr>
      </w:pPr>
    </w:p>
    <w:tbl>
      <w:tblPr>
        <w:tblStyle w:val="TableGrid"/>
        <w:tblW w:w="0" w:type="auto"/>
        <w:jc w:val="center"/>
        <w:tblLook w:val="04A0" w:firstRow="1" w:lastRow="0" w:firstColumn="1" w:lastColumn="0" w:noHBand="0" w:noVBand="1"/>
      </w:tblPr>
      <w:tblGrid>
        <w:gridCol w:w="2464"/>
        <w:gridCol w:w="3260"/>
      </w:tblGrid>
      <w:tr w:rsidR="006C5CDB" w:rsidRPr="00F23979" w:rsidTr="00A54EA5">
        <w:trPr>
          <w:jc w:val="center"/>
        </w:trPr>
        <w:tc>
          <w:tcPr>
            <w:tcW w:w="2464" w:type="dxa"/>
          </w:tcPr>
          <w:p w:rsidR="006C5CDB" w:rsidRPr="006C5CDB" w:rsidRDefault="006C5CDB" w:rsidP="00A54EA5">
            <w:pPr>
              <w:pStyle w:val="Tablehead"/>
              <w:rPr>
                <w:lang w:val="en-US"/>
              </w:rPr>
            </w:pPr>
            <w:r w:rsidRPr="006C5CDB">
              <w:rPr>
                <w:lang w:val="en-US"/>
              </w:rPr>
              <w:t>Elevation angle to GSO (</w:t>
            </w:r>
            <w:r w:rsidRPr="00250E45">
              <w:rPr>
                <w:rFonts w:asciiTheme="majorBidi" w:hAnsiTheme="majorBidi" w:cstheme="majorBidi"/>
              </w:rPr>
              <w:t>ε</w:t>
            </w:r>
            <w:r w:rsidRPr="006C5CDB">
              <w:rPr>
                <w:lang w:val="en-US"/>
              </w:rPr>
              <w:t>)</w:t>
            </w:r>
          </w:p>
        </w:tc>
        <w:tc>
          <w:tcPr>
            <w:tcW w:w="3260" w:type="dxa"/>
          </w:tcPr>
          <w:p w:rsidR="006C5CDB" w:rsidRPr="006C5CDB" w:rsidRDefault="006C5CDB" w:rsidP="00A54EA5">
            <w:pPr>
              <w:pStyle w:val="Tablehead"/>
              <w:rPr>
                <w:lang w:val="en-US"/>
              </w:rPr>
            </w:pPr>
            <w:r w:rsidRPr="006C5CDB">
              <w:rPr>
                <w:lang w:val="en-US"/>
              </w:rPr>
              <w:t>Increase in e.i.r.p. spectral density (dB)</w:t>
            </w:r>
          </w:p>
        </w:tc>
      </w:tr>
      <w:tr w:rsidR="006C5CDB" w:rsidRPr="00E834A9" w:rsidTr="00A54EA5">
        <w:trPr>
          <w:jc w:val="center"/>
        </w:trPr>
        <w:tc>
          <w:tcPr>
            <w:tcW w:w="2464" w:type="dxa"/>
          </w:tcPr>
          <w:p w:rsidR="006C5CDB" w:rsidRPr="00E834A9" w:rsidRDefault="00250E45" w:rsidP="00A54EA5">
            <w:pPr>
              <w:pStyle w:val="Tabletext"/>
              <w:jc w:val="center"/>
              <w:rPr>
                <w:rFonts w:ascii="Symbol" w:hAnsi="Symbol"/>
                <w:color w:val="000000"/>
                <w:lang w:eastAsia="zh-CN"/>
              </w:rPr>
            </w:pPr>
            <w:r w:rsidRPr="00250E45">
              <w:rPr>
                <w:rFonts w:asciiTheme="majorBidi" w:hAnsiTheme="majorBidi" w:cstheme="majorBidi"/>
              </w:rPr>
              <w:t>ε</w:t>
            </w:r>
            <w:r w:rsidRPr="00E834A9">
              <w:rPr>
                <w:rFonts w:ascii="Symbol" w:hAnsi="Symbol"/>
                <w:lang w:eastAsia="zh-CN"/>
              </w:rPr>
              <w:t></w:t>
            </w:r>
            <w:r>
              <w:rPr>
                <w:rFonts w:ascii="Symbol" w:hAnsi="Symbol"/>
                <w:lang w:eastAsia="zh-CN"/>
              </w:rPr>
              <w:t></w:t>
            </w:r>
            <w:r w:rsidR="006C5CDB" w:rsidRPr="00E834A9">
              <w:rPr>
                <w:rFonts w:ascii="Symbol" w:hAnsi="Symbol"/>
                <w:lang w:eastAsia="zh-CN"/>
              </w:rPr>
              <w:t></w:t>
            </w:r>
            <w:r w:rsidR="006C5CDB" w:rsidRPr="00E834A9">
              <w:rPr>
                <w:rFonts w:ascii="Symbol" w:hAnsi="Symbol"/>
                <w:lang w:eastAsia="zh-CN"/>
              </w:rPr>
              <w:t></w:t>
            </w:r>
            <w:r w:rsidR="006C5CDB" w:rsidRPr="00E834A9">
              <w:rPr>
                <w:rFonts w:ascii="Symbol" w:hAnsi="Symbol"/>
                <w:lang w:eastAsia="zh-CN"/>
              </w:rPr>
              <w:t></w:t>
            </w:r>
            <w:r w:rsidR="006C5CDB" w:rsidRPr="00E834A9">
              <w:rPr>
                <w:rFonts w:ascii="Symbol" w:hAnsi="Symbol"/>
                <w:lang w:eastAsia="zh-CN"/>
              </w:rPr>
              <w:t></w:t>
            </w:r>
            <w:r w:rsidR="006C5CDB" w:rsidRPr="00E834A9">
              <w:rPr>
                <w:rFonts w:ascii="Symbol" w:hAnsi="Symbol"/>
                <w:lang w:eastAsia="zh-CN"/>
              </w:rPr>
              <w:t></w:t>
            </w:r>
            <w:r w:rsidR="006C5CDB" w:rsidRPr="00E834A9">
              <w:rPr>
                <w:rFonts w:ascii="Symbol" w:hAnsi="Symbol"/>
                <w:lang w:eastAsia="zh-CN"/>
              </w:rPr>
              <w:t></w:t>
            </w:r>
          </w:p>
        </w:tc>
        <w:tc>
          <w:tcPr>
            <w:tcW w:w="3260" w:type="dxa"/>
          </w:tcPr>
          <w:p w:rsidR="006C5CDB" w:rsidRPr="00E834A9" w:rsidRDefault="006C5CDB" w:rsidP="00A54EA5">
            <w:pPr>
              <w:pStyle w:val="Tabletext"/>
              <w:jc w:val="center"/>
              <w:rPr>
                <w:rFonts w:ascii="Symbol" w:hAnsi="Symbol"/>
                <w:color w:val="000000"/>
                <w:lang w:eastAsia="zh-CN"/>
              </w:rPr>
            </w:pPr>
            <w:r w:rsidRPr="00E834A9">
              <w:rPr>
                <w:rFonts w:ascii="Symbol" w:hAnsi="Symbol"/>
                <w:lang w:eastAsia="zh-CN"/>
              </w:rPr>
              <w:t></w:t>
            </w:r>
            <w:r w:rsidRPr="00E834A9">
              <w:rPr>
                <w:rFonts w:ascii="Symbol" w:hAnsi="Symbol"/>
                <w:lang w:eastAsia="zh-CN"/>
              </w:rPr>
              <w:t></w:t>
            </w:r>
            <w:r w:rsidRPr="00E834A9">
              <w:rPr>
                <w:rFonts w:ascii="Symbol" w:hAnsi="Symbol"/>
                <w:lang w:eastAsia="zh-CN"/>
              </w:rPr>
              <w:t></w:t>
            </w:r>
          </w:p>
        </w:tc>
      </w:tr>
      <w:tr w:rsidR="006C5CDB" w:rsidRPr="00E834A9" w:rsidTr="00A54EA5">
        <w:trPr>
          <w:jc w:val="center"/>
        </w:trPr>
        <w:tc>
          <w:tcPr>
            <w:tcW w:w="2464" w:type="dxa"/>
          </w:tcPr>
          <w:p w:rsidR="006C5CDB" w:rsidRPr="00E834A9" w:rsidRDefault="006C5CDB" w:rsidP="00250E45">
            <w:pPr>
              <w:pStyle w:val="Tabletext"/>
              <w:jc w:val="center"/>
              <w:rPr>
                <w:rFonts w:ascii="Symbol" w:hAnsi="Symbol"/>
                <w:color w:val="000000"/>
                <w:lang w:eastAsia="zh-CN"/>
              </w:rPr>
            </w:pP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rPr>
              <w:t></w:t>
            </w:r>
            <w:r w:rsidRPr="00E834A9">
              <w:rPr>
                <w:rFonts w:hint="eastAsia"/>
              </w:rPr>
              <w:t xml:space="preserve"> </w:t>
            </w:r>
            <w:r w:rsidR="00250E45" w:rsidRPr="00250E45">
              <w:rPr>
                <w:rFonts w:asciiTheme="majorBidi" w:hAnsiTheme="majorBidi" w:cstheme="majorBidi"/>
              </w:rPr>
              <w:t>ε</w:t>
            </w:r>
            <w:r w:rsidR="00250E45" w:rsidRPr="00E834A9">
              <w:rPr>
                <w:rFonts w:ascii="Symbol" w:hAnsi="Symbol" w:cs="Symbol"/>
                <w:szCs w:val="24"/>
                <w:lang w:val="en-US" w:eastAsia="zh-CN"/>
              </w:rPr>
              <w:t></w:t>
            </w:r>
            <w:r w:rsidRPr="00E834A9">
              <w:rPr>
                <w:rFonts w:ascii="Symbol" w:hAnsi="Symbol" w:cs="Symbol"/>
                <w:szCs w:val="24"/>
                <w:lang w:val="en-US" w:eastAsia="zh-CN"/>
              </w:rPr>
              <w:t></w:t>
            </w:r>
            <w:r w:rsidRPr="00E834A9">
              <w:rPr>
                <w:szCs w:val="24"/>
                <w:lang w:val="en-US"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p>
        </w:tc>
        <w:tc>
          <w:tcPr>
            <w:tcW w:w="3260" w:type="dxa"/>
          </w:tcPr>
          <w:p w:rsidR="006C5CDB" w:rsidRPr="00E834A9" w:rsidRDefault="006C5CDB" w:rsidP="00250E45">
            <w:pPr>
              <w:pStyle w:val="Tabletext"/>
              <w:jc w:val="center"/>
              <w:rPr>
                <w:rFonts w:ascii="Symbol" w:hAnsi="Symbol"/>
                <w:color w:val="000000"/>
                <w:lang w:eastAsia="zh-CN"/>
              </w:rPr>
            </w:pPr>
            <w:r w:rsidRPr="00E834A9">
              <w:rPr>
                <w:rFonts w:ascii="Symbol" w:hAnsi="Symbol"/>
                <w:lang w:eastAsia="zh-CN"/>
              </w:rPr>
              <w:t></w:t>
            </w:r>
            <w:r w:rsidRPr="00E834A9">
              <w:rPr>
                <w:rFonts w:ascii="Symbol" w:hAnsi="Symbol"/>
                <w:lang w:eastAsia="zh-CN"/>
              </w:rPr>
              <w:t></w:t>
            </w:r>
            <w:r w:rsidRPr="00E834A9">
              <w:rPr>
                <w:rFonts w:asciiTheme="majorBidi" w:hAnsiTheme="majorBidi" w:cstheme="majorBidi"/>
                <w:lang w:eastAsia="zh-CN"/>
              </w:rPr>
              <w:t xml:space="preserve">– </w:t>
            </w:r>
            <w:r w:rsidRPr="00E834A9">
              <w:rPr>
                <w:rFonts w:ascii="Symbol" w:hAnsi="Symbol"/>
                <w:lang w:eastAsia="zh-CN"/>
              </w:rPr>
              <w:t></w:t>
            </w:r>
            <w:r w:rsidRPr="00E834A9">
              <w:rPr>
                <w:rFonts w:ascii="Symbol" w:hAnsi="Symbol"/>
                <w:lang w:eastAsia="zh-CN"/>
              </w:rPr>
              <w:t></w:t>
            </w:r>
            <w:r w:rsidRPr="00E834A9">
              <w:rPr>
                <w:rFonts w:ascii="Symbol" w:hAnsi="Symbol"/>
                <w:lang w:eastAsia="zh-CN"/>
              </w:rPr>
              <w:t></w:t>
            </w:r>
            <w:r w:rsidRPr="00E834A9">
              <w:rPr>
                <w:rFonts w:hint="eastAsia"/>
              </w:rPr>
              <w:t xml:space="preserve"> </w:t>
            </w:r>
            <w:r w:rsidR="00250E45" w:rsidRPr="00250E45">
              <w:rPr>
                <w:rFonts w:asciiTheme="majorBidi" w:hAnsiTheme="majorBidi" w:cstheme="majorBidi"/>
              </w:rPr>
              <w:t>ε</w:t>
            </w:r>
            <w:r w:rsidR="00250E45" w:rsidRPr="00E834A9">
              <w:rPr>
                <w:rFonts w:ascii="Symbol" w:hAnsi="Symbol"/>
                <w:lang w:eastAsia="zh-CN"/>
              </w:rPr>
              <w:t></w:t>
            </w:r>
            <w:r w:rsidRPr="00E834A9">
              <w:rPr>
                <w:rFonts w:ascii="Symbol" w:hAnsi="Symbol"/>
                <w:lang w:eastAsia="zh-CN"/>
              </w:rPr>
              <w:t></w:t>
            </w:r>
          </w:p>
        </w:tc>
      </w:tr>
    </w:tbl>
    <w:p w:rsidR="006C5CDB" w:rsidRPr="00B2130C" w:rsidRDefault="006C5CDB" w:rsidP="006C5CDB">
      <w:pPr>
        <w:pStyle w:val="Note"/>
      </w:pPr>
    </w:p>
    <w:p w:rsidR="006C5CDB" w:rsidRPr="006C5CDB" w:rsidRDefault="006C5CDB" w:rsidP="00C41FA1">
      <w:pPr>
        <w:rPr>
          <w:szCs w:val="24"/>
          <w:lang w:val="en-US"/>
        </w:rPr>
      </w:pPr>
      <w:r w:rsidRPr="006C5CDB">
        <w:rPr>
          <w:iCs/>
          <w:lang w:val="en-US"/>
        </w:rPr>
        <w:t>Figure 1</w:t>
      </w:r>
      <w:r w:rsidRPr="006C5CDB">
        <w:rPr>
          <w:lang w:val="en-US"/>
        </w:rPr>
        <w:t xml:space="preserve"> below illustrates the reference geometry that is addressed throughout this document</w:t>
      </w:r>
      <w:r w:rsidRPr="00B2130C">
        <w:rPr>
          <w:rStyle w:val="FootnoteReference"/>
        </w:rPr>
        <w:footnoteReference w:id="3"/>
      </w:r>
      <w:r w:rsidRPr="006C5CDB">
        <w:rPr>
          <w:lang w:val="en-US"/>
        </w:rPr>
        <w:t>. In this figure, “a” represents the earth station that will be in motion and communicating with the wanted GSO satellite. Ideally, using a satellite tracking mechanism, the earth station maintains the pointing of the earth station in the direction of the vector, shown as “d”, fro</w:t>
      </w:r>
      <w:r w:rsidRPr="006C5CDB">
        <w:rPr>
          <w:color w:val="000000"/>
          <w:lang w:val="en-US"/>
        </w:rPr>
        <w:t xml:space="preserve">m the </w:t>
      </w:r>
      <w:r w:rsidRPr="006C5CDB">
        <w:rPr>
          <w:lang w:val="en-US"/>
        </w:rPr>
        <w:t>ESOMP</w:t>
      </w:r>
      <w:r w:rsidRPr="006C5CDB">
        <w:rPr>
          <w:color w:val="000000"/>
          <w:lang w:val="en-US"/>
        </w:rPr>
        <w:t xml:space="preserve"> to the wanted satellite. However, due to the motion of the earth station, its antenna could mis-point by an off-axis angle (in the figure depicted as </w:t>
      </w:r>
      <w:r w:rsidRPr="00B2130C">
        <w:rPr>
          <w:szCs w:val="24"/>
        </w:rPr>
        <w:t>θ</w:t>
      </w:r>
      <w:r w:rsidRPr="006C5CDB">
        <w:rPr>
          <w:szCs w:val="24"/>
          <w:lang w:val="en-US"/>
        </w:rPr>
        <w:t>, as </w:t>
      </w:r>
      <w:r w:rsidR="00C41FA1">
        <w:rPr>
          <w:szCs w:val="24"/>
          <w:lang w:val="en-US"/>
        </w:rPr>
        <w:t xml:space="preserve">an </w:t>
      </w:r>
      <w:r w:rsidRPr="006C5CDB">
        <w:rPr>
          <w:szCs w:val="24"/>
          <w:lang w:val="en-US"/>
        </w:rPr>
        <w:t>example)</w:t>
      </w:r>
      <w:r w:rsidRPr="006C5CDB">
        <w:rPr>
          <w:szCs w:val="24"/>
          <w:vertAlign w:val="subscript"/>
          <w:lang w:val="en-US"/>
        </w:rPr>
        <w:t xml:space="preserve"> </w:t>
      </w:r>
      <w:r w:rsidRPr="006C5CDB">
        <w:rPr>
          <w:szCs w:val="24"/>
          <w:lang w:val="en-US"/>
        </w:rPr>
        <w:t>that could cause interference to adjacent GSO satellite networks.</w:t>
      </w:r>
    </w:p>
    <w:p w:rsidR="006C5CDB" w:rsidRPr="006C5CDB" w:rsidRDefault="006C5CDB" w:rsidP="006C5CDB">
      <w:pPr>
        <w:pStyle w:val="FigureNo"/>
        <w:rPr>
          <w:lang w:val="en-US"/>
        </w:rPr>
      </w:pPr>
      <w:r w:rsidRPr="006C5CDB">
        <w:rPr>
          <w:lang w:val="en-US"/>
        </w:rPr>
        <w:lastRenderedPageBreak/>
        <w:t>FIGURE 1</w:t>
      </w:r>
    </w:p>
    <w:p w:rsidR="006C5CDB" w:rsidRPr="006C5CDB" w:rsidRDefault="006C5CDB" w:rsidP="006C5CDB">
      <w:pPr>
        <w:pStyle w:val="Figuretitle"/>
        <w:spacing w:after="240"/>
        <w:rPr>
          <w:lang w:val="en-US"/>
        </w:rPr>
      </w:pPr>
      <w:r w:rsidRPr="006C5CDB">
        <w:rPr>
          <w:lang w:val="en-US"/>
        </w:rPr>
        <w:t>Reference geometry compared to that of Recommendation ITU-R S.524-9</w:t>
      </w:r>
    </w:p>
    <w:p w:rsidR="006C5CDB" w:rsidRPr="00B2130C" w:rsidRDefault="004E2665" w:rsidP="006C5CDB">
      <w:pPr>
        <w:overflowPunct/>
        <w:spacing w:before="0"/>
        <w:jc w:val="center"/>
        <w:textAlignment w:val="auto"/>
      </w:pPr>
      <w:r>
        <w:rPr>
          <w:noProof/>
          <w:lang w:val="en-US" w:eastAsia="zh-CN"/>
        </w:rPr>
        <w:drawing>
          <wp:inline distT="0" distB="0" distL="0" distR="0">
            <wp:extent cx="4914900" cy="3876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876675"/>
                    </a:xfrm>
                    <a:prstGeom prst="rect">
                      <a:avLst/>
                    </a:prstGeom>
                    <a:noFill/>
                    <a:ln>
                      <a:noFill/>
                    </a:ln>
                  </pic:spPr>
                </pic:pic>
              </a:graphicData>
            </a:graphic>
          </wp:inline>
        </w:drawing>
      </w:r>
    </w:p>
    <w:p w:rsidR="006C5CDB" w:rsidRPr="00B2130C" w:rsidRDefault="006C5CDB" w:rsidP="006C5CDB">
      <w:pPr>
        <w:overflowPunct/>
        <w:spacing w:before="0"/>
        <w:textAlignment w:val="auto"/>
      </w:pPr>
      <w:r w:rsidRPr="00B2130C">
        <w:t>a)</w:t>
      </w:r>
    </w:p>
    <w:p w:rsidR="006C5CDB" w:rsidRPr="00B2130C" w:rsidRDefault="0071184A" w:rsidP="006C5CDB">
      <w:pPr>
        <w:overflowPunct/>
        <w:spacing w:before="0"/>
        <w:jc w:val="center"/>
        <w:textAlignment w:val="auto"/>
      </w:pPr>
      <w:r>
        <w:rPr>
          <w:noProof/>
          <w:lang w:val="en-US" w:eastAsia="zh-CN"/>
        </w:rPr>
        <w:drawing>
          <wp:inline distT="0" distB="0" distL="0" distR="0">
            <wp:extent cx="4914900" cy="3876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3876675"/>
                    </a:xfrm>
                    <a:prstGeom prst="rect">
                      <a:avLst/>
                    </a:prstGeom>
                    <a:noFill/>
                    <a:ln>
                      <a:noFill/>
                    </a:ln>
                  </pic:spPr>
                </pic:pic>
              </a:graphicData>
            </a:graphic>
          </wp:inline>
        </w:drawing>
      </w:r>
    </w:p>
    <w:p w:rsidR="006C5CDB" w:rsidRPr="006C5CDB" w:rsidRDefault="006C5CDB" w:rsidP="006C5CDB">
      <w:pPr>
        <w:overflowPunct/>
        <w:spacing w:before="0"/>
        <w:textAlignment w:val="auto"/>
        <w:rPr>
          <w:lang w:val="en-US"/>
        </w:rPr>
      </w:pPr>
      <w:r w:rsidRPr="006C5CDB">
        <w:rPr>
          <w:lang w:val="en-US"/>
        </w:rPr>
        <w:t>b)</w:t>
      </w:r>
    </w:p>
    <w:p w:rsidR="004E2665" w:rsidRDefault="004E266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6C5CDB" w:rsidRPr="006C5CDB" w:rsidRDefault="006C5CDB" w:rsidP="006C5CDB">
      <w:pPr>
        <w:overflowPunct/>
        <w:spacing w:before="0"/>
        <w:jc w:val="center"/>
        <w:textAlignment w:val="auto"/>
        <w:rPr>
          <w:lang w:val="en-US"/>
        </w:rPr>
      </w:pPr>
    </w:p>
    <w:p w:rsidR="006C5CDB" w:rsidRPr="006C5CDB" w:rsidRDefault="006C5CDB" w:rsidP="006C5CDB">
      <w:pPr>
        <w:overflowPunct/>
        <w:spacing w:before="0"/>
        <w:textAlignment w:val="auto"/>
        <w:rPr>
          <w:lang w:val="en-US"/>
        </w:rPr>
      </w:pPr>
      <w:r w:rsidRPr="006C5CDB">
        <w:rPr>
          <w:lang w:val="en-US"/>
        </w:rPr>
        <w:t>where:</w:t>
      </w:r>
    </w:p>
    <w:p w:rsidR="006C5CDB" w:rsidRPr="00B2130C" w:rsidRDefault="006C5CDB" w:rsidP="006C5CDB">
      <w:pPr>
        <w:pStyle w:val="Equationlegend"/>
      </w:pPr>
      <w:r w:rsidRPr="00B2130C">
        <w:tab/>
      </w:r>
      <w:r w:rsidRPr="00CC1048">
        <w:rPr>
          <w:bCs/>
        </w:rPr>
        <w:t>a</w:t>
      </w:r>
      <w:r w:rsidRPr="004146E1">
        <w:rPr>
          <w:b/>
        </w:rPr>
        <w:tab/>
      </w:r>
      <w:r w:rsidRPr="004146E1">
        <w:t xml:space="preserve">represents the </w:t>
      </w:r>
      <w:r>
        <w:t>ESOMP</w:t>
      </w:r>
      <w:r w:rsidRPr="004146E1">
        <w:t>;</w:t>
      </w:r>
    </w:p>
    <w:p w:rsidR="006C5CDB" w:rsidRPr="00B2130C" w:rsidRDefault="006C5CDB" w:rsidP="006C5CDB">
      <w:pPr>
        <w:pStyle w:val="Equationlegend"/>
        <w:rPr>
          <w:b/>
        </w:rPr>
      </w:pPr>
      <w:r w:rsidRPr="00B2130C">
        <w:tab/>
      </w:r>
      <w:r w:rsidRPr="00CC1048">
        <w:rPr>
          <w:bCs/>
        </w:rPr>
        <w:t>b</w:t>
      </w:r>
      <w:r w:rsidRPr="00B2130C">
        <w:rPr>
          <w:b/>
        </w:rPr>
        <w:tab/>
      </w:r>
      <w:r w:rsidRPr="00D5405C">
        <w:t>represents the boresight of the antenna;</w:t>
      </w:r>
    </w:p>
    <w:p w:rsidR="006C5CDB" w:rsidRPr="00B2130C" w:rsidRDefault="006C5CDB" w:rsidP="006C5CDB">
      <w:pPr>
        <w:pStyle w:val="Equationlegend"/>
      </w:pPr>
      <w:r w:rsidRPr="00B2130C">
        <w:rPr>
          <w:b/>
        </w:rPr>
        <w:tab/>
      </w:r>
      <w:r w:rsidRPr="00CC1048">
        <w:rPr>
          <w:bCs/>
        </w:rPr>
        <w:t>c</w:t>
      </w:r>
      <w:r w:rsidRPr="00B2130C">
        <w:rPr>
          <w:b/>
        </w:rPr>
        <w:tab/>
      </w:r>
      <w:r w:rsidRPr="00B2130C">
        <w:t>represents the geostationary orbit (GSO);</w:t>
      </w:r>
    </w:p>
    <w:p w:rsidR="006C5CDB" w:rsidRPr="00B2130C" w:rsidRDefault="006C5CDB" w:rsidP="006C5CDB">
      <w:pPr>
        <w:pStyle w:val="Equationlegend"/>
        <w:rPr>
          <w:color w:val="000000"/>
        </w:rPr>
      </w:pPr>
      <w:r w:rsidRPr="00B2130C">
        <w:tab/>
      </w:r>
      <w:r w:rsidRPr="00CC1048">
        <w:rPr>
          <w:bCs/>
        </w:rPr>
        <w:t>d</w:t>
      </w:r>
      <w:r w:rsidRPr="004146E1">
        <w:tab/>
        <w:t>represents the vector fro</w:t>
      </w:r>
      <w:r w:rsidRPr="004146E1">
        <w:rPr>
          <w:color w:val="000000"/>
        </w:rPr>
        <w:t xml:space="preserve">m the </w:t>
      </w:r>
      <w:r>
        <w:t xml:space="preserve">ESOMP </w:t>
      </w:r>
      <w:r w:rsidRPr="004146E1">
        <w:rPr>
          <w:color w:val="000000"/>
        </w:rPr>
        <w:t>to</w:t>
      </w:r>
      <w:r w:rsidRPr="00B2130C">
        <w:rPr>
          <w:color w:val="000000"/>
        </w:rPr>
        <w:t xml:space="preserve"> the wanted satellite;</w:t>
      </w:r>
    </w:p>
    <w:p w:rsidR="006C5CDB" w:rsidRPr="00B2130C" w:rsidRDefault="006C5CDB" w:rsidP="001C3749">
      <w:pPr>
        <w:pStyle w:val="Equationlegend"/>
        <w:rPr>
          <w:color w:val="000000"/>
        </w:rPr>
      </w:pPr>
      <w:r w:rsidRPr="00B2130C">
        <w:rPr>
          <w:color w:val="000000"/>
        </w:rPr>
        <w:tab/>
      </w:r>
      <m:oMath>
        <m:r>
          <m:rPr>
            <m:sty m:val="p"/>
          </m:rPr>
          <w:rPr>
            <w:rFonts w:ascii="Cambria Math" w:hAnsi="Cambria Math"/>
          </w:rPr>
          <m:t>φ</m:t>
        </m:r>
      </m:oMath>
      <w:r w:rsidRPr="00B2130C">
        <w:rPr>
          <w:b/>
        </w:rPr>
        <w:tab/>
      </w:r>
      <w:r w:rsidRPr="00B2130C">
        <w:t>represents the angle between the boresight of the antenna and a point P on the GSO arch;</w:t>
      </w:r>
    </w:p>
    <w:p w:rsidR="006C5CDB" w:rsidRPr="00B2130C" w:rsidRDefault="006C5CDB" w:rsidP="0071184A">
      <w:pPr>
        <w:pStyle w:val="Equationlegend"/>
        <w:rPr>
          <w:color w:val="000000"/>
        </w:rPr>
      </w:pPr>
      <w:r w:rsidRPr="00B2130C">
        <w:rPr>
          <w:b/>
        </w:rPr>
        <w:tab/>
      </w:r>
      <m:oMath>
        <m:r>
          <m:rPr>
            <m:sty m:val="p"/>
          </m:rPr>
          <w:rPr>
            <w:rFonts w:ascii="Cambria Math" w:hAnsi="Cambria Math" w:cs="Cambria Math"/>
          </w:rPr>
          <m:t>θ</m:t>
        </m:r>
      </m:oMath>
      <w:r w:rsidRPr="00B2130C">
        <w:rPr>
          <w:b/>
        </w:rPr>
        <w:tab/>
      </w:r>
      <w:r w:rsidRPr="00B2130C">
        <w:t>represents the angle between the vector d a</w:t>
      </w:r>
      <w:r w:rsidRPr="00D5405C">
        <w:t>nd</w:t>
      </w:r>
      <w:r w:rsidRPr="00B2130C">
        <w:t xml:space="preserve"> point P on the GSO arch;</w:t>
      </w:r>
    </w:p>
    <w:p w:rsidR="006C5CDB" w:rsidRPr="00B2130C" w:rsidRDefault="006C5CDB" w:rsidP="001C3749">
      <w:pPr>
        <w:pStyle w:val="Equationlegend"/>
        <w:rPr>
          <w:color w:val="000000"/>
          <w:u w:val="single"/>
        </w:rPr>
      </w:pPr>
      <w:r w:rsidRPr="00B2130C">
        <w:rPr>
          <w:b/>
        </w:rPr>
        <w:tab/>
      </w:r>
      <w:r w:rsidR="0071184A">
        <w:rPr>
          <w:bCs/>
        </w:rPr>
        <w:t>P</w:t>
      </w:r>
      <w:r w:rsidRPr="00B2130C">
        <w:rPr>
          <w:b/>
        </w:rPr>
        <w:tab/>
      </w:r>
      <w:r w:rsidRPr="00D5405C">
        <w:t xml:space="preserve">represents a generic point on the GSO arc which angles </w:t>
      </w:r>
      <m:oMath>
        <m:r>
          <m:rPr>
            <m:sty m:val="p"/>
          </m:rPr>
          <w:rPr>
            <w:rFonts w:ascii="Cambria Math" w:hAnsi="Cambria Math" w:cs="Cambria Math"/>
          </w:rPr>
          <m:t>θ</m:t>
        </m:r>
      </m:oMath>
      <w:r w:rsidRPr="00D5405C">
        <w:t xml:space="preserve"> and </w:t>
      </w:r>
      <m:oMath>
        <m:r>
          <m:rPr>
            <m:sty m:val="p"/>
          </m:rPr>
          <w:rPr>
            <w:rFonts w:ascii="Cambria Math" w:hAnsi="Cambria Math"/>
          </w:rPr>
          <m:t>φ</m:t>
        </m:r>
      </m:oMath>
      <w:r w:rsidRPr="00D5405C">
        <w:t xml:space="preserve"> are referred to</w:t>
      </w:r>
      <w:r w:rsidRPr="00B2130C">
        <w:t>.</w:t>
      </w:r>
    </w:p>
    <w:p w:rsidR="006C5CDB" w:rsidRPr="006C5CDB" w:rsidRDefault="006C5CDB" w:rsidP="001C3749">
      <w:pPr>
        <w:pStyle w:val="Equation"/>
        <w:rPr>
          <w:lang w:val="en-US" w:eastAsia="zh-CN"/>
        </w:rPr>
      </w:pPr>
      <w:r w:rsidRPr="006C5CDB">
        <w:rPr>
          <w:lang w:val="en-US" w:eastAsia="zh-CN"/>
        </w:rPr>
        <w:t xml:space="preserve">Figure 1a illustrates that for an </w:t>
      </w:r>
      <w:r w:rsidRPr="006C5CDB">
        <w:rPr>
          <w:lang w:val="en-US"/>
        </w:rPr>
        <w:t>ESOMP</w:t>
      </w:r>
      <w:r w:rsidRPr="006C5CDB" w:rsidDel="00E62CC0">
        <w:rPr>
          <w:lang w:val="en-US"/>
        </w:rPr>
        <w:t xml:space="preserve"> </w:t>
      </w:r>
      <w:r w:rsidRPr="006C5CDB">
        <w:rPr>
          <w:lang w:val="en-US"/>
        </w:rPr>
        <w:t xml:space="preserve">perfectly pointed to its wanted satellite, the boresight of the antenna and vector d coincide, and angles </w:t>
      </w:r>
      <m:oMath>
        <m:r>
          <m:rPr>
            <m:sty m:val="p"/>
          </m:rPr>
          <w:rPr>
            <w:rFonts w:ascii="Cambria Math" w:hAnsi="Cambria Math" w:cs="Cambria Math"/>
          </w:rPr>
          <m:t>θ</m:t>
        </m:r>
      </m:oMath>
      <w:r w:rsidRPr="006C5CDB">
        <w:rPr>
          <w:lang w:val="en-US"/>
        </w:rPr>
        <w:t xml:space="preserve"> and </w:t>
      </w:r>
      <m:oMath>
        <m:r>
          <m:rPr>
            <m:sty m:val="p"/>
          </m:rPr>
          <w:rPr>
            <w:rFonts w:ascii="Cambria Math" w:hAnsi="Cambria Math"/>
          </w:rPr>
          <m:t>φ</m:t>
        </m:r>
      </m:oMath>
      <w:r w:rsidRPr="006C5CDB">
        <w:rPr>
          <w:lang w:val="en-US"/>
        </w:rPr>
        <w:t xml:space="preserve"> are equal. Figure 1b illustrates the case in which the ESOMP is temporarily mis-pointed away from its wanted satellite. In this case, vector d and the boresight of the antenna lie on two different directions, and angle </w:t>
      </w:r>
      <m:oMath>
        <m:r>
          <m:rPr>
            <m:sty m:val="p"/>
          </m:rPr>
          <w:rPr>
            <w:rFonts w:ascii="Cambria Math" w:hAnsi="Cambria Math" w:cs="Cambria Math"/>
          </w:rPr>
          <m:t>θ</m:t>
        </m:r>
      </m:oMath>
      <w:r w:rsidRPr="006C5CDB">
        <w:rPr>
          <w:lang w:val="en-US"/>
        </w:rPr>
        <w:t xml:space="preserve"> would be equal to angle </w:t>
      </w:r>
      <m:oMath>
        <m:r>
          <m:rPr>
            <m:sty m:val="p"/>
          </m:rPr>
          <w:rPr>
            <w:rFonts w:ascii="Cambria Math" w:hAnsi="Cambria Math"/>
          </w:rPr>
          <m:t>φ</m:t>
        </m:r>
      </m:oMath>
      <w:r w:rsidRPr="006C5CDB">
        <w:rPr>
          <w:lang w:val="en-US"/>
        </w:rPr>
        <w:t xml:space="preserve"> plus the antenna mis-pointing in degrees. Because of potential mis-pointing, any limit on the e.i.r.p. spectral density is defined with respect to angle </w:t>
      </w:r>
      <m:oMath>
        <m:r>
          <m:rPr>
            <m:sty m:val="p"/>
          </m:rPr>
          <w:rPr>
            <w:rFonts w:ascii="Cambria Math" w:hAnsi="Cambria Math" w:cs="Cambria Math"/>
          </w:rPr>
          <m:t>θ</m:t>
        </m:r>
      </m:oMath>
      <w:r w:rsidRPr="006C5CDB">
        <w:rPr>
          <w:lang w:val="en-US"/>
        </w:rPr>
        <w:t xml:space="preserve"> and not to angle </w:t>
      </w:r>
      <m:oMath>
        <m:r>
          <m:rPr>
            <m:sty m:val="p"/>
          </m:rPr>
          <w:rPr>
            <w:rFonts w:ascii="Cambria Math" w:hAnsi="Cambria Math"/>
          </w:rPr>
          <m:t>φ</m:t>
        </m:r>
      </m:oMath>
      <w:r w:rsidRPr="006C5CDB">
        <w:rPr>
          <w:lang w:val="en-US"/>
        </w:rPr>
        <w:t>.</w:t>
      </w:r>
    </w:p>
    <w:p w:rsidR="006C5CDB" w:rsidRPr="006C5CDB" w:rsidRDefault="006C5CDB" w:rsidP="006C5CDB">
      <w:pPr>
        <w:overflowPunct/>
        <w:autoSpaceDE/>
        <w:autoSpaceDN/>
        <w:adjustRightInd/>
        <w:spacing w:before="0"/>
        <w:textAlignment w:val="auto"/>
        <w:rPr>
          <w:caps/>
          <w:sz w:val="28"/>
          <w:lang w:val="en-US"/>
        </w:rPr>
      </w:pPr>
      <w:r w:rsidRPr="006C5CDB">
        <w:rPr>
          <w:caps/>
          <w:sz w:val="28"/>
          <w:lang w:val="en-US"/>
        </w:rPr>
        <w:br w:type="page"/>
      </w:r>
    </w:p>
    <w:p w:rsidR="006C5CDB" w:rsidRPr="00250E45" w:rsidRDefault="006C5CDB" w:rsidP="00250E45">
      <w:pPr>
        <w:pStyle w:val="AnnexNoTitle"/>
        <w:rPr>
          <w:lang w:val="en-US"/>
        </w:rPr>
      </w:pPr>
      <w:r w:rsidRPr="00250E45">
        <w:rPr>
          <w:lang w:val="en-US"/>
        </w:rPr>
        <w:lastRenderedPageBreak/>
        <w:t>Annex 2</w:t>
      </w:r>
      <w:r w:rsidR="00250E45" w:rsidRPr="00250E45">
        <w:rPr>
          <w:lang w:val="en-US"/>
        </w:rPr>
        <w:br/>
      </w:r>
      <w:r w:rsidR="00250E45" w:rsidRPr="00250E45">
        <w:rPr>
          <w:lang w:val="en-US"/>
        </w:rPr>
        <w:br/>
      </w:r>
      <w:r w:rsidRPr="00250E45">
        <w:rPr>
          <w:lang w:val="en-US"/>
        </w:rPr>
        <w:t xml:space="preserve">Satellite tracking and pointing techniques of earth stations on mobile platforms </w:t>
      </w:r>
      <w:r w:rsidRPr="00250E45">
        <w:rPr>
          <w:lang w:val="en-US" w:eastAsia="zh-CN"/>
        </w:rPr>
        <w:t xml:space="preserve">communicating with geostationary space stations in the fixed-satellite </w:t>
      </w:r>
      <w:r w:rsidRPr="00250E45">
        <w:rPr>
          <w:lang w:val="en-US" w:eastAsia="zh-CN"/>
        </w:rPr>
        <w:br/>
        <w:t>service</w:t>
      </w:r>
      <w:r w:rsidRPr="00250E45">
        <w:rPr>
          <w:lang w:val="en-US"/>
        </w:rPr>
        <w:t xml:space="preserve"> operating in the frequency band 29.5-30.0 GHz</w:t>
      </w:r>
    </w:p>
    <w:p w:rsidR="006C5CDB" w:rsidRPr="006C5CDB" w:rsidRDefault="006C5CDB" w:rsidP="006C5CDB">
      <w:pPr>
        <w:rPr>
          <w:lang w:val="en-US"/>
        </w:rPr>
      </w:pPr>
      <w:r w:rsidRPr="006C5CDB">
        <w:rPr>
          <w:lang w:val="en-US"/>
        </w:rPr>
        <w:t>Earth stations operating while in motion employ relatively high gain directional antennas with</w:t>
      </w:r>
      <w:r w:rsidRPr="006C5CDB">
        <w:rPr>
          <w:szCs w:val="24"/>
          <w:lang w:val="en-US"/>
        </w:rPr>
        <w:t xml:space="preserve"> multiple-axis stabilization that </w:t>
      </w:r>
      <w:r w:rsidRPr="006C5CDB">
        <w:rPr>
          <w:lang w:val="en-US"/>
        </w:rPr>
        <w:t>allows the signal quality of the link between the earth station antenna and the wanted GSO FSS satellite (and vice versa) to be high. To maintain the signal quality it is also necessary for these earth stations to maintain high pointing accuracy towards the wanted GSO FSS satellite. This Annex describes algorithms that may be employed by earth stations that operate in motion for tracking of the wanted satellite as well as techniques that reduce the possibility of capturing and tracking an adjacent satellite.</w:t>
      </w:r>
    </w:p>
    <w:p w:rsidR="006C5CDB" w:rsidRPr="006C5CDB" w:rsidRDefault="006C5CDB" w:rsidP="006C5CDB">
      <w:pPr>
        <w:pStyle w:val="Heading1"/>
        <w:rPr>
          <w:lang w:val="en-US"/>
        </w:rPr>
      </w:pPr>
      <w:r w:rsidRPr="006C5CDB">
        <w:rPr>
          <w:lang w:val="en-US"/>
        </w:rPr>
        <w:t>1</w:t>
      </w:r>
      <w:r w:rsidRPr="006C5CDB">
        <w:rPr>
          <w:lang w:val="en-US"/>
        </w:rPr>
        <w:tab/>
        <w:t>Tracking techniques</w:t>
      </w:r>
    </w:p>
    <w:p w:rsidR="006C5CDB" w:rsidRPr="006C5CDB" w:rsidRDefault="006C5CDB" w:rsidP="006C5CDB">
      <w:pPr>
        <w:rPr>
          <w:lang w:val="en-US"/>
        </w:rPr>
      </w:pPr>
      <w:r w:rsidRPr="006C5CDB">
        <w:rPr>
          <w:lang w:val="en-US"/>
        </w:rPr>
        <w:t xml:space="preserve">There are well-known techniques for antenna tracking of a GSO FSS satellite which can be classified into two categories: those that make use of </w:t>
      </w:r>
      <w:r w:rsidRPr="006C5CDB">
        <w:rPr>
          <w:i/>
          <w:lang w:val="en-US"/>
        </w:rPr>
        <w:t xml:space="preserve">open-loop </w:t>
      </w:r>
      <w:r w:rsidRPr="006C5CDB">
        <w:rPr>
          <w:lang w:val="en-US"/>
        </w:rPr>
        <w:t xml:space="preserve">algorithms and those that make use of </w:t>
      </w:r>
      <w:r w:rsidRPr="006C5CDB">
        <w:rPr>
          <w:i/>
          <w:lang w:val="en-US"/>
        </w:rPr>
        <w:t>RF closed-loop</w:t>
      </w:r>
      <w:r w:rsidRPr="006C5CDB">
        <w:rPr>
          <w:lang w:val="en-US"/>
        </w:rPr>
        <w:t xml:space="preserve"> algorithms. The following subsections provide a brief description of each of the two types.</w:t>
      </w:r>
    </w:p>
    <w:p w:rsidR="006C5CDB" w:rsidRPr="006C5CDB" w:rsidRDefault="006C5CDB" w:rsidP="006C5CDB">
      <w:pPr>
        <w:pStyle w:val="Heading2"/>
        <w:rPr>
          <w:lang w:val="en-US"/>
        </w:rPr>
      </w:pPr>
      <w:r w:rsidRPr="006C5CDB">
        <w:rPr>
          <w:lang w:val="en-US"/>
        </w:rPr>
        <w:t>1.1</w:t>
      </w:r>
      <w:r w:rsidRPr="006C5CDB">
        <w:rPr>
          <w:lang w:val="en-US"/>
        </w:rPr>
        <w:tab/>
        <w:t>Open-loop pointing technique</w:t>
      </w:r>
    </w:p>
    <w:p w:rsidR="006C5CDB" w:rsidRDefault="006C5CDB" w:rsidP="006C5CDB">
      <w:pPr>
        <w:rPr>
          <w:lang w:val="en-US"/>
        </w:rPr>
      </w:pPr>
      <w:r w:rsidRPr="006C5CDB">
        <w:rPr>
          <w:lang w:val="en-US"/>
        </w:rPr>
        <w:t xml:space="preserve">An </w:t>
      </w:r>
      <w:r w:rsidRPr="006C5CDB">
        <w:rPr>
          <w:i/>
          <w:lang w:val="en-US"/>
        </w:rPr>
        <w:t xml:space="preserve">open-loop </w:t>
      </w:r>
      <w:r w:rsidRPr="006C5CDB">
        <w:rPr>
          <w:lang w:val="en-US"/>
        </w:rPr>
        <w:t xml:space="preserve">pointing technique employs a process of calculating the azimuth </w:t>
      </w:r>
      <w:r w:rsidRPr="006C5CDB">
        <w:rPr>
          <w:i/>
          <w:lang w:val="en-US"/>
        </w:rPr>
        <w:t>A</w:t>
      </w:r>
      <w:r w:rsidRPr="006C5CDB">
        <w:rPr>
          <w:lang w:val="en-US"/>
        </w:rPr>
        <w:t xml:space="preserve"> and elevation </w:t>
      </w:r>
      <w:r w:rsidRPr="006C5CDB">
        <w:rPr>
          <w:lang w:val="en-US"/>
        </w:rPr>
        <w:br/>
      </w:r>
      <w:r w:rsidRPr="006C5CDB">
        <w:rPr>
          <w:i/>
          <w:lang w:val="en-US"/>
        </w:rPr>
        <w:t>E</w:t>
      </w:r>
      <w:r w:rsidRPr="006C5CDB">
        <w:rPr>
          <w:lang w:val="en-US"/>
        </w:rPr>
        <w:t xml:space="preserve"> based upon the position of the earth station antenna on the earth (i.e., its latitude and longitude, acquired, for example, through a GPS signal) and the nominal longitude of the wanted satellite. The following equations show the relationship between the variables mentioned above:</w:t>
      </w:r>
    </w:p>
    <w:p w:rsidR="00143184" w:rsidRPr="006C5CDB" w:rsidRDefault="00143184" w:rsidP="006C5CDB">
      <w:pPr>
        <w:rPr>
          <w:lang w:val="en-US"/>
        </w:rPr>
      </w:pPr>
    </w:p>
    <w:p w:rsidR="006C5CDB" w:rsidRPr="006E7D95" w:rsidRDefault="006C5CDB" w:rsidP="006C5CDB">
      <w:pPr>
        <w:pStyle w:val="Equation"/>
        <w:rPr>
          <w:szCs w:val="24"/>
          <w:lang w:val="en-US"/>
        </w:rPr>
      </w:pPr>
      <w:r w:rsidRPr="006E7D95">
        <w:rPr>
          <w:szCs w:val="24"/>
          <w:lang w:val="en-US"/>
        </w:rPr>
        <w:tab/>
      </w:r>
      <w:r w:rsidRPr="006E7D95">
        <w:rPr>
          <w:szCs w:val="24"/>
          <w:lang w:val="en-US"/>
        </w:rPr>
        <w:tab/>
      </w:r>
      <m:oMath>
        <m:r>
          <w:rPr>
            <w:rFonts w:ascii="Cambria Math" w:hAnsi="Cambria Math"/>
            <w:szCs w:val="24"/>
          </w:rPr>
          <m:t>A</m:t>
        </m:r>
        <m:r>
          <m:rPr>
            <m:sty m:val="p"/>
          </m:rPr>
          <w:rPr>
            <w:rFonts w:ascii="Cambria Math" w:hAnsi="Cambria Math"/>
            <w:szCs w:val="24"/>
            <w:lang w:val="en-US"/>
          </w:rPr>
          <m:t>=</m:t>
        </m:r>
        <m:func>
          <m:funcPr>
            <m:ctrlPr>
              <w:rPr>
                <w:rFonts w:ascii="Cambria Math" w:hAnsi="Cambria Math"/>
                <w:szCs w:val="24"/>
              </w:rPr>
            </m:ctrlPr>
          </m:funcPr>
          <m:fName>
            <m:r>
              <m:rPr>
                <m:sty m:val="p"/>
              </m:rPr>
              <w:rPr>
                <w:rFonts w:ascii="Cambria Math" w:hAnsi="Cambria Math"/>
                <w:szCs w:val="24"/>
                <w:lang w:val="en-US"/>
              </w:rPr>
              <m:t>arctan</m:t>
            </m:r>
          </m:fName>
          <m:e>
            <m:d>
              <m:dPr>
                <m:ctrlPr>
                  <w:rPr>
                    <w:rFonts w:ascii="Cambria Math" w:hAnsi="Cambria Math"/>
                    <w:szCs w:val="24"/>
                  </w:rPr>
                </m:ctrlPr>
              </m:dPr>
              <m:e>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lang w:val="en-US"/>
                          </w:rPr>
                          <m:t>tan</m:t>
                        </m:r>
                      </m:fName>
                      <m:e>
                        <m:r>
                          <w:rPr>
                            <w:rFonts w:ascii="Cambria Math" w:hAnsi="Cambria Math"/>
                            <w:szCs w:val="24"/>
                          </w:rPr>
                          <m:t>L</m:t>
                        </m:r>
                      </m:e>
                    </m:func>
                  </m:num>
                  <m:den>
                    <m:func>
                      <m:funcPr>
                        <m:ctrlPr>
                          <w:rPr>
                            <w:rFonts w:ascii="Cambria Math" w:hAnsi="Cambria Math"/>
                            <w:szCs w:val="24"/>
                          </w:rPr>
                        </m:ctrlPr>
                      </m:funcPr>
                      <m:fName>
                        <m:r>
                          <m:rPr>
                            <m:sty m:val="p"/>
                          </m:rPr>
                          <w:rPr>
                            <w:rFonts w:ascii="Cambria Math" w:hAnsi="Cambria Math"/>
                            <w:szCs w:val="24"/>
                            <w:lang w:val="en-US"/>
                          </w:rPr>
                          <m:t>sin</m:t>
                        </m:r>
                      </m:fName>
                      <m:e>
                        <m:r>
                          <w:rPr>
                            <w:rFonts w:ascii="Cambria Math" w:hAnsi="Cambria Math"/>
                            <w:szCs w:val="24"/>
                          </w:rPr>
                          <m:t>l</m:t>
                        </m:r>
                      </m:e>
                    </m:func>
                  </m:den>
                </m:f>
              </m:e>
            </m:d>
          </m:e>
        </m:func>
      </m:oMath>
      <w:r w:rsidRPr="006E7D95">
        <w:rPr>
          <w:szCs w:val="24"/>
          <w:lang w:val="en-US"/>
        </w:rPr>
        <w:tab/>
        <w:t>(1)</w:t>
      </w:r>
    </w:p>
    <w:p w:rsidR="006E7D95" w:rsidRDefault="006C5CDB" w:rsidP="00143184">
      <w:pPr>
        <w:pStyle w:val="Equation"/>
        <w:rPr>
          <w:szCs w:val="24"/>
          <w:lang w:val="en-US"/>
        </w:rPr>
      </w:pPr>
      <w:r w:rsidRPr="006E7D95">
        <w:rPr>
          <w:szCs w:val="24"/>
          <w:lang w:val="en-US"/>
        </w:rPr>
        <w:tab/>
      </w:r>
      <w:r w:rsidRPr="006E7D95">
        <w:rPr>
          <w:szCs w:val="24"/>
          <w:lang w:val="en-US"/>
        </w:rPr>
        <w:tab/>
      </w:r>
    </w:p>
    <w:p w:rsidR="006C5CDB" w:rsidRPr="006E7D95" w:rsidRDefault="006E7D95" w:rsidP="00143184">
      <w:pPr>
        <w:pStyle w:val="Equation"/>
        <w:rPr>
          <w:szCs w:val="24"/>
          <w:lang w:val="en-US"/>
        </w:rPr>
      </w:pPr>
      <w:r>
        <w:rPr>
          <w:szCs w:val="24"/>
          <w:lang w:val="en-US"/>
        </w:rPr>
        <w:tab/>
      </w:r>
      <w:r>
        <w:rPr>
          <w:szCs w:val="24"/>
          <w:lang w:val="en-US"/>
        </w:rPr>
        <w:tab/>
      </w:r>
      <m:oMath>
        <m:r>
          <m:rPr>
            <m:sty m:val="p"/>
          </m:rPr>
          <w:rPr>
            <w:rFonts w:ascii="Cambria Math" w:hAnsi="Cambria Math" w:hint="eastAsia"/>
            <w:szCs w:val="24"/>
          </w:rPr>
          <m:t>ε</m:t>
        </m:r>
        <m:r>
          <w:rPr>
            <w:rFonts w:ascii="Cambria Math" w:hAnsi="Cambria Math"/>
            <w:szCs w:val="24"/>
            <w:lang w:val="en-US"/>
          </w:rPr>
          <m:t>=</m:t>
        </m:r>
        <m:func>
          <m:funcPr>
            <m:ctrlPr>
              <w:rPr>
                <w:rFonts w:ascii="Cambria Math" w:hAnsi="Cambria Math"/>
                <w:i/>
                <w:szCs w:val="24"/>
              </w:rPr>
            </m:ctrlPr>
          </m:funcPr>
          <m:fName>
            <m:r>
              <m:rPr>
                <m:sty m:val="p"/>
              </m:rPr>
              <w:rPr>
                <w:rFonts w:ascii="Cambria Math" w:hAnsi="Cambria Math"/>
                <w:szCs w:val="24"/>
                <w:lang w:val="en-US"/>
              </w:rPr>
              <m:t>arctan</m:t>
            </m:r>
          </m:fName>
          <m:e>
            <m:d>
              <m:dPr>
                <m:ctrlPr>
                  <w:rPr>
                    <w:rFonts w:ascii="Cambria Math" w:hAnsi="Cambria Math"/>
                    <w:i/>
                    <w:szCs w:val="24"/>
                  </w:rPr>
                </m:ctrlPr>
              </m:dPr>
              <m:e>
                <m:f>
                  <m:fPr>
                    <m:ctrlPr>
                      <w:rPr>
                        <w:rFonts w:ascii="Cambria Math" w:hAnsi="Cambria Math"/>
                        <w:i/>
                        <w:szCs w:val="24"/>
                      </w:rPr>
                    </m:ctrlPr>
                  </m:fPr>
                  <m:num>
                    <m:func>
                      <m:funcPr>
                        <m:ctrlPr>
                          <w:rPr>
                            <w:rFonts w:ascii="Cambria Math" w:hAnsi="Cambria Math"/>
                            <w:szCs w:val="24"/>
                          </w:rPr>
                        </m:ctrlPr>
                      </m:funcPr>
                      <m:fName>
                        <m:r>
                          <m:rPr>
                            <m:sty m:val="p"/>
                          </m:rPr>
                          <w:rPr>
                            <w:rFonts w:ascii="Cambria Math" w:hAnsi="Cambria Math"/>
                            <w:szCs w:val="24"/>
                            <w:lang w:val="en-US"/>
                          </w:rPr>
                          <m:t>cos</m:t>
                        </m:r>
                      </m:fName>
                      <m:e>
                        <m:r>
                          <m:rPr>
                            <m:sty m:val="p"/>
                          </m:rPr>
                          <w:rPr>
                            <w:rFonts w:ascii="Cambria Math" w:hAnsi="Cambria Math"/>
                            <w:szCs w:val="24"/>
                          </w:rPr>
                          <m:t>φ</m:t>
                        </m:r>
                        <m:ctrlPr>
                          <w:rPr>
                            <w:rFonts w:ascii="Cambria Math" w:hAnsi="Cambria Math"/>
                            <w:i/>
                            <w:szCs w:val="24"/>
                          </w:rPr>
                        </m:ctrlPr>
                      </m:e>
                    </m:func>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num>
                      <m:den>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lang w:val="en-US"/>
                              </w:rPr>
                              <m:t>+</m:t>
                            </m:r>
                            <m:r>
                              <w:rPr>
                                <w:rFonts w:ascii="Cambria Math" w:hAnsi="Cambria Math"/>
                                <w:szCs w:val="24"/>
                              </w:rPr>
                              <m:t>R</m:t>
                            </m:r>
                          </m:e>
                          <m:sub>
                            <m:r>
                              <w:rPr>
                                <w:rFonts w:ascii="Cambria Math" w:hAnsi="Cambria Math"/>
                                <w:szCs w:val="24"/>
                                <w:lang w:val="en-US"/>
                              </w:rPr>
                              <m:t>0</m:t>
                            </m:r>
                          </m:sub>
                        </m:sSub>
                      </m:den>
                    </m:f>
                  </m:num>
                  <m:den>
                    <m:func>
                      <m:funcPr>
                        <m:ctrlPr>
                          <w:rPr>
                            <w:rFonts w:ascii="Cambria Math" w:hAnsi="Cambria Math"/>
                            <w:i/>
                            <w:szCs w:val="24"/>
                          </w:rPr>
                        </m:ctrlPr>
                      </m:funcPr>
                      <m:fName>
                        <m:r>
                          <m:rPr>
                            <m:sty m:val="p"/>
                          </m:rPr>
                          <w:rPr>
                            <w:rFonts w:ascii="Cambria Math" w:hAnsi="Cambria Math"/>
                            <w:szCs w:val="24"/>
                            <w:lang w:val="en-US"/>
                          </w:rPr>
                          <m:t>sin</m:t>
                        </m:r>
                      </m:fName>
                      <m:e>
                        <m:r>
                          <m:rPr>
                            <m:sty m:val="p"/>
                          </m:rPr>
                          <w:rPr>
                            <w:rFonts w:ascii="Cambria Math" w:hAnsi="Cambria Math"/>
                            <w:szCs w:val="24"/>
                          </w:rPr>
                          <m:t>φ</m:t>
                        </m:r>
                      </m:e>
                    </m:func>
                  </m:den>
                </m:f>
              </m:e>
            </m:d>
          </m:e>
        </m:func>
      </m:oMath>
      <w:r w:rsidR="006C5CDB" w:rsidRPr="006E7D95">
        <w:rPr>
          <w:szCs w:val="24"/>
          <w:lang w:val="en-US"/>
        </w:rPr>
        <w:tab/>
        <w:t>(2)</w:t>
      </w:r>
    </w:p>
    <w:p w:rsidR="006C5CDB" w:rsidRPr="006C5CDB" w:rsidRDefault="006C5CDB" w:rsidP="006C5CDB">
      <w:pPr>
        <w:spacing w:before="0"/>
        <w:rPr>
          <w:lang w:val="en-US"/>
        </w:rPr>
      </w:pPr>
      <w:r w:rsidRPr="006C5CDB">
        <w:rPr>
          <w:lang w:val="en-US"/>
        </w:rPr>
        <w:t>where:</w:t>
      </w:r>
    </w:p>
    <w:p w:rsidR="006C5CDB" w:rsidRPr="00B2130C" w:rsidRDefault="006C5CDB" w:rsidP="00F166A8">
      <w:pPr>
        <w:pStyle w:val="Equationlegend"/>
        <w:tabs>
          <w:tab w:val="left" w:pos="2268"/>
        </w:tabs>
        <w:spacing w:before="0"/>
      </w:pPr>
      <w:r w:rsidRPr="00B2130C">
        <w:rPr>
          <w:i/>
        </w:rPr>
        <w:tab/>
      </w:r>
      <w:r w:rsidR="00CC1048">
        <w:rPr>
          <w:i/>
        </w:rPr>
        <w:tab/>
      </w:r>
      <w:r w:rsidRPr="00B2130C">
        <w:rPr>
          <w:i/>
        </w:rPr>
        <w:t>l</w:t>
      </w:r>
      <w:r w:rsidR="00CC1048">
        <w:rPr>
          <w:i/>
        </w:rPr>
        <w:tab/>
      </w:r>
      <w:r w:rsidR="00CC1048">
        <w:t>:</w:t>
      </w:r>
      <w:r w:rsidRPr="00B2130C">
        <w:t xml:space="preserve"> earth station latitude;</w:t>
      </w:r>
    </w:p>
    <w:p w:rsidR="006C5CDB" w:rsidRPr="00B2130C" w:rsidRDefault="006C5CDB" w:rsidP="00F166A8">
      <w:pPr>
        <w:pStyle w:val="Equationlegend"/>
        <w:tabs>
          <w:tab w:val="left" w:pos="2268"/>
        </w:tabs>
      </w:pPr>
      <w:r w:rsidRPr="00B2130C">
        <w:rPr>
          <w:i/>
        </w:rPr>
        <w:tab/>
      </w:r>
      <w:r w:rsidR="00CC1048">
        <w:rPr>
          <w:i/>
        </w:rPr>
        <w:tab/>
      </w:r>
      <w:r w:rsidRPr="00B2130C">
        <w:rPr>
          <w:i/>
        </w:rPr>
        <w:t>L</w:t>
      </w:r>
      <w:r w:rsidR="00CC1048">
        <w:rPr>
          <w:i/>
        </w:rPr>
        <w:tab/>
      </w:r>
      <w:r w:rsidR="00CC1048">
        <w:t>:</w:t>
      </w:r>
      <w:r w:rsidRPr="00B2130C">
        <w:t xml:space="preserve"> earth station relative longitude</w:t>
      </w:r>
      <w:r w:rsidRPr="00B2130C">
        <w:rPr>
          <w:rStyle w:val="FootnoteReference"/>
        </w:rPr>
        <w:footnoteReference w:id="4"/>
      </w:r>
      <w:r w:rsidRPr="00B2130C">
        <w:t>;</w:t>
      </w:r>
    </w:p>
    <w:p w:rsidR="006C5CDB" w:rsidRPr="006C5CDB" w:rsidRDefault="006C5CDB" w:rsidP="00143184">
      <w:pPr>
        <w:tabs>
          <w:tab w:val="left" w:pos="1418"/>
          <w:tab w:val="left" w:pos="2268"/>
        </w:tabs>
        <w:rPr>
          <w:lang w:val="en-US"/>
        </w:rPr>
      </w:pPr>
      <w:r w:rsidRPr="006C5CDB">
        <w:rPr>
          <w:lang w:val="en-US"/>
        </w:rPr>
        <w:tab/>
      </w:r>
      <w:r w:rsidR="00F166A8">
        <w:rPr>
          <w:lang w:val="en-US"/>
        </w:rPr>
        <w:tab/>
      </w:r>
      <m:oMath>
        <m:func>
          <m:funcPr>
            <m:ctrlPr>
              <w:rPr>
                <w:rFonts w:ascii="Cambria Math" w:hAnsi="Cambria Math"/>
              </w:rPr>
            </m:ctrlPr>
          </m:funcPr>
          <m:fName>
            <m:r>
              <m:rPr>
                <m:sty m:val="p"/>
              </m:rPr>
              <w:rPr>
                <w:rFonts w:ascii="Cambria Math" w:hAnsi="Cambria Math"/>
                <w:lang w:val="en-US"/>
              </w:rPr>
              <m:t>cos</m:t>
            </m:r>
          </m:fName>
          <m:e>
            <m:r>
              <m:rPr>
                <m:sty m:val="p"/>
              </m:rPr>
              <w:rPr>
                <w:rFonts w:ascii="Cambria Math" w:hAnsi="Cambria Math"/>
              </w:rPr>
              <m:t>φ</m:t>
            </m:r>
            <m:ctrlPr>
              <w:rPr>
                <w:rFonts w:ascii="Cambria Math" w:hAnsi="Cambria Math"/>
                <w:i/>
              </w:rPr>
            </m:ctrlPr>
          </m:e>
        </m:func>
        <m:r>
          <w:rPr>
            <w:rFonts w:ascii="Cambria Math" w:hAnsi="Cambria Math"/>
            <w:lang w:val="en-US"/>
          </w:rPr>
          <m:t>=</m:t>
        </m:r>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l</m:t>
            </m:r>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L</m:t>
                </m:r>
              </m:e>
            </m:func>
          </m:e>
        </m:func>
      </m:oMath>
      <w:r w:rsidRPr="006C5CDB">
        <w:rPr>
          <w:lang w:val="en-US"/>
        </w:rPr>
        <w:t>;</w:t>
      </w:r>
    </w:p>
    <w:p w:rsidR="006C5CDB" w:rsidRPr="00B2130C" w:rsidRDefault="00CC1048" w:rsidP="00F166A8">
      <w:pPr>
        <w:pStyle w:val="Equationlegend"/>
        <w:tabs>
          <w:tab w:val="left" w:pos="2268"/>
        </w:tabs>
      </w:pPr>
      <w:r>
        <w:tab/>
      </w:r>
      <w:r w:rsidR="006C5CDB" w:rsidRPr="00B2130C">
        <w:tab/>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B7460C">
        <w:tab/>
      </w:r>
      <w:r>
        <w:t>:</w:t>
      </w:r>
      <w:r w:rsidR="00B7460C">
        <w:t xml:space="preserve"> </w:t>
      </w:r>
      <w:r w:rsidR="006C5CDB" w:rsidRPr="00B2130C">
        <w:t>earth radius;</w:t>
      </w:r>
    </w:p>
    <w:p w:rsidR="006C5CDB" w:rsidRPr="00B2130C" w:rsidRDefault="006C5CDB" w:rsidP="00B7460C">
      <w:pPr>
        <w:pStyle w:val="Equationlegend"/>
        <w:tabs>
          <w:tab w:val="left" w:pos="2268"/>
        </w:tabs>
      </w:pPr>
      <w:r w:rsidRPr="00B2130C">
        <w:tab/>
      </w:r>
      <w:r w:rsidR="00CC1048">
        <w:tab/>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B7460C">
        <w:tab/>
        <w:t>:</w:t>
      </w:r>
      <w:r w:rsidR="00CC1048">
        <w:t xml:space="preserve"> </w:t>
      </w:r>
      <w:r w:rsidRPr="00B2130C">
        <w:t>altitude of the satellite.</w:t>
      </w:r>
    </w:p>
    <w:p w:rsidR="006C5CDB" w:rsidRPr="006C5CDB" w:rsidRDefault="006C5CDB" w:rsidP="006C5CDB">
      <w:pPr>
        <w:spacing w:before="240"/>
        <w:rPr>
          <w:lang w:val="en-US"/>
        </w:rPr>
      </w:pPr>
      <w:r w:rsidRPr="006C5CDB">
        <w:rPr>
          <w:lang w:val="en-US"/>
        </w:rPr>
        <w:t xml:space="preserve">Due to the movement (relative to the earth station) of the GSO FSS satellite within its </w:t>
      </w:r>
      <w:r w:rsidRPr="006C5CDB">
        <w:rPr>
          <w:i/>
          <w:lang w:val="en-US"/>
        </w:rPr>
        <w:t>station</w:t>
      </w:r>
      <w:r w:rsidRPr="006C5CDB">
        <w:rPr>
          <w:i/>
          <w:lang w:val="en-US"/>
        </w:rPr>
        <w:noBreakHyphen/>
        <w:t>keeping box</w:t>
      </w:r>
      <w:r w:rsidRPr="006C5CDB">
        <w:rPr>
          <w:lang w:val="en-US"/>
        </w:rPr>
        <w:t xml:space="preserve">, depending on the width of the main beam of the earth station antenna the azimuth and elevation angles of that antenna might need to be adjusted at consecutive instants in order for the link between the earth station and the satellite not to be deteriorated or – eventually – lost. By employing an </w:t>
      </w:r>
      <w:r w:rsidRPr="006C5CDB">
        <w:rPr>
          <w:i/>
          <w:lang w:val="en-US"/>
        </w:rPr>
        <w:t xml:space="preserve">open-loop </w:t>
      </w:r>
      <w:r w:rsidRPr="006C5CDB">
        <w:rPr>
          <w:lang w:val="en-US"/>
        </w:rPr>
        <w:t xml:space="preserve">pointing strategy, the angles are calculated in advance for each instant by taking into account </w:t>
      </w:r>
      <w:r w:rsidRPr="006C5CDB">
        <w:rPr>
          <w:lang w:val="en-US"/>
        </w:rPr>
        <w:lastRenderedPageBreak/>
        <w:t>the predicted apparent movement of the satellite.</w:t>
      </w:r>
      <w:r w:rsidR="00CE2594">
        <w:rPr>
          <w:lang w:val="en-US"/>
        </w:rPr>
        <w:t xml:space="preserve"> </w:t>
      </w:r>
      <w:r w:rsidRPr="006C5CDB">
        <w:rPr>
          <w:lang w:val="en-US"/>
        </w:rPr>
        <w:t>ESOMPs</w:t>
      </w:r>
      <w:r w:rsidRPr="006C5CDB" w:rsidDel="00E62CC0">
        <w:rPr>
          <w:lang w:val="en-US"/>
        </w:rPr>
        <w:t xml:space="preserve"> </w:t>
      </w:r>
      <w:r w:rsidRPr="006C5CDB">
        <w:rPr>
          <w:lang w:val="en-US"/>
        </w:rPr>
        <w:t>typically operate as part of a network and under control of a network management system.</w:t>
      </w:r>
      <w:r w:rsidR="00CE2594">
        <w:rPr>
          <w:lang w:val="en-US"/>
        </w:rPr>
        <w:t xml:space="preserve"> </w:t>
      </w:r>
      <w:r w:rsidRPr="006C5CDB">
        <w:rPr>
          <w:lang w:val="en-US"/>
        </w:rPr>
        <w:t>One method employed by network operators is to broadcast satellite ephemeris data as part of a system bulletin board message that is repeated regularly. Earth stations operating in motion may download this updated ephemeris information and use it as part of the pointing solution to maintain accurate pointing toward the satellite over time.</w:t>
      </w:r>
      <w:r w:rsidRPr="006C5CDB">
        <w:rPr>
          <w:i/>
          <w:iCs/>
          <w:lang w:val="en-US"/>
        </w:rPr>
        <w:t xml:space="preserve"> </w:t>
      </w:r>
      <w:r w:rsidRPr="006C5CDB">
        <w:rPr>
          <w:lang w:val="en-US"/>
        </w:rPr>
        <w:t>This information is then used by the Antenna Control Unit (ACU), as well as information about the orientation of the antenna platform from an inertial reference unit (IRU) to calculate the antenna pointing angles to the satellite.</w:t>
      </w:r>
    </w:p>
    <w:p w:rsidR="006C5CDB" w:rsidRPr="006C5CDB" w:rsidRDefault="006C5CDB" w:rsidP="006C5CDB">
      <w:pPr>
        <w:pStyle w:val="Heading2"/>
        <w:rPr>
          <w:lang w:val="en-US"/>
        </w:rPr>
      </w:pPr>
      <w:r w:rsidRPr="006C5CDB">
        <w:rPr>
          <w:lang w:val="en-US"/>
        </w:rPr>
        <w:t>1.2</w:t>
      </w:r>
      <w:r w:rsidRPr="006C5CDB">
        <w:rPr>
          <w:lang w:val="en-US"/>
        </w:rPr>
        <w:tab/>
        <w:t>RF closed-loop tracking technique</w:t>
      </w:r>
    </w:p>
    <w:p w:rsidR="006C5CDB" w:rsidRPr="006C5CDB" w:rsidRDefault="006C5CDB" w:rsidP="00BE46DE">
      <w:pPr>
        <w:rPr>
          <w:lang w:val="en-US"/>
        </w:rPr>
      </w:pPr>
      <w:r w:rsidRPr="006C5CDB">
        <w:rPr>
          <w:lang w:val="en-US"/>
        </w:rPr>
        <w:t xml:space="preserve">The second technique – RF closed-loop tracking – employs an algorithm that minimizes the pointing error by analysis of a pre-determined signal received from the wanted satellite. Since ESOMPs can change their position on the earth continuously and FSS spacecraft move about within their orbital station keeping limits, this technique may be more accurate than the open-loop method. The </w:t>
      </w:r>
      <w:r w:rsidRPr="006C5CDB">
        <w:rPr>
          <w:i/>
          <w:lang w:val="en-US"/>
        </w:rPr>
        <w:t>RF closed-loop</w:t>
      </w:r>
      <w:r w:rsidRPr="006C5CDB">
        <w:rPr>
          <w:lang w:val="en-US"/>
        </w:rPr>
        <w:t xml:space="preserve"> automatic tracking technique consists in adjusting, at successive steps, the antenna pointing by maximising the strength of a reference signal or a carrier transmitted by the wanted space station. In addition to an accuracy that can be very high (up to 0.05·</w:t>
      </w:r>
      <m:oMath>
        <m:sSub>
          <m:sSubPr>
            <m:ctrlPr>
              <w:rPr>
                <w:rFonts w:ascii="Cambria Math" w:hAnsi="Cambria Math" w:cs="Arial"/>
                <w:iCs/>
                <w:szCs w:val="24"/>
              </w:rPr>
            </m:ctrlPr>
          </m:sSubPr>
          <m:e>
            <m:r>
              <m:rPr>
                <m:sty m:val="p"/>
              </m:rPr>
              <w:rPr>
                <w:rFonts w:ascii="Cambria Math" w:hAnsi="Cambria Math" w:cs="Arial"/>
                <w:szCs w:val="24"/>
              </w:rPr>
              <m:t>θ</m:t>
            </m:r>
          </m:e>
          <m:sub>
            <m:r>
              <m:rPr>
                <m:sty m:val="p"/>
              </m:rPr>
              <w:rPr>
                <w:rFonts w:ascii="Cambria Math" w:hAnsi="Cambria Math" w:cs="Arial"/>
                <w:szCs w:val="24"/>
                <w:lang w:val="en-US"/>
              </w:rPr>
              <m:t>3dB</m:t>
            </m:r>
          </m:sub>
        </m:sSub>
      </m:oMath>
      <w:r w:rsidRPr="00E903A9">
        <w:rPr>
          <w:rStyle w:val="FootnoteReference"/>
          <w:szCs w:val="18"/>
        </w:rPr>
        <w:footnoteReference w:id="5"/>
      </w:r>
      <w:r w:rsidRPr="006C5CDB">
        <w:rPr>
          <w:lang w:val="en-US"/>
        </w:rPr>
        <w:t>), an advantage of this procedure is its autonomy, since the information used for tracking does not rely on the accuracy of the orbital data of the wanted satellite.</w:t>
      </w:r>
    </w:p>
    <w:p w:rsidR="006C5CDB" w:rsidRPr="006C5CDB" w:rsidRDefault="006C5CDB" w:rsidP="006C5CDB">
      <w:pPr>
        <w:rPr>
          <w:lang w:val="en-US"/>
        </w:rPr>
      </w:pPr>
      <w:r w:rsidRPr="006C5CDB">
        <w:rPr>
          <w:lang w:val="en-US"/>
        </w:rPr>
        <w:t>Furthermore, the precision with which the ESOMP</w:t>
      </w:r>
      <w:r w:rsidRPr="006C5CDB" w:rsidDel="00E62CC0">
        <w:rPr>
          <w:lang w:val="en-US"/>
        </w:rPr>
        <w:t xml:space="preserve"> </w:t>
      </w:r>
      <w:r w:rsidRPr="006C5CDB">
        <w:rPr>
          <w:lang w:val="en-US"/>
        </w:rPr>
        <w:t xml:space="preserve">points at the wanted satellite can be increased and maintained by an </w:t>
      </w:r>
      <w:r w:rsidRPr="006C5CDB">
        <w:rPr>
          <w:i/>
          <w:lang w:val="en-US"/>
        </w:rPr>
        <w:t>inertial platform</w:t>
      </w:r>
      <w:r w:rsidRPr="006C5CDB">
        <w:rPr>
          <w:lang w:val="en-US"/>
        </w:rPr>
        <w:t xml:space="preserve"> in which the antenna is installed. Such platforms are equipped with angular rate gyroscopes that can accurately measure the angular speed in pitch, yaw and roll to allow the servo-loops of the ACU to account for the platform’s motion.</w:t>
      </w:r>
    </w:p>
    <w:p w:rsidR="006C5CDB" w:rsidRPr="006C5CDB" w:rsidRDefault="006C5CDB" w:rsidP="004B057E">
      <w:pPr>
        <w:rPr>
          <w:lang w:val="en-US"/>
        </w:rPr>
      </w:pPr>
      <w:r w:rsidRPr="004B057E">
        <w:rPr>
          <w:iCs/>
          <w:lang w:val="en-US"/>
        </w:rPr>
        <w:t>Figure 2a and Fig</w:t>
      </w:r>
      <w:r w:rsidR="004B057E">
        <w:rPr>
          <w:iCs/>
          <w:lang w:val="en-US"/>
        </w:rPr>
        <w:t>.</w:t>
      </w:r>
      <w:r w:rsidRPr="004B057E">
        <w:rPr>
          <w:iCs/>
          <w:lang w:val="en-US"/>
        </w:rPr>
        <w:t xml:space="preserve"> 2b </w:t>
      </w:r>
      <w:r w:rsidRPr="006C5CDB">
        <w:rPr>
          <w:lang w:val="en-US"/>
        </w:rPr>
        <w:t xml:space="preserve">provide example block diagrams for earth station antenna systems using </w:t>
      </w:r>
      <w:r w:rsidRPr="006C5CDB">
        <w:rPr>
          <w:i/>
          <w:lang w:val="en-US"/>
        </w:rPr>
        <w:t xml:space="preserve">open-loop </w:t>
      </w:r>
      <w:r w:rsidRPr="006C5CDB">
        <w:rPr>
          <w:lang w:val="en-US"/>
        </w:rPr>
        <w:t xml:space="preserve">pointing and using </w:t>
      </w:r>
      <w:r w:rsidRPr="006C5CDB">
        <w:rPr>
          <w:i/>
          <w:lang w:val="en-US"/>
        </w:rPr>
        <w:t xml:space="preserve">RF closed-loop </w:t>
      </w:r>
      <w:r w:rsidRPr="006C5CDB">
        <w:rPr>
          <w:lang w:val="en-US"/>
        </w:rPr>
        <w:t>tracking, respectively. The figures illustrate the relationships between the different elements composing the typical antenna system used by an ESOMP to perform the pointing and tracking of the wanted satellite network.</w:t>
      </w:r>
    </w:p>
    <w:p w:rsidR="006C5CDB" w:rsidRPr="00B2130C" w:rsidRDefault="006C5CDB" w:rsidP="006C5CDB">
      <w:pPr>
        <w:pStyle w:val="FigureNo"/>
        <w:spacing w:after="240"/>
      </w:pPr>
      <w:r w:rsidRPr="00B2130C">
        <w:lastRenderedPageBreak/>
        <w:t>FIGURE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23"/>
      </w:tblGrid>
      <w:tr w:rsidR="006C5CDB" w:rsidRPr="00B2130C" w:rsidTr="00A54EA5">
        <w:tc>
          <w:tcPr>
            <w:tcW w:w="4927" w:type="dxa"/>
          </w:tcPr>
          <w:p w:rsidR="006C5CDB" w:rsidRPr="00B2130C" w:rsidRDefault="006C5CDB" w:rsidP="00A54EA5">
            <w:pPr>
              <w:jc w:val="center"/>
            </w:pPr>
            <w:r>
              <w:rPr>
                <w:noProof/>
                <w:lang w:val="en-US" w:eastAsia="zh-CN"/>
              </w:rPr>
              <mc:AlternateContent>
                <mc:Choice Requires="wps">
                  <w:drawing>
                    <wp:anchor distT="0" distB="0" distL="114284" distR="114284" simplePos="0" relativeHeight="251659264" behindDoc="0" locked="0" layoutInCell="1" allowOverlap="1" wp14:anchorId="767050DD" wp14:editId="4DDB21E6">
                      <wp:simplePos x="0" y="0"/>
                      <wp:positionH relativeFrom="column">
                        <wp:posOffset>2462529</wp:posOffset>
                      </wp:positionH>
                      <wp:positionV relativeFrom="paragraph">
                        <wp:posOffset>934085</wp:posOffset>
                      </wp:positionV>
                      <wp:extent cx="0" cy="201930"/>
                      <wp:effectExtent l="76200" t="38100" r="57150" b="26670"/>
                      <wp:wrapNone/>
                      <wp:docPr id="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48E6B2" id="_x0000_t32" coordsize="21600,21600" o:spt="32" o:oned="t" path="m,l21600,21600e" filled="f">
                      <v:path arrowok="t" fillok="f" o:connecttype="none"/>
                      <o:lock v:ext="edit" shapetype="t"/>
                    </v:shapetype>
                    <v:shape id="Straight Arrow Connector 1" o:spid="_x0000_s1026" type="#_x0000_t32" style="position:absolute;margin-left:193.9pt;margin-top:73.55pt;width:0;height:15.9pt;flip:y;z-index:251659264;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">
                      <v:stroke endarrow="block"/>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6AB058E2" wp14:editId="0A4EB843">
                      <wp:simplePos x="0" y="0"/>
                      <wp:positionH relativeFrom="column">
                        <wp:posOffset>2145665</wp:posOffset>
                      </wp:positionH>
                      <wp:positionV relativeFrom="paragraph">
                        <wp:posOffset>1136015</wp:posOffset>
                      </wp:positionV>
                      <wp:extent cx="712470" cy="568960"/>
                      <wp:effectExtent l="0" t="0" r="11430" b="215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68960"/>
                              </a:xfrm>
                              <a:prstGeom prst="rect">
                                <a:avLst/>
                              </a:prstGeom>
                              <a:solidFill>
                                <a:srgbClr val="FFFFFF"/>
                              </a:solidFill>
                              <a:ln w="9525">
                                <a:solidFill>
                                  <a:srgbClr val="000000"/>
                                </a:solidFill>
                                <a:miter lim="800000"/>
                                <a:headEnd/>
                                <a:tailEnd/>
                              </a:ln>
                            </wps:spPr>
                            <wps:txbx>
                              <w:txbxContent>
                                <w:p w:rsidR="006C5CDB" w:rsidRPr="00CC76E5" w:rsidRDefault="006C5CDB" w:rsidP="006C5CDB">
                                  <w:pPr>
                                    <w:rPr>
                                      <w:sz w:val="16"/>
                                      <w:szCs w:val="16"/>
                                      <w:lang w:val="en-US"/>
                                    </w:rPr>
                                  </w:pPr>
                                  <w:r>
                                    <w:rPr>
                                      <w:sz w:val="16"/>
                                      <w:szCs w:val="16"/>
                                      <w:lang w:val="en-US"/>
                                    </w:rPr>
                                    <w:t>Adjustments from inertial platform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058E2" id="_x0000_t202" coordsize="21600,21600" o:spt="202" path="m,l,21600r21600,l21600,xe">
                      <v:stroke joinstyle="miter"/>
                      <v:path gradientshapeok="t" o:connecttype="rect"/>
                    </v:shapetype>
                    <v:shape id="Text Box 7" o:spid="_x0000_s1026" type="#_x0000_t202" style="position:absolute;left:0;text-align:left;margin-left:168.95pt;margin-top:89.45pt;width:56.1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">
                      <v:textbox>
                        <w:txbxContent>
                          <w:p w:rsidR="006C5CDB" w:rsidRPr="00CC76E5" w:rsidRDefault="006C5CDB" w:rsidP="006C5CDB">
                            <w:pPr>
                              <w:rPr>
                                <w:sz w:val="16"/>
                                <w:szCs w:val="16"/>
                                <w:lang w:val="en-US"/>
                              </w:rPr>
                            </w:pPr>
                            <w:r>
                              <w:rPr>
                                <w:sz w:val="16"/>
                                <w:szCs w:val="16"/>
                                <w:lang w:val="en-US"/>
                              </w:rPr>
                              <w:t>Adjustments from inertial platform</w:t>
                            </w:r>
                          </w:p>
                        </w:txbxContent>
                      </v:textbox>
                    </v:shape>
                  </w:pict>
                </mc:Fallback>
              </mc:AlternateContent>
            </w:r>
            <w:r w:rsidRPr="008B5D1E">
              <w:rPr>
                <w:noProof/>
                <w:lang w:val="en-US" w:eastAsia="zh-CN"/>
              </w:rPr>
              <w:drawing>
                <wp:inline distT="0" distB="0" distL="0" distR="0" wp14:anchorId="08FF93DF" wp14:editId="4FD887F6">
                  <wp:extent cx="2793365" cy="1886585"/>
                  <wp:effectExtent l="19050" t="0" r="698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793365" cy="1886585"/>
                          </a:xfrm>
                          <a:prstGeom prst="rect">
                            <a:avLst/>
                          </a:prstGeom>
                          <a:noFill/>
                          <a:ln w="9525">
                            <a:noFill/>
                            <a:miter lim="800000"/>
                            <a:headEnd/>
                            <a:tailEnd/>
                          </a:ln>
                        </pic:spPr>
                      </pic:pic>
                    </a:graphicData>
                  </a:graphic>
                </wp:inline>
              </w:drawing>
            </w:r>
            <w:r w:rsidR="005E1B76">
              <w:t>a)</w:t>
            </w:r>
          </w:p>
        </w:tc>
        <w:tc>
          <w:tcPr>
            <w:tcW w:w="4928" w:type="dxa"/>
          </w:tcPr>
          <w:p w:rsidR="006C5CDB" w:rsidRPr="00B2130C" w:rsidRDefault="006C5CDB" w:rsidP="005E1B76">
            <w:pPr>
              <w:jc w:val="center"/>
            </w:pPr>
            <w:r w:rsidRPr="008B5D1E">
              <w:rPr>
                <w:noProof/>
                <w:lang w:val="en-US" w:eastAsia="zh-CN"/>
              </w:rPr>
              <w:drawing>
                <wp:inline distT="0" distB="0" distL="0" distR="0" wp14:anchorId="40E4B9D1" wp14:editId="21B94B6A">
                  <wp:extent cx="2822575" cy="18288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22575" cy="1828800"/>
                          </a:xfrm>
                          <a:prstGeom prst="rect">
                            <a:avLst/>
                          </a:prstGeom>
                          <a:noFill/>
                          <a:ln w="9525">
                            <a:noFill/>
                            <a:miter lim="800000"/>
                            <a:headEnd/>
                            <a:tailEnd/>
                          </a:ln>
                        </pic:spPr>
                      </pic:pic>
                    </a:graphicData>
                  </a:graphic>
                </wp:inline>
              </w:drawing>
            </w:r>
            <w:r w:rsidRPr="00B2130C">
              <w:t>b</w:t>
            </w:r>
            <w:r w:rsidR="005E1B76">
              <w:t>)</w:t>
            </w:r>
          </w:p>
        </w:tc>
      </w:tr>
    </w:tbl>
    <w:p w:rsidR="006C5CDB" w:rsidRPr="006C5CDB" w:rsidRDefault="006C5CDB" w:rsidP="006C5CDB">
      <w:pPr>
        <w:pStyle w:val="Heading1"/>
        <w:rPr>
          <w:lang w:val="en-US"/>
        </w:rPr>
      </w:pPr>
      <w:r w:rsidRPr="006C5CDB">
        <w:rPr>
          <w:lang w:val="en-US"/>
        </w:rPr>
        <w:t>2</w:t>
      </w:r>
      <w:r w:rsidRPr="006C5CDB">
        <w:rPr>
          <w:lang w:val="en-US"/>
        </w:rPr>
        <w:tab/>
        <w:t>Measures to avoid potential harmful interference due to mis-pointing of earth stations on mobile platforms</w:t>
      </w:r>
    </w:p>
    <w:p w:rsidR="006C5CDB" w:rsidRPr="006C5CDB" w:rsidRDefault="006C5CDB" w:rsidP="006C5CDB">
      <w:pPr>
        <w:rPr>
          <w:lang w:val="en-US"/>
        </w:rPr>
      </w:pPr>
      <w:r w:rsidRPr="006C5CDB">
        <w:rPr>
          <w:lang w:val="en-US"/>
        </w:rPr>
        <w:t>Meeting the limits specified in Annex 1 of this Report helps to minimize potential harmful interference from mis-pointing experienced by ESOMPs.</w:t>
      </w:r>
    </w:p>
    <w:p w:rsidR="006C5CDB" w:rsidRPr="006C5CDB" w:rsidRDefault="006C5CDB" w:rsidP="006C5CDB">
      <w:pPr>
        <w:rPr>
          <w:lang w:val="en-US"/>
        </w:rPr>
      </w:pPr>
      <w:r w:rsidRPr="006C5CDB">
        <w:rPr>
          <w:lang w:val="en-US"/>
        </w:rPr>
        <w:t>Taking into account the pointing accuracy and tracking capabilities of ESOMPs, it is important to develop measures to ensure that GSO FSS satellite networks located near the wanted GSO FSS satellite do not receive harmful interference from these earth stations. This section provides two example measures that can be applied to ensure that ESOMPs comply with the e.i.r.p. density limits specified above.</w:t>
      </w:r>
    </w:p>
    <w:p w:rsidR="006C5CDB" w:rsidRPr="006C5CDB" w:rsidRDefault="006C5CDB" w:rsidP="006C5CDB">
      <w:pPr>
        <w:rPr>
          <w:lang w:val="en-US"/>
        </w:rPr>
      </w:pPr>
      <w:r w:rsidRPr="006C5CDB">
        <w:rPr>
          <w:lang w:val="en-US"/>
        </w:rPr>
        <w:t>In the case of the open-loop pointing technique, the maximum mis-pointing of the earth station is determined by design and operational knowledge of wanted GSO satellite station keeping manoeuvers. Satellite ephemeris updates may be communicated to the earth station as necessary and the maximum transmitted e.i.r.p of the earth station is set accordingly to ensure that the applicable limits are met.</w:t>
      </w:r>
    </w:p>
    <w:p w:rsidR="006C5CDB" w:rsidRPr="006C5CDB" w:rsidRDefault="006C5CDB" w:rsidP="006C5CDB">
      <w:pPr>
        <w:rPr>
          <w:lang w:val="en-US"/>
        </w:rPr>
      </w:pPr>
      <w:r w:rsidRPr="006C5CDB">
        <w:rPr>
          <w:lang w:val="en-US"/>
        </w:rPr>
        <w:t xml:space="preserve">In the case of the </w:t>
      </w:r>
      <w:r w:rsidRPr="006C5CDB">
        <w:rPr>
          <w:i/>
          <w:lang w:val="en-US"/>
        </w:rPr>
        <w:t>RF closed-loop</w:t>
      </w:r>
      <w:r w:rsidRPr="006C5CDB">
        <w:rPr>
          <w:lang w:val="en-US"/>
        </w:rPr>
        <w:t xml:space="preserve"> tracking technique, the antenna pointing is continuously adjusted by maximising a pre-determined signal received from the wanted satellite. The choice of the signal is up to the satellite operator – some employ a separate carrier, such as a satellite beacon, while others use the same wide band carrier as that used for the forward link. The technical parameters of the signal employed by the RF closed-loop algorithm are important and should be agreed between GSO FSS satellite network operators. This is to ensure that the pointing error to the wanted GSO satellite can be determined instantaneously, so that continuous adjustments to the transmitted e.i.r.p. can be applied, as needed.</w:t>
      </w:r>
    </w:p>
    <w:p w:rsidR="006C5CDB" w:rsidRPr="006C5CDB" w:rsidRDefault="006C5CDB" w:rsidP="006C5CDB">
      <w:pPr>
        <w:rPr>
          <w:lang w:val="en-US" w:eastAsia="zh-CN"/>
        </w:rPr>
      </w:pPr>
      <w:r w:rsidRPr="006C5CDB">
        <w:rPr>
          <w:lang w:val="en-US"/>
        </w:rPr>
        <w:t>In the case of both open and closed loop systems, the terminal ceases transmission if it loses its wanted satellite acquisition.</w:t>
      </w:r>
    </w:p>
    <w:p w:rsidR="006C5CDB" w:rsidRDefault="006C5CDB" w:rsidP="006C5CDB">
      <w:pPr>
        <w:pStyle w:val="Reasons"/>
      </w:pPr>
    </w:p>
    <w:p w:rsidR="006C5CDB" w:rsidRPr="002F23E7" w:rsidRDefault="006C5CDB" w:rsidP="006C5CDB">
      <w:pPr>
        <w:jc w:val="center"/>
        <w:rPr>
          <w:lang w:eastAsia="zh-CN"/>
        </w:rPr>
      </w:pPr>
      <w:r>
        <w:t>______________</w:t>
      </w:r>
    </w:p>
    <w:sectPr w:rsidR="006C5CDB" w:rsidRPr="002F23E7" w:rsidSect="006C5CDB">
      <w:headerReference w:type="even" r:id="rId19"/>
      <w:headerReference w:type="default" r:id="rId20"/>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510" w:rsidRDefault="00296510">
      <w:r>
        <w:separator/>
      </w:r>
    </w:p>
  </w:endnote>
  <w:endnote w:type="continuationSeparator" w:id="0">
    <w:p w:rsidR="00296510" w:rsidRDefault="0029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510" w:rsidRDefault="00296510">
      <w:r>
        <w:separator/>
      </w:r>
    </w:p>
  </w:footnote>
  <w:footnote w:type="continuationSeparator" w:id="0">
    <w:p w:rsidR="00296510" w:rsidRDefault="00296510">
      <w:r>
        <w:continuationSeparator/>
      </w:r>
    </w:p>
  </w:footnote>
  <w:footnote w:id="1">
    <w:p w:rsidR="006C5CDB" w:rsidRPr="00545156" w:rsidRDefault="006C5CDB" w:rsidP="00250E45">
      <w:pPr>
        <w:pStyle w:val="FootnoteText"/>
        <w:rPr>
          <w:lang w:val="en-US"/>
        </w:rPr>
      </w:pPr>
      <w:r>
        <w:rPr>
          <w:rStyle w:val="FootnoteReference"/>
        </w:rPr>
        <w:footnoteRef/>
      </w:r>
      <w:r w:rsidRPr="006C5CDB">
        <w:rPr>
          <w:lang w:val="en-US"/>
        </w:rPr>
        <w:t xml:space="preserve"> </w:t>
      </w:r>
      <w:r w:rsidRPr="006C5CDB">
        <w:rPr>
          <w:lang w:val="en-US"/>
        </w:rPr>
        <w:tab/>
        <w:t>This Report further elaborates the technical and operational requirements provided in Report ITU-R S.2223 for ESOMPs specifically operating in the sub-bands 19.7-20.2 GHz and 29.5-30.0 GHz.</w:t>
      </w:r>
    </w:p>
  </w:footnote>
  <w:footnote w:id="2">
    <w:p w:rsidR="006C5CDB" w:rsidRPr="006C5CDB" w:rsidRDefault="006C5CDB" w:rsidP="00E64371">
      <w:pPr>
        <w:pStyle w:val="FootnoteText"/>
        <w:spacing w:before="0"/>
        <w:rPr>
          <w:lang w:val="en-US"/>
        </w:rPr>
      </w:pPr>
      <w:r w:rsidRPr="00D4151D">
        <w:rPr>
          <w:rStyle w:val="FootnoteReference"/>
        </w:rPr>
        <w:footnoteRef/>
      </w:r>
      <w:r w:rsidRPr="006C5CDB">
        <w:rPr>
          <w:szCs w:val="24"/>
          <w:lang w:val="en-US"/>
        </w:rPr>
        <w:tab/>
        <w:t xml:space="preserve">It should be noted that the definition of angle </w:t>
      </w:r>
      <w:r w:rsidRPr="00EF66C4">
        <w:rPr>
          <w:szCs w:val="24"/>
        </w:rPr>
        <w:t>θ</w:t>
      </w:r>
      <w:r w:rsidRPr="006C5CDB">
        <w:rPr>
          <w:szCs w:val="24"/>
          <w:lang w:val="en-US"/>
        </w:rPr>
        <w:t xml:space="preserve"> is different to that of angle </w:t>
      </w:r>
      <w:r w:rsidRPr="00EF66C4">
        <w:rPr>
          <w:szCs w:val="24"/>
        </w:rPr>
        <w:t>φ</w:t>
      </w:r>
      <w:r w:rsidRPr="006C5CDB">
        <w:rPr>
          <w:szCs w:val="24"/>
          <w:lang w:val="en-US"/>
        </w:rPr>
        <w:t xml:space="preserve"> contained in Recommendation ITU-R S.524-9. The angle </w:t>
      </w:r>
      <w:r w:rsidRPr="00EF66C4">
        <w:rPr>
          <w:szCs w:val="24"/>
        </w:rPr>
        <w:t>θ</w:t>
      </w:r>
      <w:r w:rsidRPr="006C5CDB">
        <w:rPr>
          <w:szCs w:val="24"/>
          <w:lang w:val="en-US"/>
        </w:rPr>
        <w:t xml:space="preserve"> is introduced to address possible mis-pointing from earth stations on mobile platforms, which is not a consideration in Recommendation</w:t>
      </w:r>
      <w:r w:rsidR="00E64371">
        <w:rPr>
          <w:szCs w:val="24"/>
          <w:lang w:val="en-US"/>
        </w:rPr>
        <w:t xml:space="preserve"> </w:t>
      </w:r>
      <w:r w:rsidRPr="006C5CDB">
        <w:rPr>
          <w:szCs w:val="24"/>
          <w:lang w:val="en-US"/>
        </w:rPr>
        <w:t>ITU</w:t>
      </w:r>
      <w:r w:rsidRPr="006C5CDB">
        <w:rPr>
          <w:szCs w:val="24"/>
          <w:lang w:val="en-US"/>
        </w:rPr>
        <w:noBreakHyphen/>
        <w:t>R S.524</w:t>
      </w:r>
      <w:r w:rsidRPr="006C5CDB">
        <w:rPr>
          <w:szCs w:val="24"/>
          <w:lang w:val="en-US"/>
        </w:rPr>
        <w:noBreakHyphen/>
        <w:t>9.</w:t>
      </w:r>
    </w:p>
  </w:footnote>
  <w:footnote w:id="3">
    <w:p w:rsidR="006C5CDB" w:rsidRPr="006C5CDB" w:rsidRDefault="006C5CDB" w:rsidP="00250E45">
      <w:pPr>
        <w:tabs>
          <w:tab w:val="left" w:pos="284"/>
        </w:tabs>
        <w:rPr>
          <w:lang w:val="en-US"/>
        </w:rPr>
      </w:pPr>
      <w:r>
        <w:rPr>
          <w:rStyle w:val="FootnoteReference"/>
        </w:rPr>
        <w:footnoteRef/>
      </w:r>
      <w:r w:rsidRPr="006C5CDB">
        <w:rPr>
          <w:lang w:val="en-US"/>
        </w:rPr>
        <w:tab/>
      </w:r>
      <w:r w:rsidRPr="006C5CDB">
        <w:rPr>
          <w:szCs w:val="24"/>
          <w:lang w:val="en-US"/>
        </w:rPr>
        <w:t xml:space="preserve">In </w:t>
      </w:r>
      <w:r w:rsidRPr="006C5CDB">
        <w:rPr>
          <w:iCs/>
          <w:szCs w:val="24"/>
          <w:lang w:val="en-US"/>
        </w:rPr>
        <w:t>Fig</w:t>
      </w:r>
      <w:r w:rsidR="00250E45">
        <w:rPr>
          <w:iCs/>
          <w:szCs w:val="24"/>
          <w:lang w:val="en-US"/>
        </w:rPr>
        <w:t>.</w:t>
      </w:r>
      <w:r w:rsidRPr="006C5CDB">
        <w:rPr>
          <w:iCs/>
          <w:szCs w:val="24"/>
          <w:lang w:val="en-US"/>
        </w:rPr>
        <w:t xml:space="preserve"> 1</w:t>
      </w:r>
      <w:r w:rsidRPr="006C5CDB">
        <w:rPr>
          <w:szCs w:val="24"/>
          <w:lang w:val="en-US"/>
        </w:rPr>
        <w:t xml:space="preserve"> proportions are illustrative and not to scale</w:t>
      </w:r>
      <w:r w:rsidRPr="006C5CDB">
        <w:rPr>
          <w:sz w:val="20"/>
          <w:lang w:val="en-US"/>
        </w:rPr>
        <w:t>.</w:t>
      </w:r>
    </w:p>
  </w:footnote>
  <w:footnote w:id="4">
    <w:p w:rsidR="006C5CDB" w:rsidRPr="006C5CDB" w:rsidRDefault="006C5CDB" w:rsidP="006C5CDB">
      <w:pPr>
        <w:pStyle w:val="FootnoteText"/>
        <w:spacing w:before="0"/>
        <w:rPr>
          <w:szCs w:val="24"/>
          <w:lang w:val="en-US"/>
        </w:rPr>
      </w:pPr>
      <w:r>
        <w:rPr>
          <w:rStyle w:val="FootnoteReference"/>
        </w:rPr>
        <w:footnoteRef/>
      </w:r>
      <w:r w:rsidRPr="006C5CDB">
        <w:rPr>
          <w:lang w:val="en-US"/>
        </w:rPr>
        <w:tab/>
      </w:r>
      <w:r w:rsidRPr="006C5CDB">
        <w:rPr>
          <w:szCs w:val="24"/>
          <w:lang w:val="en-US"/>
        </w:rPr>
        <w:t>The relative longitude is defined as the absolute value of the difference from the longitude of the earth station to that of the satellite.</w:t>
      </w:r>
    </w:p>
  </w:footnote>
  <w:footnote w:id="5">
    <w:p w:rsidR="006C5CDB" w:rsidRPr="006C5CDB" w:rsidRDefault="006C5CDB" w:rsidP="006C5CDB">
      <w:pPr>
        <w:pStyle w:val="FootnoteText"/>
        <w:spacing w:before="0"/>
        <w:rPr>
          <w:rFonts w:ascii="Arial" w:hAnsi="Arial" w:cs="Arial"/>
          <w:szCs w:val="24"/>
          <w:lang w:val="en-US"/>
        </w:rPr>
      </w:pPr>
      <w:r w:rsidRPr="004146E1">
        <w:rPr>
          <w:rStyle w:val="FootnoteReference"/>
        </w:rPr>
        <w:footnoteRef/>
      </w:r>
      <w:r w:rsidRPr="006C5CDB">
        <w:rPr>
          <w:i/>
          <w:szCs w:val="24"/>
          <w:lang w:val="en-US"/>
        </w:rPr>
        <w:tab/>
      </w:r>
      <w:r w:rsidRPr="005E1B76">
        <w:rPr>
          <w:iCs/>
          <w:szCs w:val="24"/>
        </w:rPr>
        <w:t>θ</w:t>
      </w:r>
      <w:r w:rsidRPr="005E1B76">
        <w:rPr>
          <w:iCs/>
          <w:szCs w:val="24"/>
          <w:vertAlign w:val="subscript"/>
          <w:lang w:val="en-US"/>
        </w:rPr>
        <w:t>3dB</w:t>
      </w:r>
      <w:r w:rsidRPr="005E1B76">
        <w:rPr>
          <w:iCs/>
          <w:szCs w:val="24"/>
          <w:lang w:val="en-US"/>
        </w:rPr>
        <w:t xml:space="preserve"> </w:t>
      </w:r>
      <w:r w:rsidRPr="006C5CDB">
        <w:rPr>
          <w:szCs w:val="24"/>
          <w:lang w:val="en-US"/>
        </w:rPr>
        <w:t>is the 3 dB angular width of the earth station on mobile platform antenna and can be approximated by the following:</w:t>
      </w:r>
    </w:p>
    <w:p w:rsidR="006C5CDB" w:rsidRDefault="00032C79" w:rsidP="006C5CDB">
      <w:pPr>
        <w:spacing w:before="0"/>
        <w:rPr>
          <w:sz w:val="20"/>
        </w:rPr>
      </w:pPr>
      <m:oMathPara>
        <m:oMath>
          <m:sSub>
            <m:sSubPr>
              <m:ctrlPr>
                <w:rPr>
                  <w:rFonts w:ascii="Cambria Math" w:hAnsi="Cambria Math" w:cs="Arial"/>
                  <w:iCs/>
                  <w:sz w:val="20"/>
                </w:rPr>
              </m:ctrlPr>
            </m:sSubPr>
            <m:e>
              <m:r>
                <m:rPr>
                  <m:sty m:val="p"/>
                </m:rPr>
                <w:rPr>
                  <w:rFonts w:ascii="Cambria Math" w:hAnsi="Cambria Math" w:cs="Arial"/>
                  <w:sz w:val="20"/>
                </w:rPr>
                <m:t>θ</m:t>
              </m:r>
            </m:e>
            <m:sub>
              <m:r>
                <m:rPr>
                  <m:sty m:val="p"/>
                </m:rPr>
                <w:rPr>
                  <w:rFonts w:ascii="Cambria Math" w:hAnsi="Cambria Math" w:cs="Arial"/>
                  <w:sz w:val="20"/>
                </w:rPr>
                <m:t>3dB</m:t>
              </m:r>
            </m:sub>
          </m:sSub>
          <m:r>
            <w:rPr>
              <w:rFonts w:ascii="Cambria Math" w:hAnsi="Cambria Math" w:cs="Arial"/>
              <w:sz w:val="20"/>
            </w:rPr>
            <m:t xml:space="preserve">=70 </m:t>
          </m:r>
          <m:f>
            <m:fPr>
              <m:ctrlPr>
                <w:rPr>
                  <w:rFonts w:ascii="Cambria Math" w:hAnsi="Cambria Math" w:cs="Arial"/>
                  <w:i/>
                  <w:sz w:val="20"/>
                </w:rPr>
              </m:ctrlPr>
            </m:fPr>
            <m:num>
              <m:r>
                <m:rPr>
                  <m:sty m:val="p"/>
                </m:rPr>
                <w:rPr>
                  <w:rFonts w:ascii="Cambria Math" w:hAnsi="Cambria Math" w:cs="Arial"/>
                  <w:sz w:val="20"/>
                </w:rPr>
                <m:t>λ</m:t>
              </m:r>
            </m:num>
            <m:den>
              <m:r>
                <w:rPr>
                  <w:rFonts w:ascii="Cambria Math" w:hAnsi="Cambria Math" w:cs="Arial"/>
                  <w:sz w:val="20"/>
                </w:rPr>
                <m:t>D</m:t>
              </m:r>
            </m:den>
          </m:f>
        </m:oMath>
      </m:oMathPara>
    </w:p>
    <w:p w:rsidR="006C5CDB" w:rsidRPr="004B057E" w:rsidRDefault="006C5CDB" w:rsidP="006C5CDB">
      <w:pPr>
        <w:spacing w:before="0"/>
        <w:rPr>
          <w:sz w:val="22"/>
          <w:szCs w:val="22"/>
          <w:lang w:val="en-US"/>
        </w:rPr>
      </w:pPr>
      <w:r w:rsidRPr="004B057E">
        <w:rPr>
          <w:sz w:val="22"/>
          <w:szCs w:val="22"/>
          <w:lang w:val="en-US"/>
        </w:rPr>
        <w:t>where:</w:t>
      </w:r>
    </w:p>
    <w:p w:rsidR="006C5CDB" w:rsidRPr="004B057E" w:rsidRDefault="006C5CDB" w:rsidP="00BE46DE">
      <w:pPr>
        <w:pStyle w:val="Equationlegend"/>
        <w:spacing w:before="0"/>
        <w:rPr>
          <w:sz w:val="22"/>
          <w:szCs w:val="22"/>
        </w:rPr>
      </w:pPr>
      <w:r w:rsidRPr="004B057E">
        <w:rPr>
          <w:i/>
          <w:sz w:val="22"/>
          <w:szCs w:val="22"/>
        </w:rPr>
        <w:tab/>
      </w:r>
      <w:r w:rsidR="00BE46DE" w:rsidRPr="004B057E">
        <w:rPr>
          <w:i/>
          <w:sz w:val="22"/>
          <w:szCs w:val="22"/>
        </w:rPr>
        <w:tab/>
      </w:r>
      <w:r w:rsidRPr="004B057E">
        <w:rPr>
          <w:iCs/>
          <w:sz w:val="22"/>
          <w:szCs w:val="22"/>
        </w:rPr>
        <w:t>λ</w:t>
      </w:r>
      <w:r w:rsidR="00BE46DE" w:rsidRPr="004B057E">
        <w:rPr>
          <w:iCs/>
          <w:sz w:val="22"/>
          <w:szCs w:val="22"/>
        </w:rPr>
        <w:tab/>
      </w:r>
      <w:r w:rsidRPr="004B057E">
        <w:rPr>
          <w:i/>
          <w:sz w:val="22"/>
          <w:szCs w:val="22"/>
        </w:rPr>
        <w:t xml:space="preserve"> </w:t>
      </w:r>
      <w:r w:rsidR="00BE46DE" w:rsidRPr="004B057E">
        <w:rPr>
          <w:sz w:val="22"/>
          <w:szCs w:val="22"/>
        </w:rPr>
        <w:t>:</w:t>
      </w:r>
      <w:r w:rsidRPr="004B057E">
        <w:rPr>
          <w:sz w:val="22"/>
          <w:szCs w:val="22"/>
        </w:rPr>
        <w:t xml:space="preserve"> transmission wavelength (m);</w:t>
      </w:r>
      <w:r w:rsidR="00CE2594">
        <w:rPr>
          <w:sz w:val="22"/>
          <w:szCs w:val="22"/>
        </w:rPr>
        <w:t xml:space="preserve"> </w:t>
      </w:r>
      <w:r w:rsidRPr="004B057E">
        <w:rPr>
          <w:sz w:val="22"/>
          <w:szCs w:val="22"/>
        </w:rPr>
        <w:t>and</w:t>
      </w:r>
    </w:p>
    <w:p w:rsidR="006C5CDB" w:rsidRPr="004B057E" w:rsidRDefault="006C5CDB" w:rsidP="00BE46DE">
      <w:pPr>
        <w:pStyle w:val="Equationlegend"/>
        <w:rPr>
          <w:sz w:val="22"/>
          <w:szCs w:val="22"/>
        </w:rPr>
      </w:pPr>
      <w:r w:rsidRPr="004B057E">
        <w:rPr>
          <w:sz w:val="22"/>
          <w:szCs w:val="22"/>
        </w:rPr>
        <w:tab/>
      </w:r>
      <w:r w:rsidR="00BE46DE" w:rsidRPr="004B057E">
        <w:rPr>
          <w:sz w:val="22"/>
          <w:szCs w:val="22"/>
        </w:rPr>
        <w:tab/>
      </w:r>
      <w:r w:rsidRPr="004B057E">
        <w:rPr>
          <w:i/>
          <w:sz w:val="22"/>
          <w:szCs w:val="22"/>
        </w:rPr>
        <w:t>D</w:t>
      </w:r>
      <w:r w:rsidRPr="004B057E">
        <w:rPr>
          <w:sz w:val="22"/>
          <w:szCs w:val="22"/>
        </w:rPr>
        <w:t xml:space="preserve"> </w:t>
      </w:r>
      <w:r w:rsidR="00BE46DE" w:rsidRPr="004B057E">
        <w:rPr>
          <w:sz w:val="22"/>
          <w:szCs w:val="22"/>
        </w:rPr>
        <w:t>: is the antenna diameter (</w:t>
      </w:r>
      <w:r w:rsidRPr="004B057E">
        <w:rPr>
          <w:sz w:val="22"/>
          <w:szCs w:val="22"/>
        </w:rPr>
        <w: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2" w:rsidRPr="004E46B8" w:rsidRDefault="00235332" w:rsidP="0095682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32C7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32C79" w:rsidRPr="00032C7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32C79">
      <w:rPr>
        <w:b/>
        <w:bCs/>
        <w:noProof/>
      </w:rPr>
      <w:t>ITU-R S.2357-0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2" w:rsidRDefault="00235332" w:rsidP="00B033C8">
    <w:pPr>
      <w:pStyle w:val="Header"/>
      <w:ind w:right="360" w:firstLine="360"/>
    </w:pPr>
    <w:r>
      <w:rPr>
        <w:noProof/>
        <w:lang w:val="en-US" w:eastAsia="zh-CN"/>
      </w:rPr>
      <w:drawing>
        <wp:anchor distT="0" distB="0" distL="114300" distR="114300" simplePos="0" relativeHeight="251669504"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43" name="Picture 4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2" w:rsidRDefault="00235332" w:rsidP="006338C0">
    <w:pPr>
      <w:pStyle w:val="Header"/>
    </w:pPr>
    <w:r>
      <w:tab/>
    </w:r>
    <w:r>
      <w:fldChar w:fldCharType="begin"/>
    </w:r>
    <w:r w:rsidRPr="004E46B8">
      <w:rPr>
        <w:lang w:val="en-US"/>
      </w:rPr>
      <w:instrText xml:space="preserve"> DOCPROPERTY "Header 2" \* MERGEFORMAT </w:instrText>
    </w:r>
    <w:r>
      <w:fldChar w:fldCharType="separate"/>
    </w:r>
    <w:r w:rsidR="00032C79" w:rsidRPr="00032C7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32C79">
      <w:rPr>
        <w:b/>
        <w:bCs/>
        <w:noProof/>
      </w:rPr>
      <w:t>ITU-R S.2357-0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2C79">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2" w:rsidRDefault="00235332" w:rsidP="005B12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2C79">
      <w:rPr>
        <w:rStyle w:val="PageNumber"/>
        <w:b/>
        <w:bCs/>
        <w:noProof/>
        <w:lang w:val="en-US"/>
      </w:rPr>
      <w:t>10</w:t>
    </w:r>
    <w:r>
      <w:rPr>
        <w:rStyle w:val="PageNumber"/>
        <w:b/>
        <w:bCs/>
      </w:rPr>
      <w:fldChar w:fldCharType="end"/>
    </w:r>
    <w:r>
      <w:rPr>
        <w:lang w:val="en-US"/>
      </w:rPr>
      <w:tab/>
    </w:r>
    <w:fldSimple w:instr=" DOCPROPERTY &quot;Header 2&quot; \* MERGEFORMAT ">
      <w:r w:rsidR="00032C79" w:rsidRPr="00032C79">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32C79">
      <w:rPr>
        <w:b/>
        <w:bCs/>
        <w:noProof/>
      </w:rPr>
      <w:t>ITU-R S.2357-0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32" w:rsidRPr="00C00883" w:rsidRDefault="00235332" w:rsidP="00C00883">
    <w:pPr>
      <w:pStyle w:val="Header"/>
    </w:pPr>
    <w:r w:rsidRPr="00C00883">
      <w:rPr>
        <w:lang w:val="en-US"/>
      </w:rPr>
      <w:tab/>
    </w:r>
    <w:fldSimple w:instr=" DOCPROPERTY &quot;Header 2&quot; \* MERGEFORMAT ">
      <w:r w:rsidR="00032C79" w:rsidRPr="00032C79">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32C79">
      <w:rPr>
        <w:b/>
        <w:bCs/>
        <w:noProof/>
      </w:rPr>
      <w:t>ITU-R S.2357-0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032C79">
      <w:rPr>
        <w:b/>
        <w:bCs/>
        <w:noProof/>
        <w:lang w:val="en-US"/>
      </w:rPr>
      <w:t>9</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lvlText w:val="%1."/>
      <w:lvlJc w:val="left"/>
      <w:pPr>
        <w:tabs>
          <w:tab w:val="num" w:pos="720"/>
        </w:tabs>
        <w:ind w:left="720" w:hanging="360"/>
      </w:pPr>
      <w:rPr>
        <w:rFonts w:ascii="Times New Roman" w:hAnsi="Times New Roman" w:cs="Times New Roman"/>
      </w:rPr>
    </w:lvl>
  </w:abstractNum>
  <w:abstractNum w:abstractNumId="1" w15:restartNumberingAfterBreak="0">
    <w:nsid w:val="FFFFFF82"/>
    <w:multiLevelType w:val="singleLevel"/>
    <w:tmpl w:val="126030C6"/>
    <w:lvl w:ilvl="0">
      <w:start w:val="1"/>
      <w:numFmt w:val="bullet"/>
      <w:lvlText w:val=""/>
      <w:lvlJc w:val="left"/>
      <w:pPr>
        <w:tabs>
          <w:tab w:val="num" w:pos="1080"/>
        </w:tabs>
        <w:ind w:left="1080" w:hanging="360"/>
      </w:pPr>
      <w:rPr>
        <w:rFonts w:ascii="Symbol" w:hAnsi="Symbol" w:cs="Symbol" w:hint="default"/>
      </w:rPr>
    </w:lvl>
  </w:abstractNum>
  <w:abstractNum w:abstractNumId="2" w15:restartNumberingAfterBreak="0">
    <w:nsid w:val="FFFFFF83"/>
    <w:multiLevelType w:val="singleLevel"/>
    <w:tmpl w:val="239C739E"/>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FFFFFF88"/>
    <w:multiLevelType w:val="singleLevel"/>
    <w:tmpl w:val="487883AE"/>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6"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cs="Symbol" w:hint="default"/>
      </w:rPr>
    </w:lvl>
  </w:abstractNum>
  <w:abstractNum w:abstractNumId="7" w15:restartNumberingAfterBreak="0">
    <w:nsid w:val="04247A8A"/>
    <w:multiLevelType w:val="multilevel"/>
    <w:tmpl w:val="8DA81258"/>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8"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065C2E20"/>
    <w:multiLevelType w:val="singleLevel"/>
    <w:tmpl w:val="B6CEB0FA"/>
    <w:lvl w:ilvl="0">
      <w:start w:val="1"/>
      <w:numFmt w:val="decimal"/>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0"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1" w15:restartNumberingAfterBreak="0">
    <w:nsid w:val="0A2D2333"/>
    <w:multiLevelType w:val="singleLevel"/>
    <w:tmpl w:val="31BC6C98"/>
    <w:lvl w:ilvl="0">
      <w:start w:val="1"/>
      <w:numFmt w:val="bullet"/>
      <w:lvlText w:val=""/>
      <w:lvlJc w:val="left"/>
      <w:pPr>
        <w:tabs>
          <w:tab w:val="num" w:pos="640"/>
        </w:tabs>
        <w:ind w:left="640" w:hanging="440"/>
      </w:pPr>
      <w:rPr>
        <w:rFonts w:ascii="Symbol" w:hAnsi="Symbol" w:cs="Symbol" w:hint="default"/>
      </w:rPr>
    </w:lvl>
  </w:abstractNum>
  <w:abstractNum w:abstractNumId="12"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3" w15:restartNumberingAfterBreak="0">
    <w:nsid w:val="0CB245DF"/>
    <w:multiLevelType w:val="multilevel"/>
    <w:tmpl w:val="8B468244"/>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4"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5"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7" w15:restartNumberingAfterBreak="0">
    <w:nsid w:val="22B24566"/>
    <w:multiLevelType w:val="singleLevel"/>
    <w:tmpl w:val="0EF88D56"/>
    <w:lvl w:ilvl="0">
      <w:start w:val="1"/>
      <w:numFmt w:val="decimal"/>
      <w:lvlText w:val="[%1]"/>
      <w:lvlJc w:val="left"/>
      <w:pPr>
        <w:tabs>
          <w:tab w:val="num" w:pos="357"/>
        </w:tabs>
        <w:ind w:left="397" w:hanging="397"/>
      </w:pPr>
      <w:rPr>
        <w:rFonts w:ascii="Times New Roman" w:hAnsi="Times New Roman" w:cs="Times New Roman" w:hint="default"/>
      </w:rPr>
    </w:lvl>
  </w:abstractNum>
  <w:abstractNum w:abstractNumId="18" w15:restartNumberingAfterBreak="0">
    <w:nsid w:val="23B7565E"/>
    <w:multiLevelType w:val="singleLevel"/>
    <w:tmpl w:val="63E82100"/>
    <w:lvl w:ilvl="0">
      <w:start w:val="1"/>
      <w:numFmt w:val="decimal"/>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19" w15:restartNumberingAfterBreak="0">
    <w:nsid w:val="2E066083"/>
    <w:multiLevelType w:val="multilevel"/>
    <w:tmpl w:val="8C9A6498"/>
    <w:lvl w:ilvl="0">
      <w:start w:val="1"/>
      <w:numFmt w:val="lowerLetter"/>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0"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cs="Symbol" w:hint="default"/>
      </w:rPr>
    </w:lvl>
  </w:abstractNum>
  <w:abstractNum w:abstractNumId="22" w15:restartNumberingAfterBreak="0">
    <w:nsid w:val="3A877D64"/>
    <w:multiLevelType w:val="singleLevel"/>
    <w:tmpl w:val="FBCAFA5C"/>
    <w:lvl w:ilvl="0">
      <w:start w:val="1"/>
      <w:numFmt w:val="decimal"/>
      <w:lvlText w:val="[%1]"/>
      <w:lvlJc w:val="left"/>
      <w:pPr>
        <w:tabs>
          <w:tab w:val="num" w:pos="360"/>
        </w:tabs>
        <w:ind w:left="360" w:hanging="360"/>
      </w:pPr>
      <w:rPr>
        <w:rFonts w:ascii="Times New Roman" w:hAnsi="Times New Roman" w:cs="Times New Roman"/>
        <w:i w:val="0"/>
        <w:iCs w:val="0"/>
      </w:rPr>
    </w:lvl>
  </w:abstractNum>
  <w:abstractNum w:abstractNumId="23"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4" w15:restartNumberingAfterBreak="0">
    <w:nsid w:val="464D3319"/>
    <w:multiLevelType w:val="multilevel"/>
    <w:tmpl w:val="C61CA6A6"/>
    <w:lvl w:ilvl="0">
      <w:start w:val="1"/>
      <w:numFmt w:val="decimal"/>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6" w15:restartNumberingAfterBreak="0">
    <w:nsid w:val="46AA38E3"/>
    <w:multiLevelType w:val="singleLevel"/>
    <w:tmpl w:val="004CE2F6"/>
    <w:lvl w:ilvl="0">
      <w:start w:val="1"/>
      <w:numFmt w:val="bullet"/>
      <w:lvlText w:val=""/>
      <w:lvlJc w:val="left"/>
      <w:pPr>
        <w:tabs>
          <w:tab w:val="num" w:pos="1080"/>
        </w:tabs>
        <w:ind w:left="720"/>
      </w:pPr>
      <w:rPr>
        <w:rFonts w:ascii="Symbol" w:hAnsi="Symbol" w:cs="Symbol" w:hint="default"/>
      </w:rPr>
    </w:lvl>
  </w:abstractNum>
  <w:abstractNum w:abstractNumId="27"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8"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cs="Symbol" w:hint="default"/>
      </w:rPr>
    </w:lvl>
  </w:abstractNum>
  <w:abstractNum w:abstractNumId="29"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cs="Symbol" w:hint="default"/>
      </w:rPr>
    </w:lvl>
  </w:abstractNum>
  <w:abstractNum w:abstractNumId="30"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cs="Symbol" w:hint="default"/>
      </w:rPr>
    </w:lvl>
  </w:abstractNum>
  <w:abstractNum w:abstractNumId="31" w15:restartNumberingAfterBreak="0">
    <w:nsid w:val="4E3C1D72"/>
    <w:multiLevelType w:val="singleLevel"/>
    <w:tmpl w:val="2386458A"/>
    <w:lvl w:ilvl="0">
      <w:start w:val="1"/>
      <w:numFmt w:val="decimal"/>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2"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5"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6"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61182925"/>
    <w:multiLevelType w:val="singleLevel"/>
    <w:tmpl w:val="D180CED0"/>
    <w:lvl w:ilvl="0">
      <w:start w:val="1"/>
      <w:numFmt w:val="decimal"/>
      <w:lvlText w:val="%1."/>
      <w:lvlJc w:val="left"/>
      <w:pPr>
        <w:tabs>
          <w:tab w:val="num" w:pos="1080"/>
        </w:tabs>
        <w:ind w:firstLine="720"/>
      </w:pPr>
      <w:rPr>
        <w:rFonts w:ascii="Times New Roman" w:hAnsi="Times New Roman" w:cs="Times New Roman"/>
      </w:rPr>
    </w:lvl>
  </w:abstractNum>
  <w:abstractNum w:abstractNumId="38" w15:restartNumberingAfterBreak="0">
    <w:nsid w:val="63B145C4"/>
    <w:multiLevelType w:val="multilevel"/>
    <w:tmpl w:val="676C1170"/>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lvlText w:val="%1.%2.%3 "/>
      <w:lvlJc w:val="left"/>
      <w:pPr>
        <w:ind w:left="0" w:firstLine="0"/>
      </w:pPr>
      <w:rPr>
        <w:rFonts w:hint="default"/>
      </w:rPr>
    </w:lvl>
    <w:lvl w:ilvl="3">
      <w:start w:val="1"/>
      <w:numFmt w:val="decimal"/>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64FC62E2"/>
    <w:multiLevelType w:val="multilevel"/>
    <w:tmpl w:val="FE2C94A4"/>
    <w:lvl w:ilvl="0">
      <w:start w:val="1"/>
      <w:numFmt w:val="decimal"/>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0"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1" w15:restartNumberingAfterBreak="0">
    <w:nsid w:val="6B20746F"/>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cs="Bookman Old Style" w:hint="default"/>
      </w:rPr>
    </w:lvl>
  </w:abstractNum>
  <w:abstractNum w:abstractNumId="43" w15:restartNumberingAfterBreak="0">
    <w:nsid w:val="6BAD1304"/>
    <w:multiLevelType w:val="hybridMultilevel"/>
    <w:tmpl w:val="04E2B570"/>
    <w:lvl w:ilvl="0" w:tplc="FF5C2F6E">
      <w:start w:val="1"/>
      <w:numFmt w:val="lowerLetter"/>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F1412FB"/>
    <w:multiLevelType w:val="singleLevel"/>
    <w:tmpl w:val="1AD23920"/>
    <w:lvl w:ilvl="0">
      <w:start w:val="1"/>
      <w:numFmt w:val="bullet"/>
      <w:lvlText w:val=""/>
      <w:lvlJc w:val="left"/>
      <w:pPr>
        <w:tabs>
          <w:tab w:val="num" w:pos="1080"/>
        </w:tabs>
        <w:ind w:left="720"/>
      </w:pPr>
      <w:rPr>
        <w:rFonts w:ascii="Symbol" w:hAnsi="Symbol" w:cs="Symbol" w:hint="default"/>
      </w:rPr>
    </w:lvl>
  </w:abstractNum>
  <w:abstractNum w:abstractNumId="45" w15:restartNumberingAfterBreak="0">
    <w:nsid w:val="789A09E3"/>
    <w:multiLevelType w:val="multilevel"/>
    <w:tmpl w:val="51A69CA4"/>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6"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cs="Symbol" w:hint="default"/>
      </w:rPr>
    </w:lvl>
  </w:abstractNum>
  <w:abstractNum w:abstractNumId="47" w15:restartNumberingAfterBreak="0">
    <w:nsid w:val="7F344FAF"/>
    <w:multiLevelType w:val="multilevel"/>
    <w:tmpl w:val="3ED0FF0A"/>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38"/>
        </w:tabs>
        <w:ind w:left="3238" w:hanging="1078"/>
      </w:pPr>
      <w:rPr>
        <w:rFonts w:ascii="Times New Roman" w:hAnsi="Times New Roman" w:cs="Times New Roman" w:hint="default"/>
      </w:rPr>
    </w:lvl>
    <w:lvl w:ilvl="4">
      <w:start w:val="1"/>
      <w:numFmt w:val="decimal"/>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cs="Wingdings" w:hint="default"/>
      </w:rPr>
    </w:lvl>
  </w:abstractNum>
  <w:num w:numId="1">
    <w:abstractNumId w:val="41"/>
  </w:num>
  <w:num w:numId="2">
    <w:abstractNumId w:val="4"/>
  </w:num>
  <w:num w:numId="3">
    <w:abstractNumId w:val="2"/>
  </w:num>
  <w:num w:numId="4">
    <w:abstractNumId w:val="1"/>
  </w:num>
  <w:num w:numId="5">
    <w:abstractNumId w:val="3"/>
  </w:num>
  <w:num w:numId="6">
    <w:abstractNumId w:val="0"/>
  </w:num>
  <w:num w:numId="7">
    <w:abstractNumId w:val="12"/>
  </w:num>
  <w:num w:numId="8">
    <w:abstractNumId w:val="22"/>
  </w:num>
  <w:num w:numId="9">
    <w:abstractNumId w:val="32"/>
  </w:num>
  <w:num w:numId="10">
    <w:abstractNumId w:val="36"/>
  </w:num>
  <w:num w:numId="11">
    <w:abstractNumId w:val="17"/>
  </w:num>
  <w:num w:numId="12">
    <w:abstractNumId w:val="33"/>
  </w:num>
  <w:num w:numId="13">
    <w:abstractNumId w:val="8"/>
  </w:num>
  <w:num w:numId="14">
    <w:abstractNumId w:val="14"/>
  </w:num>
  <w:num w:numId="15">
    <w:abstractNumId w:val="10"/>
  </w:num>
  <w:num w:numId="16">
    <w:abstractNumId w:val="20"/>
  </w:num>
  <w:num w:numId="17">
    <w:abstractNumId w:val="5"/>
  </w:num>
  <w:num w:numId="18">
    <w:abstractNumId w:val="16"/>
  </w:num>
  <w:num w:numId="19">
    <w:abstractNumId w:val="47"/>
  </w:num>
  <w:num w:numId="20">
    <w:abstractNumId w:val="30"/>
  </w:num>
  <w:num w:numId="21">
    <w:abstractNumId w:val="44"/>
  </w:num>
  <w:num w:numId="22">
    <w:abstractNumId w:val="6"/>
  </w:num>
  <w:num w:numId="23">
    <w:abstractNumId w:val="26"/>
  </w:num>
  <w:num w:numId="24">
    <w:abstractNumId w:val="21"/>
  </w:num>
  <w:num w:numId="25">
    <w:abstractNumId w:val="23"/>
  </w:num>
  <w:num w:numId="26">
    <w:abstractNumId w:val="35"/>
  </w:num>
  <w:num w:numId="27">
    <w:abstractNumId w:val="27"/>
  </w:num>
  <w:num w:numId="28">
    <w:abstractNumId w:val="40"/>
  </w:num>
  <w:num w:numId="29">
    <w:abstractNumId w:val="25"/>
  </w:num>
  <w:num w:numId="30">
    <w:abstractNumId w:val="34"/>
  </w:num>
  <w:num w:numId="31">
    <w:abstractNumId w:val="45"/>
  </w:num>
  <w:num w:numId="32">
    <w:abstractNumId w:val="39"/>
  </w:num>
  <w:num w:numId="33">
    <w:abstractNumId w:val="28"/>
  </w:num>
  <w:num w:numId="34">
    <w:abstractNumId w:val="48"/>
  </w:num>
  <w:num w:numId="35">
    <w:abstractNumId w:val="29"/>
  </w:num>
  <w:num w:numId="36">
    <w:abstractNumId w:val="24"/>
  </w:num>
  <w:num w:numId="37">
    <w:abstractNumId w:val="46"/>
  </w:num>
  <w:num w:numId="38">
    <w:abstractNumId w:val="42"/>
  </w:num>
  <w:num w:numId="39">
    <w:abstractNumId w:val="7"/>
  </w:num>
  <w:num w:numId="40">
    <w:abstractNumId w:val="15"/>
  </w:num>
  <w:num w:numId="41">
    <w:abstractNumId w:val="13"/>
  </w:num>
  <w:num w:numId="42">
    <w:abstractNumId w:val="37"/>
  </w:num>
  <w:num w:numId="43">
    <w:abstractNumId w:val="19"/>
  </w:num>
  <w:num w:numId="44">
    <w:abstractNumId w:val="31"/>
  </w:num>
  <w:num w:numId="45">
    <w:abstractNumId w:val="18"/>
  </w:num>
  <w:num w:numId="46">
    <w:abstractNumId w:val="9"/>
  </w:num>
  <w:num w:numId="47">
    <w:abstractNumId w:val="11"/>
  </w:num>
  <w:num w:numId="48">
    <w:abstractNumId w:val="43"/>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2C79"/>
    <w:rsid w:val="00033222"/>
    <w:rsid w:val="00050D41"/>
    <w:rsid w:val="00064F5A"/>
    <w:rsid w:val="00072484"/>
    <w:rsid w:val="00081C0B"/>
    <w:rsid w:val="0009150E"/>
    <w:rsid w:val="00096612"/>
    <w:rsid w:val="000B6311"/>
    <w:rsid w:val="000B7683"/>
    <w:rsid w:val="000B7B53"/>
    <w:rsid w:val="000C0413"/>
    <w:rsid w:val="000C3624"/>
    <w:rsid w:val="000E4FD1"/>
    <w:rsid w:val="000F3C25"/>
    <w:rsid w:val="000F4E40"/>
    <w:rsid w:val="000F6FC4"/>
    <w:rsid w:val="00102934"/>
    <w:rsid w:val="001062A6"/>
    <w:rsid w:val="001129B9"/>
    <w:rsid w:val="00125D5F"/>
    <w:rsid w:val="00143184"/>
    <w:rsid w:val="00147110"/>
    <w:rsid w:val="001610E6"/>
    <w:rsid w:val="0018098C"/>
    <w:rsid w:val="001A5259"/>
    <w:rsid w:val="001C3749"/>
    <w:rsid w:val="001C3A21"/>
    <w:rsid w:val="001C69CE"/>
    <w:rsid w:val="001C70F6"/>
    <w:rsid w:val="002005BB"/>
    <w:rsid w:val="00201545"/>
    <w:rsid w:val="002058CE"/>
    <w:rsid w:val="002165F1"/>
    <w:rsid w:val="00223CA2"/>
    <w:rsid w:val="002340C4"/>
    <w:rsid w:val="00235332"/>
    <w:rsid w:val="00247681"/>
    <w:rsid w:val="00250E45"/>
    <w:rsid w:val="002558DC"/>
    <w:rsid w:val="00276D21"/>
    <w:rsid w:val="00280CD5"/>
    <w:rsid w:val="00296510"/>
    <w:rsid w:val="00296D7F"/>
    <w:rsid w:val="00297D43"/>
    <w:rsid w:val="002B32C9"/>
    <w:rsid w:val="002B3CF6"/>
    <w:rsid w:val="002C1659"/>
    <w:rsid w:val="002C768A"/>
    <w:rsid w:val="002D1160"/>
    <w:rsid w:val="002D76C4"/>
    <w:rsid w:val="002E20DA"/>
    <w:rsid w:val="002F00DE"/>
    <w:rsid w:val="003169E4"/>
    <w:rsid w:val="003234B8"/>
    <w:rsid w:val="00335470"/>
    <w:rsid w:val="00351573"/>
    <w:rsid w:val="003571CE"/>
    <w:rsid w:val="00357282"/>
    <w:rsid w:val="00362ED1"/>
    <w:rsid w:val="00382E8A"/>
    <w:rsid w:val="003D1796"/>
    <w:rsid w:val="003D3BC4"/>
    <w:rsid w:val="00420DFD"/>
    <w:rsid w:val="004319C1"/>
    <w:rsid w:val="00441C98"/>
    <w:rsid w:val="00451837"/>
    <w:rsid w:val="00470E28"/>
    <w:rsid w:val="00485BB4"/>
    <w:rsid w:val="004934C5"/>
    <w:rsid w:val="004B057E"/>
    <w:rsid w:val="004B1F80"/>
    <w:rsid w:val="004B643F"/>
    <w:rsid w:val="004C5120"/>
    <w:rsid w:val="004E2665"/>
    <w:rsid w:val="004E46B8"/>
    <w:rsid w:val="00505FB4"/>
    <w:rsid w:val="00524F50"/>
    <w:rsid w:val="00526063"/>
    <w:rsid w:val="00534510"/>
    <w:rsid w:val="00556548"/>
    <w:rsid w:val="00556A5D"/>
    <w:rsid w:val="005600C9"/>
    <w:rsid w:val="005848C6"/>
    <w:rsid w:val="00586EF8"/>
    <w:rsid w:val="00590051"/>
    <w:rsid w:val="00595CF3"/>
    <w:rsid w:val="005A24BF"/>
    <w:rsid w:val="005A3E0C"/>
    <w:rsid w:val="005A791E"/>
    <w:rsid w:val="005B1246"/>
    <w:rsid w:val="005B49AB"/>
    <w:rsid w:val="005B50E7"/>
    <w:rsid w:val="005E1B76"/>
    <w:rsid w:val="005E7B4F"/>
    <w:rsid w:val="005F54B0"/>
    <w:rsid w:val="00607B6C"/>
    <w:rsid w:val="00607D68"/>
    <w:rsid w:val="006149B1"/>
    <w:rsid w:val="006338C0"/>
    <w:rsid w:val="00644696"/>
    <w:rsid w:val="00672897"/>
    <w:rsid w:val="00680D2B"/>
    <w:rsid w:val="00681B32"/>
    <w:rsid w:val="00686AFF"/>
    <w:rsid w:val="00687E1E"/>
    <w:rsid w:val="006A1F02"/>
    <w:rsid w:val="006C5CDB"/>
    <w:rsid w:val="006D0ADB"/>
    <w:rsid w:val="006E2037"/>
    <w:rsid w:val="006E7D95"/>
    <w:rsid w:val="006F5B4E"/>
    <w:rsid w:val="0071184A"/>
    <w:rsid w:val="00712870"/>
    <w:rsid w:val="00743D85"/>
    <w:rsid w:val="0074518F"/>
    <w:rsid w:val="00745856"/>
    <w:rsid w:val="00745FA2"/>
    <w:rsid w:val="00746784"/>
    <w:rsid w:val="00752FD3"/>
    <w:rsid w:val="00753CF4"/>
    <w:rsid w:val="007565CC"/>
    <w:rsid w:val="00763B9A"/>
    <w:rsid w:val="00787C2A"/>
    <w:rsid w:val="007A4F79"/>
    <w:rsid w:val="007A6AA8"/>
    <w:rsid w:val="007B203C"/>
    <w:rsid w:val="007B3513"/>
    <w:rsid w:val="007C2459"/>
    <w:rsid w:val="007E1348"/>
    <w:rsid w:val="00810559"/>
    <w:rsid w:val="00811FBD"/>
    <w:rsid w:val="008310C9"/>
    <w:rsid w:val="00836298"/>
    <w:rsid w:val="00850E65"/>
    <w:rsid w:val="00870342"/>
    <w:rsid w:val="0087133F"/>
    <w:rsid w:val="0087251C"/>
    <w:rsid w:val="00877484"/>
    <w:rsid w:val="008815AC"/>
    <w:rsid w:val="008B2CC6"/>
    <w:rsid w:val="008C63FB"/>
    <w:rsid w:val="008C7848"/>
    <w:rsid w:val="008D3D8D"/>
    <w:rsid w:val="008F55EA"/>
    <w:rsid w:val="008F6A3E"/>
    <w:rsid w:val="009030CC"/>
    <w:rsid w:val="00916DC7"/>
    <w:rsid w:val="00917AF2"/>
    <w:rsid w:val="0092418A"/>
    <w:rsid w:val="00934ED7"/>
    <w:rsid w:val="00941F9D"/>
    <w:rsid w:val="009474D9"/>
    <w:rsid w:val="009543C3"/>
    <w:rsid w:val="00956823"/>
    <w:rsid w:val="00966E1B"/>
    <w:rsid w:val="009716A3"/>
    <w:rsid w:val="009A21EB"/>
    <w:rsid w:val="009A351D"/>
    <w:rsid w:val="009A6C24"/>
    <w:rsid w:val="009B5BC4"/>
    <w:rsid w:val="009C4EB7"/>
    <w:rsid w:val="009C5962"/>
    <w:rsid w:val="009F0D75"/>
    <w:rsid w:val="009F2D2C"/>
    <w:rsid w:val="00A326D8"/>
    <w:rsid w:val="00A33E21"/>
    <w:rsid w:val="00A47B34"/>
    <w:rsid w:val="00A54559"/>
    <w:rsid w:val="00A5596B"/>
    <w:rsid w:val="00A6617B"/>
    <w:rsid w:val="00A70CEC"/>
    <w:rsid w:val="00A71FE5"/>
    <w:rsid w:val="00A72F4B"/>
    <w:rsid w:val="00A816EB"/>
    <w:rsid w:val="00A846EF"/>
    <w:rsid w:val="00AA232B"/>
    <w:rsid w:val="00AA3368"/>
    <w:rsid w:val="00AA3AD8"/>
    <w:rsid w:val="00AB0DC8"/>
    <w:rsid w:val="00AC3946"/>
    <w:rsid w:val="00AC45D5"/>
    <w:rsid w:val="00AD26B8"/>
    <w:rsid w:val="00AD41F7"/>
    <w:rsid w:val="00AF0C96"/>
    <w:rsid w:val="00B033C8"/>
    <w:rsid w:val="00B036D9"/>
    <w:rsid w:val="00B132E8"/>
    <w:rsid w:val="00B24F2F"/>
    <w:rsid w:val="00B257C1"/>
    <w:rsid w:val="00B33425"/>
    <w:rsid w:val="00B426F0"/>
    <w:rsid w:val="00B44E24"/>
    <w:rsid w:val="00B47809"/>
    <w:rsid w:val="00B54ECC"/>
    <w:rsid w:val="00B567BC"/>
    <w:rsid w:val="00B61918"/>
    <w:rsid w:val="00B714F3"/>
    <w:rsid w:val="00B7460C"/>
    <w:rsid w:val="00B75A37"/>
    <w:rsid w:val="00B81687"/>
    <w:rsid w:val="00BC5D77"/>
    <w:rsid w:val="00BC6FC2"/>
    <w:rsid w:val="00BE46DE"/>
    <w:rsid w:val="00BF15C3"/>
    <w:rsid w:val="00BF487A"/>
    <w:rsid w:val="00C00883"/>
    <w:rsid w:val="00C01564"/>
    <w:rsid w:val="00C049E1"/>
    <w:rsid w:val="00C07EAC"/>
    <w:rsid w:val="00C41FA1"/>
    <w:rsid w:val="00C46BD9"/>
    <w:rsid w:val="00C55258"/>
    <w:rsid w:val="00C728FC"/>
    <w:rsid w:val="00C73560"/>
    <w:rsid w:val="00C7761D"/>
    <w:rsid w:val="00C90669"/>
    <w:rsid w:val="00C93B65"/>
    <w:rsid w:val="00CB0F14"/>
    <w:rsid w:val="00CB47A0"/>
    <w:rsid w:val="00CB5D73"/>
    <w:rsid w:val="00CB60A4"/>
    <w:rsid w:val="00CC1048"/>
    <w:rsid w:val="00CC6954"/>
    <w:rsid w:val="00CD58B5"/>
    <w:rsid w:val="00CD659B"/>
    <w:rsid w:val="00CD7A62"/>
    <w:rsid w:val="00CE2594"/>
    <w:rsid w:val="00CF0D45"/>
    <w:rsid w:val="00CF34B5"/>
    <w:rsid w:val="00D0034D"/>
    <w:rsid w:val="00D20C2D"/>
    <w:rsid w:val="00D252AE"/>
    <w:rsid w:val="00D503C9"/>
    <w:rsid w:val="00D50B43"/>
    <w:rsid w:val="00D54770"/>
    <w:rsid w:val="00D57367"/>
    <w:rsid w:val="00D73FBE"/>
    <w:rsid w:val="00D8150A"/>
    <w:rsid w:val="00D83331"/>
    <w:rsid w:val="00D91F7F"/>
    <w:rsid w:val="00D92B2F"/>
    <w:rsid w:val="00DA1A0E"/>
    <w:rsid w:val="00DB4F6A"/>
    <w:rsid w:val="00DC59F0"/>
    <w:rsid w:val="00DD12DE"/>
    <w:rsid w:val="00DF087C"/>
    <w:rsid w:val="00DF234F"/>
    <w:rsid w:val="00DF4176"/>
    <w:rsid w:val="00E14A92"/>
    <w:rsid w:val="00E17240"/>
    <w:rsid w:val="00E1785F"/>
    <w:rsid w:val="00E33C5C"/>
    <w:rsid w:val="00E64371"/>
    <w:rsid w:val="00E7610E"/>
    <w:rsid w:val="00E83CDE"/>
    <w:rsid w:val="00E92F7A"/>
    <w:rsid w:val="00EB3E37"/>
    <w:rsid w:val="00ED683F"/>
    <w:rsid w:val="00F00542"/>
    <w:rsid w:val="00F00F50"/>
    <w:rsid w:val="00F0518B"/>
    <w:rsid w:val="00F06BA4"/>
    <w:rsid w:val="00F07FEF"/>
    <w:rsid w:val="00F103A9"/>
    <w:rsid w:val="00F144F6"/>
    <w:rsid w:val="00F166A8"/>
    <w:rsid w:val="00F20231"/>
    <w:rsid w:val="00F21D06"/>
    <w:rsid w:val="00F23979"/>
    <w:rsid w:val="00F30C9B"/>
    <w:rsid w:val="00F354B1"/>
    <w:rsid w:val="00F545E6"/>
    <w:rsid w:val="00F72869"/>
    <w:rsid w:val="00F77437"/>
    <w:rsid w:val="00F82F4D"/>
    <w:rsid w:val="00F87077"/>
    <w:rsid w:val="00F90896"/>
    <w:rsid w:val="00F92E19"/>
    <w:rsid w:val="00FB0E4E"/>
    <w:rsid w:val="00FC7A2D"/>
    <w:rsid w:val="00FE219D"/>
    <w:rsid w:val="00FE4BF7"/>
    <w:rsid w:val="00FE5114"/>
    <w:rsid w:val="00FE65D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uiPriority="1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14"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16EB"/>
    <w:pPr>
      <w:keepNext/>
      <w:keepLines/>
      <w:spacing w:before="480"/>
      <w:ind w:left="794" w:hanging="794"/>
      <w:outlineLvl w:val="0"/>
    </w:pPr>
    <w:rPr>
      <w:b/>
    </w:rPr>
  </w:style>
  <w:style w:type="paragraph" w:styleId="Heading2">
    <w:name w:val="heading 2"/>
    <w:basedOn w:val="Heading1"/>
    <w:next w:val="Normal"/>
    <w:link w:val="Heading2Char"/>
    <w:qFormat/>
    <w:rsid w:val="00A816EB"/>
    <w:pPr>
      <w:spacing w:before="320"/>
      <w:outlineLvl w:val="1"/>
    </w:pPr>
  </w:style>
  <w:style w:type="paragraph" w:styleId="Heading3">
    <w:name w:val="heading 3"/>
    <w:basedOn w:val="Heading1"/>
    <w:next w:val="Normal"/>
    <w:link w:val="Heading3Char"/>
    <w:qFormat/>
    <w:rsid w:val="00A816EB"/>
    <w:pPr>
      <w:spacing w:before="200"/>
      <w:outlineLvl w:val="2"/>
    </w:pPr>
  </w:style>
  <w:style w:type="paragraph" w:styleId="Heading4">
    <w:name w:val="heading 4"/>
    <w:basedOn w:val="Heading3"/>
    <w:next w:val="Normal"/>
    <w:link w:val="Heading4Char"/>
    <w:qFormat/>
    <w:rsid w:val="00A816EB"/>
    <w:pPr>
      <w:tabs>
        <w:tab w:val="clear" w:pos="794"/>
        <w:tab w:val="left" w:pos="992"/>
      </w:tabs>
      <w:ind w:left="992" w:hanging="992"/>
      <w:outlineLvl w:val="3"/>
    </w:pPr>
  </w:style>
  <w:style w:type="paragraph" w:styleId="Heading5">
    <w:name w:val="heading 5"/>
    <w:basedOn w:val="Heading4"/>
    <w:next w:val="Normal"/>
    <w:link w:val="Heading5Char"/>
    <w:qFormat/>
    <w:rsid w:val="00A816EB"/>
    <w:pPr>
      <w:outlineLvl w:val="4"/>
    </w:pPr>
  </w:style>
  <w:style w:type="paragraph" w:styleId="Heading6">
    <w:name w:val="heading 6"/>
    <w:basedOn w:val="Heading4"/>
    <w:next w:val="Normal"/>
    <w:link w:val="Heading6Char"/>
    <w:qFormat/>
    <w:rsid w:val="00A816EB"/>
    <w:pPr>
      <w:tabs>
        <w:tab w:val="clear" w:pos="992"/>
        <w:tab w:val="clear" w:pos="1191"/>
      </w:tabs>
      <w:ind w:left="1588" w:hanging="1588"/>
      <w:outlineLvl w:val="5"/>
    </w:pPr>
  </w:style>
  <w:style w:type="paragraph" w:styleId="Heading7">
    <w:name w:val="heading 7"/>
    <w:basedOn w:val="Heading6"/>
    <w:next w:val="Normal"/>
    <w:link w:val="Heading7Char"/>
    <w:qFormat/>
    <w:rsid w:val="00A816EB"/>
    <w:pPr>
      <w:outlineLvl w:val="6"/>
    </w:pPr>
  </w:style>
  <w:style w:type="paragraph" w:styleId="Heading8">
    <w:name w:val="heading 8"/>
    <w:basedOn w:val="Heading6"/>
    <w:next w:val="Normal"/>
    <w:link w:val="Heading8Char"/>
    <w:qFormat/>
    <w:rsid w:val="00A816EB"/>
    <w:pPr>
      <w:outlineLvl w:val="7"/>
    </w:pPr>
  </w:style>
  <w:style w:type="paragraph" w:styleId="Heading9">
    <w:name w:val="heading 9"/>
    <w:basedOn w:val="Heading6"/>
    <w:next w:val="Normal"/>
    <w:link w:val="Heading9Char"/>
    <w:qFormat/>
    <w:rsid w:val="00A816E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816EB"/>
    <w:pPr>
      <w:keepNext/>
      <w:keepLines/>
      <w:spacing w:after="280"/>
      <w:jc w:val="center"/>
    </w:pPr>
  </w:style>
  <w:style w:type="paragraph" w:customStyle="1" w:styleId="Blanc">
    <w:name w:val="Blanc"/>
    <w:basedOn w:val="Normal"/>
    <w:next w:val="Tabletext"/>
    <w:rsid w:val="00A816E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A816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16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16EB"/>
  </w:style>
  <w:style w:type="paragraph" w:customStyle="1" w:styleId="Headingb">
    <w:name w:val="Heading_b"/>
    <w:basedOn w:val="Heading3"/>
    <w:next w:val="Normal"/>
    <w:link w:val="HeadingbChar"/>
    <w:rsid w:val="00A816EB"/>
    <w:pPr>
      <w:spacing w:before="160"/>
      <w:ind w:left="0" w:firstLine="0"/>
      <w:outlineLvl w:val="9"/>
    </w:pPr>
  </w:style>
  <w:style w:type="paragraph" w:customStyle="1" w:styleId="Headingi">
    <w:name w:val="Heading_i"/>
    <w:basedOn w:val="Heading3"/>
    <w:next w:val="Normal"/>
    <w:rsid w:val="00A816EB"/>
    <w:pPr>
      <w:spacing w:before="160"/>
      <w:ind w:left="0" w:firstLine="0"/>
    </w:pPr>
    <w:rPr>
      <w:b w:val="0"/>
      <w:i/>
    </w:rPr>
  </w:style>
  <w:style w:type="paragraph" w:customStyle="1" w:styleId="Equation">
    <w:name w:val="Equation"/>
    <w:basedOn w:val="Normal"/>
    <w:rsid w:val="00A816EB"/>
    <w:pPr>
      <w:tabs>
        <w:tab w:val="clear" w:pos="1191"/>
        <w:tab w:val="clear" w:pos="1588"/>
        <w:tab w:val="clear" w:pos="1985"/>
        <w:tab w:val="center" w:pos="4820"/>
        <w:tab w:val="right" w:pos="9639"/>
      </w:tabs>
    </w:pPr>
  </w:style>
  <w:style w:type="paragraph" w:customStyle="1" w:styleId="AnnexNoTitle">
    <w:name w:val="Annex_NoTitle"/>
    <w:basedOn w:val="Normal"/>
    <w:next w:val="Normalaftertitle"/>
    <w:rsid w:val="00A816EB"/>
    <w:pPr>
      <w:keepNext/>
      <w:keepLines/>
      <w:spacing w:before="480" w:after="80"/>
      <w:jc w:val="center"/>
    </w:pPr>
    <w:rPr>
      <w:b/>
      <w:sz w:val="28"/>
    </w:rPr>
  </w:style>
  <w:style w:type="paragraph" w:customStyle="1" w:styleId="enumlev1">
    <w:name w:val="enumlev1"/>
    <w:basedOn w:val="Normal"/>
    <w:link w:val="enumlev1Char"/>
    <w:rsid w:val="00A816EB"/>
    <w:pPr>
      <w:spacing w:before="80"/>
      <w:ind w:left="794" w:hanging="794"/>
    </w:pPr>
  </w:style>
  <w:style w:type="paragraph" w:customStyle="1" w:styleId="Equationlegend">
    <w:name w:val="Equation_legend"/>
    <w:basedOn w:val="NormalIndent"/>
    <w:rsid w:val="00A816EB"/>
    <w:pPr>
      <w:tabs>
        <w:tab w:val="clear" w:pos="794"/>
        <w:tab w:val="clear" w:pos="1191"/>
        <w:tab w:val="clear" w:pos="1588"/>
        <w:tab w:val="right" w:pos="1701"/>
      </w:tabs>
      <w:spacing w:before="80"/>
      <w:ind w:left="1985" w:hanging="1985"/>
    </w:pPr>
    <w:rPr>
      <w:lang w:val="en-US"/>
    </w:rPr>
  </w:style>
  <w:style w:type="paragraph" w:customStyle="1" w:styleId="enumlev2">
    <w:name w:val="enumlev2"/>
    <w:basedOn w:val="enumlev1"/>
    <w:rsid w:val="00A816EB"/>
    <w:pPr>
      <w:ind w:left="1191" w:hanging="397"/>
    </w:pPr>
  </w:style>
  <w:style w:type="paragraph" w:styleId="FootnoteText">
    <w:name w:val="footnote text"/>
    <w:basedOn w:val="Normal"/>
    <w:link w:val="FootnoteTextChar"/>
    <w:rsid w:val="00A816EB"/>
    <w:pPr>
      <w:keepLines/>
      <w:tabs>
        <w:tab w:val="left" w:pos="255"/>
      </w:tabs>
      <w:ind w:left="255" w:hanging="255"/>
    </w:pPr>
    <w:rPr>
      <w:sz w:val="22"/>
    </w:rPr>
  </w:style>
  <w:style w:type="paragraph" w:customStyle="1" w:styleId="HeadingSum">
    <w:name w:val="Heading_Sum"/>
    <w:basedOn w:val="Headingb"/>
    <w:next w:val="Normal"/>
    <w:autoRedefine/>
    <w:rsid w:val="00A816EB"/>
    <w:pPr>
      <w:spacing w:before="240"/>
    </w:pPr>
    <w:rPr>
      <w:sz w:val="22"/>
      <w:lang w:val="es-ES_tradnl"/>
    </w:rPr>
  </w:style>
  <w:style w:type="paragraph" w:customStyle="1" w:styleId="enumlev3">
    <w:name w:val="enumlev3"/>
    <w:basedOn w:val="enumlev2"/>
    <w:rsid w:val="00A816EB"/>
    <w:pPr>
      <w:ind w:left="1588"/>
    </w:pPr>
  </w:style>
  <w:style w:type="character" w:customStyle="1" w:styleId="href">
    <w:name w:val="href"/>
    <w:basedOn w:val="DefaultParagraphFont"/>
    <w:rsid w:val="00A816EB"/>
  </w:style>
  <w:style w:type="paragraph" w:customStyle="1" w:styleId="RecNo">
    <w:name w:val="Rec_No"/>
    <w:basedOn w:val="Normal"/>
    <w:next w:val="Rectitle"/>
    <w:link w:val="RecNoChar1"/>
    <w:rsid w:val="00A816E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816EB"/>
    <w:pPr>
      <w:keepNext/>
      <w:keepLines/>
      <w:spacing w:before="240"/>
      <w:jc w:val="center"/>
    </w:pPr>
    <w:rPr>
      <w:b/>
      <w:sz w:val="28"/>
    </w:rPr>
  </w:style>
  <w:style w:type="paragraph" w:customStyle="1" w:styleId="Recref">
    <w:name w:val="Rec_ref"/>
    <w:basedOn w:val="Normal"/>
    <w:next w:val="Recdate"/>
    <w:rsid w:val="00A816EB"/>
    <w:pPr>
      <w:jc w:val="center"/>
    </w:pPr>
  </w:style>
  <w:style w:type="paragraph" w:customStyle="1" w:styleId="Recdate">
    <w:name w:val="Rec_date"/>
    <w:basedOn w:val="Recref"/>
    <w:next w:val="Normalaftertitle"/>
    <w:rsid w:val="00A816EB"/>
    <w:pPr>
      <w:jc w:val="right"/>
    </w:pPr>
  </w:style>
  <w:style w:type="paragraph" w:styleId="Index1">
    <w:name w:val="index 1"/>
    <w:basedOn w:val="Normal"/>
    <w:next w:val="Normal"/>
    <w:semiHidden/>
    <w:rsid w:val="00A816EB"/>
  </w:style>
  <w:style w:type="paragraph" w:customStyle="1" w:styleId="AppendixNoTitle">
    <w:name w:val="Appendix_NoTitle"/>
    <w:basedOn w:val="AnnexNoTitle"/>
    <w:next w:val="Normal"/>
    <w:rsid w:val="00A816EB"/>
  </w:style>
  <w:style w:type="paragraph" w:customStyle="1" w:styleId="Tablefin">
    <w:name w:val="Table_fin"/>
    <w:basedOn w:val="Normal"/>
    <w:next w:val="Normal"/>
    <w:rsid w:val="00A816EB"/>
    <w:pPr>
      <w:spacing w:before="0"/>
    </w:pPr>
    <w:rPr>
      <w:sz w:val="20"/>
      <w:lang w:val="en-GB"/>
    </w:rPr>
  </w:style>
  <w:style w:type="paragraph" w:customStyle="1" w:styleId="Tablehead">
    <w:name w:val="Table_head"/>
    <w:basedOn w:val="Normal"/>
    <w:next w:val="Normal"/>
    <w:link w:val="TableheadChar"/>
    <w:rsid w:val="00A816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16EB"/>
    <w:pPr>
      <w:keepNext/>
      <w:spacing w:before="360" w:after="120"/>
      <w:jc w:val="center"/>
    </w:pPr>
  </w:style>
  <w:style w:type="paragraph" w:styleId="Index2">
    <w:name w:val="index 2"/>
    <w:basedOn w:val="Normal"/>
    <w:next w:val="Normal"/>
    <w:semiHidden/>
    <w:rsid w:val="00A816EB"/>
    <w:pPr>
      <w:ind w:left="283"/>
    </w:pPr>
  </w:style>
  <w:style w:type="paragraph" w:styleId="NormalIndent">
    <w:name w:val="Normal Indent"/>
    <w:basedOn w:val="Normal"/>
    <w:rsid w:val="00A816EB"/>
    <w:pPr>
      <w:ind w:left="794"/>
    </w:pPr>
  </w:style>
  <w:style w:type="paragraph" w:customStyle="1" w:styleId="Figurelegend">
    <w:name w:val="Figure_legend"/>
    <w:basedOn w:val="Normal"/>
    <w:link w:val="FigurelegendChar"/>
    <w:rsid w:val="00A816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16EB"/>
    <w:pPr>
      <w:keepNext/>
      <w:keepLines/>
      <w:spacing w:before="480" w:after="80"/>
      <w:jc w:val="center"/>
    </w:pPr>
    <w:rPr>
      <w:caps/>
      <w:sz w:val="18"/>
    </w:rPr>
  </w:style>
  <w:style w:type="paragraph" w:customStyle="1" w:styleId="Figuretitle">
    <w:name w:val="Figure_title"/>
    <w:basedOn w:val="Normal"/>
    <w:next w:val="Figure"/>
    <w:link w:val="FiguretitleChar"/>
    <w:rsid w:val="005B1246"/>
    <w:pPr>
      <w:keepNext/>
      <w:spacing w:before="0" w:after="120"/>
      <w:jc w:val="center"/>
    </w:pPr>
    <w:rPr>
      <w:b/>
      <w:sz w:val="18"/>
    </w:rPr>
  </w:style>
  <w:style w:type="paragraph" w:customStyle="1" w:styleId="Figure">
    <w:name w:val="Figure"/>
    <w:basedOn w:val="FigureNo"/>
    <w:next w:val="Normal"/>
    <w:rsid w:val="00A816EB"/>
    <w:pPr>
      <w:keepNext w:val="0"/>
      <w:spacing w:before="0" w:after="240"/>
    </w:pPr>
  </w:style>
  <w:style w:type="paragraph" w:customStyle="1" w:styleId="Call">
    <w:name w:val="Call"/>
    <w:basedOn w:val="Normal"/>
    <w:next w:val="Normal"/>
    <w:rsid w:val="00A816EB"/>
    <w:pPr>
      <w:keepNext/>
      <w:keepLines/>
      <w:spacing w:before="160"/>
      <w:ind w:left="794"/>
    </w:pPr>
    <w:rPr>
      <w:i/>
    </w:rPr>
  </w:style>
  <w:style w:type="paragraph" w:customStyle="1" w:styleId="ArtNo">
    <w:name w:val="Art_No"/>
    <w:basedOn w:val="Normal"/>
    <w:next w:val="Normal"/>
    <w:rsid w:val="00A816EB"/>
    <w:pPr>
      <w:keepNext/>
      <w:keepLines/>
      <w:spacing w:before="480"/>
      <w:jc w:val="center"/>
    </w:pPr>
    <w:rPr>
      <w:sz w:val="28"/>
    </w:rPr>
  </w:style>
  <w:style w:type="paragraph" w:customStyle="1" w:styleId="Arttitle">
    <w:name w:val="Art_title"/>
    <w:basedOn w:val="Normal"/>
    <w:next w:val="Normalaftertitle"/>
    <w:rsid w:val="00A816EB"/>
    <w:pPr>
      <w:keepNext/>
      <w:keepLines/>
      <w:spacing w:before="240"/>
      <w:jc w:val="center"/>
    </w:pPr>
    <w:rPr>
      <w:b/>
      <w:sz w:val="28"/>
    </w:rPr>
  </w:style>
  <w:style w:type="paragraph" w:customStyle="1" w:styleId="ASN1">
    <w:name w:val="ASN.1"/>
    <w:basedOn w:val="Normal"/>
    <w:next w:val="Normal"/>
    <w:rsid w:val="00A816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A816EB"/>
    <w:rPr>
      <w:b/>
    </w:rPr>
  </w:style>
  <w:style w:type="paragraph" w:customStyle="1" w:styleId="Chaptitle">
    <w:name w:val="Chap_title"/>
    <w:basedOn w:val="Arttitle"/>
    <w:next w:val="Normalaftertitle"/>
    <w:rsid w:val="00A816EB"/>
  </w:style>
  <w:style w:type="character" w:styleId="FootnoteReference">
    <w:name w:val="footnote reference"/>
    <w:basedOn w:val="DefaultParagraphFont"/>
    <w:rsid w:val="00A816EB"/>
    <w:rPr>
      <w:position w:val="6"/>
      <w:sz w:val="18"/>
    </w:rPr>
  </w:style>
  <w:style w:type="paragraph" w:styleId="Index3">
    <w:name w:val="index 3"/>
    <w:basedOn w:val="Normal"/>
    <w:next w:val="Normal"/>
    <w:semiHidden/>
    <w:rsid w:val="00A816EB"/>
    <w:pPr>
      <w:ind w:left="566"/>
    </w:pPr>
  </w:style>
  <w:style w:type="paragraph" w:styleId="IndexHeading">
    <w:name w:val="index heading"/>
    <w:basedOn w:val="Normal"/>
    <w:next w:val="Index1"/>
    <w:semiHidden/>
    <w:rsid w:val="00A816EB"/>
  </w:style>
  <w:style w:type="paragraph" w:customStyle="1" w:styleId="Line">
    <w:name w:val="Line"/>
    <w:basedOn w:val="Normal"/>
    <w:next w:val="Normal"/>
    <w:rsid w:val="00A816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A816EB"/>
    <w:pPr>
      <w:spacing w:before="320"/>
    </w:pPr>
  </w:style>
  <w:style w:type="paragraph" w:customStyle="1" w:styleId="Note">
    <w:name w:val="Note"/>
    <w:basedOn w:val="Normal"/>
    <w:rsid w:val="00A816EB"/>
    <w:pPr>
      <w:tabs>
        <w:tab w:val="clear" w:pos="794"/>
        <w:tab w:val="clear" w:pos="1191"/>
        <w:tab w:val="clear" w:pos="1588"/>
        <w:tab w:val="clear" w:pos="1985"/>
      </w:tabs>
      <w:spacing w:before="80"/>
    </w:pPr>
    <w:rPr>
      <w:sz w:val="22"/>
    </w:rPr>
  </w:style>
  <w:style w:type="paragraph" w:customStyle="1" w:styleId="Tabletitle">
    <w:name w:val="Table_title"/>
    <w:basedOn w:val="Normal"/>
    <w:next w:val="Tablehead"/>
    <w:rsid w:val="00A816EB"/>
    <w:pPr>
      <w:keepNext/>
      <w:spacing w:before="0" w:after="120"/>
      <w:jc w:val="center"/>
    </w:pPr>
    <w:rPr>
      <w:b/>
    </w:rPr>
  </w:style>
  <w:style w:type="paragraph" w:customStyle="1" w:styleId="PartNo">
    <w:name w:val="Part_No"/>
    <w:basedOn w:val="Normal"/>
    <w:next w:val="Normal"/>
    <w:rsid w:val="00A816EB"/>
  </w:style>
  <w:style w:type="paragraph" w:customStyle="1" w:styleId="Partref">
    <w:name w:val="Part_ref"/>
    <w:basedOn w:val="Normal"/>
    <w:next w:val="Normal"/>
    <w:rsid w:val="00A816EB"/>
    <w:pPr>
      <w:keepNext/>
      <w:keepLines/>
      <w:spacing w:after="280"/>
      <w:jc w:val="center"/>
    </w:pPr>
  </w:style>
  <w:style w:type="paragraph" w:customStyle="1" w:styleId="Parttitle">
    <w:name w:val="Part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16EB"/>
  </w:style>
  <w:style w:type="paragraph" w:customStyle="1" w:styleId="QuestionNo">
    <w:name w:val="Question_No"/>
    <w:basedOn w:val="RecNo"/>
    <w:next w:val="Normal"/>
    <w:rsid w:val="00A816EB"/>
  </w:style>
  <w:style w:type="paragraph" w:customStyle="1" w:styleId="Questionref">
    <w:name w:val="Question_ref"/>
    <w:basedOn w:val="Recref"/>
    <w:next w:val="Questiondate"/>
    <w:rsid w:val="00A816EB"/>
  </w:style>
  <w:style w:type="paragraph" w:customStyle="1" w:styleId="Questiontitle">
    <w:name w:val="Question_title"/>
    <w:basedOn w:val="Normal"/>
    <w:next w:val="Questionref"/>
    <w:rsid w:val="00A816EB"/>
  </w:style>
  <w:style w:type="paragraph" w:customStyle="1" w:styleId="Reftext">
    <w:name w:val="Ref_text"/>
    <w:basedOn w:val="Normal"/>
    <w:rsid w:val="004B1F80"/>
    <w:pPr>
      <w:ind w:left="794" w:hanging="794"/>
    </w:pPr>
  </w:style>
  <w:style w:type="paragraph" w:customStyle="1" w:styleId="Reftitle">
    <w:name w:val="Ref_title"/>
    <w:basedOn w:val="Normal"/>
    <w:next w:val="Reftext"/>
    <w:rsid w:val="00A816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16EB"/>
  </w:style>
  <w:style w:type="paragraph" w:customStyle="1" w:styleId="RepNo">
    <w:name w:val="Rep_No"/>
    <w:basedOn w:val="RecNo"/>
    <w:next w:val="Reptitle"/>
    <w:rsid w:val="00A816EB"/>
  </w:style>
  <w:style w:type="paragraph" w:customStyle="1" w:styleId="Reptitle">
    <w:name w:val="Rep_title"/>
    <w:basedOn w:val="Rectitle"/>
    <w:next w:val="Repref"/>
    <w:rsid w:val="00A816EB"/>
  </w:style>
  <w:style w:type="paragraph" w:customStyle="1" w:styleId="Repref">
    <w:name w:val="Rep_ref"/>
    <w:basedOn w:val="Recref"/>
    <w:next w:val="Repdate"/>
    <w:rsid w:val="00A816EB"/>
  </w:style>
  <w:style w:type="paragraph" w:customStyle="1" w:styleId="Resdate">
    <w:name w:val="Res_date"/>
    <w:basedOn w:val="Recdate"/>
    <w:next w:val="Normalaftertitle"/>
    <w:rsid w:val="00A816EB"/>
  </w:style>
  <w:style w:type="paragraph" w:customStyle="1" w:styleId="ResNo">
    <w:name w:val="Res_No"/>
    <w:basedOn w:val="RecNo"/>
    <w:next w:val="Restitle"/>
    <w:rsid w:val="00A816EB"/>
  </w:style>
  <w:style w:type="paragraph" w:customStyle="1" w:styleId="Restitle">
    <w:name w:val="Res_title"/>
    <w:basedOn w:val="Normal"/>
    <w:next w:val="Resref"/>
    <w:rsid w:val="00A816EB"/>
    <w:pPr>
      <w:spacing w:before="240"/>
      <w:jc w:val="center"/>
    </w:pPr>
    <w:rPr>
      <w:b/>
      <w:sz w:val="28"/>
    </w:rPr>
  </w:style>
  <w:style w:type="paragraph" w:customStyle="1" w:styleId="Resref">
    <w:name w:val="Res_ref"/>
    <w:basedOn w:val="Recref"/>
    <w:next w:val="Resdate"/>
    <w:rsid w:val="00A816EB"/>
  </w:style>
  <w:style w:type="paragraph" w:customStyle="1" w:styleId="SectionNo">
    <w:name w:val="Section_No"/>
    <w:basedOn w:val="Normal"/>
    <w:next w:val="Normal"/>
    <w:rsid w:val="00A816EB"/>
  </w:style>
  <w:style w:type="paragraph" w:customStyle="1" w:styleId="Sectiontitle">
    <w:name w:val="Section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16EB"/>
    <w:pPr>
      <w:tabs>
        <w:tab w:val="clear" w:pos="794"/>
        <w:tab w:val="clear" w:pos="1191"/>
        <w:tab w:val="clear" w:pos="1588"/>
        <w:tab w:val="clear" w:pos="1985"/>
        <w:tab w:val="right" w:pos="9611"/>
      </w:tabs>
    </w:pPr>
    <w:rPr>
      <w:i/>
    </w:rPr>
  </w:style>
  <w:style w:type="paragraph" w:styleId="TOC1">
    <w:name w:val="toc 1"/>
    <w:basedOn w:val="Normal"/>
    <w:uiPriority w:val="39"/>
    <w:rsid w:val="00A816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816EB"/>
    <w:pPr>
      <w:tabs>
        <w:tab w:val="clear" w:pos="567"/>
        <w:tab w:val="left" w:pos="1276"/>
      </w:tabs>
      <w:spacing w:before="160"/>
      <w:ind w:left="1276" w:hanging="709"/>
    </w:pPr>
  </w:style>
  <w:style w:type="paragraph" w:styleId="TOC3">
    <w:name w:val="toc 3"/>
    <w:basedOn w:val="TOC2"/>
    <w:rsid w:val="00A816EB"/>
    <w:pPr>
      <w:tabs>
        <w:tab w:val="clear" w:pos="1276"/>
        <w:tab w:val="left" w:pos="2155"/>
      </w:tabs>
      <w:ind w:left="2155" w:hanging="879"/>
    </w:pPr>
  </w:style>
  <w:style w:type="paragraph" w:styleId="TOC4">
    <w:name w:val="toc 4"/>
    <w:basedOn w:val="TOC3"/>
    <w:rsid w:val="00A816EB"/>
    <w:pPr>
      <w:tabs>
        <w:tab w:val="left" w:pos="3261"/>
      </w:tabs>
      <w:spacing w:before="80"/>
      <w:ind w:left="3261" w:hanging="993"/>
    </w:pPr>
  </w:style>
  <w:style w:type="paragraph" w:styleId="TOC5">
    <w:name w:val="toc 5"/>
    <w:basedOn w:val="TOC4"/>
    <w:rsid w:val="00A816EB"/>
  </w:style>
  <w:style w:type="paragraph" w:styleId="TOC6">
    <w:name w:val="toc 6"/>
    <w:basedOn w:val="TOC4"/>
    <w:rsid w:val="00A816EB"/>
  </w:style>
  <w:style w:type="paragraph" w:styleId="TOC7">
    <w:name w:val="toc 7"/>
    <w:basedOn w:val="TOC4"/>
    <w:rsid w:val="00A816EB"/>
  </w:style>
  <w:style w:type="paragraph" w:styleId="TOC8">
    <w:name w:val="toc 8"/>
    <w:basedOn w:val="TOC4"/>
    <w:rsid w:val="00A816EB"/>
  </w:style>
  <w:style w:type="paragraph" w:customStyle="1" w:styleId="Appendixref">
    <w:name w:val="Appendix_ref"/>
    <w:basedOn w:val="Annexref"/>
    <w:next w:val="Normalaftertitle"/>
    <w:rsid w:val="00A816EB"/>
  </w:style>
  <w:style w:type="paragraph" w:customStyle="1" w:styleId="tocpart">
    <w:name w:val="tocpart"/>
    <w:basedOn w:val="Normal"/>
    <w:rsid w:val="00A816EB"/>
    <w:pPr>
      <w:tabs>
        <w:tab w:val="clear" w:pos="794"/>
        <w:tab w:val="clear" w:pos="1191"/>
        <w:tab w:val="clear" w:pos="1588"/>
        <w:tab w:val="clear" w:pos="1985"/>
        <w:tab w:val="left" w:pos="2693"/>
        <w:tab w:val="left" w:pos="8789"/>
        <w:tab w:val="right" w:pos="9639"/>
      </w:tabs>
      <w:ind w:left="2693" w:hanging="2693"/>
    </w:pPr>
  </w:style>
  <w:style w:type="paragraph" w:customStyle="1" w:styleId="Summary">
    <w:name w:val="Summary"/>
    <w:basedOn w:val="Normal"/>
    <w:next w:val="Normalaftertitle"/>
    <w:autoRedefine/>
    <w:rsid w:val="00A816EB"/>
    <w:pPr>
      <w:spacing w:after="480"/>
    </w:pPr>
    <w:rPr>
      <w:sz w:val="22"/>
      <w:lang w:val="es-ES_tradnl"/>
    </w:rPr>
  </w:style>
  <w:style w:type="paragraph" w:customStyle="1" w:styleId="toctemp">
    <w:name w:val="toctemp"/>
    <w:basedOn w:val="Normal"/>
    <w:rsid w:val="00A816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A816EB"/>
    <w:pPr>
      <w:ind w:left="-85" w:firstLine="0"/>
    </w:pPr>
    <w:rPr>
      <w:lang w:val="en-US"/>
    </w:rPr>
  </w:style>
  <w:style w:type="paragraph" w:customStyle="1" w:styleId="Figurewithouttitle">
    <w:name w:val="Figure_without_title"/>
    <w:basedOn w:val="FigureNo"/>
    <w:next w:val="Normal"/>
    <w:rsid w:val="006338C0"/>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6338C0"/>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rsid w:val="006338C0"/>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uiPriority w:val="99"/>
    <w:rsid w:val="002C1659"/>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rsid w:val="002C1659"/>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rsid w:val="006338C0"/>
    <w:pPr>
      <w:spacing w:before="240"/>
    </w:pPr>
    <w:rPr>
      <w:caps w:val="0"/>
    </w:rPr>
  </w:style>
  <w:style w:type="paragraph" w:customStyle="1" w:styleId="Title4">
    <w:name w:val="Title 4"/>
    <w:basedOn w:val="Title3"/>
    <w:next w:val="Heading1"/>
    <w:rsid w:val="006338C0"/>
    <w:rPr>
      <w:b/>
    </w:rPr>
  </w:style>
  <w:style w:type="character" w:customStyle="1" w:styleId="Recdef">
    <w:name w:val="Rec_def"/>
    <w:basedOn w:val="DefaultParagraphFont"/>
    <w:rsid w:val="006338C0"/>
    <w:rPr>
      <w:b/>
    </w:rPr>
  </w:style>
  <w:style w:type="character" w:customStyle="1" w:styleId="Resdef">
    <w:name w:val="Res_def"/>
    <w:basedOn w:val="DefaultParagraphFont"/>
    <w:rsid w:val="006338C0"/>
    <w:rPr>
      <w:rFonts w:ascii="Times New Roman" w:hAnsi="Times New Roman"/>
      <w:b/>
    </w:rPr>
  </w:style>
  <w:style w:type="character" w:customStyle="1" w:styleId="Tablefreq">
    <w:name w:val="Table_freq"/>
    <w:basedOn w:val="DefaultParagraphFont"/>
    <w:rsid w:val="006338C0"/>
    <w:rPr>
      <w:b/>
      <w:color w:val="auto"/>
      <w:sz w:val="20"/>
    </w:rPr>
  </w:style>
  <w:style w:type="paragraph" w:customStyle="1" w:styleId="Proposal">
    <w:name w:val="Proposal"/>
    <w:basedOn w:val="Normal"/>
    <w:next w:val="Normal"/>
    <w:rsid w:val="006338C0"/>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6338C0"/>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6338C0"/>
    <w:rPr>
      <w:noProof/>
      <w:sz w:val="18"/>
      <w:lang w:val="fr-FR" w:eastAsia="en-US"/>
    </w:rPr>
  </w:style>
  <w:style w:type="character" w:customStyle="1" w:styleId="FootnoteTextChar">
    <w:name w:val="Footnote Text Char"/>
    <w:basedOn w:val="DefaultParagraphFont"/>
    <w:link w:val="FootnoteText"/>
    <w:rsid w:val="006338C0"/>
    <w:rPr>
      <w:sz w:val="22"/>
      <w:lang w:val="fr-FR" w:eastAsia="en-US"/>
    </w:rPr>
  </w:style>
  <w:style w:type="character" w:customStyle="1" w:styleId="HeaderChar">
    <w:name w:val="Header Char"/>
    <w:basedOn w:val="DefaultParagraphFont"/>
    <w:link w:val="Header"/>
    <w:rsid w:val="006338C0"/>
    <w:rPr>
      <w:sz w:val="24"/>
      <w:lang w:val="fr-FR" w:eastAsia="en-US"/>
    </w:rPr>
  </w:style>
  <w:style w:type="paragraph" w:customStyle="1" w:styleId="Part1">
    <w:name w:val="Part_1"/>
    <w:basedOn w:val="Normal"/>
    <w:qFormat/>
    <w:rsid w:val="00EB3E37"/>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rsid w:val="006338C0"/>
    <w:rPr>
      <w:b/>
      <w:sz w:val="24"/>
      <w:lang w:val="fr-FR" w:eastAsia="en-US"/>
    </w:rPr>
  </w:style>
  <w:style w:type="character" w:customStyle="1" w:styleId="Heading2Char">
    <w:name w:val="Heading 2 Char"/>
    <w:basedOn w:val="DefaultParagraphFont"/>
    <w:link w:val="Heading2"/>
    <w:rsid w:val="006338C0"/>
    <w:rPr>
      <w:b/>
      <w:sz w:val="24"/>
      <w:lang w:val="fr-FR" w:eastAsia="en-US"/>
    </w:rPr>
  </w:style>
  <w:style w:type="character" w:customStyle="1" w:styleId="Heading3Char">
    <w:name w:val="Heading 3 Char"/>
    <w:basedOn w:val="DefaultParagraphFont"/>
    <w:link w:val="Heading3"/>
    <w:rsid w:val="006338C0"/>
    <w:rPr>
      <w:b/>
      <w:sz w:val="24"/>
      <w:lang w:val="fr-FR" w:eastAsia="en-US"/>
    </w:rPr>
  </w:style>
  <w:style w:type="character" w:customStyle="1" w:styleId="Heading4Char">
    <w:name w:val="Heading 4 Char"/>
    <w:basedOn w:val="DefaultParagraphFont"/>
    <w:link w:val="Heading4"/>
    <w:rsid w:val="006338C0"/>
    <w:rPr>
      <w:b/>
      <w:sz w:val="24"/>
      <w:lang w:val="fr-FR" w:eastAsia="en-US"/>
    </w:rPr>
  </w:style>
  <w:style w:type="character" w:customStyle="1" w:styleId="Heading5Char">
    <w:name w:val="Heading 5 Char"/>
    <w:basedOn w:val="DefaultParagraphFont"/>
    <w:link w:val="Heading5"/>
    <w:rsid w:val="006338C0"/>
    <w:rPr>
      <w:b/>
      <w:sz w:val="24"/>
      <w:lang w:val="fr-FR" w:eastAsia="en-US"/>
    </w:rPr>
  </w:style>
  <w:style w:type="character" w:customStyle="1" w:styleId="Heading6Char">
    <w:name w:val="Heading 6 Char"/>
    <w:basedOn w:val="DefaultParagraphFont"/>
    <w:link w:val="Heading6"/>
    <w:rsid w:val="006338C0"/>
    <w:rPr>
      <w:b/>
      <w:sz w:val="24"/>
      <w:lang w:val="fr-FR" w:eastAsia="en-US"/>
    </w:rPr>
  </w:style>
  <w:style w:type="character" w:customStyle="1" w:styleId="Heading7Char">
    <w:name w:val="Heading 7 Char"/>
    <w:basedOn w:val="DefaultParagraphFont"/>
    <w:link w:val="Heading7"/>
    <w:rsid w:val="006338C0"/>
    <w:rPr>
      <w:b/>
      <w:sz w:val="24"/>
      <w:lang w:val="fr-FR" w:eastAsia="en-US"/>
    </w:rPr>
  </w:style>
  <w:style w:type="character" w:customStyle="1" w:styleId="Heading8Char">
    <w:name w:val="Heading 8 Char"/>
    <w:basedOn w:val="DefaultParagraphFont"/>
    <w:link w:val="Heading8"/>
    <w:rsid w:val="006338C0"/>
    <w:rPr>
      <w:b/>
      <w:sz w:val="24"/>
      <w:lang w:val="fr-FR" w:eastAsia="en-US"/>
    </w:rPr>
  </w:style>
  <w:style w:type="character" w:customStyle="1" w:styleId="Heading9Char">
    <w:name w:val="Heading 9 Char"/>
    <w:basedOn w:val="DefaultParagraphFont"/>
    <w:link w:val="Heading9"/>
    <w:rsid w:val="006338C0"/>
    <w:rPr>
      <w:b/>
      <w:sz w:val="24"/>
      <w:lang w:val="fr-FR" w:eastAsia="en-US"/>
    </w:rPr>
  </w:style>
  <w:style w:type="character" w:customStyle="1" w:styleId="enumlev1Char">
    <w:name w:val="enumlev1 Char"/>
    <w:link w:val="enumlev1"/>
    <w:locked/>
    <w:rsid w:val="006338C0"/>
    <w:rPr>
      <w:sz w:val="24"/>
      <w:lang w:val="fr-FR" w:eastAsia="en-US"/>
    </w:rPr>
  </w:style>
  <w:style w:type="character" w:customStyle="1" w:styleId="FigureNoChar">
    <w:name w:val="Figure_No Char"/>
    <w:link w:val="FigureNo"/>
    <w:rsid w:val="006338C0"/>
    <w:rPr>
      <w:caps/>
      <w:sz w:val="18"/>
      <w:lang w:val="fr-FR" w:eastAsia="en-US"/>
    </w:rPr>
  </w:style>
  <w:style w:type="character" w:customStyle="1" w:styleId="FiguretitleChar">
    <w:name w:val="Figure_title Char"/>
    <w:link w:val="Figuretitle"/>
    <w:rsid w:val="005B1246"/>
    <w:rPr>
      <w:b/>
      <w:sz w:val="18"/>
      <w:lang w:val="fr-FR" w:eastAsia="en-US"/>
    </w:rPr>
  </w:style>
  <w:style w:type="character" w:customStyle="1" w:styleId="TableNoChar">
    <w:name w:val="Table_No Char"/>
    <w:link w:val="TableNo"/>
    <w:locked/>
    <w:rsid w:val="006338C0"/>
    <w:rPr>
      <w:sz w:val="24"/>
      <w:lang w:val="fr-FR" w:eastAsia="en-US"/>
    </w:rPr>
  </w:style>
  <w:style w:type="character" w:customStyle="1" w:styleId="TableheadChar">
    <w:name w:val="Table_head Char"/>
    <w:link w:val="Tablehead"/>
    <w:locked/>
    <w:rsid w:val="006338C0"/>
    <w:rPr>
      <w:b/>
      <w:sz w:val="22"/>
      <w:lang w:val="fr-FR" w:eastAsia="en-US"/>
    </w:rPr>
  </w:style>
  <w:style w:type="character" w:customStyle="1" w:styleId="TabletextChar">
    <w:name w:val="Table_text Char"/>
    <w:link w:val="Tabletext"/>
    <w:locked/>
    <w:rsid w:val="006338C0"/>
    <w:rPr>
      <w:sz w:val="22"/>
      <w:lang w:val="fr-FR" w:eastAsia="en-US"/>
    </w:rPr>
  </w:style>
  <w:style w:type="paragraph" w:customStyle="1" w:styleId="Default">
    <w:name w:val="Default"/>
    <w:rsid w:val="006338C0"/>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6338C0"/>
    <w:rPr>
      <w:rFonts w:eastAsiaTheme="minorEastAsia"/>
      <w:sz w:val="24"/>
      <w:lang w:val="en-GB" w:eastAsia="en-US"/>
    </w:rPr>
  </w:style>
  <w:style w:type="character" w:customStyle="1" w:styleId="Title1Char">
    <w:name w:val="Title 1 Char"/>
    <w:link w:val="Title1"/>
    <w:uiPriority w:val="99"/>
    <w:locked/>
    <w:rsid w:val="006338C0"/>
    <w:rPr>
      <w:rFonts w:eastAsiaTheme="minorEastAsia"/>
      <w:caps/>
      <w:sz w:val="28"/>
      <w:lang w:val="en-GB" w:eastAsia="en-US"/>
    </w:rPr>
  </w:style>
  <w:style w:type="character" w:customStyle="1" w:styleId="HeadingbChar">
    <w:name w:val="Heading_b Char"/>
    <w:link w:val="Headingb"/>
    <w:locked/>
    <w:rsid w:val="006338C0"/>
    <w:rPr>
      <w:b/>
      <w:sz w:val="24"/>
      <w:lang w:val="fr-FR" w:eastAsia="en-US"/>
    </w:rPr>
  </w:style>
  <w:style w:type="paragraph" w:styleId="Title">
    <w:name w:val="Title"/>
    <w:basedOn w:val="Normal"/>
    <w:link w:val="TitleChar"/>
    <w:qFormat/>
    <w:rsid w:val="006338C0"/>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6338C0"/>
    <w:rPr>
      <w:rFonts w:ascii="Bookman Old Style" w:eastAsia="MS Mincho" w:hAnsi="Bookman Old Style"/>
      <w:b/>
      <w:sz w:val="32"/>
      <w:lang w:val="en-CA" w:eastAsia="en-US"/>
    </w:rPr>
  </w:style>
  <w:style w:type="table" w:styleId="TableGrid">
    <w:name w:val="Table Grid"/>
    <w:basedOn w:val="TableNormal"/>
    <w:rsid w:val="006338C0"/>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338C0"/>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6338C0"/>
    <w:rPr>
      <w:rFonts w:ascii="Courier New" w:eastAsia="MS Mincho" w:hAnsi="Courier New"/>
      <w:lang w:val="en-CA" w:eastAsia="en-US"/>
    </w:rPr>
  </w:style>
  <w:style w:type="character" w:customStyle="1" w:styleId="FigurelegendChar">
    <w:name w:val="Figure_legend Char"/>
    <w:link w:val="Figurelegend"/>
    <w:locked/>
    <w:rsid w:val="006338C0"/>
    <w:rPr>
      <w:sz w:val="18"/>
      <w:lang w:val="fr-FR" w:eastAsia="en-US"/>
    </w:rPr>
  </w:style>
  <w:style w:type="character" w:customStyle="1" w:styleId="RectitleChar">
    <w:name w:val="Rec_title Char"/>
    <w:link w:val="Rectitle"/>
    <w:locked/>
    <w:rsid w:val="006338C0"/>
    <w:rPr>
      <w:b/>
      <w:sz w:val="28"/>
      <w:lang w:val="fr-FR" w:eastAsia="en-US"/>
    </w:rPr>
  </w:style>
  <w:style w:type="paragraph" w:customStyle="1" w:styleId="Revision1">
    <w:name w:val="Revision1"/>
    <w:hidden/>
    <w:uiPriority w:val="99"/>
    <w:rsid w:val="006338C0"/>
    <w:rPr>
      <w:rFonts w:ascii="Times" w:eastAsia="MS Mincho" w:hAnsi="Times"/>
      <w:lang w:eastAsia="en-US"/>
    </w:rPr>
  </w:style>
  <w:style w:type="paragraph" w:customStyle="1" w:styleId="a">
    <w:name w:val="変更箇所"/>
    <w:hidden/>
    <w:uiPriority w:val="99"/>
    <w:rsid w:val="006338C0"/>
    <w:rPr>
      <w:rFonts w:eastAsia="SimSun"/>
      <w:sz w:val="24"/>
      <w:szCs w:val="24"/>
      <w:lang w:val="en-GB" w:eastAsia="en-US"/>
    </w:rPr>
  </w:style>
  <w:style w:type="paragraph" w:customStyle="1" w:styleId="FooterQP">
    <w:name w:val="Footer_QP"/>
    <w:basedOn w:val="Normal"/>
    <w:uiPriority w:val="99"/>
    <w:rsid w:val="006338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6338C0"/>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6338C0"/>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6338C0"/>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rsid w:val="006338C0"/>
    <w:rPr>
      <w:sz w:val="28"/>
      <w:lang w:val="fr-FR" w:eastAsia="en-US"/>
    </w:rPr>
  </w:style>
  <w:style w:type="numbering" w:customStyle="1" w:styleId="NoList1">
    <w:name w:val="No List1"/>
    <w:next w:val="NoList"/>
    <w:uiPriority w:val="99"/>
    <w:semiHidden/>
    <w:unhideWhenUsed/>
    <w:rsid w:val="006338C0"/>
  </w:style>
  <w:style w:type="numbering" w:customStyle="1" w:styleId="NoList11">
    <w:name w:val="No List11"/>
    <w:next w:val="NoList"/>
    <w:uiPriority w:val="99"/>
    <w:semiHidden/>
    <w:unhideWhenUsed/>
    <w:rsid w:val="006338C0"/>
  </w:style>
  <w:style w:type="table" w:customStyle="1" w:styleId="TableGrid10">
    <w:name w:val="Table Grid1"/>
    <w:basedOn w:val="TableNormal"/>
    <w:next w:val="TableGrid"/>
    <w:uiPriority w:val="59"/>
    <w:rsid w:val="006338C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38C0"/>
  </w:style>
  <w:style w:type="numbering" w:customStyle="1" w:styleId="NoList2">
    <w:name w:val="No List2"/>
    <w:next w:val="NoList"/>
    <w:uiPriority w:val="99"/>
    <w:semiHidden/>
    <w:unhideWhenUsed/>
    <w:rsid w:val="006338C0"/>
  </w:style>
  <w:style w:type="numbering" w:customStyle="1" w:styleId="NoList12">
    <w:name w:val="No List12"/>
    <w:next w:val="NoList"/>
    <w:uiPriority w:val="99"/>
    <w:semiHidden/>
    <w:unhideWhenUsed/>
    <w:rsid w:val="006338C0"/>
  </w:style>
  <w:style w:type="numbering" w:customStyle="1" w:styleId="NoList112">
    <w:name w:val="No List112"/>
    <w:next w:val="NoList"/>
    <w:uiPriority w:val="99"/>
    <w:semiHidden/>
    <w:unhideWhenUsed/>
    <w:rsid w:val="006338C0"/>
  </w:style>
  <w:style w:type="character" w:styleId="Hyperlink">
    <w:name w:val="Hyperlink"/>
    <w:basedOn w:val="DefaultParagraphFont"/>
    <w:unhideWhenUsed/>
    <w:rsid w:val="009A6C24"/>
    <w:rPr>
      <w:color w:val="0000FF" w:themeColor="hyperlink"/>
      <w:u w:val="single"/>
    </w:rPr>
  </w:style>
  <w:style w:type="paragraph" w:customStyle="1" w:styleId="AnnexNo">
    <w:name w:val="Annex_No"/>
    <w:basedOn w:val="Normal"/>
    <w:next w:val="Normal"/>
    <w:rsid w:val="006C5CD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C5C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CD49-85B7-46F3-91CA-976F7FB9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12</Pages>
  <Words>3263</Words>
  <Characters>18257</Characters>
  <Application>Microsoft Office Word</Application>
  <DocSecurity>0</DocSecurity>
  <Lines>372</Lines>
  <Paragraphs>165</Paragraphs>
  <ScaleCrop>false</ScaleCrop>
  <HeadingPairs>
    <vt:vector size="2" baseType="variant">
      <vt:variant>
        <vt:lpstr>Title</vt:lpstr>
      </vt:variant>
      <vt:variant>
        <vt:i4>1</vt:i4>
      </vt:variant>
    </vt:vector>
  </HeadingPairs>
  <TitlesOfParts>
    <vt:vector size="1" baseType="lpstr">
      <vt:lpstr>REPORT ITU-R S.2357-0 - Technical and operational guidelines for earth stations on mobile platforms communicating with geostationary space stations in the fixed-satellite service in the frequency bands 19.7-20.2 GHz and 29.5-30.0 GHz</vt:lpstr>
    </vt:vector>
  </TitlesOfParts>
  <Manager/>
  <Company>ITU</Company>
  <LinksUpToDate>false</LinksUpToDate>
  <CharactersWithSpaces>21355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S.2357-0 - Technical and operational guidelines for earth stations on mobile platforms communicating with geostationary space stations in the fixed-satellite service in the frequency bands 19.7-20.2 GHz and 29.5-30.0 GHz</dc:title>
  <dc:subject>S Series = Fixed-satellite service</dc:subject>
  <dc:creator>ITU Radiocommunication Bureau (BR)</dc:creator>
  <cp:keywords>S,2357-0</cp:keywords>
  <dc:description>Gachetc, 14.07.2015, ITU51007784</dc:description>
  <cp:lastModifiedBy>Gachet, Christelle</cp:lastModifiedBy>
  <cp:revision>10</cp:revision>
  <cp:lastPrinted>2015-07-14T07:53:00Z</cp:lastPrinted>
  <dcterms:created xsi:type="dcterms:W3CDTF">2015-07-09T13:59:00Z</dcterms:created>
  <dcterms:modified xsi:type="dcterms:W3CDTF">2015-07-14T07:54:00Z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mardi 14 juillet 2015</vt:lpwstr>
  </property>
</Properties>
</file>