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875" w:rsidRDefault="00E13875"/>
    <w:p w:rsidR="00E13875" w:rsidRDefault="00E13875"/>
    <w:p w:rsidR="00E13875" w:rsidRDefault="00E13875"/>
    <w:p w:rsidR="00E13875" w:rsidRDefault="00E13875"/>
    <w:p w:rsidR="00E13875" w:rsidRDefault="00E13875"/>
    <w:p w:rsidR="00E13875" w:rsidRDefault="00E13875"/>
    <w:p w:rsidR="00E13875" w:rsidRDefault="00E13875"/>
    <w:p w:rsidR="00E13875" w:rsidRDefault="00E13875"/>
    <w:p w:rsidR="00E13875" w:rsidRDefault="00E13875"/>
    <w:p w:rsidR="00E13875" w:rsidRDefault="00E13875"/>
    <w:p w:rsidR="00E13875" w:rsidRDefault="00E13875"/>
    <w:p w:rsidR="00E13875" w:rsidRDefault="00E13875"/>
    <w:tbl>
      <w:tblPr>
        <w:tblW w:w="10089" w:type="dxa"/>
        <w:tblLook w:val="01E0" w:firstRow="1" w:lastRow="1" w:firstColumn="1" w:lastColumn="1" w:noHBand="0" w:noVBand="0"/>
      </w:tblPr>
      <w:tblGrid>
        <w:gridCol w:w="10089"/>
      </w:tblGrid>
      <w:tr w:rsidR="00E13875" w:rsidRPr="00CA47D8" w:rsidTr="00CA47D8">
        <w:tc>
          <w:tcPr>
            <w:tcW w:w="10089" w:type="dxa"/>
          </w:tcPr>
          <w:p w:rsidR="00E13875" w:rsidRPr="00CA47D8" w:rsidRDefault="00E13875" w:rsidP="00CA47D8">
            <w:pPr>
              <w:spacing w:before="380" w:line="280" w:lineRule="exact"/>
              <w:jc w:val="right"/>
              <w:rPr>
                <w:rFonts w:ascii="Tahoma" w:hAnsi="Tahoma" w:cs="Tahoma"/>
                <w:b/>
                <w:bCs/>
                <w:iCs/>
                <w:color w:val="509141"/>
                <w:sz w:val="32"/>
                <w:szCs w:val="32"/>
                <w:lang w:val="en-US"/>
              </w:rPr>
            </w:pPr>
            <w:r w:rsidRPr="00CA47D8">
              <w:rPr>
                <w:rFonts w:ascii="Tahoma" w:hAnsi="Tahoma" w:cs="Tahoma"/>
                <w:b/>
                <w:bCs/>
                <w:iCs/>
                <w:color w:val="509141"/>
                <w:position w:val="-10"/>
                <w:sz w:val="32"/>
                <w:szCs w:val="32"/>
                <w:lang w:val="en-US"/>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16.5pt" o:ole="">
                  <v:imagedata r:id="rId8" o:title=""/>
                </v:shape>
                <o:OLEObject Type="Embed" ProgID="Equation.3" ShapeID="_x0000_i1025" DrawAspect="Content" ObjectID="_1380002124" r:id="rId9"/>
              </w:object>
            </w:r>
          </w:p>
          <w:p w:rsidR="00E13875" w:rsidRPr="00CA47D8" w:rsidRDefault="00E13875" w:rsidP="00612355">
            <w:pPr>
              <w:spacing w:before="380" w:line="280" w:lineRule="exact"/>
              <w:jc w:val="right"/>
              <w:rPr>
                <w:rFonts w:ascii="Tahoma" w:hAnsi="Tahoma" w:cs="Tahoma"/>
                <w:b/>
                <w:bCs/>
                <w:iCs/>
                <w:color w:val="509141"/>
                <w:sz w:val="36"/>
                <w:szCs w:val="36"/>
                <w:lang w:val="en-US"/>
              </w:rPr>
            </w:pPr>
            <w:r w:rsidRPr="00CA47D8">
              <w:rPr>
                <w:rFonts w:ascii="Tahoma" w:hAnsi="Tahoma" w:cs="Tahoma"/>
                <w:b/>
                <w:bCs/>
                <w:iCs/>
                <w:color w:val="509141"/>
                <w:sz w:val="36"/>
                <w:szCs w:val="36"/>
                <w:lang w:val="en-US"/>
              </w:rPr>
              <w:t>Report  ITU-R  S.</w:t>
            </w:r>
            <w:r w:rsidR="00612355">
              <w:rPr>
                <w:rFonts w:ascii="Tahoma" w:hAnsi="Tahoma" w:cs="Tahoma"/>
                <w:b/>
                <w:bCs/>
                <w:iCs/>
                <w:color w:val="509141"/>
                <w:sz w:val="36"/>
                <w:szCs w:val="36"/>
                <w:lang w:val="en-US"/>
              </w:rPr>
              <w:t>2223</w:t>
            </w:r>
          </w:p>
          <w:p w:rsidR="00E13875" w:rsidRPr="00CA47D8" w:rsidRDefault="00E13875" w:rsidP="00285878">
            <w:pPr>
              <w:spacing w:before="80" w:line="280" w:lineRule="exact"/>
              <w:jc w:val="right"/>
              <w:rPr>
                <w:rFonts w:ascii="Tahoma" w:hAnsi="Tahoma" w:cs="Tahoma"/>
                <w:iCs/>
                <w:color w:val="509141"/>
                <w:szCs w:val="24"/>
                <w:lang w:val="en-US"/>
              </w:rPr>
            </w:pPr>
            <w:r w:rsidRPr="00CA47D8">
              <w:rPr>
                <w:rFonts w:ascii="Tahoma" w:hAnsi="Tahoma" w:cs="Tahoma"/>
                <w:b/>
                <w:bCs/>
                <w:iCs/>
                <w:color w:val="509141"/>
                <w:szCs w:val="24"/>
                <w:lang w:val="en-US"/>
              </w:rPr>
              <w:t>(</w:t>
            </w:r>
            <w:r w:rsidR="00285878">
              <w:rPr>
                <w:rFonts w:ascii="Tahoma" w:hAnsi="Tahoma" w:cs="Tahoma"/>
                <w:b/>
                <w:bCs/>
                <w:iCs/>
                <w:color w:val="509141"/>
                <w:szCs w:val="24"/>
                <w:lang w:val="en-US"/>
              </w:rPr>
              <w:t>10</w:t>
            </w:r>
            <w:r w:rsidRPr="00CA47D8">
              <w:rPr>
                <w:rFonts w:ascii="Tahoma" w:hAnsi="Tahoma" w:cs="Tahoma"/>
                <w:b/>
                <w:bCs/>
                <w:iCs/>
                <w:color w:val="509141"/>
                <w:szCs w:val="24"/>
                <w:lang w:val="en-US"/>
              </w:rPr>
              <w:t>/</w:t>
            </w:r>
            <w:r w:rsidR="00285878">
              <w:rPr>
                <w:rFonts w:ascii="Tahoma" w:hAnsi="Tahoma" w:cs="Tahoma"/>
                <w:b/>
                <w:bCs/>
                <w:iCs/>
                <w:color w:val="509141"/>
                <w:szCs w:val="24"/>
                <w:lang w:val="en-US"/>
              </w:rPr>
              <w:t>2011</w:t>
            </w:r>
            <w:r w:rsidRPr="00CA47D8">
              <w:rPr>
                <w:rFonts w:ascii="Tahoma" w:hAnsi="Tahoma" w:cs="Tahoma"/>
                <w:b/>
                <w:bCs/>
                <w:iCs/>
                <w:color w:val="509141"/>
                <w:szCs w:val="24"/>
                <w:lang w:val="en-US"/>
              </w:rPr>
              <w:t>)</w:t>
            </w:r>
          </w:p>
        </w:tc>
      </w:tr>
      <w:tr w:rsidR="00E13875" w:rsidRPr="00285878" w:rsidTr="00CA47D8">
        <w:tc>
          <w:tcPr>
            <w:tcW w:w="10089" w:type="dxa"/>
          </w:tcPr>
          <w:p w:rsidR="00E13875" w:rsidRPr="00CA47D8" w:rsidRDefault="00E13875" w:rsidP="00CA47D8">
            <w:pPr>
              <w:spacing w:before="80" w:line="500" w:lineRule="exact"/>
              <w:jc w:val="right"/>
              <w:rPr>
                <w:rFonts w:ascii="Tahoma" w:hAnsi="Tahoma" w:cs="Tahoma"/>
                <w:b/>
                <w:bCs/>
                <w:iCs/>
                <w:color w:val="509141"/>
                <w:sz w:val="44"/>
                <w:szCs w:val="44"/>
                <w:lang w:val="en-US"/>
              </w:rPr>
            </w:pPr>
          </w:p>
          <w:p w:rsidR="00E13875" w:rsidRPr="00CA47D8" w:rsidRDefault="00612355" w:rsidP="00612355">
            <w:pPr>
              <w:spacing w:before="80" w:line="500" w:lineRule="exact"/>
              <w:jc w:val="right"/>
              <w:rPr>
                <w:rFonts w:ascii="Tahoma" w:hAnsi="Tahoma" w:cs="Tahoma"/>
                <w:b/>
                <w:bCs/>
                <w:iCs/>
                <w:color w:val="509141"/>
                <w:sz w:val="44"/>
                <w:szCs w:val="44"/>
                <w:lang w:val="en-US"/>
              </w:rPr>
            </w:pPr>
            <w:r w:rsidRPr="00612355">
              <w:rPr>
                <w:rFonts w:ascii="Tahoma" w:hAnsi="Tahoma" w:cs="Tahoma"/>
                <w:b/>
                <w:bCs/>
                <w:iCs/>
                <w:color w:val="509141"/>
                <w:sz w:val="44"/>
                <w:szCs w:val="44"/>
                <w:lang w:val="en-US"/>
              </w:rPr>
              <w:t>Technical and operational requirements for GSO FSS earth stations</w:t>
            </w:r>
            <w:r>
              <w:rPr>
                <w:rFonts w:ascii="Tahoma" w:hAnsi="Tahoma" w:cs="Tahoma"/>
                <w:b/>
                <w:bCs/>
                <w:iCs/>
                <w:color w:val="509141"/>
                <w:sz w:val="44"/>
                <w:szCs w:val="44"/>
                <w:lang w:val="en-US"/>
              </w:rPr>
              <w:t xml:space="preserve"> </w:t>
            </w:r>
            <w:r w:rsidRPr="00612355">
              <w:rPr>
                <w:rFonts w:ascii="Tahoma" w:hAnsi="Tahoma" w:cs="Tahoma"/>
                <w:b/>
                <w:bCs/>
                <w:iCs/>
                <w:color w:val="509141"/>
                <w:sz w:val="44"/>
                <w:szCs w:val="44"/>
                <w:lang w:val="en-US"/>
              </w:rPr>
              <w:t>on mobile platforms in bands from 17.3 to 30.0 GHz</w:t>
            </w:r>
          </w:p>
          <w:p w:rsidR="00E13875" w:rsidRPr="00CA47D8" w:rsidRDefault="00E13875" w:rsidP="00CA47D8">
            <w:pPr>
              <w:spacing w:before="80" w:line="500" w:lineRule="exact"/>
              <w:jc w:val="right"/>
              <w:rPr>
                <w:rFonts w:ascii="Tahoma" w:hAnsi="Tahoma" w:cs="Tahoma"/>
                <w:b/>
                <w:bCs/>
                <w:iCs/>
                <w:color w:val="509141"/>
                <w:sz w:val="44"/>
                <w:szCs w:val="44"/>
                <w:lang w:val="en-US"/>
              </w:rPr>
            </w:pPr>
            <w:r w:rsidRPr="00CA47D8">
              <w:rPr>
                <w:rFonts w:ascii="Tahoma" w:hAnsi="Tahoma" w:cs="Tahoma"/>
                <w:b/>
                <w:bCs/>
                <w:iCs/>
                <w:color w:val="509141"/>
                <w:sz w:val="44"/>
                <w:szCs w:val="44"/>
                <w:lang w:val="en-US"/>
              </w:rPr>
              <w:t xml:space="preserve">  </w:t>
            </w:r>
          </w:p>
        </w:tc>
      </w:tr>
      <w:tr w:rsidR="00E13875" w:rsidRPr="00285878" w:rsidTr="00CA47D8">
        <w:tc>
          <w:tcPr>
            <w:tcW w:w="10089" w:type="dxa"/>
          </w:tcPr>
          <w:p w:rsidR="00E13875" w:rsidRPr="00CA47D8" w:rsidRDefault="00E13875" w:rsidP="00CA47D8">
            <w:pPr>
              <w:spacing w:before="80" w:line="280" w:lineRule="exact"/>
              <w:ind w:right="640"/>
              <w:rPr>
                <w:rFonts w:ascii="Tahoma" w:hAnsi="Tahoma" w:cs="Tahoma"/>
                <w:b/>
                <w:bCs/>
                <w:iCs/>
                <w:color w:val="243285"/>
                <w:sz w:val="32"/>
                <w:szCs w:val="32"/>
                <w:lang w:val="en-US"/>
              </w:rPr>
            </w:pPr>
          </w:p>
          <w:p w:rsidR="00E13875" w:rsidRPr="00CA47D8" w:rsidRDefault="00E13875" w:rsidP="00CA47D8">
            <w:pPr>
              <w:spacing w:before="80" w:line="280" w:lineRule="exact"/>
              <w:ind w:right="640"/>
              <w:rPr>
                <w:rFonts w:ascii="Tahoma" w:hAnsi="Tahoma" w:cs="Tahoma"/>
                <w:b/>
                <w:bCs/>
                <w:iCs/>
                <w:color w:val="243285"/>
                <w:sz w:val="32"/>
                <w:szCs w:val="32"/>
                <w:lang w:val="en-US"/>
              </w:rPr>
            </w:pPr>
          </w:p>
          <w:p w:rsidR="00E13875" w:rsidRPr="00CA47D8" w:rsidRDefault="00E13875" w:rsidP="00CA47D8">
            <w:pPr>
              <w:spacing w:before="80" w:line="280" w:lineRule="exact"/>
              <w:ind w:right="640"/>
              <w:rPr>
                <w:rFonts w:ascii="Tahoma" w:hAnsi="Tahoma" w:cs="Tahoma"/>
                <w:b/>
                <w:bCs/>
                <w:iCs/>
                <w:color w:val="243285"/>
                <w:sz w:val="32"/>
                <w:szCs w:val="32"/>
                <w:lang w:val="en-US"/>
              </w:rPr>
            </w:pPr>
          </w:p>
          <w:p w:rsidR="00E13875" w:rsidRPr="00CA47D8" w:rsidRDefault="00E13875" w:rsidP="00CA47D8">
            <w:pPr>
              <w:spacing w:before="80" w:after="180" w:line="360" w:lineRule="exact"/>
              <w:jc w:val="right"/>
              <w:rPr>
                <w:rFonts w:ascii="Tahoma" w:hAnsi="Tahoma" w:cs="Tahoma"/>
                <w:b/>
                <w:bCs/>
                <w:iCs/>
                <w:color w:val="243285"/>
                <w:sz w:val="36"/>
                <w:szCs w:val="36"/>
                <w:lang w:val="en-US"/>
              </w:rPr>
            </w:pPr>
          </w:p>
          <w:p w:rsidR="00E13875" w:rsidRPr="00CA47D8" w:rsidRDefault="00E13875" w:rsidP="00CA47D8">
            <w:pPr>
              <w:spacing w:before="80" w:after="180" w:line="360" w:lineRule="exact"/>
              <w:jc w:val="right"/>
              <w:rPr>
                <w:rFonts w:ascii="Tahoma" w:hAnsi="Tahoma" w:cs="Tahoma"/>
                <w:b/>
                <w:bCs/>
                <w:iCs/>
                <w:color w:val="509141"/>
                <w:sz w:val="36"/>
                <w:szCs w:val="36"/>
                <w:lang w:val="en-US"/>
              </w:rPr>
            </w:pPr>
            <w:r w:rsidRPr="00CA47D8">
              <w:rPr>
                <w:rFonts w:ascii="Tahoma" w:hAnsi="Tahoma" w:cs="Tahoma"/>
                <w:b/>
                <w:bCs/>
                <w:iCs/>
                <w:color w:val="509141"/>
                <w:sz w:val="36"/>
                <w:szCs w:val="36"/>
                <w:lang w:val="en-US"/>
              </w:rPr>
              <w:t>S Series</w:t>
            </w:r>
          </w:p>
          <w:p w:rsidR="00E13875" w:rsidRPr="00CA47D8" w:rsidRDefault="00DA64DF" w:rsidP="00CA47D8">
            <w:pPr>
              <w:spacing w:before="80" w:line="420" w:lineRule="exact"/>
              <w:jc w:val="right"/>
              <w:rPr>
                <w:rFonts w:ascii="Tahoma" w:hAnsi="Tahoma" w:cs="Tahoma"/>
                <w:b/>
                <w:bCs/>
                <w:iCs/>
                <w:color w:val="509141"/>
                <w:sz w:val="36"/>
                <w:szCs w:val="36"/>
                <w:lang w:val="en-US"/>
              </w:rPr>
            </w:pPr>
            <w:r>
              <w:rPr>
                <w:rFonts w:ascii="Tahoma" w:hAnsi="Tahoma" w:cs="Tahoma"/>
                <w:b/>
                <w:bCs/>
                <w:iCs/>
                <w:color w:val="509141"/>
                <w:sz w:val="36"/>
                <w:szCs w:val="36"/>
                <w:lang w:val="en-US"/>
              </w:rPr>
              <w:t>Fixed-</w:t>
            </w:r>
            <w:r w:rsidR="00E13875" w:rsidRPr="00CA47D8">
              <w:rPr>
                <w:rFonts w:ascii="Tahoma" w:hAnsi="Tahoma" w:cs="Tahoma"/>
                <w:b/>
                <w:bCs/>
                <w:iCs/>
                <w:color w:val="509141"/>
                <w:sz w:val="36"/>
                <w:szCs w:val="36"/>
                <w:lang w:val="en-US"/>
              </w:rPr>
              <w:t>satellite service</w:t>
            </w:r>
          </w:p>
        </w:tc>
      </w:tr>
    </w:tbl>
    <w:p w:rsidR="00E13875" w:rsidRDefault="00E13875" w:rsidP="00CD659B">
      <w:pPr>
        <w:spacing w:before="80"/>
        <w:rPr>
          <w:i/>
          <w:sz w:val="22"/>
          <w:lang w:val="en-US"/>
        </w:rPr>
      </w:pPr>
    </w:p>
    <w:p w:rsidR="00E13875" w:rsidRDefault="00E13875" w:rsidP="00CD659B">
      <w:pPr>
        <w:spacing w:before="80"/>
        <w:rPr>
          <w:i/>
          <w:sz w:val="22"/>
          <w:lang w:val="en-US"/>
        </w:rPr>
      </w:pPr>
    </w:p>
    <w:p w:rsidR="00E13875" w:rsidRDefault="00E13875" w:rsidP="00CD659B">
      <w:pPr>
        <w:spacing w:before="80"/>
        <w:rPr>
          <w:i/>
          <w:sz w:val="22"/>
          <w:lang w:val="en-US"/>
        </w:rPr>
      </w:pPr>
    </w:p>
    <w:p w:rsidR="00E13875" w:rsidRDefault="00E13875" w:rsidP="00CD659B">
      <w:pPr>
        <w:spacing w:before="80"/>
        <w:rPr>
          <w:i/>
          <w:sz w:val="22"/>
          <w:lang w:val="en-US"/>
        </w:rPr>
      </w:pPr>
    </w:p>
    <w:p w:rsidR="00E13875" w:rsidRDefault="00E13875" w:rsidP="00CD659B">
      <w:pPr>
        <w:spacing w:before="80"/>
        <w:rPr>
          <w:i/>
          <w:sz w:val="22"/>
          <w:lang w:val="en-US"/>
        </w:rPr>
      </w:pPr>
    </w:p>
    <w:p w:rsidR="00E13875" w:rsidRDefault="00E13875" w:rsidP="00CD659B">
      <w:pPr>
        <w:spacing w:before="80"/>
        <w:rPr>
          <w:i/>
          <w:sz w:val="22"/>
          <w:lang w:val="en-US"/>
        </w:rPr>
      </w:pPr>
    </w:p>
    <w:p w:rsidR="00E13875" w:rsidRDefault="00E13875" w:rsidP="00CD659B">
      <w:pPr>
        <w:rPr>
          <w:rFonts w:ascii="Palatino Linotype" w:hAnsi="Palatino Linotype"/>
          <w:lang w:val="en-US"/>
        </w:rPr>
        <w:sectPr w:rsidR="00E13875" w:rsidSect="009415B5">
          <w:headerReference w:type="even" r:id="rId10"/>
          <w:headerReference w:type="default" r:id="rId11"/>
          <w:pgSz w:w="11907" w:h="16834" w:code="9"/>
          <w:pgMar w:top="1418" w:right="1134" w:bottom="1134" w:left="1134" w:header="720" w:footer="482" w:gutter="0"/>
          <w:paperSrc w:first="15" w:other="15"/>
          <w:cols w:space="720"/>
        </w:sectPr>
      </w:pPr>
    </w:p>
    <w:p w:rsidR="00E13875" w:rsidRDefault="00E13875" w:rsidP="00CB60A4">
      <w:pPr>
        <w:pStyle w:val="Tablehead"/>
        <w:tabs>
          <w:tab w:val="clear" w:pos="284"/>
          <w:tab w:val="clear" w:pos="567"/>
          <w:tab w:val="clear" w:pos="851"/>
          <w:tab w:val="clear" w:pos="1134"/>
          <w:tab w:val="clear" w:pos="1418"/>
          <w:tab w:val="clear" w:pos="1701"/>
          <w:tab w:val="left" w:pos="794"/>
          <w:tab w:val="left" w:pos="1191"/>
          <w:tab w:val="left" w:pos="1588"/>
        </w:tabs>
        <w:spacing w:before="240" w:after="0"/>
        <w:rPr>
          <w:bCs/>
          <w:sz w:val="24"/>
          <w:szCs w:val="24"/>
          <w:lang w:val="en-US"/>
        </w:rPr>
      </w:pPr>
      <w:bookmarkStart w:id="0" w:name="c2tope"/>
      <w:bookmarkEnd w:id="0"/>
      <w:r>
        <w:rPr>
          <w:bCs/>
          <w:sz w:val="24"/>
          <w:szCs w:val="24"/>
          <w:lang w:val="en-US"/>
        </w:rPr>
        <w:lastRenderedPageBreak/>
        <w:t>Foreword</w:t>
      </w:r>
    </w:p>
    <w:p w:rsidR="00E13875" w:rsidRDefault="00E13875" w:rsidP="00CB60A4">
      <w:pPr>
        <w:spacing w:before="240"/>
        <w:rPr>
          <w:sz w:val="20"/>
          <w:lang w:val="en-US"/>
        </w:rPr>
      </w:pPr>
      <w:r>
        <w:rPr>
          <w:sz w:val="20"/>
          <w:lang w:val="en-US"/>
        </w:rPr>
        <w:t>The role of the Radiocommunication Sector is to ensure the rational, equitable, efficient and economical use of the radio-frequency spectrum by all radiocommunication services, including satellite services, and carry out studies without limit of frequency range on the basis of which Recommendations are adopted.</w:t>
      </w:r>
    </w:p>
    <w:p w:rsidR="00E13875" w:rsidRDefault="00E13875" w:rsidP="00CB60A4">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rsidR="00E13875" w:rsidRDefault="00E13875" w:rsidP="00505FB4">
      <w:pPr>
        <w:pStyle w:val="Heading1"/>
        <w:spacing w:before="400"/>
        <w:jc w:val="center"/>
        <w:rPr>
          <w:szCs w:val="24"/>
          <w:lang w:val="en-US"/>
        </w:rPr>
      </w:pPr>
    </w:p>
    <w:p w:rsidR="00E13875" w:rsidRDefault="00E13875" w:rsidP="000C0413">
      <w:pPr>
        <w:pStyle w:val="Heading1"/>
        <w:spacing w:before="540"/>
        <w:jc w:val="center"/>
        <w:rPr>
          <w:szCs w:val="24"/>
          <w:lang w:val="en-US"/>
        </w:rPr>
      </w:pPr>
      <w:bookmarkStart w:id="1" w:name="_Toc306176365"/>
      <w:bookmarkStart w:id="2" w:name="_Toc306260056"/>
      <w:r>
        <w:rPr>
          <w:szCs w:val="24"/>
          <w:lang w:val="en-US"/>
        </w:rPr>
        <w:t>Policy on Intellectual Property Right (IPR)</w:t>
      </w:r>
      <w:bookmarkEnd w:id="1"/>
      <w:bookmarkEnd w:id="2"/>
    </w:p>
    <w:p w:rsidR="00E13875" w:rsidRDefault="00E13875" w:rsidP="009030CC">
      <w:pPr>
        <w:tabs>
          <w:tab w:val="left" w:pos="720"/>
        </w:tabs>
        <w:spacing w:before="240"/>
        <w:rPr>
          <w:sz w:val="20"/>
          <w:lang w:val="en-US"/>
        </w:rPr>
      </w:pPr>
      <w:r>
        <w:rPr>
          <w:sz w:val="20"/>
          <w:lang w:val="en-US"/>
        </w:rPr>
        <w:t xml:space="preserve">ITU-R policy on IPR is described in the Common Patent Policy for ITU-T/ITU-R/ISO/IEC referenced in Annex 1 of Resolution ITU-R 1. Forms to be used for the submission of patent statements and licensing declarations by patent holders are available from </w:t>
      </w:r>
      <w:hyperlink r:id="rId12" w:history="1">
        <w:r>
          <w:rPr>
            <w:rStyle w:val="Hyperlink"/>
            <w:sz w:val="20"/>
            <w:lang w:val="en-US"/>
          </w:rPr>
          <w:t>http://www.itu.int/ITU-R/go/patents/en</w:t>
        </w:r>
      </w:hyperlink>
      <w:r>
        <w:rPr>
          <w:sz w:val="20"/>
          <w:lang w:val="en-US"/>
        </w:rPr>
        <w:t xml:space="preserve"> where the Guidelines for Implementation of the Common Patent Policy for ITU</w:t>
      </w:r>
      <w:r>
        <w:rPr>
          <w:sz w:val="20"/>
          <w:lang w:val="en-US"/>
        </w:rPr>
        <w:noBreakHyphen/>
        <w:t>T/ITU</w:t>
      </w:r>
      <w:r>
        <w:rPr>
          <w:sz w:val="20"/>
          <w:lang w:val="en-US"/>
        </w:rPr>
        <w:noBreakHyphen/>
        <w:t xml:space="preserve">R/ISO/IEC and the ITU-R patent information database can also be found. </w:t>
      </w:r>
    </w:p>
    <w:p w:rsidR="00E13875" w:rsidRDefault="00E13875" w:rsidP="00CB60A4">
      <w:pPr>
        <w:jc w:val="center"/>
        <w:rPr>
          <w:sz w:val="22"/>
          <w:lang w:val="en-US"/>
        </w:rPr>
      </w:pPr>
    </w:p>
    <w:p w:rsidR="00E13875" w:rsidRDefault="00E13875" w:rsidP="00CB60A4">
      <w:pPr>
        <w:jc w:val="center"/>
        <w:rPr>
          <w:sz w:val="22"/>
          <w:lang w:val="en-US"/>
        </w:rPr>
      </w:pPr>
    </w:p>
    <w:p w:rsidR="00E13875" w:rsidRDefault="00E13875" w:rsidP="00CB60A4">
      <w:pPr>
        <w:jc w:val="center"/>
        <w:rPr>
          <w:sz w:val="22"/>
          <w:lang w:val="en-US"/>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40"/>
        <w:gridCol w:w="8220"/>
      </w:tblGrid>
      <w:tr w:rsidR="00E13875" w:rsidRPr="00285878">
        <w:tc>
          <w:tcPr>
            <w:tcW w:w="9360" w:type="dxa"/>
            <w:gridSpan w:val="2"/>
            <w:tcBorders>
              <w:top w:val="single" w:sz="12" w:space="0" w:color="000080"/>
              <w:left w:val="single" w:sz="12" w:space="0" w:color="000080"/>
              <w:bottom w:val="nil"/>
              <w:right w:val="single" w:sz="12" w:space="0" w:color="000080"/>
            </w:tcBorders>
          </w:tcPr>
          <w:p w:rsidR="00E13875" w:rsidRPr="00C7761D" w:rsidRDefault="00E13875" w:rsidP="00C7761D">
            <w:pPr>
              <w:pStyle w:val="ChapNo"/>
              <w:spacing w:before="240"/>
              <w:rPr>
                <w:sz w:val="22"/>
                <w:szCs w:val="22"/>
                <w:lang w:val="en-US"/>
              </w:rPr>
            </w:pPr>
            <w:r w:rsidRPr="00C7761D">
              <w:rPr>
                <w:sz w:val="22"/>
                <w:szCs w:val="22"/>
                <w:lang w:val="en-US"/>
              </w:rPr>
              <w:t xml:space="preserve">Series of ITU-R Reports </w:t>
            </w:r>
          </w:p>
          <w:p w:rsidR="00E13875" w:rsidRDefault="00E13875">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sz w:val="18"/>
                <w:szCs w:val="18"/>
                <w:lang w:val="en-US"/>
              </w:rPr>
            </w:pPr>
            <w:r w:rsidRPr="00F103A9">
              <w:rPr>
                <w:b w:val="0"/>
                <w:sz w:val="18"/>
                <w:szCs w:val="18"/>
                <w:lang w:val="en-US"/>
              </w:rPr>
              <w:t>(</w:t>
            </w:r>
            <w:r>
              <w:rPr>
                <w:b w:val="0"/>
                <w:sz w:val="18"/>
                <w:szCs w:val="18"/>
                <w:lang w:val="en-US"/>
              </w:rPr>
              <w:t xml:space="preserve">Also available online at </w:t>
            </w:r>
            <w:hyperlink r:id="rId13" w:history="1">
              <w:r>
                <w:rPr>
                  <w:rStyle w:val="Hyperlink"/>
                  <w:b w:val="0"/>
                  <w:bCs/>
                  <w:sz w:val="18"/>
                  <w:szCs w:val="18"/>
                  <w:lang w:val="en-US"/>
                </w:rPr>
                <w:t>http://www.itu.int/publ</w:t>
              </w:r>
              <w:r w:rsidRPr="00F103A9">
                <w:rPr>
                  <w:rStyle w:val="Hyperlink"/>
                  <w:b w:val="0"/>
                  <w:bCs/>
                  <w:sz w:val="18"/>
                  <w:szCs w:val="18"/>
                  <w:lang w:val="en-US"/>
                </w:rPr>
                <w:t>/R-REP/en</w:t>
              </w:r>
            </w:hyperlink>
            <w:r w:rsidRPr="00F103A9">
              <w:rPr>
                <w:b w:val="0"/>
                <w:sz w:val="18"/>
                <w:szCs w:val="18"/>
                <w:lang w:val="en-US"/>
              </w:rPr>
              <w:t>)</w:t>
            </w:r>
          </w:p>
        </w:tc>
      </w:tr>
      <w:tr w:rsidR="00E13875" w:rsidTr="006F2B77">
        <w:tc>
          <w:tcPr>
            <w:tcW w:w="1140" w:type="dxa"/>
            <w:tcBorders>
              <w:top w:val="nil"/>
              <w:left w:val="single" w:sz="12" w:space="0" w:color="000080"/>
              <w:bottom w:val="nil"/>
              <w:right w:val="nil"/>
            </w:tcBorders>
          </w:tcPr>
          <w:p w:rsidR="00E13875" w:rsidRDefault="00E13875">
            <w:pPr>
              <w:spacing w:before="200" w:after="100"/>
              <w:ind w:left="57"/>
              <w:rPr>
                <w:b/>
                <w:bCs/>
                <w:sz w:val="20"/>
                <w:lang w:val="en-US"/>
              </w:rPr>
            </w:pPr>
            <w:r>
              <w:rPr>
                <w:b/>
                <w:bCs/>
                <w:sz w:val="20"/>
                <w:lang w:val="en-US"/>
              </w:rPr>
              <w:t>Series</w:t>
            </w:r>
          </w:p>
        </w:tc>
        <w:tc>
          <w:tcPr>
            <w:tcW w:w="8220" w:type="dxa"/>
            <w:tcBorders>
              <w:top w:val="nil"/>
              <w:left w:val="nil"/>
              <w:bottom w:val="nil"/>
              <w:right w:val="single" w:sz="12" w:space="0" w:color="000080"/>
            </w:tcBorders>
          </w:tcPr>
          <w:p w:rsidR="00E13875" w:rsidRDefault="00E13875">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rPr>
                <w:bCs/>
                <w:sz w:val="20"/>
                <w:lang w:val="en-US"/>
              </w:rPr>
            </w:pPr>
            <w:r>
              <w:rPr>
                <w:bCs/>
                <w:sz w:val="20"/>
                <w:lang w:val="en-US"/>
              </w:rPr>
              <w:t>Title</w:t>
            </w:r>
          </w:p>
        </w:tc>
      </w:tr>
      <w:tr w:rsidR="00E13875" w:rsidTr="006F2B77">
        <w:tc>
          <w:tcPr>
            <w:tcW w:w="1140" w:type="dxa"/>
            <w:tcBorders>
              <w:top w:val="nil"/>
              <w:left w:val="single" w:sz="12" w:space="0" w:color="000080"/>
              <w:bottom w:val="nil"/>
              <w:right w:val="nil"/>
            </w:tcBorders>
            <w:shd w:val="clear" w:color="auto" w:fill="auto"/>
          </w:tcPr>
          <w:p w:rsidR="00E13875" w:rsidRPr="006F2B77" w:rsidRDefault="00E13875">
            <w:pPr>
              <w:spacing w:before="30" w:after="30"/>
              <w:ind w:left="57"/>
              <w:jc w:val="left"/>
              <w:rPr>
                <w:rFonts w:ascii="Times New Roman Bold" w:hAnsi="Times New Roman Bold" w:cs="Times New Roman Bold"/>
                <w:b/>
                <w:bCs/>
                <w:sz w:val="20"/>
                <w:lang w:val="en-US"/>
              </w:rPr>
            </w:pPr>
            <w:r w:rsidRPr="006F2B77">
              <w:rPr>
                <w:rFonts w:ascii="Times New Roman Bold" w:hAnsi="Times New Roman Bold" w:cs="Times New Roman Bold"/>
                <w:b/>
                <w:bCs/>
                <w:sz w:val="20"/>
                <w:lang w:val="en-US"/>
              </w:rPr>
              <w:t>BO</w:t>
            </w:r>
          </w:p>
        </w:tc>
        <w:tc>
          <w:tcPr>
            <w:tcW w:w="8220" w:type="dxa"/>
            <w:tcBorders>
              <w:top w:val="nil"/>
              <w:left w:val="nil"/>
              <w:bottom w:val="nil"/>
              <w:right w:val="single" w:sz="12" w:space="0" w:color="000080"/>
            </w:tcBorders>
            <w:shd w:val="clear" w:color="auto" w:fill="auto"/>
          </w:tcPr>
          <w:p w:rsidR="00E13875" w:rsidRPr="006F2B77" w:rsidRDefault="00E13875">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6F2B77">
              <w:rPr>
                <w:b w:val="0"/>
                <w:sz w:val="20"/>
                <w:lang w:val="en-US"/>
              </w:rPr>
              <w:t>Satellite delivery</w:t>
            </w:r>
          </w:p>
        </w:tc>
      </w:tr>
      <w:tr w:rsidR="00E13875" w:rsidRPr="00285878" w:rsidTr="00D55B55">
        <w:tc>
          <w:tcPr>
            <w:tcW w:w="1140" w:type="dxa"/>
            <w:tcBorders>
              <w:top w:val="nil"/>
              <w:left w:val="single" w:sz="12" w:space="0" w:color="000080"/>
              <w:bottom w:val="nil"/>
              <w:right w:val="nil"/>
            </w:tcBorders>
          </w:tcPr>
          <w:p w:rsidR="00E13875" w:rsidRDefault="00E13875">
            <w:pPr>
              <w:spacing w:before="30" w:after="30"/>
              <w:ind w:left="57"/>
              <w:jc w:val="left"/>
              <w:rPr>
                <w:b/>
                <w:bCs/>
                <w:sz w:val="20"/>
                <w:lang w:val="en-US"/>
              </w:rPr>
            </w:pPr>
            <w:r>
              <w:rPr>
                <w:b/>
                <w:bCs/>
                <w:sz w:val="20"/>
                <w:lang w:val="en-US"/>
              </w:rPr>
              <w:t>BR</w:t>
            </w:r>
          </w:p>
        </w:tc>
        <w:tc>
          <w:tcPr>
            <w:tcW w:w="8220" w:type="dxa"/>
            <w:tcBorders>
              <w:top w:val="nil"/>
              <w:left w:val="nil"/>
              <w:bottom w:val="nil"/>
              <w:right w:val="single" w:sz="12" w:space="0" w:color="000080"/>
            </w:tcBorders>
          </w:tcPr>
          <w:p w:rsidR="00E13875" w:rsidRDefault="00E13875">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Pr>
                <w:b w:val="0"/>
                <w:sz w:val="20"/>
                <w:lang w:val="en-US"/>
              </w:rPr>
              <w:t>Recording for production, archival and play-out; film for television</w:t>
            </w:r>
          </w:p>
        </w:tc>
      </w:tr>
      <w:tr w:rsidR="00E13875" w:rsidRPr="00D55B55" w:rsidTr="00D55B55">
        <w:tc>
          <w:tcPr>
            <w:tcW w:w="1140" w:type="dxa"/>
            <w:tcBorders>
              <w:top w:val="nil"/>
              <w:left w:val="single" w:sz="12" w:space="0" w:color="000080"/>
              <w:bottom w:val="nil"/>
              <w:right w:val="nil"/>
            </w:tcBorders>
            <w:shd w:val="clear" w:color="auto" w:fill="auto"/>
          </w:tcPr>
          <w:p w:rsidR="00E13875" w:rsidRPr="00D55B55" w:rsidRDefault="00E13875">
            <w:pPr>
              <w:spacing w:before="30" w:after="30"/>
              <w:ind w:left="57"/>
              <w:jc w:val="left"/>
              <w:rPr>
                <w:rFonts w:ascii="Times New Roman Bold" w:hAnsi="Times New Roman Bold" w:cs="Times New Roman Bold"/>
                <w:b/>
                <w:bCs/>
                <w:sz w:val="20"/>
                <w:lang w:val="en-US"/>
              </w:rPr>
            </w:pPr>
            <w:r w:rsidRPr="00D55B55">
              <w:rPr>
                <w:rFonts w:ascii="Times New Roman Bold" w:hAnsi="Times New Roman Bold" w:cs="Times New Roman Bold"/>
                <w:b/>
                <w:bCs/>
                <w:sz w:val="20"/>
                <w:lang w:val="en-US"/>
              </w:rPr>
              <w:t>BS</w:t>
            </w:r>
          </w:p>
        </w:tc>
        <w:tc>
          <w:tcPr>
            <w:tcW w:w="8220" w:type="dxa"/>
            <w:tcBorders>
              <w:top w:val="nil"/>
              <w:left w:val="nil"/>
              <w:bottom w:val="nil"/>
              <w:right w:val="single" w:sz="12" w:space="0" w:color="000080"/>
            </w:tcBorders>
            <w:shd w:val="clear" w:color="auto" w:fill="auto"/>
          </w:tcPr>
          <w:p w:rsidR="00E13875" w:rsidRPr="00D55B55" w:rsidRDefault="00E13875">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D55B55">
              <w:rPr>
                <w:b w:val="0"/>
                <w:sz w:val="20"/>
                <w:lang w:val="en-US"/>
              </w:rPr>
              <w:t>Broadcasting service (sound)</w:t>
            </w:r>
          </w:p>
        </w:tc>
      </w:tr>
      <w:tr w:rsidR="00E13875" w:rsidRPr="00BD3F5C" w:rsidTr="00D069F2">
        <w:tc>
          <w:tcPr>
            <w:tcW w:w="1140" w:type="dxa"/>
            <w:tcBorders>
              <w:top w:val="nil"/>
              <w:left w:val="single" w:sz="12" w:space="0" w:color="000080"/>
              <w:bottom w:val="nil"/>
              <w:right w:val="nil"/>
            </w:tcBorders>
            <w:shd w:val="clear" w:color="auto" w:fill="auto"/>
          </w:tcPr>
          <w:p w:rsidR="00E13875" w:rsidRPr="00BD3F5C" w:rsidRDefault="00E13875">
            <w:pPr>
              <w:spacing w:before="30" w:after="30"/>
              <w:ind w:left="57"/>
              <w:jc w:val="left"/>
              <w:rPr>
                <w:rFonts w:ascii="Times New Roman Bold" w:hAnsi="Times New Roman Bold" w:cs="Times New Roman Bold"/>
                <w:b/>
                <w:bCs/>
                <w:sz w:val="20"/>
                <w:lang w:val="en-US"/>
              </w:rPr>
            </w:pPr>
            <w:r w:rsidRPr="00BD3F5C">
              <w:rPr>
                <w:rFonts w:ascii="Times New Roman Bold" w:hAnsi="Times New Roman Bold" w:cs="Times New Roman Bold"/>
                <w:b/>
                <w:bCs/>
                <w:sz w:val="20"/>
                <w:lang w:val="en-US"/>
              </w:rPr>
              <w:t>BT</w:t>
            </w:r>
          </w:p>
        </w:tc>
        <w:tc>
          <w:tcPr>
            <w:tcW w:w="8220" w:type="dxa"/>
            <w:tcBorders>
              <w:top w:val="nil"/>
              <w:left w:val="nil"/>
              <w:bottom w:val="nil"/>
              <w:right w:val="single" w:sz="12" w:space="0" w:color="000080"/>
            </w:tcBorders>
            <w:shd w:val="clear" w:color="auto" w:fill="auto"/>
          </w:tcPr>
          <w:p w:rsidR="00E13875" w:rsidRPr="00BD3F5C" w:rsidRDefault="00E13875">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BD3F5C">
              <w:rPr>
                <w:b w:val="0"/>
                <w:sz w:val="20"/>
                <w:lang w:val="en-US"/>
              </w:rPr>
              <w:t>Broadcasting service (television)</w:t>
            </w:r>
          </w:p>
        </w:tc>
      </w:tr>
      <w:tr w:rsidR="00E13875" w:rsidRPr="00D069F2" w:rsidTr="00D069F2">
        <w:tc>
          <w:tcPr>
            <w:tcW w:w="1140" w:type="dxa"/>
            <w:tcBorders>
              <w:top w:val="nil"/>
              <w:left w:val="single" w:sz="12" w:space="0" w:color="000080"/>
              <w:bottom w:val="nil"/>
              <w:right w:val="nil"/>
            </w:tcBorders>
            <w:shd w:val="clear" w:color="auto" w:fill="auto"/>
          </w:tcPr>
          <w:p w:rsidR="00E13875" w:rsidRPr="00D069F2" w:rsidRDefault="00E13875">
            <w:pPr>
              <w:spacing w:before="30" w:after="30"/>
              <w:ind w:left="57"/>
              <w:jc w:val="left"/>
              <w:rPr>
                <w:rFonts w:ascii="Times New Roman Bold" w:hAnsi="Times New Roman Bold" w:cs="Times New Roman Bold"/>
                <w:b/>
                <w:bCs/>
                <w:sz w:val="20"/>
                <w:lang w:val="fr-CH"/>
              </w:rPr>
            </w:pPr>
            <w:r w:rsidRPr="00D069F2">
              <w:rPr>
                <w:rFonts w:ascii="Times New Roman Bold" w:hAnsi="Times New Roman Bold" w:cs="Times New Roman Bold"/>
                <w:b/>
                <w:bCs/>
                <w:sz w:val="20"/>
                <w:lang w:val="fr-CH"/>
              </w:rPr>
              <w:t>F</w:t>
            </w:r>
          </w:p>
        </w:tc>
        <w:tc>
          <w:tcPr>
            <w:tcW w:w="8220" w:type="dxa"/>
            <w:tcBorders>
              <w:top w:val="nil"/>
              <w:left w:val="nil"/>
              <w:bottom w:val="nil"/>
              <w:right w:val="single" w:sz="12" w:space="0" w:color="000080"/>
            </w:tcBorders>
            <w:shd w:val="clear" w:color="auto" w:fill="auto"/>
          </w:tcPr>
          <w:p w:rsidR="00E13875" w:rsidRPr="00D069F2" w:rsidRDefault="00E13875">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fr-CH"/>
              </w:rPr>
            </w:pPr>
            <w:r w:rsidRPr="00D069F2">
              <w:rPr>
                <w:sz w:val="20"/>
                <w:lang w:val="fr-CH"/>
              </w:rPr>
              <w:t>Fixed service</w:t>
            </w:r>
          </w:p>
        </w:tc>
      </w:tr>
      <w:tr w:rsidR="00E13875" w:rsidRPr="008D3D8D" w:rsidTr="002D77AF">
        <w:tc>
          <w:tcPr>
            <w:tcW w:w="1140" w:type="dxa"/>
            <w:tcBorders>
              <w:top w:val="nil"/>
              <w:left w:val="single" w:sz="12" w:space="0" w:color="000080"/>
              <w:bottom w:val="nil"/>
              <w:right w:val="nil"/>
            </w:tcBorders>
            <w:shd w:val="clear" w:color="auto" w:fill="auto"/>
          </w:tcPr>
          <w:p w:rsidR="00E13875" w:rsidRPr="008D3D8D" w:rsidRDefault="00E13875">
            <w:pPr>
              <w:spacing w:before="30" w:after="30"/>
              <w:ind w:left="57"/>
              <w:jc w:val="left"/>
              <w:rPr>
                <w:b/>
                <w:bCs/>
                <w:sz w:val="20"/>
                <w:lang w:val="en-US"/>
              </w:rPr>
            </w:pPr>
            <w:r w:rsidRPr="008D3D8D">
              <w:rPr>
                <w:b/>
                <w:bCs/>
                <w:sz w:val="20"/>
                <w:lang w:val="en-US"/>
              </w:rPr>
              <w:t>M</w:t>
            </w:r>
          </w:p>
        </w:tc>
        <w:tc>
          <w:tcPr>
            <w:tcW w:w="8220" w:type="dxa"/>
            <w:tcBorders>
              <w:top w:val="nil"/>
              <w:left w:val="nil"/>
              <w:bottom w:val="nil"/>
              <w:right w:val="single" w:sz="12" w:space="0" w:color="000080"/>
            </w:tcBorders>
            <w:shd w:val="clear" w:color="auto" w:fill="auto"/>
          </w:tcPr>
          <w:p w:rsidR="00E13875" w:rsidRPr="008D3D8D" w:rsidRDefault="00E13875">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8D3D8D">
              <w:rPr>
                <w:b w:val="0"/>
                <w:sz w:val="20"/>
                <w:lang w:val="en-US"/>
              </w:rPr>
              <w:t>Mobile, radiodetermination, amateur and related satellite services</w:t>
            </w:r>
          </w:p>
        </w:tc>
      </w:tr>
      <w:tr w:rsidR="00E13875" w:rsidRPr="002D77AF" w:rsidTr="003B4EE8">
        <w:tc>
          <w:tcPr>
            <w:tcW w:w="1140" w:type="dxa"/>
            <w:tcBorders>
              <w:top w:val="nil"/>
              <w:left w:val="single" w:sz="12" w:space="0" w:color="000080"/>
              <w:bottom w:val="nil"/>
              <w:right w:val="nil"/>
            </w:tcBorders>
            <w:shd w:val="clear" w:color="auto" w:fill="auto"/>
          </w:tcPr>
          <w:p w:rsidR="00E13875" w:rsidRPr="002D77AF" w:rsidRDefault="00E13875">
            <w:pPr>
              <w:spacing w:before="30" w:after="30"/>
              <w:ind w:left="57"/>
              <w:jc w:val="left"/>
              <w:rPr>
                <w:rFonts w:ascii="Times New Roman Bold" w:hAnsi="Times New Roman Bold" w:cs="Times New Roman Bold"/>
                <w:b/>
                <w:bCs/>
                <w:sz w:val="20"/>
                <w:lang w:val="fr-CH"/>
              </w:rPr>
            </w:pPr>
            <w:r w:rsidRPr="002D77AF">
              <w:rPr>
                <w:rFonts w:ascii="Times New Roman Bold" w:hAnsi="Times New Roman Bold" w:cs="Times New Roman Bold"/>
                <w:b/>
                <w:bCs/>
                <w:sz w:val="20"/>
                <w:lang w:val="fr-CH"/>
              </w:rPr>
              <w:t>P</w:t>
            </w:r>
          </w:p>
        </w:tc>
        <w:tc>
          <w:tcPr>
            <w:tcW w:w="8220" w:type="dxa"/>
            <w:tcBorders>
              <w:top w:val="nil"/>
              <w:left w:val="nil"/>
              <w:bottom w:val="nil"/>
              <w:right w:val="single" w:sz="12" w:space="0" w:color="000080"/>
            </w:tcBorders>
            <w:shd w:val="clear" w:color="auto" w:fill="auto"/>
          </w:tcPr>
          <w:p w:rsidR="00E13875" w:rsidRPr="002D77AF" w:rsidRDefault="00E13875">
            <w:pPr>
              <w:spacing w:before="30" w:after="30"/>
              <w:jc w:val="left"/>
              <w:rPr>
                <w:sz w:val="20"/>
                <w:lang w:val="fr-CH"/>
              </w:rPr>
            </w:pPr>
            <w:r w:rsidRPr="002D77AF">
              <w:rPr>
                <w:sz w:val="20"/>
                <w:lang w:val="fr-CH"/>
              </w:rPr>
              <w:t>Radiowave propagation</w:t>
            </w:r>
          </w:p>
        </w:tc>
      </w:tr>
      <w:tr w:rsidR="00E13875" w:rsidRPr="003B4EE8" w:rsidTr="00CB1116">
        <w:tc>
          <w:tcPr>
            <w:tcW w:w="1140" w:type="dxa"/>
            <w:tcBorders>
              <w:top w:val="nil"/>
              <w:left w:val="single" w:sz="12" w:space="0" w:color="000080"/>
              <w:bottom w:val="nil"/>
              <w:right w:val="nil"/>
            </w:tcBorders>
            <w:shd w:val="clear" w:color="auto" w:fill="auto"/>
          </w:tcPr>
          <w:p w:rsidR="00E13875" w:rsidRPr="003B4EE8" w:rsidRDefault="00E13875">
            <w:pPr>
              <w:spacing w:before="30" w:after="30"/>
              <w:ind w:left="57"/>
              <w:jc w:val="left"/>
              <w:rPr>
                <w:rFonts w:ascii="Times New Roman Bold" w:hAnsi="Times New Roman Bold" w:cs="Times New Roman Bold"/>
                <w:b/>
                <w:bCs/>
                <w:sz w:val="20"/>
                <w:lang w:val="en-US"/>
              </w:rPr>
            </w:pPr>
            <w:r w:rsidRPr="003B4EE8">
              <w:rPr>
                <w:rFonts w:ascii="Times New Roman Bold" w:hAnsi="Times New Roman Bold" w:cs="Times New Roman Bold"/>
                <w:b/>
                <w:bCs/>
                <w:sz w:val="20"/>
                <w:lang w:val="en-US"/>
              </w:rPr>
              <w:t>RA</w:t>
            </w:r>
          </w:p>
        </w:tc>
        <w:tc>
          <w:tcPr>
            <w:tcW w:w="8220" w:type="dxa"/>
            <w:tcBorders>
              <w:top w:val="nil"/>
              <w:left w:val="nil"/>
              <w:bottom w:val="nil"/>
              <w:right w:val="single" w:sz="12" w:space="0" w:color="000080"/>
            </w:tcBorders>
            <w:shd w:val="clear" w:color="auto" w:fill="auto"/>
          </w:tcPr>
          <w:p w:rsidR="00E13875" w:rsidRPr="003B4EE8" w:rsidRDefault="00E13875">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US"/>
              </w:rPr>
            </w:pPr>
            <w:r w:rsidRPr="003B4EE8">
              <w:rPr>
                <w:sz w:val="20"/>
                <w:lang w:val="en-US"/>
              </w:rPr>
              <w:t>Radio astronomy</w:t>
            </w:r>
          </w:p>
        </w:tc>
      </w:tr>
      <w:tr w:rsidR="00E13875" w:rsidRPr="00CB1116" w:rsidTr="00CB1116">
        <w:tc>
          <w:tcPr>
            <w:tcW w:w="1140" w:type="dxa"/>
            <w:tcBorders>
              <w:top w:val="nil"/>
              <w:left w:val="single" w:sz="12" w:space="0" w:color="000080"/>
              <w:bottom w:val="nil"/>
              <w:right w:val="nil"/>
            </w:tcBorders>
            <w:shd w:val="clear" w:color="auto" w:fill="auto"/>
          </w:tcPr>
          <w:p w:rsidR="00E13875" w:rsidRPr="00CB1116" w:rsidRDefault="00E13875">
            <w:pPr>
              <w:spacing w:before="30" w:after="30"/>
              <w:ind w:left="57"/>
              <w:jc w:val="left"/>
              <w:rPr>
                <w:rFonts w:ascii="Times New Roman Bold" w:hAnsi="Times New Roman Bold" w:cs="Times New Roman Bold"/>
                <w:b/>
                <w:bCs/>
                <w:sz w:val="20"/>
                <w:lang w:val="en-US"/>
              </w:rPr>
            </w:pPr>
            <w:r w:rsidRPr="00CB1116">
              <w:rPr>
                <w:rFonts w:ascii="Times New Roman Bold" w:hAnsi="Times New Roman Bold" w:cs="Times New Roman Bold"/>
                <w:b/>
                <w:bCs/>
                <w:sz w:val="20"/>
                <w:lang w:val="en-US"/>
              </w:rPr>
              <w:t>RS</w:t>
            </w:r>
          </w:p>
        </w:tc>
        <w:tc>
          <w:tcPr>
            <w:tcW w:w="8220" w:type="dxa"/>
            <w:tcBorders>
              <w:top w:val="nil"/>
              <w:left w:val="nil"/>
              <w:bottom w:val="nil"/>
              <w:right w:val="single" w:sz="12" w:space="0" w:color="000080"/>
            </w:tcBorders>
            <w:shd w:val="clear" w:color="auto" w:fill="auto"/>
          </w:tcPr>
          <w:p w:rsidR="00E13875" w:rsidRPr="00CB1116" w:rsidRDefault="00E13875">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US"/>
              </w:rPr>
            </w:pPr>
            <w:r w:rsidRPr="00CB1116">
              <w:rPr>
                <w:sz w:val="20"/>
                <w:lang w:val="en-US"/>
              </w:rPr>
              <w:t>Remote sensing systems</w:t>
            </w:r>
          </w:p>
        </w:tc>
      </w:tr>
      <w:tr w:rsidR="00E13875" w:rsidRPr="00CB1116" w:rsidTr="00CB1116">
        <w:tc>
          <w:tcPr>
            <w:tcW w:w="1140" w:type="dxa"/>
            <w:tcBorders>
              <w:top w:val="nil"/>
              <w:left w:val="single" w:sz="12" w:space="0" w:color="000080"/>
              <w:bottom w:val="nil"/>
              <w:right w:val="nil"/>
            </w:tcBorders>
            <w:shd w:val="clear" w:color="auto" w:fill="F3F3F3"/>
          </w:tcPr>
          <w:p w:rsidR="00E13875" w:rsidRPr="00CB1116" w:rsidRDefault="00E13875">
            <w:pPr>
              <w:spacing w:before="30" w:after="30"/>
              <w:ind w:left="57"/>
              <w:jc w:val="left"/>
              <w:rPr>
                <w:b/>
                <w:bCs/>
                <w:color w:val="000080"/>
                <w:sz w:val="20"/>
                <w:lang w:val="en-US"/>
              </w:rPr>
            </w:pPr>
            <w:r w:rsidRPr="00CB1116">
              <w:rPr>
                <w:b/>
                <w:bCs/>
                <w:color w:val="000080"/>
                <w:sz w:val="20"/>
                <w:lang w:val="en-US"/>
              </w:rPr>
              <w:t>S</w:t>
            </w:r>
          </w:p>
        </w:tc>
        <w:tc>
          <w:tcPr>
            <w:tcW w:w="8220" w:type="dxa"/>
            <w:tcBorders>
              <w:top w:val="nil"/>
              <w:left w:val="nil"/>
              <w:bottom w:val="nil"/>
              <w:right w:val="single" w:sz="12" w:space="0" w:color="000080"/>
            </w:tcBorders>
            <w:shd w:val="clear" w:color="auto" w:fill="F3F3F3"/>
          </w:tcPr>
          <w:p w:rsidR="00E13875" w:rsidRPr="00CB1116" w:rsidRDefault="00E13875">
            <w:pPr>
              <w:spacing w:before="30" w:after="30"/>
              <w:jc w:val="left"/>
              <w:rPr>
                <w:b/>
                <w:bCs/>
                <w:color w:val="000080"/>
                <w:sz w:val="20"/>
                <w:lang w:val="en-US"/>
              </w:rPr>
            </w:pPr>
            <w:r w:rsidRPr="00CB1116">
              <w:rPr>
                <w:b/>
                <w:bCs/>
                <w:color w:val="000080"/>
                <w:sz w:val="20"/>
                <w:lang w:val="en-US"/>
              </w:rPr>
              <w:t>Fixed</w:t>
            </w:r>
            <w:r>
              <w:rPr>
                <w:b/>
                <w:bCs/>
                <w:color w:val="000080"/>
                <w:sz w:val="20"/>
                <w:lang w:val="en-US"/>
              </w:rPr>
              <w:t>-</w:t>
            </w:r>
            <w:r w:rsidRPr="00CB1116">
              <w:rPr>
                <w:b/>
                <w:bCs/>
                <w:color w:val="000080"/>
                <w:sz w:val="20"/>
                <w:lang w:val="en-US"/>
              </w:rPr>
              <w:t>satellite service</w:t>
            </w:r>
          </w:p>
        </w:tc>
      </w:tr>
      <w:tr w:rsidR="00E13875">
        <w:tc>
          <w:tcPr>
            <w:tcW w:w="1140" w:type="dxa"/>
            <w:tcBorders>
              <w:top w:val="nil"/>
              <w:left w:val="single" w:sz="12" w:space="0" w:color="000080"/>
              <w:bottom w:val="nil"/>
              <w:right w:val="nil"/>
            </w:tcBorders>
          </w:tcPr>
          <w:p w:rsidR="00E13875" w:rsidRDefault="00E13875">
            <w:pPr>
              <w:spacing w:before="30" w:after="30"/>
              <w:ind w:left="57"/>
              <w:jc w:val="left"/>
              <w:rPr>
                <w:b/>
                <w:bCs/>
                <w:sz w:val="20"/>
                <w:lang w:val="en-US"/>
              </w:rPr>
            </w:pPr>
            <w:r>
              <w:rPr>
                <w:b/>
                <w:bCs/>
                <w:sz w:val="20"/>
                <w:lang w:val="en-US"/>
              </w:rPr>
              <w:t>SA</w:t>
            </w:r>
          </w:p>
        </w:tc>
        <w:tc>
          <w:tcPr>
            <w:tcW w:w="8220" w:type="dxa"/>
            <w:tcBorders>
              <w:top w:val="nil"/>
              <w:left w:val="nil"/>
              <w:bottom w:val="nil"/>
              <w:right w:val="single" w:sz="12" w:space="0" w:color="000080"/>
            </w:tcBorders>
          </w:tcPr>
          <w:p w:rsidR="00E13875" w:rsidRDefault="00E13875">
            <w:pPr>
              <w:spacing w:before="30" w:after="30"/>
              <w:jc w:val="left"/>
              <w:rPr>
                <w:sz w:val="20"/>
                <w:lang w:val="en-US"/>
              </w:rPr>
            </w:pPr>
            <w:r>
              <w:rPr>
                <w:sz w:val="20"/>
                <w:lang w:val="en-US"/>
              </w:rPr>
              <w:t>Space applications and meteorology</w:t>
            </w:r>
          </w:p>
        </w:tc>
      </w:tr>
      <w:tr w:rsidR="00E13875" w:rsidRPr="00285878">
        <w:tc>
          <w:tcPr>
            <w:tcW w:w="1140" w:type="dxa"/>
            <w:tcBorders>
              <w:top w:val="nil"/>
              <w:left w:val="single" w:sz="12" w:space="0" w:color="000080"/>
              <w:bottom w:val="nil"/>
              <w:right w:val="nil"/>
            </w:tcBorders>
          </w:tcPr>
          <w:p w:rsidR="00E13875" w:rsidRDefault="00E13875">
            <w:pPr>
              <w:spacing w:before="30" w:after="30"/>
              <w:ind w:left="57"/>
              <w:jc w:val="left"/>
              <w:rPr>
                <w:b/>
                <w:bCs/>
                <w:sz w:val="20"/>
                <w:lang w:val="en-US"/>
              </w:rPr>
            </w:pPr>
            <w:r>
              <w:rPr>
                <w:b/>
                <w:bCs/>
                <w:sz w:val="20"/>
                <w:lang w:val="en-US"/>
              </w:rPr>
              <w:t>SF</w:t>
            </w:r>
          </w:p>
        </w:tc>
        <w:tc>
          <w:tcPr>
            <w:tcW w:w="8220" w:type="dxa"/>
            <w:tcBorders>
              <w:top w:val="nil"/>
              <w:left w:val="nil"/>
              <w:bottom w:val="nil"/>
              <w:right w:val="single" w:sz="12" w:space="0" w:color="000080"/>
            </w:tcBorders>
          </w:tcPr>
          <w:p w:rsidR="00E13875" w:rsidRDefault="00E13875">
            <w:pPr>
              <w:spacing w:before="30" w:after="30"/>
              <w:jc w:val="left"/>
              <w:rPr>
                <w:sz w:val="20"/>
                <w:lang w:val="en-US"/>
              </w:rPr>
            </w:pPr>
            <w:r>
              <w:rPr>
                <w:sz w:val="20"/>
                <w:lang w:val="en-US"/>
              </w:rPr>
              <w:t>Frequency sharing and coordination between fixed-satellite and fixed service systems</w:t>
            </w:r>
          </w:p>
        </w:tc>
      </w:tr>
      <w:tr w:rsidR="00E13875">
        <w:tc>
          <w:tcPr>
            <w:tcW w:w="1140" w:type="dxa"/>
            <w:tcBorders>
              <w:top w:val="nil"/>
              <w:left w:val="single" w:sz="12" w:space="0" w:color="000080"/>
              <w:bottom w:val="single" w:sz="12" w:space="0" w:color="000080"/>
              <w:right w:val="nil"/>
            </w:tcBorders>
          </w:tcPr>
          <w:p w:rsidR="00E13875" w:rsidRDefault="00E13875">
            <w:pPr>
              <w:spacing w:before="30" w:after="30"/>
              <w:ind w:left="57"/>
              <w:jc w:val="left"/>
              <w:rPr>
                <w:b/>
                <w:bCs/>
                <w:sz w:val="20"/>
                <w:lang w:val="en-US"/>
              </w:rPr>
            </w:pPr>
            <w:r>
              <w:rPr>
                <w:b/>
                <w:bCs/>
                <w:sz w:val="20"/>
                <w:lang w:val="en-US"/>
              </w:rPr>
              <w:t>SM</w:t>
            </w:r>
          </w:p>
        </w:tc>
        <w:tc>
          <w:tcPr>
            <w:tcW w:w="8220" w:type="dxa"/>
            <w:tcBorders>
              <w:top w:val="nil"/>
              <w:left w:val="nil"/>
              <w:bottom w:val="single" w:sz="12" w:space="0" w:color="000080"/>
              <w:right w:val="single" w:sz="12" w:space="0" w:color="000080"/>
            </w:tcBorders>
          </w:tcPr>
          <w:p w:rsidR="00E13875" w:rsidRDefault="00E13875" w:rsidP="00505FB4">
            <w:pPr>
              <w:spacing w:before="30" w:after="180"/>
              <w:jc w:val="left"/>
              <w:rPr>
                <w:sz w:val="20"/>
                <w:lang w:val="en-US"/>
              </w:rPr>
            </w:pPr>
            <w:r>
              <w:rPr>
                <w:sz w:val="20"/>
                <w:lang w:val="en-US"/>
              </w:rPr>
              <w:t>Spectrum management</w:t>
            </w:r>
          </w:p>
        </w:tc>
      </w:tr>
    </w:tbl>
    <w:p w:rsidR="00E13875" w:rsidRDefault="00E13875" w:rsidP="00CB60A4">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E13875">
        <w:tc>
          <w:tcPr>
            <w:tcW w:w="720" w:type="dxa"/>
          </w:tcPr>
          <w:p w:rsidR="00E13875" w:rsidRDefault="00E13875">
            <w:pPr>
              <w:jc w:val="center"/>
              <w:rPr>
                <w:sz w:val="22"/>
                <w:lang w:val="en-US"/>
              </w:rPr>
            </w:pPr>
          </w:p>
        </w:tc>
      </w:tr>
    </w:tbl>
    <w:p w:rsidR="00E13875" w:rsidRDefault="00E13875" w:rsidP="00CB60A4">
      <w:pPr>
        <w:spacing w:before="0"/>
        <w:jc w:val="center"/>
        <w:rPr>
          <w:sz w:val="22"/>
          <w:lang w:val="en-US"/>
        </w:rPr>
      </w:pPr>
    </w:p>
    <w:tbl>
      <w:tblPr>
        <w:tblW w:w="0" w:type="auto"/>
        <w:tblInd w:w="288" w:type="dxa"/>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firstRow="1" w:lastRow="1" w:firstColumn="1" w:lastColumn="1" w:noHBand="0" w:noVBand="0"/>
      </w:tblPr>
      <w:tblGrid>
        <w:gridCol w:w="9360"/>
      </w:tblGrid>
      <w:tr w:rsidR="00E13875" w:rsidRPr="00285878" w:rsidTr="00CA47D8">
        <w:tc>
          <w:tcPr>
            <w:tcW w:w="9360" w:type="dxa"/>
            <w:tcBorders>
              <w:top w:val="single" w:sz="12" w:space="0" w:color="000080"/>
              <w:left w:val="single" w:sz="12" w:space="0" w:color="000080"/>
              <w:bottom w:val="single" w:sz="12" w:space="0" w:color="000080"/>
              <w:right w:val="single" w:sz="12" w:space="0" w:color="000080"/>
            </w:tcBorders>
          </w:tcPr>
          <w:p w:rsidR="00E13875" w:rsidRPr="00CA47D8" w:rsidRDefault="00E13875" w:rsidP="006323E9">
            <w:pPr>
              <w:spacing w:after="120"/>
              <w:jc w:val="left"/>
              <w:rPr>
                <w:b/>
                <w:bCs/>
                <w:sz w:val="20"/>
                <w:lang w:val="en-US"/>
              </w:rPr>
            </w:pPr>
            <w:r w:rsidRPr="00CA47D8">
              <w:rPr>
                <w:b/>
                <w:bCs/>
                <w:i/>
                <w:iCs/>
                <w:sz w:val="20"/>
                <w:lang w:val="en-US"/>
              </w:rPr>
              <w:t>Note</w:t>
            </w:r>
            <w:r w:rsidRPr="00CA47D8">
              <w:rPr>
                <w:i/>
                <w:iCs/>
                <w:sz w:val="20"/>
                <w:lang w:val="en-US"/>
              </w:rPr>
              <w:t>: This ITU-R Report was approved in English by the Study Group under the procedure detailed in Resolution</w:t>
            </w:r>
            <w:r>
              <w:rPr>
                <w:i/>
                <w:iCs/>
                <w:sz w:val="20"/>
                <w:lang w:val="en-US"/>
              </w:rPr>
              <w:t> </w:t>
            </w:r>
            <w:r w:rsidRPr="00CA47D8">
              <w:rPr>
                <w:i/>
                <w:iCs/>
                <w:sz w:val="20"/>
                <w:lang w:val="en-US"/>
              </w:rPr>
              <w:t>ITU-R 1.</w:t>
            </w:r>
          </w:p>
        </w:tc>
      </w:tr>
    </w:tbl>
    <w:p w:rsidR="00E13875" w:rsidRDefault="00E13875" w:rsidP="00CB60A4">
      <w:pPr>
        <w:spacing w:before="0"/>
        <w:jc w:val="center"/>
        <w:rPr>
          <w:sz w:val="22"/>
          <w:lang w:val="en-US"/>
        </w:rPr>
      </w:pPr>
    </w:p>
    <w:p w:rsidR="00E13875" w:rsidRDefault="00E13875" w:rsidP="00CB60A4">
      <w:pPr>
        <w:spacing w:before="0"/>
        <w:jc w:val="center"/>
        <w:rPr>
          <w:sz w:val="22"/>
          <w:lang w:val="en-US"/>
        </w:rPr>
      </w:pPr>
    </w:p>
    <w:p w:rsidR="00E13875" w:rsidRDefault="00E13875" w:rsidP="00CB60A4">
      <w:pPr>
        <w:spacing w:before="0"/>
        <w:jc w:val="right"/>
        <w:rPr>
          <w:i/>
          <w:iCs/>
          <w:sz w:val="20"/>
          <w:lang w:val="en-US"/>
        </w:rPr>
      </w:pPr>
      <w:r>
        <w:rPr>
          <w:i/>
          <w:iCs/>
          <w:sz w:val="20"/>
          <w:lang w:val="en-US"/>
        </w:rPr>
        <w:t>Electronic Publication</w:t>
      </w:r>
    </w:p>
    <w:p w:rsidR="00E13875" w:rsidRDefault="00E13875" w:rsidP="00D44CE2">
      <w:pPr>
        <w:spacing w:before="0"/>
        <w:jc w:val="right"/>
        <w:rPr>
          <w:sz w:val="20"/>
          <w:lang w:val="en-US"/>
        </w:rPr>
      </w:pPr>
      <w:smartTag w:uri="urn:schemas-microsoft-com:office:smarttags" w:element="place">
        <w:smartTag w:uri="urn:schemas-microsoft-com:office:smarttags" w:element="State">
          <w:r>
            <w:rPr>
              <w:sz w:val="20"/>
              <w:lang w:val="en-US"/>
            </w:rPr>
            <w:t>Geneva</w:t>
          </w:r>
        </w:smartTag>
      </w:smartTag>
      <w:r>
        <w:rPr>
          <w:sz w:val="20"/>
          <w:lang w:val="en-US"/>
        </w:rPr>
        <w:t>, 2011</w:t>
      </w:r>
    </w:p>
    <w:p w:rsidR="00E13875" w:rsidRDefault="00E13875" w:rsidP="00D44CE2">
      <w:pPr>
        <w:jc w:val="center"/>
        <w:rPr>
          <w:sz w:val="20"/>
          <w:lang w:val="en-US"/>
        </w:rPr>
      </w:pPr>
      <w:r>
        <w:rPr>
          <w:sz w:val="20"/>
          <w:lang w:val="en-US"/>
        </w:rPr>
        <w:sym w:font="Symbol" w:char="00E3"/>
      </w:r>
      <w:r>
        <w:rPr>
          <w:sz w:val="20"/>
          <w:lang w:val="en-US"/>
        </w:rPr>
        <w:t xml:space="preserve"> ITU </w:t>
      </w:r>
      <w:bookmarkStart w:id="3" w:name="iiannee"/>
      <w:bookmarkEnd w:id="3"/>
      <w:r>
        <w:rPr>
          <w:sz w:val="20"/>
          <w:lang w:val="en-US"/>
        </w:rPr>
        <w:t>2011</w:t>
      </w:r>
    </w:p>
    <w:p w:rsidR="00E13875" w:rsidRDefault="00E13875" w:rsidP="00CB60A4">
      <w:pPr>
        <w:rPr>
          <w:sz w:val="18"/>
          <w:szCs w:val="18"/>
          <w:lang w:val="en-US"/>
        </w:rPr>
      </w:pPr>
      <w:r>
        <w:rPr>
          <w:sz w:val="18"/>
          <w:szCs w:val="18"/>
          <w:lang w:val="en-US"/>
        </w:rPr>
        <w:t>All rights reserved. No part of this publication may be reproduced, by any means whatsoever, without written permission of ITU.</w:t>
      </w:r>
    </w:p>
    <w:p w:rsidR="00E13875" w:rsidRDefault="00E13875" w:rsidP="00CB60A4">
      <w:pPr>
        <w:tabs>
          <w:tab w:val="clear" w:pos="794"/>
          <w:tab w:val="clear" w:pos="1191"/>
          <w:tab w:val="clear" w:pos="1588"/>
          <w:tab w:val="clear" w:pos="1985"/>
        </w:tabs>
        <w:overflowPunct/>
        <w:autoSpaceDE/>
        <w:autoSpaceDN/>
        <w:adjustRightInd/>
        <w:spacing w:before="0"/>
        <w:jc w:val="left"/>
        <w:rPr>
          <w:i/>
          <w:sz w:val="20"/>
          <w:lang w:val="en-US"/>
        </w:rPr>
        <w:sectPr w:rsidR="00E13875">
          <w:pgSz w:w="11907" w:h="16834"/>
          <w:pgMar w:top="1418" w:right="1134" w:bottom="1134" w:left="1134" w:header="720" w:footer="482" w:gutter="0"/>
          <w:paperSrc w:first="15" w:other="15"/>
          <w:pgNumType w:fmt="lowerRoman" w:start="2"/>
          <w:cols w:space="720"/>
        </w:sectPr>
      </w:pPr>
    </w:p>
    <w:p w:rsidR="00E13875" w:rsidRPr="008D3D8D" w:rsidRDefault="00E13875" w:rsidP="00E13875">
      <w:pPr>
        <w:pStyle w:val="RepNo"/>
        <w:spacing w:before="0"/>
        <w:rPr>
          <w:lang w:val="en-US"/>
        </w:rPr>
      </w:pPr>
      <w:bookmarkStart w:id="4" w:name="irecnoe"/>
      <w:bookmarkEnd w:id="4"/>
      <w:r w:rsidRPr="008D3D8D">
        <w:rPr>
          <w:lang w:val="en-US"/>
        </w:rPr>
        <w:lastRenderedPageBreak/>
        <w:t xml:space="preserve">REPORT  </w:t>
      </w:r>
      <w:r w:rsidRPr="008D3D8D">
        <w:rPr>
          <w:rStyle w:val="href"/>
          <w:lang w:val="en-US"/>
        </w:rPr>
        <w:t xml:space="preserve">ITU-R  </w:t>
      </w:r>
      <w:r>
        <w:rPr>
          <w:rStyle w:val="href"/>
          <w:lang w:val="en-US"/>
        </w:rPr>
        <w:t>S</w:t>
      </w:r>
      <w:r w:rsidRPr="008D3D8D">
        <w:rPr>
          <w:rStyle w:val="href"/>
          <w:lang w:val="en-US"/>
        </w:rPr>
        <w:t>.</w:t>
      </w:r>
      <w:r>
        <w:rPr>
          <w:rStyle w:val="href"/>
          <w:lang w:val="en-US"/>
        </w:rPr>
        <w:t>2223</w:t>
      </w:r>
    </w:p>
    <w:p w:rsidR="00A6617B" w:rsidRDefault="00E13875" w:rsidP="00E13875">
      <w:pPr>
        <w:pStyle w:val="Reptitle"/>
        <w:rPr>
          <w:lang w:val="en-US"/>
        </w:rPr>
      </w:pPr>
      <w:r w:rsidRPr="00E13875">
        <w:rPr>
          <w:lang w:val="en-US"/>
        </w:rPr>
        <w:t>Technical and operational requirements for GSO FSS earth stations</w:t>
      </w:r>
      <w:r w:rsidRPr="00E13875">
        <w:rPr>
          <w:lang w:val="en-US"/>
        </w:rPr>
        <w:br/>
        <w:t>on mobile platforms in bands from 17.3 to 30.0 GHz</w:t>
      </w:r>
    </w:p>
    <w:p w:rsidR="00E13875" w:rsidRPr="00E13875" w:rsidRDefault="00E13875" w:rsidP="00E13875">
      <w:pPr>
        <w:pStyle w:val="Repref"/>
        <w:rPr>
          <w:lang w:val="en-US" w:eastAsia="ja-JP"/>
        </w:rPr>
      </w:pPr>
      <w:r>
        <w:rPr>
          <w:lang w:val="en-US"/>
        </w:rPr>
        <w:t>(Question ITU-R 70-1/4)</w:t>
      </w:r>
    </w:p>
    <w:p w:rsidR="00E13875" w:rsidRPr="00E13875" w:rsidRDefault="00E13875" w:rsidP="00E13875">
      <w:pPr>
        <w:pStyle w:val="Repdate"/>
        <w:rPr>
          <w:lang w:val="en-US" w:eastAsia="ja-JP"/>
        </w:rPr>
      </w:pPr>
      <w:r w:rsidRPr="00E13875">
        <w:rPr>
          <w:lang w:val="en-US" w:eastAsia="ja-JP"/>
        </w:rPr>
        <w:t>(2011)</w:t>
      </w:r>
    </w:p>
    <w:p w:rsidR="00E13875" w:rsidRDefault="00E13875" w:rsidP="00E13875">
      <w:pPr>
        <w:rPr>
          <w:lang w:val="en-US" w:eastAsia="ja-JP"/>
        </w:rPr>
      </w:pPr>
    </w:p>
    <w:p w:rsidR="00E13875" w:rsidRPr="00E13875" w:rsidRDefault="00E13875" w:rsidP="00E13875">
      <w:pPr>
        <w:jc w:val="center"/>
        <w:rPr>
          <w:lang w:val="en-US" w:eastAsia="ja-JP"/>
        </w:rPr>
      </w:pPr>
      <w:r w:rsidRPr="00E13875">
        <w:rPr>
          <w:lang w:val="en-US" w:eastAsia="ja-JP"/>
        </w:rPr>
        <w:t>TABLE OF CONTENTS</w:t>
      </w:r>
    </w:p>
    <w:p w:rsidR="00E13875" w:rsidRDefault="00E13875" w:rsidP="00E13875">
      <w:pPr>
        <w:pStyle w:val="toc0"/>
        <w:tabs>
          <w:tab w:val="right" w:pos="9639"/>
        </w:tabs>
        <w:rPr>
          <w:lang w:val="en-US" w:eastAsia="ja-JP"/>
        </w:rPr>
      </w:pPr>
      <w:r w:rsidRPr="00E13875">
        <w:rPr>
          <w:lang w:val="en-US" w:eastAsia="ja-JP"/>
        </w:rPr>
        <w:tab/>
      </w:r>
      <w:r w:rsidRPr="00DA64DF">
        <w:rPr>
          <w:lang w:val="en-US" w:eastAsia="ja-JP"/>
        </w:rPr>
        <w:t>Page</w:t>
      </w:r>
    </w:p>
    <w:p w:rsidR="009D735F" w:rsidRPr="009D735F" w:rsidRDefault="009D735F" w:rsidP="009D735F">
      <w:pPr>
        <w:pStyle w:val="TOC1"/>
        <w:rPr>
          <w:rFonts w:asciiTheme="minorHAnsi" w:eastAsiaTheme="minorEastAsia" w:hAnsiTheme="minorHAnsi" w:cstheme="minorBidi"/>
          <w:noProof/>
          <w:sz w:val="22"/>
          <w:szCs w:val="22"/>
          <w:lang w:eastAsia="zh-CN"/>
        </w:rPr>
      </w:pPr>
      <w:r w:rsidRPr="009D735F">
        <w:rPr>
          <w:rStyle w:val="Hyperlink"/>
          <w:noProof/>
          <w:color w:val="auto"/>
          <w:u w:val="none"/>
        </w:rPr>
        <w:t>1</w:t>
      </w:r>
      <w:r w:rsidRPr="009D735F">
        <w:rPr>
          <w:rFonts w:asciiTheme="minorHAnsi" w:eastAsiaTheme="minorEastAsia" w:hAnsiTheme="minorHAnsi" w:cstheme="minorBidi"/>
          <w:noProof/>
          <w:sz w:val="22"/>
          <w:szCs w:val="22"/>
          <w:lang w:eastAsia="zh-CN"/>
        </w:rPr>
        <w:tab/>
      </w:r>
      <w:r w:rsidRPr="009D735F">
        <w:rPr>
          <w:rStyle w:val="Hyperlink"/>
          <w:noProof/>
          <w:color w:val="auto"/>
          <w:u w:val="none"/>
        </w:rPr>
        <w:t>Introduction</w:t>
      </w:r>
      <w:r w:rsidRPr="009D735F">
        <w:rPr>
          <w:noProof/>
          <w:webHidden/>
        </w:rPr>
        <w:tab/>
      </w:r>
      <w:r>
        <w:rPr>
          <w:noProof/>
          <w:webHidden/>
        </w:rPr>
        <w:tab/>
      </w:r>
      <w:r w:rsidRPr="009D735F">
        <w:rPr>
          <w:noProof/>
          <w:webHidden/>
        </w:rPr>
        <w:t>1</w:t>
      </w:r>
    </w:p>
    <w:p w:rsidR="009D735F" w:rsidRPr="009D735F" w:rsidRDefault="009D735F" w:rsidP="009D735F">
      <w:pPr>
        <w:pStyle w:val="TOC1"/>
        <w:rPr>
          <w:rFonts w:asciiTheme="minorHAnsi" w:eastAsiaTheme="minorEastAsia" w:hAnsiTheme="minorHAnsi" w:cstheme="minorBidi"/>
          <w:noProof/>
          <w:sz w:val="22"/>
          <w:szCs w:val="22"/>
          <w:lang w:eastAsia="zh-CN"/>
        </w:rPr>
      </w:pPr>
      <w:r w:rsidRPr="009D735F">
        <w:rPr>
          <w:rStyle w:val="Hyperlink"/>
          <w:noProof/>
          <w:color w:val="auto"/>
          <w:u w:val="none"/>
          <w:lang w:eastAsia="zh-CN"/>
        </w:rPr>
        <w:t>2</w:t>
      </w:r>
      <w:r w:rsidRPr="009D735F">
        <w:rPr>
          <w:rFonts w:asciiTheme="minorHAnsi" w:eastAsiaTheme="minorEastAsia" w:hAnsiTheme="minorHAnsi" w:cstheme="minorBidi"/>
          <w:noProof/>
          <w:sz w:val="22"/>
          <w:szCs w:val="22"/>
          <w:lang w:eastAsia="zh-CN"/>
        </w:rPr>
        <w:tab/>
      </w:r>
      <w:r w:rsidRPr="009D735F">
        <w:rPr>
          <w:rStyle w:val="Hyperlink"/>
          <w:noProof/>
          <w:color w:val="auto"/>
          <w:u w:val="none"/>
          <w:lang w:eastAsia="zh-CN"/>
        </w:rPr>
        <w:t>Background</w:t>
      </w:r>
      <w:r w:rsidRPr="009D735F">
        <w:rPr>
          <w:noProof/>
          <w:webHidden/>
        </w:rPr>
        <w:tab/>
      </w:r>
      <w:r>
        <w:rPr>
          <w:noProof/>
          <w:webHidden/>
        </w:rPr>
        <w:tab/>
      </w:r>
      <w:r w:rsidRPr="009D735F">
        <w:rPr>
          <w:noProof/>
          <w:webHidden/>
        </w:rPr>
        <w:t>2</w:t>
      </w:r>
    </w:p>
    <w:p w:rsidR="009D735F" w:rsidRPr="009D735F" w:rsidRDefault="009D735F" w:rsidP="009D735F">
      <w:pPr>
        <w:pStyle w:val="TOC1"/>
        <w:rPr>
          <w:rFonts w:asciiTheme="minorHAnsi" w:eastAsiaTheme="minorEastAsia" w:hAnsiTheme="minorHAnsi" w:cstheme="minorBidi"/>
          <w:noProof/>
          <w:sz w:val="22"/>
          <w:szCs w:val="22"/>
          <w:lang w:eastAsia="zh-CN"/>
        </w:rPr>
      </w:pPr>
      <w:r w:rsidRPr="009D735F">
        <w:rPr>
          <w:rStyle w:val="Hyperlink"/>
          <w:noProof/>
          <w:color w:val="auto"/>
          <w:u w:val="none"/>
        </w:rPr>
        <w:t>3</w:t>
      </w:r>
      <w:r w:rsidRPr="009D735F">
        <w:rPr>
          <w:rFonts w:asciiTheme="minorHAnsi" w:eastAsiaTheme="minorEastAsia" w:hAnsiTheme="minorHAnsi" w:cstheme="minorBidi"/>
          <w:noProof/>
          <w:sz w:val="22"/>
          <w:szCs w:val="22"/>
          <w:lang w:eastAsia="zh-CN"/>
        </w:rPr>
        <w:tab/>
      </w:r>
      <w:r w:rsidRPr="009D735F">
        <w:rPr>
          <w:rStyle w:val="Hyperlink"/>
          <w:noProof/>
          <w:color w:val="auto"/>
          <w:u w:val="none"/>
        </w:rPr>
        <w:t>Essential sharing requirements</w:t>
      </w:r>
      <w:r w:rsidRPr="009D735F">
        <w:rPr>
          <w:noProof/>
          <w:webHidden/>
        </w:rPr>
        <w:tab/>
      </w:r>
      <w:r>
        <w:rPr>
          <w:noProof/>
          <w:webHidden/>
        </w:rPr>
        <w:tab/>
      </w:r>
      <w:r w:rsidRPr="009D735F">
        <w:rPr>
          <w:noProof/>
          <w:webHidden/>
        </w:rPr>
        <w:t>2</w:t>
      </w:r>
    </w:p>
    <w:p w:rsidR="009D735F" w:rsidRPr="009D735F" w:rsidRDefault="009D735F" w:rsidP="009D735F">
      <w:pPr>
        <w:pStyle w:val="TOC2"/>
        <w:rPr>
          <w:rFonts w:asciiTheme="minorHAnsi" w:eastAsiaTheme="minorEastAsia" w:hAnsiTheme="minorHAnsi" w:cstheme="minorBidi"/>
          <w:noProof/>
          <w:sz w:val="22"/>
          <w:szCs w:val="22"/>
          <w:lang w:eastAsia="zh-CN"/>
        </w:rPr>
      </w:pPr>
      <w:r w:rsidRPr="009D735F">
        <w:rPr>
          <w:rStyle w:val="Hyperlink"/>
          <w:noProof/>
          <w:color w:val="auto"/>
          <w:u w:val="none"/>
        </w:rPr>
        <w:t>3.1</w:t>
      </w:r>
      <w:r w:rsidRPr="009D735F">
        <w:rPr>
          <w:rFonts w:asciiTheme="minorHAnsi" w:eastAsiaTheme="minorEastAsia" w:hAnsiTheme="minorHAnsi" w:cstheme="minorBidi"/>
          <w:noProof/>
          <w:sz w:val="22"/>
          <w:szCs w:val="22"/>
          <w:lang w:eastAsia="zh-CN"/>
        </w:rPr>
        <w:tab/>
      </w:r>
      <w:r w:rsidRPr="009D735F">
        <w:rPr>
          <w:rStyle w:val="Hyperlink"/>
          <w:noProof/>
          <w:color w:val="auto"/>
          <w:u w:val="none"/>
        </w:rPr>
        <w:t>Technical and operational requirements in frequency bands not shared with terrestrial services</w:t>
      </w:r>
      <w:r w:rsidRPr="009D735F">
        <w:rPr>
          <w:noProof/>
          <w:webHidden/>
        </w:rPr>
        <w:tab/>
      </w:r>
      <w:r>
        <w:rPr>
          <w:noProof/>
          <w:webHidden/>
        </w:rPr>
        <w:tab/>
      </w:r>
      <w:r w:rsidRPr="009D735F">
        <w:rPr>
          <w:noProof/>
          <w:webHidden/>
        </w:rPr>
        <w:t>2</w:t>
      </w:r>
    </w:p>
    <w:p w:rsidR="009D735F" w:rsidRPr="009D735F" w:rsidRDefault="009D735F" w:rsidP="009D735F">
      <w:pPr>
        <w:pStyle w:val="TOC2"/>
        <w:rPr>
          <w:rFonts w:asciiTheme="minorHAnsi" w:eastAsiaTheme="minorEastAsia" w:hAnsiTheme="minorHAnsi" w:cstheme="minorBidi"/>
          <w:noProof/>
          <w:sz w:val="22"/>
          <w:szCs w:val="22"/>
          <w:lang w:eastAsia="zh-CN"/>
        </w:rPr>
      </w:pPr>
      <w:r w:rsidRPr="009D735F">
        <w:rPr>
          <w:rStyle w:val="Hyperlink"/>
          <w:noProof/>
          <w:color w:val="auto"/>
          <w:u w:val="none"/>
        </w:rPr>
        <w:t>3.2</w:t>
      </w:r>
      <w:r w:rsidRPr="009D735F">
        <w:rPr>
          <w:rFonts w:asciiTheme="minorHAnsi" w:eastAsiaTheme="minorEastAsia" w:hAnsiTheme="minorHAnsi" w:cstheme="minorBidi"/>
          <w:noProof/>
          <w:sz w:val="22"/>
          <w:szCs w:val="22"/>
          <w:lang w:eastAsia="zh-CN"/>
        </w:rPr>
        <w:tab/>
      </w:r>
      <w:r w:rsidRPr="009D735F">
        <w:rPr>
          <w:rStyle w:val="Hyperlink"/>
          <w:noProof/>
          <w:color w:val="auto"/>
          <w:u w:val="none"/>
        </w:rPr>
        <w:t>Technical and operational requirements in frequency bands shared with terrestrial services</w:t>
      </w:r>
      <w:r w:rsidRPr="009D735F">
        <w:rPr>
          <w:noProof/>
          <w:webHidden/>
        </w:rPr>
        <w:tab/>
      </w:r>
      <w:r>
        <w:rPr>
          <w:noProof/>
          <w:webHidden/>
        </w:rPr>
        <w:tab/>
      </w:r>
      <w:r w:rsidRPr="009D735F">
        <w:rPr>
          <w:noProof/>
          <w:webHidden/>
        </w:rPr>
        <w:t>3</w:t>
      </w:r>
    </w:p>
    <w:p w:rsidR="009D735F" w:rsidRDefault="009D735F" w:rsidP="009D735F">
      <w:pPr>
        <w:pStyle w:val="TOC2"/>
        <w:rPr>
          <w:rFonts w:asciiTheme="minorHAnsi" w:eastAsiaTheme="minorEastAsia" w:hAnsiTheme="minorHAnsi" w:cstheme="minorBidi"/>
          <w:noProof/>
          <w:sz w:val="22"/>
          <w:szCs w:val="22"/>
          <w:lang w:eastAsia="zh-CN"/>
        </w:rPr>
      </w:pPr>
      <w:r w:rsidRPr="009D735F">
        <w:rPr>
          <w:rStyle w:val="Hyperlink"/>
          <w:noProof/>
          <w:color w:val="auto"/>
          <w:u w:val="none"/>
        </w:rPr>
        <w:t>3.3</w:t>
      </w:r>
      <w:r w:rsidRPr="009D735F">
        <w:rPr>
          <w:rFonts w:asciiTheme="minorHAnsi" w:eastAsiaTheme="minorEastAsia" w:hAnsiTheme="minorHAnsi" w:cstheme="minorBidi"/>
          <w:noProof/>
          <w:sz w:val="22"/>
          <w:szCs w:val="22"/>
          <w:lang w:eastAsia="zh-CN"/>
        </w:rPr>
        <w:tab/>
      </w:r>
      <w:r w:rsidRPr="009D735F">
        <w:rPr>
          <w:rStyle w:val="Hyperlink"/>
          <w:noProof/>
          <w:color w:val="auto"/>
          <w:u w:val="none"/>
        </w:rPr>
        <w:t>Other issues</w:t>
      </w:r>
      <w:r w:rsidRPr="009D735F">
        <w:rPr>
          <w:noProof/>
          <w:webHidden/>
        </w:rPr>
        <w:tab/>
      </w:r>
      <w:r>
        <w:rPr>
          <w:noProof/>
          <w:webHidden/>
        </w:rPr>
        <w:tab/>
      </w:r>
      <w:r w:rsidRPr="009D735F">
        <w:rPr>
          <w:noProof/>
          <w:webHidden/>
        </w:rPr>
        <w:t>3</w:t>
      </w:r>
    </w:p>
    <w:p w:rsidR="00E13875" w:rsidRPr="00E13875" w:rsidRDefault="00E13875" w:rsidP="00E13875">
      <w:pPr>
        <w:pStyle w:val="Heading1"/>
        <w:rPr>
          <w:lang w:val="en-US"/>
        </w:rPr>
      </w:pPr>
      <w:bookmarkStart w:id="5" w:name="_Toc306009339"/>
      <w:bookmarkStart w:id="6" w:name="_Toc306176366"/>
      <w:bookmarkStart w:id="7" w:name="_Toc306260057"/>
      <w:bookmarkStart w:id="8" w:name="_GoBack"/>
      <w:bookmarkEnd w:id="8"/>
      <w:r w:rsidRPr="00E13875">
        <w:rPr>
          <w:lang w:val="en-US"/>
        </w:rPr>
        <w:t>1</w:t>
      </w:r>
      <w:r w:rsidRPr="00E13875">
        <w:rPr>
          <w:lang w:val="en-US"/>
        </w:rPr>
        <w:tab/>
        <w:t>Introduction</w:t>
      </w:r>
      <w:bookmarkEnd w:id="5"/>
      <w:bookmarkEnd w:id="6"/>
      <w:bookmarkEnd w:id="7"/>
    </w:p>
    <w:p w:rsidR="00E13875" w:rsidRPr="00E13875" w:rsidRDefault="00E13875" w:rsidP="00E13875">
      <w:pPr>
        <w:rPr>
          <w:lang w:val="en-US"/>
        </w:rPr>
      </w:pPr>
      <w:r w:rsidRPr="00E13875">
        <w:rPr>
          <w:lang w:val="en-US"/>
        </w:rPr>
        <w:t>GSO fixed-satellite service networks are being used at an increasing rate to provide services to earth stations mounted on mobile platforms.</w:t>
      </w:r>
      <w:r w:rsidR="00E72DA9">
        <w:rPr>
          <w:lang w:val="en-US"/>
        </w:rPr>
        <w:t xml:space="preserve"> </w:t>
      </w:r>
      <w:r w:rsidRPr="00E13875">
        <w:rPr>
          <w:lang w:val="en-US"/>
        </w:rPr>
        <w:t>GSO FSS networks are currently providing valuable broadband telecommunications services to aircraft, ships, trains and other vehicles in the</w:t>
      </w:r>
      <w:r>
        <w:rPr>
          <w:lang w:val="en-US"/>
        </w:rPr>
        <w:t xml:space="preserve"> </w:t>
      </w:r>
      <w:r w:rsidRPr="00E13875">
        <w:rPr>
          <w:lang w:val="en-US"/>
        </w:rPr>
        <w:t>14.0</w:t>
      </w:r>
      <w:r w:rsidRPr="00E13875">
        <w:rPr>
          <w:lang w:val="en-US"/>
        </w:rPr>
        <w:noBreakHyphen/>
        <w:t>14.5 GHz (Earth-to-space) and 10.7-12.7 GHz (space-to-Earth) bands, e.g. Resolution</w:t>
      </w:r>
      <w:r>
        <w:rPr>
          <w:lang w:val="en-US"/>
        </w:rPr>
        <w:t> </w:t>
      </w:r>
      <w:r w:rsidRPr="00E13875">
        <w:rPr>
          <w:lang w:val="en-US"/>
        </w:rPr>
        <w:t>902 (WRC-03).</w:t>
      </w:r>
      <w:r w:rsidR="00E72DA9">
        <w:rPr>
          <w:lang w:val="en-US"/>
        </w:rPr>
        <w:t xml:space="preserve"> </w:t>
      </w:r>
      <w:r w:rsidRPr="00E13875">
        <w:rPr>
          <w:lang w:val="en-US"/>
        </w:rPr>
        <w:t>The growing demand for service to these mobile platforms has caused service providers to turn to the 17.3-30.0 GHz FSS band to meet the need for increased broadband speed, capacity, and efficiency.</w:t>
      </w:r>
    </w:p>
    <w:p w:rsidR="00E13875" w:rsidRPr="00E13875" w:rsidRDefault="00E13875" w:rsidP="00E13875">
      <w:pPr>
        <w:rPr>
          <w:szCs w:val="24"/>
          <w:lang w:val="en-US"/>
        </w:rPr>
      </w:pPr>
      <w:r w:rsidRPr="00E13875">
        <w:rPr>
          <w:szCs w:val="24"/>
          <w:lang w:val="en-US"/>
        </w:rPr>
        <w:t>Advances in satellite antenna technology, particularly the development of 3-axis stabilized antennas capable of maintaining a high degree of pointing accuracy even on rapidly moving platforms, have allowed the development of mobile earth stations with very stable pointing characteristics.</w:t>
      </w:r>
      <w:r w:rsidR="00E72DA9">
        <w:rPr>
          <w:szCs w:val="24"/>
          <w:lang w:val="en-US"/>
        </w:rPr>
        <w:t xml:space="preserve"> </w:t>
      </w:r>
      <w:r w:rsidRPr="00E13875">
        <w:rPr>
          <w:szCs w:val="24"/>
          <w:lang w:val="en-US"/>
        </w:rPr>
        <w:t>Similarly, the application of low power density waveforms has likewise enabled the use of smaller antennas and lower performance pointing systems while still maintaining off-axis e.i.r.p. density within prescribed limits.</w:t>
      </w:r>
      <w:r w:rsidR="00E72DA9">
        <w:rPr>
          <w:szCs w:val="24"/>
          <w:lang w:val="en-US"/>
        </w:rPr>
        <w:t xml:space="preserve"> </w:t>
      </w:r>
      <w:r w:rsidRPr="00E13875">
        <w:rPr>
          <w:szCs w:val="24"/>
          <w:lang w:val="en-US"/>
        </w:rPr>
        <w:t>When properly managed and controlled, the technical characteristics of these mobile earth stations are indistinguishable from fixed earth stations when viewed from an interference perspective to FSS networks.</w:t>
      </w:r>
    </w:p>
    <w:p w:rsidR="00E13875" w:rsidRPr="00E13875" w:rsidRDefault="00E13875" w:rsidP="00C9335E">
      <w:pPr>
        <w:rPr>
          <w:lang w:val="en-US"/>
        </w:rPr>
      </w:pPr>
      <w:r w:rsidRPr="00E13875">
        <w:rPr>
          <w:lang w:val="en-US"/>
        </w:rPr>
        <w:t>This Report presents technical and operational requirements for FSS earth stations on mobile platforms in bands from 17.3 to 30.0 GHz. The Report describes how such earth stations operating in FSS allocations between 17.3-30.0 GHz can be designed and operated in compliance with the existing requirements applicable to other types of FSS earth stations. By</w:t>
      </w:r>
      <w:r w:rsidR="00C9335E">
        <w:rPr>
          <w:lang w:val="en-US"/>
        </w:rPr>
        <w:t xml:space="preserve"> </w:t>
      </w:r>
      <w:r w:rsidRPr="00E13875">
        <w:rPr>
          <w:lang w:val="en-US"/>
        </w:rPr>
        <w:t xml:space="preserve">complying with these existing requirements, earth stations on mobile platforms will not create unacceptable levels of </w:t>
      </w:r>
      <w:r w:rsidRPr="00E13875">
        <w:rPr>
          <w:lang w:val="en-US"/>
        </w:rPr>
        <w:lastRenderedPageBreak/>
        <w:t>interference to other FSS systems and terminals operating in the same bands or sub-bands. This Report is intended to provide guidance to administrations and FSS network operators wishing to implement earth stations on mobile platforms in FSS allocations in the 17.3-30.0 GHz band.</w:t>
      </w:r>
    </w:p>
    <w:p w:rsidR="00E13875" w:rsidRPr="00E13875" w:rsidRDefault="00E13875" w:rsidP="00E13875">
      <w:pPr>
        <w:pStyle w:val="Heading1"/>
        <w:rPr>
          <w:lang w:val="en-US" w:eastAsia="zh-CN"/>
        </w:rPr>
      </w:pPr>
      <w:bookmarkStart w:id="9" w:name="_Toc306009340"/>
      <w:bookmarkStart w:id="10" w:name="_Toc306176367"/>
      <w:bookmarkStart w:id="11" w:name="_Toc306260058"/>
      <w:r w:rsidRPr="00E13875">
        <w:rPr>
          <w:lang w:val="en-US" w:eastAsia="zh-CN"/>
        </w:rPr>
        <w:t>2</w:t>
      </w:r>
      <w:r w:rsidRPr="00E13875">
        <w:rPr>
          <w:lang w:val="en-US" w:eastAsia="zh-CN"/>
        </w:rPr>
        <w:tab/>
        <w:t>Background</w:t>
      </w:r>
      <w:bookmarkEnd w:id="9"/>
      <w:bookmarkEnd w:id="10"/>
      <w:bookmarkEnd w:id="11"/>
    </w:p>
    <w:p w:rsidR="00E13875" w:rsidRPr="00E13875" w:rsidRDefault="00E13875" w:rsidP="00E13875">
      <w:pPr>
        <w:rPr>
          <w:lang w:val="en-US"/>
        </w:rPr>
      </w:pPr>
      <w:r w:rsidRPr="00E13875">
        <w:rPr>
          <w:lang w:val="en-US" w:eastAsia="zh-CN"/>
        </w:rPr>
        <w:t xml:space="preserve">It has been recognized within ITU-R </w:t>
      </w:r>
      <w:r w:rsidRPr="00E13875">
        <w:rPr>
          <w:lang w:val="en-US"/>
        </w:rPr>
        <w:t>that various technically and operationally different networks have been implemented to provide service to earth stations on mobile platforms using FSS networks in bands below 17 GHz and that additional such networks are planned for implementation in bands from 17.3 to 30.0 GHz.</w:t>
      </w:r>
      <w:r w:rsidR="00E72DA9">
        <w:rPr>
          <w:lang w:val="en-US"/>
        </w:rPr>
        <w:t xml:space="preserve"> </w:t>
      </w:r>
      <w:r w:rsidRPr="00E13875">
        <w:rPr>
          <w:lang w:val="en-US"/>
        </w:rPr>
        <w:t>It is envisioned that these planned networks may provide access to a variety of broadband communication applications (Internet, e</w:t>
      </w:r>
      <w:r w:rsidRPr="00E13875">
        <w:rPr>
          <w:lang w:val="en-US"/>
        </w:rPr>
        <w:noBreakHyphen/>
        <w:t xml:space="preserve">mail, VoIP, and access to internal corporate networks) to and from mobile platforms such as ships, aircraft, and land-based vehicles. </w:t>
      </w:r>
    </w:p>
    <w:p w:rsidR="00E13875" w:rsidRPr="00E13875" w:rsidRDefault="00E13875" w:rsidP="00E13875">
      <w:pPr>
        <w:rPr>
          <w:lang w:val="en-US"/>
        </w:rPr>
      </w:pPr>
      <w:r w:rsidRPr="00E13875">
        <w:rPr>
          <w:lang w:val="en-US"/>
        </w:rPr>
        <w:t>The circulation of FSS earth stations on mobile platforms is usually a</w:t>
      </w:r>
      <w:r w:rsidR="00E72DA9">
        <w:rPr>
          <w:lang w:val="en-US"/>
        </w:rPr>
        <w:t xml:space="preserve"> subject of a </w:t>
      </w:r>
      <w:r w:rsidRPr="00E13875">
        <w:rPr>
          <w:lang w:val="en-US"/>
        </w:rPr>
        <w:t>number of national and international rules and regulations including satisfactory conformance to mutually agreed technical standards and operational requirements.</w:t>
      </w:r>
      <w:r w:rsidR="00E72DA9">
        <w:rPr>
          <w:lang w:val="en-US"/>
        </w:rPr>
        <w:t xml:space="preserve"> </w:t>
      </w:r>
      <w:r w:rsidRPr="00E13875">
        <w:rPr>
          <w:lang w:val="en-US"/>
        </w:rPr>
        <w:t>As such, there is a need for identifying the technical and operational requirements for FSS earth stations on mobile platforms in order to provide a common technical basis for facilitating the implementation of FSS earth stations by various national and international authorities.</w:t>
      </w:r>
      <w:r w:rsidR="00E72DA9">
        <w:rPr>
          <w:lang w:val="en-US"/>
        </w:rPr>
        <w:t xml:space="preserve"> </w:t>
      </w:r>
      <w:r w:rsidRPr="00E13875">
        <w:rPr>
          <w:lang w:val="en-US"/>
        </w:rPr>
        <w:t>Such identification would also facilitate the development of mutual recognition arrangements for international operation of FSS earth stations on mobile platforms.</w:t>
      </w:r>
    </w:p>
    <w:p w:rsidR="00E13875" w:rsidRPr="00E13875" w:rsidRDefault="00E13875" w:rsidP="00E13875">
      <w:pPr>
        <w:rPr>
          <w:lang w:val="en-US"/>
        </w:rPr>
      </w:pPr>
      <w:r w:rsidRPr="00E13875">
        <w:rPr>
          <w:lang w:val="en-US"/>
        </w:rPr>
        <w:t>As this Report is addressing FSS earth station operation on mobile platforms in the frequency range from 17.3 to 30 GHz, it is important to recognize that there are allocations to the FSS in this range that are shared with terrestrial services, and that sharing with terrestrial services requires coordination or the development of other sharing mechanisms.</w:t>
      </w:r>
      <w:r w:rsidR="00E72DA9">
        <w:rPr>
          <w:lang w:val="en-US"/>
        </w:rPr>
        <w:t xml:space="preserve"> </w:t>
      </w:r>
      <w:r w:rsidRPr="00E13875">
        <w:rPr>
          <w:lang w:val="en-US"/>
        </w:rPr>
        <w:t>The identification of technical and operational requirements for such FSS earth stations operating in this frequency range could assist administrations in preventing harmful and/or unacceptable interference to other GSO FSS networks and in the development of sharing criteria for terrestrial networks.</w:t>
      </w:r>
      <w:r w:rsidR="00E72DA9">
        <w:rPr>
          <w:lang w:val="en-US"/>
        </w:rPr>
        <w:t xml:space="preserve"> </w:t>
      </w:r>
      <w:r w:rsidRPr="00E13875">
        <w:rPr>
          <w:lang w:val="en-US"/>
        </w:rPr>
        <w:t>Such technical and operational characteristics should be continuously and accurately measurable and controllable.</w:t>
      </w:r>
      <w:r w:rsidR="00E72DA9">
        <w:rPr>
          <w:lang w:val="en-US"/>
        </w:rPr>
        <w:t xml:space="preserve"> </w:t>
      </w:r>
    </w:p>
    <w:p w:rsidR="00E13875" w:rsidRPr="00E13875" w:rsidRDefault="00E13875" w:rsidP="00E13875">
      <w:pPr>
        <w:pStyle w:val="Heading1"/>
        <w:rPr>
          <w:lang w:val="en-US"/>
        </w:rPr>
      </w:pPr>
      <w:bookmarkStart w:id="12" w:name="_Toc306009341"/>
      <w:bookmarkStart w:id="13" w:name="_Toc306176368"/>
      <w:bookmarkStart w:id="14" w:name="_Toc306260059"/>
      <w:r w:rsidRPr="00E13875">
        <w:rPr>
          <w:lang w:val="en-US"/>
        </w:rPr>
        <w:t>3</w:t>
      </w:r>
      <w:r w:rsidRPr="00E13875">
        <w:rPr>
          <w:lang w:val="en-US"/>
        </w:rPr>
        <w:tab/>
        <w:t>Essential sharing requirements</w:t>
      </w:r>
      <w:bookmarkEnd w:id="12"/>
      <w:bookmarkEnd w:id="13"/>
      <w:bookmarkEnd w:id="14"/>
    </w:p>
    <w:p w:rsidR="00E13875" w:rsidRPr="00E13875" w:rsidRDefault="00E13875" w:rsidP="00E13875">
      <w:pPr>
        <w:pStyle w:val="Heading2"/>
        <w:rPr>
          <w:lang w:val="en-US"/>
        </w:rPr>
      </w:pPr>
      <w:bookmarkStart w:id="15" w:name="_Toc306009342"/>
      <w:bookmarkStart w:id="16" w:name="_Toc306176369"/>
      <w:bookmarkStart w:id="17" w:name="_Toc306260060"/>
      <w:r w:rsidRPr="00E13875">
        <w:rPr>
          <w:lang w:val="en-US"/>
        </w:rPr>
        <w:t>3.1</w:t>
      </w:r>
      <w:r w:rsidRPr="00E13875">
        <w:rPr>
          <w:lang w:val="en-US"/>
        </w:rPr>
        <w:tab/>
        <w:t>Technical and operational requirements in frequency bands not shared with terrestrial services</w:t>
      </w:r>
      <w:bookmarkEnd w:id="15"/>
      <w:bookmarkEnd w:id="16"/>
      <w:bookmarkEnd w:id="17"/>
    </w:p>
    <w:p w:rsidR="00E13875" w:rsidRPr="00E13875" w:rsidRDefault="00E13875" w:rsidP="00E13875">
      <w:pPr>
        <w:rPr>
          <w:lang w:val="en-US"/>
        </w:rPr>
      </w:pPr>
      <w:r w:rsidRPr="00E13875">
        <w:rPr>
          <w:lang w:val="en-US"/>
        </w:rPr>
        <w:t>It is clear that implementation of FSS earth stations on mobile platforms would be simplified in bands that are not shared with terrestrial services as this reduces the sharing situation to one of sharing between satellite networks.</w:t>
      </w:r>
      <w:r w:rsidR="00E72DA9">
        <w:rPr>
          <w:lang w:val="en-US"/>
        </w:rPr>
        <w:t xml:space="preserve"> </w:t>
      </w:r>
      <w:r w:rsidRPr="00E13875">
        <w:rPr>
          <w:lang w:val="en-US"/>
        </w:rPr>
        <w:t>In such cases, in order to address potential interference with other co-frequency GSO FSS networks, it is essential that FSS earth stations on mobile platforms comply with the off-axis e.i.r.p. limits co</w:t>
      </w:r>
      <w:r w:rsidR="00E72DA9">
        <w:rPr>
          <w:lang w:val="en-US"/>
        </w:rPr>
        <w:t>ntained in Recommendation ITU</w:t>
      </w:r>
      <w:r w:rsidR="00E72DA9">
        <w:rPr>
          <w:lang w:val="en-US"/>
        </w:rPr>
        <w:noBreakHyphen/>
        <w:t xml:space="preserve">R </w:t>
      </w:r>
      <w:r w:rsidRPr="00E13875">
        <w:rPr>
          <w:lang w:val="en-US"/>
        </w:rPr>
        <w:t>S.524-9, or with any other limits coordinated with neighbouring satellite networks.</w:t>
      </w:r>
      <w:r w:rsidR="00E72DA9">
        <w:rPr>
          <w:lang w:val="en-US"/>
        </w:rPr>
        <w:t xml:space="preserve"> </w:t>
      </w:r>
      <w:r w:rsidRPr="00E13875">
        <w:rPr>
          <w:lang w:val="en-US"/>
        </w:rPr>
        <w:t>In addition, any network of such earth stations should be operated such that the aggregate off-axis e.i.r.p. levels produced in the Earth-to-space direction by all co-frequency earth stations within such networks, in the direction of neighbouring satellite networks, are no greater than the off-axis e.i.r.p. levels produced by other specific and/or typical FSS earth station(s) operated in conformance with Recommendation ITU</w:t>
      </w:r>
      <w:r w:rsidRPr="00E13875">
        <w:rPr>
          <w:lang w:val="en-US"/>
        </w:rPr>
        <w:noBreakHyphen/>
        <w:t>R S.524-9, or with any other limits coordinated with neighbouring satellite networks.</w:t>
      </w:r>
      <w:r w:rsidR="00E72DA9">
        <w:rPr>
          <w:lang w:val="en-US"/>
        </w:rPr>
        <w:t xml:space="preserve"> </w:t>
      </w:r>
      <w:r w:rsidRPr="00E13875">
        <w:rPr>
          <w:lang w:val="en-US"/>
        </w:rPr>
        <w:t xml:space="preserve">These requirements will ensure that such earth stations are essentially equivalent to stationary FSS earth stations from the perspective of static uplink interference potential. </w:t>
      </w:r>
    </w:p>
    <w:p w:rsidR="00E13875" w:rsidRPr="00E13875" w:rsidRDefault="00E13875" w:rsidP="00285878">
      <w:pPr>
        <w:keepNext/>
        <w:keepLines/>
        <w:rPr>
          <w:lang w:val="en-US"/>
        </w:rPr>
      </w:pPr>
      <w:r w:rsidRPr="00E13875">
        <w:rPr>
          <w:lang w:val="en-US"/>
        </w:rPr>
        <w:lastRenderedPageBreak/>
        <w:t>Realizing that earth stations on mobile platforms operate in a dynamic environment (i.e. the position and orientation of the platform can change with time), it is important to address this aspect in specifying an essential set of technical and operational requirements.</w:t>
      </w:r>
      <w:r w:rsidR="00E72DA9">
        <w:rPr>
          <w:lang w:val="en-US"/>
        </w:rPr>
        <w:t xml:space="preserve"> </w:t>
      </w:r>
      <w:r w:rsidRPr="00E13875">
        <w:rPr>
          <w:lang w:val="en-US"/>
        </w:rPr>
        <w:t>The design, coordination and operation of earth stations on mobile platforms should be such that, in addition to the static requirements discussed above, the interference levels generated by such earth stations account for the following factors:</w:t>
      </w:r>
    </w:p>
    <w:p w:rsidR="00E13875" w:rsidRPr="00E13875" w:rsidRDefault="00285878" w:rsidP="00612355">
      <w:pPr>
        <w:pStyle w:val="enumlev1"/>
        <w:rPr>
          <w:lang w:val="en-US"/>
        </w:rPr>
      </w:pPr>
      <w:r>
        <w:rPr>
          <w:lang w:val="en-US"/>
        </w:rPr>
        <w:t>–</w:t>
      </w:r>
      <w:r w:rsidR="00E13875" w:rsidRPr="00E13875">
        <w:rPr>
          <w:lang w:val="en-US"/>
        </w:rPr>
        <w:tab/>
        <w:t>Mispointing of the earth station antenna. Where applicable, this includes, at least, motion-induced antenna pointing errors, effects caused by bias and latency of their pointing systems, tracking error of open or closed loop tracking systems, misalignment between transmit and receive apertures for systems that use separate apertures, and misalignment between transmit and receive feeds for systems that use combined apertures.</w:t>
      </w:r>
    </w:p>
    <w:p w:rsidR="00E13875" w:rsidRPr="00E13875" w:rsidRDefault="00285878" w:rsidP="00612355">
      <w:pPr>
        <w:pStyle w:val="enumlev1"/>
        <w:rPr>
          <w:lang w:val="en-US"/>
        </w:rPr>
      </w:pPr>
      <w:r>
        <w:rPr>
          <w:lang w:val="en-US"/>
        </w:rPr>
        <w:t>–</w:t>
      </w:r>
      <w:r w:rsidR="00E13875" w:rsidRPr="00E13875">
        <w:rPr>
          <w:lang w:val="en-US"/>
        </w:rPr>
        <w:tab/>
        <w:t>Variations in the antenna pattern of the earth station antenna. Where applicable, this includes, at least, effects caused by manufacturing tolerances, ageing of the antenna and environmental effects. Networks using certain types of antennas, such as phased arrays, should account for variation in antenna pattern with scan angles (elevation and azimuth). Networks using phased arrays should also account for element phase error, amplitude error and failure rate.</w:t>
      </w:r>
    </w:p>
    <w:p w:rsidR="00E13875" w:rsidRPr="00E13875" w:rsidRDefault="00285878" w:rsidP="00612355">
      <w:pPr>
        <w:pStyle w:val="enumlev1"/>
        <w:rPr>
          <w:lang w:val="en-US"/>
        </w:rPr>
      </w:pPr>
      <w:r>
        <w:rPr>
          <w:lang w:val="en-US"/>
        </w:rPr>
        <w:t>–</w:t>
      </w:r>
      <w:r w:rsidR="00E13875" w:rsidRPr="00E13875">
        <w:rPr>
          <w:lang w:val="en-US"/>
        </w:rPr>
        <w:tab/>
        <w:t>Variations in the transmit e.i.r.p. from the earth station. Where applicable, this includes, at least, effects caused by measurement error, control error and latency for closed loop power control systems, and motion-induced antenna pointing errors.</w:t>
      </w:r>
    </w:p>
    <w:p w:rsidR="00E13875" w:rsidRPr="00E13875" w:rsidRDefault="00E13875" w:rsidP="00AD140F">
      <w:pPr>
        <w:rPr>
          <w:lang w:val="en-US"/>
        </w:rPr>
      </w:pPr>
      <w:r w:rsidRPr="00E13875">
        <w:rPr>
          <w:lang w:val="en-US"/>
        </w:rPr>
        <w:t>FSS earth stations on mobile platforms that use closed loop tracking of the satellite signal need to employ an algorithm that is resistant to capturing and tracking adjacent satellite signals. Such earth stations must be designed and operated such that they immediately inhibit transmission when they detect that unintended satellite tracking has occurred or is about to occur. Such earth stations must also immediately inhibit transmission when their mispointing would result in off-axis e.i.r.p. levels in the direction of neighbouring satellite networks above those of other specific and/or typical FSS earth stations operating in compliance with Recommendation ITU</w:t>
      </w:r>
      <w:r w:rsidRPr="00E13875">
        <w:rPr>
          <w:lang w:val="en-US"/>
        </w:rPr>
        <w:noBreakHyphen/>
        <w:t>R S.524-9 or with any other limits coordinated with neighbouring satellite networks.</w:t>
      </w:r>
      <w:r w:rsidR="00E72DA9">
        <w:rPr>
          <w:lang w:val="en-US"/>
        </w:rPr>
        <w:t xml:space="preserve"> </w:t>
      </w:r>
      <w:r w:rsidRPr="00E13875">
        <w:rPr>
          <w:lang w:val="en-US"/>
        </w:rPr>
        <w:t>These earth stations also need to be self</w:t>
      </w:r>
      <w:r w:rsidR="00E72DA9">
        <w:rPr>
          <w:lang w:val="en-US"/>
        </w:rPr>
        <w:noBreakHyphen/>
      </w:r>
      <w:r w:rsidRPr="00E13875">
        <w:rPr>
          <w:lang w:val="en-US"/>
        </w:rPr>
        <w:t>monitoring and, should a</w:t>
      </w:r>
      <w:r w:rsidR="00AD140F">
        <w:rPr>
          <w:lang w:val="en-US"/>
        </w:rPr>
        <w:t xml:space="preserve"> </w:t>
      </w:r>
      <w:r w:rsidRPr="00E13875">
        <w:rPr>
          <w:lang w:val="en-US"/>
        </w:rPr>
        <w:t>fault be detected which can cause harmful interference to FSS networks, must automatically mute any transmissions.</w:t>
      </w:r>
    </w:p>
    <w:p w:rsidR="00E13875" w:rsidRPr="00E13875" w:rsidRDefault="00E13875" w:rsidP="00E13875">
      <w:pPr>
        <w:rPr>
          <w:lang w:val="en-US"/>
        </w:rPr>
      </w:pPr>
      <w:r w:rsidRPr="00E13875">
        <w:rPr>
          <w:lang w:val="en-US"/>
        </w:rPr>
        <w:t>In addition to these autonomous capabilities, FSS earth stations on mobile platforms should be subject to the monitoring and control by a Network Control and Monitoring Center (NCMC) or equivalent facility and these earth stations should be able to receive at least “enable transmission” and “disable transmission” commands from the NCMC.</w:t>
      </w:r>
      <w:r w:rsidR="00E72DA9">
        <w:rPr>
          <w:lang w:val="en-US"/>
        </w:rPr>
        <w:t xml:space="preserve"> </w:t>
      </w:r>
      <w:r w:rsidRPr="00E13875">
        <w:rPr>
          <w:lang w:val="en-US"/>
        </w:rPr>
        <w:t>It should be possible for the NCMC to monitor the operation of the earth station to determine if it is malfunctioning.</w:t>
      </w:r>
    </w:p>
    <w:p w:rsidR="00E13875" w:rsidRPr="00E13875" w:rsidRDefault="00E13875" w:rsidP="00E13875">
      <w:pPr>
        <w:pStyle w:val="Heading2"/>
        <w:rPr>
          <w:lang w:val="en-US"/>
        </w:rPr>
      </w:pPr>
      <w:bookmarkStart w:id="18" w:name="_Toc306009343"/>
      <w:bookmarkStart w:id="19" w:name="_Toc306176370"/>
      <w:bookmarkStart w:id="20" w:name="_Toc306260061"/>
      <w:r w:rsidRPr="00E13875">
        <w:rPr>
          <w:lang w:val="en-US"/>
        </w:rPr>
        <w:t>3.2</w:t>
      </w:r>
      <w:r w:rsidRPr="00E13875">
        <w:rPr>
          <w:lang w:val="en-US"/>
        </w:rPr>
        <w:tab/>
        <w:t>Technical and operational requirements in frequency bands shared with terrestrial services</w:t>
      </w:r>
      <w:bookmarkEnd w:id="18"/>
      <w:bookmarkEnd w:id="19"/>
      <w:bookmarkEnd w:id="20"/>
    </w:p>
    <w:p w:rsidR="00E13875" w:rsidRDefault="00E13875" w:rsidP="00E13875">
      <w:pPr>
        <w:rPr>
          <w:lang w:val="en-US"/>
        </w:rPr>
      </w:pPr>
      <w:r>
        <w:rPr>
          <w:lang w:val="en-US"/>
        </w:rPr>
        <w:t xml:space="preserve">Where </w:t>
      </w:r>
      <w:r w:rsidRPr="00E13875">
        <w:rPr>
          <w:lang w:val="en-US"/>
        </w:rPr>
        <w:t xml:space="preserve">FSS earth stations on mobile platforms operate </w:t>
      </w:r>
      <w:r w:rsidRPr="00203037">
        <w:rPr>
          <w:lang w:val="en-US"/>
        </w:rPr>
        <w:t xml:space="preserve">in </w:t>
      </w:r>
      <w:r>
        <w:rPr>
          <w:lang w:val="en-US"/>
        </w:rPr>
        <w:t xml:space="preserve">frequency </w:t>
      </w:r>
      <w:r w:rsidRPr="00203037">
        <w:rPr>
          <w:lang w:val="en-US"/>
        </w:rPr>
        <w:t xml:space="preserve">bands </w:t>
      </w:r>
      <w:r>
        <w:rPr>
          <w:lang w:val="en-US"/>
        </w:rPr>
        <w:t xml:space="preserve">and geographical areas </w:t>
      </w:r>
      <w:r w:rsidRPr="00203037">
        <w:rPr>
          <w:lang w:val="en-US"/>
        </w:rPr>
        <w:t>that are shared with terrestrial services, in addit</w:t>
      </w:r>
      <w:r>
        <w:rPr>
          <w:lang w:val="en-US"/>
        </w:rPr>
        <w:t>ion to the guidelines in § 3.1</w:t>
      </w:r>
      <w:r w:rsidRPr="00203037">
        <w:rPr>
          <w:lang w:val="en-US"/>
        </w:rPr>
        <w:t xml:space="preserve">, coordination or development of other sharing mechanisms </w:t>
      </w:r>
      <w:r>
        <w:rPr>
          <w:lang w:val="en-US"/>
        </w:rPr>
        <w:t>will be required.</w:t>
      </w:r>
    </w:p>
    <w:p w:rsidR="00E13875" w:rsidRDefault="00E13875" w:rsidP="00E13875">
      <w:pPr>
        <w:pStyle w:val="Heading2"/>
        <w:rPr>
          <w:lang w:val="en-US"/>
        </w:rPr>
      </w:pPr>
      <w:bookmarkStart w:id="21" w:name="_Toc306009344"/>
      <w:bookmarkStart w:id="22" w:name="_Toc306176371"/>
      <w:bookmarkStart w:id="23" w:name="_Toc306260062"/>
      <w:r>
        <w:rPr>
          <w:lang w:val="en-US"/>
        </w:rPr>
        <w:t>3.3</w:t>
      </w:r>
      <w:r>
        <w:rPr>
          <w:lang w:val="en-US"/>
        </w:rPr>
        <w:tab/>
        <w:t>Other issues</w:t>
      </w:r>
      <w:bookmarkEnd w:id="21"/>
      <w:bookmarkEnd w:id="22"/>
      <w:bookmarkEnd w:id="23"/>
    </w:p>
    <w:p w:rsidR="00E13875" w:rsidRDefault="00E13875" w:rsidP="00E13875">
      <w:pPr>
        <w:rPr>
          <w:lang w:val="en-US"/>
        </w:rPr>
      </w:pPr>
      <w:r>
        <w:rPr>
          <w:lang w:val="en-US"/>
        </w:rPr>
        <w:t>The operation of FSS earth stations on mobile platforms does introduce several issues, which have not yet been addressed in this Report.</w:t>
      </w:r>
      <w:r w:rsidR="00E72DA9">
        <w:rPr>
          <w:lang w:val="en-US"/>
        </w:rPr>
        <w:t xml:space="preserve"> </w:t>
      </w:r>
      <w:r>
        <w:rPr>
          <w:lang w:val="en-US"/>
        </w:rPr>
        <w:t>These being:</w:t>
      </w:r>
    </w:p>
    <w:p w:rsidR="00E13875" w:rsidRPr="00E13875" w:rsidRDefault="00285878" w:rsidP="00E72DA9">
      <w:pPr>
        <w:pStyle w:val="enumlev1"/>
        <w:rPr>
          <w:lang w:val="en-US"/>
        </w:rPr>
      </w:pPr>
      <w:r>
        <w:rPr>
          <w:lang w:val="en-US"/>
        </w:rPr>
        <w:t>–</w:t>
      </w:r>
      <w:r w:rsidR="00E13875" w:rsidRPr="00E13875">
        <w:rPr>
          <w:lang w:val="en-US"/>
        </w:rPr>
        <w:tab/>
        <w:t>Three types of FSS earth stations on mobile platforms are envisioned within this Report: ship mobile platform, aircraft mobile platform, land mobile platform.</w:t>
      </w:r>
      <w:r w:rsidR="00E72DA9">
        <w:rPr>
          <w:lang w:val="en-US"/>
        </w:rPr>
        <w:t xml:space="preserve"> </w:t>
      </w:r>
      <w:r w:rsidR="00E13875" w:rsidRPr="00E13875">
        <w:rPr>
          <w:lang w:val="en-US"/>
        </w:rPr>
        <w:t xml:space="preserve">This can be seen as mixing the definition of maritime mobile-satellite, aeronautical mobile-satellite and land </w:t>
      </w:r>
      <w:r w:rsidR="00E13875" w:rsidRPr="00E13875">
        <w:rPr>
          <w:lang w:val="en-US"/>
        </w:rPr>
        <w:lastRenderedPageBreak/>
        <w:t xml:space="preserve">mobile-satellite with that of </w:t>
      </w:r>
      <w:r w:rsidR="00612355">
        <w:rPr>
          <w:lang w:val="en-US"/>
        </w:rPr>
        <w:t>FSS</w:t>
      </w:r>
      <w:r w:rsidR="00E13875" w:rsidRPr="00E13875">
        <w:rPr>
          <w:lang w:val="en-US"/>
        </w:rPr>
        <w:t>, and of operation of these mobile platforms not in conformance with the current definitions within the Radio Regulations. However, the operation of earth stations on mobile platforms (ESOMP) discussed in this Report follows a similar approach to that taken in the 4/6 GHz and 12/14 GHz bands to permit the operation of similar earth stations on mobile platforms in FSS networks, e.g.</w:t>
      </w:r>
      <w:r w:rsidR="00E72DA9">
        <w:rPr>
          <w:lang w:val="en-US"/>
        </w:rPr>
        <w:t> </w:t>
      </w:r>
      <w:r w:rsidR="00E13875" w:rsidRPr="00E13875">
        <w:rPr>
          <w:lang w:val="en-US"/>
        </w:rPr>
        <w:t>Resolution</w:t>
      </w:r>
      <w:r w:rsidR="00612355">
        <w:rPr>
          <w:lang w:val="en-US"/>
        </w:rPr>
        <w:t> </w:t>
      </w:r>
      <w:r w:rsidR="00E13875" w:rsidRPr="00612355">
        <w:rPr>
          <w:lang w:val="en-US"/>
        </w:rPr>
        <w:t>902 (WRC</w:t>
      </w:r>
      <w:r w:rsidR="00E72DA9">
        <w:rPr>
          <w:lang w:val="en-US"/>
        </w:rPr>
        <w:noBreakHyphen/>
      </w:r>
      <w:r w:rsidR="00E13875" w:rsidRPr="00612355">
        <w:rPr>
          <w:lang w:val="en-US"/>
        </w:rPr>
        <w:t>03)</w:t>
      </w:r>
      <w:r w:rsidR="00E13875" w:rsidRPr="00E13875">
        <w:rPr>
          <w:lang w:val="en-US"/>
        </w:rPr>
        <w:t>.</w:t>
      </w:r>
    </w:p>
    <w:p w:rsidR="00E13875" w:rsidRPr="00E13875" w:rsidRDefault="00285878" w:rsidP="00612355">
      <w:pPr>
        <w:pStyle w:val="enumlev1"/>
        <w:rPr>
          <w:lang w:val="en-US"/>
        </w:rPr>
      </w:pPr>
      <w:r>
        <w:rPr>
          <w:lang w:val="en-US"/>
        </w:rPr>
        <w:t>–</w:t>
      </w:r>
      <w:r w:rsidR="00E13875" w:rsidRPr="00E13875">
        <w:rPr>
          <w:lang w:val="en-US"/>
        </w:rPr>
        <w:tab/>
        <w:t>A natural consequence of operating FSS earth stations on mobile platforms is the circulation of these stations within other countries.</w:t>
      </w:r>
      <w:r w:rsidR="00E72DA9">
        <w:rPr>
          <w:lang w:val="en-US"/>
        </w:rPr>
        <w:t xml:space="preserve"> </w:t>
      </w:r>
      <w:r w:rsidR="00E13875" w:rsidRPr="00E13875">
        <w:rPr>
          <w:lang w:val="en-US"/>
        </w:rPr>
        <w:t>It should be noted that such circulation requires appropriate administrative and procedural arrangements to ensure that the sovereignty of the country in which these mobile platforms are intended to operate are preserved.</w:t>
      </w:r>
      <w:r w:rsidR="00E72DA9">
        <w:rPr>
          <w:lang w:val="en-US"/>
        </w:rPr>
        <w:t xml:space="preserve"> </w:t>
      </w:r>
      <w:r w:rsidR="00E13875" w:rsidRPr="00E13875">
        <w:rPr>
          <w:lang w:val="en-US"/>
        </w:rPr>
        <w:t>In addition, the responsibility for earth stations normally falls on the administration within which the earth station is operated or the administration of the country of registration.</w:t>
      </w:r>
      <w:r w:rsidR="00E72DA9">
        <w:rPr>
          <w:lang w:val="en-US"/>
        </w:rPr>
        <w:t xml:space="preserve"> </w:t>
      </w:r>
      <w:r w:rsidR="00E13875" w:rsidRPr="00E13875">
        <w:rPr>
          <w:lang w:val="en-US"/>
        </w:rPr>
        <w:t>It is presumed that this issue would be discussed and agreed between the ESOMP operator and the licensing authority in each administration in which the ESOMPs will operate when the ESOMP operator seeks the necessary authority to operate. However, these issues have not been addressed in detail in this Report.</w:t>
      </w:r>
    </w:p>
    <w:p w:rsidR="00E13875" w:rsidRPr="00E13875" w:rsidRDefault="00285878" w:rsidP="00612355">
      <w:pPr>
        <w:pStyle w:val="enumlev1"/>
        <w:rPr>
          <w:lang w:val="en-US"/>
        </w:rPr>
      </w:pPr>
      <w:r>
        <w:rPr>
          <w:lang w:val="en-US"/>
        </w:rPr>
        <w:t>–</w:t>
      </w:r>
      <w:r w:rsidR="00E13875" w:rsidRPr="00E13875">
        <w:rPr>
          <w:lang w:val="en-US"/>
        </w:rPr>
        <w:tab/>
        <w:t xml:space="preserve">As FSS earth stations on mobile platforms cannot be notified as FSS terminals, this will complicate the coordination between these FSS earth stations and the terrestrial services. </w:t>
      </w:r>
      <w:r w:rsidR="00E13875">
        <w:rPr>
          <w:lang w:val="en-US"/>
        </w:rPr>
        <w:t>In such cases, normally the coordination of the earth stations on mobile platforms is conducted on an area wide, or service area, basis, as the position of the earth station is not fixed. This issue has not been addressed in detail in this Report.</w:t>
      </w:r>
    </w:p>
    <w:p w:rsidR="00E13875" w:rsidRDefault="00E13875" w:rsidP="00E13875">
      <w:pPr>
        <w:rPr>
          <w:lang w:val="en-US" w:eastAsia="zh-CN"/>
        </w:rPr>
      </w:pPr>
    </w:p>
    <w:p w:rsidR="00E13875" w:rsidRPr="00E13875" w:rsidRDefault="00E13875" w:rsidP="00E13875">
      <w:pPr>
        <w:pStyle w:val="Line"/>
        <w:rPr>
          <w:lang w:eastAsia="zh-CN"/>
        </w:rPr>
      </w:pPr>
    </w:p>
    <w:sectPr w:rsidR="00E13875" w:rsidRPr="00E13875" w:rsidSect="00E72DA9">
      <w:headerReference w:type="even" r:id="rId14"/>
      <w:headerReference w:type="default" r:id="rId15"/>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875" w:rsidRDefault="00E13875">
      <w:r>
        <w:separator/>
      </w:r>
    </w:p>
  </w:endnote>
  <w:endnote w:type="continuationSeparator" w:id="0">
    <w:p w:rsidR="00E13875" w:rsidRDefault="00E13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875" w:rsidRDefault="00E13875">
      <w:r>
        <w:separator/>
      </w:r>
    </w:p>
  </w:footnote>
  <w:footnote w:type="continuationSeparator" w:id="0">
    <w:p w:rsidR="00E13875" w:rsidRDefault="00E13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75" w:rsidRPr="006323E9" w:rsidRDefault="00A65BD0" w:rsidP="007166CD">
    <w:pPr>
      <w:pStyle w:val="Header"/>
      <w:jc w:val="both"/>
      <w:rPr>
        <w:lang w:val="en-US"/>
      </w:rPr>
    </w:pPr>
    <w:r w:rsidRPr="007166CD">
      <w:rPr>
        <w:b/>
        <w:bCs/>
      </w:rPr>
      <w:fldChar w:fldCharType="begin"/>
    </w:r>
    <w:r w:rsidR="00E13875" w:rsidRPr="007166CD">
      <w:rPr>
        <w:b/>
        <w:bCs/>
        <w:lang w:val="en-US"/>
      </w:rPr>
      <w:instrText xml:space="preserve"> PAGE </w:instrText>
    </w:r>
    <w:r w:rsidRPr="007166CD">
      <w:rPr>
        <w:b/>
        <w:bCs/>
      </w:rPr>
      <w:fldChar w:fldCharType="separate"/>
    </w:r>
    <w:r w:rsidR="00C9335E">
      <w:rPr>
        <w:b/>
        <w:bCs/>
        <w:noProof/>
        <w:lang w:val="en-US"/>
      </w:rPr>
      <w:t>ii</w:t>
    </w:r>
    <w:r w:rsidRPr="007166CD">
      <w:fldChar w:fldCharType="end"/>
    </w:r>
    <w:r w:rsidR="00E13875" w:rsidRPr="007166CD">
      <w:rPr>
        <w:lang w:val="en-US"/>
      </w:rPr>
      <w:tab/>
    </w:r>
    <w:r w:rsidR="00C9335E">
      <w:fldChar w:fldCharType="begin"/>
    </w:r>
    <w:r w:rsidR="00C9335E">
      <w:instrText xml:space="preserve"> DOCPROPERTY "Header 2" \* MERGEFORMAT </w:instrText>
    </w:r>
    <w:r w:rsidR="00C9335E">
      <w:fldChar w:fldCharType="separate"/>
    </w:r>
    <w:r w:rsidR="00C9335E" w:rsidRPr="00C9335E">
      <w:rPr>
        <w:b/>
        <w:bCs/>
        <w:lang w:val="en-US"/>
      </w:rPr>
      <w:t xml:space="preserve">Rep. </w:t>
    </w:r>
    <w:r w:rsidR="00C9335E">
      <w:rPr>
        <w:b/>
        <w:bCs/>
        <w:lang w:val="en-US"/>
      </w:rPr>
      <w:fldChar w:fldCharType="end"/>
    </w:r>
    <w:r w:rsidR="00E13875" w:rsidRPr="006323E9">
      <w:rPr>
        <w:b/>
        <w:bCs/>
        <w:lang w:val="en-US"/>
      </w:rPr>
      <w:t xml:space="preserve"> </w:t>
    </w:r>
    <w:r w:rsidRPr="007166CD">
      <w:rPr>
        <w:b/>
        <w:bCs/>
      </w:rPr>
      <w:fldChar w:fldCharType="begin"/>
    </w:r>
    <w:r w:rsidR="00E13875" w:rsidRPr="007166CD">
      <w:rPr>
        <w:b/>
        <w:bCs/>
        <w:lang w:val="en-US"/>
      </w:rPr>
      <w:instrText>styleref href</w:instrText>
    </w:r>
    <w:r w:rsidRPr="007166CD">
      <w:rPr>
        <w:b/>
        <w:bCs/>
      </w:rPr>
      <w:fldChar w:fldCharType="separate"/>
    </w:r>
    <w:r w:rsidR="00C9335E">
      <w:rPr>
        <w:b/>
        <w:bCs/>
        <w:noProof/>
      </w:rPr>
      <w:t>ITU-R  S.2223</w:t>
    </w:r>
    <w:r w:rsidRPr="007166CD">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75" w:rsidRDefault="00E13875" w:rsidP="00B033C8">
    <w:pPr>
      <w:pStyle w:val="Header"/>
      <w:ind w:right="360" w:firstLine="360"/>
    </w:pPr>
    <w:r>
      <w:rPr>
        <w:noProof/>
        <w:lang w:val="en-US" w:eastAsia="zh-CN"/>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92060" cy="10753725"/>
          <wp:effectExtent l="19050" t="0" r="8890" b="0"/>
          <wp:wrapNone/>
          <wp:docPr id="10" name="Picture 10" descr="report_E_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port_E_2009"/>
                  <pic:cNvPicPr>
                    <a:picLocks noChangeAspect="1" noChangeArrowheads="1"/>
                  </pic:cNvPicPr>
                </pic:nvPicPr>
                <pic:blipFill>
                  <a:blip r:embed="rId1"/>
                  <a:srcRect/>
                  <a:stretch>
                    <a:fillRect/>
                  </a:stretch>
                </pic:blipFill>
                <pic:spPr bwMode="auto">
                  <a:xfrm>
                    <a:off x="0" y="0"/>
                    <a:ext cx="7592060" cy="1075372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D68" w:rsidRDefault="00A65BD0" w:rsidP="00E72DA9">
    <w:pPr>
      <w:pStyle w:val="Header"/>
      <w:jc w:val="left"/>
      <w:rPr>
        <w:lang w:val="en-US"/>
      </w:rPr>
    </w:pPr>
    <w:r>
      <w:rPr>
        <w:rStyle w:val="PageNumber"/>
        <w:b/>
        <w:bCs/>
      </w:rPr>
      <w:fldChar w:fldCharType="begin"/>
    </w:r>
    <w:r w:rsidR="00607D68">
      <w:rPr>
        <w:rStyle w:val="PageNumber"/>
        <w:b/>
        <w:bCs/>
        <w:lang w:val="en-US"/>
      </w:rPr>
      <w:instrText xml:space="preserve"> PAGE </w:instrText>
    </w:r>
    <w:r>
      <w:rPr>
        <w:rStyle w:val="PageNumber"/>
        <w:b/>
        <w:bCs/>
      </w:rPr>
      <w:fldChar w:fldCharType="separate"/>
    </w:r>
    <w:r w:rsidR="00C9335E">
      <w:rPr>
        <w:rStyle w:val="PageNumber"/>
        <w:b/>
        <w:bCs/>
        <w:noProof/>
        <w:lang w:val="en-US"/>
      </w:rPr>
      <w:t>2</w:t>
    </w:r>
    <w:r>
      <w:rPr>
        <w:rStyle w:val="PageNumber"/>
        <w:b/>
        <w:bCs/>
      </w:rPr>
      <w:fldChar w:fldCharType="end"/>
    </w:r>
    <w:r w:rsidR="00607D68">
      <w:rPr>
        <w:lang w:val="en-US"/>
      </w:rPr>
      <w:tab/>
    </w:r>
    <w:r w:rsidR="00C9335E">
      <w:fldChar w:fldCharType="begin"/>
    </w:r>
    <w:r w:rsidR="00C9335E">
      <w:instrText xml:space="preserve"> DOCPROPERTY "Header 2" \* MERGEFORMAT </w:instrText>
    </w:r>
    <w:r w:rsidR="00C9335E">
      <w:fldChar w:fldCharType="separate"/>
    </w:r>
    <w:r w:rsidR="00C9335E" w:rsidRPr="00C9335E">
      <w:rPr>
        <w:b/>
        <w:bCs/>
        <w:lang w:val="en-US"/>
      </w:rPr>
      <w:t xml:space="preserve">Rep. </w:t>
    </w:r>
    <w:r w:rsidR="00C9335E">
      <w:rPr>
        <w:b/>
        <w:bCs/>
        <w:lang w:val="en-US"/>
      </w:rPr>
      <w:fldChar w:fldCharType="end"/>
    </w:r>
    <w:r w:rsidR="00E72DA9" w:rsidRPr="006323E9">
      <w:rPr>
        <w:b/>
        <w:bCs/>
        <w:lang w:val="en-US"/>
      </w:rPr>
      <w:t xml:space="preserve"> </w:t>
    </w:r>
    <w:r w:rsidRPr="007166CD">
      <w:rPr>
        <w:b/>
        <w:bCs/>
      </w:rPr>
      <w:fldChar w:fldCharType="begin"/>
    </w:r>
    <w:r w:rsidR="00E72DA9" w:rsidRPr="007166CD">
      <w:rPr>
        <w:b/>
        <w:bCs/>
        <w:lang w:val="en-US"/>
      </w:rPr>
      <w:instrText>styleref href</w:instrText>
    </w:r>
    <w:r w:rsidRPr="007166CD">
      <w:rPr>
        <w:b/>
        <w:bCs/>
      </w:rPr>
      <w:fldChar w:fldCharType="separate"/>
    </w:r>
    <w:r w:rsidR="00C9335E">
      <w:rPr>
        <w:b/>
        <w:bCs/>
        <w:noProof/>
      </w:rPr>
      <w:t>ITU-R  S.2223</w:t>
    </w:r>
    <w:r w:rsidRPr="007166CD">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D68" w:rsidRDefault="00607D68" w:rsidP="00E72DA9">
    <w:pPr>
      <w:pStyle w:val="Header"/>
    </w:pPr>
    <w:r>
      <w:tab/>
    </w:r>
    <w:r w:rsidR="00C9335E">
      <w:fldChar w:fldCharType="begin"/>
    </w:r>
    <w:r w:rsidR="00C9335E">
      <w:instrText xml:space="preserve"> DOCPROPERTY "Header 2" \* MERGEFORMAT </w:instrText>
    </w:r>
    <w:r w:rsidR="00C9335E">
      <w:fldChar w:fldCharType="separate"/>
    </w:r>
    <w:r w:rsidR="00C9335E" w:rsidRPr="00C9335E">
      <w:rPr>
        <w:b/>
        <w:bCs/>
        <w:lang w:val="en-US"/>
      </w:rPr>
      <w:t xml:space="preserve">Rep. </w:t>
    </w:r>
    <w:r w:rsidR="00C9335E">
      <w:rPr>
        <w:b/>
        <w:bCs/>
        <w:lang w:val="en-US"/>
      </w:rPr>
      <w:fldChar w:fldCharType="end"/>
    </w:r>
    <w:r w:rsidR="00E72DA9" w:rsidRPr="006323E9">
      <w:rPr>
        <w:b/>
        <w:bCs/>
        <w:lang w:val="en-US"/>
      </w:rPr>
      <w:t xml:space="preserve"> </w:t>
    </w:r>
    <w:r w:rsidR="00A65BD0" w:rsidRPr="007166CD">
      <w:rPr>
        <w:b/>
        <w:bCs/>
      </w:rPr>
      <w:fldChar w:fldCharType="begin"/>
    </w:r>
    <w:r w:rsidR="00E72DA9" w:rsidRPr="007166CD">
      <w:rPr>
        <w:b/>
        <w:bCs/>
        <w:lang w:val="en-US"/>
      </w:rPr>
      <w:instrText>styleref href</w:instrText>
    </w:r>
    <w:r w:rsidR="00A65BD0" w:rsidRPr="007166CD">
      <w:rPr>
        <w:b/>
        <w:bCs/>
      </w:rPr>
      <w:fldChar w:fldCharType="separate"/>
    </w:r>
    <w:r w:rsidR="00C9335E">
      <w:rPr>
        <w:b/>
        <w:bCs/>
        <w:noProof/>
      </w:rPr>
      <w:t>ITU-R  S.2223</w:t>
    </w:r>
    <w:r w:rsidR="00A65BD0" w:rsidRPr="007166CD">
      <w:fldChar w:fldCharType="end"/>
    </w:r>
    <w:r>
      <w:tab/>
    </w:r>
    <w:r w:rsidR="00A65BD0">
      <w:rPr>
        <w:rStyle w:val="PageNumber"/>
        <w:b/>
        <w:bCs/>
      </w:rPr>
      <w:fldChar w:fldCharType="begin"/>
    </w:r>
    <w:r>
      <w:rPr>
        <w:rStyle w:val="PageNumber"/>
        <w:b/>
        <w:bCs/>
      </w:rPr>
      <w:instrText xml:space="preserve"> PAGE </w:instrText>
    </w:r>
    <w:r w:rsidR="00A65BD0">
      <w:rPr>
        <w:rStyle w:val="PageNumber"/>
        <w:b/>
        <w:bCs/>
      </w:rPr>
      <w:fldChar w:fldCharType="separate"/>
    </w:r>
    <w:r w:rsidR="00C9335E">
      <w:rPr>
        <w:rStyle w:val="PageNumber"/>
        <w:b/>
        <w:bCs/>
        <w:noProof/>
      </w:rPr>
      <w:t>1</w:t>
    </w:r>
    <w:r w:rsidR="00A65BD0">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13875"/>
    <w:rsid w:val="00217EBF"/>
    <w:rsid w:val="00242AEE"/>
    <w:rsid w:val="00285878"/>
    <w:rsid w:val="002D76C4"/>
    <w:rsid w:val="003B76CC"/>
    <w:rsid w:val="0052529D"/>
    <w:rsid w:val="00593902"/>
    <w:rsid w:val="00607D68"/>
    <w:rsid w:val="00612355"/>
    <w:rsid w:val="007468DA"/>
    <w:rsid w:val="009D735F"/>
    <w:rsid w:val="009E00A8"/>
    <w:rsid w:val="00A65BD0"/>
    <w:rsid w:val="00A6617B"/>
    <w:rsid w:val="00AB0DC8"/>
    <w:rsid w:val="00AD140F"/>
    <w:rsid w:val="00B44E24"/>
    <w:rsid w:val="00C9335E"/>
    <w:rsid w:val="00DA64DF"/>
    <w:rsid w:val="00DF4176"/>
    <w:rsid w:val="00E13875"/>
    <w:rsid w:val="00E72D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5BD0"/>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A65BD0"/>
    <w:pPr>
      <w:keepNext/>
      <w:keepLines/>
      <w:spacing w:before="480"/>
      <w:ind w:left="794" w:hanging="794"/>
      <w:outlineLvl w:val="0"/>
    </w:pPr>
    <w:rPr>
      <w:b/>
    </w:rPr>
  </w:style>
  <w:style w:type="paragraph" w:styleId="Heading2">
    <w:name w:val="heading 2"/>
    <w:basedOn w:val="Heading1"/>
    <w:next w:val="Normal"/>
    <w:qFormat/>
    <w:rsid w:val="00A65BD0"/>
    <w:pPr>
      <w:spacing w:before="320"/>
      <w:outlineLvl w:val="1"/>
    </w:pPr>
  </w:style>
  <w:style w:type="paragraph" w:styleId="Heading3">
    <w:name w:val="heading 3"/>
    <w:basedOn w:val="Heading1"/>
    <w:next w:val="Normal"/>
    <w:qFormat/>
    <w:rsid w:val="00A65BD0"/>
    <w:pPr>
      <w:spacing w:before="200"/>
      <w:outlineLvl w:val="2"/>
    </w:pPr>
  </w:style>
  <w:style w:type="paragraph" w:styleId="Heading4">
    <w:name w:val="heading 4"/>
    <w:basedOn w:val="Heading3"/>
    <w:next w:val="Normal"/>
    <w:qFormat/>
    <w:rsid w:val="00A65BD0"/>
    <w:pPr>
      <w:tabs>
        <w:tab w:val="clear" w:pos="794"/>
        <w:tab w:val="left" w:pos="992"/>
      </w:tabs>
      <w:ind w:left="992" w:hanging="992"/>
      <w:outlineLvl w:val="3"/>
    </w:pPr>
  </w:style>
  <w:style w:type="paragraph" w:styleId="Heading5">
    <w:name w:val="heading 5"/>
    <w:basedOn w:val="Heading4"/>
    <w:next w:val="Normal"/>
    <w:qFormat/>
    <w:rsid w:val="00A65BD0"/>
    <w:pPr>
      <w:outlineLvl w:val="4"/>
    </w:pPr>
  </w:style>
  <w:style w:type="paragraph" w:styleId="Heading6">
    <w:name w:val="heading 6"/>
    <w:basedOn w:val="Heading4"/>
    <w:next w:val="Normal"/>
    <w:qFormat/>
    <w:rsid w:val="00A65BD0"/>
    <w:pPr>
      <w:tabs>
        <w:tab w:val="clear" w:pos="992"/>
        <w:tab w:val="clear" w:pos="1191"/>
      </w:tabs>
      <w:ind w:left="1588" w:hanging="1588"/>
      <w:outlineLvl w:val="5"/>
    </w:pPr>
  </w:style>
  <w:style w:type="paragraph" w:styleId="Heading7">
    <w:name w:val="heading 7"/>
    <w:basedOn w:val="Heading6"/>
    <w:next w:val="Normal"/>
    <w:qFormat/>
    <w:rsid w:val="00A65BD0"/>
    <w:pPr>
      <w:outlineLvl w:val="6"/>
    </w:pPr>
  </w:style>
  <w:style w:type="paragraph" w:styleId="Heading8">
    <w:name w:val="heading 8"/>
    <w:basedOn w:val="Heading6"/>
    <w:next w:val="Normal"/>
    <w:qFormat/>
    <w:rsid w:val="00A65BD0"/>
    <w:pPr>
      <w:outlineLvl w:val="7"/>
    </w:pPr>
  </w:style>
  <w:style w:type="paragraph" w:styleId="Heading9">
    <w:name w:val="heading 9"/>
    <w:basedOn w:val="Heading6"/>
    <w:next w:val="Normal"/>
    <w:qFormat/>
    <w:rsid w:val="00A65BD0"/>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5BD0"/>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A65BD0"/>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65BD0"/>
  </w:style>
  <w:style w:type="paragraph" w:customStyle="1" w:styleId="Headingb">
    <w:name w:val="Heading_b"/>
    <w:basedOn w:val="Heading3"/>
    <w:next w:val="Normal"/>
    <w:rsid w:val="00A65BD0"/>
    <w:pPr>
      <w:spacing w:before="160"/>
      <w:ind w:left="0" w:firstLine="0"/>
      <w:outlineLvl w:val="9"/>
    </w:pPr>
  </w:style>
  <w:style w:type="paragraph" w:customStyle="1" w:styleId="Headingi">
    <w:name w:val="Heading_i"/>
    <w:basedOn w:val="Heading3"/>
    <w:next w:val="Normal"/>
    <w:rsid w:val="00A65BD0"/>
    <w:pPr>
      <w:spacing w:before="160"/>
      <w:ind w:left="0" w:firstLine="0"/>
    </w:pPr>
    <w:rPr>
      <w:b w:val="0"/>
      <w:i/>
    </w:rPr>
  </w:style>
  <w:style w:type="character" w:customStyle="1" w:styleId="href">
    <w:name w:val="href"/>
    <w:basedOn w:val="DefaultParagraphFont"/>
    <w:rsid w:val="00A65BD0"/>
  </w:style>
  <w:style w:type="paragraph" w:customStyle="1" w:styleId="enumlev1">
    <w:name w:val="enumlev1"/>
    <w:basedOn w:val="Normal"/>
    <w:rsid w:val="00A65BD0"/>
    <w:pPr>
      <w:spacing w:before="80"/>
      <w:ind w:left="794" w:hanging="794"/>
    </w:pPr>
  </w:style>
  <w:style w:type="paragraph" w:customStyle="1" w:styleId="enumlev2">
    <w:name w:val="enumlev2"/>
    <w:basedOn w:val="enumlev1"/>
    <w:rsid w:val="00A65BD0"/>
    <w:pPr>
      <w:ind w:left="1191" w:hanging="397"/>
    </w:pPr>
  </w:style>
  <w:style w:type="paragraph" w:customStyle="1" w:styleId="enumlev3">
    <w:name w:val="enumlev3"/>
    <w:basedOn w:val="enumlev2"/>
    <w:rsid w:val="00A65BD0"/>
    <w:pPr>
      <w:ind w:left="1588"/>
    </w:pPr>
  </w:style>
  <w:style w:type="paragraph" w:customStyle="1" w:styleId="Normalaftertitle">
    <w:name w:val="Normal_after_title"/>
    <w:basedOn w:val="Normal"/>
    <w:next w:val="Normal"/>
    <w:rsid w:val="00A65BD0"/>
    <w:pPr>
      <w:spacing w:before="320"/>
    </w:pPr>
  </w:style>
  <w:style w:type="paragraph" w:customStyle="1" w:styleId="Note">
    <w:name w:val="Note"/>
    <w:basedOn w:val="Normal"/>
    <w:rsid w:val="00A65BD0"/>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65BD0"/>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rsid w:val="00A65BD0"/>
    <w:pPr>
      <w:jc w:val="center"/>
    </w:pPr>
  </w:style>
  <w:style w:type="paragraph" w:customStyle="1" w:styleId="Recdate">
    <w:name w:val="Rec_date"/>
    <w:basedOn w:val="Recref"/>
    <w:next w:val="Normalaftertitle"/>
    <w:rsid w:val="00A65BD0"/>
    <w:pPr>
      <w:jc w:val="right"/>
    </w:pPr>
  </w:style>
  <w:style w:type="paragraph" w:customStyle="1" w:styleId="AnnexNoTitle">
    <w:name w:val="Annex_NoTitle"/>
    <w:basedOn w:val="Normal"/>
    <w:next w:val="Normalaftertitle"/>
    <w:rsid w:val="00A65BD0"/>
    <w:pPr>
      <w:keepNext/>
      <w:keepLines/>
      <w:spacing w:before="480" w:after="80"/>
      <w:jc w:val="center"/>
    </w:pPr>
    <w:rPr>
      <w:b/>
      <w:sz w:val="28"/>
    </w:rPr>
  </w:style>
  <w:style w:type="paragraph" w:customStyle="1" w:styleId="AppendixNoTitle">
    <w:name w:val="Appendix_NoTitle"/>
    <w:basedOn w:val="AnnexNoTitle"/>
    <w:next w:val="Normal"/>
    <w:rsid w:val="00A65BD0"/>
  </w:style>
  <w:style w:type="paragraph" w:customStyle="1" w:styleId="Tablefin">
    <w:name w:val="Table_fin"/>
    <w:basedOn w:val="Normal"/>
    <w:next w:val="Normal"/>
    <w:rsid w:val="00A65BD0"/>
    <w:pPr>
      <w:spacing w:before="0"/>
    </w:pPr>
    <w:rPr>
      <w:sz w:val="20"/>
      <w:lang w:val="en-GB"/>
    </w:rPr>
  </w:style>
  <w:style w:type="paragraph" w:customStyle="1" w:styleId="Tablehead">
    <w:name w:val="Table_head"/>
    <w:basedOn w:val="Normal"/>
    <w:next w:val="Normal"/>
    <w:rsid w:val="00A65BD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65BD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65BD0"/>
    <w:pPr>
      <w:keepNext/>
      <w:spacing w:before="360" w:after="120"/>
      <w:jc w:val="center"/>
    </w:pPr>
  </w:style>
  <w:style w:type="paragraph" w:customStyle="1" w:styleId="Tabletext">
    <w:name w:val="Table_text"/>
    <w:basedOn w:val="Normal"/>
    <w:rsid w:val="00A65BD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65BD0"/>
    <w:pPr>
      <w:tabs>
        <w:tab w:val="clear" w:pos="1191"/>
        <w:tab w:val="clear" w:pos="1588"/>
        <w:tab w:val="clear" w:pos="1985"/>
        <w:tab w:val="center" w:pos="4820"/>
        <w:tab w:val="right" w:pos="9639"/>
      </w:tabs>
    </w:pPr>
  </w:style>
  <w:style w:type="paragraph" w:customStyle="1" w:styleId="Equationlegend">
    <w:name w:val="Equation_legend"/>
    <w:basedOn w:val="NormalIndent"/>
    <w:rsid w:val="00A65BD0"/>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65BD0"/>
    <w:pPr>
      <w:ind w:left="794"/>
    </w:pPr>
  </w:style>
  <w:style w:type="paragraph" w:customStyle="1" w:styleId="Figurelegend">
    <w:name w:val="Figure_legend"/>
    <w:basedOn w:val="Normal"/>
    <w:rsid w:val="00A65BD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rsid w:val="00A65BD0"/>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65BD0"/>
    <w:pPr>
      <w:keepNext/>
      <w:keepLines/>
      <w:spacing w:before="480"/>
      <w:jc w:val="center"/>
    </w:pPr>
    <w:rPr>
      <w:sz w:val="28"/>
    </w:rPr>
  </w:style>
  <w:style w:type="paragraph" w:customStyle="1" w:styleId="Arttitle">
    <w:name w:val="Art_title"/>
    <w:basedOn w:val="Normal"/>
    <w:next w:val="Normalaftertitle"/>
    <w:rsid w:val="00A65BD0"/>
    <w:pPr>
      <w:keepNext/>
      <w:keepLines/>
      <w:spacing w:before="240"/>
      <w:jc w:val="center"/>
    </w:pPr>
    <w:rPr>
      <w:b/>
      <w:sz w:val="28"/>
    </w:rPr>
  </w:style>
  <w:style w:type="paragraph" w:customStyle="1" w:styleId="Blanc">
    <w:name w:val="Blanc"/>
    <w:basedOn w:val="Normal"/>
    <w:next w:val="Tabletext"/>
    <w:rsid w:val="00A65BD0"/>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65BD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A65BD0"/>
    <w:pPr>
      <w:keepNext/>
      <w:keepLines/>
      <w:spacing w:before="160"/>
      <w:ind w:left="794"/>
    </w:pPr>
    <w:rPr>
      <w:i/>
    </w:rPr>
  </w:style>
  <w:style w:type="paragraph" w:customStyle="1" w:styleId="ChapNo">
    <w:name w:val="Chap_No"/>
    <w:basedOn w:val="ArtNo"/>
    <w:next w:val="Chaptitle"/>
    <w:rsid w:val="00A65BD0"/>
    <w:rPr>
      <w:b/>
    </w:rPr>
  </w:style>
  <w:style w:type="paragraph" w:customStyle="1" w:styleId="Chaptitle">
    <w:name w:val="Chap_title"/>
    <w:basedOn w:val="Arttitle"/>
    <w:next w:val="Normalaftertitle"/>
    <w:rsid w:val="00A65BD0"/>
  </w:style>
  <w:style w:type="character" w:styleId="FootnoteReference">
    <w:name w:val="footnote reference"/>
    <w:basedOn w:val="DefaultParagraphFont"/>
    <w:semiHidden/>
    <w:rsid w:val="00A65BD0"/>
    <w:rPr>
      <w:position w:val="6"/>
      <w:sz w:val="18"/>
    </w:rPr>
  </w:style>
  <w:style w:type="paragraph" w:styleId="FootnoteText">
    <w:name w:val="footnote text"/>
    <w:basedOn w:val="Normal"/>
    <w:semiHidden/>
    <w:rsid w:val="00A65BD0"/>
    <w:pPr>
      <w:keepLines/>
      <w:tabs>
        <w:tab w:val="left" w:pos="255"/>
      </w:tabs>
      <w:ind w:left="255" w:hanging="255"/>
    </w:pPr>
    <w:rPr>
      <w:sz w:val="22"/>
    </w:rPr>
  </w:style>
  <w:style w:type="paragraph" w:styleId="Index1">
    <w:name w:val="index 1"/>
    <w:basedOn w:val="Normal"/>
    <w:next w:val="Normal"/>
    <w:semiHidden/>
    <w:rsid w:val="00A65BD0"/>
  </w:style>
  <w:style w:type="paragraph" w:styleId="Index2">
    <w:name w:val="index 2"/>
    <w:basedOn w:val="Normal"/>
    <w:next w:val="Normal"/>
    <w:semiHidden/>
    <w:rsid w:val="00A65BD0"/>
    <w:pPr>
      <w:ind w:left="283"/>
    </w:pPr>
  </w:style>
  <w:style w:type="paragraph" w:styleId="Index3">
    <w:name w:val="index 3"/>
    <w:basedOn w:val="Normal"/>
    <w:next w:val="Normal"/>
    <w:semiHidden/>
    <w:rsid w:val="00A65BD0"/>
    <w:pPr>
      <w:ind w:left="566"/>
    </w:pPr>
  </w:style>
  <w:style w:type="paragraph" w:styleId="IndexHeading">
    <w:name w:val="index heading"/>
    <w:basedOn w:val="Normal"/>
    <w:next w:val="Index1"/>
    <w:semiHidden/>
    <w:rsid w:val="00A65BD0"/>
  </w:style>
  <w:style w:type="paragraph" w:customStyle="1" w:styleId="Line">
    <w:name w:val="Line"/>
    <w:basedOn w:val="Normal"/>
    <w:next w:val="Normal"/>
    <w:rsid w:val="00A65BD0"/>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65BD0"/>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65BD0"/>
  </w:style>
  <w:style w:type="paragraph" w:customStyle="1" w:styleId="Partref">
    <w:name w:val="Part_ref"/>
    <w:basedOn w:val="Normal"/>
    <w:next w:val="Normal"/>
    <w:rsid w:val="00A65BD0"/>
    <w:pPr>
      <w:keepNext/>
      <w:keepLines/>
      <w:spacing w:after="280"/>
      <w:jc w:val="center"/>
    </w:pPr>
  </w:style>
  <w:style w:type="paragraph" w:customStyle="1" w:styleId="Parttitle">
    <w:name w:val="Part_title"/>
    <w:basedOn w:val="Normal"/>
    <w:next w:val="Normalaftertitle"/>
    <w:rsid w:val="00A65BD0"/>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65BD0"/>
  </w:style>
  <w:style w:type="paragraph" w:customStyle="1" w:styleId="QuestionNo">
    <w:name w:val="Question_No"/>
    <w:basedOn w:val="RecNo"/>
    <w:next w:val="Normal"/>
    <w:rsid w:val="00A65BD0"/>
  </w:style>
  <w:style w:type="paragraph" w:customStyle="1" w:styleId="Questionref">
    <w:name w:val="Question_ref"/>
    <w:basedOn w:val="Recref"/>
    <w:next w:val="Questiondate"/>
    <w:rsid w:val="00A65BD0"/>
  </w:style>
  <w:style w:type="paragraph" w:customStyle="1" w:styleId="Questiontitle">
    <w:name w:val="Question_title"/>
    <w:basedOn w:val="Normal"/>
    <w:next w:val="Questionref"/>
    <w:rsid w:val="00A65BD0"/>
  </w:style>
  <w:style w:type="paragraph" w:customStyle="1" w:styleId="Reftext">
    <w:name w:val="Ref_text"/>
    <w:basedOn w:val="Normal"/>
    <w:rsid w:val="00A65BD0"/>
    <w:pPr>
      <w:ind w:left="794" w:hanging="794"/>
    </w:pPr>
    <w:rPr>
      <w:sz w:val="22"/>
    </w:rPr>
  </w:style>
  <w:style w:type="paragraph" w:customStyle="1" w:styleId="Reftitle">
    <w:name w:val="Ref_title"/>
    <w:basedOn w:val="Normal"/>
    <w:next w:val="Reftext"/>
    <w:rsid w:val="00A65BD0"/>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65BD0"/>
  </w:style>
  <w:style w:type="paragraph" w:customStyle="1" w:styleId="RepNo">
    <w:name w:val="Rep_No"/>
    <w:basedOn w:val="RecNo"/>
    <w:next w:val="Reptitle"/>
    <w:rsid w:val="00A65BD0"/>
  </w:style>
  <w:style w:type="paragraph" w:customStyle="1" w:styleId="Repref">
    <w:name w:val="Rep_ref"/>
    <w:basedOn w:val="Recref"/>
    <w:next w:val="Repdate"/>
    <w:rsid w:val="00A65BD0"/>
  </w:style>
  <w:style w:type="paragraph" w:customStyle="1" w:styleId="Reptitle">
    <w:name w:val="Rep_title"/>
    <w:basedOn w:val="Rectitle"/>
    <w:next w:val="Repref"/>
    <w:rsid w:val="00A65BD0"/>
  </w:style>
  <w:style w:type="paragraph" w:customStyle="1" w:styleId="Resdate">
    <w:name w:val="Res_date"/>
    <w:basedOn w:val="Recdate"/>
    <w:next w:val="Normalaftertitle"/>
    <w:rsid w:val="00A65BD0"/>
  </w:style>
  <w:style w:type="paragraph" w:customStyle="1" w:styleId="ResNo">
    <w:name w:val="Res_No"/>
    <w:basedOn w:val="RecNo"/>
    <w:next w:val="Restitle"/>
    <w:rsid w:val="00A65BD0"/>
  </w:style>
  <w:style w:type="paragraph" w:customStyle="1" w:styleId="Resref">
    <w:name w:val="Res_ref"/>
    <w:basedOn w:val="Recref"/>
    <w:next w:val="Resdate"/>
    <w:rsid w:val="00A65BD0"/>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rsid w:val="00A65BD0"/>
  </w:style>
  <w:style w:type="paragraph" w:customStyle="1" w:styleId="Sectiontitle">
    <w:name w:val="Section_title"/>
    <w:basedOn w:val="Normal"/>
    <w:next w:val="Normalaftertitle"/>
    <w:rsid w:val="00A65BD0"/>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65BD0"/>
    <w:pPr>
      <w:tabs>
        <w:tab w:val="clear" w:pos="794"/>
        <w:tab w:val="clear" w:pos="1191"/>
        <w:tab w:val="clear" w:pos="1588"/>
        <w:tab w:val="clear" w:pos="1985"/>
        <w:tab w:val="right" w:pos="9611"/>
      </w:tabs>
    </w:pPr>
    <w:rPr>
      <w:i/>
    </w:rPr>
  </w:style>
  <w:style w:type="paragraph" w:styleId="TOC1">
    <w:name w:val="toc 1"/>
    <w:basedOn w:val="Normal"/>
    <w:uiPriority w:val="39"/>
    <w:rsid w:val="00A65BD0"/>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A65BD0"/>
    <w:pPr>
      <w:tabs>
        <w:tab w:val="clear" w:pos="567"/>
        <w:tab w:val="left" w:pos="1276"/>
      </w:tabs>
      <w:spacing w:before="160"/>
      <w:ind w:left="1276" w:hanging="709"/>
    </w:pPr>
  </w:style>
  <w:style w:type="paragraph" w:styleId="TOC3">
    <w:name w:val="toc 3"/>
    <w:basedOn w:val="TOC2"/>
    <w:semiHidden/>
    <w:rsid w:val="00A65BD0"/>
    <w:pPr>
      <w:tabs>
        <w:tab w:val="clear" w:pos="1276"/>
        <w:tab w:val="left" w:pos="2155"/>
      </w:tabs>
      <w:ind w:left="2155" w:hanging="879"/>
    </w:pPr>
  </w:style>
  <w:style w:type="paragraph" w:styleId="TOC4">
    <w:name w:val="toc 4"/>
    <w:basedOn w:val="TOC3"/>
    <w:semiHidden/>
    <w:rsid w:val="00A65BD0"/>
    <w:pPr>
      <w:tabs>
        <w:tab w:val="left" w:pos="3261"/>
      </w:tabs>
      <w:spacing w:before="80"/>
      <w:ind w:left="3261" w:hanging="993"/>
    </w:pPr>
  </w:style>
  <w:style w:type="paragraph" w:styleId="TOC5">
    <w:name w:val="toc 5"/>
    <w:basedOn w:val="TOC4"/>
    <w:semiHidden/>
    <w:rsid w:val="00A65BD0"/>
  </w:style>
  <w:style w:type="paragraph" w:styleId="TOC6">
    <w:name w:val="toc 6"/>
    <w:basedOn w:val="TOC4"/>
    <w:semiHidden/>
    <w:rsid w:val="00A65BD0"/>
  </w:style>
  <w:style w:type="paragraph" w:styleId="TOC7">
    <w:name w:val="toc 7"/>
    <w:basedOn w:val="TOC4"/>
    <w:semiHidden/>
    <w:rsid w:val="00A65BD0"/>
  </w:style>
  <w:style w:type="paragraph" w:styleId="TOC8">
    <w:name w:val="toc 8"/>
    <w:basedOn w:val="TOC4"/>
    <w:semiHidden/>
    <w:rsid w:val="00A65BD0"/>
  </w:style>
  <w:style w:type="paragraph" w:customStyle="1" w:styleId="Rectitle">
    <w:name w:val="Rec_title"/>
    <w:basedOn w:val="Normal"/>
    <w:next w:val="Recref"/>
    <w:rsid w:val="00A65BD0"/>
    <w:pPr>
      <w:keepNext/>
      <w:keepLines/>
      <w:spacing w:before="240"/>
      <w:jc w:val="center"/>
    </w:pPr>
    <w:rPr>
      <w:b/>
      <w:sz w:val="28"/>
    </w:rPr>
  </w:style>
  <w:style w:type="paragraph" w:customStyle="1" w:styleId="Annexref">
    <w:name w:val="Annex_ref"/>
    <w:basedOn w:val="Normal"/>
    <w:next w:val="Normalaftertitle"/>
    <w:rsid w:val="00A65BD0"/>
    <w:pPr>
      <w:keepNext/>
      <w:keepLines/>
      <w:spacing w:after="280"/>
      <w:jc w:val="center"/>
    </w:pPr>
  </w:style>
  <w:style w:type="paragraph" w:customStyle="1" w:styleId="Appendixref">
    <w:name w:val="Appendix_ref"/>
    <w:basedOn w:val="Annexref"/>
    <w:next w:val="Normalaftertitle"/>
    <w:rsid w:val="00A65BD0"/>
  </w:style>
  <w:style w:type="paragraph" w:customStyle="1" w:styleId="Figuretitle">
    <w:name w:val="Figure_title"/>
    <w:basedOn w:val="Normal"/>
    <w:next w:val="Figure"/>
    <w:rsid w:val="00A65BD0"/>
    <w:pPr>
      <w:keepNext/>
      <w:spacing w:before="0" w:after="120"/>
      <w:jc w:val="center"/>
    </w:pPr>
    <w:rPr>
      <w:rFonts w:ascii="Times New Roman Bold" w:hAnsi="Times New Roman Bold"/>
      <w:b/>
      <w:sz w:val="18"/>
    </w:rPr>
  </w:style>
  <w:style w:type="paragraph" w:customStyle="1" w:styleId="Tabletitle">
    <w:name w:val="Table_title"/>
    <w:basedOn w:val="Normal"/>
    <w:next w:val="Tablehead"/>
    <w:rsid w:val="00A65BD0"/>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styleId="Hyperlink">
    <w:name w:val="Hyperlink"/>
    <w:basedOn w:val="DefaultParagraphFont"/>
    <w:uiPriority w:val="99"/>
    <w:rsid w:val="00E13875"/>
    <w:rPr>
      <w:color w:val="0000FF"/>
      <w:u w:val="single"/>
    </w:rPr>
  </w:style>
  <w:style w:type="paragraph" w:customStyle="1" w:styleId="Normalaftertitle0">
    <w:name w:val="Normal after title"/>
    <w:basedOn w:val="Normal"/>
    <w:next w:val="Normal"/>
    <w:rsid w:val="00E13875"/>
    <w:pPr>
      <w:tabs>
        <w:tab w:val="clear" w:pos="794"/>
        <w:tab w:val="clear" w:pos="1191"/>
        <w:tab w:val="clear" w:pos="1588"/>
        <w:tab w:val="clear" w:pos="1985"/>
        <w:tab w:val="left" w:pos="1134"/>
        <w:tab w:val="left" w:pos="1871"/>
        <w:tab w:val="left" w:pos="2268"/>
      </w:tabs>
      <w:spacing w:before="280"/>
      <w:jc w:val="left"/>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uiPriority w:val="39"/>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styleId="Hyperlink">
    <w:name w:val="Hyperlink"/>
    <w:basedOn w:val="DefaultParagraphFont"/>
    <w:uiPriority w:val="99"/>
    <w:rsid w:val="00E13875"/>
    <w:rPr>
      <w:color w:val="0000FF"/>
      <w:u w:val="single"/>
    </w:rPr>
  </w:style>
  <w:style w:type="paragraph" w:customStyle="1" w:styleId="Normalaftertitle0">
    <w:name w:val="Normal after title"/>
    <w:basedOn w:val="Normal"/>
    <w:next w:val="Normal"/>
    <w:rsid w:val="00E13875"/>
    <w:pPr>
      <w:tabs>
        <w:tab w:val="clear" w:pos="794"/>
        <w:tab w:val="clear" w:pos="1191"/>
        <w:tab w:val="clear" w:pos="1588"/>
        <w:tab w:val="clear" w:pos="1985"/>
        <w:tab w:val="left" w:pos="1134"/>
        <w:tab w:val="left" w:pos="1871"/>
        <w:tab w:val="left" w:pos="2268"/>
      </w:tabs>
      <w:spacing w:before="280"/>
      <w:jc w:val="left"/>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publ/R-REP/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ITU-R/go/patents/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riste\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32F7C-5C12-4C49-B73B-EA380BB8C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22</TotalTime>
  <Pages>6</Pages>
  <Words>1981</Words>
  <Characters>11844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13798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christe</dc:creator>
  <cp:keywords/>
  <dc:description/>
  <cp:lastModifiedBy>christe</cp:lastModifiedBy>
  <cp:revision>10</cp:revision>
  <cp:lastPrinted>2011-10-12T08:51:00Z</cp:lastPrinted>
  <dcterms:created xsi:type="dcterms:W3CDTF">2011-10-12T07:36:00Z</dcterms:created>
  <dcterms:modified xsi:type="dcterms:W3CDTF">2011-10-13T07:08:00Z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