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CB75BD" w:rsidRDefault="00FE79FE">
      <w:pPr>
        <w:rPr>
          <w:lang w:val="en-GB"/>
        </w:rPr>
      </w:pPr>
    </w:p>
    <w:p w:rsidR="00FE79FE" w:rsidRPr="00CB75BD" w:rsidRDefault="00FE79FE">
      <w:pPr>
        <w:rPr>
          <w:lang w:val="en-GB"/>
        </w:rPr>
      </w:pPr>
    </w:p>
    <w:p w:rsidR="00FE79FE" w:rsidRPr="00CB75BD" w:rsidRDefault="00FE79FE">
      <w:pPr>
        <w:rPr>
          <w:lang w:val="en-GB"/>
        </w:rPr>
      </w:pPr>
    </w:p>
    <w:p w:rsidR="00FE79FE" w:rsidRPr="00CB75BD" w:rsidRDefault="00FE79FE">
      <w:pPr>
        <w:rPr>
          <w:lang w:val="en-GB"/>
        </w:rPr>
      </w:pPr>
    </w:p>
    <w:p w:rsidR="00FE79FE" w:rsidRPr="00CB75BD" w:rsidRDefault="00FE79FE">
      <w:pPr>
        <w:rPr>
          <w:lang w:val="en-GB"/>
        </w:rPr>
      </w:pPr>
    </w:p>
    <w:p w:rsidR="00013002" w:rsidRPr="00CB75BD" w:rsidRDefault="00013002">
      <w:pPr>
        <w:rPr>
          <w:lang w:val="en-GB"/>
        </w:rPr>
      </w:pPr>
    </w:p>
    <w:p w:rsidR="00013002" w:rsidRPr="00CB75BD" w:rsidRDefault="00013002">
      <w:pPr>
        <w:rPr>
          <w:lang w:val="en-GB"/>
        </w:rPr>
      </w:pPr>
    </w:p>
    <w:p w:rsidR="00013002" w:rsidRPr="00CB75BD" w:rsidRDefault="00013002">
      <w:pPr>
        <w:rPr>
          <w:lang w:val="en-GB"/>
        </w:rPr>
      </w:pPr>
    </w:p>
    <w:p w:rsidR="00FE79FE" w:rsidRPr="00CB75BD" w:rsidRDefault="00FE79FE">
      <w:pPr>
        <w:rPr>
          <w:lang w:val="en-GB"/>
        </w:rPr>
      </w:pPr>
    </w:p>
    <w:p w:rsidR="00FE79FE" w:rsidRPr="00CB75BD" w:rsidRDefault="00FE79FE">
      <w:pPr>
        <w:rPr>
          <w:lang w:val="en-GB"/>
        </w:rPr>
      </w:pPr>
    </w:p>
    <w:p w:rsidR="00FE79FE" w:rsidRPr="00CB75BD" w:rsidRDefault="00FE79FE">
      <w:pPr>
        <w:rPr>
          <w:lang w:val="en-GB"/>
        </w:rPr>
      </w:pPr>
    </w:p>
    <w:p w:rsidR="00FE79FE" w:rsidRPr="00CB75BD" w:rsidRDefault="00FE79FE">
      <w:pPr>
        <w:rPr>
          <w:lang w:val="en-GB"/>
        </w:rPr>
      </w:pPr>
    </w:p>
    <w:tbl>
      <w:tblPr>
        <w:tblW w:w="10089" w:type="dxa"/>
        <w:tblLook w:val="01E0" w:firstRow="1" w:lastRow="1" w:firstColumn="1" w:lastColumn="1" w:noHBand="0" w:noVBand="0"/>
      </w:tblPr>
      <w:tblGrid>
        <w:gridCol w:w="10089"/>
      </w:tblGrid>
      <w:tr w:rsidR="00FE79FE" w:rsidRPr="00CB75BD" w:rsidTr="00517190">
        <w:tc>
          <w:tcPr>
            <w:tcW w:w="10089" w:type="dxa"/>
          </w:tcPr>
          <w:p w:rsidR="00276D21" w:rsidRPr="00CB75BD" w:rsidRDefault="00D73FBE" w:rsidP="00517190">
            <w:pPr>
              <w:spacing w:before="380" w:line="280" w:lineRule="exact"/>
              <w:jc w:val="right"/>
              <w:rPr>
                <w:rFonts w:ascii="Tahoma" w:hAnsi="Tahoma" w:cs="Tahoma"/>
                <w:b/>
                <w:bCs/>
                <w:iCs/>
                <w:color w:val="509141"/>
                <w:sz w:val="32"/>
                <w:szCs w:val="32"/>
                <w:lang w:val="en-GB"/>
              </w:rPr>
            </w:pPr>
            <w:r w:rsidRPr="00CB75BD">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8" o:title=""/>
                </v:shape>
                <o:OLEObject Type="Embed" ProgID="Equation.3" ShapeID="_x0000_i1025" DrawAspect="Content" ObjectID="_1625486843" r:id="rId9"/>
              </w:object>
            </w:r>
          </w:p>
          <w:p w:rsidR="00FE79FE" w:rsidRPr="00CB75BD" w:rsidRDefault="00FE79FE" w:rsidP="006612E7">
            <w:pPr>
              <w:spacing w:before="380" w:line="280" w:lineRule="exact"/>
              <w:jc w:val="right"/>
              <w:rPr>
                <w:rFonts w:ascii="Tahoma" w:hAnsi="Tahoma" w:cs="Tahoma"/>
                <w:b/>
                <w:bCs/>
                <w:iCs/>
                <w:color w:val="509141"/>
                <w:sz w:val="36"/>
                <w:szCs w:val="36"/>
                <w:lang w:val="en-GB"/>
              </w:rPr>
            </w:pPr>
            <w:r w:rsidRPr="00CB75BD">
              <w:rPr>
                <w:rFonts w:ascii="Tahoma" w:hAnsi="Tahoma" w:cs="Tahoma"/>
                <w:b/>
                <w:bCs/>
                <w:iCs/>
                <w:color w:val="509141"/>
                <w:sz w:val="36"/>
                <w:szCs w:val="36"/>
                <w:lang w:val="en-GB"/>
              </w:rPr>
              <w:t>R</w:t>
            </w:r>
            <w:r w:rsidR="00526063" w:rsidRPr="00CB75BD">
              <w:rPr>
                <w:rFonts w:ascii="Tahoma" w:hAnsi="Tahoma" w:cs="Tahoma"/>
                <w:b/>
                <w:bCs/>
                <w:iCs/>
                <w:color w:val="509141"/>
                <w:sz w:val="36"/>
                <w:szCs w:val="36"/>
                <w:lang w:val="en-GB"/>
              </w:rPr>
              <w:t>eport</w:t>
            </w:r>
            <w:r w:rsidRPr="00CB75BD">
              <w:rPr>
                <w:rFonts w:ascii="Tahoma" w:hAnsi="Tahoma" w:cs="Tahoma"/>
                <w:b/>
                <w:bCs/>
                <w:iCs/>
                <w:color w:val="509141"/>
                <w:sz w:val="36"/>
                <w:szCs w:val="36"/>
                <w:lang w:val="en-GB"/>
              </w:rPr>
              <w:t xml:space="preserve">  ITU-R  </w:t>
            </w:r>
            <w:r w:rsidR="002D77AF" w:rsidRPr="00CB75BD">
              <w:rPr>
                <w:rFonts w:ascii="Tahoma" w:hAnsi="Tahoma" w:cs="Tahoma"/>
                <w:b/>
                <w:bCs/>
                <w:iCs/>
                <w:color w:val="509141"/>
                <w:sz w:val="36"/>
                <w:szCs w:val="36"/>
                <w:lang w:val="en-GB"/>
              </w:rPr>
              <w:t>R</w:t>
            </w:r>
            <w:r w:rsidR="003B4EE8" w:rsidRPr="00CB75BD">
              <w:rPr>
                <w:rFonts w:ascii="Tahoma" w:hAnsi="Tahoma" w:cs="Tahoma"/>
                <w:b/>
                <w:bCs/>
                <w:iCs/>
                <w:color w:val="509141"/>
                <w:sz w:val="36"/>
                <w:szCs w:val="36"/>
                <w:lang w:val="en-GB"/>
              </w:rPr>
              <w:t>S</w:t>
            </w:r>
            <w:r w:rsidRPr="00CB75BD">
              <w:rPr>
                <w:rFonts w:ascii="Tahoma" w:hAnsi="Tahoma" w:cs="Tahoma"/>
                <w:b/>
                <w:bCs/>
                <w:iCs/>
                <w:color w:val="509141"/>
                <w:sz w:val="36"/>
                <w:szCs w:val="36"/>
                <w:lang w:val="en-GB"/>
              </w:rPr>
              <w:t>.</w:t>
            </w:r>
            <w:r w:rsidR="006612E7" w:rsidRPr="00CB75BD">
              <w:rPr>
                <w:rFonts w:ascii="Tahoma" w:hAnsi="Tahoma" w:cs="Tahoma"/>
                <w:b/>
                <w:bCs/>
                <w:iCs/>
                <w:color w:val="509141"/>
                <w:sz w:val="36"/>
                <w:szCs w:val="36"/>
                <w:lang w:val="en-GB"/>
              </w:rPr>
              <w:t>2455-0</w:t>
            </w:r>
          </w:p>
          <w:p w:rsidR="00FE79FE" w:rsidRPr="00CB75BD" w:rsidRDefault="00FE79FE" w:rsidP="006612E7">
            <w:pPr>
              <w:spacing w:before="80" w:line="280" w:lineRule="exact"/>
              <w:jc w:val="right"/>
              <w:rPr>
                <w:rFonts w:ascii="Tahoma" w:hAnsi="Tahoma" w:cs="Tahoma"/>
                <w:iCs/>
                <w:color w:val="509141"/>
                <w:szCs w:val="24"/>
                <w:lang w:val="en-GB"/>
              </w:rPr>
            </w:pPr>
            <w:r w:rsidRPr="00CB75BD">
              <w:rPr>
                <w:rFonts w:ascii="Tahoma" w:hAnsi="Tahoma" w:cs="Tahoma"/>
                <w:b/>
                <w:bCs/>
                <w:iCs/>
                <w:color w:val="509141"/>
                <w:szCs w:val="24"/>
                <w:lang w:val="en-GB"/>
              </w:rPr>
              <w:t>(</w:t>
            </w:r>
            <w:r w:rsidR="00CB60A4" w:rsidRPr="00CB75BD">
              <w:rPr>
                <w:rFonts w:ascii="Tahoma" w:hAnsi="Tahoma" w:cs="Tahoma"/>
                <w:b/>
                <w:bCs/>
                <w:iCs/>
                <w:color w:val="509141"/>
                <w:szCs w:val="24"/>
                <w:lang w:val="en-GB"/>
              </w:rPr>
              <w:t>0</w:t>
            </w:r>
            <w:r w:rsidR="006612E7" w:rsidRPr="00CB75BD">
              <w:rPr>
                <w:rFonts w:ascii="Tahoma" w:hAnsi="Tahoma" w:cs="Tahoma"/>
                <w:b/>
                <w:bCs/>
                <w:iCs/>
                <w:color w:val="509141"/>
                <w:szCs w:val="24"/>
                <w:lang w:val="en-GB"/>
              </w:rPr>
              <w:t>6</w:t>
            </w:r>
            <w:r w:rsidRPr="00CB75BD">
              <w:rPr>
                <w:rFonts w:ascii="Tahoma" w:hAnsi="Tahoma" w:cs="Tahoma"/>
                <w:b/>
                <w:bCs/>
                <w:iCs/>
                <w:color w:val="509141"/>
                <w:szCs w:val="24"/>
                <w:lang w:val="en-GB"/>
              </w:rPr>
              <w:t>/</w:t>
            </w:r>
            <w:r w:rsidR="006612E7" w:rsidRPr="00CB75BD">
              <w:rPr>
                <w:rFonts w:ascii="Tahoma" w:hAnsi="Tahoma" w:cs="Tahoma"/>
                <w:b/>
                <w:bCs/>
                <w:iCs/>
                <w:color w:val="509141"/>
                <w:szCs w:val="24"/>
                <w:lang w:val="en-GB"/>
              </w:rPr>
              <w:t>2019</w:t>
            </w:r>
            <w:r w:rsidRPr="00CB75BD">
              <w:rPr>
                <w:rFonts w:ascii="Tahoma" w:hAnsi="Tahoma" w:cs="Tahoma"/>
                <w:b/>
                <w:bCs/>
                <w:iCs/>
                <w:color w:val="509141"/>
                <w:szCs w:val="24"/>
                <w:lang w:val="en-GB"/>
              </w:rPr>
              <w:t>)</w:t>
            </w:r>
          </w:p>
        </w:tc>
      </w:tr>
      <w:tr w:rsidR="00FE79FE" w:rsidRPr="00CB75BD" w:rsidTr="00517190">
        <w:tc>
          <w:tcPr>
            <w:tcW w:w="10089" w:type="dxa"/>
          </w:tcPr>
          <w:p w:rsidR="00013002" w:rsidRPr="00CB75BD" w:rsidRDefault="00013002" w:rsidP="00517190">
            <w:pPr>
              <w:spacing w:before="80" w:line="500" w:lineRule="exact"/>
              <w:jc w:val="right"/>
              <w:rPr>
                <w:rFonts w:ascii="Tahoma" w:hAnsi="Tahoma" w:cs="Tahoma"/>
                <w:b/>
                <w:bCs/>
                <w:iCs/>
                <w:color w:val="509141"/>
                <w:sz w:val="44"/>
                <w:szCs w:val="44"/>
                <w:lang w:val="en-GB"/>
              </w:rPr>
            </w:pPr>
          </w:p>
          <w:p w:rsidR="00D8150A" w:rsidRPr="00CB75BD" w:rsidRDefault="006612E7" w:rsidP="006612E7">
            <w:pPr>
              <w:spacing w:before="80" w:line="500" w:lineRule="exact"/>
              <w:jc w:val="right"/>
              <w:rPr>
                <w:rFonts w:ascii="Tahoma" w:hAnsi="Tahoma" w:cs="Tahoma"/>
                <w:b/>
                <w:bCs/>
                <w:iCs/>
                <w:color w:val="509141"/>
                <w:sz w:val="44"/>
                <w:szCs w:val="44"/>
                <w:lang w:val="en-GB"/>
              </w:rPr>
            </w:pPr>
            <w:r w:rsidRPr="00CB75BD">
              <w:rPr>
                <w:rFonts w:ascii="Tahoma" w:hAnsi="Tahoma" w:cs="Tahoma"/>
                <w:b/>
                <w:bCs/>
                <w:iCs/>
                <w:color w:val="509141"/>
                <w:sz w:val="44"/>
                <w:szCs w:val="44"/>
                <w:lang w:val="en-GB"/>
              </w:rPr>
              <w:t>Preliminary results of sharing studies between a 45 MHz radar sounder and incumbent fixed, mobile, broadcasting and space research services operating in the</w:t>
            </w:r>
            <w:r w:rsidRPr="00CB75BD">
              <w:rPr>
                <w:rFonts w:ascii="Tahoma" w:hAnsi="Tahoma" w:cs="Tahoma"/>
                <w:b/>
                <w:bCs/>
                <w:iCs/>
                <w:color w:val="509141"/>
                <w:sz w:val="44"/>
                <w:szCs w:val="44"/>
                <w:lang w:val="en-GB"/>
              </w:rPr>
              <w:br/>
              <w:t xml:space="preserve">40-50 MHz frequency range </w:t>
            </w:r>
          </w:p>
          <w:p w:rsidR="00FE79FE" w:rsidRPr="00CB75BD" w:rsidRDefault="00AD26B8" w:rsidP="00517190">
            <w:pPr>
              <w:spacing w:before="80" w:line="500" w:lineRule="exact"/>
              <w:jc w:val="right"/>
              <w:rPr>
                <w:rFonts w:ascii="Tahoma" w:hAnsi="Tahoma" w:cs="Tahoma"/>
                <w:b/>
                <w:bCs/>
                <w:iCs/>
                <w:color w:val="509141"/>
                <w:sz w:val="44"/>
                <w:szCs w:val="44"/>
                <w:lang w:val="en-GB"/>
              </w:rPr>
            </w:pPr>
            <w:r w:rsidRPr="00CB75BD">
              <w:rPr>
                <w:rFonts w:ascii="Tahoma" w:hAnsi="Tahoma" w:cs="Tahoma"/>
                <w:b/>
                <w:bCs/>
                <w:iCs/>
                <w:color w:val="509141"/>
                <w:sz w:val="44"/>
                <w:szCs w:val="44"/>
                <w:lang w:val="en-GB"/>
              </w:rPr>
              <w:t xml:space="preserve">  </w:t>
            </w:r>
          </w:p>
        </w:tc>
      </w:tr>
      <w:tr w:rsidR="00FE79FE" w:rsidRPr="00CB75BD" w:rsidTr="00517190">
        <w:tc>
          <w:tcPr>
            <w:tcW w:w="10089" w:type="dxa"/>
          </w:tcPr>
          <w:p w:rsidR="007B203C" w:rsidRPr="00CB75BD" w:rsidRDefault="007B203C" w:rsidP="00517190">
            <w:pPr>
              <w:spacing w:before="80" w:line="280" w:lineRule="exact"/>
              <w:ind w:right="640"/>
              <w:rPr>
                <w:rFonts w:ascii="Tahoma" w:hAnsi="Tahoma" w:cs="Tahoma"/>
                <w:b/>
                <w:bCs/>
                <w:iCs/>
                <w:color w:val="243285"/>
                <w:sz w:val="32"/>
                <w:szCs w:val="32"/>
                <w:lang w:val="en-GB"/>
              </w:rPr>
            </w:pPr>
          </w:p>
          <w:p w:rsidR="007B203C" w:rsidRPr="00CB75BD" w:rsidRDefault="007B203C" w:rsidP="00517190">
            <w:pPr>
              <w:spacing w:before="80" w:line="280" w:lineRule="exact"/>
              <w:ind w:right="640"/>
              <w:rPr>
                <w:rFonts w:ascii="Tahoma" w:hAnsi="Tahoma" w:cs="Tahoma"/>
                <w:b/>
                <w:bCs/>
                <w:iCs/>
                <w:color w:val="243285"/>
                <w:sz w:val="32"/>
                <w:szCs w:val="32"/>
                <w:lang w:val="en-GB"/>
              </w:rPr>
            </w:pPr>
          </w:p>
          <w:p w:rsidR="007B203C" w:rsidRPr="00CB75BD" w:rsidRDefault="007B203C" w:rsidP="00517190">
            <w:pPr>
              <w:spacing w:before="80" w:line="280" w:lineRule="exact"/>
              <w:ind w:right="640"/>
              <w:rPr>
                <w:rFonts w:ascii="Tahoma" w:hAnsi="Tahoma" w:cs="Tahoma"/>
                <w:b/>
                <w:bCs/>
                <w:iCs/>
                <w:color w:val="243285"/>
                <w:sz w:val="32"/>
                <w:szCs w:val="32"/>
                <w:lang w:val="en-GB"/>
              </w:rPr>
            </w:pPr>
          </w:p>
          <w:p w:rsidR="007B203C" w:rsidRPr="00CB75BD" w:rsidRDefault="007B203C" w:rsidP="00517190">
            <w:pPr>
              <w:spacing w:before="80" w:after="180" w:line="360" w:lineRule="exact"/>
              <w:jc w:val="right"/>
              <w:rPr>
                <w:rFonts w:ascii="Tahoma" w:hAnsi="Tahoma" w:cs="Tahoma"/>
                <w:b/>
                <w:bCs/>
                <w:iCs/>
                <w:color w:val="243285"/>
                <w:sz w:val="36"/>
                <w:szCs w:val="36"/>
                <w:lang w:val="en-GB"/>
              </w:rPr>
            </w:pPr>
          </w:p>
          <w:p w:rsidR="00013002" w:rsidRPr="00CB75BD" w:rsidRDefault="002D77AF" w:rsidP="00517190">
            <w:pPr>
              <w:spacing w:before="80" w:after="180" w:line="360" w:lineRule="exact"/>
              <w:jc w:val="right"/>
              <w:rPr>
                <w:rFonts w:ascii="Tahoma" w:hAnsi="Tahoma" w:cs="Tahoma"/>
                <w:b/>
                <w:bCs/>
                <w:iCs/>
                <w:color w:val="509141"/>
                <w:sz w:val="36"/>
                <w:szCs w:val="36"/>
                <w:lang w:val="en-GB"/>
              </w:rPr>
            </w:pPr>
            <w:r w:rsidRPr="00CB75BD">
              <w:rPr>
                <w:rFonts w:ascii="Tahoma" w:hAnsi="Tahoma" w:cs="Tahoma"/>
                <w:b/>
                <w:bCs/>
                <w:iCs/>
                <w:color w:val="509141"/>
                <w:sz w:val="36"/>
                <w:szCs w:val="36"/>
                <w:lang w:val="en-GB"/>
              </w:rPr>
              <w:t>R</w:t>
            </w:r>
            <w:r w:rsidR="003B4EE8" w:rsidRPr="00CB75BD">
              <w:rPr>
                <w:rFonts w:ascii="Tahoma" w:hAnsi="Tahoma" w:cs="Tahoma"/>
                <w:b/>
                <w:bCs/>
                <w:iCs/>
                <w:color w:val="509141"/>
                <w:sz w:val="36"/>
                <w:szCs w:val="36"/>
                <w:lang w:val="en-GB"/>
              </w:rPr>
              <w:t>S</w:t>
            </w:r>
            <w:r w:rsidR="00FE79FE" w:rsidRPr="00CB75BD">
              <w:rPr>
                <w:rFonts w:ascii="Tahoma" w:hAnsi="Tahoma" w:cs="Tahoma"/>
                <w:b/>
                <w:bCs/>
                <w:iCs/>
                <w:color w:val="509141"/>
                <w:sz w:val="36"/>
                <w:szCs w:val="36"/>
                <w:lang w:val="en-GB"/>
              </w:rPr>
              <w:t xml:space="preserve"> Series</w:t>
            </w:r>
          </w:p>
          <w:p w:rsidR="00FE79FE" w:rsidRPr="00CB75BD" w:rsidRDefault="002D77AF" w:rsidP="00517190">
            <w:pPr>
              <w:spacing w:before="80" w:line="420" w:lineRule="exact"/>
              <w:jc w:val="right"/>
              <w:rPr>
                <w:rFonts w:ascii="Tahoma" w:hAnsi="Tahoma" w:cs="Tahoma"/>
                <w:b/>
                <w:bCs/>
                <w:iCs/>
                <w:color w:val="509141"/>
                <w:sz w:val="36"/>
                <w:szCs w:val="36"/>
                <w:lang w:val="en-GB"/>
              </w:rPr>
            </w:pPr>
            <w:r w:rsidRPr="00CB75BD">
              <w:rPr>
                <w:rFonts w:ascii="Tahoma" w:hAnsi="Tahoma" w:cs="Tahoma"/>
                <w:b/>
                <w:bCs/>
                <w:iCs/>
                <w:color w:val="509141"/>
                <w:sz w:val="36"/>
                <w:szCs w:val="36"/>
                <w:lang w:val="en-GB"/>
              </w:rPr>
              <w:t>R</w:t>
            </w:r>
            <w:r w:rsidR="003B4EE8" w:rsidRPr="00CB75BD">
              <w:rPr>
                <w:rFonts w:ascii="Tahoma" w:hAnsi="Tahoma" w:cs="Tahoma"/>
                <w:b/>
                <w:bCs/>
                <w:iCs/>
                <w:color w:val="509141"/>
                <w:sz w:val="36"/>
                <w:szCs w:val="36"/>
                <w:lang w:val="en-GB"/>
              </w:rPr>
              <w:t>emote sensing systems</w:t>
            </w:r>
          </w:p>
        </w:tc>
      </w:tr>
    </w:tbl>
    <w:p w:rsidR="00A71FE5" w:rsidRPr="00CB75BD" w:rsidRDefault="00A71FE5" w:rsidP="00CD659B">
      <w:pPr>
        <w:spacing w:before="80"/>
        <w:rPr>
          <w:i/>
          <w:sz w:val="22"/>
          <w:lang w:val="en-GB"/>
        </w:rPr>
      </w:pPr>
    </w:p>
    <w:p w:rsidR="00FE79FE" w:rsidRPr="00CB75BD" w:rsidRDefault="00FE79FE" w:rsidP="00CD659B">
      <w:pPr>
        <w:spacing w:before="80"/>
        <w:rPr>
          <w:i/>
          <w:sz w:val="22"/>
          <w:lang w:val="en-GB"/>
        </w:rPr>
      </w:pPr>
    </w:p>
    <w:p w:rsidR="00FE79FE" w:rsidRPr="00CB75BD" w:rsidRDefault="00FE79FE" w:rsidP="00CD659B">
      <w:pPr>
        <w:spacing w:before="80"/>
        <w:rPr>
          <w:i/>
          <w:sz w:val="22"/>
          <w:lang w:val="en-GB"/>
        </w:rPr>
      </w:pPr>
    </w:p>
    <w:p w:rsidR="00FE79FE" w:rsidRPr="00CB75BD" w:rsidRDefault="00FE79FE" w:rsidP="00CD659B">
      <w:pPr>
        <w:spacing w:before="80"/>
        <w:rPr>
          <w:i/>
          <w:sz w:val="22"/>
          <w:lang w:val="en-GB"/>
        </w:rPr>
      </w:pPr>
    </w:p>
    <w:p w:rsidR="00FE79FE" w:rsidRPr="00CB75BD" w:rsidRDefault="00FE79FE" w:rsidP="00CD659B">
      <w:pPr>
        <w:spacing w:before="80"/>
        <w:rPr>
          <w:i/>
          <w:sz w:val="22"/>
          <w:lang w:val="en-GB"/>
        </w:rPr>
      </w:pPr>
    </w:p>
    <w:p w:rsidR="00A71FE5" w:rsidRPr="00CB75BD" w:rsidRDefault="00A71FE5" w:rsidP="00CD659B">
      <w:pPr>
        <w:spacing w:before="80"/>
        <w:rPr>
          <w:i/>
          <w:sz w:val="22"/>
          <w:lang w:val="en-GB"/>
        </w:rPr>
      </w:pPr>
    </w:p>
    <w:p w:rsidR="00CD659B" w:rsidRPr="00CB75BD" w:rsidRDefault="00CD659B" w:rsidP="00CD659B">
      <w:pPr>
        <w:rPr>
          <w:rFonts w:ascii="Palatino Linotype" w:hAnsi="Palatino Linotype"/>
          <w:lang w:val="en-GB"/>
        </w:rPr>
        <w:sectPr w:rsidR="00CD659B" w:rsidRPr="00CB75BD"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CB75BD"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CB75BD">
        <w:rPr>
          <w:bCs/>
          <w:sz w:val="24"/>
          <w:szCs w:val="24"/>
          <w:lang w:val="en-GB"/>
        </w:rPr>
        <w:lastRenderedPageBreak/>
        <w:t>Foreword</w:t>
      </w:r>
    </w:p>
    <w:p w:rsidR="00CB60A4" w:rsidRPr="00CB75BD" w:rsidRDefault="00CB60A4" w:rsidP="00CB60A4">
      <w:pPr>
        <w:spacing w:before="240"/>
        <w:rPr>
          <w:sz w:val="20"/>
          <w:lang w:val="en-GB"/>
        </w:rPr>
      </w:pPr>
      <w:r w:rsidRPr="00CB75B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CB75BD" w:rsidRDefault="00CB60A4" w:rsidP="00CB60A4">
      <w:pPr>
        <w:rPr>
          <w:sz w:val="20"/>
          <w:lang w:val="en-GB"/>
        </w:rPr>
      </w:pPr>
      <w:r w:rsidRPr="00CB75BD">
        <w:rPr>
          <w:sz w:val="20"/>
          <w:lang w:val="en-GB"/>
        </w:rPr>
        <w:t>The regulatory and policy functions of the Radiocommunication Sector are performed by World and Regional Radiocommunication Conferences and Radiocommunication Assemblies supported by Study Groups.</w:t>
      </w:r>
    </w:p>
    <w:p w:rsidR="00505FB4" w:rsidRPr="00CB75BD" w:rsidRDefault="00505FB4" w:rsidP="00505FB4">
      <w:pPr>
        <w:pStyle w:val="Heading1"/>
        <w:spacing w:before="400"/>
        <w:jc w:val="center"/>
        <w:rPr>
          <w:szCs w:val="24"/>
          <w:lang w:val="en-GB"/>
        </w:rPr>
      </w:pPr>
    </w:p>
    <w:p w:rsidR="00CB60A4" w:rsidRPr="00CB75BD" w:rsidRDefault="00CB60A4" w:rsidP="000C0413">
      <w:pPr>
        <w:pStyle w:val="Heading1"/>
        <w:spacing w:before="540"/>
        <w:jc w:val="center"/>
        <w:rPr>
          <w:szCs w:val="24"/>
          <w:lang w:val="en-GB"/>
        </w:rPr>
      </w:pPr>
      <w:bookmarkStart w:id="1" w:name="_Toc14858058"/>
      <w:bookmarkStart w:id="2" w:name="_Toc14858439"/>
      <w:r w:rsidRPr="00CB75BD">
        <w:rPr>
          <w:szCs w:val="24"/>
          <w:lang w:val="en-GB"/>
        </w:rPr>
        <w:t>Policy on Intellectual Property Right (IPR)</w:t>
      </w:r>
      <w:bookmarkEnd w:id="1"/>
      <w:bookmarkEnd w:id="2"/>
    </w:p>
    <w:p w:rsidR="00CB60A4" w:rsidRPr="00CB75BD" w:rsidRDefault="00CB60A4" w:rsidP="003C6718">
      <w:pPr>
        <w:tabs>
          <w:tab w:val="left" w:pos="720"/>
        </w:tabs>
        <w:spacing w:before="240"/>
        <w:rPr>
          <w:sz w:val="20"/>
          <w:lang w:val="en-GB"/>
        </w:rPr>
      </w:pPr>
      <w:r w:rsidRPr="00CB75BD">
        <w:rPr>
          <w:sz w:val="20"/>
          <w:lang w:val="en-GB"/>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sidRPr="00CB75BD">
          <w:rPr>
            <w:rStyle w:val="Hyperlink"/>
            <w:sz w:val="20"/>
            <w:lang w:val="en-GB"/>
          </w:rPr>
          <w:t>http://www.itu.int/ITU</w:t>
        </w:r>
        <w:r w:rsidR="009030CC" w:rsidRPr="00CB75BD">
          <w:rPr>
            <w:rStyle w:val="Hyperlink"/>
            <w:sz w:val="20"/>
            <w:lang w:val="en-GB"/>
          </w:rPr>
          <w:t>-</w:t>
        </w:r>
        <w:r w:rsidRPr="00CB75BD">
          <w:rPr>
            <w:rStyle w:val="Hyperlink"/>
            <w:sz w:val="20"/>
            <w:lang w:val="en-GB"/>
          </w:rPr>
          <w:t>R/go/patents/en</w:t>
        </w:r>
      </w:hyperlink>
      <w:r w:rsidRPr="00CB75BD">
        <w:rPr>
          <w:sz w:val="20"/>
          <w:lang w:val="en-GB"/>
        </w:rPr>
        <w:t xml:space="preserve"> where the Guidelines for Implementation of the Common Patent Policy for ITU</w:t>
      </w:r>
      <w:r w:rsidRPr="00CB75BD">
        <w:rPr>
          <w:sz w:val="20"/>
          <w:lang w:val="en-GB"/>
        </w:rPr>
        <w:noBreakHyphen/>
        <w:t>T/ITU</w:t>
      </w:r>
      <w:r w:rsidRPr="00CB75BD">
        <w:rPr>
          <w:sz w:val="20"/>
          <w:lang w:val="en-GB"/>
        </w:rPr>
        <w:noBreakHyphen/>
        <w:t xml:space="preserve">R/ISO/IEC and the ITU-R patent information database can also be found. </w:t>
      </w:r>
    </w:p>
    <w:p w:rsidR="00CB60A4" w:rsidRPr="00CB75BD" w:rsidRDefault="00CB60A4" w:rsidP="00CB60A4">
      <w:pPr>
        <w:jc w:val="center"/>
        <w:rPr>
          <w:sz w:val="22"/>
          <w:lang w:val="en-GB"/>
        </w:rPr>
      </w:pPr>
    </w:p>
    <w:p w:rsidR="00505FB4" w:rsidRPr="00CB75BD" w:rsidRDefault="00505FB4" w:rsidP="00CB60A4">
      <w:pPr>
        <w:jc w:val="center"/>
        <w:rPr>
          <w:sz w:val="22"/>
          <w:lang w:val="en-GB"/>
        </w:rPr>
      </w:pPr>
    </w:p>
    <w:p w:rsidR="00CB60A4" w:rsidRPr="00CB75BD"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CB75BD">
        <w:tc>
          <w:tcPr>
            <w:tcW w:w="9360" w:type="dxa"/>
            <w:gridSpan w:val="2"/>
            <w:tcBorders>
              <w:top w:val="single" w:sz="12" w:space="0" w:color="000080"/>
              <w:left w:val="single" w:sz="12" w:space="0" w:color="000080"/>
              <w:bottom w:val="nil"/>
              <w:right w:val="single" w:sz="12" w:space="0" w:color="000080"/>
            </w:tcBorders>
          </w:tcPr>
          <w:p w:rsidR="00CB60A4" w:rsidRPr="00CB75BD" w:rsidRDefault="00CB60A4" w:rsidP="00C7761D">
            <w:pPr>
              <w:pStyle w:val="ChapNo"/>
              <w:spacing w:before="240"/>
              <w:rPr>
                <w:sz w:val="22"/>
                <w:szCs w:val="22"/>
                <w:lang w:val="en-GB"/>
              </w:rPr>
            </w:pPr>
            <w:r w:rsidRPr="00CB75BD">
              <w:rPr>
                <w:sz w:val="22"/>
                <w:szCs w:val="22"/>
                <w:lang w:val="en-GB"/>
              </w:rPr>
              <w:t xml:space="preserve">Series of ITU-R </w:t>
            </w:r>
            <w:r w:rsidR="00505FB4" w:rsidRPr="00CB75BD">
              <w:rPr>
                <w:sz w:val="22"/>
                <w:szCs w:val="22"/>
                <w:lang w:val="en-GB"/>
              </w:rPr>
              <w:t>Reports</w:t>
            </w:r>
            <w:r w:rsidRPr="00CB75BD">
              <w:rPr>
                <w:sz w:val="22"/>
                <w:szCs w:val="22"/>
                <w:lang w:val="en-GB"/>
              </w:rPr>
              <w:t xml:space="preserve"> </w:t>
            </w:r>
          </w:p>
          <w:p w:rsidR="00CB60A4" w:rsidRPr="00CB75B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B75BD">
              <w:rPr>
                <w:b w:val="0"/>
                <w:sz w:val="18"/>
                <w:szCs w:val="18"/>
                <w:lang w:val="en-GB"/>
              </w:rPr>
              <w:t xml:space="preserve">(Also available online at </w:t>
            </w:r>
            <w:hyperlink r:id="rId13" w:history="1">
              <w:r w:rsidR="009030CC" w:rsidRPr="00CB75BD">
                <w:rPr>
                  <w:rStyle w:val="Hyperlink"/>
                  <w:b w:val="0"/>
                  <w:bCs/>
                  <w:sz w:val="18"/>
                  <w:szCs w:val="18"/>
                  <w:lang w:val="en-GB"/>
                </w:rPr>
                <w:t>http://www.itu.int/publ</w:t>
              </w:r>
              <w:r w:rsidR="00505FB4" w:rsidRPr="00CB75BD">
                <w:rPr>
                  <w:rStyle w:val="Hyperlink"/>
                  <w:b w:val="0"/>
                  <w:bCs/>
                  <w:sz w:val="18"/>
                  <w:szCs w:val="18"/>
                  <w:lang w:val="en-GB"/>
                </w:rPr>
                <w:t>/R-REP/en</w:t>
              </w:r>
            </w:hyperlink>
            <w:r w:rsidRPr="00CB75BD">
              <w:rPr>
                <w:b w:val="0"/>
                <w:sz w:val="18"/>
                <w:szCs w:val="18"/>
                <w:lang w:val="en-GB"/>
              </w:rPr>
              <w:t>)</w:t>
            </w:r>
          </w:p>
        </w:tc>
      </w:tr>
      <w:tr w:rsidR="00CB60A4" w:rsidRPr="00CB75BD" w:rsidTr="006F2B77">
        <w:tc>
          <w:tcPr>
            <w:tcW w:w="1140" w:type="dxa"/>
            <w:tcBorders>
              <w:top w:val="nil"/>
              <w:left w:val="single" w:sz="12" w:space="0" w:color="000080"/>
              <w:bottom w:val="nil"/>
              <w:right w:val="nil"/>
            </w:tcBorders>
          </w:tcPr>
          <w:p w:rsidR="00CB60A4" w:rsidRPr="00CB75BD" w:rsidRDefault="00CB60A4">
            <w:pPr>
              <w:spacing w:before="200" w:after="100"/>
              <w:ind w:left="57"/>
              <w:rPr>
                <w:b/>
                <w:bCs/>
                <w:sz w:val="20"/>
                <w:lang w:val="en-GB"/>
              </w:rPr>
            </w:pPr>
            <w:r w:rsidRPr="00CB75BD">
              <w:rPr>
                <w:b/>
                <w:bCs/>
                <w:sz w:val="20"/>
                <w:lang w:val="en-GB"/>
              </w:rPr>
              <w:t>Series</w:t>
            </w:r>
          </w:p>
        </w:tc>
        <w:tc>
          <w:tcPr>
            <w:tcW w:w="8220" w:type="dxa"/>
            <w:tcBorders>
              <w:top w:val="nil"/>
              <w:left w:val="nil"/>
              <w:bottom w:val="nil"/>
              <w:right w:val="single" w:sz="12" w:space="0" w:color="000080"/>
            </w:tcBorders>
          </w:tcPr>
          <w:p w:rsidR="00CB60A4" w:rsidRPr="00CB75B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B75BD">
              <w:rPr>
                <w:bCs/>
                <w:sz w:val="20"/>
                <w:lang w:val="en-GB"/>
              </w:rPr>
              <w:t>Title</w:t>
            </w:r>
          </w:p>
        </w:tc>
      </w:tr>
      <w:tr w:rsidR="00CB60A4" w:rsidRPr="00CB75BD" w:rsidTr="006F2B77">
        <w:tc>
          <w:tcPr>
            <w:tcW w:w="1140" w:type="dxa"/>
            <w:tcBorders>
              <w:top w:val="nil"/>
              <w:left w:val="single" w:sz="12" w:space="0" w:color="000080"/>
              <w:bottom w:val="nil"/>
              <w:right w:val="nil"/>
            </w:tcBorders>
            <w:shd w:val="clear" w:color="auto" w:fill="auto"/>
          </w:tcPr>
          <w:p w:rsidR="00CB60A4" w:rsidRPr="00CB75BD" w:rsidRDefault="00CB60A4">
            <w:pPr>
              <w:spacing w:before="30" w:after="30"/>
              <w:ind w:left="57"/>
              <w:jc w:val="left"/>
              <w:rPr>
                <w:rFonts w:ascii="Times New Roman Bold" w:hAnsi="Times New Roman Bold" w:cs="Times New Roman Bold"/>
                <w:b/>
                <w:bCs/>
                <w:sz w:val="20"/>
                <w:lang w:val="en-GB"/>
              </w:rPr>
            </w:pPr>
            <w:r w:rsidRPr="00CB75BD">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CB75B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B75BD">
              <w:rPr>
                <w:b w:val="0"/>
                <w:sz w:val="20"/>
                <w:lang w:val="en-GB"/>
              </w:rPr>
              <w:t>Satellite delivery</w:t>
            </w:r>
          </w:p>
        </w:tc>
      </w:tr>
      <w:tr w:rsidR="00CB60A4" w:rsidRPr="00CB75BD" w:rsidTr="00D55B55">
        <w:tc>
          <w:tcPr>
            <w:tcW w:w="1140" w:type="dxa"/>
            <w:tcBorders>
              <w:top w:val="nil"/>
              <w:left w:val="single" w:sz="12" w:space="0" w:color="000080"/>
              <w:bottom w:val="nil"/>
              <w:right w:val="nil"/>
            </w:tcBorders>
          </w:tcPr>
          <w:p w:rsidR="00CB60A4" w:rsidRPr="00CB75BD" w:rsidRDefault="00CB60A4">
            <w:pPr>
              <w:spacing w:before="30" w:after="30"/>
              <w:ind w:left="57"/>
              <w:jc w:val="left"/>
              <w:rPr>
                <w:b/>
                <w:bCs/>
                <w:sz w:val="20"/>
                <w:lang w:val="en-GB"/>
              </w:rPr>
            </w:pPr>
            <w:r w:rsidRPr="00CB75BD">
              <w:rPr>
                <w:b/>
                <w:bCs/>
                <w:sz w:val="20"/>
                <w:lang w:val="en-GB"/>
              </w:rPr>
              <w:t>BR</w:t>
            </w:r>
          </w:p>
        </w:tc>
        <w:tc>
          <w:tcPr>
            <w:tcW w:w="8220" w:type="dxa"/>
            <w:tcBorders>
              <w:top w:val="nil"/>
              <w:left w:val="nil"/>
              <w:bottom w:val="nil"/>
              <w:right w:val="single" w:sz="12" w:space="0" w:color="000080"/>
            </w:tcBorders>
          </w:tcPr>
          <w:p w:rsidR="00CB60A4" w:rsidRPr="00CB75B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B75BD">
              <w:rPr>
                <w:b w:val="0"/>
                <w:sz w:val="20"/>
                <w:lang w:val="en-GB"/>
              </w:rPr>
              <w:t>Recording for production, archival and play-out; film for television</w:t>
            </w:r>
          </w:p>
        </w:tc>
      </w:tr>
      <w:tr w:rsidR="00CB60A4" w:rsidRPr="00CB75BD" w:rsidTr="00D55B55">
        <w:tc>
          <w:tcPr>
            <w:tcW w:w="1140" w:type="dxa"/>
            <w:tcBorders>
              <w:top w:val="nil"/>
              <w:left w:val="single" w:sz="12" w:space="0" w:color="000080"/>
              <w:bottom w:val="nil"/>
              <w:right w:val="nil"/>
            </w:tcBorders>
            <w:shd w:val="clear" w:color="auto" w:fill="auto"/>
          </w:tcPr>
          <w:p w:rsidR="00CB60A4" w:rsidRPr="00CB75BD" w:rsidRDefault="00CB60A4">
            <w:pPr>
              <w:spacing w:before="30" w:after="30"/>
              <w:ind w:left="57"/>
              <w:jc w:val="left"/>
              <w:rPr>
                <w:rFonts w:ascii="Times New Roman Bold" w:hAnsi="Times New Roman Bold" w:cs="Times New Roman Bold"/>
                <w:b/>
                <w:bCs/>
                <w:sz w:val="20"/>
                <w:lang w:val="en-GB"/>
              </w:rPr>
            </w:pPr>
            <w:r w:rsidRPr="00CB75BD">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CB75B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B75BD">
              <w:rPr>
                <w:b w:val="0"/>
                <w:sz w:val="20"/>
                <w:lang w:val="en-GB"/>
              </w:rPr>
              <w:t>Broadcasting service (sound)</w:t>
            </w:r>
          </w:p>
        </w:tc>
      </w:tr>
      <w:tr w:rsidR="00CB60A4" w:rsidRPr="00CB75BD" w:rsidTr="00D069F2">
        <w:tc>
          <w:tcPr>
            <w:tcW w:w="1140" w:type="dxa"/>
            <w:tcBorders>
              <w:top w:val="nil"/>
              <w:left w:val="single" w:sz="12" w:space="0" w:color="000080"/>
              <w:bottom w:val="nil"/>
              <w:right w:val="nil"/>
            </w:tcBorders>
            <w:shd w:val="clear" w:color="auto" w:fill="auto"/>
          </w:tcPr>
          <w:p w:rsidR="00CB60A4" w:rsidRPr="00CB75BD" w:rsidRDefault="00CB60A4">
            <w:pPr>
              <w:spacing w:before="30" w:after="30"/>
              <w:ind w:left="57"/>
              <w:jc w:val="left"/>
              <w:rPr>
                <w:rFonts w:ascii="Times New Roman Bold" w:hAnsi="Times New Roman Bold" w:cs="Times New Roman Bold"/>
                <w:b/>
                <w:bCs/>
                <w:sz w:val="20"/>
                <w:lang w:val="en-GB"/>
              </w:rPr>
            </w:pPr>
            <w:r w:rsidRPr="00CB75B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CB75B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B75BD">
              <w:rPr>
                <w:b w:val="0"/>
                <w:sz w:val="20"/>
                <w:lang w:val="en-GB"/>
              </w:rPr>
              <w:t>Broadcasting service (television)</w:t>
            </w:r>
          </w:p>
        </w:tc>
      </w:tr>
      <w:tr w:rsidR="00CB60A4" w:rsidRPr="00CB75BD" w:rsidTr="00D069F2">
        <w:tc>
          <w:tcPr>
            <w:tcW w:w="1140" w:type="dxa"/>
            <w:tcBorders>
              <w:top w:val="nil"/>
              <w:left w:val="single" w:sz="12" w:space="0" w:color="000080"/>
              <w:bottom w:val="nil"/>
              <w:right w:val="nil"/>
            </w:tcBorders>
            <w:shd w:val="clear" w:color="auto" w:fill="auto"/>
          </w:tcPr>
          <w:p w:rsidR="00CB60A4" w:rsidRPr="00CB75BD" w:rsidRDefault="00CB60A4">
            <w:pPr>
              <w:spacing w:before="30" w:after="30"/>
              <w:ind w:left="57"/>
              <w:jc w:val="left"/>
              <w:rPr>
                <w:rFonts w:ascii="Times New Roman Bold" w:hAnsi="Times New Roman Bold" w:cs="Times New Roman Bold"/>
                <w:b/>
                <w:bCs/>
                <w:sz w:val="20"/>
                <w:lang w:val="en-GB"/>
              </w:rPr>
            </w:pPr>
            <w:r w:rsidRPr="00CB75BD">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B60A4" w:rsidRPr="00CB75B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B75BD">
              <w:rPr>
                <w:sz w:val="20"/>
                <w:lang w:val="en-GB"/>
              </w:rPr>
              <w:t>Fixed service</w:t>
            </w:r>
          </w:p>
        </w:tc>
      </w:tr>
      <w:tr w:rsidR="00CB60A4" w:rsidRPr="00CB75BD" w:rsidTr="002D77AF">
        <w:tc>
          <w:tcPr>
            <w:tcW w:w="1140" w:type="dxa"/>
            <w:tcBorders>
              <w:top w:val="nil"/>
              <w:left w:val="single" w:sz="12" w:space="0" w:color="000080"/>
              <w:bottom w:val="nil"/>
              <w:right w:val="nil"/>
            </w:tcBorders>
            <w:shd w:val="clear" w:color="auto" w:fill="auto"/>
          </w:tcPr>
          <w:p w:rsidR="00CB60A4" w:rsidRPr="00CB75BD" w:rsidRDefault="00CB60A4">
            <w:pPr>
              <w:spacing w:before="30" w:after="30"/>
              <w:ind w:left="57"/>
              <w:jc w:val="left"/>
              <w:rPr>
                <w:b/>
                <w:bCs/>
                <w:sz w:val="20"/>
                <w:lang w:val="en-GB"/>
              </w:rPr>
            </w:pPr>
            <w:r w:rsidRPr="00CB75BD">
              <w:rPr>
                <w:b/>
                <w:bCs/>
                <w:sz w:val="20"/>
                <w:lang w:val="en-GB"/>
              </w:rPr>
              <w:t>M</w:t>
            </w:r>
          </w:p>
        </w:tc>
        <w:tc>
          <w:tcPr>
            <w:tcW w:w="8220" w:type="dxa"/>
            <w:tcBorders>
              <w:top w:val="nil"/>
              <w:left w:val="nil"/>
              <w:bottom w:val="nil"/>
              <w:right w:val="single" w:sz="12" w:space="0" w:color="000080"/>
            </w:tcBorders>
            <w:shd w:val="clear" w:color="auto" w:fill="auto"/>
          </w:tcPr>
          <w:p w:rsidR="00CB60A4" w:rsidRPr="00CB75B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B75BD">
              <w:rPr>
                <w:b w:val="0"/>
                <w:sz w:val="20"/>
                <w:lang w:val="en-GB"/>
              </w:rPr>
              <w:t>Mobile, radiodetermination, amateur and related satellite services</w:t>
            </w:r>
          </w:p>
        </w:tc>
      </w:tr>
      <w:tr w:rsidR="00CB60A4" w:rsidRPr="00CB75BD" w:rsidTr="003B4EE8">
        <w:tc>
          <w:tcPr>
            <w:tcW w:w="1140" w:type="dxa"/>
            <w:tcBorders>
              <w:top w:val="nil"/>
              <w:left w:val="single" w:sz="12" w:space="0" w:color="000080"/>
              <w:bottom w:val="nil"/>
              <w:right w:val="nil"/>
            </w:tcBorders>
            <w:shd w:val="clear" w:color="auto" w:fill="auto"/>
          </w:tcPr>
          <w:p w:rsidR="00CB60A4" w:rsidRPr="00CB75BD" w:rsidRDefault="00CB60A4">
            <w:pPr>
              <w:spacing w:before="30" w:after="30"/>
              <w:ind w:left="57"/>
              <w:jc w:val="left"/>
              <w:rPr>
                <w:rFonts w:ascii="Times New Roman Bold" w:hAnsi="Times New Roman Bold" w:cs="Times New Roman Bold"/>
                <w:b/>
                <w:bCs/>
                <w:sz w:val="20"/>
                <w:lang w:val="en-GB"/>
              </w:rPr>
            </w:pPr>
            <w:r w:rsidRPr="00CB75BD">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B60A4" w:rsidRPr="00CB75BD" w:rsidRDefault="00CB60A4">
            <w:pPr>
              <w:spacing w:before="30" w:after="30"/>
              <w:jc w:val="left"/>
              <w:rPr>
                <w:sz w:val="20"/>
                <w:lang w:val="en-GB"/>
              </w:rPr>
            </w:pPr>
            <w:r w:rsidRPr="00CB75BD">
              <w:rPr>
                <w:sz w:val="20"/>
                <w:lang w:val="en-GB"/>
              </w:rPr>
              <w:t>Radiowave propagation</w:t>
            </w:r>
          </w:p>
        </w:tc>
      </w:tr>
      <w:tr w:rsidR="00CB60A4" w:rsidRPr="00CB75BD" w:rsidTr="003B4EE8">
        <w:tc>
          <w:tcPr>
            <w:tcW w:w="1140" w:type="dxa"/>
            <w:tcBorders>
              <w:top w:val="nil"/>
              <w:left w:val="single" w:sz="12" w:space="0" w:color="000080"/>
              <w:bottom w:val="nil"/>
              <w:right w:val="nil"/>
            </w:tcBorders>
            <w:shd w:val="clear" w:color="auto" w:fill="auto"/>
          </w:tcPr>
          <w:p w:rsidR="00CB60A4" w:rsidRPr="00CB75BD" w:rsidRDefault="00CB60A4">
            <w:pPr>
              <w:spacing w:before="30" w:after="30"/>
              <w:ind w:left="57"/>
              <w:jc w:val="left"/>
              <w:rPr>
                <w:rFonts w:ascii="Times New Roman Bold" w:hAnsi="Times New Roman Bold" w:cs="Times New Roman Bold"/>
                <w:b/>
                <w:bCs/>
                <w:sz w:val="20"/>
                <w:lang w:val="en-GB"/>
              </w:rPr>
            </w:pPr>
            <w:r w:rsidRPr="00CB75BD">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B60A4" w:rsidRPr="00CB75B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B75BD">
              <w:rPr>
                <w:sz w:val="20"/>
                <w:lang w:val="en-GB"/>
              </w:rPr>
              <w:t>Radio astronomy</w:t>
            </w:r>
          </w:p>
        </w:tc>
      </w:tr>
      <w:tr w:rsidR="00CB60A4" w:rsidRPr="00CB75BD" w:rsidTr="003B4EE8">
        <w:tc>
          <w:tcPr>
            <w:tcW w:w="1140" w:type="dxa"/>
            <w:tcBorders>
              <w:top w:val="nil"/>
              <w:left w:val="single" w:sz="12" w:space="0" w:color="000080"/>
              <w:bottom w:val="nil"/>
              <w:right w:val="nil"/>
            </w:tcBorders>
            <w:shd w:val="clear" w:color="auto" w:fill="F3F3F3"/>
          </w:tcPr>
          <w:p w:rsidR="00CB60A4" w:rsidRPr="00CB75BD" w:rsidRDefault="00CB60A4">
            <w:pPr>
              <w:spacing w:before="30" w:after="30"/>
              <w:ind w:left="57"/>
              <w:jc w:val="left"/>
              <w:rPr>
                <w:b/>
                <w:bCs/>
                <w:color w:val="000080"/>
                <w:sz w:val="20"/>
                <w:lang w:val="en-GB"/>
              </w:rPr>
            </w:pPr>
            <w:r w:rsidRPr="00CB75BD">
              <w:rPr>
                <w:b/>
                <w:bCs/>
                <w:color w:val="000080"/>
                <w:sz w:val="20"/>
                <w:lang w:val="en-GB"/>
              </w:rPr>
              <w:t>RS</w:t>
            </w:r>
          </w:p>
        </w:tc>
        <w:tc>
          <w:tcPr>
            <w:tcW w:w="8220" w:type="dxa"/>
            <w:tcBorders>
              <w:top w:val="nil"/>
              <w:left w:val="nil"/>
              <w:bottom w:val="nil"/>
              <w:right w:val="single" w:sz="12" w:space="0" w:color="000080"/>
            </w:tcBorders>
            <w:shd w:val="clear" w:color="auto" w:fill="F3F3F3"/>
          </w:tcPr>
          <w:p w:rsidR="00CB60A4" w:rsidRPr="00CB75BD"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CB75BD">
              <w:rPr>
                <w:b/>
                <w:bCs/>
                <w:color w:val="000080"/>
                <w:sz w:val="20"/>
                <w:lang w:val="en-GB"/>
              </w:rPr>
              <w:t>Remote sensing systems</w:t>
            </w:r>
          </w:p>
        </w:tc>
      </w:tr>
      <w:tr w:rsidR="00CD7A62" w:rsidRPr="00CB75BD">
        <w:tc>
          <w:tcPr>
            <w:tcW w:w="1140" w:type="dxa"/>
            <w:tcBorders>
              <w:top w:val="nil"/>
              <w:left w:val="single" w:sz="12" w:space="0" w:color="000080"/>
              <w:bottom w:val="nil"/>
              <w:right w:val="nil"/>
            </w:tcBorders>
          </w:tcPr>
          <w:p w:rsidR="00CD7A62" w:rsidRPr="00CB75BD" w:rsidRDefault="00CD7A62">
            <w:pPr>
              <w:spacing w:before="30" w:after="30"/>
              <w:ind w:left="57"/>
              <w:jc w:val="left"/>
              <w:rPr>
                <w:b/>
                <w:bCs/>
                <w:sz w:val="20"/>
                <w:lang w:val="en-GB"/>
              </w:rPr>
            </w:pPr>
            <w:r w:rsidRPr="00CB75BD">
              <w:rPr>
                <w:b/>
                <w:bCs/>
                <w:sz w:val="20"/>
                <w:lang w:val="en-GB"/>
              </w:rPr>
              <w:t>S</w:t>
            </w:r>
          </w:p>
        </w:tc>
        <w:tc>
          <w:tcPr>
            <w:tcW w:w="8220" w:type="dxa"/>
            <w:tcBorders>
              <w:top w:val="nil"/>
              <w:left w:val="nil"/>
              <w:bottom w:val="nil"/>
              <w:right w:val="single" w:sz="12" w:space="0" w:color="000080"/>
            </w:tcBorders>
          </w:tcPr>
          <w:p w:rsidR="00CD7A62" w:rsidRPr="00CB75BD" w:rsidRDefault="00CD7A62">
            <w:pPr>
              <w:spacing w:before="30" w:after="30"/>
              <w:jc w:val="left"/>
              <w:rPr>
                <w:sz w:val="20"/>
                <w:lang w:val="en-GB"/>
              </w:rPr>
            </w:pPr>
            <w:r w:rsidRPr="00CB75BD">
              <w:rPr>
                <w:sz w:val="20"/>
                <w:lang w:val="en-GB"/>
              </w:rPr>
              <w:t>Fixed</w:t>
            </w:r>
            <w:r w:rsidR="00D84F58" w:rsidRPr="00CB75BD">
              <w:rPr>
                <w:sz w:val="20"/>
                <w:lang w:val="en-GB"/>
              </w:rPr>
              <w:t>-</w:t>
            </w:r>
            <w:r w:rsidRPr="00CB75BD">
              <w:rPr>
                <w:sz w:val="20"/>
                <w:lang w:val="en-GB"/>
              </w:rPr>
              <w:t>satellite service</w:t>
            </w:r>
          </w:p>
        </w:tc>
      </w:tr>
      <w:tr w:rsidR="00CB60A4" w:rsidRPr="00CB75BD">
        <w:tc>
          <w:tcPr>
            <w:tcW w:w="1140" w:type="dxa"/>
            <w:tcBorders>
              <w:top w:val="nil"/>
              <w:left w:val="single" w:sz="12" w:space="0" w:color="000080"/>
              <w:bottom w:val="nil"/>
              <w:right w:val="nil"/>
            </w:tcBorders>
          </w:tcPr>
          <w:p w:rsidR="00CB60A4" w:rsidRPr="00CB75BD" w:rsidRDefault="00CB60A4">
            <w:pPr>
              <w:spacing w:before="30" w:after="30"/>
              <w:ind w:left="57"/>
              <w:jc w:val="left"/>
              <w:rPr>
                <w:b/>
                <w:bCs/>
                <w:sz w:val="20"/>
                <w:lang w:val="en-GB"/>
              </w:rPr>
            </w:pPr>
            <w:r w:rsidRPr="00CB75BD">
              <w:rPr>
                <w:b/>
                <w:bCs/>
                <w:sz w:val="20"/>
                <w:lang w:val="en-GB"/>
              </w:rPr>
              <w:t>SA</w:t>
            </w:r>
          </w:p>
        </w:tc>
        <w:tc>
          <w:tcPr>
            <w:tcW w:w="8220" w:type="dxa"/>
            <w:tcBorders>
              <w:top w:val="nil"/>
              <w:left w:val="nil"/>
              <w:bottom w:val="nil"/>
              <w:right w:val="single" w:sz="12" w:space="0" w:color="000080"/>
            </w:tcBorders>
          </w:tcPr>
          <w:p w:rsidR="00CB60A4" w:rsidRPr="00CB75BD" w:rsidRDefault="00CB60A4">
            <w:pPr>
              <w:spacing w:before="30" w:after="30"/>
              <w:jc w:val="left"/>
              <w:rPr>
                <w:sz w:val="20"/>
                <w:lang w:val="en-GB"/>
              </w:rPr>
            </w:pPr>
            <w:r w:rsidRPr="00CB75BD">
              <w:rPr>
                <w:sz w:val="20"/>
                <w:lang w:val="en-GB"/>
              </w:rPr>
              <w:t>Space applications and meteorology</w:t>
            </w:r>
          </w:p>
        </w:tc>
      </w:tr>
      <w:tr w:rsidR="00CB60A4" w:rsidRPr="00CB75BD">
        <w:tc>
          <w:tcPr>
            <w:tcW w:w="1140" w:type="dxa"/>
            <w:tcBorders>
              <w:top w:val="nil"/>
              <w:left w:val="single" w:sz="12" w:space="0" w:color="000080"/>
              <w:bottom w:val="nil"/>
              <w:right w:val="nil"/>
            </w:tcBorders>
          </w:tcPr>
          <w:p w:rsidR="00CB60A4" w:rsidRPr="00CB75BD" w:rsidRDefault="00CB60A4">
            <w:pPr>
              <w:spacing w:before="30" w:after="30"/>
              <w:ind w:left="57"/>
              <w:jc w:val="left"/>
              <w:rPr>
                <w:b/>
                <w:bCs/>
                <w:sz w:val="20"/>
                <w:lang w:val="en-GB"/>
              </w:rPr>
            </w:pPr>
            <w:r w:rsidRPr="00CB75BD">
              <w:rPr>
                <w:b/>
                <w:bCs/>
                <w:sz w:val="20"/>
                <w:lang w:val="en-GB"/>
              </w:rPr>
              <w:t>SF</w:t>
            </w:r>
          </w:p>
        </w:tc>
        <w:tc>
          <w:tcPr>
            <w:tcW w:w="8220" w:type="dxa"/>
            <w:tcBorders>
              <w:top w:val="nil"/>
              <w:left w:val="nil"/>
              <w:bottom w:val="nil"/>
              <w:right w:val="single" w:sz="12" w:space="0" w:color="000080"/>
            </w:tcBorders>
          </w:tcPr>
          <w:p w:rsidR="00CB60A4" w:rsidRPr="00CB75BD" w:rsidRDefault="00CB60A4">
            <w:pPr>
              <w:spacing w:before="30" w:after="30"/>
              <w:jc w:val="left"/>
              <w:rPr>
                <w:sz w:val="20"/>
                <w:lang w:val="en-GB"/>
              </w:rPr>
            </w:pPr>
            <w:r w:rsidRPr="00CB75BD">
              <w:rPr>
                <w:sz w:val="20"/>
                <w:lang w:val="en-GB"/>
              </w:rPr>
              <w:t>Frequency sharing and coordination between fixed-satellite and fixed service systems</w:t>
            </w:r>
          </w:p>
        </w:tc>
      </w:tr>
      <w:tr w:rsidR="00CB60A4" w:rsidRPr="00CB75BD">
        <w:tc>
          <w:tcPr>
            <w:tcW w:w="1140" w:type="dxa"/>
            <w:tcBorders>
              <w:top w:val="nil"/>
              <w:left w:val="single" w:sz="12" w:space="0" w:color="000080"/>
              <w:bottom w:val="single" w:sz="12" w:space="0" w:color="000080"/>
              <w:right w:val="nil"/>
            </w:tcBorders>
          </w:tcPr>
          <w:p w:rsidR="00CB60A4" w:rsidRPr="00CB75BD" w:rsidRDefault="00CB60A4">
            <w:pPr>
              <w:spacing w:before="30" w:after="30"/>
              <w:ind w:left="57"/>
              <w:jc w:val="left"/>
              <w:rPr>
                <w:b/>
                <w:bCs/>
                <w:sz w:val="20"/>
                <w:lang w:val="en-GB"/>
              </w:rPr>
            </w:pPr>
            <w:r w:rsidRPr="00CB75BD">
              <w:rPr>
                <w:b/>
                <w:bCs/>
                <w:sz w:val="20"/>
                <w:lang w:val="en-GB"/>
              </w:rPr>
              <w:t>SM</w:t>
            </w:r>
          </w:p>
        </w:tc>
        <w:tc>
          <w:tcPr>
            <w:tcW w:w="8220" w:type="dxa"/>
            <w:tcBorders>
              <w:top w:val="nil"/>
              <w:left w:val="nil"/>
              <w:bottom w:val="single" w:sz="12" w:space="0" w:color="000080"/>
              <w:right w:val="single" w:sz="12" w:space="0" w:color="000080"/>
            </w:tcBorders>
          </w:tcPr>
          <w:p w:rsidR="00CB60A4" w:rsidRPr="00CB75BD" w:rsidRDefault="00CB60A4" w:rsidP="00505FB4">
            <w:pPr>
              <w:spacing w:before="30" w:after="180"/>
              <w:jc w:val="left"/>
              <w:rPr>
                <w:sz w:val="20"/>
                <w:lang w:val="en-GB"/>
              </w:rPr>
            </w:pPr>
            <w:r w:rsidRPr="00CB75BD">
              <w:rPr>
                <w:sz w:val="20"/>
                <w:lang w:val="en-GB"/>
              </w:rPr>
              <w:t>Spectrum management</w:t>
            </w:r>
          </w:p>
        </w:tc>
      </w:tr>
    </w:tbl>
    <w:p w:rsidR="00CB60A4" w:rsidRPr="00CB75BD"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CB75BD">
        <w:tc>
          <w:tcPr>
            <w:tcW w:w="720" w:type="dxa"/>
          </w:tcPr>
          <w:p w:rsidR="00CB60A4" w:rsidRPr="00CB75BD" w:rsidRDefault="00CB60A4">
            <w:pPr>
              <w:jc w:val="center"/>
              <w:rPr>
                <w:sz w:val="22"/>
                <w:lang w:val="en-GB"/>
              </w:rPr>
            </w:pPr>
          </w:p>
        </w:tc>
      </w:tr>
    </w:tbl>
    <w:p w:rsidR="00CB60A4" w:rsidRPr="00CB75BD"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CB75BD"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CB75BD" w:rsidRDefault="00CB60A4" w:rsidP="00926183">
            <w:pPr>
              <w:spacing w:after="120"/>
              <w:jc w:val="left"/>
              <w:rPr>
                <w:b/>
                <w:bCs/>
                <w:sz w:val="20"/>
                <w:lang w:val="en-GB"/>
              </w:rPr>
            </w:pPr>
            <w:r w:rsidRPr="00CB75BD">
              <w:rPr>
                <w:b/>
                <w:bCs/>
                <w:i/>
                <w:iCs/>
                <w:sz w:val="20"/>
                <w:lang w:val="en-GB"/>
              </w:rPr>
              <w:t>Note</w:t>
            </w:r>
            <w:r w:rsidRPr="00CB75BD">
              <w:rPr>
                <w:i/>
                <w:iCs/>
                <w:sz w:val="20"/>
                <w:lang w:val="en-GB"/>
              </w:rPr>
              <w:t xml:space="preserve">: This ITU-R </w:t>
            </w:r>
            <w:r w:rsidR="00505FB4" w:rsidRPr="00CB75BD">
              <w:rPr>
                <w:i/>
                <w:iCs/>
                <w:sz w:val="20"/>
                <w:lang w:val="en-GB"/>
              </w:rPr>
              <w:t>Report</w:t>
            </w:r>
            <w:r w:rsidRPr="00CB75BD">
              <w:rPr>
                <w:i/>
                <w:iCs/>
                <w:sz w:val="20"/>
                <w:lang w:val="en-GB"/>
              </w:rPr>
              <w:t xml:space="preserve"> was approved in English </w:t>
            </w:r>
            <w:r w:rsidR="001A5259" w:rsidRPr="00CB75BD">
              <w:rPr>
                <w:i/>
                <w:iCs/>
                <w:sz w:val="20"/>
                <w:lang w:val="en-GB"/>
              </w:rPr>
              <w:t xml:space="preserve">by the Study Group </w:t>
            </w:r>
            <w:r w:rsidRPr="00CB75BD">
              <w:rPr>
                <w:i/>
                <w:iCs/>
                <w:sz w:val="20"/>
                <w:lang w:val="en-GB"/>
              </w:rPr>
              <w:t xml:space="preserve">under the </w:t>
            </w:r>
            <w:r w:rsidR="001A5259" w:rsidRPr="00CB75BD">
              <w:rPr>
                <w:i/>
                <w:iCs/>
                <w:sz w:val="20"/>
                <w:lang w:val="en-GB"/>
              </w:rPr>
              <w:t>procedure detailed in Resolution</w:t>
            </w:r>
            <w:r w:rsidR="00926183" w:rsidRPr="00CB75BD">
              <w:rPr>
                <w:i/>
                <w:iCs/>
                <w:sz w:val="20"/>
                <w:lang w:val="en-GB"/>
              </w:rPr>
              <w:t> </w:t>
            </w:r>
            <w:r w:rsidRPr="00CB75BD">
              <w:rPr>
                <w:i/>
                <w:iCs/>
                <w:sz w:val="20"/>
                <w:lang w:val="en-GB"/>
              </w:rPr>
              <w:t>ITU-R 1.</w:t>
            </w:r>
          </w:p>
        </w:tc>
      </w:tr>
    </w:tbl>
    <w:p w:rsidR="00CB60A4" w:rsidRPr="00CB75BD" w:rsidRDefault="00CB60A4" w:rsidP="00CB60A4">
      <w:pPr>
        <w:spacing w:before="0"/>
        <w:jc w:val="center"/>
        <w:rPr>
          <w:sz w:val="22"/>
          <w:lang w:val="en-GB"/>
        </w:rPr>
      </w:pPr>
    </w:p>
    <w:p w:rsidR="00CB60A4" w:rsidRPr="00CB75BD" w:rsidRDefault="00CB60A4" w:rsidP="00CB60A4">
      <w:pPr>
        <w:spacing w:before="0"/>
        <w:jc w:val="center"/>
        <w:rPr>
          <w:sz w:val="22"/>
          <w:lang w:val="en-GB"/>
        </w:rPr>
      </w:pPr>
    </w:p>
    <w:p w:rsidR="00CB60A4" w:rsidRPr="00CB75BD" w:rsidRDefault="00CB60A4" w:rsidP="00CB60A4">
      <w:pPr>
        <w:spacing w:before="0"/>
        <w:jc w:val="right"/>
        <w:rPr>
          <w:i/>
          <w:iCs/>
          <w:sz w:val="20"/>
          <w:lang w:val="en-GB"/>
        </w:rPr>
      </w:pPr>
      <w:r w:rsidRPr="00CB75BD">
        <w:rPr>
          <w:i/>
          <w:iCs/>
          <w:sz w:val="20"/>
          <w:lang w:val="en-GB"/>
        </w:rPr>
        <w:t>Electronic Publication</w:t>
      </w:r>
    </w:p>
    <w:p w:rsidR="00CB60A4" w:rsidRPr="00CB75BD" w:rsidRDefault="00CB60A4" w:rsidP="006612E7">
      <w:pPr>
        <w:spacing w:before="0"/>
        <w:jc w:val="right"/>
        <w:rPr>
          <w:sz w:val="20"/>
          <w:lang w:val="en-GB"/>
        </w:rPr>
      </w:pPr>
      <w:r w:rsidRPr="00CB75BD">
        <w:rPr>
          <w:sz w:val="20"/>
          <w:lang w:val="en-GB"/>
        </w:rPr>
        <w:t>Geneva, 20</w:t>
      </w:r>
      <w:r w:rsidR="002105C3" w:rsidRPr="00CB75BD">
        <w:rPr>
          <w:sz w:val="20"/>
          <w:lang w:val="en-GB"/>
        </w:rPr>
        <w:t>1</w:t>
      </w:r>
      <w:r w:rsidR="006612E7" w:rsidRPr="00CB75BD">
        <w:rPr>
          <w:sz w:val="20"/>
          <w:lang w:val="en-GB"/>
        </w:rPr>
        <w:t>9</w:t>
      </w:r>
    </w:p>
    <w:p w:rsidR="00CB60A4" w:rsidRPr="00CB75BD" w:rsidRDefault="00CB60A4" w:rsidP="006612E7">
      <w:pPr>
        <w:jc w:val="center"/>
        <w:rPr>
          <w:sz w:val="20"/>
          <w:lang w:val="en-GB"/>
        </w:rPr>
      </w:pPr>
      <w:r w:rsidRPr="00CB75BD">
        <w:rPr>
          <w:sz w:val="20"/>
          <w:lang w:val="en-GB"/>
        </w:rPr>
        <w:sym w:font="Symbol" w:char="00E3"/>
      </w:r>
      <w:r w:rsidRPr="00CB75BD">
        <w:rPr>
          <w:sz w:val="20"/>
          <w:lang w:val="en-GB"/>
        </w:rPr>
        <w:t xml:space="preserve"> ITU </w:t>
      </w:r>
      <w:bookmarkStart w:id="3" w:name="iiannee"/>
      <w:bookmarkEnd w:id="3"/>
      <w:r w:rsidRPr="00CB75BD">
        <w:rPr>
          <w:sz w:val="20"/>
          <w:lang w:val="en-GB"/>
        </w:rPr>
        <w:t>20</w:t>
      </w:r>
      <w:r w:rsidR="002105C3" w:rsidRPr="00CB75BD">
        <w:rPr>
          <w:sz w:val="20"/>
          <w:lang w:val="en-GB"/>
        </w:rPr>
        <w:t>1</w:t>
      </w:r>
      <w:r w:rsidR="006612E7" w:rsidRPr="00CB75BD">
        <w:rPr>
          <w:sz w:val="20"/>
          <w:lang w:val="en-GB"/>
        </w:rPr>
        <w:t>9</w:t>
      </w:r>
    </w:p>
    <w:p w:rsidR="00CB60A4" w:rsidRPr="00CB75BD" w:rsidRDefault="00CB60A4" w:rsidP="00CB60A4">
      <w:pPr>
        <w:rPr>
          <w:sz w:val="18"/>
          <w:szCs w:val="18"/>
          <w:lang w:val="en-GB"/>
        </w:rPr>
      </w:pPr>
      <w:r w:rsidRPr="00CB75BD">
        <w:rPr>
          <w:sz w:val="18"/>
          <w:szCs w:val="18"/>
          <w:lang w:val="en-GB"/>
        </w:rPr>
        <w:t>All rights reserved. No part of this publication may be reproduced, by any means whatsoever, without written permission of ITU.</w:t>
      </w:r>
    </w:p>
    <w:p w:rsidR="00CB60A4" w:rsidRPr="00CB75BD"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CB75BD">
          <w:pgSz w:w="11907" w:h="16834"/>
          <w:pgMar w:top="1418" w:right="1134" w:bottom="1134" w:left="1134" w:header="720" w:footer="482" w:gutter="0"/>
          <w:paperSrc w:first="15" w:other="15"/>
          <w:pgNumType w:fmt="lowerRoman" w:start="2"/>
          <w:cols w:space="720"/>
        </w:sectPr>
      </w:pPr>
    </w:p>
    <w:p w:rsidR="006612E7" w:rsidRPr="00CB75BD" w:rsidRDefault="00934ED7" w:rsidP="006612E7">
      <w:pPr>
        <w:pStyle w:val="RepNo"/>
        <w:spacing w:before="0"/>
        <w:rPr>
          <w:lang w:val="en-GB"/>
        </w:rPr>
      </w:pPr>
      <w:bookmarkStart w:id="4" w:name="irecnoe"/>
      <w:bookmarkEnd w:id="4"/>
      <w:proofErr w:type="gramStart"/>
      <w:r w:rsidRPr="00CB75BD">
        <w:rPr>
          <w:lang w:val="en-GB"/>
        </w:rPr>
        <w:lastRenderedPageBreak/>
        <w:t>R</w:t>
      </w:r>
      <w:r w:rsidR="008D3D8D" w:rsidRPr="00CB75BD">
        <w:rPr>
          <w:lang w:val="en-GB"/>
        </w:rPr>
        <w:t>EPORT</w:t>
      </w:r>
      <w:r w:rsidRPr="00CB75BD">
        <w:rPr>
          <w:lang w:val="en-GB"/>
        </w:rPr>
        <w:t xml:space="preserve">  </w:t>
      </w:r>
      <w:r w:rsidRPr="00CB75BD">
        <w:rPr>
          <w:rStyle w:val="href"/>
          <w:lang w:val="en-GB"/>
        </w:rPr>
        <w:t>ITU</w:t>
      </w:r>
      <w:proofErr w:type="gramEnd"/>
      <w:r w:rsidRPr="00CB75BD">
        <w:rPr>
          <w:rStyle w:val="href"/>
          <w:lang w:val="en-GB"/>
        </w:rPr>
        <w:t xml:space="preserve">-R  </w:t>
      </w:r>
      <w:r w:rsidR="002D77AF" w:rsidRPr="00CB75BD">
        <w:rPr>
          <w:rStyle w:val="href"/>
          <w:lang w:val="en-GB"/>
        </w:rPr>
        <w:t>R</w:t>
      </w:r>
      <w:r w:rsidR="003B4EE8" w:rsidRPr="00CB75BD">
        <w:rPr>
          <w:rStyle w:val="href"/>
          <w:lang w:val="en-GB"/>
        </w:rPr>
        <w:t>S</w:t>
      </w:r>
      <w:r w:rsidR="008D3D8D" w:rsidRPr="00CB75BD">
        <w:rPr>
          <w:rStyle w:val="href"/>
          <w:lang w:val="en-GB"/>
        </w:rPr>
        <w:t>.</w:t>
      </w:r>
      <w:r w:rsidR="006612E7" w:rsidRPr="00CB75BD">
        <w:rPr>
          <w:rStyle w:val="href"/>
          <w:lang w:val="en-GB"/>
        </w:rPr>
        <w:t>2455-0</w:t>
      </w:r>
    </w:p>
    <w:p w:rsidR="006612E7" w:rsidRPr="00CB75BD" w:rsidRDefault="006612E7" w:rsidP="006612E7">
      <w:pPr>
        <w:pStyle w:val="Reptitle"/>
        <w:rPr>
          <w:lang w:val="en-GB"/>
        </w:rPr>
      </w:pPr>
      <w:r w:rsidRPr="00CB75BD">
        <w:rPr>
          <w:lang w:val="en-GB" w:eastAsia="zh-CN"/>
        </w:rPr>
        <w:t>Preliminary results of sharing studies between a 45 MHz radar sounder</w:t>
      </w:r>
      <w:r w:rsidRPr="00CB75BD">
        <w:rPr>
          <w:lang w:val="en-GB" w:eastAsia="zh-CN"/>
        </w:rPr>
        <w:br/>
        <w:t xml:space="preserve">and incumbent fixed, mobile, broadcasting and space research services </w:t>
      </w:r>
      <w:r w:rsidRPr="00CB75BD">
        <w:rPr>
          <w:lang w:val="en-GB" w:eastAsia="zh-CN"/>
        </w:rPr>
        <w:br/>
        <w:t>operating in the 40-50 MHz frequency range</w:t>
      </w:r>
    </w:p>
    <w:p w:rsidR="006612E7" w:rsidRPr="00CB75BD" w:rsidRDefault="006612E7" w:rsidP="006612E7">
      <w:pPr>
        <w:pStyle w:val="Repdate"/>
        <w:rPr>
          <w:lang w:val="en-GB"/>
        </w:rPr>
      </w:pPr>
      <w:r w:rsidRPr="00CB75BD">
        <w:rPr>
          <w:lang w:val="en-GB"/>
        </w:rPr>
        <w:t>(2019)</w:t>
      </w:r>
    </w:p>
    <w:p w:rsidR="0097351A" w:rsidRPr="00CB75BD" w:rsidRDefault="0097351A" w:rsidP="0097351A">
      <w:pPr>
        <w:rPr>
          <w:lang w:val="en-GB"/>
        </w:rPr>
      </w:pPr>
    </w:p>
    <w:p w:rsidR="00840349" w:rsidRPr="00CB75BD" w:rsidRDefault="00840349" w:rsidP="0097351A">
      <w:pPr>
        <w:pStyle w:val="Note"/>
        <w:rPr>
          <w:b/>
          <w:lang w:val="en-GB" w:eastAsia="zh-CN"/>
        </w:rPr>
      </w:pPr>
      <w:r w:rsidRPr="00CB75BD">
        <w:rPr>
          <w:lang w:val="en-GB" w:eastAsia="zh-CN"/>
        </w:rPr>
        <w:t xml:space="preserve">NOTE – This </w:t>
      </w:r>
      <w:r w:rsidRPr="00CB75BD">
        <w:rPr>
          <w:lang w:val="en-GB"/>
        </w:rPr>
        <w:t>Report</w:t>
      </w:r>
      <w:r w:rsidRPr="00CB75BD">
        <w:rPr>
          <w:lang w:val="en-GB" w:eastAsia="zh-CN"/>
        </w:rPr>
        <w:t xml:space="preserve"> provides </w:t>
      </w:r>
      <w:r w:rsidRPr="00CB75BD">
        <w:rPr>
          <w:lang w:val="en-GB"/>
        </w:rPr>
        <w:t>necessary</w:t>
      </w:r>
      <w:r w:rsidRPr="00CB75BD">
        <w:rPr>
          <w:lang w:val="en-GB" w:eastAsia="zh-CN"/>
        </w:rPr>
        <w:t xml:space="preserve"> information currently available as background to the preliminary agenda item 2.2 for WRC-23 in order for WRC-19 to finalise the agenda for WRC-23.</w:t>
      </w:r>
    </w:p>
    <w:p w:rsidR="006612E7" w:rsidRPr="00CB75BD" w:rsidRDefault="006612E7" w:rsidP="006612E7">
      <w:pPr>
        <w:pStyle w:val="Heading1"/>
        <w:rPr>
          <w:lang w:val="en-GB" w:eastAsia="zh-CN"/>
        </w:rPr>
      </w:pPr>
      <w:bookmarkStart w:id="5" w:name="_Toc14851664"/>
      <w:bookmarkStart w:id="6" w:name="_Toc14851754"/>
      <w:bookmarkStart w:id="7" w:name="_Toc14858059"/>
      <w:bookmarkStart w:id="8" w:name="_Toc14858440"/>
      <w:r w:rsidRPr="00CB75BD">
        <w:rPr>
          <w:lang w:val="en-GB" w:eastAsia="zh-CN"/>
        </w:rPr>
        <w:t>1</w:t>
      </w:r>
      <w:r w:rsidRPr="00CB75BD">
        <w:rPr>
          <w:lang w:val="en-GB" w:eastAsia="zh-CN"/>
        </w:rPr>
        <w:tab/>
        <w:t>Introduction</w:t>
      </w:r>
      <w:bookmarkEnd w:id="5"/>
      <w:bookmarkEnd w:id="6"/>
      <w:bookmarkEnd w:id="7"/>
      <w:bookmarkEnd w:id="8"/>
    </w:p>
    <w:p w:rsidR="006612E7" w:rsidRPr="00CB75BD" w:rsidRDefault="006612E7" w:rsidP="006612E7">
      <w:pPr>
        <w:rPr>
          <w:lang w:val="en-GB"/>
        </w:rPr>
      </w:pPr>
      <w:r w:rsidRPr="00CB75BD">
        <w:rPr>
          <w:lang w:val="en-GB"/>
        </w:rPr>
        <w:t>This Report provides a static analysis methodology for determining the degree of compatibility between a space</w:t>
      </w:r>
      <w:r w:rsidRPr="00CB75BD">
        <w:rPr>
          <w:lang w:val="en-GB"/>
        </w:rPr>
        <w:noBreakHyphen/>
        <w:t>borne 45 MHz radar sounder as described in Recommendation ITU-R RS.2042 and incumbent fixed, mobile, broadcasting, and space research services. It describes analysis methodologies and documents the results of a series of calculations and simulations that have been based upon actual system specifications and operational factors. The Report presents a summary of the preliminary static analyses examining the compatibility between a space-borne 45 MHz radar sounder and incumbent services operating within the 40-50 MHz frequency band.</w:t>
      </w:r>
    </w:p>
    <w:p w:rsidR="006612E7" w:rsidRPr="00CB75BD" w:rsidRDefault="006612E7" w:rsidP="006612E7">
      <w:pPr>
        <w:pStyle w:val="Heading1"/>
        <w:rPr>
          <w:lang w:val="en-GB"/>
        </w:rPr>
      </w:pPr>
      <w:bookmarkStart w:id="9" w:name="_Toc14851665"/>
      <w:bookmarkStart w:id="10" w:name="_Toc14851755"/>
      <w:bookmarkStart w:id="11" w:name="_Toc14858060"/>
      <w:bookmarkStart w:id="12" w:name="_Toc14858441"/>
      <w:r w:rsidRPr="00CB75BD">
        <w:rPr>
          <w:lang w:val="en-GB"/>
        </w:rPr>
        <w:t>2</w:t>
      </w:r>
      <w:r w:rsidRPr="00CB75BD">
        <w:rPr>
          <w:lang w:val="en-GB"/>
        </w:rPr>
        <w:tab/>
        <w:t>Radar sounder characteristics and operation</w:t>
      </w:r>
      <w:bookmarkEnd w:id="9"/>
      <w:bookmarkEnd w:id="10"/>
      <w:bookmarkEnd w:id="11"/>
      <w:bookmarkEnd w:id="12"/>
    </w:p>
    <w:p w:rsidR="006612E7" w:rsidRPr="00CB75BD" w:rsidRDefault="006612E7" w:rsidP="006612E7">
      <w:pPr>
        <w:pStyle w:val="Heading2"/>
        <w:rPr>
          <w:lang w:val="en-GB" w:eastAsia="zh-CN"/>
        </w:rPr>
      </w:pPr>
      <w:bookmarkStart w:id="13" w:name="_Toc14851666"/>
      <w:bookmarkStart w:id="14" w:name="_Toc14851756"/>
      <w:bookmarkStart w:id="15" w:name="_Toc14858061"/>
      <w:bookmarkStart w:id="16" w:name="_Toc14858442"/>
      <w:r w:rsidRPr="00CB75BD">
        <w:rPr>
          <w:lang w:val="en-GB" w:eastAsia="zh-CN"/>
        </w:rPr>
        <w:t>2.1</w:t>
      </w:r>
      <w:r w:rsidRPr="00CB75BD">
        <w:rPr>
          <w:lang w:val="en-GB" w:eastAsia="zh-CN"/>
        </w:rPr>
        <w:tab/>
        <w:t>Mission objectives</w:t>
      </w:r>
      <w:bookmarkEnd w:id="13"/>
      <w:bookmarkEnd w:id="14"/>
      <w:bookmarkEnd w:id="15"/>
      <w:bookmarkEnd w:id="16"/>
    </w:p>
    <w:p w:rsidR="006612E7" w:rsidRPr="00CB75BD" w:rsidRDefault="006612E7" w:rsidP="006612E7">
      <w:pPr>
        <w:rPr>
          <w:b/>
          <w:lang w:val="en-GB"/>
        </w:rPr>
      </w:pPr>
      <w:r w:rsidRPr="00CB75BD">
        <w:rPr>
          <w:lang w:val="en-GB" w:eastAsia="zh-CN"/>
        </w:rPr>
        <w:t xml:space="preserve">The spaceborne active sensor operating in the 40-50 MHz range will produce subsurface data with a vertical resolution of 5-7 m, and will have a surface SNR of 66 dB. The orbital mapping campaign is planned to include one month of orbital checkout and eighteen months of scientific data collection. The mission’s scientific objectives are: 1) to understand the global thickness, inner structure, and the thermal stability of the Earth’s ice sheets of Greenland and Antarctica as an observable parameter of earth climate evolution, and 2) to understand the occurrence, distribution and dynamics of the earth fossil aquifers in desertic environments such as northern Africa and the Arabian peninsula as key elements in understanding recent paleoclimatic changes. Eighteen months of sensor operation is sufficient to collect data in the interested scientific areas with a 5 km nadir track spacing at the equator, using a 548-day (18 months) exact repeat orbit at 400 km altitude. Due to the inherent temporal instabilities in both the ice fields and the aquifers in desertic environments, it is anticipated that there will be follow-on </w:t>
      </w:r>
      <w:r w:rsidRPr="00CB75BD">
        <w:rPr>
          <w:lang w:val="en-GB"/>
        </w:rPr>
        <w:t>missions with a frequency of one eighteen month scientific mission every ten years.</w:t>
      </w:r>
    </w:p>
    <w:p w:rsidR="006612E7" w:rsidRPr="00CB75BD" w:rsidRDefault="006612E7" w:rsidP="006612E7">
      <w:pPr>
        <w:pStyle w:val="Heading2"/>
        <w:rPr>
          <w:lang w:val="en-GB" w:eastAsia="zh-CN"/>
        </w:rPr>
      </w:pPr>
      <w:bookmarkStart w:id="17" w:name="_Toc14851667"/>
      <w:bookmarkStart w:id="18" w:name="_Toc14851757"/>
      <w:bookmarkStart w:id="19" w:name="_Toc14858062"/>
      <w:bookmarkStart w:id="20" w:name="_Toc14858443"/>
      <w:r w:rsidRPr="00CB75BD">
        <w:rPr>
          <w:lang w:val="en-GB" w:eastAsia="zh-CN"/>
        </w:rPr>
        <w:t>2.2</w:t>
      </w:r>
      <w:r w:rsidRPr="00CB75BD">
        <w:rPr>
          <w:lang w:val="en-GB" w:eastAsia="zh-CN"/>
        </w:rPr>
        <w:tab/>
        <w:t>Design parameters</w:t>
      </w:r>
      <w:bookmarkEnd w:id="17"/>
      <w:bookmarkEnd w:id="18"/>
      <w:bookmarkEnd w:id="19"/>
      <w:bookmarkEnd w:id="20"/>
    </w:p>
    <w:p w:rsidR="006612E7" w:rsidRPr="00CB75BD" w:rsidRDefault="006612E7" w:rsidP="006612E7">
      <w:pPr>
        <w:rPr>
          <w:rFonts w:ascii="Times" w:hAnsi="Times"/>
          <w:lang w:val="en-GB" w:eastAsia="zh-CN"/>
        </w:rPr>
      </w:pPr>
      <w:r w:rsidRPr="00CB75BD">
        <w:rPr>
          <w:rFonts w:ascii="Times" w:hAnsi="Times"/>
          <w:lang w:val="en-GB" w:eastAsia="zh-CN"/>
        </w:rPr>
        <w:t xml:space="preserve">The postulated system for the Earth orbiting sounding radar is </w:t>
      </w:r>
      <w:r w:rsidRPr="00CB75BD">
        <w:rPr>
          <w:lang w:val="en-GB" w:eastAsia="zh-CN"/>
        </w:rPr>
        <w:t>an earth enhanced duplicate of the Shallow Radar Sounder (SHARAD) which was a Mars orbiting sounding radar operating in the 15</w:t>
      </w:r>
      <w:r w:rsidRPr="00CB75BD">
        <w:rPr>
          <w:lang w:val="en-GB" w:eastAsia="zh-CN"/>
        </w:rPr>
        <w:noBreakHyphen/>
        <w:t>25 MHz frequency range.</w:t>
      </w:r>
      <w:r w:rsidRPr="00CB75BD">
        <w:rPr>
          <w:rFonts w:ascii="Times" w:hAnsi="Times"/>
          <w:lang w:val="en-GB" w:eastAsia="zh-CN"/>
        </w:rPr>
        <w:t xml:space="preserve"> The resulting radar data will be used in the study of the Earth’s subsurface with radar mapping of subsurface scattering layers with the intent to locate water/ice/deposits. The characteristics and orbital parameters of the 45 MHz spaceborne sounding radar are shown in Table 1.</w:t>
      </w:r>
    </w:p>
    <w:p w:rsidR="00840349" w:rsidRPr="00CB75BD" w:rsidRDefault="00840349">
      <w:pPr>
        <w:tabs>
          <w:tab w:val="clear" w:pos="794"/>
          <w:tab w:val="clear" w:pos="1191"/>
          <w:tab w:val="clear" w:pos="1588"/>
          <w:tab w:val="clear" w:pos="1985"/>
        </w:tabs>
        <w:overflowPunct/>
        <w:autoSpaceDE/>
        <w:autoSpaceDN/>
        <w:adjustRightInd/>
        <w:spacing w:before="0"/>
        <w:jc w:val="left"/>
        <w:textAlignment w:val="auto"/>
        <w:rPr>
          <w:lang w:val="en-GB"/>
        </w:rPr>
      </w:pPr>
      <w:r w:rsidRPr="00CB75BD">
        <w:rPr>
          <w:lang w:val="en-GB"/>
        </w:rPr>
        <w:br w:type="page"/>
      </w:r>
    </w:p>
    <w:p w:rsidR="006612E7" w:rsidRPr="00CB75BD" w:rsidRDefault="006612E7" w:rsidP="006612E7">
      <w:pPr>
        <w:pStyle w:val="TableNo"/>
        <w:rPr>
          <w:lang w:val="en-GB"/>
        </w:rPr>
      </w:pPr>
      <w:r w:rsidRPr="00CB75BD">
        <w:rPr>
          <w:lang w:val="en-GB"/>
        </w:rPr>
        <w:lastRenderedPageBreak/>
        <w:t>TABLE 1</w:t>
      </w:r>
    </w:p>
    <w:p w:rsidR="006612E7" w:rsidRPr="00CB75BD" w:rsidRDefault="006612E7" w:rsidP="006612E7">
      <w:pPr>
        <w:pStyle w:val="Tabletitle"/>
        <w:rPr>
          <w:lang w:val="en-GB"/>
        </w:rPr>
      </w:pPr>
      <w:r w:rsidRPr="00CB75BD">
        <w:rPr>
          <w:lang w:val="en-GB"/>
        </w:rPr>
        <w:t>45 MHz spaceborne sounding radar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4"/>
        <w:gridCol w:w="3385"/>
      </w:tblGrid>
      <w:tr w:rsidR="006612E7" w:rsidRPr="00CB75BD" w:rsidTr="00840349">
        <w:trPr>
          <w:cantSplit/>
          <w:tblHeader/>
          <w:jc w:val="center"/>
        </w:trPr>
        <w:tc>
          <w:tcPr>
            <w:tcW w:w="6325" w:type="dxa"/>
            <w:gridSpan w:val="2"/>
            <w:shd w:val="clear" w:color="auto" w:fill="auto"/>
            <w:vAlign w:val="center"/>
          </w:tcPr>
          <w:p w:rsidR="006612E7" w:rsidRPr="00CB75BD" w:rsidRDefault="006612E7" w:rsidP="00840349">
            <w:pPr>
              <w:pStyle w:val="Tablehead"/>
              <w:spacing w:before="40" w:after="40"/>
              <w:rPr>
                <w:lang w:val="en-GB"/>
              </w:rPr>
            </w:pPr>
            <w:r w:rsidRPr="00CB75BD">
              <w:rPr>
                <w:lang w:val="en-GB"/>
              </w:rPr>
              <w:t>Sensor characteristics</w:t>
            </w:r>
          </w:p>
        </w:tc>
      </w:tr>
      <w:tr w:rsidR="006612E7" w:rsidRPr="00CB75BD" w:rsidTr="00840349">
        <w:trPr>
          <w:cantSplit/>
          <w:tblHeader/>
          <w:jc w:val="center"/>
        </w:trPr>
        <w:tc>
          <w:tcPr>
            <w:tcW w:w="4104" w:type="dxa"/>
            <w:shd w:val="clear" w:color="auto" w:fill="auto"/>
            <w:vAlign w:val="center"/>
          </w:tcPr>
          <w:p w:rsidR="006612E7" w:rsidRPr="00CB75BD" w:rsidRDefault="006612E7" w:rsidP="00840349">
            <w:pPr>
              <w:pStyle w:val="Tablehead"/>
              <w:spacing w:before="40" w:after="40"/>
              <w:rPr>
                <w:lang w:val="en-GB"/>
              </w:rPr>
            </w:pPr>
            <w:r w:rsidRPr="00CB75BD">
              <w:rPr>
                <w:lang w:val="en-GB"/>
              </w:rPr>
              <w:t>Parameter</w:t>
            </w:r>
          </w:p>
        </w:tc>
        <w:tc>
          <w:tcPr>
            <w:tcW w:w="2221" w:type="dxa"/>
            <w:shd w:val="clear" w:color="auto" w:fill="auto"/>
            <w:vAlign w:val="center"/>
          </w:tcPr>
          <w:p w:rsidR="006612E7" w:rsidRPr="00CB75BD" w:rsidRDefault="006612E7" w:rsidP="00840349">
            <w:pPr>
              <w:pStyle w:val="Tablehead"/>
              <w:spacing w:before="40" w:after="40"/>
              <w:rPr>
                <w:lang w:val="en-GB"/>
              </w:rPr>
            </w:pPr>
            <w:r w:rsidRPr="00CB75BD">
              <w:rPr>
                <w:lang w:val="en-GB"/>
              </w:rPr>
              <w:t>Value</w:t>
            </w:r>
          </w:p>
        </w:tc>
      </w:tr>
      <w:tr w:rsidR="006612E7" w:rsidRPr="00CB75BD" w:rsidTr="00840349">
        <w:trPr>
          <w:cantSplit/>
          <w:jc w:val="center"/>
        </w:trPr>
        <w:tc>
          <w:tcPr>
            <w:tcW w:w="4104" w:type="dxa"/>
            <w:tcBorders>
              <w:bottom w:val="single" w:sz="4" w:space="0" w:color="auto"/>
            </w:tcBorders>
            <w:shd w:val="clear" w:color="auto" w:fill="auto"/>
            <w:vAlign w:val="center"/>
          </w:tcPr>
          <w:p w:rsidR="006612E7" w:rsidRPr="00CB75BD" w:rsidRDefault="006612E7" w:rsidP="00840349">
            <w:pPr>
              <w:pStyle w:val="Tabletext"/>
              <w:spacing w:before="0" w:after="20"/>
              <w:rPr>
                <w:lang w:val="en-GB"/>
              </w:rPr>
            </w:pPr>
            <w:r w:rsidRPr="00CB75BD">
              <w:rPr>
                <w:lang w:val="en-GB"/>
              </w:rPr>
              <w:t>Sensor Type</w:t>
            </w:r>
          </w:p>
        </w:tc>
        <w:tc>
          <w:tcPr>
            <w:tcW w:w="2221" w:type="dxa"/>
            <w:tcBorders>
              <w:bottom w:val="single" w:sz="4" w:space="0" w:color="auto"/>
            </w:tcBorders>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Radar Sounder</w:t>
            </w:r>
          </w:p>
        </w:tc>
      </w:tr>
      <w:tr w:rsidR="006612E7" w:rsidRPr="00CB75BD" w:rsidTr="00840349">
        <w:trPr>
          <w:cantSplit/>
          <w:jc w:val="center"/>
        </w:trPr>
        <w:tc>
          <w:tcPr>
            <w:tcW w:w="6325" w:type="dxa"/>
            <w:gridSpan w:val="2"/>
            <w:shd w:val="clear" w:color="auto" w:fill="auto"/>
            <w:vAlign w:val="center"/>
          </w:tcPr>
          <w:p w:rsidR="006612E7" w:rsidRPr="00CB75BD" w:rsidRDefault="006612E7" w:rsidP="00840349">
            <w:pPr>
              <w:pStyle w:val="Tablehead"/>
              <w:spacing w:before="40" w:after="40"/>
              <w:jc w:val="left"/>
              <w:rPr>
                <w:lang w:val="en-GB"/>
              </w:rPr>
            </w:pPr>
            <w:r w:rsidRPr="00CB75BD">
              <w:rPr>
                <w:lang w:val="en-GB"/>
              </w:rPr>
              <w:t>Orbit characteristics</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20" w:after="20"/>
              <w:rPr>
                <w:lang w:val="en-GB"/>
              </w:rPr>
            </w:pPr>
            <w:r w:rsidRPr="00CB75BD">
              <w:rPr>
                <w:lang w:val="en-GB"/>
              </w:rPr>
              <w:t>Type of orbit</w:t>
            </w:r>
          </w:p>
        </w:tc>
        <w:tc>
          <w:tcPr>
            <w:tcW w:w="2221" w:type="dxa"/>
            <w:shd w:val="clear" w:color="auto" w:fill="auto"/>
            <w:vAlign w:val="center"/>
          </w:tcPr>
          <w:p w:rsidR="006612E7" w:rsidRPr="00CB75BD" w:rsidRDefault="006612E7" w:rsidP="00840349">
            <w:pPr>
              <w:pStyle w:val="Tabletext"/>
              <w:spacing w:before="20" w:after="20"/>
              <w:jc w:val="center"/>
              <w:rPr>
                <w:lang w:val="en-GB"/>
              </w:rPr>
            </w:pPr>
            <w:r w:rsidRPr="00CB75BD">
              <w:rPr>
                <w:lang w:val="en-GB"/>
              </w:rPr>
              <w:t>Circular,</w:t>
            </w:r>
            <w:r w:rsidRPr="00CB75BD" w:rsidDel="00681FFB">
              <w:rPr>
                <w:lang w:val="en-GB"/>
              </w:rPr>
              <w:t xml:space="preserve"> </w:t>
            </w:r>
            <w:r w:rsidRPr="00CB75BD">
              <w:rPr>
                <w:lang w:val="en-GB"/>
              </w:rPr>
              <w:t>SSO</w:t>
            </w:r>
            <w:r w:rsidRPr="00CB75BD">
              <w:rPr>
                <w:rStyle w:val="FootnoteReference"/>
                <w:sz w:val="14"/>
                <w:szCs w:val="14"/>
                <w:lang w:val="en-GB"/>
              </w:rPr>
              <w:footnoteReference w:id="1"/>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Altitude (km)</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 xml:space="preserve">400 </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Inclination (degree)</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97</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 xml:space="preserve">Ascending node LST </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004:00</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Eccentricity</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0</w:t>
            </w:r>
          </w:p>
        </w:tc>
      </w:tr>
      <w:tr w:rsidR="006612E7" w:rsidRPr="00CB75BD" w:rsidTr="00840349">
        <w:trPr>
          <w:cantSplit/>
          <w:jc w:val="center"/>
        </w:trPr>
        <w:tc>
          <w:tcPr>
            <w:tcW w:w="4104" w:type="dxa"/>
            <w:tcBorders>
              <w:bottom w:val="single" w:sz="4" w:space="0" w:color="auto"/>
            </w:tcBorders>
            <w:shd w:val="clear" w:color="auto" w:fill="auto"/>
            <w:vAlign w:val="center"/>
          </w:tcPr>
          <w:p w:rsidR="006612E7" w:rsidRPr="00CB75BD" w:rsidRDefault="006612E7" w:rsidP="00840349">
            <w:pPr>
              <w:pStyle w:val="Tabletext"/>
              <w:spacing w:before="0" w:after="20"/>
              <w:rPr>
                <w:lang w:val="en-GB"/>
              </w:rPr>
            </w:pPr>
            <w:r w:rsidRPr="00CB75BD">
              <w:rPr>
                <w:lang w:val="en-GB"/>
              </w:rPr>
              <w:t>Orbits per day</w:t>
            </w:r>
          </w:p>
        </w:tc>
        <w:tc>
          <w:tcPr>
            <w:tcW w:w="2221" w:type="dxa"/>
            <w:tcBorders>
              <w:bottom w:val="single" w:sz="4" w:space="0" w:color="auto"/>
            </w:tcBorders>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15.8</w:t>
            </w:r>
          </w:p>
        </w:tc>
      </w:tr>
      <w:tr w:rsidR="006612E7" w:rsidRPr="00CB75BD" w:rsidTr="00840349">
        <w:trPr>
          <w:cantSplit/>
          <w:jc w:val="center"/>
        </w:trPr>
        <w:tc>
          <w:tcPr>
            <w:tcW w:w="4104" w:type="dxa"/>
            <w:tcBorders>
              <w:bottom w:val="single" w:sz="4" w:space="0" w:color="auto"/>
            </w:tcBorders>
            <w:shd w:val="clear" w:color="auto" w:fill="auto"/>
            <w:vAlign w:val="center"/>
          </w:tcPr>
          <w:p w:rsidR="006612E7" w:rsidRPr="00CB75BD" w:rsidRDefault="006612E7" w:rsidP="00840349">
            <w:pPr>
              <w:pStyle w:val="Tabletext"/>
              <w:spacing w:before="0" w:after="20"/>
              <w:rPr>
                <w:lang w:val="en-GB"/>
              </w:rPr>
            </w:pPr>
            <w:r w:rsidRPr="00CB75BD">
              <w:rPr>
                <w:lang w:val="en-GB"/>
              </w:rPr>
              <w:t>Repeat period, days</w:t>
            </w:r>
          </w:p>
        </w:tc>
        <w:tc>
          <w:tcPr>
            <w:tcW w:w="2221" w:type="dxa"/>
            <w:tcBorders>
              <w:bottom w:val="single" w:sz="4" w:space="0" w:color="auto"/>
            </w:tcBorders>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548</w:t>
            </w:r>
          </w:p>
        </w:tc>
      </w:tr>
      <w:tr w:rsidR="006612E7" w:rsidRPr="00CB75BD" w:rsidTr="00840349">
        <w:trPr>
          <w:cantSplit/>
          <w:jc w:val="center"/>
        </w:trPr>
        <w:tc>
          <w:tcPr>
            <w:tcW w:w="6325" w:type="dxa"/>
            <w:gridSpan w:val="2"/>
            <w:shd w:val="clear" w:color="auto" w:fill="auto"/>
            <w:vAlign w:val="center"/>
          </w:tcPr>
          <w:p w:rsidR="006612E7" w:rsidRPr="00CB75BD" w:rsidRDefault="006612E7" w:rsidP="00840349">
            <w:pPr>
              <w:pStyle w:val="Tablehead"/>
              <w:spacing w:before="40" w:after="40"/>
              <w:jc w:val="left"/>
              <w:rPr>
                <w:lang w:val="en-GB"/>
              </w:rPr>
            </w:pPr>
            <w:r w:rsidRPr="00CB75BD">
              <w:rPr>
                <w:lang w:val="en-GB"/>
              </w:rPr>
              <w:t>Antenna characteristics</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Antenna type</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9 Element Cross Yagi</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Number of beams</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1</w:t>
            </w:r>
          </w:p>
        </w:tc>
      </w:tr>
      <w:tr w:rsidR="006612E7" w:rsidRPr="00CB75BD" w:rsidTr="00840349">
        <w:trPr>
          <w:cantSplit/>
          <w:trHeight w:val="363"/>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Antenna peak gain (Transmit &amp; Receive) (dBi)</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10</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Polarization</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Circular</w:t>
            </w:r>
          </w:p>
        </w:tc>
      </w:tr>
      <w:tr w:rsidR="006612E7" w:rsidRPr="00CB75BD" w:rsidTr="00840349">
        <w:trPr>
          <w:cantSplit/>
          <w:jc w:val="center"/>
        </w:trPr>
        <w:tc>
          <w:tcPr>
            <w:tcW w:w="4104" w:type="dxa"/>
            <w:tcBorders>
              <w:bottom w:val="single" w:sz="4" w:space="0" w:color="auto"/>
            </w:tcBorders>
            <w:shd w:val="clear" w:color="auto" w:fill="auto"/>
            <w:vAlign w:val="center"/>
          </w:tcPr>
          <w:p w:rsidR="006612E7" w:rsidRPr="00CB75BD" w:rsidRDefault="006612E7" w:rsidP="00840349">
            <w:pPr>
              <w:pStyle w:val="Tabletext"/>
              <w:spacing w:before="0" w:after="20"/>
              <w:rPr>
                <w:lang w:val="en-GB"/>
              </w:rPr>
            </w:pPr>
            <w:r w:rsidRPr="00CB75BD">
              <w:rPr>
                <w:lang w:val="en-GB"/>
              </w:rPr>
              <w:t>−3 dB beamwidth (degree)</w:t>
            </w:r>
          </w:p>
        </w:tc>
        <w:tc>
          <w:tcPr>
            <w:tcW w:w="2221" w:type="dxa"/>
            <w:tcBorders>
              <w:bottom w:val="single" w:sz="4" w:space="0" w:color="auto"/>
            </w:tcBorders>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40</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Antenna beam look angle (degree)</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Nadir</w:t>
            </w:r>
          </w:p>
        </w:tc>
      </w:tr>
      <w:tr w:rsidR="006612E7" w:rsidRPr="00CB75BD" w:rsidTr="00840349">
        <w:trPr>
          <w:cantSplit/>
          <w:jc w:val="center"/>
        </w:trPr>
        <w:tc>
          <w:tcPr>
            <w:tcW w:w="4104" w:type="dxa"/>
            <w:tcBorders>
              <w:bottom w:val="single" w:sz="4" w:space="0" w:color="auto"/>
            </w:tcBorders>
            <w:shd w:val="clear" w:color="auto" w:fill="auto"/>
            <w:vAlign w:val="center"/>
          </w:tcPr>
          <w:p w:rsidR="006612E7" w:rsidRPr="00CB75BD" w:rsidRDefault="006612E7" w:rsidP="00840349">
            <w:pPr>
              <w:pStyle w:val="Tabletext"/>
              <w:spacing w:before="0" w:after="20"/>
              <w:rPr>
                <w:lang w:val="en-GB"/>
              </w:rPr>
            </w:pPr>
            <w:r w:rsidRPr="00CB75BD">
              <w:rPr>
                <w:lang w:val="en-GB"/>
              </w:rPr>
              <w:t>Antenna beam azimuth angle (degree)</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Nadir</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Antenna elevation beamwidth (degree)</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40</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Antenna azimuth beamwidth (degree)</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40</w:t>
            </w:r>
          </w:p>
        </w:tc>
      </w:tr>
      <w:tr w:rsidR="006612E7" w:rsidRPr="00CB75BD" w:rsidTr="00840349">
        <w:trPr>
          <w:cantSplit/>
          <w:jc w:val="center"/>
        </w:trPr>
        <w:tc>
          <w:tcPr>
            <w:tcW w:w="4104" w:type="dxa"/>
            <w:shd w:val="clear" w:color="auto" w:fill="auto"/>
            <w:vAlign w:val="center"/>
          </w:tcPr>
          <w:p w:rsidR="006612E7" w:rsidRPr="00CB75BD" w:rsidRDefault="006612E7" w:rsidP="00840349">
            <w:pPr>
              <w:pStyle w:val="Tabletext"/>
              <w:spacing w:before="0" w:after="20"/>
              <w:rPr>
                <w:lang w:val="en-GB"/>
              </w:rPr>
            </w:pPr>
            <w:r w:rsidRPr="00CB75BD">
              <w:rPr>
                <w:lang w:val="en-GB"/>
              </w:rPr>
              <w:t>Sensor antenna pattern</w:t>
            </w:r>
          </w:p>
        </w:tc>
        <w:tc>
          <w:tcPr>
            <w:tcW w:w="2221" w:type="dxa"/>
            <w:shd w:val="clear" w:color="auto" w:fill="auto"/>
            <w:vAlign w:val="center"/>
          </w:tcPr>
          <w:p w:rsidR="006612E7" w:rsidRPr="00CB75BD" w:rsidRDefault="006612E7" w:rsidP="00840349">
            <w:pPr>
              <w:pStyle w:val="Tabletext"/>
              <w:spacing w:before="0" w:after="20"/>
              <w:jc w:val="center"/>
              <w:rPr>
                <w:lang w:val="en-GB"/>
              </w:rPr>
            </w:pPr>
            <w:r w:rsidRPr="00CB75BD">
              <w:rPr>
                <w:lang w:val="en-GB"/>
              </w:rPr>
              <w:t>See Figure 1</w:t>
            </w:r>
          </w:p>
        </w:tc>
      </w:tr>
      <w:tr w:rsidR="006612E7" w:rsidRPr="00CB75BD" w:rsidTr="00840349">
        <w:trPr>
          <w:cantSplit/>
          <w:jc w:val="center"/>
        </w:trPr>
        <w:tc>
          <w:tcPr>
            <w:tcW w:w="6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612E7" w:rsidRPr="00CB75BD" w:rsidRDefault="006612E7" w:rsidP="00840349">
            <w:pPr>
              <w:pStyle w:val="Tablehead"/>
              <w:spacing w:before="40" w:after="40"/>
              <w:jc w:val="left"/>
              <w:rPr>
                <w:lang w:val="en-GB"/>
              </w:rPr>
            </w:pPr>
            <w:r w:rsidRPr="00CB75BD">
              <w:rPr>
                <w:lang w:val="en-GB"/>
              </w:rPr>
              <w:t>Transmitter characteristics</w:t>
            </w:r>
          </w:p>
        </w:tc>
      </w:tr>
      <w:tr w:rsidR="006612E7" w:rsidRPr="00CB75BD" w:rsidTr="00840349">
        <w:trPr>
          <w:cantSplit/>
          <w:trHeight w:val="295"/>
          <w:jc w:val="center"/>
        </w:trPr>
        <w:tc>
          <w:tcPr>
            <w:tcW w:w="4104"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rPr>
                <w:lang w:val="en-GB"/>
              </w:rPr>
            </w:pPr>
            <w:r w:rsidRPr="00CB75BD">
              <w:rPr>
                <w:lang w:val="en-GB"/>
              </w:rPr>
              <w:t>RF centre frequency (MHz)</w:t>
            </w:r>
          </w:p>
        </w:tc>
        <w:tc>
          <w:tcPr>
            <w:tcW w:w="2221"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jc w:val="center"/>
              <w:rPr>
                <w:lang w:val="en-GB"/>
              </w:rPr>
            </w:pPr>
            <w:r w:rsidRPr="00CB75BD">
              <w:rPr>
                <w:lang w:val="en-GB"/>
              </w:rPr>
              <w:t>45</w:t>
            </w:r>
          </w:p>
        </w:tc>
      </w:tr>
      <w:tr w:rsidR="006612E7" w:rsidRPr="00CB75BD" w:rsidTr="00840349">
        <w:trPr>
          <w:cantSplit/>
          <w:trHeight w:val="295"/>
          <w:jc w:val="center"/>
        </w:trPr>
        <w:tc>
          <w:tcPr>
            <w:tcW w:w="4104"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rPr>
                <w:lang w:val="en-GB"/>
              </w:rPr>
            </w:pPr>
            <w:r w:rsidRPr="00CB75BD">
              <w:rPr>
                <w:lang w:val="en-GB"/>
              </w:rPr>
              <w:t>RF 3dB bandwidth (MHz)</w:t>
            </w:r>
          </w:p>
        </w:tc>
        <w:tc>
          <w:tcPr>
            <w:tcW w:w="2221"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jc w:val="center"/>
              <w:rPr>
                <w:lang w:val="en-GB"/>
              </w:rPr>
            </w:pPr>
            <w:r w:rsidRPr="00CB75BD">
              <w:rPr>
                <w:lang w:val="en-GB"/>
              </w:rPr>
              <w:t>8</w:t>
            </w:r>
          </w:p>
        </w:tc>
      </w:tr>
      <w:tr w:rsidR="006612E7" w:rsidRPr="00CB75BD" w:rsidTr="00840349">
        <w:trPr>
          <w:cantSplit/>
          <w:trHeight w:val="295"/>
          <w:jc w:val="center"/>
        </w:trPr>
        <w:tc>
          <w:tcPr>
            <w:tcW w:w="4104"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rPr>
                <w:lang w:val="en-GB"/>
              </w:rPr>
            </w:pPr>
            <w:r w:rsidRPr="00CB75BD">
              <w:rPr>
                <w:lang w:val="en-GB"/>
              </w:rPr>
              <w:t>RF 20dB bandwidth (MHz)</w:t>
            </w:r>
          </w:p>
        </w:tc>
        <w:tc>
          <w:tcPr>
            <w:tcW w:w="2221"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jc w:val="center"/>
              <w:rPr>
                <w:lang w:val="en-GB"/>
              </w:rPr>
            </w:pPr>
            <w:r w:rsidRPr="00CB75BD">
              <w:rPr>
                <w:lang w:val="en-GB"/>
              </w:rPr>
              <w:t>10</w:t>
            </w:r>
          </w:p>
        </w:tc>
      </w:tr>
      <w:tr w:rsidR="006612E7" w:rsidRPr="00CB75BD" w:rsidTr="00840349">
        <w:trPr>
          <w:cantSplit/>
          <w:trHeight w:val="295"/>
          <w:jc w:val="center"/>
        </w:trPr>
        <w:tc>
          <w:tcPr>
            <w:tcW w:w="4104"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rPr>
                <w:lang w:val="en-GB"/>
              </w:rPr>
            </w:pPr>
            <w:r w:rsidRPr="00CB75BD">
              <w:rPr>
                <w:lang w:val="en-GB"/>
              </w:rPr>
              <w:t>Transmit peak power (dBW)</w:t>
            </w:r>
          </w:p>
        </w:tc>
        <w:tc>
          <w:tcPr>
            <w:tcW w:w="2221"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jc w:val="center"/>
              <w:rPr>
                <w:lang w:val="en-GB"/>
              </w:rPr>
            </w:pPr>
            <w:r w:rsidRPr="00CB75BD">
              <w:rPr>
                <w:lang w:val="en-GB"/>
              </w:rPr>
              <w:t>20</w:t>
            </w:r>
          </w:p>
        </w:tc>
      </w:tr>
      <w:tr w:rsidR="006612E7" w:rsidRPr="00CB75BD" w:rsidTr="00840349">
        <w:trPr>
          <w:cantSplit/>
          <w:trHeight w:val="295"/>
          <w:jc w:val="center"/>
        </w:trPr>
        <w:tc>
          <w:tcPr>
            <w:tcW w:w="4104" w:type="dxa"/>
            <w:tcBorders>
              <w:top w:val="single" w:sz="4" w:space="0" w:color="auto"/>
              <w:left w:val="single" w:sz="4" w:space="0" w:color="auto"/>
              <w:right w:val="single" w:sz="4" w:space="0" w:color="auto"/>
            </w:tcBorders>
            <w:shd w:val="clear" w:color="auto" w:fill="auto"/>
          </w:tcPr>
          <w:p w:rsidR="006612E7" w:rsidRPr="00CB75BD" w:rsidRDefault="006612E7" w:rsidP="00840349">
            <w:pPr>
              <w:pStyle w:val="Tabletext"/>
              <w:spacing w:before="20" w:after="20"/>
              <w:rPr>
                <w:lang w:val="en-GB"/>
              </w:rPr>
            </w:pPr>
            <w:r w:rsidRPr="00CB75BD">
              <w:rPr>
                <w:lang w:val="en-GB"/>
              </w:rPr>
              <w:t>Pulsewidth (usec)</w:t>
            </w:r>
          </w:p>
        </w:tc>
        <w:tc>
          <w:tcPr>
            <w:tcW w:w="2221"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jc w:val="center"/>
              <w:rPr>
                <w:lang w:val="en-GB"/>
              </w:rPr>
            </w:pPr>
            <w:r w:rsidRPr="00CB75BD">
              <w:rPr>
                <w:lang w:val="en-GB"/>
              </w:rPr>
              <w:t>85</w:t>
            </w:r>
          </w:p>
        </w:tc>
      </w:tr>
      <w:tr w:rsidR="006612E7" w:rsidRPr="00CB75BD" w:rsidTr="00840349">
        <w:trPr>
          <w:cantSplit/>
          <w:trHeight w:val="295"/>
          <w:jc w:val="center"/>
        </w:trPr>
        <w:tc>
          <w:tcPr>
            <w:tcW w:w="4104" w:type="dxa"/>
            <w:tcBorders>
              <w:top w:val="single" w:sz="4" w:space="0" w:color="auto"/>
              <w:left w:val="single" w:sz="4" w:space="0" w:color="auto"/>
              <w:right w:val="single" w:sz="4" w:space="0" w:color="auto"/>
            </w:tcBorders>
            <w:shd w:val="clear" w:color="auto" w:fill="auto"/>
          </w:tcPr>
          <w:p w:rsidR="006612E7" w:rsidRPr="00CB75BD" w:rsidRDefault="006612E7" w:rsidP="00840349">
            <w:pPr>
              <w:pStyle w:val="Tabletext"/>
              <w:spacing w:before="20" w:after="20"/>
              <w:rPr>
                <w:lang w:val="en-GB"/>
              </w:rPr>
            </w:pPr>
            <w:r w:rsidRPr="00CB75BD">
              <w:rPr>
                <w:lang w:val="en-GB"/>
              </w:rPr>
              <w:t>Pulse Repetition Frequency (PRF) (Hz)</w:t>
            </w:r>
          </w:p>
        </w:tc>
        <w:tc>
          <w:tcPr>
            <w:tcW w:w="2221" w:type="dxa"/>
            <w:tcBorders>
              <w:top w:val="single" w:sz="4" w:space="0" w:color="auto"/>
              <w:left w:val="single" w:sz="4" w:space="0" w:color="auto"/>
              <w:right w:val="single" w:sz="4" w:space="0" w:color="auto"/>
            </w:tcBorders>
            <w:shd w:val="clear" w:color="auto" w:fill="auto"/>
            <w:vAlign w:val="center"/>
          </w:tcPr>
          <w:p w:rsidR="006612E7" w:rsidRPr="00CB75BD" w:rsidRDefault="006612E7" w:rsidP="00840349">
            <w:pPr>
              <w:pStyle w:val="Tabletext"/>
              <w:spacing w:before="20" w:after="20"/>
              <w:jc w:val="center"/>
              <w:rPr>
                <w:lang w:val="en-GB"/>
              </w:rPr>
            </w:pPr>
            <w:r w:rsidRPr="00CB75BD">
              <w:rPr>
                <w:lang w:val="en-GB"/>
              </w:rPr>
              <w:t>1200</w:t>
            </w:r>
          </w:p>
        </w:tc>
      </w:tr>
      <w:tr w:rsidR="006612E7" w:rsidRPr="00CB75BD" w:rsidTr="00840349">
        <w:trPr>
          <w:cantSplit/>
          <w:trHeight w:val="295"/>
          <w:jc w:val="center"/>
        </w:trPr>
        <w:tc>
          <w:tcPr>
            <w:tcW w:w="4104" w:type="dxa"/>
            <w:tcBorders>
              <w:top w:val="single" w:sz="4" w:space="0" w:color="auto"/>
              <w:left w:val="single" w:sz="4" w:space="0" w:color="auto"/>
              <w:bottom w:val="single" w:sz="4" w:space="0" w:color="auto"/>
              <w:right w:val="single" w:sz="4" w:space="0" w:color="auto"/>
            </w:tcBorders>
            <w:shd w:val="clear" w:color="auto" w:fill="auto"/>
          </w:tcPr>
          <w:p w:rsidR="006612E7" w:rsidRPr="00CB75BD" w:rsidRDefault="006612E7" w:rsidP="00840349">
            <w:pPr>
              <w:pStyle w:val="Tabletext"/>
              <w:spacing w:before="20" w:after="20"/>
              <w:rPr>
                <w:lang w:val="en-GB"/>
              </w:rPr>
            </w:pPr>
            <w:r w:rsidRPr="00CB75BD">
              <w:rPr>
                <w:lang w:val="en-GB"/>
              </w:rPr>
              <w:t>Pulse modulation</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6612E7" w:rsidRPr="00CB75BD" w:rsidRDefault="006612E7" w:rsidP="00840349">
            <w:pPr>
              <w:pStyle w:val="Tabletext"/>
              <w:spacing w:before="20" w:after="20"/>
              <w:jc w:val="center"/>
              <w:rPr>
                <w:lang w:val="en-GB"/>
              </w:rPr>
            </w:pPr>
            <w:r w:rsidRPr="00CB75BD">
              <w:rPr>
                <w:lang w:val="en-GB"/>
              </w:rPr>
              <w:t>Linear FM (LFM) Chirp</w:t>
            </w:r>
          </w:p>
        </w:tc>
      </w:tr>
      <w:tr w:rsidR="006612E7" w:rsidRPr="00CB75BD" w:rsidTr="00840349">
        <w:trPr>
          <w:cantSplit/>
          <w:trHeight w:val="295"/>
          <w:jc w:val="center"/>
        </w:trPr>
        <w:tc>
          <w:tcPr>
            <w:tcW w:w="6325" w:type="dxa"/>
            <w:gridSpan w:val="2"/>
            <w:shd w:val="clear" w:color="auto" w:fill="auto"/>
            <w:vAlign w:val="center"/>
          </w:tcPr>
          <w:p w:rsidR="006612E7" w:rsidRPr="00CB75BD" w:rsidRDefault="006612E7" w:rsidP="00840349">
            <w:pPr>
              <w:pStyle w:val="Tablehead"/>
              <w:spacing w:before="40" w:after="40"/>
              <w:jc w:val="left"/>
              <w:rPr>
                <w:lang w:val="en-GB"/>
              </w:rPr>
            </w:pPr>
            <w:r w:rsidRPr="00CB75BD">
              <w:rPr>
                <w:lang w:val="en-GB"/>
              </w:rPr>
              <w:t>Receiver characteristics</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RF centre frequency (MHz)</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45</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Gain (dB)</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40-50</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SNR, dB</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30</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LNA bandwidth (MHz)</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&gt;100</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Final IF filter bandwidth (MHz)</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12</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System noise figure (dB)</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5</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Minimum detectable signal level (dBm)</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−132</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i/>
                <w:iCs/>
                <w:lang w:val="en-GB"/>
              </w:rPr>
              <w:t>I</w:t>
            </w:r>
            <w:r w:rsidRPr="00CB75BD">
              <w:rPr>
                <w:iCs/>
                <w:lang w:val="en-GB"/>
              </w:rPr>
              <w:t>/</w:t>
            </w:r>
            <w:r w:rsidRPr="00CB75BD">
              <w:rPr>
                <w:i/>
                <w:iCs/>
                <w:lang w:val="en-GB"/>
              </w:rPr>
              <w:t>N</w:t>
            </w:r>
            <w:r w:rsidRPr="00CB75BD">
              <w:rPr>
                <w:lang w:val="en-GB"/>
              </w:rPr>
              <w:t xml:space="preserve"> (dB)</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−6</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Interference threshold level (dBm)</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−138</w:t>
            </w:r>
          </w:p>
        </w:tc>
      </w:tr>
      <w:tr w:rsidR="006612E7" w:rsidRPr="00CB75BD" w:rsidTr="00840349">
        <w:trPr>
          <w:cantSplit/>
          <w:trHeight w:val="295"/>
          <w:jc w:val="center"/>
        </w:trPr>
        <w:tc>
          <w:tcPr>
            <w:tcW w:w="4104" w:type="dxa"/>
            <w:shd w:val="clear" w:color="auto" w:fill="auto"/>
          </w:tcPr>
          <w:p w:rsidR="006612E7" w:rsidRPr="00CB75BD" w:rsidRDefault="006612E7" w:rsidP="00840349">
            <w:pPr>
              <w:pStyle w:val="Tabletext"/>
              <w:spacing w:before="20" w:after="20"/>
              <w:rPr>
                <w:lang w:val="en-GB"/>
              </w:rPr>
            </w:pPr>
            <w:r w:rsidRPr="00CB75BD">
              <w:rPr>
                <w:lang w:val="en-GB"/>
              </w:rPr>
              <w:t>Dynamic range (dB)</w:t>
            </w:r>
          </w:p>
        </w:tc>
        <w:tc>
          <w:tcPr>
            <w:tcW w:w="2221" w:type="dxa"/>
            <w:shd w:val="clear" w:color="auto" w:fill="auto"/>
          </w:tcPr>
          <w:p w:rsidR="006612E7" w:rsidRPr="00CB75BD" w:rsidRDefault="006612E7" w:rsidP="00840349">
            <w:pPr>
              <w:pStyle w:val="Tabletext"/>
              <w:spacing w:before="20" w:after="20"/>
              <w:jc w:val="center"/>
              <w:rPr>
                <w:lang w:val="en-GB"/>
              </w:rPr>
            </w:pPr>
            <w:r w:rsidRPr="00CB75BD">
              <w:rPr>
                <w:lang w:val="en-GB"/>
              </w:rPr>
              <w:t>&lt;20</w:t>
            </w:r>
          </w:p>
        </w:tc>
      </w:tr>
    </w:tbl>
    <w:p w:rsidR="006612E7" w:rsidRPr="00CB75BD" w:rsidRDefault="006612E7" w:rsidP="006612E7">
      <w:pPr>
        <w:pStyle w:val="Tablefin"/>
      </w:pPr>
    </w:p>
    <w:p w:rsidR="006612E7" w:rsidRPr="00CB75BD" w:rsidRDefault="006612E7" w:rsidP="006612E7">
      <w:pPr>
        <w:rPr>
          <w:lang w:val="en-GB" w:eastAsia="zh-CN"/>
        </w:rPr>
      </w:pPr>
      <w:r w:rsidRPr="00CB75BD">
        <w:rPr>
          <w:lang w:val="en-GB" w:eastAsia="zh-CN"/>
        </w:rPr>
        <w:lastRenderedPageBreak/>
        <w:t>The spaceborne sounding radar antenna is a nine-element cross Yagi antenna with antenna gain of 10 dBi, and beamwidth of 40</w:t>
      </w:r>
      <w:r w:rsidRPr="00CB75BD">
        <w:rPr>
          <w:szCs w:val="24"/>
          <w:lang w:val="en-GB" w:eastAsia="zh-CN"/>
        </w:rPr>
        <w:sym w:font="Symbol" w:char="F0B0"/>
      </w:r>
      <w:r w:rsidRPr="00CB75BD">
        <w:rPr>
          <w:lang w:val="en-GB" w:eastAsia="zh-CN"/>
        </w:rPr>
        <w:t xml:space="preserve"> in range and azimuth as shown in Fig. 1.</w:t>
      </w:r>
    </w:p>
    <w:p w:rsidR="006612E7" w:rsidRPr="00CB75BD" w:rsidRDefault="006612E7" w:rsidP="006612E7">
      <w:pPr>
        <w:pStyle w:val="FigureNo"/>
        <w:rPr>
          <w:lang w:val="en-GB" w:eastAsia="zh-CN"/>
        </w:rPr>
      </w:pPr>
      <w:r w:rsidRPr="00CB75BD">
        <w:rPr>
          <w:lang w:val="en-GB" w:eastAsia="zh-CN"/>
        </w:rPr>
        <w:t>FIGURE 1</w:t>
      </w:r>
    </w:p>
    <w:p w:rsidR="006612E7" w:rsidRPr="00CB75BD" w:rsidRDefault="006612E7" w:rsidP="006612E7">
      <w:pPr>
        <w:pStyle w:val="Figuretitle"/>
        <w:rPr>
          <w:lang w:val="en-GB"/>
        </w:rPr>
      </w:pPr>
      <w:r w:rsidRPr="00CB75BD">
        <w:rPr>
          <w:lang w:val="en-GB"/>
        </w:rPr>
        <w:t>Nine-element Yagi antenna pattern</w:t>
      </w:r>
    </w:p>
    <w:p w:rsidR="006612E7" w:rsidRPr="00CB75BD" w:rsidRDefault="006612E7" w:rsidP="006612E7">
      <w:pPr>
        <w:pStyle w:val="Figure"/>
        <w:rPr>
          <w:lang w:val="en-GB"/>
        </w:rPr>
      </w:pPr>
      <w:r w:rsidRPr="00CB75BD">
        <w:rPr>
          <w:lang w:val="en-GB"/>
        </w:rPr>
        <w:object w:dxaOrig="9780" w:dyaOrig="10114">
          <v:shape id="_x0000_i1026" type="#_x0000_t75" alt="" style="width:425.1pt;height:420.75pt;mso-width-percent:0;mso-height-percent:0;mso-width-percent:0;mso-height-percent:0" o:ole="">
            <v:imagedata r:id="rId14" o:title="" cropbottom="2469f"/>
          </v:shape>
          <o:OLEObject Type="Embed" ProgID="CorelDRAW.Graphic.14" ShapeID="_x0000_i1026" DrawAspect="Content" ObjectID="_1625486844" r:id="rId15"/>
        </w:object>
      </w:r>
    </w:p>
    <w:p w:rsidR="006612E7" w:rsidRPr="00CB75BD" w:rsidRDefault="006612E7" w:rsidP="00D516E3">
      <w:pPr>
        <w:pStyle w:val="Heading2"/>
        <w:rPr>
          <w:lang w:val="en-GB" w:eastAsia="zh-CN"/>
        </w:rPr>
      </w:pPr>
      <w:bookmarkStart w:id="21" w:name="_Toc14851668"/>
      <w:bookmarkStart w:id="22" w:name="_Toc14851758"/>
      <w:bookmarkStart w:id="23" w:name="_Toc14858063"/>
      <w:bookmarkStart w:id="24" w:name="_Toc14858444"/>
      <w:r w:rsidRPr="00CB75BD">
        <w:rPr>
          <w:lang w:val="en-GB"/>
        </w:rPr>
        <w:t>2.3</w:t>
      </w:r>
      <w:r w:rsidRPr="00CB75BD">
        <w:rPr>
          <w:lang w:val="en-GB"/>
        </w:rPr>
        <w:tab/>
      </w:r>
      <w:r w:rsidRPr="00CB75BD">
        <w:rPr>
          <w:lang w:val="en-GB" w:eastAsia="zh-CN"/>
        </w:rPr>
        <w:t xml:space="preserve">Orbital </w:t>
      </w:r>
      <w:r w:rsidRPr="00CB75BD">
        <w:rPr>
          <w:lang w:val="en-GB"/>
        </w:rPr>
        <w:t>parameters</w:t>
      </w:r>
      <w:bookmarkEnd w:id="21"/>
      <w:bookmarkEnd w:id="22"/>
      <w:bookmarkEnd w:id="23"/>
      <w:bookmarkEnd w:id="24"/>
    </w:p>
    <w:p w:rsidR="006612E7" w:rsidRPr="00CB75BD" w:rsidRDefault="006612E7" w:rsidP="006612E7">
      <w:pPr>
        <w:rPr>
          <w:lang w:val="en-GB" w:eastAsia="zh-CN"/>
        </w:rPr>
      </w:pPr>
      <w:r w:rsidRPr="00CB75BD">
        <w:rPr>
          <w:lang w:val="en-GB" w:eastAsia="zh-CN"/>
        </w:rPr>
        <w:t>The spaceborne active sensor will be deployed on a low-Earth orbiting satellite at an altitude of 400 km, at an inclination optimized for a sun synchronous orbit and with an eccentricity less than 0.001.</w:t>
      </w:r>
      <w:r w:rsidRPr="00CB75BD">
        <w:rPr>
          <w:lang w:val="en-GB"/>
        </w:rPr>
        <w:t xml:space="preserve"> </w:t>
      </w:r>
      <w:r w:rsidRPr="00CB75BD">
        <w:rPr>
          <w:lang w:val="en-GB" w:eastAsia="zh-CN"/>
        </w:rPr>
        <w:t>Orbital parameters can be found in Table 1.</w:t>
      </w:r>
    </w:p>
    <w:p w:rsidR="006612E7" w:rsidRPr="00CB75BD" w:rsidRDefault="006612E7" w:rsidP="00D516E3">
      <w:pPr>
        <w:pStyle w:val="Heading2"/>
        <w:rPr>
          <w:lang w:val="en-GB" w:eastAsia="zh-CN"/>
        </w:rPr>
      </w:pPr>
      <w:bookmarkStart w:id="25" w:name="_Toc14851669"/>
      <w:bookmarkStart w:id="26" w:name="_Toc14851759"/>
      <w:bookmarkStart w:id="27" w:name="_Toc14858064"/>
      <w:bookmarkStart w:id="28" w:name="_Toc14858445"/>
      <w:r w:rsidRPr="00CB75BD">
        <w:rPr>
          <w:lang w:val="en-GB" w:eastAsia="zh-CN"/>
        </w:rPr>
        <w:t>2.4</w:t>
      </w:r>
      <w:r w:rsidRPr="00CB75BD">
        <w:rPr>
          <w:lang w:val="en-GB" w:eastAsia="zh-CN"/>
        </w:rPr>
        <w:tab/>
        <w:t>Operational limitations</w:t>
      </w:r>
      <w:bookmarkEnd w:id="25"/>
      <w:bookmarkEnd w:id="26"/>
      <w:bookmarkEnd w:id="27"/>
      <w:bookmarkEnd w:id="28"/>
    </w:p>
    <w:p w:rsidR="006612E7" w:rsidRPr="00CB75BD" w:rsidRDefault="006612E7" w:rsidP="006612E7">
      <w:pPr>
        <w:rPr>
          <w:lang w:val="en-GB" w:eastAsia="zh-CN"/>
        </w:rPr>
      </w:pPr>
      <w:r w:rsidRPr="00CB75BD">
        <w:rPr>
          <w:lang w:val="en-GB" w:eastAsia="zh-CN"/>
        </w:rPr>
        <w:t>The sounding radar is to be operated exclusively over un-inhabited or sparsely populated areas of the ice sheets of Greenland and Antarctica and the deserts of northern Africa and the Arabian Peninsula and will operate for a period not to exceed 10 minutes in duration per 92.7 minute orbit.</w:t>
      </w:r>
    </w:p>
    <w:p w:rsidR="006612E7" w:rsidRPr="00CB75BD" w:rsidRDefault="006612E7" w:rsidP="006612E7">
      <w:pPr>
        <w:rPr>
          <w:lang w:val="en-GB" w:eastAsia="zh-CN"/>
        </w:rPr>
      </w:pPr>
      <w:r w:rsidRPr="00CB75BD">
        <w:rPr>
          <w:lang w:val="en-GB" w:eastAsia="zh-CN"/>
        </w:rPr>
        <w:t>Areas of coverage for the proposed regions of operations that depict the geographic area over which the transmitted signal will be propagated are included in Fig. 2.</w:t>
      </w:r>
    </w:p>
    <w:p w:rsidR="006612E7" w:rsidRPr="00CB75BD" w:rsidRDefault="006612E7" w:rsidP="006612E7">
      <w:pPr>
        <w:pStyle w:val="FigureNo"/>
        <w:rPr>
          <w:lang w:val="en-GB"/>
        </w:rPr>
      </w:pPr>
      <w:r w:rsidRPr="00CB75BD">
        <w:rPr>
          <w:lang w:val="en-GB"/>
        </w:rPr>
        <w:lastRenderedPageBreak/>
        <w:t>F</w:t>
      </w:r>
      <w:r w:rsidRPr="00CB75BD">
        <w:rPr>
          <w:lang w:val="en-GB" w:eastAsia="zh-CN"/>
        </w:rPr>
        <w:t>IGURE</w:t>
      </w:r>
      <w:r w:rsidRPr="00CB75BD">
        <w:rPr>
          <w:lang w:val="en-GB"/>
        </w:rPr>
        <w:t xml:space="preserve"> 2</w:t>
      </w:r>
    </w:p>
    <w:p w:rsidR="006612E7" w:rsidRPr="00CB75BD" w:rsidRDefault="006612E7" w:rsidP="006612E7">
      <w:pPr>
        <w:pStyle w:val="Figuretitle"/>
        <w:rPr>
          <w:lang w:val="en-GB"/>
        </w:rPr>
      </w:pPr>
      <w:r w:rsidRPr="00CB75BD">
        <w:rPr>
          <w:lang w:val="en-GB"/>
        </w:rPr>
        <w:t>Spaceborne radar sounder coverage</w:t>
      </w:r>
    </w:p>
    <w:p w:rsidR="006612E7" w:rsidRPr="00CB75BD" w:rsidRDefault="006612E7" w:rsidP="006612E7">
      <w:pPr>
        <w:pStyle w:val="Figure"/>
        <w:rPr>
          <w:lang w:val="en-GB" w:eastAsia="zh-CN"/>
        </w:rPr>
      </w:pPr>
      <w:r w:rsidRPr="00CB75BD">
        <w:rPr>
          <w:noProof/>
          <w:lang w:val="en-GB" w:eastAsia="en-GB"/>
        </w:rPr>
        <w:drawing>
          <wp:inline distT="0" distB="0" distL="0" distR="0" wp14:anchorId="573279BA" wp14:editId="4674ACE9">
            <wp:extent cx="4515902" cy="224251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513772" cy="2241454"/>
                    </a:xfrm>
                    <a:prstGeom prst="rect">
                      <a:avLst/>
                    </a:prstGeom>
                  </pic:spPr>
                </pic:pic>
              </a:graphicData>
            </a:graphic>
          </wp:inline>
        </w:drawing>
      </w:r>
    </w:p>
    <w:p w:rsidR="006612E7" w:rsidRPr="00CB75BD" w:rsidRDefault="006612E7" w:rsidP="006612E7">
      <w:pPr>
        <w:pStyle w:val="Normalaftertitle"/>
        <w:rPr>
          <w:lang w:val="en-GB"/>
        </w:rPr>
      </w:pPr>
      <w:r w:rsidRPr="00CB75BD">
        <w:rPr>
          <w:lang w:val="en-GB" w:eastAsia="zh-CN"/>
        </w:rPr>
        <w:t>The radar is to be operated only at night-time between the local hours of 3 a.m. to 6 a.m. This period of operation during the day was chosen because ionospheric perturbations to the radar signal are at a minimum during this time period and use of the spectrum by other services is expected to be the lightest.</w:t>
      </w:r>
    </w:p>
    <w:p w:rsidR="006612E7" w:rsidRPr="00CB75BD" w:rsidRDefault="006612E7" w:rsidP="006612E7">
      <w:pPr>
        <w:overflowPunct/>
        <w:autoSpaceDE/>
        <w:autoSpaceDN/>
        <w:adjustRightInd/>
        <w:textAlignment w:val="auto"/>
        <w:rPr>
          <w:color w:val="000000"/>
          <w:szCs w:val="24"/>
          <w:lang w:val="en-GB"/>
        </w:rPr>
      </w:pPr>
      <w:r w:rsidRPr="00CB75BD">
        <w:rPr>
          <w:color w:val="000000"/>
          <w:szCs w:val="24"/>
          <w:lang w:val="en-GB"/>
        </w:rPr>
        <w:t xml:space="preserve">It is also important to note that this study considers the operational scientific objectives and constraints of the radar sounder described in </w:t>
      </w:r>
      <w:r w:rsidRPr="00CB75BD">
        <w:rPr>
          <w:rFonts w:eastAsiaTheme="minorEastAsia"/>
          <w:lang w:val="en-GB"/>
        </w:rPr>
        <w:t>Recommendation</w:t>
      </w:r>
      <w:r w:rsidRPr="00CB75BD">
        <w:rPr>
          <w:color w:val="000000"/>
          <w:szCs w:val="24"/>
          <w:lang w:val="en-GB"/>
        </w:rPr>
        <w:t xml:space="preserve"> ITU-R RS.2042. The study of this report considered the impact of one operational sounder on the incumbent services allocated in the 40</w:t>
      </w:r>
      <w:r w:rsidRPr="00CB75BD">
        <w:rPr>
          <w:color w:val="000000"/>
          <w:szCs w:val="24"/>
          <w:lang w:val="en-GB"/>
        </w:rPr>
        <w:noBreakHyphen/>
        <w:t>50 MHz frequency range. Taking into account the high investment cost associated with this type of sensor observations in the 40-50 MHz band, the number of spaceborne radar sounder missions operating simultaneously is expected to remain very few; perhaps only one, or two, in number.</w:t>
      </w:r>
    </w:p>
    <w:p w:rsidR="006612E7" w:rsidRPr="00CB75BD" w:rsidRDefault="006612E7" w:rsidP="00D516E3">
      <w:pPr>
        <w:pStyle w:val="Heading2"/>
        <w:rPr>
          <w:lang w:val="en-GB" w:eastAsia="zh-CN"/>
        </w:rPr>
      </w:pPr>
      <w:bookmarkStart w:id="29" w:name="_Toc14851670"/>
      <w:bookmarkStart w:id="30" w:name="_Toc14851760"/>
      <w:bookmarkStart w:id="31" w:name="_Toc14858065"/>
      <w:bookmarkStart w:id="32" w:name="_Toc14858446"/>
      <w:r w:rsidRPr="00CB75BD">
        <w:rPr>
          <w:lang w:val="en-GB" w:eastAsia="zh-CN"/>
        </w:rPr>
        <w:t>2.5</w:t>
      </w:r>
      <w:r w:rsidRPr="00CB75BD">
        <w:rPr>
          <w:lang w:val="en-GB" w:eastAsia="zh-CN"/>
        </w:rPr>
        <w:tab/>
        <w:t xml:space="preserve">Pfd and spectral </w:t>
      </w:r>
      <w:r w:rsidRPr="00CB75BD">
        <w:rPr>
          <w:lang w:val="en-GB"/>
        </w:rPr>
        <w:t>pfd</w:t>
      </w:r>
      <w:r w:rsidRPr="00CB75BD">
        <w:rPr>
          <w:lang w:val="en-GB" w:eastAsia="zh-CN"/>
        </w:rPr>
        <w:t xml:space="preserve"> levels at Earth’s surface</w:t>
      </w:r>
      <w:bookmarkEnd w:id="29"/>
      <w:bookmarkEnd w:id="30"/>
      <w:bookmarkEnd w:id="31"/>
      <w:bookmarkEnd w:id="32"/>
    </w:p>
    <w:p w:rsidR="006612E7" w:rsidRPr="00CB75BD" w:rsidRDefault="006612E7" w:rsidP="006612E7">
      <w:pPr>
        <w:rPr>
          <w:lang w:val="en-GB" w:eastAsia="zh-CN"/>
        </w:rPr>
      </w:pPr>
      <w:r w:rsidRPr="00CB75BD">
        <w:rPr>
          <w:lang w:val="en-GB" w:eastAsia="zh-CN"/>
        </w:rPr>
        <w:t>For the parameters of the sounding radar in Table 1, the power flux-density (pfd) level at the Earth’s surface is calculated to be −93.3 </w:t>
      </w:r>
      <w:proofErr w:type="gramStart"/>
      <w:r w:rsidRPr="00CB75BD">
        <w:rPr>
          <w:lang w:val="en-GB" w:eastAsia="zh-CN"/>
        </w:rPr>
        <w:t>dB(</w:t>
      </w:r>
      <w:proofErr w:type="gramEnd"/>
      <w:r w:rsidRPr="00CB75BD">
        <w:rPr>
          <w:lang w:val="en-GB" w:eastAsia="zh-CN"/>
        </w:rPr>
        <w:t>W/m</w:t>
      </w:r>
      <w:r w:rsidRPr="00CB75BD">
        <w:rPr>
          <w:vertAlign w:val="superscript"/>
          <w:lang w:val="en-GB" w:eastAsia="zh-CN"/>
        </w:rPr>
        <w:t>2</w:t>
      </w:r>
      <w:r w:rsidRPr="00CB75BD">
        <w:rPr>
          <w:lang w:val="en-GB" w:eastAsia="zh-CN"/>
        </w:rPr>
        <w:t>) at 45 MHz, corresponding to spectral pfd levels of −163.3 dB(W/m</w:t>
      </w:r>
      <w:r w:rsidRPr="00CB75BD">
        <w:rPr>
          <w:vertAlign w:val="superscript"/>
          <w:lang w:val="en-GB" w:eastAsia="zh-CN"/>
        </w:rPr>
        <w:t>2</w:t>
      </w:r>
      <w:r w:rsidRPr="00CB75BD">
        <w:rPr>
          <w:lang w:val="en-GB" w:eastAsia="zh-CN"/>
        </w:rPr>
        <w:t>Hz) at 45 MHz. The antenna orientation will be nadir.</w:t>
      </w:r>
    </w:p>
    <w:p w:rsidR="006612E7" w:rsidRPr="00CB75BD" w:rsidRDefault="006612E7" w:rsidP="006612E7">
      <w:pPr>
        <w:rPr>
          <w:lang w:val="en-GB"/>
        </w:rPr>
      </w:pPr>
      <w:r w:rsidRPr="00CB75BD">
        <w:rPr>
          <w:lang w:val="en-GB"/>
        </w:rPr>
        <w:t>Figure 3 shows the results of a static area analysis based on power and antenna characteristics and provides some insight into the radar sounder’s radiated power levels (dBW) as seen at the Earth’s surface. Levels within the red circle are −120 dBW or greater, levels between the red circle and the yellow circle vary from −120 to −130 dBW and levels between the yellow circle and the white circle fall between −130 and −150 dBW, levels outside of the white circle will be less than −150 dBW.</w:t>
      </w:r>
    </w:p>
    <w:p w:rsidR="006612E7" w:rsidRPr="00CB75BD" w:rsidRDefault="006612E7" w:rsidP="006612E7">
      <w:pPr>
        <w:pStyle w:val="FigureNo"/>
        <w:rPr>
          <w:lang w:val="en-GB"/>
        </w:rPr>
      </w:pPr>
      <w:r w:rsidRPr="00CB75BD">
        <w:rPr>
          <w:lang w:val="en-GB"/>
        </w:rPr>
        <w:lastRenderedPageBreak/>
        <w:t>FIGURE 3</w:t>
      </w:r>
    </w:p>
    <w:p w:rsidR="006612E7" w:rsidRPr="00CB75BD" w:rsidRDefault="006612E7" w:rsidP="006612E7">
      <w:pPr>
        <w:pStyle w:val="Figuretitle"/>
        <w:rPr>
          <w:lang w:val="en-GB"/>
        </w:rPr>
      </w:pPr>
      <w:r w:rsidRPr="00CB75BD">
        <w:rPr>
          <w:lang w:val="en-GB"/>
        </w:rPr>
        <w:t>Radar sounder radiated power at the Earth’s surface</w:t>
      </w:r>
    </w:p>
    <w:p w:rsidR="006612E7" w:rsidRPr="00CB75BD" w:rsidRDefault="006612E7" w:rsidP="006612E7">
      <w:pPr>
        <w:pStyle w:val="Figure"/>
        <w:rPr>
          <w:lang w:val="en-GB" w:eastAsia="zh-CN"/>
        </w:rPr>
      </w:pPr>
      <w:r w:rsidRPr="00CB75BD">
        <w:rPr>
          <w:noProof/>
          <w:lang w:val="en-GB" w:eastAsia="en-GB"/>
        </w:rPr>
        <w:drawing>
          <wp:inline distT="0" distB="0" distL="0" distR="0" wp14:anchorId="051A4668" wp14:editId="5C0BBC80">
            <wp:extent cx="2461214" cy="231933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469102" cy="2326771"/>
                    </a:xfrm>
                    <a:prstGeom prst="rect">
                      <a:avLst/>
                    </a:prstGeom>
                  </pic:spPr>
                </pic:pic>
              </a:graphicData>
            </a:graphic>
          </wp:inline>
        </w:drawing>
      </w:r>
    </w:p>
    <w:p w:rsidR="006612E7" w:rsidRPr="00CB75BD" w:rsidRDefault="006612E7" w:rsidP="00D516E3">
      <w:pPr>
        <w:pStyle w:val="Heading2"/>
        <w:rPr>
          <w:lang w:val="en-GB"/>
        </w:rPr>
      </w:pPr>
      <w:bookmarkStart w:id="33" w:name="_Toc14851671"/>
      <w:bookmarkStart w:id="34" w:name="_Toc14851761"/>
      <w:bookmarkStart w:id="35" w:name="_Toc14858066"/>
      <w:bookmarkStart w:id="36" w:name="_Toc14858447"/>
      <w:r w:rsidRPr="00CB75BD">
        <w:rPr>
          <w:lang w:val="en-GB"/>
        </w:rPr>
        <w:t>2.6</w:t>
      </w:r>
      <w:r w:rsidRPr="00CB75BD">
        <w:rPr>
          <w:lang w:val="en-GB"/>
        </w:rPr>
        <w:tab/>
        <w:t>Emission Spectrum</w:t>
      </w:r>
      <w:bookmarkEnd w:id="33"/>
      <w:bookmarkEnd w:id="34"/>
      <w:bookmarkEnd w:id="35"/>
      <w:bookmarkEnd w:id="36"/>
    </w:p>
    <w:p w:rsidR="006612E7" w:rsidRPr="00CB75BD" w:rsidRDefault="006612E7" w:rsidP="006612E7">
      <w:pPr>
        <w:rPr>
          <w:lang w:val="en-GB"/>
        </w:rPr>
      </w:pPr>
      <w:r w:rsidRPr="00CB75BD">
        <w:rPr>
          <w:lang w:val="en-GB"/>
        </w:rPr>
        <w:t>Figure 4 shows the typical chirp emission spectrum waveform that is expected for the radar sounder operating in the frequency range of 40</w:t>
      </w:r>
      <w:r w:rsidRPr="00CB75BD">
        <w:rPr>
          <w:lang w:val="en-GB"/>
        </w:rPr>
        <w:noBreakHyphen/>
        <w:t>50 MHz.</w:t>
      </w:r>
    </w:p>
    <w:p w:rsidR="006612E7" w:rsidRPr="00CB75BD" w:rsidRDefault="006612E7" w:rsidP="006612E7">
      <w:pPr>
        <w:pStyle w:val="FigureNo"/>
        <w:rPr>
          <w:lang w:val="en-GB"/>
        </w:rPr>
      </w:pPr>
      <w:r w:rsidRPr="00CB75BD">
        <w:rPr>
          <w:lang w:val="en-GB"/>
        </w:rPr>
        <w:t>FIGURE 4</w:t>
      </w:r>
    </w:p>
    <w:p w:rsidR="006612E7" w:rsidRPr="00CB75BD" w:rsidRDefault="006612E7" w:rsidP="006612E7">
      <w:pPr>
        <w:pStyle w:val="Figuretitle"/>
        <w:rPr>
          <w:lang w:val="en-GB"/>
        </w:rPr>
      </w:pPr>
      <w:r w:rsidRPr="00CB75BD">
        <w:rPr>
          <w:lang w:val="en-GB"/>
        </w:rPr>
        <w:t>Typical chirp emission spectrum</w:t>
      </w:r>
    </w:p>
    <w:p w:rsidR="006612E7" w:rsidRPr="00CB75BD" w:rsidRDefault="006612E7" w:rsidP="006612E7">
      <w:pPr>
        <w:pStyle w:val="Figure"/>
        <w:rPr>
          <w:lang w:val="en-GB"/>
        </w:rPr>
      </w:pPr>
      <w:r w:rsidRPr="00CB75BD">
        <w:rPr>
          <w:noProof/>
          <w:lang w:val="en-GB" w:eastAsia="en-GB"/>
        </w:rPr>
        <w:drawing>
          <wp:inline distT="0" distB="0" distL="0" distR="0" wp14:anchorId="494B6798" wp14:editId="6CD21E0A">
            <wp:extent cx="5130800" cy="2993390"/>
            <wp:effectExtent l="0" t="0" r="0" b="0"/>
            <wp:docPr id="1" name="img890753" descr="aaf2e240-c7d0-46ff-84da-f7a6cdb0f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890753" descr="aaf2e240-c7d0-46ff-84da-f7a6cdb0f1a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130800" cy="2993390"/>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D516E3">
      <w:pPr>
        <w:pStyle w:val="Heading1"/>
        <w:rPr>
          <w:lang w:val="en-GB"/>
        </w:rPr>
      </w:pPr>
      <w:bookmarkStart w:id="37" w:name="_Toc14851672"/>
      <w:bookmarkStart w:id="38" w:name="_Toc14851762"/>
      <w:bookmarkStart w:id="39" w:name="_Toc14858067"/>
      <w:bookmarkStart w:id="40" w:name="_Toc14858448"/>
      <w:r w:rsidRPr="00CB75BD">
        <w:rPr>
          <w:lang w:val="en-GB"/>
        </w:rPr>
        <w:t>3</w:t>
      </w:r>
      <w:r w:rsidRPr="00CB75BD">
        <w:rPr>
          <w:lang w:val="en-GB"/>
        </w:rPr>
        <w:tab/>
        <w:t>Characteristics for services operating in the 40-50 MHz frequency band</w:t>
      </w:r>
      <w:bookmarkEnd w:id="37"/>
      <w:bookmarkEnd w:id="38"/>
      <w:bookmarkEnd w:id="39"/>
      <w:bookmarkEnd w:id="40"/>
    </w:p>
    <w:p w:rsidR="006612E7" w:rsidRPr="00CB75BD" w:rsidRDefault="006612E7" w:rsidP="00D516E3">
      <w:pPr>
        <w:pStyle w:val="Heading2"/>
        <w:rPr>
          <w:lang w:val="en-GB"/>
        </w:rPr>
      </w:pPr>
      <w:bookmarkStart w:id="41" w:name="_Toc14851673"/>
      <w:bookmarkStart w:id="42" w:name="_Toc14851763"/>
      <w:bookmarkStart w:id="43" w:name="_Toc14858068"/>
      <w:bookmarkStart w:id="44" w:name="_Toc14858449"/>
      <w:r w:rsidRPr="00CB75BD">
        <w:rPr>
          <w:rFonts w:ascii="Times New Roman Bold" w:hAnsi="Times New Roman Bold"/>
          <w:lang w:val="en-GB"/>
        </w:rPr>
        <w:t>3.1</w:t>
      </w:r>
      <w:r w:rsidRPr="00CB75BD">
        <w:rPr>
          <w:lang w:val="en-GB"/>
        </w:rPr>
        <w:tab/>
        <w:t>Allocated services within and nearby (±15 MHz) the 40-50 MHz frequency band</w:t>
      </w:r>
      <w:bookmarkEnd w:id="41"/>
      <w:bookmarkEnd w:id="42"/>
      <w:bookmarkEnd w:id="43"/>
      <w:bookmarkEnd w:id="44"/>
    </w:p>
    <w:p w:rsidR="006612E7" w:rsidRPr="00CB75BD" w:rsidRDefault="006612E7" w:rsidP="006612E7">
      <w:pPr>
        <w:rPr>
          <w:lang w:val="en-GB"/>
        </w:rPr>
      </w:pPr>
      <w:r w:rsidRPr="00CB75BD">
        <w:rPr>
          <w:lang w:val="en-GB"/>
        </w:rPr>
        <w:t>Table 2 summarizes the incumbent service allocations within and nearby (±15 MHz) the 40</w:t>
      </w:r>
      <w:r w:rsidRPr="00CB75BD">
        <w:rPr>
          <w:lang w:val="en-GB"/>
        </w:rPr>
        <w:noBreakHyphen/>
        <w:t>50 MHz frequency band.</w:t>
      </w:r>
    </w:p>
    <w:p w:rsidR="006612E7" w:rsidRPr="00CB75BD" w:rsidRDefault="006612E7" w:rsidP="006612E7">
      <w:pPr>
        <w:pStyle w:val="TableNo"/>
        <w:rPr>
          <w:lang w:val="en-GB"/>
        </w:rPr>
      </w:pPr>
      <w:r w:rsidRPr="00CB75BD">
        <w:rPr>
          <w:lang w:val="en-GB"/>
        </w:rPr>
        <w:lastRenderedPageBreak/>
        <w:t>TABLE 2</w:t>
      </w:r>
    </w:p>
    <w:p w:rsidR="006612E7" w:rsidRPr="00CB75BD" w:rsidRDefault="006612E7" w:rsidP="006612E7">
      <w:pPr>
        <w:pStyle w:val="Tabletitle"/>
        <w:rPr>
          <w:lang w:val="en-GB"/>
        </w:rPr>
      </w:pPr>
      <w:r w:rsidRPr="00CB75BD">
        <w:rPr>
          <w:lang w:val="en-GB"/>
        </w:rPr>
        <w:t>Allocation summary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2050"/>
        <w:gridCol w:w="2010"/>
        <w:gridCol w:w="1707"/>
      </w:tblGrid>
      <w:tr w:rsidR="006612E7" w:rsidRPr="00CB75BD" w:rsidTr="00840349">
        <w:trPr>
          <w:tblHeader/>
          <w:jc w:val="center"/>
        </w:trPr>
        <w:tc>
          <w:tcPr>
            <w:tcW w:w="3051" w:type="dxa"/>
            <w:vMerge w:val="restart"/>
            <w:vAlign w:val="center"/>
          </w:tcPr>
          <w:p w:rsidR="006612E7" w:rsidRPr="00CB75BD" w:rsidRDefault="006612E7" w:rsidP="00840349">
            <w:pPr>
              <w:pStyle w:val="Tablehead"/>
              <w:spacing w:before="40" w:after="40"/>
              <w:rPr>
                <w:lang w:val="en-GB"/>
              </w:rPr>
            </w:pPr>
            <w:r w:rsidRPr="00CB75BD">
              <w:rPr>
                <w:lang w:val="en-GB"/>
              </w:rPr>
              <w:t>Services</w:t>
            </w:r>
          </w:p>
        </w:tc>
        <w:tc>
          <w:tcPr>
            <w:tcW w:w="4544" w:type="dxa"/>
            <w:gridSpan w:val="3"/>
          </w:tcPr>
          <w:p w:rsidR="006612E7" w:rsidRPr="00CB75BD" w:rsidRDefault="006612E7" w:rsidP="00840349">
            <w:pPr>
              <w:pStyle w:val="Tablehead"/>
              <w:spacing w:before="40" w:after="40"/>
              <w:rPr>
                <w:lang w:val="en-GB"/>
              </w:rPr>
            </w:pPr>
            <w:r w:rsidRPr="00CB75BD">
              <w:rPr>
                <w:lang w:val="en-GB"/>
              </w:rPr>
              <w:t>Frequency band (MHz)</w:t>
            </w:r>
          </w:p>
        </w:tc>
      </w:tr>
      <w:tr w:rsidR="006612E7" w:rsidRPr="00CB75BD" w:rsidTr="00840349">
        <w:trPr>
          <w:tblHeader/>
          <w:jc w:val="center"/>
        </w:trPr>
        <w:tc>
          <w:tcPr>
            <w:tcW w:w="3051" w:type="dxa"/>
            <w:vMerge/>
          </w:tcPr>
          <w:p w:rsidR="006612E7" w:rsidRPr="00CB75BD" w:rsidRDefault="006612E7" w:rsidP="00840349">
            <w:pPr>
              <w:pStyle w:val="Tablehead"/>
              <w:spacing w:before="40" w:after="40"/>
              <w:rPr>
                <w:lang w:val="en-GB"/>
              </w:rPr>
            </w:pPr>
          </w:p>
        </w:tc>
        <w:tc>
          <w:tcPr>
            <w:tcW w:w="1615" w:type="dxa"/>
          </w:tcPr>
          <w:p w:rsidR="006612E7" w:rsidRPr="00CB75BD" w:rsidRDefault="006612E7" w:rsidP="00840349">
            <w:pPr>
              <w:pStyle w:val="Tablehead"/>
              <w:spacing w:before="40" w:after="40"/>
              <w:rPr>
                <w:lang w:val="en-GB"/>
              </w:rPr>
            </w:pPr>
            <w:r w:rsidRPr="00CB75BD">
              <w:rPr>
                <w:lang w:val="en-GB"/>
              </w:rPr>
              <w:t>25-40</w:t>
            </w:r>
          </w:p>
        </w:tc>
        <w:tc>
          <w:tcPr>
            <w:tcW w:w="1584" w:type="dxa"/>
          </w:tcPr>
          <w:p w:rsidR="006612E7" w:rsidRPr="00CB75BD" w:rsidRDefault="006612E7" w:rsidP="00840349">
            <w:pPr>
              <w:pStyle w:val="Tablehead"/>
              <w:spacing w:before="40" w:after="40"/>
              <w:rPr>
                <w:lang w:val="en-GB"/>
              </w:rPr>
            </w:pPr>
            <w:r w:rsidRPr="00CB75BD">
              <w:rPr>
                <w:lang w:val="en-GB"/>
              </w:rPr>
              <w:t>40-50</w:t>
            </w:r>
          </w:p>
        </w:tc>
        <w:tc>
          <w:tcPr>
            <w:tcW w:w="1345" w:type="dxa"/>
          </w:tcPr>
          <w:p w:rsidR="006612E7" w:rsidRPr="00CB75BD" w:rsidRDefault="006612E7" w:rsidP="00840349">
            <w:pPr>
              <w:pStyle w:val="Tablehead"/>
              <w:spacing w:before="40" w:after="40"/>
              <w:rPr>
                <w:lang w:val="en-GB"/>
              </w:rPr>
            </w:pPr>
            <w:r w:rsidRPr="00CB75BD">
              <w:rPr>
                <w:lang w:val="en-GB"/>
              </w:rPr>
              <w:t>50-65</w:t>
            </w:r>
          </w:p>
        </w:tc>
      </w:tr>
      <w:tr w:rsidR="006612E7" w:rsidRPr="00CB75BD" w:rsidTr="00840349">
        <w:trPr>
          <w:jc w:val="center"/>
        </w:trPr>
        <w:tc>
          <w:tcPr>
            <w:tcW w:w="3051" w:type="dxa"/>
            <w:vMerge w:val="restart"/>
            <w:vAlign w:val="center"/>
          </w:tcPr>
          <w:p w:rsidR="006612E7" w:rsidRPr="00CB75BD" w:rsidRDefault="006612E7" w:rsidP="00840349">
            <w:pPr>
              <w:pStyle w:val="Tabletext"/>
              <w:spacing w:before="20" w:after="20"/>
              <w:jc w:val="center"/>
              <w:rPr>
                <w:lang w:val="en-GB"/>
              </w:rPr>
            </w:pPr>
            <w:r w:rsidRPr="00CB75BD">
              <w:rPr>
                <w:lang w:val="en-GB"/>
              </w:rPr>
              <w:t>Standard Frequency and Time</w:t>
            </w:r>
          </w:p>
        </w:tc>
        <w:tc>
          <w:tcPr>
            <w:tcW w:w="1615" w:type="dxa"/>
          </w:tcPr>
          <w:p w:rsidR="006612E7" w:rsidRPr="00CB75BD" w:rsidRDefault="006612E7" w:rsidP="00840349">
            <w:pPr>
              <w:pStyle w:val="Tabletext"/>
              <w:spacing w:before="20" w:after="20"/>
              <w:jc w:val="center"/>
              <w:rPr>
                <w:lang w:val="en-GB"/>
              </w:rPr>
            </w:pPr>
            <w:r w:rsidRPr="00CB75BD">
              <w:rPr>
                <w:lang w:val="en-GB"/>
              </w:rPr>
              <w:t>24.99-25.005</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39.986-40.02</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val="restart"/>
            <w:vAlign w:val="center"/>
          </w:tcPr>
          <w:p w:rsidR="006612E7" w:rsidRPr="00CB75BD" w:rsidRDefault="006612E7" w:rsidP="00840349">
            <w:pPr>
              <w:pStyle w:val="Tabletext"/>
              <w:spacing w:before="20" w:after="20"/>
              <w:jc w:val="center"/>
              <w:rPr>
                <w:lang w:val="en-GB"/>
              </w:rPr>
            </w:pPr>
            <w:r w:rsidRPr="00CB75BD">
              <w:rPr>
                <w:lang w:val="en-GB"/>
              </w:rPr>
              <w:t>Fixed</w:t>
            </w:r>
          </w:p>
        </w:tc>
        <w:tc>
          <w:tcPr>
            <w:tcW w:w="1615" w:type="dxa"/>
          </w:tcPr>
          <w:p w:rsidR="006612E7" w:rsidRPr="00CB75BD" w:rsidRDefault="006612E7" w:rsidP="00840349">
            <w:pPr>
              <w:pStyle w:val="Tabletext"/>
              <w:spacing w:before="20" w:after="20"/>
              <w:jc w:val="center"/>
              <w:rPr>
                <w:lang w:val="en-GB"/>
              </w:rPr>
            </w:pPr>
            <w:r w:rsidRPr="00CB75BD">
              <w:rPr>
                <w:lang w:val="en-GB"/>
              </w:rPr>
              <w:t>25.01-25.07</w:t>
            </w:r>
          </w:p>
        </w:tc>
        <w:tc>
          <w:tcPr>
            <w:tcW w:w="1584" w:type="dxa"/>
          </w:tcPr>
          <w:p w:rsidR="006612E7" w:rsidRPr="00CB75BD" w:rsidRDefault="006612E7" w:rsidP="00840349">
            <w:pPr>
              <w:pStyle w:val="Tabletext"/>
              <w:spacing w:before="20" w:after="20"/>
              <w:jc w:val="center"/>
              <w:rPr>
                <w:lang w:val="en-GB"/>
              </w:rPr>
            </w:pPr>
            <w:r w:rsidRPr="00CB75BD">
              <w:rPr>
                <w:lang w:val="en-GB"/>
              </w:rPr>
              <w:t>40.02-40.98</w:t>
            </w:r>
          </w:p>
        </w:tc>
        <w:tc>
          <w:tcPr>
            <w:tcW w:w="1345" w:type="dxa"/>
          </w:tcPr>
          <w:p w:rsidR="006612E7" w:rsidRPr="00CB75BD" w:rsidRDefault="006612E7" w:rsidP="00840349">
            <w:pPr>
              <w:pStyle w:val="Tabletext"/>
              <w:spacing w:before="20" w:after="20"/>
              <w:jc w:val="center"/>
              <w:rPr>
                <w:lang w:val="en-GB"/>
              </w:rPr>
            </w:pPr>
            <w:r w:rsidRPr="00CB75BD">
              <w:rPr>
                <w:lang w:val="en-GB"/>
              </w:rPr>
              <w:t>68-74.8</w:t>
            </w: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25.21-25.33</w:t>
            </w:r>
          </w:p>
        </w:tc>
        <w:tc>
          <w:tcPr>
            <w:tcW w:w="1584" w:type="dxa"/>
          </w:tcPr>
          <w:p w:rsidR="006612E7" w:rsidRPr="00CB75BD" w:rsidRDefault="006612E7" w:rsidP="00840349">
            <w:pPr>
              <w:pStyle w:val="Tabletext"/>
              <w:spacing w:before="20" w:after="20"/>
              <w:jc w:val="center"/>
              <w:rPr>
                <w:lang w:val="en-GB"/>
              </w:rPr>
            </w:pPr>
            <w:r w:rsidRPr="00CB75BD">
              <w:rPr>
                <w:lang w:val="en-GB"/>
              </w:rPr>
              <w:t>40.98-41.015</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26.175-26.2</w:t>
            </w:r>
          </w:p>
        </w:tc>
        <w:tc>
          <w:tcPr>
            <w:tcW w:w="1584" w:type="dxa"/>
          </w:tcPr>
          <w:p w:rsidR="006612E7" w:rsidRPr="00CB75BD" w:rsidRDefault="006612E7" w:rsidP="00840349">
            <w:pPr>
              <w:pStyle w:val="Tabletext"/>
              <w:spacing w:before="20" w:after="20"/>
              <w:jc w:val="center"/>
              <w:rPr>
                <w:lang w:val="en-GB"/>
              </w:rPr>
            </w:pPr>
            <w:r w:rsidRPr="00CB75BD">
              <w:rPr>
                <w:lang w:val="en-GB"/>
              </w:rPr>
              <w:t>41.015-42</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26.2-26.35</w:t>
            </w:r>
          </w:p>
        </w:tc>
        <w:tc>
          <w:tcPr>
            <w:tcW w:w="1584" w:type="dxa"/>
          </w:tcPr>
          <w:p w:rsidR="006612E7" w:rsidRPr="00CB75BD" w:rsidRDefault="006612E7" w:rsidP="00840349">
            <w:pPr>
              <w:pStyle w:val="Tabletext"/>
              <w:spacing w:before="20" w:after="20"/>
              <w:jc w:val="center"/>
              <w:rPr>
                <w:lang w:val="en-GB"/>
              </w:rPr>
            </w:pPr>
            <w:r w:rsidRPr="00CB75BD">
              <w:rPr>
                <w:lang w:val="en-GB"/>
              </w:rPr>
              <w:t>42-42.5</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26.2-26.42</w:t>
            </w:r>
          </w:p>
        </w:tc>
        <w:tc>
          <w:tcPr>
            <w:tcW w:w="1584" w:type="dxa"/>
          </w:tcPr>
          <w:p w:rsidR="006612E7" w:rsidRPr="00CB75BD" w:rsidRDefault="006612E7" w:rsidP="00840349">
            <w:pPr>
              <w:pStyle w:val="Tabletext"/>
              <w:spacing w:before="20" w:after="20"/>
              <w:jc w:val="center"/>
              <w:rPr>
                <w:lang w:val="en-GB"/>
              </w:rPr>
            </w:pPr>
            <w:r w:rsidRPr="00CB75BD">
              <w:rPr>
                <w:lang w:val="en-GB"/>
              </w:rPr>
              <w:t>42.5-44</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26.2-26.35</w:t>
            </w:r>
          </w:p>
        </w:tc>
        <w:tc>
          <w:tcPr>
            <w:tcW w:w="1584" w:type="dxa"/>
          </w:tcPr>
          <w:p w:rsidR="006612E7" w:rsidRPr="00CB75BD" w:rsidRDefault="006612E7" w:rsidP="00840349">
            <w:pPr>
              <w:pStyle w:val="Tabletext"/>
              <w:spacing w:before="20" w:after="20"/>
              <w:jc w:val="center"/>
              <w:rPr>
                <w:lang w:val="en-GB"/>
              </w:rPr>
            </w:pPr>
            <w:r w:rsidRPr="00CB75BD">
              <w:rPr>
                <w:lang w:val="en-GB"/>
              </w:rPr>
              <w:t>44-47</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26.35-27.5</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26.42-27.5</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26.35-27.5</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27.5-28</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29.7-30.005</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37.5-38.02</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38.25-39.986</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trHeight w:val="129"/>
          <w:jc w:val="center"/>
        </w:trPr>
        <w:tc>
          <w:tcPr>
            <w:tcW w:w="3051" w:type="dxa"/>
            <w:vMerge w:val="restart"/>
            <w:vAlign w:val="center"/>
          </w:tcPr>
          <w:p w:rsidR="006612E7" w:rsidRPr="00CB75BD" w:rsidRDefault="006612E7" w:rsidP="00840349">
            <w:pPr>
              <w:pStyle w:val="Tabletext"/>
              <w:spacing w:before="20" w:after="20"/>
              <w:jc w:val="center"/>
              <w:rPr>
                <w:lang w:val="en-GB"/>
              </w:rPr>
            </w:pPr>
            <w:r w:rsidRPr="00CB75BD">
              <w:rPr>
                <w:lang w:val="en-GB"/>
              </w:rPr>
              <w:t>Mobile</w:t>
            </w:r>
          </w:p>
        </w:tc>
        <w:tc>
          <w:tcPr>
            <w:tcW w:w="1615" w:type="dxa"/>
          </w:tcPr>
          <w:p w:rsidR="006612E7" w:rsidRPr="00CB75BD" w:rsidRDefault="006612E7" w:rsidP="00840349">
            <w:pPr>
              <w:pStyle w:val="Tabletext"/>
              <w:spacing w:before="20" w:after="20"/>
              <w:jc w:val="center"/>
              <w:rPr>
                <w:lang w:val="en-GB"/>
              </w:rPr>
            </w:pPr>
            <w:r w:rsidRPr="00CB75BD">
              <w:rPr>
                <w:lang w:val="en-GB"/>
              </w:rPr>
              <w:t>25.01-25.07</w:t>
            </w:r>
          </w:p>
        </w:tc>
        <w:tc>
          <w:tcPr>
            <w:tcW w:w="1584" w:type="dxa"/>
          </w:tcPr>
          <w:p w:rsidR="006612E7" w:rsidRPr="00CB75BD" w:rsidRDefault="006612E7" w:rsidP="00840349">
            <w:pPr>
              <w:pStyle w:val="Tabletext"/>
              <w:spacing w:before="20" w:after="20"/>
              <w:jc w:val="center"/>
              <w:rPr>
                <w:lang w:val="en-GB"/>
              </w:rPr>
            </w:pPr>
            <w:r w:rsidRPr="00CB75BD">
              <w:rPr>
                <w:lang w:val="en-GB"/>
              </w:rPr>
              <w:t>40.02-40.98</w:t>
            </w:r>
          </w:p>
        </w:tc>
        <w:tc>
          <w:tcPr>
            <w:tcW w:w="1345" w:type="dxa"/>
          </w:tcPr>
          <w:p w:rsidR="006612E7" w:rsidRPr="00CB75BD" w:rsidRDefault="006612E7" w:rsidP="00840349">
            <w:pPr>
              <w:pStyle w:val="Tabletext"/>
              <w:spacing w:before="20" w:after="20"/>
              <w:jc w:val="center"/>
              <w:rPr>
                <w:lang w:val="en-GB"/>
              </w:rPr>
            </w:pPr>
            <w:r w:rsidRPr="00CB75BD">
              <w:rPr>
                <w:lang w:val="en-GB"/>
              </w:rPr>
              <w:t>68-74.8</w:t>
            </w: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25.21-25.33</w:t>
            </w:r>
          </w:p>
        </w:tc>
        <w:tc>
          <w:tcPr>
            <w:tcW w:w="1584" w:type="dxa"/>
          </w:tcPr>
          <w:p w:rsidR="006612E7" w:rsidRPr="00CB75BD" w:rsidRDefault="006612E7" w:rsidP="00840349">
            <w:pPr>
              <w:pStyle w:val="Tabletext"/>
              <w:spacing w:before="20" w:after="20"/>
              <w:jc w:val="center"/>
              <w:rPr>
                <w:lang w:val="en-GB"/>
              </w:rPr>
            </w:pPr>
            <w:r w:rsidRPr="00CB75BD">
              <w:rPr>
                <w:lang w:val="en-GB"/>
              </w:rPr>
              <w:t>40.98-41.015</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27.5-28</w:t>
            </w:r>
          </w:p>
        </w:tc>
        <w:tc>
          <w:tcPr>
            <w:tcW w:w="1584" w:type="dxa"/>
          </w:tcPr>
          <w:p w:rsidR="006612E7" w:rsidRPr="00CB75BD" w:rsidRDefault="006612E7" w:rsidP="00840349">
            <w:pPr>
              <w:pStyle w:val="Tabletext"/>
              <w:spacing w:before="20" w:after="20"/>
              <w:jc w:val="center"/>
              <w:rPr>
                <w:lang w:val="en-GB"/>
              </w:rPr>
            </w:pPr>
            <w:r w:rsidRPr="00CB75BD">
              <w:rPr>
                <w:lang w:val="en-GB"/>
              </w:rPr>
              <w:t>41.015-42</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29.7-30.006</w:t>
            </w:r>
          </w:p>
        </w:tc>
        <w:tc>
          <w:tcPr>
            <w:tcW w:w="1584" w:type="dxa"/>
          </w:tcPr>
          <w:p w:rsidR="006612E7" w:rsidRPr="00CB75BD" w:rsidRDefault="006612E7" w:rsidP="00840349">
            <w:pPr>
              <w:pStyle w:val="Tabletext"/>
              <w:spacing w:before="20" w:after="20"/>
              <w:jc w:val="center"/>
              <w:rPr>
                <w:lang w:val="en-GB"/>
              </w:rPr>
            </w:pPr>
            <w:r w:rsidRPr="00CB75BD">
              <w:rPr>
                <w:lang w:val="en-GB"/>
              </w:rPr>
              <w:t>42-42.5</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37.5-38.25</w:t>
            </w:r>
          </w:p>
        </w:tc>
        <w:tc>
          <w:tcPr>
            <w:tcW w:w="1584" w:type="dxa"/>
          </w:tcPr>
          <w:p w:rsidR="006612E7" w:rsidRPr="00CB75BD" w:rsidRDefault="006612E7" w:rsidP="00840349">
            <w:pPr>
              <w:pStyle w:val="Tabletext"/>
              <w:spacing w:before="20" w:after="20"/>
              <w:jc w:val="center"/>
              <w:rPr>
                <w:lang w:val="en-GB"/>
              </w:rPr>
            </w:pPr>
            <w:r w:rsidRPr="00CB75BD">
              <w:rPr>
                <w:lang w:val="en-GB"/>
              </w:rPr>
              <w:t>42.5-44</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38.25-39.986</w:t>
            </w:r>
          </w:p>
        </w:tc>
        <w:tc>
          <w:tcPr>
            <w:tcW w:w="1584" w:type="dxa"/>
          </w:tcPr>
          <w:p w:rsidR="006612E7" w:rsidRPr="00CB75BD" w:rsidRDefault="006612E7" w:rsidP="00840349">
            <w:pPr>
              <w:pStyle w:val="Tabletext"/>
              <w:spacing w:before="20" w:after="20"/>
              <w:jc w:val="center"/>
              <w:rPr>
                <w:lang w:val="en-GB"/>
              </w:rPr>
            </w:pPr>
            <w:r w:rsidRPr="00CB75BD">
              <w:rPr>
                <w:lang w:val="en-GB"/>
              </w:rPr>
              <w:t>42.5-44</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39.986-40.02</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val="restart"/>
            <w:vAlign w:val="center"/>
          </w:tcPr>
          <w:p w:rsidR="006612E7" w:rsidRPr="00CB75BD" w:rsidRDefault="006612E7" w:rsidP="00840349">
            <w:pPr>
              <w:pStyle w:val="Tabletext"/>
              <w:spacing w:before="20" w:after="20"/>
              <w:jc w:val="center"/>
              <w:rPr>
                <w:lang w:val="en-GB"/>
              </w:rPr>
            </w:pPr>
            <w:r w:rsidRPr="00CB75BD">
              <w:rPr>
                <w:lang w:val="en-GB"/>
              </w:rPr>
              <w:t>Maritime Mobile</w:t>
            </w:r>
          </w:p>
        </w:tc>
        <w:tc>
          <w:tcPr>
            <w:tcW w:w="1615" w:type="dxa"/>
          </w:tcPr>
          <w:p w:rsidR="006612E7" w:rsidRPr="00CB75BD" w:rsidRDefault="006612E7" w:rsidP="00840349">
            <w:pPr>
              <w:pStyle w:val="Tabletext"/>
              <w:spacing w:before="20" w:after="20"/>
              <w:jc w:val="center"/>
              <w:rPr>
                <w:lang w:val="en-GB"/>
              </w:rPr>
            </w:pPr>
            <w:r w:rsidRPr="00CB75BD">
              <w:rPr>
                <w:lang w:val="en-GB"/>
              </w:rPr>
              <w:t>25.07-25.21</w:t>
            </w:r>
          </w:p>
        </w:tc>
        <w:tc>
          <w:tcPr>
            <w:tcW w:w="1584" w:type="dxa"/>
          </w:tcPr>
          <w:p w:rsidR="006612E7" w:rsidRPr="00CB75BD" w:rsidRDefault="006612E7" w:rsidP="00840349">
            <w:pPr>
              <w:pStyle w:val="Tabletext"/>
              <w:spacing w:before="20" w:after="20"/>
              <w:jc w:val="center"/>
              <w:rPr>
                <w:lang w:val="en-GB"/>
              </w:rPr>
            </w:pPr>
            <w:r w:rsidRPr="00CB75BD">
              <w:rPr>
                <w:lang w:val="en-GB"/>
              </w:rPr>
              <w:t>44-47</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26.1-26.175</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val="restart"/>
            <w:vAlign w:val="center"/>
          </w:tcPr>
          <w:p w:rsidR="006612E7" w:rsidRPr="00CB75BD" w:rsidRDefault="006612E7" w:rsidP="00840349">
            <w:pPr>
              <w:pStyle w:val="Tabletext"/>
              <w:spacing w:before="20" w:after="20"/>
              <w:jc w:val="center"/>
              <w:rPr>
                <w:lang w:val="en-GB"/>
              </w:rPr>
            </w:pPr>
            <w:r w:rsidRPr="00CB75BD">
              <w:rPr>
                <w:lang w:val="en-GB"/>
              </w:rPr>
              <w:t>Radio Astronomy</w:t>
            </w:r>
          </w:p>
        </w:tc>
        <w:tc>
          <w:tcPr>
            <w:tcW w:w="1615" w:type="dxa"/>
          </w:tcPr>
          <w:p w:rsidR="006612E7" w:rsidRPr="00CB75BD" w:rsidRDefault="006612E7" w:rsidP="00840349">
            <w:pPr>
              <w:pStyle w:val="Tabletext"/>
              <w:spacing w:before="20" w:after="20"/>
              <w:jc w:val="center"/>
              <w:rPr>
                <w:lang w:val="en-GB"/>
              </w:rPr>
            </w:pPr>
            <w:r w:rsidRPr="00CB75BD">
              <w:rPr>
                <w:lang w:val="en-GB"/>
              </w:rPr>
              <w:t>25.55-25.67</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r w:rsidRPr="00CB75BD">
              <w:rPr>
                <w:lang w:val="en-GB"/>
              </w:rPr>
              <w:t>37.5-38.25</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val="restart"/>
            <w:vAlign w:val="center"/>
          </w:tcPr>
          <w:p w:rsidR="006612E7" w:rsidRPr="00CB75BD" w:rsidRDefault="006612E7" w:rsidP="00840349">
            <w:pPr>
              <w:pStyle w:val="Tabletext"/>
              <w:spacing w:before="20" w:after="20"/>
              <w:jc w:val="center"/>
              <w:rPr>
                <w:lang w:val="en-GB"/>
              </w:rPr>
            </w:pPr>
            <w:r w:rsidRPr="00CB75BD">
              <w:rPr>
                <w:lang w:val="en-GB"/>
              </w:rPr>
              <w:t>Broadcasting</w:t>
            </w:r>
          </w:p>
        </w:tc>
        <w:tc>
          <w:tcPr>
            <w:tcW w:w="1615" w:type="dxa"/>
          </w:tcPr>
          <w:p w:rsidR="006612E7" w:rsidRPr="00CB75BD" w:rsidRDefault="006612E7" w:rsidP="00840349">
            <w:pPr>
              <w:pStyle w:val="Tabletext"/>
              <w:spacing w:before="20" w:after="20"/>
              <w:jc w:val="center"/>
              <w:rPr>
                <w:lang w:val="en-GB"/>
              </w:rPr>
            </w:pPr>
            <w:r w:rsidRPr="00CB75BD">
              <w:rPr>
                <w:lang w:val="en-GB"/>
              </w:rPr>
              <w:t>25.67-26.1</w:t>
            </w:r>
          </w:p>
        </w:tc>
        <w:tc>
          <w:tcPr>
            <w:tcW w:w="1584" w:type="dxa"/>
          </w:tcPr>
          <w:p w:rsidR="006612E7" w:rsidRPr="00CB75BD" w:rsidRDefault="006612E7" w:rsidP="00840349">
            <w:pPr>
              <w:pStyle w:val="Tabletext"/>
              <w:spacing w:before="20" w:after="20"/>
              <w:jc w:val="center"/>
              <w:rPr>
                <w:lang w:val="en-GB"/>
              </w:rPr>
            </w:pPr>
            <w:r w:rsidRPr="00CB75BD">
              <w:rPr>
                <w:lang w:val="en-GB"/>
              </w:rPr>
              <w:t>47-50</w:t>
            </w:r>
          </w:p>
        </w:tc>
        <w:tc>
          <w:tcPr>
            <w:tcW w:w="1345" w:type="dxa"/>
          </w:tcPr>
          <w:p w:rsidR="006612E7" w:rsidRPr="00CB75BD" w:rsidRDefault="006612E7" w:rsidP="00840349">
            <w:pPr>
              <w:pStyle w:val="Tabletext"/>
              <w:spacing w:before="20" w:after="20"/>
              <w:jc w:val="center"/>
              <w:rPr>
                <w:lang w:val="en-GB"/>
              </w:rPr>
            </w:pPr>
            <w:r w:rsidRPr="00CB75BD">
              <w:rPr>
                <w:lang w:val="en-GB"/>
              </w:rPr>
              <w:t>50-68</w:t>
            </w: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jc w:val="center"/>
              <w:rPr>
                <w:lang w:val="en-GB"/>
              </w:rPr>
            </w:pP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r w:rsidRPr="00CB75BD">
              <w:rPr>
                <w:lang w:val="en-GB"/>
              </w:rPr>
              <w:t>68-72</w:t>
            </w:r>
          </w:p>
        </w:tc>
      </w:tr>
      <w:tr w:rsidR="006612E7" w:rsidRPr="00CB75BD" w:rsidTr="00840349">
        <w:trPr>
          <w:jc w:val="center"/>
        </w:trPr>
        <w:tc>
          <w:tcPr>
            <w:tcW w:w="3051" w:type="dxa"/>
            <w:vAlign w:val="center"/>
          </w:tcPr>
          <w:p w:rsidR="006612E7" w:rsidRPr="00CB75BD" w:rsidRDefault="006612E7" w:rsidP="00840349">
            <w:pPr>
              <w:pStyle w:val="Tabletext"/>
              <w:spacing w:before="20" w:after="20"/>
              <w:jc w:val="center"/>
              <w:rPr>
                <w:lang w:val="en-GB"/>
              </w:rPr>
            </w:pPr>
            <w:r w:rsidRPr="00CB75BD">
              <w:rPr>
                <w:lang w:val="en-GB"/>
              </w:rPr>
              <w:t>Meteorological Aids</w:t>
            </w:r>
          </w:p>
        </w:tc>
        <w:tc>
          <w:tcPr>
            <w:tcW w:w="1615" w:type="dxa"/>
          </w:tcPr>
          <w:p w:rsidR="006612E7" w:rsidRPr="00CB75BD" w:rsidRDefault="006612E7" w:rsidP="00840349">
            <w:pPr>
              <w:pStyle w:val="Tabletext"/>
              <w:spacing w:before="20" w:after="20"/>
              <w:jc w:val="center"/>
              <w:rPr>
                <w:lang w:val="en-GB"/>
              </w:rPr>
            </w:pPr>
            <w:r w:rsidRPr="00CB75BD">
              <w:rPr>
                <w:lang w:val="en-GB"/>
              </w:rPr>
              <w:t>27.5-28</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Align w:val="center"/>
          </w:tcPr>
          <w:p w:rsidR="006612E7" w:rsidRPr="00CB75BD" w:rsidRDefault="006612E7" w:rsidP="00840349">
            <w:pPr>
              <w:pStyle w:val="Tabletext"/>
              <w:spacing w:before="20" w:after="20"/>
              <w:jc w:val="center"/>
              <w:rPr>
                <w:lang w:val="en-GB"/>
              </w:rPr>
            </w:pPr>
            <w:r w:rsidRPr="00CB75BD">
              <w:rPr>
                <w:lang w:val="en-GB"/>
              </w:rPr>
              <w:t>Amateur/Amateur Satellite</w:t>
            </w:r>
          </w:p>
        </w:tc>
        <w:tc>
          <w:tcPr>
            <w:tcW w:w="1615" w:type="dxa"/>
          </w:tcPr>
          <w:p w:rsidR="006612E7" w:rsidRPr="00CB75BD" w:rsidRDefault="006612E7" w:rsidP="00840349">
            <w:pPr>
              <w:pStyle w:val="Tabletext"/>
              <w:spacing w:before="20" w:after="20"/>
              <w:jc w:val="center"/>
              <w:rPr>
                <w:lang w:val="en-GB"/>
              </w:rPr>
            </w:pPr>
            <w:r w:rsidRPr="00CB75BD">
              <w:rPr>
                <w:lang w:val="en-GB"/>
              </w:rPr>
              <w:t>28-29.7</w:t>
            </w:r>
          </w:p>
        </w:tc>
        <w:tc>
          <w:tcPr>
            <w:tcW w:w="1584" w:type="dxa"/>
          </w:tcPr>
          <w:p w:rsidR="006612E7" w:rsidRPr="00CB75BD" w:rsidRDefault="006612E7" w:rsidP="00840349">
            <w:pPr>
              <w:pStyle w:val="Tabletext"/>
              <w:spacing w:before="20" w:after="20"/>
              <w:jc w:val="center"/>
              <w:rPr>
                <w:lang w:val="en-GB"/>
              </w:rPr>
            </w:pPr>
          </w:p>
        </w:tc>
        <w:tc>
          <w:tcPr>
            <w:tcW w:w="1345" w:type="dxa"/>
          </w:tcPr>
          <w:p w:rsidR="006612E7" w:rsidRPr="00CB75BD" w:rsidRDefault="006612E7" w:rsidP="00840349">
            <w:pPr>
              <w:pStyle w:val="Tabletext"/>
              <w:spacing w:before="20" w:after="20"/>
              <w:jc w:val="center"/>
              <w:rPr>
                <w:lang w:val="en-GB"/>
              </w:rPr>
            </w:pPr>
            <w:r w:rsidRPr="00CB75BD">
              <w:rPr>
                <w:lang w:val="en-GB"/>
              </w:rPr>
              <w:t>50-54</w:t>
            </w:r>
          </w:p>
        </w:tc>
      </w:tr>
      <w:tr w:rsidR="006612E7" w:rsidRPr="00CB75BD" w:rsidTr="00840349">
        <w:trPr>
          <w:jc w:val="center"/>
        </w:trPr>
        <w:tc>
          <w:tcPr>
            <w:tcW w:w="3051" w:type="dxa"/>
            <w:vMerge w:val="restart"/>
            <w:vAlign w:val="center"/>
          </w:tcPr>
          <w:p w:rsidR="006612E7" w:rsidRPr="00CB75BD" w:rsidRDefault="006612E7" w:rsidP="00840349">
            <w:pPr>
              <w:pStyle w:val="Tabletext"/>
              <w:spacing w:before="20" w:after="20"/>
              <w:jc w:val="center"/>
              <w:rPr>
                <w:lang w:val="en-GB"/>
              </w:rPr>
            </w:pPr>
            <w:r w:rsidRPr="00CB75BD">
              <w:rPr>
                <w:lang w:val="en-GB"/>
              </w:rPr>
              <w:t>Space Research</w:t>
            </w:r>
          </w:p>
        </w:tc>
        <w:tc>
          <w:tcPr>
            <w:tcW w:w="1615" w:type="dxa"/>
          </w:tcPr>
          <w:p w:rsidR="006612E7" w:rsidRPr="00CB75BD" w:rsidRDefault="006612E7" w:rsidP="00840349">
            <w:pPr>
              <w:pStyle w:val="Tabletext"/>
              <w:spacing w:before="20" w:after="20"/>
              <w:jc w:val="center"/>
              <w:rPr>
                <w:lang w:val="en-GB"/>
              </w:rPr>
            </w:pPr>
            <w:r w:rsidRPr="00CB75BD">
              <w:rPr>
                <w:lang w:val="en-GB"/>
              </w:rPr>
              <w:t>39.986-40.02</w:t>
            </w:r>
          </w:p>
        </w:tc>
        <w:tc>
          <w:tcPr>
            <w:tcW w:w="1584" w:type="dxa"/>
          </w:tcPr>
          <w:p w:rsidR="006612E7" w:rsidRPr="00CB75BD" w:rsidRDefault="006612E7" w:rsidP="00840349">
            <w:pPr>
              <w:pStyle w:val="Tabletext"/>
              <w:spacing w:before="20" w:after="20"/>
              <w:jc w:val="center"/>
              <w:rPr>
                <w:lang w:val="en-GB"/>
              </w:rPr>
            </w:pPr>
            <w:r w:rsidRPr="00CB75BD">
              <w:rPr>
                <w:lang w:val="en-GB"/>
              </w:rPr>
              <w:t>39.986-40.02</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vAlign w:val="center"/>
          </w:tcPr>
          <w:p w:rsidR="006612E7" w:rsidRPr="00CB75BD" w:rsidRDefault="006612E7" w:rsidP="00840349">
            <w:pPr>
              <w:pStyle w:val="Tabletext"/>
              <w:spacing w:before="20" w:after="20"/>
              <w:jc w:val="center"/>
              <w:rPr>
                <w:lang w:val="en-GB"/>
              </w:rPr>
            </w:pPr>
          </w:p>
        </w:tc>
        <w:tc>
          <w:tcPr>
            <w:tcW w:w="1615" w:type="dxa"/>
          </w:tcPr>
          <w:p w:rsidR="006612E7" w:rsidRPr="00CB75BD" w:rsidRDefault="006612E7" w:rsidP="00840349">
            <w:pPr>
              <w:pStyle w:val="Tabletext"/>
              <w:spacing w:before="20" w:after="20"/>
              <w:rPr>
                <w:lang w:val="en-GB"/>
              </w:rPr>
            </w:pPr>
          </w:p>
        </w:tc>
        <w:tc>
          <w:tcPr>
            <w:tcW w:w="1584" w:type="dxa"/>
          </w:tcPr>
          <w:p w:rsidR="006612E7" w:rsidRPr="00CB75BD" w:rsidRDefault="006612E7" w:rsidP="00840349">
            <w:pPr>
              <w:pStyle w:val="Tabletext"/>
              <w:spacing w:before="20" w:after="20"/>
              <w:jc w:val="center"/>
              <w:rPr>
                <w:lang w:val="en-GB"/>
              </w:rPr>
            </w:pPr>
            <w:r w:rsidRPr="00CB75BD">
              <w:rPr>
                <w:lang w:val="en-GB"/>
              </w:rPr>
              <w:t>40.98-41.015</w:t>
            </w:r>
          </w:p>
        </w:tc>
        <w:tc>
          <w:tcPr>
            <w:tcW w:w="1345" w:type="dxa"/>
          </w:tcPr>
          <w:p w:rsidR="006612E7" w:rsidRPr="00CB75BD" w:rsidRDefault="006612E7" w:rsidP="00840349">
            <w:pPr>
              <w:pStyle w:val="Tabletext"/>
              <w:spacing w:before="20" w:after="20"/>
              <w:jc w:val="center"/>
              <w:rPr>
                <w:lang w:val="en-GB"/>
              </w:rPr>
            </w:pPr>
          </w:p>
        </w:tc>
      </w:tr>
      <w:tr w:rsidR="006612E7" w:rsidRPr="00CB75BD" w:rsidTr="00840349">
        <w:trPr>
          <w:jc w:val="center"/>
        </w:trPr>
        <w:tc>
          <w:tcPr>
            <w:tcW w:w="3051" w:type="dxa"/>
            <w:vMerge w:val="restart"/>
            <w:vAlign w:val="center"/>
          </w:tcPr>
          <w:p w:rsidR="006612E7" w:rsidRPr="00CB75BD" w:rsidRDefault="006612E7" w:rsidP="00840349">
            <w:pPr>
              <w:pStyle w:val="Tabletext"/>
              <w:spacing w:before="20" w:after="20"/>
              <w:jc w:val="center"/>
              <w:rPr>
                <w:lang w:val="en-GB"/>
              </w:rPr>
            </w:pPr>
            <w:r w:rsidRPr="00CB75BD">
              <w:rPr>
                <w:lang w:val="en-GB"/>
              </w:rPr>
              <w:t>Radiolocation</w:t>
            </w:r>
          </w:p>
        </w:tc>
        <w:tc>
          <w:tcPr>
            <w:tcW w:w="1615" w:type="dxa"/>
          </w:tcPr>
          <w:p w:rsidR="006612E7" w:rsidRPr="00CB75BD" w:rsidRDefault="006612E7" w:rsidP="00840349">
            <w:pPr>
              <w:pStyle w:val="Tabletext"/>
              <w:spacing w:before="20" w:after="20"/>
              <w:rPr>
                <w:lang w:val="en-GB"/>
              </w:rPr>
            </w:pPr>
          </w:p>
        </w:tc>
        <w:tc>
          <w:tcPr>
            <w:tcW w:w="1584" w:type="dxa"/>
          </w:tcPr>
          <w:p w:rsidR="006612E7" w:rsidRPr="00CB75BD" w:rsidRDefault="006612E7" w:rsidP="00840349">
            <w:pPr>
              <w:pStyle w:val="Tabletext"/>
              <w:spacing w:before="20" w:after="20"/>
              <w:jc w:val="center"/>
              <w:rPr>
                <w:lang w:val="en-GB"/>
              </w:rPr>
            </w:pPr>
            <w:r w:rsidRPr="00CB75BD">
              <w:rPr>
                <w:lang w:val="en-GB"/>
              </w:rPr>
              <w:t>39.986-40.02</w:t>
            </w:r>
          </w:p>
        </w:tc>
        <w:tc>
          <w:tcPr>
            <w:tcW w:w="1345" w:type="dxa"/>
          </w:tcPr>
          <w:p w:rsidR="006612E7" w:rsidRPr="00CB75BD" w:rsidRDefault="006612E7" w:rsidP="00840349">
            <w:pPr>
              <w:pStyle w:val="Tabletext"/>
              <w:spacing w:before="20" w:after="20"/>
              <w:jc w:val="center"/>
              <w:rPr>
                <w:lang w:val="en-GB"/>
              </w:rPr>
            </w:pPr>
            <w:r w:rsidRPr="00CB75BD">
              <w:rPr>
                <w:lang w:val="en-GB"/>
              </w:rPr>
              <w:t>54-68</w:t>
            </w:r>
          </w:p>
        </w:tc>
      </w:tr>
      <w:tr w:rsidR="006612E7" w:rsidRPr="00CB75BD" w:rsidTr="00840349">
        <w:trPr>
          <w:jc w:val="center"/>
        </w:trPr>
        <w:tc>
          <w:tcPr>
            <w:tcW w:w="3051" w:type="dxa"/>
            <w:vMerge/>
          </w:tcPr>
          <w:p w:rsidR="006612E7" w:rsidRPr="00CB75BD" w:rsidRDefault="006612E7" w:rsidP="00840349">
            <w:pPr>
              <w:pStyle w:val="Tabletext"/>
              <w:spacing w:before="20" w:after="20"/>
              <w:rPr>
                <w:lang w:val="en-GB"/>
              </w:rPr>
            </w:pPr>
          </w:p>
        </w:tc>
        <w:tc>
          <w:tcPr>
            <w:tcW w:w="1615" w:type="dxa"/>
          </w:tcPr>
          <w:p w:rsidR="006612E7" w:rsidRPr="00CB75BD" w:rsidRDefault="006612E7" w:rsidP="00840349">
            <w:pPr>
              <w:pStyle w:val="Tabletext"/>
              <w:spacing w:before="20" w:after="20"/>
              <w:rPr>
                <w:lang w:val="en-GB"/>
              </w:rPr>
            </w:pPr>
          </w:p>
        </w:tc>
        <w:tc>
          <w:tcPr>
            <w:tcW w:w="1584" w:type="dxa"/>
          </w:tcPr>
          <w:p w:rsidR="006612E7" w:rsidRPr="00CB75BD" w:rsidRDefault="006612E7" w:rsidP="00840349">
            <w:pPr>
              <w:pStyle w:val="Tabletext"/>
              <w:spacing w:before="20" w:after="20"/>
              <w:jc w:val="center"/>
              <w:rPr>
                <w:lang w:val="en-GB"/>
              </w:rPr>
            </w:pPr>
            <w:r w:rsidRPr="00CB75BD">
              <w:rPr>
                <w:lang w:val="en-GB"/>
              </w:rPr>
              <w:t>42-42.5</w:t>
            </w:r>
          </w:p>
        </w:tc>
        <w:tc>
          <w:tcPr>
            <w:tcW w:w="1345" w:type="dxa"/>
          </w:tcPr>
          <w:p w:rsidR="006612E7" w:rsidRPr="00CB75BD" w:rsidRDefault="006612E7" w:rsidP="00840349">
            <w:pPr>
              <w:pStyle w:val="Tabletext"/>
              <w:spacing w:before="20" w:after="20"/>
              <w:jc w:val="center"/>
              <w:rPr>
                <w:lang w:val="en-GB"/>
              </w:rPr>
            </w:pPr>
            <w:r w:rsidRPr="00CB75BD">
              <w:rPr>
                <w:lang w:val="en-GB"/>
              </w:rPr>
              <w:t>68-72</w:t>
            </w:r>
          </w:p>
        </w:tc>
      </w:tr>
    </w:tbl>
    <w:p w:rsidR="006612E7" w:rsidRPr="00CB75BD" w:rsidRDefault="006612E7" w:rsidP="006612E7">
      <w:pPr>
        <w:pStyle w:val="Tablefin"/>
      </w:pPr>
    </w:p>
    <w:p w:rsidR="006612E7" w:rsidRPr="00CB75BD" w:rsidRDefault="006612E7" w:rsidP="006612E7">
      <w:pPr>
        <w:rPr>
          <w:lang w:val="en-GB"/>
        </w:rPr>
      </w:pPr>
      <w:r w:rsidRPr="00CB75BD">
        <w:rPr>
          <w:lang w:val="en-GB"/>
        </w:rPr>
        <w:t>For the purpose of this preliminary analysis, only services that fall within the 40-50 MHz frequency band have been considered. These services include Fixed, Mobile, Broadcasting, Space Research and Radiolocation.</w:t>
      </w:r>
    </w:p>
    <w:p w:rsidR="006612E7" w:rsidRPr="00CB75BD" w:rsidRDefault="006612E7" w:rsidP="006612E7">
      <w:pPr>
        <w:pStyle w:val="Heading1"/>
        <w:rPr>
          <w:lang w:val="en-GB"/>
        </w:rPr>
      </w:pPr>
      <w:bookmarkStart w:id="45" w:name="_Toc14851674"/>
      <w:bookmarkStart w:id="46" w:name="_Toc14851764"/>
      <w:bookmarkStart w:id="47" w:name="_Toc14858069"/>
      <w:bookmarkStart w:id="48" w:name="_Toc14858450"/>
      <w:r w:rsidRPr="00CB75BD">
        <w:rPr>
          <w:lang w:val="en-GB"/>
        </w:rPr>
        <w:lastRenderedPageBreak/>
        <w:t>4</w:t>
      </w:r>
      <w:r w:rsidRPr="00CB75BD">
        <w:rPr>
          <w:lang w:val="en-GB"/>
        </w:rPr>
        <w:tab/>
        <w:t>Interference levels</w:t>
      </w:r>
      <w:bookmarkEnd w:id="45"/>
      <w:bookmarkEnd w:id="46"/>
      <w:bookmarkEnd w:id="47"/>
      <w:bookmarkEnd w:id="48"/>
    </w:p>
    <w:p w:rsidR="006612E7" w:rsidRPr="00CB75BD" w:rsidRDefault="006612E7" w:rsidP="006612E7">
      <w:pPr>
        <w:pStyle w:val="Heading2"/>
        <w:rPr>
          <w:lang w:val="en-GB" w:eastAsia="zh-CN"/>
        </w:rPr>
      </w:pPr>
      <w:bookmarkStart w:id="49" w:name="_Toc14851675"/>
      <w:bookmarkStart w:id="50" w:name="_Toc14851765"/>
      <w:bookmarkStart w:id="51" w:name="_Toc14858070"/>
      <w:bookmarkStart w:id="52" w:name="_Toc14858451"/>
      <w:r w:rsidRPr="00CB75BD">
        <w:rPr>
          <w:lang w:val="en-GB" w:eastAsia="zh-CN"/>
        </w:rPr>
        <w:t>4.1</w:t>
      </w:r>
      <w:r w:rsidRPr="00CB75BD">
        <w:rPr>
          <w:lang w:val="en-GB" w:eastAsia="zh-CN"/>
        </w:rPr>
        <w:tab/>
        <w:t>Radar sounder interference criteria</w:t>
      </w:r>
      <w:bookmarkEnd w:id="49"/>
      <w:bookmarkEnd w:id="50"/>
      <w:bookmarkEnd w:id="51"/>
      <w:bookmarkEnd w:id="52"/>
    </w:p>
    <w:p w:rsidR="006612E7" w:rsidRPr="00CB75BD" w:rsidRDefault="006612E7" w:rsidP="006612E7">
      <w:pPr>
        <w:rPr>
          <w:lang w:val="en-GB" w:eastAsia="zh-CN"/>
        </w:rPr>
      </w:pPr>
      <w:r w:rsidRPr="00CB75BD">
        <w:rPr>
          <w:lang w:val="en-GB" w:eastAsia="zh-CN"/>
        </w:rPr>
        <w:t xml:space="preserve">Given that the minimum detectable signal for the radar sounder’s receiver is −132 dBm and assuming </w:t>
      </w:r>
      <w:proofErr w:type="gramStart"/>
      <w:r w:rsidRPr="00CB75BD">
        <w:rPr>
          <w:lang w:val="en-GB" w:eastAsia="zh-CN"/>
        </w:rPr>
        <w:t>an</w:t>
      </w:r>
      <w:proofErr w:type="gramEnd"/>
      <w:r w:rsidRPr="00CB75BD">
        <w:rPr>
          <w:lang w:val="en-GB" w:eastAsia="zh-CN"/>
        </w:rPr>
        <w:t xml:space="preserve"> </w:t>
      </w:r>
      <w:r w:rsidRPr="00CB75BD">
        <w:rPr>
          <w:i/>
          <w:iCs/>
          <w:lang w:val="en-GB" w:eastAsia="zh-CN"/>
        </w:rPr>
        <w:t>I</w:t>
      </w:r>
      <w:r w:rsidRPr="00CB75BD">
        <w:rPr>
          <w:iCs/>
          <w:lang w:val="en-GB" w:eastAsia="zh-CN"/>
        </w:rPr>
        <w:t>/</w:t>
      </w:r>
      <w:r w:rsidRPr="00CB75BD">
        <w:rPr>
          <w:i/>
          <w:iCs/>
          <w:lang w:val="en-GB" w:eastAsia="zh-CN"/>
        </w:rPr>
        <w:t>N</w:t>
      </w:r>
      <w:r w:rsidRPr="00CB75BD">
        <w:rPr>
          <w:lang w:val="en-GB" w:eastAsia="zh-CN"/>
        </w:rPr>
        <w:t xml:space="preserve"> of −6 dB, an interferenc</w:t>
      </w:r>
      <w:bookmarkStart w:id="53" w:name="_GoBack"/>
      <w:bookmarkEnd w:id="53"/>
      <w:r w:rsidRPr="00CB75BD">
        <w:rPr>
          <w:lang w:val="en-GB" w:eastAsia="zh-CN"/>
        </w:rPr>
        <w:t>e threshold level of −138 dBm was assumed.</w:t>
      </w:r>
    </w:p>
    <w:p w:rsidR="006612E7" w:rsidRPr="00CB75BD" w:rsidRDefault="006612E7" w:rsidP="006612E7">
      <w:pPr>
        <w:pStyle w:val="Heading2"/>
        <w:rPr>
          <w:lang w:val="en-GB"/>
        </w:rPr>
      </w:pPr>
      <w:bookmarkStart w:id="54" w:name="_Toc14851676"/>
      <w:bookmarkStart w:id="55" w:name="_Toc14851766"/>
      <w:bookmarkStart w:id="56" w:name="_Toc14858071"/>
      <w:bookmarkStart w:id="57" w:name="_Toc14858452"/>
      <w:r w:rsidRPr="00CB75BD">
        <w:rPr>
          <w:lang w:val="en-GB"/>
        </w:rPr>
        <w:t>4.2</w:t>
      </w:r>
      <w:r w:rsidRPr="00CB75BD">
        <w:rPr>
          <w:lang w:val="en-GB"/>
        </w:rPr>
        <w:tab/>
        <w:t>Incumbent services interference criteria</w:t>
      </w:r>
      <w:bookmarkEnd w:id="54"/>
      <w:bookmarkEnd w:id="55"/>
      <w:bookmarkEnd w:id="56"/>
      <w:bookmarkEnd w:id="57"/>
    </w:p>
    <w:p w:rsidR="006612E7" w:rsidRPr="00CB75BD" w:rsidRDefault="006612E7" w:rsidP="006612E7">
      <w:pPr>
        <w:rPr>
          <w:lang w:val="en-GB"/>
        </w:rPr>
      </w:pPr>
      <w:r w:rsidRPr="00CB75BD">
        <w:rPr>
          <w:lang w:val="en-GB"/>
        </w:rPr>
        <w:t>Interference criteria for the incumbent systems operating within the 40-50 MHz band is based on information in relevant Recommendations of the affected services, or has been calculated based upon noise floor levels where the necessary information is not available. The calculation of interference criteria based on noise floor levels is outlined in the following sections.</w:t>
      </w:r>
    </w:p>
    <w:p w:rsidR="006612E7" w:rsidRPr="00CB75BD" w:rsidRDefault="006612E7" w:rsidP="006612E7">
      <w:pPr>
        <w:pStyle w:val="Heading2"/>
        <w:rPr>
          <w:lang w:val="en-GB"/>
        </w:rPr>
      </w:pPr>
      <w:bookmarkStart w:id="58" w:name="_Toc14851677"/>
      <w:bookmarkStart w:id="59" w:name="_Toc14851767"/>
      <w:bookmarkStart w:id="60" w:name="_Toc14858072"/>
      <w:bookmarkStart w:id="61" w:name="_Toc14858453"/>
      <w:r w:rsidRPr="00CB75BD">
        <w:rPr>
          <w:lang w:val="en-GB"/>
        </w:rPr>
        <w:t>4.3</w:t>
      </w:r>
      <w:r w:rsidRPr="00CB75BD">
        <w:rPr>
          <w:lang w:val="en-GB"/>
        </w:rPr>
        <w:tab/>
        <w:t>Calculation of maximum interference levels</w:t>
      </w:r>
      <w:bookmarkEnd w:id="58"/>
      <w:bookmarkEnd w:id="59"/>
      <w:bookmarkEnd w:id="60"/>
      <w:bookmarkEnd w:id="61"/>
    </w:p>
    <w:p w:rsidR="006612E7" w:rsidRPr="00CB75BD" w:rsidRDefault="006612E7" w:rsidP="006612E7">
      <w:pPr>
        <w:pStyle w:val="Heading3"/>
        <w:rPr>
          <w:lang w:val="en-GB"/>
        </w:rPr>
      </w:pPr>
      <w:r w:rsidRPr="00CB75BD">
        <w:rPr>
          <w:lang w:val="en-GB"/>
        </w:rPr>
        <w:t>4.3.1</w:t>
      </w:r>
      <w:r w:rsidRPr="00CB75BD">
        <w:rPr>
          <w:lang w:val="en-GB"/>
        </w:rPr>
        <w:tab/>
        <w:t>External noise calculation</w:t>
      </w:r>
    </w:p>
    <w:p w:rsidR="006612E7" w:rsidRPr="00CB75BD" w:rsidRDefault="006612E7" w:rsidP="006612E7">
      <w:pPr>
        <w:rPr>
          <w:lang w:val="en-GB"/>
        </w:rPr>
      </w:pPr>
      <w:r w:rsidRPr="00CB75BD">
        <w:rPr>
          <w:lang w:val="en-GB"/>
        </w:rPr>
        <w:t xml:space="preserve">External noise is a combination of three components: man-made noise, galactic noise, and atmospheric noise. Man-made noise depends on the frequency and the environment, Galactic noise </w:t>
      </w:r>
      <w:r w:rsidRPr="00CB75BD">
        <w:rPr>
          <w:i/>
          <w:iCs/>
          <w:lang w:val="en-GB"/>
        </w:rPr>
        <w:t>N</w:t>
      </w:r>
      <w:r w:rsidRPr="00CB75BD">
        <w:rPr>
          <w:i/>
          <w:iCs/>
          <w:vertAlign w:val="subscript"/>
          <w:lang w:val="en-GB"/>
        </w:rPr>
        <w:t>gal</w:t>
      </w:r>
      <w:r w:rsidRPr="00CB75BD">
        <w:rPr>
          <w:i/>
          <w:lang w:val="en-GB"/>
        </w:rPr>
        <w:t xml:space="preserve"> </w:t>
      </w:r>
      <w:r w:rsidRPr="00CB75BD">
        <w:rPr>
          <w:lang w:val="en-GB"/>
        </w:rPr>
        <w:t xml:space="preserve">only depends on frequency and Atmospheric noise, </w:t>
      </w:r>
      <w:r w:rsidRPr="00CB75BD">
        <w:rPr>
          <w:i/>
          <w:iCs/>
          <w:lang w:val="en-GB"/>
        </w:rPr>
        <w:t>N</w:t>
      </w:r>
      <w:r w:rsidRPr="00CB75BD">
        <w:rPr>
          <w:i/>
          <w:iCs/>
          <w:vertAlign w:val="subscript"/>
          <w:lang w:val="en-GB"/>
        </w:rPr>
        <w:t>atm</w:t>
      </w:r>
      <w:r w:rsidRPr="00CB75BD">
        <w:rPr>
          <w:lang w:val="en-GB"/>
        </w:rPr>
        <w:t xml:space="preserve"> depends on frequency, time of day and season. Figure 2 of Recommendation ITU-R P.372-13 provides man-made, galactic and atmospheric noise energy levels as a function of frequency; </w:t>
      </w:r>
      <w:r w:rsidRPr="00CB75BD">
        <w:rPr>
          <w:spacing w:val="-2"/>
          <w:lang w:val="en-GB"/>
        </w:rPr>
        <w:t>this figure is reproduced below in Fig. 5.</w:t>
      </w:r>
      <w:r w:rsidRPr="00CB75BD">
        <w:rPr>
          <w:lang w:val="en-GB"/>
        </w:rPr>
        <w:t xml:space="preserve"> In the quiet receiving sites, Curve C of Fig. 5 applies. However, since Fig. 5 Curve C does not extend to 45 MHz, it is necessary to use the primary equation (13) in </w:t>
      </w:r>
      <w:r w:rsidRPr="00CB75BD">
        <w:rPr>
          <w:rFonts w:eastAsiaTheme="minorEastAsia"/>
          <w:lang w:val="en-GB"/>
        </w:rPr>
        <w:t>Recommendation</w:t>
      </w:r>
      <w:r w:rsidRPr="00CB75BD">
        <w:rPr>
          <w:lang w:val="en-GB"/>
        </w:rPr>
        <w:t xml:space="preserve"> ITU</w:t>
      </w:r>
      <w:r w:rsidRPr="00CB75BD">
        <w:rPr>
          <w:lang w:val="en-GB"/>
        </w:rPr>
        <w:noBreakHyphen/>
        <w:t>R P.372-13 to determine the median value of noise figure in quiet receiving sites as follows:</w:t>
      </w:r>
    </w:p>
    <w:p w:rsidR="006612E7" w:rsidRPr="00CB75BD" w:rsidRDefault="006612E7" w:rsidP="006612E7">
      <w:pPr>
        <w:pStyle w:val="Equation"/>
        <w:rPr>
          <w:i/>
          <w:iCs/>
          <w:lang w:val="en-GB"/>
        </w:rPr>
      </w:pPr>
      <w:r w:rsidRPr="00CB75BD">
        <w:rPr>
          <w:lang w:val="en-GB"/>
        </w:rPr>
        <w:tab/>
      </w:r>
      <w:r w:rsidRPr="00CB75BD">
        <w:rPr>
          <w:lang w:val="en-GB"/>
        </w:rPr>
        <w:tab/>
      </w:r>
      <w:proofErr w:type="gramStart"/>
      <w:r w:rsidRPr="00CB75BD">
        <w:rPr>
          <w:i/>
          <w:iCs/>
          <w:lang w:val="en-GB"/>
        </w:rPr>
        <w:t>F</w:t>
      </w:r>
      <w:r w:rsidRPr="00CB75BD">
        <w:rPr>
          <w:i/>
          <w:iCs/>
          <w:sz w:val="22"/>
          <w:vertAlign w:val="subscript"/>
          <w:lang w:val="en-GB"/>
        </w:rPr>
        <w:t>am</w:t>
      </w:r>
      <w:r w:rsidRPr="00CB75BD">
        <w:rPr>
          <w:lang w:val="en-GB"/>
        </w:rPr>
        <w:t xml:space="preserve">  =</w:t>
      </w:r>
      <w:proofErr w:type="gramEnd"/>
      <w:r w:rsidRPr="00CB75BD">
        <w:rPr>
          <w:lang w:val="en-GB"/>
        </w:rPr>
        <w:t xml:space="preserve">  </w:t>
      </w:r>
      <w:r w:rsidRPr="00CB75BD">
        <w:rPr>
          <w:i/>
          <w:iCs/>
          <w:lang w:val="en-GB"/>
        </w:rPr>
        <w:t>c</w:t>
      </w:r>
      <w:r w:rsidRPr="00CB75BD">
        <w:rPr>
          <w:lang w:val="en-GB"/>
        </w:rPr>
        <w:t xml:space="preserve">  –  </w:t>
      </w:r>
      <w:r w:rsidRPr="00CB75BD">
        <w:rPr>
          <w:i/>
          <w:iCs/>
          <w:lang w:val="en-GB"/>
        </w:rPr>
        <w:t>d</w:t>
      </w:r>
      <w:r w:rsidRPr="00CB75BD">
        <w:rPr>
          <w:lang w:val="en-GB"/>
        </w:rPr>
        <w:t xml:space="preserve"> log </w:t>
      </w:r>
      <w:r w:rsidRPr="00CB75BD">
        <w:rPr>
          <w:i/>
          <w:iCs/>
          <w:lang w:val="en-GB"/>
        </w:rPr>
        <w:t>f</w:t>
      </w:r>
    </w:p>
    <w:p w:rsidR="006612E7" w:rsidRPr="00CB75BD" w:rsidRDefault="006612E7" w:rsidP="00676073">
      <w:pPr>
        <w:rPr>
          <w:lang w:val="en-GB"/>
        </w:rPr>
      </w:pPr>
      <w:proofErr w:type="gramStart"/>
      <w:r w:rsidRPr="00CB75BD">
        <w:rPr>
          <w:lang w:val="en-GB"/>
        </w:rPr>
        <w:t>where</w:t>
      </w:r>
      <w:proofErr w:type="gramEnd"/>
      <w:r w:rsidRPr="00CB75BD">
        <w:rPr>
          <w:lang w:val="en-GB"/>
        </w:rPr>
        <w:t xml:space="preserve">, from Table 1 of Recommendation ITU-R P.372-13, </w:t>
      </w:r>
      <w:r w:rsidRPr="00CB75BD">
        <w:rPr>
          <w:i/>
          <w:lang w:val="en-GB"/>
        </w:rPr>
        <w:t>c</w:t>
      </w:r>
      <w:r w:rsidRPr="00CB75BD">
        <w:rPr>
          <w:lang w:val="en-GB"/>
        </w:rPr>
        <w:t xml:space="preserve"> = 67.2 and </w:t>
      </w:r>
      <w:r w:rsidRPr="00CB75BD">
        <w:rPr>
          <w:i/>
          <w:lang w:val="en-GB"/>
        </w:rPr>
        <w:t>d</w:t>
      </w:r>
      <w:r w:rsidRPr="00CB75BD">
        <w:rPr>
          <w:lang w:val="en-GB"/>
        </w:rPr>
        <w:t xml:space="preserve"> = 27.7.</w:t>
      </w:r>
    </w:p>
    <w:p w:rsidR="006612E7" w:rsidRPr="00CB75BD" w:rsidRDefault="006612E7" w:rsidP="00676073">
      <w:pPr>
        <w:rPr>
          <w:iCs/>
          <w:lang w:val="en-GB"/>
        </w:rPr>
      </w:pPr>
      <w:r w:rsidRPr="00CB75BD">
        <w:rPr>
          <w:lang w:val="en-GB"/>
        </w:rPr>
        <w:t xml:space="preserve">The expert working group responsible for Recommendation ITU-R P.372-13 confirmed the appropriateness of the above formula, noting that it was derived from man-made noise measurements taken in 1970. It is likely that man-made noise has increased over time and any such increase will also improve the compatibility between the </w:t>
      </w:r>
      <w:r w:rsidRPr="00CB75BD">
        <w:rPr>
          <w:lang w:val="en-GB" w:eastAsia="zh-CN"/>
        </w:rPr>
        <w:t>radar sounder and any incumbent system.</w:t>
      </w:r>
    </w:p>
    <w:p w:rsidR="006612E7" w:rsidRPr="00CB75BD" w:rsidRDefault="006612E7" w:rsidP="00676073">
      <w:pPr>
        <w:rPr>
          <w:lang w:val="en-GB"/>
        </w:rPr>
      </w:pPr>
      <w:r w:rsidRPr="00CB75BD">
        <w:rPr>
          <w:lang w:val="en-GB"/>
        </w:rPr>
        <w:t>Therefore, at 45 MHz, the median noise figure is 21.4 dB which has then been used in these studies. It should be noted that this quiet receiving site level of man-made noise which is determined from the above formula is greater than the galactic and atmospheric noise at that frequency.</w:t>
      </w:r>
    </w:p>
    <w:p w:rsidR="006612E7" w:rsidRPr="00CB75BD" w:rsidRDefault="006612E7" w:rsidP="00676073">
      <w:pPr>
        <w:pStyle w:val="FigureNo"/>
        <w:rPr>
          <w:lang w:val="en-GB"/>
        </w:rPr>
      </w:pPr>
      <w:r w:rsidRPr="00CB75BD">
        <w:rPr>
          <w:lang w:val="en-GB"/>
        </w:rPr>
        <w:lastRenderedPageBreak/>
        <w:t>FIGURE 5</w:t>
      </w:r>
    </w:p>
    <w:p w:rsidR="006612E7" w:rsidRPr="00CB75BD" w:rsidRDefault="006612E7" w:rsidP="006612E7">
      <w:pPr>
        <w:pStyle w:val="Figuretitle"/>
        <w:rPr>
          <w:lang w:val="en-GB"/>
        </w:rPr>
      </w:pPr>
      <w:r w:rsidRPr="00CB75BD">
        <w:rPr>
          <w:lang w:val="en-GB"/>
        </w:rPr>
        <w:t xml:space="preserve">Man-made, galactic, and example atmospheric noise energy </w:t>
      </w:r>
      <w:proofErr w:type="gramStart"/>
      <w:r w:rsidRPr="00CB75BD">
        <w:rPr>
          <w:lang w:val="en-GB"/>
        </w:rPr>
        <w:t>models</w:t>
      </w:r>
      <w:proofErr w:type="gramEnd"/>
      <w:r w:rsidRPr="00CB75BD">
        <w:rPr>
          <w:lang w:val="en-GB"/>
        </w:rPr>
        <w:br/>
        <w:t xml:space="preserve">(Noise Figure </w:t>
      </w:r>
      <w:r w:rsidRPr="00CB75BD">
        <w:rPr>
          <w:i/>
          <w:iCs/>
          <w:lang w:val="en-GB"/>
        </w:rPr>
        <w:t>F</w:t>
      </w:r>
      <w:r w:rsidRPr="00CB75BD">
        <w:rPr>
          <w:i/>
          <w:iCs/>
          <w:vertAlign w:val="subscript"/>
          <w:lang w:val="en-GB"/>
        </w:rPr>
        <w:t>a</w:t>
      </w:r>
      <w:r w:rsidRPr="00CB75BD">
        <w:rPr>
          <w:lang w:val="en-GB"/>
        </w:rPr>
        <w:t xml:space="preserve">, and Noise Temperature </w:t>
      </w:r>
      <w:r w:rsidRPr="00CB75BD">
        <w:rPr>
          <w:i/>
          <w:iCs/>
          <w:lang w:val="en-GB"/>
        </w:rPr>
        <w:t>t</w:t>
      </w:r>
      <w:r w:rsidRPr="00CB75BD">
        <w:rPr>
          <w:i/>
          <w:iCs/>
          <w:vertAlign w:val="subscript"/>
          <w:lang w:val="en-GB"/>
        </w:rPr>
        <w:t>a</w:t>
      </w:r>
      <w:r w:rsidRPr="00CB75BD">
        <w:rPr>
          <w:vertAlign w:val="subscript"/>
          <w:lang w:val="en-GB"/>
        </w:rPr>
        <w:t xml:space="preserve"> </w:t>
      </w:r>
      <w:r w:rsidRPr="00CB75BD">
        <w:rPr>
          <w:lang w:val="en-GB"/>
        </w:rPr>
        <w:t>vs. Frequency)</w:t>
      </w:r>
    </w:p>
    <w:p w:rsidR="006612E7" w:rsidRPr="00CB75BD" w:rsidRDefault="006612E7" w:rsidP="006612E7">
      <w:pPr>
        <w:pStyle w:val="Figure"/>
        <w:rPr>
          <w:lang w:val="en-GB"/>
        </w:rPr>
      </w:pPr>
      <w:r w:rsidRPr="00CB75BD">
        <w:rPr>
          <w:noProof/>
          <w:lang w:val="en-GB" w:eastAsia="en-GB"/>
        </w:rPr>
        <w:drawing>
          <wp:inline distT="0" distB="0" distL="0" distR="0" wp14:anchorId="53D74E15" wp14:editId="05DB5D90">
            <wp:extent cx="5577840" cy="53949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 vrs. Frequency.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577840" cy="5394960"/>
                    </a:xfrm>
                    <a:prstGeom prst="rect">
                      <a:avLst/>
                    </a:prstGeom>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Normalaftertitle"/>
        <w:rPr>
          <w:lang w:val="en-GB"/>
        </w:rPr>
      </w:pPr>
      <w:r w:rsidRPr="00CB75BD">
        <w:rPr>
          <w:lang w:val="en-GB"/>
        </w:rPr>
        <w:t>Man-made, galactic and atmospheric noise figures obtained from Fig. 5 are listed in Table 3.</w:t>
      </w:r>
    </w:p>
    <w:p w:rsidR="006612E7" w:rsidRPr="00CB75BD" w:rsidRDefault="006612E7" w:rsidP="006612E7">
      <w:pPr>
        <w:rPr>
          <w:lang w:val="en-GB"/>
        </w:rPr>
      </w:pPr>
      <w:r w:rsidRPr="00CB75BD">
        <w:rPr>
          <w:lang w:val="en-GB"/>
        </w:rPr>
        <w:t>The noise floor in dBm is derived using the noise figure (equation (2)):</w:t>
      </w:r>
    </w:p>
    <w:p w:rsidR="006612E7" w:rsidRPr="00CB75BD" w:rsidRDefault="006612E7" w:rsidP="006612E7">
      <w:pPr>
        <w:pStyle w:val="Equation"/>
        <w:rPr>
          <w:lang w:val="en-GB"/>
        </w:rPr>
      </w:pPr>
      <w:r w:rsidRPr="00CB75BD">
        <w:rPr>
          <w:lang w:val="en-GB"/>
        </w:rPr>
        <w:tab/>
      </w:r>
      <w:r w:rsidRPr="00CB75BD">
        <w:rPr>
          <w:lang w:val="en-GB"/>
        </w:rPr>
        <w:tab/>
      </w:r>
      <w:proofErr w:type="gramStart"/>
      <w:r w:rsidRPr="00CB75BD">
        <w:rPr>
          <w:i/>
          <w:iCs/>
          <w:lang w:val="en-GB"/>
        </w:rPr>
        <w:t>N</w:t>
      </w:r>
      <w:r w:rsidRPr="00CB75BD">
        <w:rPr>
          <w:i/>
          <w:iCs/>
          <w:vertAlign w:val="subscript"/>
          <w:lang w:val="en-GB"/>
        </w:rPr>
        <w:t>f</w:t>
      </w:r>
      <w:proofErr w:type="gramEnd"/>
      <w:r w:rsidRPr="00CB75BD">
        <w:rPr>
          <w:lang w:val="en-GB"/>
        </w:rPr>
        <w:t xml:space="preserve"> = </w:t>
      </w:r>
      <w:r w:rsidRPr="00CB75BD">
        <w:rPr>
          <w:i/>
          <w:iCs/>
          <w:lang w:val="en-GB"/>
        </w:rPr>
        <w:t xml:space="preserve">F </w:t>
      </w:r>
      <w:r w:rsidRPr="00CB75BD">
        <w:rPr>
          <w:lang w:val="en-GB"/>
        </w:rPr>
        <w:t>+ 10*Log (B) – 174</w:t>
      </w:r>
      <w:r w:rsidRPr="00CB75BD">
        <w:rPr>
          <w:lang w:val="en-GB"/>
        </w:rPr>
        <w:tab/>
        <w:t>(2)</w:t>
      </w:r>
    </w:p>
    <w:p w:rsidR="006612E7" w:rsidRPr="00CB75BD" w:rsidRDefault="006612E7" w:rsidP="006612E7">
      <w:pPr>
        <w:rPr>
          <w:lang w:val="en-GB"/>
        </w:rPr>
      </w:pPr>
      <w:proofErr w:type="gramStart"/>
      <w:r w:rsidRPr="00CB75BD">
        <w:rPr>
          <w:lang w:val="en-GB"/>
        </w:rPr>
        <w:t>where</w:t>
      </w:r>
      <w:proofErr w:type="gramEnd"/>
      <w:r w:rsidRPr="00CB75BD">
        <w:rPr>
          <w:lang w:val="en-GB"/>
        </w:rPr>
        <w:t>:</w:t>
      </w:r>
    </w:p>
    <w:p w:rsidR="006612E7" w:rsidRPr="00CB75BD" w:rsidRDefault="006612E7" w:rsidP="006612E7">
      <w:pPr>
        <w:pStyle w:val="Equationlegend"/>
        <w:rPr>
          <w:lang w:val="en-GB"/>
        </w:rPr>
      </w:pPr>
      <w:r w:rsidRPr="00CB75BD">
        <w:rPr>
          <w:lang w:val="en-GB"/>
        </w:rPr>
        <w:tab/>
      </w:r>
      <w:r w:rsidRPr="00CB75BD">
        <w:rPr>
          <w:i/>
          <w:iCs/>
          <w:lang w:val="en-GB"/>
        </w:rPr>
        <w:t>F</w:t>
      </w:r>
      <w:r w:rsidRPr="00CB75BD">
        <w:rPr>
          <w:lang w:val="en-GB"/>
        </w:rPr>
        <w:t xml:space="preserve"> = </w:t>
      </w:r>
      <w:r w:rsidRPr="00CB75BD">
        <w:rPr>
          <w:lang w:val="en-GB"/>
        </w:rPr>
        <w:tab/>
        <w:t>noise figure (dB)</w:t>
      </w:r>
    </w:p>
    <w:p w:rsidR="006612E7" w:rsidRPr="00CB75BD" w:rsidRDefault="006612E7" w:rsidP="006612E7">
      <w:pPr>
        <w:pStyle w:val="Equationlegend"/>
        <w:rPr>
          <w:lang w:val="en-GB"/>
        </w:rPr>
      </w:pPr>
      <w:r w:rsidRPr="00CB75BD">
        <w:rPr>
          <w:lang w:val="en-GB"/>
        </w:rPr>
        <w:tab/>
      </w:r>
      <w:r w:rsidRPr="00CB75BD">
        <w:rPr>
          <w:i/>
          <w:iCs/>
          <w:lang w:val="en-GB"/>
        </w:rPr>
        <w:t>B</w:t>
      </w:r>
      <w:r w:rsidRPr="00CB75BD">
        <w:rPr>
          <w:lang w:val="en-GB"/>
        </w:rPr>
        <w:t xml:space="preserve"> = </w:t>
      </w:r>
      <w:r w:rsidRPr="00CB75BD">
        <w:rPr>
          <w:lang w:val="en-GB"/>
        </w:rPr>
        <w:tab/>
        <w:t>bandwidth (Hz).</w:t>
      </w:r>
    </w:p>
    <w:p w:rsidR="006612E7" w:rsidRPr="00CB75BD" w:rsidRDefault="006612E7" w:rsidP="006612E7">
      <w:pPr>
        <w:rPr>
          <w:lang w:val="en-GB"/>
        </w:rPr>
      </w:pPr>
      <w:r w:rsidRPr="00CB75BD">
        <w:rPr>
          <w:lang w:val="en-GB"/>
        </w:rPr>
        <w:t>Table 3 summarizes the results of the noise floor calculations at 45 MHz.</w:t>
      </w:r>
    </w:p>
    <w:p w:rsidR="006612E7" w:rsidRPr="00CB75BD" w:rsidRDefault="006612E7" w:rsidP="006612E7">
      <w:pPr>
        <w:pStyle w:val="TableNo"/>
        <w:rPr>
          <w:lang w:val="en-GB"/>
        </w:rPr>
      </w:pPr>
      <w:r w:rsidRPr="00CB75BD">
        <w:rPr>
          <w:lang w:val="en-GB"/>
        </w:rPr>
        <w:lastRenderedPageBreak/>
        <w:t>TABLE 3</w:t>
      </w:r>
    </w:p>
    <w:p w:rsidR="006612E7" w:rsidRPr="00CB75BD" w:rsidRDefault="006612E7" w:rsidP="006612E7">
      <w:pPr>
        <w:pStyle w:val="Tabletitle"/>
        <w:rPr>
          <w:lang w:val="en-GB"/>
        </w:rPr>
      </w:pPr>
      <w:r w:rsidRPr="00CB75BD">
        <w:rPr>
          <w:lang w:val="en-GB"/>
        </w:rPr>
        <w:t>Noise components at 45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1969"/>
        <w:gridCol w:w="2851"/>
      </w:tblGrid>
      <w:tr w:rsidR="006612E7" w:rsidRPr="00CB75BD" w:rsidTr="00840349">
        <w:trPr>
          <w:jc w:val="center"/>
        </w:trPr>
        <w:tc>
          <w:tcPr>
            <w:tcW w:w="2274" w:type="dxa"/>
            <w:vAlign w:val="center"/>
          </w:tcPr>
          <w:p w:rsidR="006612E7" w:rsidRPr="00CB75BD" w:rsidRDefault="006612E7" w:rsidP="00840349">
            <w:pPr>
              <w:pStyle w:val="Tablehead"/>
              <w:rPr>
                <w:lang w:val="en-GB"/>
              </w:rPr>
            </w:pPr>
            <w:r w:rsidRPr="00CB75BD">
              <w:rPr>
                <w:lang w:val="en-GB"/>
              </w:rPr>
              <w:t>Noise component</w:t>
            </w:r>
          </w:p>
        </w:tc>
        <w:tc>
          <w:tcPr>
            <w:tcW w:w="2275" w:type="dxa"/>
            <w:vAlign w:val="center"/>
          </w:tcPr>
          <w:p w:rsidR="006612E7" w:rsidRPr="00CB75BD" w:rsidRDefault="006612E7" w:rsidP="00840349">
            <w:pPr>
              <w:pStyle w:val="Tablehead"/>
              <w:rPr>
                <w:lang w:val="en-GB"/>
              </w:rPr>
            </w:pPr>
            <w:r w:rsidRPr="00CB75BD">
              <w:rPr>
                <w:i/>
                <w:iCs/>
                <w:lang w:val="en-GB"/>
              </w:rPr>
              <w:t>Man-made</w:t>
            </w:r>
            <w:r w:rsidRPr="00CB75BD">
              <w:rPr>
                <w:i/>
                <w:iCs/>
                <w:lang w:val="en-GB"/>
              </w:rPr>
              <w:br/>
              <w:t>(R</w:t>
            </w:r>
            <w:r w:rsidRPr="00CB75BD">
              <w:rPr>
                <w:lang w:val="en-GB"/>
              </w:rPr>
              <w:t>ural)</w:t>
            </w:r>
          </w:p>
        </w:tc>
        <w:tc>
          <w:tcPr>
            <w:tcW w:w="1859" w:type="dxa"/>
            <w:vAlign w:val="center"/>
          </w:tcPr>
          <w:p w:rsidR="006612E7" w:rsidRPr="00CB75BD" w:rsidRDefault="006612E7" w:rsidP="00840349">
            <w:pPr>
              <w:pStyle w:val="Tablehead"/>
              <w:rPr>
                <w:lang w:val="en-GB"/>
              </w:rPr>
            </w:pPr>
            <w:r w:rsidRPr="00CB75BD">
              <w:rPr>
                <w:lang w:val="en-GB"/>
              </w:rPr>
              <w:t>Galactic</w:t>
            </w:r>
          </w:p>
        </w:tc>
        <w:tc>
          <w:tcPr>
            <w:tcW w:w="2691" w:type="dxa"/>
            <w:vAlign w:val="center"/>
          </w:tcPr>
          <w:p w:rsidR="006612E7" w:rsidRPr="00CB75BD" w:rsidRDefault="006612E7" w:rsidP="00840349">
            <w:pPr>
              <w:pStyle w:val="Tablehead"/>
              <w:rPr>
                <w:lang w:val="en-GB"/>
              </w:rPr>
            </w:pPr>
            <w:r w:rsidRPr="00CB75BD">
              <w:rPr>
                <w:lang w:val="en-GB"/>
              </w:rPr>
              <w:t>Atmospheric</w:t>
            </w:r>
            <w:r w:rsidRPr="00CB75BD">
              <w:rPr>
                <w:vertAlign w:val="superscript"/>
                <w:lang w:val="en-GB"/>
              </w:rPr>
              <w:t>1</w:t>
            </w:r>
            <w:r w:rsidRPr="00CB75BD">
              <w:rPr>
                <w:lang w:val="en-GB"/>
              </w:rPr>
              <w:br/>
              <w:t>(Exceeded 0.5% of time)</w:t>
            </w:r>
          </w:p>
        </w:tc>
      </w:tr>
      <w:tr w:rsidR="006612E7" w:rsidRPr="00CB75BD" w:rsidTr="00840349">
        <w:trPr>
          <w:jc w:val="center"/>
        </w:trPr>
        <w:tc>
          <w:tcPr>
            <w:tcW w:w="2274" w:type="dxa"/>
            <w:vAlign w:val="center"/>
          </w:tcPr>
          <w:p w:rsidR="006612E7" w:rsidRPr="00CB75BD" w:rsidRDefault="006612E7" w:rsidP="00840349">
            <w:pPr>
              <w:pStyle w:val="Tabletext"/>
              <w:rPr>
                <w:lang w:val="en-GB"/>
              </w:rPr>
            </w:pPr>
            <w:r w:rsidRPr="00CB75BD">
              <w:rPr>
                <w:lang w:val="en-GB"/>
              </w:rPr>
              <w:t>F(dB)</w:t>
            </w:r>
          </w:p>
        </w:tc>
        <w:tc>
          <w:tcPr>
            <w:tcW w:w="2275" w:type="dxa"/>
            <w:vAlign w:val="center"/>
          </w:tcPr>
          <w:p w:rsidR="006612E7" w:rsidRPr="00CB75BD" w:rsidRDefault="006612E7" w:rsidP="00840349">
            <w:pPr>
              <w:pStyle w:val="Tabletext"/>
              <w:jc w:val="center"/>
              <w:rPr>
                <w:lang w:val="en-GB"/>
              </w:rPr>
            </w:pPr>
            <w:r w:rsidRPr="00CB75BD">
              <w:rPr>
                <w:lang w:val="en-GB"/>
              </w:rPr>
              <w:t>21.4</w:t>
            </w:r>
          </w:p>
        </w:tc>
        <w:tc>
          <w:tcPr>
            <w:tcW w:w="1859" w:type="dxa"/>
            <w:vAlign w:val="center"/>
          </w:tcPr>
          <w:p w:rsidR="006612E7" w:rsidRPr="00CB75BD" w:rsidRDefault="006612E7" w:rsidP="00840349">
            <w:pPr>
              <w:pStyle w:val="Tabletext"/>
              <w:jc w:val="center"/>
              <w:rPr>
                <w:lang w:val="en-GB"/>
              </w:rPr>
            </w:pPr>
            <w:r w:rsidRPr="00CB75BD">
              <w:rPr>
                <w:lang w:val="en-GB"/>
              </w:rPr>
              <w:t>18</w:t>
            </w:r>
          </w:p>
        </w:tc>
        <w:tc>
          <w:tcPr>
            <w:tcW w:w="2691" w:type="dxa"/>
            <w:vAlign w:val="center"/>
          </w:tcPr>
          <w:p w:rsidR="006612E7" w:rsidRPr="00CB75BD" w:rsidRDefault="006612E7" w:rsidP="00840349">
            <w:pPr>
              <w:pStyle w:val="Tabletext"/>
              <w:jc w:val="center"/>
              <w:rPr>
                <w:lang w:val="en-GB"/>
              </w:rPr>
            </w:pPr>
            <w:r w:rsidRPr="00CB75BD">
              <w:rPr>
                <w:lang w:val="en-GB"/>
              </w:rPr>
              <w:t>N/A</w:t>
            </w:r>
          </w:p>
        </w:tc>
      </w:tr>
      <w:tr w:rsidR="006612E7" w:rsidRPr="00CB75BD" w:rsidTr="00840349">
        <w:trPr>
          <w:jc w:val="center"/>
        </w:trPr>
        <w:tc>
          <w:tcPr>
            <w:tcW w:w="2274" w:type="dxa"/>
            <w:vAlign w:val="center"/>
          </w:tcPr>
          <w:p w:rsidR="006612E7" w:rsidRPr="00CB75BD" w:rsidRDefault="006612E7" w:rsidP="00840349">
            <w:pPr>
              <w:pStyle w:val="Tabletext"/>
              <w:rPr>
                <w:lang w:val="en-GB"/>
              </w:rPr>
            </w:pPr>
            <w:r w:rsidRPr="00CB75BD">
              <w:rPr>
                <w:lang w:val="en-GB"/>
              </w:rPr>
              <w:t>Noise floor (dBm/Hz)</w:t>
            </w:r>
          </w:p>
        </w:tc>
        <w:tc>
          <w:tcPr>
            <w:tcW w:w="2275" w:type="dxa"/>
            <w:vAlign w:val="center"/>
          </w:tcPr>
          <w:p w:rsidR="006612E7" w:rsidRPr="00CB75BD" w:rsidRDefault="006612E7" w:rsidP="00840349">
            <w:pPr>
              <w:pStyle w:val="Tabletext"/>
              <w:jc w:val="center"/>
              <w:rPr>
                <w:lang w:val="en-GB"/>
              </w:rPr>
            </w:pPr>
            <w:r w:rsidRPr="00CB75BD">
              <w:rPr>
                <w:lang w:val="en-GB"/>
              </w:rPr>
              <w:t>−152.6</w:t>
            </w:r>
          </w:p>
        </w:tc>
        <w:tc>
          <w:tcPr>
            <w:tcW w:w="1859" w:type="dxa"/>
            <w:vAlign w:val="center"/>
          </w:tcPr>
          <w:p w:rsidR="006612E7" w:rsidRPr="00CB75BD" w:rsidRDefault="006612E7" w:rsidP="00840349">
            <w:pPr>
              <w:pStyle w:val="Tabletext"/>
              <w:jc w:val="center"/>
              <w:rPr>
                <w:lang w:val="en-GB"/>
              </w:rPr>
            </w:pPr>
            <w:r w:rsidRPr="00CB75BD">
              <w:rPr>
                <w:lang w:val="en-GB"/>
              </w:rPr>
              <w:t>−156</w:t>
            </w:r>
          </w:p>
        </w:tc>
        <w:tc>
          <w:tcPr>
            <w:tcW w:w="2691" w:type="dxa"/>
            <w:vAlign w:val="center"/>
          </w:tcPr>
          <w:p w:rsidR="006612E7" w:rsidRPr="00CB75BD" w:rsidRDefault="006612E7" w:rsidP="00840349">
            <w:pPr>
              <w:pStyle w:val="Tabletext"/>
              <w:jc w:val="center"/>
              <w:rPr>
                <w:lang w:val="en-GB"/>
              </w:rPr>
            </w:pPr>
            <w:r w:rsidRPr="00CB75BD">
              <w:rPr>
                <w:lang w:val="en-GB"/>
              </w:rPr>
              <w:t>N/A</w:t>
            </w:r>
          </w:p>
        </w:tc>
      </w:tr>
      <w:tr w:rsidR="006612E7" w:rsidRPr="00CB75BD" w:rsidTr="00840349">
        <w:trPr>
          <w:jc w:val="center"/>
        </w:trPr>
        <w:tc>
          <w:tcPr>
            <w:tcW w:w="2274" w:type="dxa"/>
            <w:tcBorders>
              <w:bottom w:val="single" w:sz="4" w:space="0" w:color="auto"/>
            </w:tcBorders>
            <w:vAlign w:val="center"/>
          </w:tcPr>
          <w:p w:rsidR="006612E7" w:rsidRPr="00CB75BD" w:rsidRDefault="006612E7" w:rsidP="00840349">
            <w:pPr>
              <w:pStyle w:val="Tabletext"/>
              <w:rPr>
                <w:lang w:val="en-GB"/>
              </w:rPr>
            </w:pPr>
            <w:r w:rsidRPr="00CB75BD">
              <w:rPr>
                <w:lang w:val="en-GB"/>
              </w:rPr>
              <w:t>Noise floor (dBW/Hz)</w:t>
            </w:r>
          </w:p>
        </w:tc>
        <w:tc>
          <w:tcPr>
            <w:tcW w:w="2275" w:type="dxa"/>
            <w:tcBorders>
              <w:bottom w:val="single" w:sz="4" w:space="0" w:color="auto"/>
            </w:tcBorders>
            <w:vAlign w:val="center"/>
          </w:tcPr>
          <w:p w:rsidR="006612E7" w:rsidRPr="00CB75BD" w:rsidRDefault="006612E7" w:rsidP="00840349">
            <w:pPr>
              <w:pStyle w:val="Tabletext"/>
              <w:jc w:val="center"/>
              <w:rPr>
                <w:lang w:val="en-GB"/>
              </w:rPr>
            </w:pPr>
            <w:r w:rsidRPr="00CB75BD">
              <w:rPr>
                <w:lang w:val="en-GB"/>
              </w:rPr>
              <w:t>−182.6</w:t>
            </w:r>
          </w:p>
        </w:tc>
        <w:tc>
          <w:tcPr>
            <w:tcW w:w="1859" w:type="dxa"/>
            <w:tcBorders>
              <w:bottom w:val="single" w:sz="4" w:space="0" w:color="auto"/>
            </w:tcBorders>
            <w:vAlign w:val="center"/>
          </w:tcPr>
          <w:p w:rsidR="006612E7" w:rsidRPr="00CB75BD" w:rsidRDefault="006612E7" w:rsidP="00840349">
            <w:pPr>
              <w:pStyle w:val="Tabletext"/>
              <w:jc w:val="center"/>
              <w:rPr>
                <w:lang w:val="en-GB"/>
              </w:rPr>
            </w:pPr>
            <w:r w:rsidRPr="00CB75BD">
              <w:rPr>
                <w:lang w:val="en-GB"/>
              </w:rPr>
              <w:t>−186</w:t>
            </w:r>
          </w:p>
        </w:tc>
        <w:tc>
          <w:tcPr>
            <w:tcW w:w="2691" w:type="dxa"/>
            <w:tcBorders>
              <w:bottom w:val="single" w:sz="4" w:space="0" w:color="auto"/>
            </w:tcBorders>
            <w:vAlign w:val="center"/>
          </w:tcPr>
          <w:p w:rsidR="006612E7" w:rsidRPr="00CB75BD" w:rsidRDefault="006612E7" w:rsidP="00840349">
            <w:pPr>
              <w:pStyle w:val="Tabletext"/>
              <w:jc w:val="center"/>
              <w:rPr>
                <w:lang w:val="en-GB"/>
              </w:rPr>
            </w:pPr>
            <w:r w:rsidRPr="00CB75BD">
              <w:rPr>
                <w:lang w:val="en-GB"/>
              </w:rPr>
              <w:t>N/A</w:t>
            </w:r>
          </w:p>
        </w:tc>
      </w:tr>
      <w:tr w:rsidR="006612E7" w:rsidRPr="00CB75BD" w:rsidTr="00840349">
        <w:trPr>
          <w:jc w:val="center"/>
        </w:trPr>
        <w:tc>
          <w:tcPr>
            <w:tcW w:w="9099" w:type="dxa"/>
            <w:gridSpan w:val="4"/>
            <w:tcBorders>
              <w:left w:val="nil"/>
              <w:bottom w:val="nil"/>
              <w:right w:val="nil"/>
            </w:tcBorders>
            <w:vAlign w:val="center"/>
          </w:tcPr>
          <w:p w:rsidR="006612E7" w:rsidRPr="00CB75BD" w:rsidRDefault="006612E7" w:rsidP="00840349">
            <w:pPr>
              <w:pStyle w:val="Tablelegend"/>
              <w:tabs>
                <w:tab w:val="clear" w:pos="1134"/>
                <w:tab w:val="left" w:pos="171"/>
              </w:tabs>
              <w:rPr>
                <w:sz w:val="20"/>
                <w:lang w:val="en-GB"/>
              </w:rPr>
            </w:pPr>
            <w:r w:rsidRPr="00CB75BD">
              <w:rPr>
                <w:sz w:val="20"/>
                <w:vertAlign w:val="superscript"/>
                <w:lang w:val="en-GB"/>
              </w:rPr>
              <w:t>(1)</w:t>
            </w:r>
            <w:r w:rsidRPr="00CB75BD">
              <w:rPr>
                <w:sz w:val="20"/>
                <w:lang w:val="en-GB"/>
              </w:rPr>
              <w:tab/>
              <w:t>Atmospheric noise at frequencies above 30 MHz does not influence the overall noise contribution.</w:t>
            </w:r>
          </w:p>
        </w:tc>
      </w:tr>
    </w:tbl>
    <w:p w:rsidR="006612E7" w:rsidRPr="00CB75BD" w:rsidRDefault="006612E7" w:rsidP="006612E7">
      <w:pPr>
        <w:pStyle w:val="Tablefin"/>
      </w:pPr>
    </w:p>
    <w:p w:rsidR="006612E7" w:rsidRPr="00CB75BD" w:rsidRDefault="006612E7" w:rsidP="006612E7">
      <w:pPr>
        <w:pStyle w:val="Heading3"/>
        <w:rPr>
          <w:lang w:val="en-GB"/>
        </w:rPr>
      </w:pPr>
      <w:r w:rsidRPr="00CB75BD">
        <w:rPr>
          <w:lang w:val="en-GB"/>
        </w:rPr>
        <w:t>4.3.2</w:t>
      </w:r>
      <w:r w:rsidRPr="00CB75BD">
        <w:rPr>
          <w:lang w:val="en-GB"/>
        </w:rPr>
        <w:tab/>
        <w:t>Resulting external noise calculation at 45 MHz</w:t>
      </w:r>
    </w:p>
    <w:p w:rsidR="006612E7" w:rsidRPr="00CB75BD" w:rsidRDefault="006612E7" w:rsidP="006612E7">
      <w:pPr>
        <w:rPr>
          <w:lang w:val="en-GB"/>
        </w:rPr>
      </w:pPr>
      <w:r w:rsidRPr="00CB75BD">
        <w:rPr>
          <w:lang w:val="en-GB"/>
        </w:rPr>
        <w:t xml:space="preserve">Given the values of man-made, galactic and atmospheric noise one can calculate the resulting external noise using the following formula: </w:t>
      </w:r>
    </w:p>
    <w:p w:rsidR="006612E7" w:rsidRPr="00CB75BD" w:rsidRDefault="006612E7" w:rsidP="006612E7">
      <w:pPr>
        <w:pStyle w:val="Equation"/>
        <w:rPr>
          <w:lang w:val="en-GB"/>
        </w:rPr>
      </w:pPr>
      <w:r w:rsidRPr="00CB75BD">
        <w:rPr>
          <w:lang w:val="en-GB"/>
        </w:rPr>
        <w:tab/>
      </w:r>
      <w:r w:rsidRPr="00CB75BD">
        <w:rPr>
          <w:lang w:val="en-GB"/>
        </w:rPr>
        <w:tab/>
      </w:r>
      <w:r w:rsidRPr="00CB75BD">
        <w:rPr>
          <w:i/>
          <w:iCs/>
          <w:lang w:val="en-GB"/>
        </w:rPr>
        <w:t>N</w:t>
      </w:r>
      <w:r w:rsidRPr="00CB75BD">
        <w:rPr>
          <w:lang w:val="en-GB"/>
        </w:rPr>
        <w:t> = 10*</w:t>
      </w:r>
      <w:proofErr w:type="gramStart"/>
      <w:r w:rsidRPr="00CB75BD">
        <w:rPr>
          <w:lang w:val="en-GB"/>
        </w:rPr>
        <w:t>log</w:t>
      </w:r>
      <w:r w:rsidRPr="00CB75BD">
        <w:rPr>
          <w:vertAlign w:val="subscript"/>
          <w:lang w:val="en-GB"/>
        </w:rPr>
        <w:t>10</w:t>
      </w:r>
      <w:r w:rsidRPr="00CB75BD">
        <w:rPr>
          <w:lang w:val="en-GB"/>
        </w:rPr>
        <w:t>(</w:t>
      </w:r>
      <w:proofErr w:type="gramEnd"/>
      <w:r w:rsidRPr="00CB75BD">
        <w:rPr>
          <w:lang w:val="en-GB"/>
        </w:rPr>
        <w:t>10</w:t>
      </w:r>
      <w:r w:rsidRPr="00CB75BD">
        <w:rPr>
          <w:vertAlign w:val="superscript"/>
          <w:lang w:val="en-GB"/>
        </w:rPr>
        <w:t>(</w:t>
      </w:r>
      <w:r w:rsidRPr="00CB75BD">
        <w:rPr>
          <w:i/>
          <w:iCs/>
          <w:vertAlign w:val="superscript"/>
          <w:lang w:val="en-GB"/>
        </w:rPr>
        <w:t>Ngal</w:t>
      </w:r>
      <w:r w:rsidRPr="00CB75BD">
        <w:rPr>
          <w:vertAlign w:val="superscript"/>
          <w:lang w:val="en-GB"/>
        </w:rPr>
        <w:t xml:space="preserve">/10) </w:t>
      </w:r>
      <w:r w:rsidRPr="00CB75BD">
        <w:rPr>
          <w:lang w:val="en-GB"/>
        </w:rPr>
        <w:t>+ 10</w:t>
      </w:r>
      <w:r w:rsidRPr="00CB75BD">
        <w:rPr>
          <w:vertAlign w:val="superscript"/>
          <w:lang w:val="en-GB"/>
        </w:rPr>
        <w:t>(</w:t>
      </w:r>
      <w:r w:rsidRPr="00CB75BD">
        <w:rPr>
          <w:i/>
          <w:iCs/>
          <w:vertAlign w:val="superscript"/>
          <w:lang w:val="en-GB"/>
        </w:rPr>
        <w:t>Nman</w:t>
      </w:r>
      <w:r w:rsidRPr="00CB75BD">
        <w:rPr>
          <w:vertAlign w:val="superscript"/>
          <w:lang w:val="en-GB"/>
        </w:rPr>
        <w:t xml:space="preserve">/10) </w:t>
      </w:r>
      <w:r w:rsidRPr="00CB75BD">
        <w:rPr>
          <w:lang w:val="en-GB"/>
        </w:rPr>
        <w:t>+ 10</w:t>
      </w:r>
      <w:r w:rsidRPr="00CB75BD">
        <w:rPr>
          <w:vertAlign w:val="superscript"/>
          <w:lang w:val="en-GB"/>
        </w:rPr>
        <w:t>(</w:t>
      </w:r>
      <w:r w:rsidRPr="00CB75BD">
        <w:rPr>
          <w:i/>
          <w:iCs/>
          <w:vertAlign w:val="superscript"/>
          <w:lang w:val="en-GB"/>
        </w:rPr>
        <w:t>Natm</w:t>
      </w:r>
      <w:r w:rsidRPr="00CB75BD">
        <w:rPr>
          <w:vertAlign w:val="superscript"/>
          <w:lang w:val="en-GB"/>
        </w:rPr>
        <w:t>/10)</w:t>
      </w:r>
      <w:r w:rsidRPr="00CB75BD">
        <w:rPr>
          <w:lang w:val="en-GB"/>
        </w:rPr>
        <w:t>)</w:t>
      </w:r>
      <w:r w:rsidRPr="00CB75BD">
        <w:rPr>
          <w:lang w:val="en-GB"/>
        </w:rPr>
        <w:tab/>
        <w:t>(3)</w:t>
      </w:r>
    </w:p>
    <w:p w:rsidR="006612E7" w:rsidRPr="00CB75BD" w:rsidRDefault="006612E7" w:rsidP="006612E7">
      <w:pPr>
        <w:rPr>
          <w:lang w:val="en-GB"/>
        </w:rPr>
      </w:pPr>
      <w:r w:rsidRPr="00CB75BD">
        <w:rPr>
          <w:lang w:val="en-GB"/>
        </w:rPr>
        <w:t>At 45 MHz:</w:t>
      </w:r>
    </w:p>
    <w:p w:rsidR="006612E7" w:rsidRPr="00CB75BD" w:rsidRDefault="006612E7" w:rsidP="006612E7">
      <w:pPr>
        <w:pStyle w:val="enumlev1"/>
        <w:rPr>
          <w:lang w:val="en-GB"/>
        </w:rPr>
      </w:pPr>
      <w:r w:rsidRPr="00CB75BD">
        <w:rPr>
          <w:lang w:val="en-GB"/>
        </w:rPr>
        <w:t>1)</w:t>
      </w:r>
      <w:r w:rsidRPr="00CB75BD">
        <w:rPr>
          <w:lang w:val="en-GB"/>
        </w:rPr>
        <w:tab/>
      </w:r>
      <w:proofErr w:type="gramStart"/>
      <w:r w:rsidRPr="00CB75BD">
        <w:rPr>
          <w:lang w:val="en-GB"/>
        </w:rPr>
        <w:t>man-made</w:t>
      </w:r>
      <w:proofErr w:type="gramEnd"/>
      <w:r w:rsidRPr="00CB75BD">
        <w:rPr>
          <w:lang w:val="en-GB"/>
        </w:rPr>
        <w:t xml:space="preserve"> noise is equal to −182.6 dBW/Hz for “rural” environments;</w:t>
      </w:r>
    </w:p>
    <w:p w:rsidR="006612E7" w:rsidRPr="00CB75BD" w:rsidRDefault="006612E7" w:rsidP="006612E7">
      <w:pPr>
        <w:pStyle w:val="enumlev1"/>
        <w:rPr>
          <w:lang w:val="en-GB"/>
        </w:rPr>
      </w:pPr>
      <w:r w:rsidRPr="00CB75BD">
        <w:rPr>
          <w:lang w:val="en-GB"/>
        </w:rPr>
        <w:t>2)</w:t>
      </w:r>
      <w:r w:rsidRPr="00CB75BD">
        <w:rPr>
          <w:lang w:val="en-GB"/>
        </w:rPr>
        <w:tab/>
      </w:r>
      <w:proofErr w:type="gramStart"/>
      <w:r w:rsidRPr="00CB75BD">
        <w:rPr>
          <w:lang w:val="en-GB"/>
        </w:rPr>
        <w:t>galactic</w:t>
      </w:r>
      <w:proofErr w:type="gramEnd"/>
      <w:r w:rsidRPr="00CB75BD">
        <w:rPr>
          <w:lang w:val="en-GB"/>
        </w:rPr>
        <w:t xml:space="preserve"> noise is equal to −186 dBW/Hz;</w:t>
      </w:r>
    </w:p>
    <w:p w:rsidR="006612E7" w:rsidRPr="00CB75BD" w:rsidRDefault="006612E7" w:rsidP="006612E7">
      <w:pPr>
        <w:pStyle w:val="enumlev1"/>
        <w:rPr>
          <w:lang w:val="en-GB"/>
        </w:rPr>
      </w:pPr>
      <w:r w:rsidRPr="00CB75BD">
        <w:rPr>
          <w:lang w:val="en-GB"/>
        </w:rPr>
        <w:t>3)</w:t>
      </w:r>
      <w:r w:rsidRPr="00CB75BD">
        <w:rPr>
          <w:lang w:val="en-GB"/>
        </w:rPr>
        <w:tab/>
      </w:r>
      <w:proofErr w:type="gramStart"/>
      <w:r w:rsidRPr="00CB75BD">
        <w:rPr>
          <w:lang w:val="en-GB"/>
        </w:rPr>
        <w:t>atmospheric</w:t>
      </w:r>
      <w:proofErr w:type="gramEnd"/>
      <w:r w:rsidRPr="00CB75BD">
        <w:rPr>
          <w:lang w:val="en-GB"/>
        </w:rPr>
        <w:t xml:space="preserve"> noise depends on the brightness temperature, with maximum values occurring during the night and minimum values at midday, when the solar elevation angle is the highest. As indicated in Fig</w:t>
      </w:r>
      <w:r w:rsidR="00BC2A05" w:rsidRPr="00CB75BD">
        <w:rPr>
          <w:lang w:val="en-GB"/>
        </w:rPr>
        <w:t>.</w:t>
      </w:r>
      <w:r w:rsidRPr="00CB75BD">
        <w:rPr>
          <w:lang w:val="en-GB"/>
        </w:rPr>
        <w:t xml:space="preserve"> 5, atmospheric noise does not influence the overall noise contribution at 45</w:t>
      </w:r>
      <w:r w:rsidR="00BC2A05" w:rsidRPr="00CB75BD">
        <w:rPr>
          <w:lang w:val="en-GB"/>
        </w:rPr>
        <w:t> </w:t>
      </w:r>
      <w:r w:rsidRPr="00CB75BD">
        <w:rPr>
          <w:lang w:val="en-GB"/>
        </w:rPr>
        <w:t>MHz. For the purpose of these calculations atmospheric noise was assumed to be non</w:t>
      </w:r>
      <w:r w:rsidR="00BC2A05" w:rsidRPr="00CB75BD">
        <w:rPr>
          <w:lang w:val="en-GB"/>
        </w:rPr>
        <w:noBreakHyphen/>
      </w:r>
      <w:r w:rsidRPr="00CB75BD">
        <w:rPr>
          <w:lang w:val="en-GB"/>
        </w:rPr>
        <w:t>existent.</w:t>
      </w:r>
    </w:p>
    <w:p w:rsidR="006612E7" w:rsidRPr="00CB75BD" w:rsidRDefault="006612E7" w:rsidP="006612E7">
      <w:pPr>
        <w:rPr>
          <w:lang w:val="en-GB"/>
        </w:rPr>
      </w:pPr>
      <w:r w:rsidRPr="00CB75BD">
        <w:rPr>
          <w:lang w:val="en-GB"/>
        </w:rPr>
        <w:t>Therefore at 45 MHz the external noise has been determined to be equal to −181 dBW/Hz.</w:t>
      </w:r>
    </w:p>
    <w:p w:rsidR="006612E7" w:rsidRPr="00CB75BD" w:rsidRDefault="006612E7" w:rsidP="006612E7">
      <w:pPr>
        <w:pStyle w:val="Heading3"/>
        <w:rPr>
          <w:lang w:val="en-GB"/>
        </w:rPr>
      </w:pPr>
      <w:r w:rsidRPr="00CB75BD">
        <w:rPr>
          <w:lang w:val="en-GB"/>
        </w:rPr>
        <w:t>4.3.3</w:t>
      </w:r>
      <w:r w:rsidRPr="00CB75BD">
        <w:rPr>
          <w:lang w:val="en-GB"/>
        </w:rPr>
        <w:tab/>
        <w:t>Maximum interference level</w:t>
      </w:r>
    </w:p>
    <w:p w:rsidR="006612E7" w:rsidRPr="00CB75BD" w:rsidRDefault="006612E7" w:rsidP="006612E7">
      <w:pPr>
        <w:rPr>
          <w:lang w:val="en-GB"/>
        </w:rPr>
      </w:pPr>
      <w:r w:rsidRPr="00CB75BD">
        <w:rPr>
          <w:lang w:val="en-GB"/>
        </w:rPr>
        <w:t xml:space="preserve">Once the external noise </w:t>
      </w:r>
      <w:r w:rsidRPr="00CB75BD">
        <w:rPr>
          <w:i/>
          <w:iCs/>
          <w:lang w:val="en-GB"/>
        </w:rPr>
        <w:t>N</w:t>
      </w:r>
      <w:r w:rsidRPr="00CB75BD">
        <w:rPr>
          <w:lang w:val="en-GB"/>
        </w:rPr>
        <w:t xml:space="preserve"> is known, the maximum allowable interference level into a receiver with a bandwidth of </w:t>
      </w:r>
      <w:r w:rsidRPr="00CB75BD">
        <w:rPr>
          <w:i/>
          <w:iCs/>
          <w:lang w:val="en-GB"/>
        </w:rPr>
        <w:t>B</w:t>
      </w:r>
      <w:r w:rsidRPr="00CB75BD">
        <w:rPr>
          <w:lang w:val="en-GB"/>
        </w:rPr>
        <w:t xml:space="preserve"> (Hz) is determined from:</w:t>
      </w:r>
    </w:p>
    <w:p w:rsidR="006612E7" w:rsidRPr="00CB75BD" w:rsidRDefault="006612E7" w:rsidP="006612E7">
      <w:pPr>
        <w:pStyle w:val="Equation"/>
        <w:rPr>
          <w:lang w:val="en-GB"/>
        </w:rPr>
      </w:pPr>
      <w:r w:rsidRPr="00CB75BD">
        <w:rPr>
          <w:lang w:val="en-GB"/>
        </w:rPr>
        <w:tab/>
      </w:r>
      <w:r w:rsidRPr="00CB75BD">
        <w:rPr>
          <w:lang w:val="en-GB"/>
        </w:rPr>
        <w:tab/>
      </w:r>
      <w:r w:rsidRPr="00CB75BD">
        <w:rPr>
          <w:i/>
          <w:iCs/>
          <w:lang w:val="en-GB"/>
        </w:rPr>
        <w:t>I</w:t>
      </w:r>
      <w:r w:rsidRPr="00CB75BD">
        <w:rPr>
          <w:i/>
          <w:iCs/>
          <w:vertAlign w:val="subscript"/>
          <w:lang w:val="en-GB"/>
        </w:rPr>
        <w:t>max</w:t>
      </w:r>
      <w:r w:rsidRPr="00CB75BD">
        <w:rPr>
          <w:lang w:val="en-GB"/>
        </w:rPr>
        <w:t> = </w:t>
      </w:r>
      <w:r w:rsidRPr="00CB75BD">
        <w:rPr>
          <w:i/>
          <w:iCs/>
          <w:lang w:val="en-GB"/>
        </w:rPr>
        <w:t>N</w:t>
      </w:r>
      <w:r w:rsidRPr="00CB75BD">
        <w:rPr>
          <w:lang w:val="en-GB"/>
        </w:rPr>
        <w:t> + (</w:t>
      </w:r>
      <w:r w:rsidRPr="00CB75BD">
        <w:rPr>
          <w:i/>
          <w:iCs/>
          <w:lang w:val="en-GB"/>
        </w:rPr>
        <w:t>I/N</w:t>
      </w:r>
      <w:proofErr w:type="gramStart"/>
      <w:r w:rsidRPr="00CB75BD">
        <w:rPr>
          <w:lang w:val="en-GB"/>
        </w:rPr>
        <w:t>)</w:t>
      </w:r>
      <w:r w:rsidRPr="00CB75BD">
        <w:rPr>
          <w:i/>
          <w:iCs/>
          <w:vertAlign w:val="subscript"/>
          <w:lang w:val="en-GB"/>
        </w:rPr>
        <w:t>long</w:t>
      </w:r>
      <w:proofErr w:type="gramEnd"/>
      <w:r w:rsidRPr="00CB75BD">
        <w:rPr>
          <w:i/>
          <w:iCs/>
          <w:vertAlign w:val="subscript"/>
          <w:lang w:val="en-GB"/>
        </w:rPr>
        <w:t xml:space="preserve"> term</w:t>
      </w:r>
      <w:r w:rsidRPr="00CB75BD">
        <w:rPr>
          <w:lang w:val="en-GB"/>
        </w:rPr>
        <w:t xml:space="preserve"> + 10*log</w:t>
      </w:r>
      <w:r w:rsidRPr="00CB75BD">
        <w:rPr>
          <w:vertAlign w:val="subscript"/>
          <w:lang w:val="en-GB"/>
        </w:rPr>
        <w:t>10</w:t>
      </w:r>
      <w:r w:rsidRPr="00CB75BD">
        <w:rPr>
          <w:lang w:val="en-GB"/>
        </w:rPr>
        <w:t>(</w:t>
      </w:r>
      <w:r w:rsidRPr="00CB75BD">
        <w:rPr>
          <w:i/>
          <w:iCs/>
          <w:lang w:val="en-GB"/>
        </w:rPr>
        <w:t>B</w:t>
      </w:r>
      <w:r w:rsidRPr="00CB75BD">
        <w:rPr>
          <w:lang w:val="en-GB"/>
        </w:rPr>
        <w:t>)</w:t>
      </w:r>
    </w:p>
    <w:p w:rsidR="006612E7" w:rsidRPr="00CB75BD" w:rsidRDefault="006612E7" w:rsidP="006612E7">
      <w:pPr>
        <w:keepNext/>
        <w:rPr>
          <w:lang w:val="en-GB"/>
        </w:rPr>
      </w:pPr>
      <w:proofErr w:type="gramStart"/>
      <w:r w:rsidRPr="00CB75BD">
        <w:rPr>
          <w:lang w:val="en-GB"/>
        </w:rPr>
        <w:t>with</w:t>
      </w:r>
      <w:proofErr w:type="gramEnd"/>
      <w:r w:rsidRPr="00CB75BD">
        <w:rPr>
          <w:lang w:val="en-GB"/>
        </w:rPr>
        <w:t>:</w:t>
      </w:r>
    </w:p>
    <w:p w:rsidR="006612E7" w:rsidRPr="00CB75BD" w:rsidRDefault="006612E7" w:rsidP="006612E7">
      <w:pPr>
        <w:pStyle w:val="Equationlegend"/>
        <w:rPr>
          <w:lang w:val="en-GB"/>
        </w:rPr>
      </w:pPr>
      <w:r w:rsidRPr="00CB75BD">
        <w:rPr>
          <w:lang w:val="en-GB"/>
        </w:rPr>
        <w:tab/>
      </w:r>
      <w:proofErr w:type="gramStart"/>
      <w:r w:rsidRPr="00CB75BD">
        <w:rPr>
          <w:i/>
          <w:iCs/>
          <w:lang w:val="en-GB"/>
        </w:rPr>
        <w:t>I</w:t>
      </w:r>
      <w:r w:rsidRPr="00CB75BD">
        <w:rPr>
          <w:i/>
          <w:iCs/>
          <w:vertAlign w:val="subscript"/>
          <w:lang w:val="en-GB"/>
        </w:rPr>
        <w:t>max</w:t>
      </w:r>
      <w:r w:rsidRPr="00CB75BD">
        <w:rPr>
          <w:i/>
          <w:iCs/>
          <w:lang w:val="en-GB"/>
        </w:rPr>
        <w:t xml:space="preserve"> </w:t>
      </w:r>
      <w:r w:rsidR="00676073" w:rsidRPr="00CB75BD">
        <w:rPr>
          <w:iCs/>
          <w:lang w:val="en-GB"/>
        </w:rPr>
        <w:t>:</w:t>
      </w:r>
      <w:proofErr w:type="gramEnd"/>
      <w:r w:rsidR="00676073" w:rsidRPr="00CB75BD">
        <w:rPr>
          <w:i/>
          <w:iCs/>
          <w:lang w:val="en-GB"/>
        </w:rPr>
        <w:tab/>
      </w:r>
      <w:r w:rsidRPr="00CB75BD">
        <w:rPr>
          <w:lang w:val="en-GB"/>
        </w:rPr>
        <w:t>the maximum allowable interference level in the incumbent service receiver</w:t>
      </w:r>
    </w:p>
    <w:p w:rsidR="006612E7" w:rsidRPr="00CB75BD" w:rsidRDefault="006612E7" w:rsidP="00676073">
      <w:pPr>
        <w:pStyle w:val="Equationlegend"/>
        <w:rPr>
          <w:lang w:val="en-GB"/>
        </w:rPr>
      </w:pPr>
      <w:r w:rsidRPr="00CB75BD">
        <w:rPr>
          <w:lang w:val="en-GB"/>
        </w:rPr>
        <w:tab/>
        <w:t>(</w:t>
      </w:r>
      <w:r w:rsidRPr="00CB75BD">
        <w:rPr>
          <w:i/>
          <w:iCs/>
          <w:lang w:val="en-GB"/>
        </w:rPr>
        <w:t>I</w:t>
      </w:r>
      <w:r w:rsidRPr="00CB75BD">
        <w:rPr>
          <w:iCs/>
          <w:lang w:val="en-GB"/>
        </w:rPr>
        <w:t>/</w:t>
      </w:r>
      <w:r w:rsidRPr="00CB75BD">
        <w:rPr>
          <w:i/>
          <w:iCs/>
          <w:lang w:val="en-GB"/>
        </w:rPr>
        <w:t>N</w:t>
      </w:r>
      <w:proofErr w:type="gramStart"/>
      <w:r w:rsidRPr="00CB75BD">
        <w:rPr>
          <w:lang w:val="en-GB"/>
        </w:rPr>
        <w:t>)</w:t>
      </w:r>
      <w:r w:rsidRPr="00CB75BD">
        <w:rPr>
          <w:i/>
          <w:iCs/>
          <w:vertAlign w:val="subscript"/>
          <w:lang w:val="en-GB"/>
        </w:rPr>
        <w:t>long</w:t>
      </w:r>
      <w:proofErr w:type="gramEnd"/>
      <w:r w:rsidRPr="00CB75BD">
        <w:rPr>
          <w:i/>
          <w:iCs/>
          <w:vertAlign w:val="subscript"/>
          <w:lang w:val="en-GB"/>
        </w:rPr>
        <w:t xml:space="preserve"> term</w:t>
      </w:r>
      <w:r w:rsidRPr="00CB75BD">
        <w:rPr>
          <w:lang w:val="en-GB"/>
        </w:rPr>
        <w:t xml:space="preserve"> </w:t>
      </w:r>
      <w:r w:rsidR="00676073" w:rsidRPr="00CB75BD">
        <w:rPr>
          <w:iCs/>
          <w:lang w:val="en-GB"/>
        </w:rPr>
        <w:t>:</w:t>
      </w:r>
      <w:r w:rsidR="00676073" w:rsidRPr="00CB75BD">
        <w:rPr>
          <w:i/>
          <w:iCs/>
          <w:lang w:val="en-GB"/>
        </w:rPr>
        <w:tab/>
      </w:r>
      <w:r w:rsidRPr="00CB75BD">
        <w:rPr>
          <w:lang w:val="en-GB"/>
        </w:rPr>
        <w:t xml:space="preserve">the long term allowable </w:t>
      </w:r>
      <w:r w:rsidRPr="00CB75BD">
        <w:rPr>
          <w:i/>
          <w:iCs/>
          <w:lang w:val="en-GB"/>
        </w:rPr>
        <w:t>I</w:t>
      </w:r>
      <w:r w:rsidRPr="00CB75BD">
        <w:rPr>
          <w:iCs/>
          <w:lang w:val="en-GB"/>
        </w:rPr>
        <w:t>/</w:t>
      </w:r>
      <w:r w:rsidRPr="00CB75BD">
        <w:rPr>
          <w:i/>
          <w:iCs/>
          <w:lang w:val="en-GB"/>
        </w:rPr>
        <w:t>N</w:t>
      </w:r>
    </w:p>
    <w:p w:rsidR="006612E7" w:rsidRPr="00CB75BD" w:rsidRDefault="006612E7" w:rsidP="006612E7">
      <w:pPr>
        <w:pStyle w:val="Equationlegend"/>
        <w:rPr>
          <w:i/>
          <w:lang w:val="en-GB"/>
        </w:rPr>
      </w:pPr>
      <w:r w:rsidRPr="00CB75BD">
        <w:rPr>
          <w:lang w:val="en-GB"/>
        </w:rPr>
        <w:tab/>
      </w:r>
      <w:proofErr w:type="gramStart"/>
      <w:r w:rsidRPr="00CB75BD">
        <w:rPr>
          <w:i/>
          <w:iCs/>
          <w:lang w:val="en-GB"/>
        </w:rPr>
        <w:t>N</w:t>
      </w:r>
      <w:r w:rsidRPr="00CB75BD">
        <w:rPr>
          <w:lang w:val="en-GB"/>
        </w:rPr>
        <w:t xml:space="preserve"> </w:t>
      </w:r>
      <w:r w:rsidR="00676073" w:rsidRPr="00CB75BD">
        <w:rPr>
          <w:iCs/>
          <w:lang w:val="en-GB"/>
        </w:rPr>
        <w:t>:</w:t>
      </w:r>
      <w:proofErr w:type="gramEnd"/>
      <w:r w:rsidR="00676073" w:rsidRPr="00CB75BD">
        <w:rPr>
          <w:i/>
          <w:iCs/>
          <w:lang w:val="en-GB"/>
        </w:rPr>
        <w:tab/>
      </w:r>
      <w:r w:rsidRPr="00CB75BD">
        <w:rPr>
          <w:lang w:val="en-GB"/>
        </w:rPr>
        <w:t>the external noise value</w:t>
      </w:r>
      <w:r w:rsidRPr="00CB75BD">
        <w:rPr>
          <w:vertAlign w:val="subscript"/>
          <w:lang w:val="en-GB"/>
        </w:rPr>
        <w:t xml:space="preserve"> </w:t>
      </w:r>
      <w:r w:rsidRPr="00CB75BD">
        <w:rPr>
          <w:lang w:val="en-GB"/>
        </w:rPr>
        <w:t>in dBW/Hz, calculated in “rural” and “quiet rural” environments.</w:t>
      </w:r>
    </w:p>
    <w:p w:rsidR="006612E7" w:rsidRPr="00CB75BD" w:rsidRDefault="006612E7" w:rsidP="006612E7">
      <w:pPr>
        <w:rPr>
          <w:lang w:val="en-GB"/>
        </w:rPr>
      </w:pPr>
      <w:r w:rsidRPr="00CB75BD">
        <w:rPr>
          <w:lang w:val="en-GB"/>
        </w:rPr>
        <w:t>The maximum interference level</w:t>
      </w:r>
      <w:r w:rsidRPr="00CB75BD">
        <w:rPr>
          <w:i/>
          <w:lang w:val="en-GB"/>
        </w:rPr>
        <w:t xml:space="preserve">, </w:t>
      </w:r>
      <w:proofErr w:type="gramStart"/>
      <w:r w:rsidRPr="00CB75BD">
        <w:rPr>
          <w:i/>
          <w:iCs/>
          <w:lang w:val="en-GB"/>
        </w:rPr>
        <w:t>I</w:t>
      </w:r>
      <w:r w:rsidRPr="00CB75BD">
        <w:rPr>
          <w:i/>
          <w:iCs/>
          <w:vertAlign w:val="subscript"/>
          <w:lang w:val="en-GB"/>
        </w:rPr>
        <w:t>max</w:t>
      </w:r>
      <w:proofErr w:type="gramEnd"/>
      <w:r w:rsidRPr="00CB75BD">
        <w:rPr>
          <w:i/>
          <w:lang w:val="en-GB"/>
        </w:rPr>
        <w:t>,</w:t>
      </w:r>
      <w:r w:rsidRPr="00CB75BD">
        <w:rPr>
          <w:lang w:val="en-GB"/>
        </w:rPr>
        <w:t xml:space="preserve"> is derived from the value of the lowest atmospheric noise level. Table 4 provides an estimation of the external noise and the maximum interference levels.</w:t>
      </w:r>
    </w:p>
    <w:p w:rsidR="006612E7" w:rsidRPr="00CB75BD" w:rsidRDefault="006612E7" w:rsidP="006612E7">
      <w:pPr>
        <w:pStyle w:val="TableNo"/>
        <w:rPr>
          <w:lang w:val="en-GB"/>
        </w:rPr>
      </w:pPr>
      <w:r w:rsidRPr="00CB75BD">
        <w:rPr>
          <w:lang w:val="en-GB"/>
        </w:rPr>
        <w:lastRenderedPageBreak/>
        <w:t>TABLE 4</w:t>
      </w:r>
    </w:p>
    <w:p w:rsidR="006612E7" w:rsidRPr="00CB75BD" w:rsidRDefault="006612E7" w:rsidP="006612E7">
      <w:pPr>
        <w:pStyle w:val="Tabletitle"/>
        <w:rPr>
          <w:lang w:val="en-GB"/>
        </w:rPr>
      </w:pPr>
      <w:r w:rsidRPr="00CB75BD">
        <w:rPr>
          <w:lang w:val="en-GB"/>
        </w:rPr>
        <w:t>Service protection criteria: Maximum interference levels for incumbent services</w:t>
      </w:r>
      <w:r w:rsidRPr="00CB75BD">
        <w:rPr>
          <w:lang w:val="en-GB"/>
        </w:rPr>
        <w:br/>
        <w:t>within the 40-50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2126"/>
        <w:gridCol w:w="2840"/>
      </w:tblGrid>
      <w:tr w:rsidR="006612E7" w:rsidRPr="00CB75BD" w:rsidTr="00840349">
        <w:trPr>
          <w:jc w:val="center"/>
        </w:trPr>
        <w:tc>
          <w:tcPr>
            <w:tcW w:w="2547" w:type="dxa"/>
            <w:vAlign w:val="center"/>
          </w:tcPr>
          <w:p w:rsidR="006612E7" w:rsidRPr="00CB75BD" w:rsidRDefault="006612E7" w:rsidP="00840349">
            <w:pPr>
              <w:pStyle w:val="Tablehead"/>
              <w:keepLines/>
              <w:rPr>
                <w:lang w:val="en-GB"/>
              </w:rPr>
            </w:pPr>
            <w:r w:rsidRPr="00CB75BD">
              <w:rPr>
                <w:lang w:val="en-GB"/>
              </w:rPr>
              <w:t>Service</w:t>
            </w:r>
          </w:p>
        </w:tc>
        <w:tc>
          <w:tcPr>
            <w:tcW w:w="2126" w:type="dxa"/>
            <w:vAlign w:val="center"/>
          </w:tcPr>
          <w:p w:rsidR="006612E7" w:rsidRPr="00CB75BD" w:rsidRDefault="006612E7" w:rsidP="00840349">
            <w:pPr>
              <w:pStyle w:val="Tablehead"/>
              <w:keepLines/>
              <w:rPr>
                <w:lang w:val="en-GB"/>
              </w:rPr>
            </w:pPr>
            <w:r w:rsidRPr="00CB75BD">
              <w:rPr>
                <w:i/>
                <w:iCs/>
                <w:lang w:val="en-GB"/>
              </w:rPr>
              <w:t>I</w:t>
            </w:r>
            <w:r w:rsidRPr="00CB75BD">
              <w:rPr>
                <w:iCs/>
                <w:lang w:val="en-GB"/>
              </w:rPr>
              <w:t>/</w:t>
            </w:r>
            <w:r w:rsidRPr="00CB75BD">
              <w:rPr>
                <w:i/>
                <w:iCs/>
                <w:lang w:val="en-GB"/>
              </w:rPr>
              <w:t>N</w:t>
            </w:r>
            <w:r w:rsidRPr="00CB75BD">
              <w:rPr>
                <w:lang w:val="en-GB"/>
              </w:rPr>
              <w:br/>
              <w:t>(dB)</w:t>
            </w:r>
          </w:p>
        </w:tc>
        <w:tc>
          <w:tcPr>
            <w:tcW w:w="2126" w:type="dxa"/>
            <w:vAlign w:val="center"/>
          </w:tcPr>
          <w:p w:rsidR="006612E7" w:rsidRPr="00CB75BD" w:rsidRDefault="006612E7" w:rsidP="00840349">
            <w:pPr>
              <w:pStyle w:val="Tablehead"/>
              <w:keepLines/>
              <w:rPr>
                <w:lang w:val="en-GB"/>
              </w:rPr>
            </w:pPr>
            <w:r w:rsidRPr="00CB75BD">
              <w:rPr>
                <w:lang w:val="en-GB"/>
              </w:rPr>
              <w:t>Channel</w:t>
            </w:r>
            <w:r w:rsidRPr="00CB75BD">
              <w:rPr>
                <w:lang w:val="en-GB"/>
              </w:rPr>
              <w:br/>
              <w:t>bandwidth (kHz)</w:t>
            </w:r>
          </w:p>
        </w:tc>
        <w:tc>
          <w:tcPr>
            <w:tcW w:w="2840" w:type="dxa"/>
            <w:vAlign w:val="center"/>
          </w:tcPr>
          <w:p w:rsidR="006612E7" w:rsidRPr="00CB75BD" w:rsidRDefault="006612E7" w:rsidP="00840349">
            <w:pPr>
              <w:pStyle w:val="Tablehead"/>
              <w:keepLines/>
              <w:rPr>
                <w:lang w:val="en-GB"/>
              </w:rPr>
            </w:pPr>
            <w:r w:rsidRPr="00CB75BD">
              <w:rPr>
                <w:lang w:val="en-GB"/>
              </w:rPr>
              <w:t>Maximum interference level (dBW/channel bandwidth)</w:t>
            </w:r>
          </w:p>
        </w:tc>
      </w:tr>
      <w:tr w:rsidR="006612E7" w:rsidRPr="00CB75BD" w:rsidTr="00840349">
        <w:trPr>
          <w:jc w:val="center"/>
        </w:trPr>
        <w:tc>
          <w:tcPr>
            <w:tcW w:w="2547" w:type="dxa"/>
          </w:tcPr>
          <w:p w:rsidR="006612E7" w:rsidRPr="00CB75BD" w:rsidRDefault="006612E7" w:rsidP="00840349">
            <w:pPr>
              <w:pStyle w:val="Tabletext"/>
              <w:keepNext/>
              <w:keepLines/>
              <w:rPr>
                <w:lang w:val="en-GB"/>
              </w:rPr>
            </w:pPr>
            <w:r w:rsidRPr="00CB75BD">
              <w:rPr>
                <w:lang w:val="en-GB"/>
              </w:rPr>
              <w:t>Fixed</w:t>
            </w:r>
          </w:p>
        </w:tc>
        <w:tc>
          <w:tcPr>
            <w:tcW w:w="2126" w:type="dxa"/>
            <w:vAlign w:val="center"/>
          </w:tcPr>
          <w:p w:rsidR="006612E7" w:rsidRPr="00CB75BD" w:rsidRDefault="006612E7" w:rsidP="00840349">
            <w:pPr>
              <w:pStyle w:val="Tabletext"/>
              <w:keepNext/>
              <w:keepLines/>
              <w:jc w:val="center"/>
              <w:rPr>
                <w:lang w:val="en-GB"/>
              </w:rPr>
            </w:pPr>
            <w:r w:rsidRPr="00CB75BD">
              <w:rPr>
                <w:lang w:val="en-GB"/>
              </w:rPr>
              <w:t>−6</w:t>
            </w:r>
          </w:p>
        </w:tc>
        <w:tc>
          <w:tcPr>
            <w:tcW w:w="2126" w:type="dxa"/>
            <w:vAlign w:val="center"/>
          </w:tcPr>
          <w:p w:rsidR="006612E7" w:rsidRPr="00CB75BD" w:rsidRDefault="006612E7" w:rsidP="00840349">
            <w:pPr>
              <w:pStyle w:val="Tabletext"/>
              <w:keepNext/>
              <w:keepLines/>
              <w:jc w:val="center"/>
              <w:rPr>
                <w:lang w:val="en-GB"/>
              </w:rPr>
            </w:pPr>
            <w:r w:rsidRPr="00CB75BD">
              <w:rPr>
                <w:lang w:val="en-GB"/>
              </w:rPr>
              <w:t xml:space="preserve">36 </w:t>
            </w:r>
          </w:p>
        </w:tc>
        <w:tc>
          <w:tcPr>
            <w:tcW w:w="2840" w:type="dxa"/>
            <w:vAlign w:val="center"/>
          </w:tcPr>
          <w:p w:rsidR="006612E7" w:rsidRPr="00CB75BD" w:rsidRDefault="006612E7" w:rsidP="00840349">
            <w:pPr>
              <w:pStyle w:val="Tabletext"/>
              <w:keepNext/>
              <w:keepLines/>
              <w:jc w:val="center"/>
              <w:rPr>
                <w:lang w:val="en-GB"/>
              </w:rPr>
            </w:pPr>
            <w:r w:rsidRPr="00CB75BD">
              <w:rPr>
                <w:lang w:val="en-GB" w:eastAsia="zh-CN"/>
              </w:rPr>
              <w:t>−141.4</w:t>
            </w:r>
          </w:p>
        </w:tc>
      </w:tr>
      <w:tr w:rsidR="006612E7" w:rsidRPr="00CB75BD" w:rsidTr="00840349">
        <w:trPr>
          <w:jc w:val="center"/>
        </w:trPr>
        <w:tc>
          <w:tcPr>
            <w:tcW w:w="2547" w:type="dxa"/>
          </w:tcPr>
          <w:p w:rsidR="006612E7" w:rsidRPr="00CB75BD" w:rsidRDefault="006612E7" w:rsidP="00840349">
            <w:pPr>
              <w:pStyle w:val="Tabletext"/>
              <w:keepNext/>
              <w:keepLines/>
              <w:rPr>
                <w:lang w:val="en-GB"/>
              </w:rPr>
            </w:pPr>
            <w:r w:rsidRPr="00CB75BD">
              <w:rPr>
                <w:lang w:val="en-GB"/>
              </w:rPr>
              <w:t>Mobile</w:t>
            </w:r>
          </w:p>
        </w:tc>
        <w:tc>
          <w:tcPr>
            <w:tcW w:w="2126" w:type="dxa"/>
            <w:vAlign w:val="center"/>
          </w:tcPr>
          <w:p w:rsidR="006612E7" w:rsidRPr="00CB75BD" w:rsidRDefault="006612E7" w:rsidP="00840349">
            <w:pPr>
              <w:pStyle w:val="Tabletext"/>
              <w:keepNext/>
              <w:keepLines/>
              <w:jc w:val="center"/>
              <w:rPr>
                <w:lang w:val="en-GB"/>
              </w:rPr>
            </w:pPr>
            <w:r w:rsidRPr="00CB75BD">
              <w:rPr>
                <w:lang w:val="en-GB"/>
              </w:rPr>
              <w:t>−10</w:t>
            </w:r>
          </w:p>
        </w:tc>
        <w:tc>
          <w:tcPr>
            <w:tcW w:w="2126" w:type="dxa"/>
            <w:vAlign w:val="center"/>
          </w:tcPr>
          <w:p w:rsidR="006612E7" w:rsidRPr="00CB75BD" w:rsidRDefault="006612E7" w:rsidP="000044C7">
            <w:pPr>
              <w:pStyle w:val="Tabletext"/>
              <w:keepNext/>
              <w:keepLines/>
              <w:jc w:val="center"/>
              <w:rPr>
                <w:lang w:val="en-GB"/>
              </w:rPr>
            </w:pPr>
            <w:r w:rsidRPr="00CB75BD">
              <w:rPr>
                <w:lang w:val="en-GB"/>
              </w:rPr>
              <w:t>16</w:t>
            </w:r>
            <w:r w:rsidR="000044C7" w:rsidRPr="00CB75BD">
              <w:rPr>
                <w:lang w:val="en-GB"/>
              </w:rPr>
              <w:t xml:space="preserve"> </w:t>
            </w:r>
            <w:r w:rsidR="000044C7" w:rsidRPr="00CB75BD">
              <w:rPr>
                <w:vertAlign w:val="superscript"/>
                <w:lang w:val="en-GB"/>
              </w:rPr>
              <w:t>(1)</w:t>
            </w:r>
          </w:p>
        </w:tc>
        <w:tc>
          <w:tcPr>
            <w:tcW w:w="2840" w:type="dxa"/>
            <w:vAlign w:val="center"/>
          </w:tcPr>
          <w:p w:rsidR="006612E7" w:rsidRPr="00CB75BD" w:rsidRDefault="006612E7" w:rsidP="00840349">
            <w:pPr>
              <w:pStyle w:val="Tabletext"/>
              <w:keepNext/>
              <w:keepLines/>
              <w:jc w:val="center"/>
              <w:rPr>
                <w:lang w:val="en-GB"/>
              </w:rPr>
            </w:pPr>
            <w:r w:rsidRPr="00CB75BD">
              <w:rPr>
                <w:lang w:val="en-GB"/>
              </w:rPr>
              <w:t>−148.9</w:t>
            </w:r>
          </w:p>
        </w:tc>
      </w:tr>
      <w:tr w:rsidR="006612E7" w:rsidRPr="00CB75BD" w:rsidTr="00840349">
        <w:trPr>
          <w:jc w:val="center"/>
        </w:trPr>
        <w:tc>
          <w:tcPr>
            <w:tcW w:w="2547" w:type="dxa"/>
          </w:tcPr>
          <w:p w:rsidR="006612E7" w:rsidRPr="00CB75BD" w:rsidRDefault="006612E7" w:rsidP="00840349">
            <w:pPr>
              <w:pStyle w:val="Tabletext"/>
              <w:keepNext/>
              <w:keepLines/>
              <w:rPr>
                <w:lang w:val="en-GB"/>
              </w:rPr>
            </w:pPr>
            <w:r w:rsidRPr="00CB75BD">
              <w:rPr>
                <w:lang w:val="en-GB"/>
              </w:rPr>
              <w:t>Broadcasting</w:t>
            </w:r>
          </w:p>
        </w:tc>
        <w:tc>
          <w:tcPr>
            <w:tcW w:w="2126" w:type="dxa"/>
            <w:vAlign w:val="center"/>
          </w:tcPr>
          <w:p w:rsidR="006612E7" w:rsidRPr="00CB75BD" w:rsidRDefault="006612E7" w:rsidP="00840349">
            <w:pPr>
              <w:pStyle w:val="Tabletext"/>
              <w:keepNext/>
              <w:keepLines/>
              <w:jc w:val="center"/>
              <w:rPr>
                <w:lang w:val="en-GB"/>
              </w:rPr>
            </w:pPr>
            <w:r w:rsidRPr="00CB75BD">
              <w:rPr>
                <w:lang w:val="en-GB"/>
              </w:rPr>
              <w:t>−10</w:t>
            </w:r>
          </w:p>
        </w:tc>
        <w:tc>
          <w:tcPr>
            <w:tcW w:w="2126" w:type="dxa"/>
            <w:vAlign w:val="center"/>
          </w:tcPr>
          <w:p w:rsidR="006612E7" w:rsidRPr="00CB75BD" w:rsidRDefault="006612E7" w:rsidP="00840349">
            <w:pPr>
              <w:pStyle w:val="Tabletext"/>
              <w:keepNext/>
              <w:keepLines/>
              <w:jc w:val="center"/>
              <w:rPr>
                <w:lang w:val="en-GB"/>
              </w:rPr>
            </w:pPr>
            <w:r w:rsidRPr="00CB75BD">
              <w:rPr>
                <w:lang w:val="en-GB"/>
              </w:rPr>
              <w:t>9</w:t>
            </w:r>
            <w:r w:rsidR="000044C7" w:rsidRPr="00CB75BD">
              <w:rPr>
                <w:lang w:val="en-GB"/>
              </w:rPr>
              <w:t xml:space="preserve"> </w:t>
            </w:r>
            <w:r w:rsidR="000044C7" w:rsidRPr="00CB75BD">
              <w:rPr>
                <w:vertAlign w:val="superscript"/>
                <w:lang w:val="en-GB"/>
              </w:rPr>
              <w:t>(1)</w:t>
            </w:r>
          </w:p>
        </w:tc>
        <w:tc>
          <w:tcPr>
            <w:tcW w:w="2840" w:type="dxa"/>
            <w:vAlign w:val="center"/>
          </w:tcPr>
          <w:p w:rsidR="006612E7" w:rsidRPr="00CB75BD" w:rsidRDefault="006612E7" w:rsidP="00840349">
            <w:pPr>
              <w:pStyle w:val="Tabletext"/>
              <w:keepNext/>
              <w:keepLines/>
              <w:jc w:val="center"/>
              <w:rPr>
                <w:lang w:val="en-GB"/>
              </w:rPr>
            </w:pPr>
            <w:r w:rsidRPr="00CB75BD">
              <w:rPr>
                <w:lang w:val="en-GB"/>
              </w:rPr>
              <w:t>−151.4</w:t>
            </w:r>
          </w:p>
        </w:tc>
      </w:tr>
      <w:tr w:rsidR="006612E7" w:rsidRPr="00CB75BD" w:rsidTr="00840349">
        <w:trPr>
          <w:jc w:val="center"/>
        </w:trPr>
        <w:tc>
          <w:tcPr>
            <w:tcW w:w="2547" w:type="dxa"/>
          </w:tcPr>
          <w:p w:rsidR="006612E7" w:rsidRPr="00CB75BD" w:rsidRDefault="006612E7" w:rsidP="00840349">
            <w:pPr>
              <w:pStyle w:val="Tabletext"/>
              <w:keepNext/>
              <w:keepLines/>
              <w:rPr>
                <w:lang w:val="en-GB"/>
              </w:rPr>
            </w:pPr>
            <w:r w:rsidRPr="00CB75BD">
              <w:rPr>
                <w:lang w:val="en-GB"/>
              </w:rPr>
              <w:t>Space Research</w:t>
            </w:r>
          </w:p>
        </w:tc>
        <w:tc>
          <w:tcPr>
            <w:tcW w:w="2126" w:type="dxa"/>
            <w:vAlign w:val="center"/>
          </w:tcPr>
          <w:p w:rsidR="006612E7" w:rsidRPr="00CB75BD" w:rsidRDefault="006612E7" w:rsidP="00840349">
            <w:pPr>
              <w:pStyle w:val="Tabletext"/>
              <w:keepNext/>
              <w:keepLines/>
              <w:jc w:val="center"/>
              <w:rPr>
                <w:lang w:val="en-GB"/>
              </w:rPr>
            </w:pPr>
            <w:r w:rsidRPr="00CB75BD">
              <w:rPr>
                <w:lang w:val="en-GB"/>
              </w:rPr>
              <w:t>−6</w:t>
            </w:r>
          </w:p>
        </w:tc>
        <w:tc>
          <w:tcPr>
            <w:tcW w:w="2126" w:type="dxa"/>
            <w:vAlign w:val="center"/>
          </w:tcPr>
          <w:p w:rsidR="006612E7" w:rsidRPr="00CB75BD" w:rsidRDefault="006612E7" w:rsidP="00840349">
            <w:pPr>
              <w:pStyle w:val="Tabletext"/>
              <w:keepNext/>
              <w:keepLines/>
              <w:jc w:val="center"/>
              <w:rPr>
                <w:lang w:val="en-GB"/>
              </w:rPr>
            </w:pPr>
            <w:r w:rsidRPr="00CB75BD">
              <w:rPr>
                <w:lang w:val="en-GB"/>
              </w:rPr>
              <w:t>1</w:t>
            </w:r>
          </w:p>
        </w:tc>
        <w:tc>
          <w:tcPr>
            <w:tcW w:w="2840" w:type="dxa"/>
            <w:vAlign w:val="center"/>
          </w:tcPr>
          <w:p w:rsidR="006612E7" w:rsidRPr="00CB75BD" w:rsidRDefault="006612E7" w:rsidP="00840349">
            <w:pPr>
              <w:pStyle w:val="Tabletext"/>
              <w:keepNext/>
              <w:keepLines/>
              <w:jc w:val="center"/>
              <w:rPr>
                <w:lang w:val="en-GB"/>
              </w:rPr>
            </w:pPr>
            <w:r w:rsidRPr="00CB75BD">
              <w:rPr>
                <w:lang w:val="en-GB"/>
              </w:rPr>
              <w:t>−157</w:t>
            </w:r>
          </w:p>
        </w:tc>
      </w:tr>
      <w:tr w:rsidR="006612E7" w:rsidRPr="00CB75BD" w:rsidTr="00840349">
        <w:trPr>
          <w:jc w:val="center"/>
        </w:trPr>
        <w:tc>
          <w:tcPr>
            <w:tcW w:w="2547" w:type="dxa"/>
            <w:tcBorders>
              <w:bottom w:val="single" w:sz="4" w:space="0" w:color="auto"/>
            </w:tcBorders>
          </w:tcPr>
          <w:p w:rsidR="006612E7" w:rsidRPr="00CB75BD" w:rsidRDefault="006612E7" w:rsidP="00840349">
            <w:pPr>
              <w:pStyle w:val="Tabletext"/>
              <w:keepNext/>
              <w:keepLines/>
              <w:rPr>
                <w:lang w:val="en-GB"/>
              </w:rPr>
            </w:pPr>
            <w:r w:rsidRPr="00CB75BD">
              <w:rPr>
                <w:lang w:val="en-GB"/>
              </w:rPr>
              <w:t>Radiolocation</w:t>
            </w:r>
          </w:p>
        </w:tc>
        <w:tc>
          <w:tcPr>
            <w:tcW w:w="2126" w:type="dxa"/>
            <w:tcBorders>
              <w:bottom w:val="single" w:sz="4" w:space="0" w:color="auto"/>
            </w:tcBorders>
            <w:vAlign w:val="center"/>
          </w:tcPr>
          <w:p w:rsidR="006612E7" w:rsidRPr="00CB75BD" w:rsidRDefault="006612E7" w:rsidP="00840349">
            <w:pPr>
              <w:pStyle w:val="Tabletext"/>
              <w:keepNext/>
              <w:keepLines/>
              <w:jc w:val="center"/>
              <w:rPr>
                <w:lang w:val="en-GB"/>
              </w:rPr>
            </w:pPr>
            <w:r w:rsidRPr="00CB75BD">
              <w:rPr>
                <w:lang w:val="en-GB"/>
              </w:rPr>
              <w:t>−6</w:t>
            </w:r>
          </w:p>
        </w:tc>
        <w:tc>
          <w:tcPr>
            <w:tcW w:w="2126" w:type="dxa"/>
            <w:tcBorders>
              <w:bottom w:val="single" w:sz="4" w:space="0" w:color="auto"/>
            </w:tcBorders>
            <w:vAlign w:val="center"/>
          </w:tcPr>
          <w:p w:rsidR="006612E7" w:rsidRPr="00CB75BD" w:rsidRDefault="006612E7" w:rsidP="00840349">
            <w:pPr>
              <w:pStyle w:val="Tabletext"/>
              <w:keepNext/>
              <w:keepLines/>
              <w:jc w:val="center"/>
              <w:rPr>
                <w:lang w:val="en-GB"/>
              </w:rPr>
            </w:pPr>
            <w:r w:rsidRPr="00CB75BD">
              <w:rPr>
                <w:lang w:val="en-GB"/>
              </w:rPr>
              <w:t>125</w:t>
            </w:r>
          </w:p>
        </w:tc>
        <w:tc>
          <w:tcPr>
            <w:tcW w:w="2840" w:type="dxa"/>
            <w:tcBorders>
              <w:bottom w:val="single" w:sz="4" w:space="0" w:color="auto"/>
            </w:tcBorders>
            <w:vAlign w:val="center"/>
          </w:tcPr>
          <w:p w:rsidR="006612E7" w:rsidRPr="00CB75BD" w:rsidRDefault="006612E7" w:rsidP="00840349">
            <w:pPr>
              <w:pStyle w:val="Tabletext"/>
              <w:keepNext/>
              <w:keepLines/>
              <w:jc w:val="center"/>
              <w:rPr>
                <w:lang w:val="en-GB"/>
              </w:rPr>
            </w:pPr>
            <w:r w:rsidRPr="00CB75BD">
              <w:rPr>
                <w:lang w:val="en-GB"/>
              </w:rPr>
              <w:t>−136</w:t>
            </w:r>
          </w:p>
        </w:tc>
      </w:tr>
      <w:tr w:rsidR="006612E7" w:rsidRPr="00CB75BD" w:rsidTr="00840349">
        <w:trPr>
          <w:jc w:val="center"/>
        </w:trPr>
        <w:tc>
          <w:tcPr>
            <w:tcW w:w="9639" w:type="dxa"/>
            <w:gridSpan w:val="4"/>
            <w:tcBorders>
              <w:top w:val="single" w:sz="4" w:space="0" w:color="auto"/>
              <w:left w:val="nil"/>
              <w:bottom w:val="nil"/>
              <w:right w:val="nil"/>
            </w:tcBorders>
          </w:tcPr>
          <w:p w:rsidR="006612E7" w:rsidRPr="00CB75BD" w:rsidRDefault="000044C7" w:rsidP="001567BC">
            <w:pPr>
              <w:pStyle w:val="Tablelegend"/>
              <w:rPr>
                <w:lang w:val="en-GB"/>
              </w:rPr>
            </w:pPr>
            <w:r w:rsidRPr="00CB75BD">
              <w:rPr>
                <w:vertAlign w:val="superscript"/>
                <w:lang w:val="en-GB"/>
              </w:rPr>
              <w:t>(1)</w:t>
            </w:r>
            <w:r w:rsidR="006612E7" w:rsidRPr="00CB75BD">
              <w:rPr>
                <w:lang w:val="en-GB"/>
              </w:rPr>
              <w:tab/>
              <w:t>The appropriate value for channel bandwidth used in the calculations for the Broadcasting and Mobile service needs further investigation. Information from expert working groups indicate that values of bandwidth could possibly be larger than those indicated above. This will be investigated in future dynamic studies.</w:t>
            </w:r>
          </w:p>
        </w:tc>
      </w:tr>
    </w:tbl>
    <w:p w:rsidR="006612E7" w:rsidRPr="00CB75BD" w:rsidRDefault="006612E7" w:rsidP="006612E7">
      <w:pPr>
        <w:pStyle w:val="Tablefin"/>
      </w:pPr>
    </w:p>
    <w:p w:rsidR="006612E7" w:rsidRPr="00CB75BD" w:rsidRDefault="006612E7" w:rsidP="001567BC">
      <w:pPr>
        <w:pStyle w:val="Heading1"/>
        <w:rPr>
          <w:lang w:val="en-GB"/>
        </w:rPr>
      </w:pPr>
      <w:bookmarkStart w:id="62" w:name="_Toc14851678"/>
      <w:bookmarkStart w:id="63" w:name="_Toc14851768"/>
      <w:bookmarkStart w:id="64" w:name="_Toc14858073"/>
      <w:bookmarkStart w:id="65" w:name="_Toc14858454"/>
      <w:r w:rsidRPr="00CB75BD">
        <w:rPr>
          <w:lang w:val="en-GB"/>
        </w:rPr>
        <w:t>5</w:t>
      </w:r>
      <w:r w:rsidRPr="00CB75BD">
        <w:rPr>
          <w:lang w:val="en-GB"/>
        </w:rPr>
        <w:tab/>
        <w:t>Propagation factors for consideration in Dynamic Simulation Analyses</w:t>
      </w:r>
      <w:bookmarkEnd w:id="62"/>
      <w:bookmarkEnd w:id="63"/>
      <w:bookmarkEnd w:id="64"/>
      <w:bookmarkEnd w:id="65"/>
    </w:p>
    <w:p w:rsidR="006612E7" w:rsidRPr="00CB75BD" w:rsidRDefault="006612E7" w:rsidP="006612E7">
      <w:pPr>
        <w:rPr>
          <w:lang w:val="en-GB"/>
        </w:rPr>
      </w:pPr>
      <w:r w:rsidRPr="00CB75BD">
        <w:rPr>
          <w:lang w:val="en-GB"/>
        </w:rPr>
        <w:t xml:space="preserve">Radio propagation at VHF and UHF on space to earth paths through the ionosphere is subject to attenuation, polarization rotation, amplitude and phase scintillation and ray-path bending. These effects may influence the extent of frequency sharing for satellite services between satellite and terrestrial services and the effects are directly dependent on the electron density (Ne) level in the different layers of the ionosphere. The column integral of </w:t>
      </w:r>
      <w:r w:rsidRPr="00CB75BD">
        <w:rPr>
          <w:i/>
          <w:iCs/>
          <w:lang w:val="en-GB"/>
        </w:rPr>
        <w:t>Ne</w:t>
      </w:r>
      <w:r w:rsidRPr="00CB75BD">
        <w:rPr>
          <w:lang w:val="en-GB"/>
        </w:rPr>
        <w:t>, the Total Electron Content (TEC), is of special importance. Lower TEC values allow for more sensitive spaceborne radar sounder operation. To achieve these lower values the orbital altitude of the spaceborne sounding radar should be as low as possible and operations should occur at around the time of solar minimum; that is, night-time data acquisitions.</w:t>
      </w:r>
    </w:p>
    <w:p w:rsidR="006612E7" w:rsidRPr="00CB75BD" w:rsidRDefault="006612E7" w:rsidP="006612E7">
      <w:pPr>
        <w:rPr>
          <w:lang w:val="en-GB"/>
        </w:rPr>
      </w:pPr>
      <w:r w:rsidRPr="00CB75BD">
        <w:rPr>
          <w:lang w:val="en-GB"/>
        </w:rPr>
        <w:t>For orbiting satellite systems the effect of time and location variations of irregularities in the ionosphere may be of importance. Equatorial and polar regions will need to be considered when conducting interference and compatibility studies, both in-band and out-of-band, between the radar sounder and incumbent services operating in the 40-50 MHz frequency band. In the Polar Regions, periods of auroral activity also need to be considered for timeframes where there is such activity.</w:t>
      </w:r>
    </w:p>
    <w:p w:rsidR="006612E7" w:rsidRPr="00CB75BD" w:rsidRDefault="006612E7" w:rsidP="006612E7">
      <w:pPr>
        <w:rPr>
          <w:lang w:val="en-GB"/>
        </w:rPr>
      </w:pPr>
      <w:r w:rsidRPr="00CB75BD">
        <w:rPr>
          <w:lang w:val="en-GB"/>
        </w:rPr>
        <w:t xml:space="preserve">The influence of the magnetic field of the earth has some effect on polarization (Faraday rotation); however, since the spaceborne radar sounder employs circular polarization the difference in interference to the incumbent service receivers resulting from Faraday rotation is negligible. </w:t>
      </w:r>
    </w:p>
    <w:p w:rsidR="006612E7" w:rsidRPr="00CB75BD" w:rsidRDefault="006612E7" w:rsidP="006612E7">
      <w:pPr>
        <w:rPr>
          <w:lang w:val="en-GB"/>
        </w:rPr>
      </w:pPr>
      <w:r w:rsidRPr="00CB75BD">
        <w:rPr>
          <w:lang w:val="en-GB"/>
        </w:rPr>
        <w:t>Table 5 summarizes the propagation factors that need to be taken into consideration when conducting dynamic interference and compatibility analyses along space to earth transmission paths. Derivations of the magnitude of the effects in Table 5 and their relevancy to compatibility studies can be found in Annex 1 to this Report.</w:t>
      </w:r>
    </w:p>
    <w:p w:rsidR="006612E7" w:rsidRPr="00CB75BD" w:rsidRDefault="006612E7" w:rsidP="006612E7">
      <w:pPr>
        <w:pStyle w:val="TableNo"/>
        <w:rPr>
          <w:lang w:val="en-GB"/>
        </w:rPr>
      </w:pPr>
      <w:r w:rsidRPr="00CB75BD">
        <w:rPr>
          <w:lang w:val="en-GB"/>
        </w:rPr>
        <w:lastRenderedPageBreak/>
        <w:t>TABLE 5</w:t>
      </w:r>
    </w:p>
    <w:p w:rsidR="006612E7" w:rsidRPr="00CB75BD" w:rsidRDefault="006612E7" w:rsidP="006612E7">
      <w:pPr>
        <w:pStyle w:val="Tabletitle"/>
        <w:rPr>
          <w:lang w:val="en-GB"/>
        </w:rPr>
      </w:pPr>
      <w:r w:rsidRPr="00CB75BD">
        <w:rPr>
          <w:lang w:val="en-GB"/>
        </w:rPr>
        <w:t xml:space="preserve">Estimated nominal ionospheric effects at 45 MHz for zenith incident angles of 40 degrees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160"/>
        <w:gridCol w:w="2250"/>
        <w:gridCol w:w="2160"/>
      </w:tblGrid>
      <w:tr w:rsidR="006612E7" w:rsidRPr="00CB75BD" w:rsidTr="00840349">
        <w:trPr>
          <w:jc w:val="center"/>
        </w:trPr>
        <w:tc>
          <w:tcPr>
            <w:tcW w:w="3078" w:type="dxa"/>
            <w:vAlign w:val="center"/>
          </w:tcPr>
          <w:p w:rsidR="006612E7" w:rsidRPr="00CB75BD" w:rsidRDefault="006612E7" w:rsidP="00840349">
            <w:pPr>
              <w:pStyle w:val="Tablehead"/>
              <w:keepLines/>
              <w:rPr>
                <w:lang w:val="en-GB"/>
              </w:rPr>
            </w:pPr>
            <w:r w:rsidRPr="00CB75BD">
              <w:rPr>
                <w:lang w:val="en-GB"/>
              </w:rPr>
              <w:t>Effect</w:t>
            </w:r>
          </w:p>
        </w:tc>
        <w:tc>
          <w:tcPr>
            <w:tcW w:w="2160" w:type="dxa"/>
            <w:vAlign w:val="center"/>
          </w:tcPr>
          <w:p w:rsidR="006612E7" w:rsidRPr="00CB75BD" w:rsidRDefault="006612E7" w:rsidP="00840349">
            <w:pPr>
              <w:pStyle w:val="Tablehead"/>
              <w:keepLines/>
              <w:rPr>
                <w:lang w:val="en-GB"/>
              </w:rPr>
            </w:pPr>
            <w:r w:rsidRPr="00CB75BD">
              <w:rPr>
                <w:lang w:val="en-GB"/>
              </w:rPr>
              <w:t>Magnitude</w:t>
            </w:r>
          </w:p>
        </w:tc>
        <w:tc>
          <w:tcPr>
            <w:tcW w:w="2250" w:type="dxa"/>
            <w:vAlign w:val="center"/>
          </w:tcPr>
          <w:p w:rsidR="006612E7" w:rsidRPr="00CB75BD" w:rsidRDefault="006612E7" w:rsidP="00840349">
            <w:pPr>
              <w:pStyle w:val="Tablehead"/>
              <w:keepLines/>
              <w:rPr>
                <w:lang w:val="en-GB"/>
              </w:rPr>
            </w:pPr>
            <w:r w:rsidRPr="00CB75BD">
              <w:rPr>
                <w:lang w:val="en-GB"/>
              </w:rPr>
              <w:t>Frequency dependence</w:t>
            </w:r>
          </w:p>
        </w:tc>
        <w:tc>
          <w:tcPr>
            <w:tcW w:w="2160" w:type="dxa"/>
            <w:vAlign w:val="center"/>
          </w:tcPr>
          <w:p w:rsidR="006612E7" w:rsidRPr="00CB75BD" w:rsidRDefault="006612E7" w:rsidP="00840349">
            <w:pPr>
              <w:pStyle w:val="Tablehead"/>
              <w:keepLines/>
              <w:rPr>
                <w:lang w:val="en-GB"/>
              </w:rPr>
            </w:pPr>
            <w:r w:rsidRPr="00CB75BD">
              <w:rPr>
                <w:lang w:val="en-GB"/>
              </w:rPr>
              <w:t>Relevancy to compatibility studies</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Faraday rotation (degrees)</w:t>
            </w:r>
          </w:p>
        </w:tc>
        <w:tc>
          <w:tcPr>
            <w:tcW w:w="2160" w:type="dxa"/>
          </w:tcPr>
          <w:p w:rsidR="006612E7" w:rsidRPr="00CB75BD" w:rsidRDefault="006612E7" w:rsidP="00840349">
            <w:pPr>
              <w:pStyle w:val="Tabletext"/>
              <w:keepNext/>
              <w:keepLines/>
              <w:jc w:val="center"/>
              <w:rPr>
                <w:lang w:val="en-GB"/>
              </w:rPr>
            </w:pPr>
            <w:r w:rsidRPr="00CB75BD">
              <w:rPr>
                <w:lang w:val="en-GB"/>
              </w:rPr>
              <w:t>12 973</w:t>
            </w:r>
          </w:p>
        </w:tc>
        <w:tc>
          <w:tcPr>
            <w:tcW w:w="2250" w:type="dxa"/>
          </w:tcPr>
          <w:p w:rsidR="006612E7" w:rsidRPr="00CB75BD" w:rsidRDefault="006612E7" w:rsidP="00840349">
            <w:pPr>
              <w:pStyle w:val="Tabletext"/>
              <w:keepNext/>
              <w:keepLines/>
              <w:jc w:val="center"/>
              <w:rPr>
                <w:lang w:val="en-GB"/>
              </w:rPr>
            </w:pPr>
            <m:oMathPara>
              <m:oMath>
                <m:r>
                  <w:rPr>
                    <w:rFonts w:ascii="Cambria Math" w:hAnsi="Cambria Math"/>
                    <w:lang w:val="en-GB"/>
                  </w:rPr>
                  <m:t>1/f^2</m:t>
                </m:r>
              </m:oMath>
            </m:oMathPara>
          </w:p>
        </w:tc>
        <w:tc>
          <w:tcPr>
            <w:tcW w:w="2160" w:type="dxa"/>
          </w:tcPr>
          <w:p w:rsidR="006612E7" w:rsidRPr="00CB75BD" w:rsidRDefault="006612E7" w:rsidP="00840349">
            <w:pPr>
              <w:pStyle w:val="Tabletext"/>
              <w:keepNext/>
              <w:keepLines/>
              <w:jc w:val="center"/>
              <w:rPr>
                <w:bCs/>
                <w:lang w:val="en-GB"/>
              </w:rPr>
            </w:pPr>
            <w:r w:rsidRPr="00CB75BD">
              <w:rPr>
                <w:bCs/>
                <w:lang w:val="en-GB"/>
              </w:rPr>
              <w:t>Not Relevant</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Propagation delay-phase advance (usec)</w:t>
            </w:r>
          </w:p>
        </w:tc>
        <w:tc>
          <w:tcPr>
            <w:tcW w:w="2160" w:type="dxa"/>
          </w:tcPr>
          <w:p w:rsidR="006612E7" w:rsidRPr="00CB75BD" w:rsidRDefault="006612E7" w:rsidP="00840349">
            <w:pPr>
              <w:pStyle w:val="Tabletext"/>
              <w:keepNext/>
              <w:keepLines/>
              <w:jc w:val="center"/>
              <w:rPr>
                <w:lang w:val="en-GB"/>
              </w:rPr>
            </w:pPr>
            <w:r w:rsidRPr="00CB75BD">
              <w:rPr>
                <w:lang w:val="en-GB"/>
              </w:rPr>
              <w:t>25.809</w:t>
            </w:r>
          </w:p>
        </w:tc>
        <w:tc>
          <w:tcPr>
            <w:tcW w:w="2250" w:type="dxa"/>
          </w:tcPr>
          <w:p w:rsidR="006612E7" w:rsidRPr="00CB75BD" w:rsidRDefault="006612E7" w:rsidP="00840349">
            <w:pPr>
              <w:pStyle w:val="Tabletext"/>
              <w:keepNext/>
              <w:keepLines/>
              <w:jc w:val="center"/>
              <w:rPr>
                <w:lang w:val="en-GB"/>
              </w:rPr>
            </w:pPr>
            <m:oMathPara>
              <m:oMath>
                <m:r>
                  <w:rPr>
                    <w:rFonts w:ascii="Cambria Math" w:hAnsi="Cambria Math"/>
                    <w:lang w:val="en-GB"/>
                  </w:rPr>
                  <m:t>1/f^2</m:t>
                </m:r>
              </m:oMath>
            </m:oMathPara>
          </w:p>
        </w:tc>
        <w:tc>
          <w:tcPr>
            <w:tcW w:w="2160" w:type="dxa"/>
          </w:tcPr>
          <w:p w:rsidR="006612E7" w:rsidRPr="00CB75BD" w:rsidRDefault="006612E7" w:rsidP="00840349">
            <w:pPr>
              <w:pStyle w:val="Tabletext"/>
              <w:keepNext/>
              <w:keepLines/>
              <w:jc w:val="center"/>
              <w:rPr>
                <w:bCs/>
                <w:lang w:val="en-GB"/>
              </w:rPr>
            </w:pPr>
            <w:r w:rsidRPr="00CB75BD">
              <w:rPr>
                <w:bCs/>
                <w:lang w:val="en-GB"/>
              </w:rPr>
              <w:t>Not Relevant</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Refraction (milliradians)</w:t>
            </w:r>
          </w:p>
        </w:tc>
        <w:tc>
          <w:tcPr>
            <w:tcW w:w="2160" w:type="dxa"/>
          </w:tcPr>
          <w:p w:rsidR="006612E7" w:rsidRPr="00CB75BD" w:rsidRDefault="006612E7" w:rsidP="00840349">
            <w:pPr>
              <w:pStyle w:val="Tabletext"/>
              <w:keepNext/>
              <w:keepLines/>
              <w:jc w:val="center"/>
              <w:rPr>
                <w:lang w:val="en-GB"/>
              </w:rPr>
            </w:pPr>
            <w:r w:rsidRPr="00CB75BD">
              <w:rPr>
                <w:lang w:val="en-GB"/>
              </w:rPr>
              <w:t>&lt; 23.661</w:t>
            </w:r>
          </w:p>
        </w:tc>
        <w:tc>
          <w:tcPr>
            <w:tcW w:w="2250" w:type="dxa"/>
          </w:tcPr>
          <w:p w:rsidR="006612E7" w:rsidRPr="00CB75BD" w:rsidRDefault="006612E7" w:rsidP="00840349">
            <w:pPr>
              <w:pStyle w:val="Tabletext"/>
              <w:keepNext/>
              <w:keepLines/>
              <w:jc w:val="center"/>
              <w:rPr>
                <w:lang w:val="en-GB"/>
              </w:rPr>
            </w:pPr>
            <m:oMathPara>
              <m:oMath>
                <m:r>
                  <w:rPr>
                    <w:rFonts w:ascii="Cambria Math" w:hAnsi="Cambria Math"/>
                    <w:lang w:val="en-GB"/>
                  </w:rPr>
                  <m:t>1/f^2</m:t>
                </m:r>
              </m:oMath>
            </m:oMathPara>
          </w:p>
        </w:tc>
        <w:tc>
          <w:tcPr>
            <w:tcW w:w="2160" w:type="dxa"/>
          </w:tcPr>
          <w:p w:rsidR="006612E7" w:rsidRPr="00CB75BD" w:rsidRDefault="006612E7" w:rsidP="00840349">
            <w:pPr>
              <w:pStyle w:val="Tabletext"/>
              <w:keepNext/>
              <w:keepLines/>
              <w:jc w:val="center"/>
              <w:rPr>
                <w:bCs/>
                <w:lang w:val="en-GB"/>
              </w:rPr>
            </w:pPr>
            <w:r w:rsidRPr="00CB75BD">
              <w:rPr>
                <w:bCs/>
                <w:lang w:val="en-GB"/>
              </w:rPr>
              <w:t>Can be neglected – See Annex 1</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Variation in the Direction of Arrival (Min of Arc)</w:t>
            </w:r>
          </w:p>
        </w:tc>
        <w:tc>
          <w:tcPr>
            <w:tcW w:w="2160" w:type="dxa"/>
          </w:tcPr>
          <w:p w:rsidR="006612E7" w:rsidRPr="00CB75BD" w:rsidRDefault="006612E7" w:rsidP="00840349">
            <w:pPr>
              <w:pStyle w:val="Tabletext"/>
              <w:keepNext/>
              <w:keepLines/>
              <w:jc w:val="center"/>
              <w:rPr>
                <w:lang w:val="en-GB"/>
              </w:rPr>
            </w:pPr>
            <w:r w:rsidRPr="00CB75BD">
              <w:rPr>
                <w:lang w:val="en-GB"/>
              </w:rPr>
              <w:t>62.014</w:t>
            </w:r>
          </w:p>
        </w:tc>
        <w:tc>
          <w:tcPr>
            <w:tcW w:w="2250" w:type="dxa"/>
          </w:tcPr>
          <w:p w:rsidR="006612E7" w:rsidRPr="00CB75BD" w:rsidRDefault="006612E7" w:rsidP="00840349">
            <w:pPr>
              <w:pStyle w:val="Tabletext"/>
              <w:keepNext/>
              <w:keepLines/>
              <w:jc w:val="center"/>
              <w:rPr>
                <w:lang w:val="en-GB"/>
              </w:rPr>
            </w:pPr>
            <m:oMathPara>
              <m:oMath>
                <m:r>
                  <w:rPr>
                    <w:rFonts w:ascii="Cambria Math" w:hAnsi="Cambria Math"/>
                    <w:lang w:val="en-GB"/>
                  </w:rPr>
                  <m:t>1/f^2</m:t>
                </m:r>
              </m:oMath>
            </m:oMathPara>
          </w:p>
        </w:tc>
        <w:tc>
          <w:tcPr>
            <w:tcW w:w="2160" w:type="dxa"/>
          </w:tcPr>
          <w:p w:rsidR="006612E7" w:rsidRPr="00CB75BD" w:rsidRDefault="006612E7" w:rsidP="00840349">
            <w:pPr>
              <w:pStyle w:val="Tabletext"/>
              <w:keepNext/>
              <w:keepLines/>
              <w:jc w:val="center"/>
              <w:rPr>
                <w:bCs/>
                <w:lang w:val="en-GB"/>
              </w:rPr>
            </w:pPr>
            <w:r w:rsidRPr="00CB75BD">
              <w:rPr>
                <w:bCs/>
                <w:lang w:val="en-GB"/>
              </w:rPr>
              <w:t>Not Relevant</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Absorption-Polar Cap (only) (dB)</w:t>
            </w:r>
          </w:p>
        </w:tc>
        <w:tc>
          <w:tcPr>
            <w:tcW w:w="2160" w:type="dxa"/>
          </w:tcPr>
          <w:p w:rsidR="006612E7" w:rsidRPr="00CB75BD" w:rsidRDefault="006612E7" w:rsidP="00840349">
            <w:pPr>
              <w:pStyle w:val="Tabletext"/>
              <w:keepNext/>
              <w:keepLines/>
              <w:jc w:val="center"/>
              <w:rPr>
                <w:lang w:val="en-GB"/>
              </w:rPr>
            </w:pPr>
            <w:r w:rsidRPr="00CB75BD">
              <w:rPr>
                <w:lang w:val="en-GB"/>
              </w:rPr>
              <w:t>9.83</w:t>
            </w:r>
          </w:p>
        </w:tc>
        <w:tc>
          <w:tcPr>
            <w:tcW w:w="2250" w:type="dxa"/>
          </w:tcPr>
          <w:p w:rsidR="006612E7" w:rsidRPr="00CB75BD" w:rsidRDefault="003B452D" w:rsidP="003B452D">
            <w:pPr>
              <w:pStyle w:val="Tabletext"/>
              <w:rPr>
                <w:lang w:val="en-GB"/>
              </w:rPr>
            </w:pPr>
            <m:oMathPara>
              <m:oMath>
                <m:r>
                  <m:rPr>
                    <m:sty m:val="p"/>
                  </m:rPr>
                  <w:rPr>
                    <w:rFonts w:ascii="Cambria Math" w:hAnsi="Cambria Math"/>
                    <w:lang w:val="en-GB"/>
                  </w:rPr>
                  <m:t>~1/</m:t>
                </m:r>
                <m:r>
                  <w:rPr>
                    <w:rFonts w:ascii="Cambria Math" w:hAnsi="Cambria Math"/>
                    <w:lang w:val="en-GB"/>
                  </w:rPr>
                  <m:t>f</m:t>
                </m:r>
                <m:r>
                  <m:rPr>
                    <m:sty m:val="p"/>
                  </m:rPr>
                  <w:rPr>
                    <w:rFonts w:ascii="Cambria Math" w:hAnsi="Cambria Math"/>
                    <w:lang w:val="en-GB"/>
                  </w:rPr>
                  <m:t>^2</m:t>
                </m:r>
              </m:oMath>
            </m:oMathPara>
          </w:p>
        </w:tc>
        <w:tc>
          <w:tcPr>
            <w:tcW w:w="2160" w:type="dxa"/>
          </w:tcPr>
          <w:p w:rsidR="006612E7" w:rsidRPr="00CB75BD" w:rsidRDefault="006612E7" w:rsidP="00840349">
            <w:pPr>
              <w:pStyle w:val="Tabletext"/>
              <w:keepNext/>
              <w:keepLines/>
              <w:jc w:val="center"/>
              <w:rPr>
                <w:bCs/>
                <w:lang w:val="en-GB"/>
              </w:rPr>
            </w:pPr>
            <w:r w:rsidRPr="00CB75BD">
              <w:rPr>
                <w:bCs/>
                <w:lang w:val="en-GB"/>
              </w:rPr>
              <w:t>Consider</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Absorption-Auroral+Polar Cap (dB)</w:t>
            </w:r>
          </w:p>
        </w:tc>
        <w:tc>
          <w:tcPr>
            <w:tcW w:w="2160" w:type="dxa"/>
          </w:tcPr>
          <w:p w:rsidR="006612E7" w:rsidRPr="00CB75BD" w:rsidRDefault="006612E7" w:rsidP="00840349">
            <w:pPr>
              <w:pStyle w:val="Tabletext"/>
              <w:keepNext/>
              <w:keepLines/>
              <w:jc w:val="center"/>
              <w:rPr>
                <w:lang w:val="en-GB"/>
              </w:rPr>
            </w:pPr>
            <w:r w:rsidRPr="00CB75BD">
              <w:rPr>
                <w:lang w:val="en-GB"/>
              </w:rPr>
              <w:t>12.2</w:t>
            </w:r>
          </w:p>
        </w:tc>
        <w:tc>
          <w:tcPr>
            <w:tcW w:w="2250" w:type="dxa"/>
          </w:tcPr>
          <w:p w:rsidR="006612E7" w:rsidRPr="00CB75BD" w:rsidRDefault="006612E7" w:rsidP="00840349">
            <w:pPr>
              <w:pStyle w:val="Tabletext"/>
              <w:keepNext/>
              <w:keepLines/>
              <w:jc w:val="center"/>
              <w:rPr>
                <w:lang w:val="en-GB"/>
              </w:rPr>
            </w:pPr>
            <m:oMathPara>
              <m:oMath>
                <m:r>
                  <w:rPr>
                    <w:rFonts w:ascii="Cambria Math" w:hAnsi="Cambria Math"/>
                    <w:lang w:val="en-GB"/>
                  </w:rPr>
                  <m:t>~1/f^2</m:t>
                </m:r>
              </m:oMath>
            </m:oMathPara>
          </w:p>
        </w:tc>
        <w:tc>
          <w:tcPr>
            <w:tcW w:w="2160" w:type="dxa"/>
          </w:tcPr>
          <w:p w:rsidR="006612E7" w:rsidRPr="00CB75BD" w:rsidRDefault="006612E7" w:rsidP="00840349">
            <w:pPr>
              <w:pStyle w:val="Tabletext"/>
              <w:keepNext/>
              <w:keepLines/>
              <w:jc w:val="center"/>
              <w:rPr>
                <w:bCs/>
                <w:lang w:val="en-GB"/>
              </w:rPr>
            </w:pPr>
            <w:r w:rsidRPr="00CB75BD">
              <w:rPr>
                <w:bCs/>
                <w:lang w:val="en-GB"/>
              </w:rPr>
              <w:t>Consider</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Absorption-Mid Latitude (dB)</w:t>
            </w:r>
          </w:p>
        </w:tc>
        <w:tc>
          <w:tcPr>
            <w:tcW w:w="2160" w:type="dxa"/>
          </w:tcPr>
          <w:p w:rsidR="006612E7" w:rsidRPr="00CB75BD" w:rsidRDefault="006612E7" w:rsidP="00840349">
            <w:pPr>
              <w:pStyle w:val="Tabletext"/>
              <w:keepNext/>
              <w:keepLines/>
              <w:jc w:val="center"/>
              <w:rPr>
                <w:lang w:val="en-GB"/>
              </w:rPr>
            </w:pPr>
            <w:r w:rsidRPr="00CB75BD">
              <w:rPr>
                <w:lang w:val="en-GB"/>
              </w:rPr>
              <w:t>&lt;2.28</w:t>
            </w:r>
          </w:p>
        </w:tc>
        <w:tc>
          <w:tcPr>
            <w:tcW w:w="2250" w:type="dxa"/>
          </w:tcPr>
          <w:p w:rsidR="006612E7" w:rsidRPr="00CB75BD" w:rsidRDefault="006612E7" w:rsidP="00840349">
            <w:pPr>
              <w:pStyle w:val="Tabletext"/>
              <w:keepNext/>
              <w:keepLines/>
              <w:jc w:val="center"/>
              <w:rPr>
                <w:lang w:val="en-GB"/>
              </w:rPr>
            </w:pPr>
            <m:oMathPara>
              <m:oMath>
                <m:r>
                  <w:rPr>
                    <w:rFonts w:ascii="Cambria Math" w:hAnsi="Cambria Math"/>
                    <w:lang w:val="en-GB"/>
                  </w:rPr>
                  <m:t>1/f^2</m:t>
                </m:r>
              </m:oMath>
            </m:oMathPara>
          </w:p>
        </w:tc>
        <w:tc>
          <w:tcPr>
            <w:tcW w:w="2160" w:type="dxa"/>
          </w:tcPr>
          <w:p w:rsidR="006612E7" w:rsidRPr="00CB75BD" w:rsidRDefault="006612E7" w:rsidP="00840349">
            <w:pPr>
              <w:pStyle w:val="Tabletext"/>
              <w:keepNext/>
              <w:keepLines/>
              <w:jc w:val="center"/>
              <w:rPr>
                <w:bCs/>
                <w:lang w:val="en-GB"/>
              </w:rPr>
            </w:pPr>
            <w:r w:rsidRPr="00CB75BD">
              <w:rPr>
                <w:bCs/>
                <w:lang w:val="en-GB"/>
              </w:rPr>
              <w:t>Consider</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Dispersion (ns/MHz)</w:t>
            </w:r>
          </w:p>
        </w:tc>
        <w:tc>
          <w:tcPr>
            <w:tcW w:w="2160" w:type="dxa"/>
          </w:tcPr>
          <w:p w:rsidR="006612E7" w:rsidRPr="00CB75BD" w:rsidRDefault="006612E7" w:rsidP="00840349">
            <w:pPr>
              <w:pStyle w:val="Tabletext"/>
              <w:keepNext/>
              <w:keepLines/>
              <w:jc w:val="center"/>
              <w:rPr>
                <w:lang w:val="en-GB"/>
              </w:rPr>
            </w:pPr>
            <w:r w:rsidRPr="00CB75BD">
              <w:rPr>
                <w:lang w:val="en-GB"/>
              </w:rPr>
              <w:t>11 473</w:t>
            </w:r>
          </w:p>
        </w:tc>
        <w:tc>
          <w:tcPr>
            <w:tcW w:w="2250" w:type="dxa"/>
          </w:tcPr>
          <w:p w:rsidR="006612E7" w:rsidRPr="00CB75BD" w:rsidRDefault="006612E7" w:rsidP="00840349">
            <w:pPr>
              <w:pStyle w:val="Tabletext"/>
              <w:keepNext/>
              <w:keepLines/>
              <w:jc w:val="center"/>
              <w:rPr>
                <w:lang w:val="en-GB"/>
              </w:rPr>
            </w:pPr>
            <m:oMathPara>
              <m:oMath>
                <m:r>
                  <w:rPr>
                    <w:rFonts w:ascii="Cambria Math" w:hAnsi="Cambria Math"/>
                    <w:lang w:val="en-GB"/>
                  </w:rPr>
                  <m:t>1/f^2</m:t>
                </m:r>
              </m:oMath>
            </m:oMathPara>
          </w:p>
        </w:tc>
        <w:tc>
          <w:tcPr>
            <w:tcW w:w="2160" w:type="dxa"/>
          </w:tcPr>
          <w:p w:rsidR="006612E7" w:rsidRPr="00CB75BD" w:rsidRDefault="006612E7" w:rsidP="00840349">
            <w:pPr>
              <w:pStyle w:val="Tabletext"/>
              <w:keepNext/>
              <w:keepLines/>
              <w:jc w:val="center"/>
              <w:rPr>
                <w:bCs/>
                <w:lang w:val="en-GB"/>
              </w:rPr>
            </w:pPr>
            <w:r w:rsidRPr="00CB75BD">
              <w:rPr>
                <w:bCs/>
                <w:lang w:val="en-GB"/>
              </w:rPr>
              <w:t>Not Relevant</w:t>
            </w:r>
          </w:p>
        </w:tc>
      </w:tr>
      <w:tr w:rsidR="006612E7" w:rsidRPr="00CB75BD" w:rsidTr="00840349">
        <w:trPr>
          <w:jc w:val="center"/>
        </w:trPr>
        <w:tc>
          <w:tcPr>
            <w:tcW w:w="3078" w:type="dxa"/>
          </w:tcPr>
          <w:p w:rsidR="006612E7" w:rsidRPr="00CB75BD" w:rsidRDefault="006612E7" w:rsidP="00840349">
            <w:pPr>
              <w:pStyle w:val="Tabletext"/>
              <w:keepNext/>
              <w:keepLines/>
              <w:jc w:val="left"/>
              <w:rPr>
                <w:lang w:val="en-GB"/>
              </w:rPr>
            </w:pPr>
            <w:r w:rsidRPr="00CB75BD">
              <w:rPr>
                <w:lang w:val="en-GB"/>
              </w:rPr>
              <w:t>Scintillation</w:t>
            </w:r>
          </w:p>
        </w:tc>
        <w:tc>
          <w:tcPr>
            <w:tcW w:w="2160" w:type="dxa"/>
          </w:tcPr>
          <w:p w:rsidR="006612E7" w:rsidRPr="00CB75BD" w:rsidRDefault="006612E7" w:rsidP="00840349">
            <w:pPr>
              <w:pStyle w:val="Tabletext"/>
              <w:keepNext/>
              <w:keepLines/>
              <w:jc w:val="center"/>
              <w:rPr>
                <w:lang w:val="en-GB"/>
              </w:rPr>
            </w:pPr>
            <w:r w:rsidRPr="00CB75BD">
              <w:rPr>
                <w:lang w:val="en-GB"/>
              </w:rPr>
              <w:t xml:space="preserve">Section 4 of </w:t>
            </w:r>
            <w:r w:rsidR="00CB75BD" w:rsidRPr="00CB75BD">
              <w:rPr>
                <w:lang w:val="en-GB"/>
              </w:rPr>
              <w:br/>
              <w:t xml:space="preserve">Rec. </w:t>
            </w:r>
            <w:r w:rsidRPr="00CB75BD">
              <w:rPr>
                <w:lang w:val="en-GB" w:eastAsia="zh-CN"/>
              </w:rPr>
              <w:t>ITU</w:t>
            </w:r>
            <w:r w:rsidRPr="00CB75BD">
              <w:rPr>
                <w:lang w:val="en-GB" w:eastAsia="zh-CN"/>
              </w:rPr>
              <w:noBreakHyphen/>
              <w:t>R</w:t>
            </w:r>
            <w:r w:rsidRPr="00CB75BD">
              <w:rPr>
                <w:lang w:val="en-GB"/>
              </w:rPr>
              <w:t> P.531-12</w:t>
            </w:r>
          </w:p>
        </w:tc>
        <w:tc>
          <w:tcPr>
            <w:tcW w:w="2250" w:type="dxa"/>
          </w:tcPr>
          <w:p w:rsidR="006612E7" w:rsidRPr="00CB75BD" w:rsidRDefault="006612E7" w:rsidP="00840349">
            <w:pPr>
              <w:pStyle w:val="Tabletext"/>
              <w:keepNext/>
              <w:keepLines/>
              <w:jc w:val="center"/>
              <w:rPr>
                <w:lang w:val="en-GB"/>
              </w:rPr>
            </w:pPr>
            <w:r w:rsidRPr="00CB75BD">
              <w:rPr>
                <w:color w:val="000000"/>
                <w:lang w:val="en-GB"/>
              </w:rPr>
              <w:t xml:space="preserve">Section 4 of </w:t>
            </w:r>
            <w:r w:rsidR="00CB75BD" w:rsidRPr="00CB75BD">
              <w:rPr>
                <w:color w:val="000000"/>
                <w:lang w:val="en-GB"/>
              </w:rPr>
              <w:br/>
              <w:t xml:space="preserve">Rec. </w:t>
            </w:r>
            <w:r w:rsidRPr="00CB75BD">
              <w:rPr>
                <w:color w:val="000000"/>
                <w:lang w:val="en-GB" w:eastAsia="zh-CN"/>
              </w:rPr>
              <w:t>ITU</w:t>
            </w:r>
            <w:r w:rsidRPr="00CB75BD">
              <w:rPr>
                <w:color w:val="000000"/>
                <w:lang w:val="en-GB" w:eastAsia="zh-CN"/>
              </w:rPr>
              <w:noBreakHyphen/>
              <w:t>R </w:t>
            </w:r>
            <w:r w:rsidRPr="00CB75BD">
              <w:rPr>
                <w:color w:val="000000"/>
                <w:lang w:val="en-GB"/>
              </w:rPr>
              <w:t>P.531-12</w:t>
            </w:r>
          </w:p>
        </w:tc>
        <w:tc>
          <w:tcPr>
            <w:tcW w:w="2160" w:type="dxa"/>
          </w:tcPr>
          <w:p w:rsidR="006612E7" w:rsidRPr="00CB75BD" w:rsidRDefault="006612E7" w:rsidP="00840349">
            <w:pPr>
              <w:pStyle w:val="Tabletext"/>
              <w:keepNext/>
              <w:keepLines/>
              <w:jc w:val="center"/>
              <w:rPr>
                <w:bCs/>
                <w:lang w:val="en-GB"/>
              </w:rPr>
            </w:pPr>
            <w:r w:rsidRPr="00CB75BD">
              <w:rPr>
                <w:bCs/>
                <w:lang w:val="en-GB"/>
              </w:rPr>
              <w:t>Not Relevant</w:t>
            </w:r>
          </w:p>
        </w:tc>
      </w:tr>
    </w:tbl>
    <w:p w:rsidR="006612E7" w:rsidRPr="00CB75BD" w:rsidRDefault="006612E7" w:rsidP="006612E7">
      <w:pPr>
        <w:pStyle w:val="Tablefin"/>
      </w:pPr>
    </w:p>
    <w:p w:rsidR="006612E7" w:rsidRPr="00CB75BD" w:rsidRDefault="006612E7" w:rsidP="006612E7">
      <w:pPr>
        <w:pStyle w:val="Heading2"/>
        <w:rPr>
          <w:lang w:val="en-GB"/>
        </w:rPr>
      </w:pPr>
      <w:bookmarkStart w:id="66" w:name="_Toc14851679"/>
      <w:bookmarkStart w:id="67" w:name="_Toc14851769"/>
      <w:bookmarkStart w:id="68" w:name="_Toc14858074"/>
      <w:bookmarkStart w:id="69" w:name="_Toc14858455"/>
      <w:r w:rsidRPr="00CB75BD">
        <w:rPr>
          <w:lang w:val="en-GB"/>
        </w:rPr>
        <w:t>5.1</w:t>
      </w:r>
      <w:r w:rsidRPr="00CB75BD">
        <w:rPr>
          <w:lang w:val="en-GB"/>
        </w:rPr>
        <w:tab/>
        <w:t>Faraday rotation</w:t>
      </w:r>
      <w:bookmarkEnd w:id="66"/>
      <w:bookmarkEnd w:id="67"/>
      <w:bookmarkEnd w:id="68"/>
      <w:bookmarkEnd w:id="69"/>
      <w:r w:rsidRPr="00CB75BD">
        <w:rPr>
          <w:lang w:val="en-GB"/>
        </w:rPr>
        <w:t xml:space="preserve"> </w:t>
      </w:r>
    </w:p>
    <w:p w:rsidR="006612E7" w:rsidRPr="00CB75BD" w:rsidRDefault="006612E7" w:rsidP="006612E7">
      <w:pPr>
        <w:rPr>
          <w:lang w:val="en-GB"/>
        </w:rPr>
      </w:pPr>
      <w:r w:rsidRPr="00CB75BD">
        <w:rPr>
          <w:lang w:val="en-GB"/>
        </w:rPr>
        <w:t xml:space="preserve">Faraday rotation is a propagation effect that results from the magneto-ionic nature of the ionosphere which impacts linearly polarized signals. A linearly polarized signal can be decomposed into two circularly polarized signals with equal magnitude: left hand circularly (LHC) polarized signals and right hand circularly (RHC) signals. The Earth magnetic field causes the LHC and RHC signals to propagate with two different velocities which results in rotating the plane of polarisation of the linearly polarized signal; this is known as Faraday rotation. The Faraday rotation alters the signal polarisation with the degree of change depending upon the state of the ionosphere. This state varies with the time of day, the seasons, and variations in the sunspot cycle. </w:t>
      </w:r>
    </w:p>
    <w:p w:rsidR="006612E7" w:rsidRPr="00CB75BD" w:rsidRDefault="006612E7" w:rsidP="006612E7">
      <w:pPr>
        <w:rPr>
          <w:lang w:val="en-GB"/>
        </w:rPr>
      </w:pPr>
      <w:r w:rsidRPr="00CB75BD">
        <w:rPr>
          <w:lang w:val="en-GB"/>
        </w:rPr>
        <w:t>Since the radar sounder uses circularly polarized transmissions the interference impact of the radar sounder transmission in relation to the incumbent service receiver will be reduced by 3 dB regardless of the Faraday rotation. It is noted that Faraday rotation will have a somewhat different effect on the vertical and horizontal components of the circular polarization; however, this is considered to be negligible and so the impact of Faraday rotation is disregarded in these studies.</w:t>
      </w:r>
    </w:p>
    <w:p w:rsidR="006612E7" w:rsidRPr="00CB75BD" w:rsidRDefault="006612E7" w:rsidP="006612E7">
      <w:pPr>
        <w:pStyle w:val="Heading2"/>
        <w:rPr>
          <w:lang w:val="en-GB"/>
        </w:rPr>
      </w:pPr>
      <w:bookmarkStart w:id="70" w:name="_Toc14851680"/>
      <w:bookmarkStart w:id="71" w:name="_Toc14851770"/>
      <w:bookmarkStart w:id="72" w:name="_Toc14858075"/>
      <w:bookmarkStart w:id="73" w:name="_Toc14858456"/>
      <w:r w:rsidRPr="00CB75BD">
        <w:rPr>
          <w:lang w:val="en-GB"/>
        </w:rPr>
        <w:t>5.2</w:t>
      </w:r>
      <w:r w:rsidRPr="00CB75BD">
        <w:rPr>
          <w:lang w:val="en-GB"/>
        </w:rPr>
        <w:tab/>
        <w:t>Group delay and phase advance</w:t>
      </w:r>
      <w:bookmarkEnd w:id="70"/>
      <w:bookmarkEnd w:id="71"/>
      <w:bookmarkEnd w:id="72"/>
      <w:bookmarkEnd w:id="73"/>
      <w:r w:rsidRPr="00CB75BD">
        <w:rPr>
          <w:lang w:val="en-GB"/>
        </w:rPr>
        <w:t xml:space="preserve"> </w:t>
      </w:r>
    </w:p>
    <w:p w:rsidR="006612E7" w:rsidRPr="00CB75BD" w:rsidRDefault="006612E7" w:rsidP="006612E7">
      <w:pPr>
        <w:rPr>
          <w:lang w:val="en-GB"/>
        </w:rPr>
      </w:pPr>
      <w:r w:rsidRPr="00CB75BD">
        <w:rPr>
          <w:lang w:val="en-GB"/>
        </w:rPr>
        <w:t>The ionospheric refractive index is less than unity which results in a phase vel</w:t>
      </w:r>
      <w:r w:rsidR="00AC3C9F" w:rsidRPr="00CB75BD">
        <w:rPr>
          <w:lang w:val="en-GB"/>
        </w:rPr>
        <w:t>ocity (speed of light in vacuum</w:t>
      </w:r>
      <w:r w:rsidRPr="00CB75BD">
        <w:rPr>
          <w:lang w:val="en-GB"/>
        </w:rPr>
        <w:t xml:space="preserve">/refractive index) for a sinusoidal that is greater than the speed of light in vacuum (i.e. phase advance). Furthermore, the ionospheric refractive index is frequency dependent which makes the ionosphere dispersive with group velocity less than speed of light and which in turn leads to group delay. Based on </w:t>
      </w:r>
      <w:r w:rsidRPr="00CB75BD">
        <w:rPr>
          <w:rFonts w:eastAsiaTheme="minorEastAsia"/>
          <w:lang w:val="en-GB"/>
        </w:rPr>
        <w:t>Recommendation</w:t>
      </w:r>
      <w:r w:rsidRPr="00CB75BD">
        <w:rPr>
          <w:lang w:val="en-GB"/>
        </w:rPr>
        <w:t xml:space="preserve"> ITU-R P.531-13, group delay and phase advance in the 40</w:t>
      </w:r>
      <w:r w:rsidRPr="00CB75BD">
        <w:rPr>
          <w:lang w:val="en-GB"/>
        </w:rPr>
        <w:noBreakHyphen/>
        <w:t xml:space="preserve">50 MHz frequency band occur with equal values and opposite signs, and they are directly proportional to the Total Electron Content (TEC) along the propagation path of the sounder signals. Lower TEC values are associated with lower values for the phase advance and group delay. Lower TEC values can be realized by maintaining a low orbit altitude and by operating the sounder at night. Since these factors </w:t>
      </w:r>
      <w:r w:rsidRPr="00CB75BD">
        <w:rPr>
          <w:lang w:val="en-GB"/>
        </w:rPr>
        <w:lastRenderedPageBreak/>
        <w:t>are inherent in the design and the operational characteristics of the sounder, group delays and phase advance should be considered as a factor when conducting interference and compatibility studies between the sounder and incumbent services operating within the 40-50 MHz frequency band. Phase advance impacts the phase of sounder – carrier phase, and the group delay impacts the information derived from the sounder signals. However, since this sounder study is based on power summation, which does not require phase information, both group delay and phase advance are not required in this study.</w:t>
      </w:r>
    </w:p>
    <w:p w:rsidR="006612E7" w:rsidRPr="00CB75BD" w:rsidRDefault="006612E7" w:rsidP="006612E7">
      <w:pPr>
        <w:pStyle w:val="Heading2"/>
        <w:rPr>
          <w:lang w:val="en-GB"/>
        </w:rPr>
      </w:pPr>
      <w:bookmarkStart w:id="74" w:name="_Toc14851681"/>
      <w:bookmarkStart w:id="75" w:name="_Toc14851771"/>
      <w:bookmarkStart w:id="76" w:name="_Toc14858076"/>
      <w:bookmarkStart w:id="77" w:name="_Toc14858457"/>
      <w:r w:rsidRPr="00CB75BD">
        <w:rPr>
          <w:lang w:val="en-GB"/>
        </w:rPr>
        <w:t>5.3</w:t>
      </w:r>
      <w:r w:rsidRPr="00CB75BD">
        <w:rPr>
          <w:lang w:val="en-GB"/>
        </w:rPr>
        <w:tab/>
        <w:t>Refraction</w:t>
      </w:r>
      <w:bookmarkEnd w:id="74"/>
      <w:bookmarkEnd w:id="75"/>
      <w:bookmarkEnd w:id="76"/>
      <w:bookmarkEnd w:id="77"/>
    </w:p>
    <w:p w:rsidR="006612E7" w:rsidRPr="00CB75BD" w:rsidRDefault="006612E7" w:rsidP="006612E7">
      <w:pPr>
        <w:rPr>
          <w:lang w:val="en-GB"/>
        </w:rPr>
      </w:pPr>
      <w:r w:rsidRPr="00CB75BD">
        <w:rPr>
          <w:lang w:val="en-GB"/>
        </w:rPr>
        <w:t>The refractive index of the earth</w:t>
      </w:r>
      <w:r w:rsidR="00AC3C9F" w:rsidRPr="00CB75BD">
        <w:rPr>
          <w:lang w:val="en-GB"/>
        </w:rPr>
        <w:t>՚</w:t>
      </w:r>
      <w:r w:rsidRPr="00CB75BD">
        <w:rPr>
          <w:lang w:val="en-GB"/>
        </w:rPr>
        <w:t>s ionosphere is responsible for the bending of radio waves from a straight line geometric path between a satellite and ground.</w:t>
      </w:r>
    </w:p>
    <w:p w:rsidR="006612E7" w:rsidRPr="00CB75BD" w:rsidRDefault="006612E7" w:rsidP="006612E7">
      <w:pPr>
        <w:rPr>
          <w:lang w:val="en-GB"/>
        </w:rPr>
      </w:pPr>
      <w:r w:rsidRPr="00CB75BD">
        <w:rPr>
          <w:lang w:val="en-GB"/>
        </w:rPr>
        <w:t>The maximum plasma frequency of the ionosphere (maximum plasma frequency of ionospheric F2 layer, foF2) does not exceed 15 MHz. Since the 45 MHz sounder is operating at a frequency that is higher than foF2, sounder transmissions propagating in the nadir direction pass through the ionosphere without refraction.</w:t>
      </w:r>
    </w:p>
    <w:p w:rsidR="006612E7" w:rsidRPr="00CB75BD" w:rsidRDefault="006612E7" w:rsidP="006612E7">
      <w:pPr>
        <w:rPr>
          <w:lang w:val="en-GB"/>
        </w:rPr>
      </w:pPr>
      <w:r w:rsidRPr="00CB75BD">
        <w:rPr>
          <w:lang w:val="en-GB"/>
        </w:rPr>
        <w:t xml:space="preserve">Rays propagating along other directions can undergo refraction due to variation in the refractive index of either the atmosphere or the ionosphere. However, based on </w:t>
      </w:r>
      <w:r w:rsidR="00AC3C9F" w:rsidRPr="00CB75BD">
        <w:rPr>
          <w:lang w:val="en-GB"/>
        </w:rPr>
        <w:t>Table 1 of Recommendation ITU</w:t>
      </w:r>
      <w:r w:rsidR="00AC3C9F" w:rsidRPr="00CB75BD">
        <w:rPr>
          <w:lang w:val="en-GB"/>
        </w:rPr>
        <w:noBreakHyphen/>
        <w:t>R </w:t>
      </w:r>
      <w:r w:rsidRPr="00CB75BD">
        <w:rPr>
          <w:lang w:val="en-GB"/>
        </w:rPr>
        <w:t>P.834-11, the value of refraction due to variation of the atmospheric refractive index (atmospheric refraction) is very small and can be ignored. Also refraction due to variation of ionospheric refractive index (the ionospheric refraction) is very small and can be ignored. This is reflected in Table 5.</w:t>
      </w:r>
    </w:p>
    <w:p w:rsidR="006612E7" w:rsidRPr="00CB75BD" w:rsidRDefault="006612E7" w:rsidP="006612E7">
      <w:pPr>
        <w:pStyle w:val="Heading2"/>
        <w:rPr>
          <w:lang w:val="en-GB"/>
        </w:rPr>
      </w:pPr>
      <w:bookmarkStart w:id="78" w:name="_Toc14851682"/>
      <w:bookmarkStart w:id="79" w:name="_Toc14851772"/>
      <w:bookmarkStart w:id="80" w:name="_Toc14858077"/>
      <w:bookmarkStart w:id="81" w:name="_Toc14858458"/>
      <w:r w:rsidRPr="00CB75BD">
        <w:rPr>
          <w:lang w:val="en-GB"/>
        </w:rPr>
        <w:t>5.4</w:t>
      </w:r>
      <w:r w:rsidRPr="00CB75BD">
        <w:rPr>
          <w:lang w:val="en-GB"/>
        </w:rPr>
        <w:tab/>
        <w:t>Atmospheric absorption</w:t>
      </w:r>
      <w:bookmarkEnd w:id="78"/>
      <w:bookmarkEnd w:id="79"/>
      <w:bookmarkEnd w:id="80"/>
      <w:bookmarkEnd w:id="81"/>
    </w:p>
    <w:p w:rsidR="006612E7" w:rsidRPr="00CB75BD" w:rsidRDefault="006612E7" w:rsidP="006612E7">
      <w:pPr>
        <w:rPr>
          <w:b/>
          <w:lang w:val="en-GB"/>
        </w:rPr>
      </w:pPr>
      <w:r w:rsidRPr="00CB75BD">
        <w:rPr>
          <w:lang w:val="en-GB"/>
        </w:rPr>
        <w:t>At VHF frequencies, observations have shown that typical night-time atmospheric absorption values range from 0.005 dB to 0.02 dB. Given the radar sounder</w:t>
      </w:r>
      <w:r w:rsidR="00C81A3B" w:rsidRPr="00CB75BD">
        <w:rPr>
          <w:lang w:val="en-GB"/>
        </w:rPr>
        <w:t>՚</w:t>
      </w:r>
      <w:r w:rsidRPr="00CB75BD">
        <w:rPr>
          <w:lang w:val="en-GB"/>
        </w:rPr>
        <w:t>s hours of operation and these low absorption values, one can conclude that atmospheric absorption will have, at best, a minimal effect on the path and can be ignored when conducting dynamic interference and compatibility studies outside of equatorial and Polar Regions. Within equatorial and polar regions absorption has been reported to fall within the range of 0.5 dB to 6 dB and must be considered as a factor in system design and operation and should also be considered when conducting dynamic interference and compatibility studies between the radar sounder and incumbent services operating within the 40</w:t>
      </w:r>
      <w:r w:rsidRPr="00CB75BD">
        <w:rPr>
          <w:lang w:val="en-GB"/>
        </w:rPr>
        <w:noBreakHyphen/>
        <w:t>50 MHz frequency band. Annex 2 derives values for absorption at different zenith angles based on Recommendation ITU-R P.531-13, and is the source for the values in Table 5.</w:t>
      </w:r>
    </w:p>
    <w:p w:rsidR="006612E7" w:rsidRPr="00CB75BD" w:rsidRDefault="006612E7" w:rsidP="006612E7">
      <w:pPr>
        <w:pStyle w:val="Heading2"/>
        <w:rPr>
          <w:lang w:val="en-GB"/>
        </w:rPr>
      </w:pPr>
      <w:bookmarkStart w:id="82" w:name="_Toc14851683"/>
      <w:bookmarkStart w:id="83" w:name="_Toc14851773"/>
      <w:bookmarkStart w:id="84" w:name="_Toc14858078"/>
      <w:bookmarkStart w:id="85" w:name="_Toc14858459"/>
      <w:r w:rsidRPr="00CB75BD">
        <w:rPr>
          <w:lang w:val="en-GB"/>
        </w:rPr>
        <w:t>5.5</w:t>
      </w:r>
      <w:r w:rsidRPr="00CB75BD">
        <w:rPr>
          <w:lang w:val="en-GB"/>
        </w:rPr>
        <w:tab/>
        <w:t>Ionospheric dispersion</w:t>
      </w:r>
      <w:bookmarkEnd w:id="82"/>
      <w:bookmarkEnd w:id="83"/>
      <w:bookmarkEnd w:id="84"/>
      <w:bookmarkEnd w:id="85"/>
      <w:r w:rsidRPr="00CB75BD">
        <w:rPr>
          <w:lang w:val="en-GB"/>
        </w:rPr>
        <w:t xml:space="preserve"> </w:t>
      </w:r>
    </w:p>
    <w:p w:rsidR="006612E7" w:rsidRPr="00CB75BD" w:rsidRDefault="006612E7" w:rsidP="006612E7">
      <w:pPr>
        <w:rPr>
          <w:lang w:val="en-GB"/>
        </w:rPr>
      </w:pPr>
      <w:r w:rsidRPr="00CB75BD">
        <w:rPr>
          <w:lang w:val="en-GB"/>
        </w:rPr>
        <w:t>The dispersive characteristics of the ionosphere are attributed to the frequency dependent characteristics of the ionospheric refractive index, and can result in the distortion of RF energy pulses that are propagated through it. The dispersion, or differential time delay due to the normal ionosphere, produces a difference in pulse arrival time. The dispersive term for pulse distortion is proportional to TEC. When the difference in group delay time across the bandwidth of the pulse is the same magnitude as the width of the pulse it will-be significantly disturbed by the ionosphere. In addition to pulse distortion by the dispersive effects due to the TEC of the normal background ionosphere, radio pulses are also modified by scattering from ionospheric irregularities. Although dispersion is a factor that needs to be taken into account by systems designers, it does not need to be considered when conducting dynamic interference and compatibility studies between the sounder and incumbent services operating within the 40-50 MHz frequency band.</w:t>
      </w:r>
    </w:p>
    <w:p w:rsidR="006612E7" w:rsidRPr="00CB75BD" w:rsidRDefault="006612E7" w:rsidP="006612E7">
      <w:pPr>
        <w:pStyle w:val="Heading2"/>
        <w:rPr>
          <w:lang w:val="en-GB"/>
        </w:rPr>
      </w:pPr>
      <w:bookmarkStart w:id="86" w:name="_Toc14851684"/>
      <w:bookmarkStart w:id="87" w:name="_Toc14851774"/>
      <w:bookmarkStart w:id="88" w:name="_Toc14858079"/>
      <w:bookmarkStart w:id="89" w:name="_Toc14858460"/>
      <w:r w:rsidRPr="00CB75BD">
        <w:rPr>
          <w:lang w:val="en-GB"/>
        </w:rPr>
        <w:lastRenderedPageBreak/>
        <w:t>5.6</w:t>
      </w:r>
      <w:r w:rsidRPr="00CB75BD">
        <w:rPr>
          <w:lang w:val="en-GB"/>
        </w:rPr>
        <w:tab/>
        <w:t>Scintillation</w:t>
      </w:r>
      <w:bookmarkEnd w:id="86"/>
      <w:bookmarkEnd w:id="87"/>
      <w:bookmarkEnd w:id="88"/>
      <w:bookmarkEnd w:id="89"/>
    </w:p>
    <w:p w:rsidR="006612E7" w:rsidRPr="00CB75BD" w:rsidRDefault="006612E7" w:rsidP="006612E7">
      <w:pPr>
        <w:pStyle w:val="enumlev1"/>
        <w:tabs>
          <w:tab w:val="clear" w:pos="1191"/>
          <w:tab w:val="left" w:pos="1170"/>
        </w:tabs>
        <w:ind w:left="0" w:firstLine="0"/>
        <w:rPr>
          <w:lang w:val="en-GB"/>
        </w:rPr>
      </w:pPr>
      <w:r w:rsidRPr="00CB75BD">
        <w:rPr>
          <w:lang w:val="en-GB"/>
        </w:rPr>
        <w:t>Scintillation manifests itself as a variety of rapid variations of amplitude, phase, polarization angle, and angle of arrival of the signals. These variations degrade both the signals emitted by the sounder, and signals intercepted by the sounder. At the power level, which is used in the compatibility study, the signal degradation due to scintillation is reflected as additional attenuation imposed on signal powers. Imposing additional attenuation reduces the interfering signal powers either from the sounder or into the sounder.</w:t>
      </w:r>
    </w:p>
    <w:p w:rsidR="006612E7" w:rsidRPr="00CB75BD" w:rsidRDefault="006612E7" w:rsidP="006612E7">
      <w:pPr>
        <w:pStyle w:val="Heading2"/>
        <w:rPr>
          <w:lang w:val="en-GB"/>
        </w:rPr>
      </w:pPr>
      <w:bookmarkStart w:id="90" w:name="_Toc14851685"/>
      <w:bookmarkStart w:id="91" w:name="_Toc14851775"/>
      <w:bookmarkStart w:id="92" w:name="_Toc14858080"/>
      <w:bookmarkStart w:id="93" w:name="_Toc14858461"/>
      <w:r w:rsidRPr="00CB75BD">
        <w:rPr>
          <w:lang w:val="en-GB"/>
        </w:rPr>
        <w:t>5.7</w:t>
      </w:r>
      <w:r w:rsidRPr="00CB75BD">
        <w:rPr>
          <w:lang w:val="en-GB"/>
        </w:rPr>
        <w:tab/>
        <w:t>Doppler</w:t>
      </w:r>
      <w:bookmarkEnd w:id="90"/>
      <w:bookmarkEnd w:id="91"/>
      <w:bookmarkEnd w:id="92"/>
      <w:bookmarkEnd w:id="93"/>
      <w:r w:rsidRPr="00CB75BD">
        <w:rPr>
          <w:lang w:val="en-GB"/>
        </w:rPr>
        <w:t xml:space="preserve"> </w:t>
      </w:r>
    </w:p>
    <w:p w:rsidR="006612E7" w:rsidRPr="00CB75BD" w:rsidRDefault="006612E7" w:rsidP="006612E7">
      <w:pPr>
        <w:rPr>
          <w:lang w:val="en-GB"/>
        </w:rPr>
      </w:pPr>
      <w:r w:rsidRPr="00CB75BD">
        <w:rPr>
          <w:lang w:val="en-GB"/>
        </w:rPr>
        <w:t>Although Doppler shift is an important characteristic that must be taken into consideration when designing a radar sounder, the effects of Doppler shift will not need to be considered when conducting interference and compatibility studies between the sounder and incumbent services operating within the 40-50 MHz frequency band.</w:t>
      </w:r>
    </w:p>
    <w:p w:rsidR="006612E7" w:rsidRPr="00CB75BD" w:rsidRDefault="006612E7" w:rsidP="006612E7">
      <w:pPr>
        <w:pStyle w:val="Heading2"/>
        <w:rPr>
          <w:lang w:val="en-GB"/>
        </w:rPr>
      </w:pPr>
      <w:bookmarkStart w:id="94" w:name="_Toc14851686"/>
      <w:bookmarkStart w:id="95" w:name="_Toc14851776"/>
      <w:bookmarkStart w:id="96" w:name="_Toc14858081"/>
      <w:bookmarkStart w:id="97" w:name="_Toc14858462"/>
      <w:r w:rsidRPr="00CB75BD">
        <w:rPr>
          <w:lang w:val="en-GB"/>
        </w:rPr>
        <w:t>5.8</w:t>
      </w:r>
      <w:r w:rsidRPr="00CB75BD">
        <w:rPr>
          <w:lang w:val="en-GB"/>
        </w:rPr>
        <w:tab/>
        <w:t>Ducting</w:t>
      </w:r>
      <w:bookmarkEnd w:id="94"/>
      <w:bookmarkEnd w:id="95"/>
      <w:bookmarkEnd w:id="96"/>
      <w:bookmarkEnd w:id="97"/>
      <w:r w:rsidRPr="00CB75BD">
        <w:rPr>
          <w:lang w:val="en-GB"/>
        </w:rPr>
        <w:t xml:space="preserve"> </w:t>
      </w:r>
    </w:p>
    <w:p w:rsidR="006612E7" w:rsidRPr="00CB75BD" w:rsidRDefault="006612E7" w:rsidP="00840349">
      <w:pPr>
        <w:pStyle w:val="Normalend"/>
        <w:jc w:val="both"/>
        <w:rPr>
          <w:lang w:val="en-GB"/>
        </w:rPr>
      </w:pPr>
      <w:r w:rsidRPr="00CB75BD">
        <w:rPr>
          <w:lang w:val="en-GB"/>
        </w:rPr>
        <w:t xml:space="preserve">Ducting is the worst case of refraction, where the propagating signals undergo total reflection. The propagating signal may be either the sounder signal propagating toward Earth surface or an interfering signal propagating toward the sounder. Based on </w:t>
      </w:r>
      <w:r w:rsidR="00CB75BD" w:rsidRPr="00CB75BD">
        <w:rPr>
          <w:lang w:val="en-GB"/>
        </w:rPr>
        <w:t>§</w:t>
      </w:r>
      <w:r w:rsidRPr="00CB75BD">
        <w:rPr>
          <w:lang w:val="en-GB"/>
        </w:rPr>
        <w:t xml:space="preserve"> 5.3, the impact of refraction can be disregarded within the sounder beam width. Accordingly, ducting cannot occur within the sounder beam width, and it is not required to be accounted for in the compatibility studies.</w:t>
      </w:r>
    </w:p>
    <w:p w:rsidR="006612E7" w:rsidRPr="00CB75BD" w:rsidRDefault="006612E7" w:rsidP="006612E7">
      <w:pPr>
        <w:pStyle w:val="Heading1"/>
        <w:rPr>
          <w:lang w:val="en-GB"/>
        </w:rPr>
      </w:pPr>
      <w:bookmarkStart w:id="98" w:name="_Toc14851687"/>
      <w:bookmarkStart w:id="99" w:name="_Toc14851777"/>
      <w:bookmarkStart w:id="100" w:name="_Toc14858082"/>
      <w:bookmarkStart w:id="101" w:name="_Toc14858463"/>
      <w:r w:rsidRPr="00CB75BD">
        <w:rPr>
          <w:lang w:val="en-GB"/>
        </w:rPr>
        <w:t>6</w:t>
      </w:r>
      <w:r w:rsidRPr="00CB75BD">
        <w:rPr>
          <w:lang w:val="en-GB"/>
        </w:rPr>
        <w:tab/>
        <w:t>Static analysis methodology</w:t>
      </w:r>
      <w:bookmarkEnd w:id="98"/>
      <w:bookmarkEnd w:id="99"/>
      <w:bookmarkEnd w:id="100"/>
      <w:bookmarkEnd w:id="101"/>
    </w:p>
    <w:p w:rsidR="006612E7" w:rsidRPr="00CB75BD" w:rsidRDefault="006612E7" w:rsidP="006612E7">
      <w:pPr>
        <w:pStyle w:val="Heading2"/>
        <w:rPr>
          <w:lang w:val="en-GB"/>
        </w:rPr>
      </w:pPr>
      <w:bookmarkStart w:id="102" w:name="_Toc14851688"/>
      <w:bookmarkStart w:id="103" w:name="_Toc14851778"/>
      <w:bookmarkStart w:id="104" w:name="_Toc14858083"/>
      <w:bookmarkStart w:id="105" w:name="_Toc14858464"/>
      <w:r w:rsidRPr="00CB75BD">
        <w:rPr>
          <w:lang w:val="en-GB"/>
        </w:rPr>
        <w:t>6.1</w:t>
      </w:r>
      <w:r w:rsidRPr="00CB75BD">
        <w:rPr>
          <w:lang w:val="en-GB"/>
        </w:rPr>
        <w:tab/>
        <w:t>Radar sounder to incumbent systems</w:t>
      </w:r>
      <w:bookmarkEnd w:id="102"/>
      <w:bookmarkEnd w:id="103"/>
      <w:bookmarkEnd w:id="104"/>
      <w:bookmarkEnd w:id="105"/>
    </w:p>
    <w:p w:rsidR="006612E7" w:rsidRPr="00CB75BD" w:rsidRDefault="006612E7" w:rsidP="006612E7">
      <w:pPr>
        <w:rPr>
          <w:lang w:val="en-GB"/>
        </w:rPr>
      </w:pPr>
      <w:r w:rsidRPr="00CB75BD">
        <w:rPr>
          <w:lang w:val="en-GB"/>
        </w:rPr>
        <w:t>The radar sounder transmitting antenna will be nadir looking and operations, as stated in §§ 2.3 and</w:t>
      </w:r>
      <w:r w:rsidR="00CB75BD" w:rsidRPr="00CB75BD">
        <w:rPr>
          <w:lang w:val="en-GB"/>
        </w:rPr>
        <w:t> </w:t>
      </w:r>
      <w:r w:rsidRPr="00CB75BD">
        <w:rPr>
          <w:lang w:val="en-GB"/>
        </w:rPr>
        <w:t>2.4, will occur exclusively in un-inhabited or sparsely populated areas of the ice sheets of Greenland and Antarctica and the deserts of northern Africa and the Arabian Peninsula, and, also, operations will occur for a period not to exceed 10 minutes in duration while over those areas of interest.</w:t>
      </w:r>
    </w:p>
    <w:p w:rsidR="006612E7" w:rsidRPr="00CB75BD" w:rsidRDefault="006612E7" w:rsidP="006612E7">
      <w:pPr>
        <w:rPr>
          <w:lang w:val="en-GB"/>
        </w:rPr>
      </w:pPr>
      <w:r w:rsidRPr="00CB75BD">
        <w:rPr>
          <w:lang w:val="en-GB"/>
        </w:rPr>
        <w:t xml:space="preserve">The analysis methodology is as follows. Maximum interference levels for each of the incumbent systems under study were calculated as described in § 4.3. Signal levels at the incumbent service receiver are derived using equations (4), (5) and (6) below. Frequency dependent rejection and losses due to absorption are to be included in a calculation that will determine the level of interference to the incumbent receiver. The resultant interference signal level will be compared to the maximum incumbent service interference levels as shown in Table 4 to determine if the maximum allowable interference level has been exceeded. </w:t>
      </w:r>
    </w:p>
    <w:p w:rsidR="006612E7" w:rsidRPr="00CB75BD" w:rsidRDefault="006612E7" w:rsidP="006612E7">
      <w:pPr>
        <w:rPr>
          <w:lang w:val="en-GB"/>
        </w:rPr>
      </w:pPr>
      <w:r w:rsidRPr="00CB75BD">
        <w:rPr>
          <w:lang w:val="en-GB"/>
        </w:rPr>
        <w:t xml:space="preserve">Equations that will be used to derive the interference level from the radar sounder at an incumbent receiver are based upon those that can be found in Recommendation ITU-R SM.337-3 </w:t>
      </w:r>
      <w:r w:rsidR="00AC3C9F" w:rsidRPr="00CB75BD">
        <w:rPr>
          <w:lang w:val="en-GB"/>
        </w:rPr>
        <w:t>–</w:t>
      </w:r>
      <w:r w:rsidRPr="00CB75BD">
        <w:rPr>
          <w:lang w:val="en-GB"/>
        </w:rPr>
        <w:t xml:space="preserve"> Frequency and distance separations, and are as follows.</w:t>
      </w:r>
    </w:p>
    <w:p w:rsidR="006612E7" w:rsidRPr="00CB75BD" w:rsidRDefault="006612E7" w:rsidP="006612E7">
      <w:pPr>
        <w:rPr>
          <w:lang w:val="en-GB"/>
        </w:rPr>
      </w:pPr>
      <w:r w:rsidRPr="00CB75BD">
        <w:rPr>
          <w:lang w:val="en-GB"/>
        </w:rPr>
        <w:t>Free Space Path Loss</w:t>
      </w:r>
      <w:r w:rsidR="009E0E2E" w:rsidRPr="00CB75BD">
        <w:rPr>
          <w:lang w:val="en-GB"/>
        </w:rPr>
        <w:t>:</w:t>
      </w:r>
    </w:p>
    <w:p w:rsidR="006612E7" w:rsidRPr="00CB75BD" w:rsidRDefault="006612E7" w:rsidP="006612E7">
      <w:pPr>
        <w:pStyle w:val="Equation"/>
        <w:rPr>
          <w:lang w:val="en-GB"/>
        </w:rPr>
      </w:pPr>
      <w:r w:rsidRPr="00CB75BD">
        <w:rPr>
          <w:lang w:val="en-GB"/>
        </w:rPr>
        <w:tab/>
      </w:r>
      <w:r w:rsidRPr="00CB75BD">
        <w:rPr>
          <w:lang w:val="en-GB"/>
        </w:rPr>
        <w:tab/>
      </w:r>
      <m:oMath>
        <m:r>
          <m:rPr>
            <m:sty m:val="p"/>
          </m:rPr>
          <w:rPr>
            <w:rFonts w:ascii="Cambria Math" w:hAnsi="Cambria Math"/>
            <w:lang w:val="en-GB"/>
          </w:rPr>
          <m:t xml:space="preserve"> </m:t>
        </m:r>
        <m:r>
          <w:rPr>
            <w:rFonts w:ascii="Cambria Math" w:hAnsi="Cambria Math"/>
            <w:lang w:val="en-GB"/>
          </w:rPr>
          <m:t>FSL</m:t>
        </m:r>
        <m:r>
          <m:rPr>
            <m:sty m:val="p"/>
          </m:rPr>
          <w:rPr>
            <w:rFonts w:ascii="Cambria Math" w:hAnsi="Cambria Math"/>
            <w:lang w:val="en-GB"/>
          </w:rPr>
          <m:t>=32.4+20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f</m:t>
                </m:r>
              </m:e>
            </m:d>
          </m:e>
        </m:func>
        <m:r>
          <m:rPr>
            <m:sty m:val="p"/>
          </m:rPr>
          <w:rPr>
            <w:rFonts w:ascii="Cambria Math" w:hAnsi="Cambria Math"/>
            <w:lang w:val="en-GB"/>
          </w:rPr>
          <m:t>+20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d</m:t>
                </m:r>
              </m:e>
            </m:d>
          </m:e>
        </m:func>
      </m:oMath>
      <w:r w:rsidRPr="00CB75BD">
        <w:rPr>
          <w:lang w:val="en-GB"/>
        </w:rPr>
        <w:t xml:space="preserve">  </w:t>
      </w:r>
      <w:r w:rsidRPr="00CB75BD">
        <w:rPr>
          <w:lang w:val="en-GB"/>
        </w:rPr>
        <w:tab/>
        <w:t>(4)</w:t>
      </w:r>
    </w:p>
    <w:p w:rsidR="006612E7" w:rsidRPr="00CB75BD" w:rsidRDefault="006612E7" w:rsidP="006612E7">
      <w:pPr>
        <w:keepNext/>
        <w:rPr>
          <w:lang w:val="en-GB"/>
        </w:rPr>
      </w:pPr>
      <w:proofErr w:type="gramStart"/>
      <w:r w:rsidRPr="00CB75BD">
        <w:rPr>
          <w:lang w:val="en-GB"/>
        </w:rPr>
        <w:t>where</w:t>
      </w:r>
      <w:proofErr w:type="gramEnd"/>
      <w:r w:rsidRPr="00CB75BD">
        <w:rPr>
          <w:lang w:val="en-GB"/>
        </w:rPr>
        <w:t>:</w:t>
      </w:r>
    </w:p>
    <w:p w:rsidR="006612E7" w:rsidRPr="00CB75BD" w:rsidRDefault="006612E7" w:rsidP="006612E7">
      <w:pPr>
        <w:pStyle w:val="Equationlegend"/>
        <w:rPr>
          <w:lang w:val="en-GB"/>
        </w:rPr>
      </w:pPr>
      <w:r w:rsidRPr="00CB75BD">
        <w:rPr>
          <w:lang w:val="en-GB"/>
        </w:rPr>
        <w:tab/>
      </w:r>
      <w:r w:rsidRPr="00CB75BD">
        <w:rPr>
          <w:i/>
          <w:lang w:val="en-GB"/>
        </w:rPr>
        <w:t xml:space="preserve">f </w:t>
      </w:r>
      <w:r w:rsidRPr="00CB75BD">
        <w:rPr>
          <w:lang w:val="en-GB"/>
        </w:rPr>
        <w:t xml:space="preserve">=  </w:t>
      </w:r>
      <w:r w:rsidRPr="00CB75BD">
        <w:rPr>
          <w:lang w:val="en-GB"/>
        </w:rPr>
        <w:tab/>
        <w:t>frequency (MHz)</w:t>
      </w:r>
    </w:p>
    <w:p w:rsidR="006612E7" w:rsidRPr="00CB75BD" w:rsidRDefault="006612E7" w:rsidP="006612E7">
      <w:pPr>
        <w:pStyle w:val="Equationlegend"/>
        <w:rPr>
          <w:lang w:val="en-GB"/>
        </w:rPr>
      </w:pPr>
      <w:r w:rsidRPr="00CB75BD">
        <w:rPr>
          <w:lang w:val="en-GB"/>
        </w:rPr>
        <w:tab/>
      </w:r>
      <w:r w:rsidRPr="00CB75BD">
        <w:rPr>
          <w:i/>
          <w:lang w:val="en-GB"/>
        </w:rPr>
        <w:t>d</w:t>
      </w:r>
      <w:r w:rsidR="007356D7" w:rsidRPr="00CB75BD">
        <w:rPr>
          <w:lang w:val="en-GB"/>
        </w:rPr>
        <w:t xml:space="preserve"> = </w:t>
      </w:r>
      <w:r w:rsidR="007356D7" w:rsidRPr="00CB75BD">
        <w:rPr>
          <w:lang w:val="en-GB"/>
        </w:rPr>
        <w:tab/>
      </w:r>
      <w:r w:rsidRPr="00CB75BD">
        <w:rPr>
          <w:lang w:val="en-GB"/>
        </w:rPr>
        <w:t>distance (km)</w:t>
      </w:r>
    </w:p>
    <w:p w:rsidR="006612E7" w:rsidRPr="00CB75BD" w:rsidRDefault="006612E7" w:rsidP="006612E7">
      <w:pPr>
        <w:pStyle w:val="Equationlegend"/>
        <w:rPr>
          <w:lang w:val="en-GB"/>
        </w:rPr>
      </w:pPr>
      <w:r w:rsidRPr="00CB75BD">
        <w:rPr>
          <w:lang w:val="en-GB"/>
        </w:rPr>
        <w:tab/>
      </w:r>
      <w:r w:rsidRPr="00CB75BD">
        <w:rPr>
          <w:i/>
          <w:iCs/>
          <w:lang w:val="en-GB"/>
        </w:rPr>
        <w:t>FSL</w:t>
      </w:r>
      <w:r w:rsidRPr="00CB75BD">
        <w:rPr>
          <w:lang w:val="en-GB"/>
        </w:rPr>
        <w:t xml:space="preserve"> = </w:t>
      </w:r>
      <w:r w:rsidRPr="00CB75BD">
        <w:rPr>
          <w:lang w:val="en-GB"/>
        </w:rPr>
        <w:tab/>
        <w:t>d</w:t>
      </w:r>
      <w:r w:rsidR="009E0E2E" w:rsidRPr="00CB75BD">
        <w:rPr>
          <w:lang w:val="en-GB"/>
        </w:rPr>
        <w:t>B</w:t>
      </w:r>
      <w:r w:rsidRPr="00CB75BD">
        <w:rPr>
          <w:lang w:val="en-GB"/>
        </w:rPr>
        <w:t>.</w:t>
      </w:r>
    </w:p>
    <w:p w:rsidR="006612E7" w:rsidRPr="00CB75BD" w:rsidRDefault="006612E7" w:rsidP="006612E7">
      <w:pPr>
        <w:rPr>
          <w:lang w:val="en-GB"/>
        </w:rPr>
      </w:pPr>
      <w:r w:rsidRPr="00CB75BD">
        <w:rPr>
          <w:lang w:val="en-GB"/>
        </w:rPr>
        <w:lastRenderedPageBreak/>
        <w:t>Using equation (4) with an operational frequency of 45 MHz at an orbital altitude of 400 km yields a path loss (FSL) of 117.6 dB.</w:t>
      </w:r>
    </w:p>
    <w:p w:rsidR="006612E7" w:rsidRPr="00CB75BD" w:rsidRDefault="006612E7" w:rsidP="006612E7">
      <w:pPr>
        <w:rPr>
          <w:lang w:val="en-GB"/>
        </w:rPr>
      </w:pPr>
      <w:r w:rsidRPr="00CB75BD">
        <w:rPr>
          <w:lang w:val="en-GB"/>
        </w:rPr>
        <w:t>Frequency Dependent Rejection</w:t>
      </w:r>
      <w:r w:rsidR="000969A5" w:rsidRPr="00CB75BD">
        <w:rPr>
          <w:lang w:val="en-GB"/>
        </w:rPr>
        <w:t>:</w:t>
      </w:r>
    </w:p>
    <w:p w:rsidR="006612E7" w:rsidRPr="00CB75BD" w:rsidRDefault="006612E7" w:rsidP="006612E7">
      <w:pPr>
        <w:pStyle w:val="Equation"/>
        <w:rPr>
          <w:lang w:val="en-GB"/>
        </w:rPr>
      </w:pPr>
      <w:r w:rsidRPr="00CB75BD">
        <w:rPr>
          <w:lang w:val="en-GB"/>
        </w:rPr>
        <w:tab/>
      </w:r>
      <w:r w:rsidRPr="00CB75BD">
        <w:rPr>
          <w:lang w:val="en-GB"/>
        </w:rPr>
        <w:tab/>
      </w:r>
      <m:oMath>
        <m:r>
          <w:rPr>
            <w:rFonts w:ascii="Cambria Math" w:hAnsi="Cambria Math"/>
            <w:lang w:val="en-GB"/>
          </w:rPr>
          <m:t xml:space="preserve">FDR=K </m:t>
        </m:r>
        <m:r>
          <m:rPr>
            <m:sty m:val="p"/>
          </m:rPr>
          <w:rPr>
            <w:rFonts w:ascii="Cambria Math" w:hAnsi="Cambria Math"/>
            <w:lang w:val="en-GB"/>
          </w:rPr>
          <m:t>log⁡</m:t>
        </m:r>
        <m:r>
          <w:rPr>
            <w:rFonts w:ascii="Cambria Math" w:hAnsi="Cambria Math"/>
            <w:lang w:val="en-GB"/>
          </w:rPr>
          <m:t>(Bt/Br)</m:t>
        </m:r>
      </m:oMath>
      <w:r w:rsidRPr="00CB75BD">
        <w:rPr>
          <w:lang w:val="en-GB"/>
        </w:rPr>
        <w:t xml:space="preserve"> </w:t>
      </w:r>
      <w:r w:rsidRPr="00CB75BD">
        <w:rPr>
          <w:lang w:val="en-GB"/>
        </w:rPr>
        <w:tab/>
        <w:t>(5)</w:t>
      </w:r>
    </w:p>
    <w:p w:rsidR="006612E7" w:rsidRPr="00CB75BD" w:rsidRDefault="006612E7" w:rsidP="006612E7">
      <w:pPr>
        <w:spacing w:after="120"/>
        <w:rPr>
          <w:lang w:val="en-GB"/>
        </w:rPr>
      </w:pPr>
      <w:proofErr w:type="gramStart"/>
      <w:r w:rsidRPr="00CB75BD">
        <w:rPr>
          <w:lang w:val="en-GB"/>
        </w:rPr>
        <w:t>where</w:t>
      </w:r>
      <w:proofErr w:type="gramEnd"/>
      <w:r w:rsidRPr="00CB75BD">
        <w:rPr>
          <w:lang w:val="en-GB"/>
        </w:rPr>
        <w:t xml:space="preserve">: </w:t>
      </w:r>
    </w:p>
    <w:p w:rsidR="006612E7" w:rsidRPr="00CB75BD" w:rsidRDefault="006612E7" w:rsidP="006612E7">
      <w:pPr>
        <w:pStyle w:val="Equationlegend"/>
        <w:rPr>
          <w:lang w:val="en-GB"/>
        </w:rPr>
      </w:pPr>
      <w:r w:rsidRPr="00CB75BD">
        <w:rPr>
          <w:lang w:val="en-GB"/>
        </w:rPr>
        <w:tab/>
      </w:r>
      <w:r w:rsidRPr="00CB75BD">
        <w:rPr>
          <w:i/>
          <w:iCs/>
          <w:lang w:val="en-GB"/>
        </w:rPr>
        <w:t>Br</w:t>
      </w:r>
      <w:r w:rsidRPr="00CB75BD">
        <w:rPr>
          <w:lang w:val="en-GB"/>
        </w:rPr>
        <w:t xml:space="preserve"> = </w:t>
      </w:r>
      <w:r w:rsidRPr="00CB75BD">
        <w:rPr>
          <w:lang w:val="en-GB"/>
        </w:rPr>
        <w:tab/>
        <w:t>receiver 3 dB bandwidth (Hz)</w:t>
      </w:r>
    </w:p>
    <w:p w:rsidR="006612E7" w:rsidRPr="00CB75BD" w:rsidRDefault="006612E7" w:rsidP="006612E7">
      <w:pPr>
        <w:pStyle w:val="Equationlegend"/>
        <w:rPr>
          <w:lang w:val="en-GB"/>
        </w:rPr>
      </w:pPr>
      <w:r w:rsidRPr="00CB75BD">
        <w:rPr>
          <w:lang w:val="en-GB"/>
        </w:rPr>
        <w:tab/>
      </w:r>
      <w:proofErr w:type="gramStart"/>
      <w:r w:rsidRPr="00CB75BD">
        <w:rPr>
          <w:i/>
          <w:iCs/>
          <w:lang w:val="en-GB"/>
        </w:rPr>
        <w:t>Bt</w:t>
      </w:r>
      <w:proofErr w:type="gramEnd"/>
      <w:r w:rsidRPr="00CB75BD">
        <w:rPr>
          <w:lang w:val="en-GB"/>
        </w:rPr>
        <w:t xml:space="preserve"> = </w:t>
      </w:r>
      <w:r w:rsidRPr="00CB75BD">
        <w:rPr>
          <w:lang w:val="en-GB"/>
        </w:rPr>
        <w:tab/>
        <w:t>transmitter 3 dB bandwidth (Hz)</w:t>
      </w:r>
    </w:p>
    <w:p w:rsidR="006612E7" w:rsidRPr="00CB75BD" w:rsidRDefault="006612E7" w:rsidP="006612E7">
      <w:pPr>
        <w:pStyle w:val="Equationlegend"/>
        <w:rPr>
          <w:lang w:val="en-GB"/>
        </w:rPr>
      </w:pPr>
      <w:r w:rsidRPr="00CB75BD">
        <w:rPr>
          <w:lang w:val="en-GB"/>
        </w:rPr>
        <w:tab/>
      </w:r>
      <w:r w:rsidRPr="00CB75BD">
        <w:rPr>
          <w:i/>
          <w:iCs/>
          <w:lang w:val="en-GB"/>
        </w:rPr>
        <w:t>K</w:t>
      </w:r>
      <w:r w:rsidRPr="00CB75BD">
        <w:rPr>
          <w:lang w:val="en-GB"/>
        </w:rPr>
        <w:t xml:space="preserve">= </w:t>
      </w:r>
      <w:r w:rsidRPr="00CB75BD">
        <w:rPr>
          <w:lang w:val="en-GB"/>
        </w:rPr>
        <w:tab/>
        <w:t>10 for non-coherent signals, 20 for pulse signals.</w:t>
      </w:r>
    </w:p>
    <w:p w:rsidR="006612E7" w:rsidRPr="00CB75BD" w:rsidRDefault="006612E7" w:rsidP="006612E7">
      <w:pPr>
        <w:rPr>
          <w:sz w:val="25"/>
          <w:szCs w:val="25"/>
          <w:lang w:val="en-GB"/>
        </w:rPr>
      </w:pPr>
      <w:r w:rsidRPr="00CB75BD">
        <w:rPr>
          <w:lang w:val="en-GB"/>
        </w:rPr>
        <w:t xml:space="preserve">FDR is calculated using equation (5), with </w:t>
      </w:r>
      <w:r w:rsidRPr="00CB75BD">
        <w:rPr>
          <w:i/>
          <w:iCs/>
          <w:lang w:val="en-GB"/>
        </w:rPr>
        <w:t>K</w:t>
      </w:r>
      <w:r w:rsidRPr="00CB75BD">
        <w:rPr>
          <w:lang w:val="en-GB"/>
        </w:rPr>
        <w:t xml:space="preserve"> = 20, as the sounder has a pulsed output. FDR is calculated for each of the incumbent receivers.</w:t>
      </w:r>
    </w:p>
    <w:p w:rsidR="006612E7" w:rsidRPr="00CB75BD" w:rsidRDefault="006612E7" w:rsidP="006612E7">
      <w:pPr>
        <w:spacing w:after="120"/>
        <w:rPr>
          <w:lang w:val="en-GB"/>
        </w:rPr>
      </w:pPr>
      <w:r w:rsidRPr="00CB75BD">
        <w:rPr>
          <w:lang w:val="en-GB"/>
        </w:rPr>
        <w:t>Interference Signal Level</w:t>
      </w:r>
      <w:r w:rsidR="00C81A3B" w:rsidRPr="00CB75BD">
        <w:rPr>
          <w:lang w:val="en-GB"/>
        </w:rPr>
        <w:t>:</w:t>
      </w:r>
      <w:r w:rsidRPr="00CB75BD">
        <w:rPr>
          <w:lang w:val="en-GB"/>
        </w:rPr>
        <w:t xml:space="preserve"> </w:t>
      </w:r>
    </w:p>
    <w:p w:rsidR="006612E7" w:rsidRPr="00CB75BD" w:rsidRDefault="006612E7" w:rsidP="006612E7">
      <w:pPr>
        <w:pStyle w:val="Equation"/>
        <w:rPr>
          <w:lang w:val="en-GB"/>
        </w:rPr>
      </w:pPr>
      <w:r w:rsidRPr="00CB75BD">
        <w:rPr>
          <w:lang w:val="en-GB"/>
        </w:rPr>
        <w:tab/>
      </w:r>
      <w:r w:rsidRPr="00CB75BD">
        <w:rPr>
          <w:lang w:val="en-GB"/>
        </w:rPr>
        <w:tab/>
      </w:r>
      <m:oMath>
        <m:r>
          <w:rPr>
            <w:rFonts w:ascii="Cambria Math" w:hAnsi="Cambria Math"/>
            <w:lang w:val="en-GB"/>
          </w:rPr>
          <m:t>Pr</m:t>
        </m:r>
        <m:r>
          <m:rPr>
            <m:sty m:val="p"/>
          </m:rPr>
          <w:rPr>
            <w:rFonts w:ascii="Cambria Math" w:hAnsi="Cambria Math"/>
            <w:lang w:val="en-GB"/>
          </w:rPr>
          <m:t>=</m:t>
        </m:r>
        <m:r>
          <w:rPr>
            <w:rFonts w:ascii="Cambria Math" w:hAnsi="Cambria Math"/>
            <w:lang w:val="en-GB"/>
          </w:rPr>
          <m:t>TXp</m:t>
        </m:r>
        <m:r>
          <m:rPr>
            <m:sty m:val="p"/>
          </m:rPr>
          <w:rPr>
            <w:rFonts w:ascii="Cambria Math" w:hAnsi="Cambria Math"/>
            <w:lang w:val="en-GB"/>
          </w:rPr>
          <m:t>+</m:t>
        </m:r>
        <m:r>
          <w:rPr>
            <w:rFonts w:ascii="Cambria Math" w:hAnsi="Cambria Math"/>
            <w:lang w:val="en-GB"/>
          </w:rPr>
          <m:t>TXg</m:t>
        </m:r>
        <m:r>
          <m:rPr>
            <m:sty m:val="p"/>
          </m:rPr>
          <w:rPr>
            <w:rFonts w:ascii="Cambria Math" w:hAnsi="Cambria Math"/>
            <w:lang w:val="en-GB"/>
          </w:rPr>
          <m:t>+</m:t>
        </m:r>
        <m:r>
          <w:rPr>
            <w:rFonts w:ascii="Cambria Math" w:hAnsi="Cambria Math"/>
            <w:lang w:val="en-GB"/>
          </w:rPr>
          <m:t>RXg</m:t>
        </m:r>
        <m:r>
          <m:rPr>
            <m:sty m:val="p"/>
          </m:rPr>
          <w:rPr>
            <w:rFonts w:ascii="Cambria Math" w:hAnsi="Cambria Math"/>
            <w:lang w:val="en-GB"/>
          </w:rPr>
          <m:t>-</m:t>
        </m:r>
        <m:r>
          <w:rPr>
            <w:rFonts w:ascii="Cambria Math" w:hAnsi="Cambria Math"/>
            <w:lang w:val="en-GB"/>
          </w:rPr>
          <m:t>TXL</m:t>
        </m:r>
        <m:r>
          <m:rPr>
            <m:sty m:val="p"/>
          </m:rPr>
          <w:rPr>
            <w:rFonts w:ascii="Cambria Math" w:hAnsi="Cambria Math"/>
            <w:lang w:val="en-GB"/>
          </w:rPr>
          <m:t>-</m:t>
        </m:r>
        <m:r>
          <w:rPr>
            <w:rFonts w:ascii="Cambria Math" w:hAnsi="Cambria Math"/>
            <w:lang w:val="en-GB"/>
          </w:rPr>
          <m:t>FSL</m:t>
        </m:r>
        <m:r>
          <m:rPr>
            <m:sty m:val="p"/>
          </m:rPr>
          <w:rPr>
            <w:rFonts w:ascii="Cambria Math" w:hAnsi="Cambria Math"/>
            <w:lang w:val="en-GB"/>
          </w:rPr>
          <m:t>-</m:t>
        </m:r>
        <m:r>
          <w:rPr>
            <w:rFonts w:ascii="Cambria Math" w:hAnsi="Cambria Math"/>
            <w:lang w:val="en-GB"/>
          </w:rPr>
          <m:t>Lp</m:t>
        </m:r>
        <m:r>
          <m:rPr>
            <m:sty m:val="p"/>
          </m:rPr>
          <w:rPr>
            <w:rFonts w:ascii="Cambria Math" w:hAnsi="Cambria Math"/>
            <w:lang w:val="en-GB"/>
          </w:rPr>
          <m:t>-</m:t>
        </m:r>
        <m:r>
          <w:rPr>
            <w:rFonts w:ascii="Cambria Math" w:hAnsi="Cambria Math"/>
            <w:lang w:val="en-GB"/>
          </w:rPr>
          <m:t>RXL</m:t>
        </m:r>
        <m:r>
          <m:rPr>
            <m:sty m:val="p"/>
          </m:rPr>
          <w:rPr>
            <w:rFonts w:ascii="Cambria Math" w:hAnsi="Cambria Math"/>
            <w:lang w:val="en-GB"/>
          </w:rPr>
          <m:t>-</m:t>
        </m:r>
        <m:r>
          <w:rPr>
            <w:rFonts w:ascii="Cambria Math" w:hAnsi="Cambria Math"/>
            <w:lang w:val="en-GB"/>
          </w:rPr>
          <m:t>FDR</m:t>
        </m:r>
        <m:r>
          <m:rPr>
            <m:sty m:val="p"/>
          </m:rPr>
          <w:rPr>
            <w:rFonts w:ascii="Cambria Math" w:hAnsi="Cambria Math"/>
            <w:lang w:val="en-GB"/>
          </w:rPr>
          <m:t xml:space="preserve">   </m:t>
        </m:r>
        <m:r>
          <w:rPr>
            <w:rFonts w:ascii="Cambria Math" w:hAnsi="Cambria Math"/>
            <w:lang w:val="en-GB"/>
          </w:rPr>
          <m:t>dBm</m:t>
        </m:r>
      </m:oMath>
      <w:r w:rsidRPr="00CB75BD">
        <w:rPr>
          <w:lang w:val="en-GB"/>
        </w:rPr>
        <w:t xml:space="preserve">  </w:t>
      </w:r>
      <w:r w:rsidRPr="00CB75BD">
        <w:rPr>
          <w:lang w:val="en-GB"/>
        </w:rPr>
        <w:tab/>
        <w:t>(6)</w:t>
      </w:r>
    </w:p>
    <w:p w:rsidR="006612E7" w:rsidRPr="00CB75BD" w:rsidRDefault="006612E7" w:rsidP="006612E7">
      <w:pPr>
        <w:rPr>
          <w:lang w:val="en-GB"/>
        </w:rPr>
      </w:pPr>
      <w:proofErr w:type="gramStart"/>
      <w:r w:rsidRPr="00CB75BD">
        <w:rPr>
          <w:lang w:val="en-GB"/>
        </w:rPr>
        <w:t>where</w:t>
      </w:r>
      <w:proofErr w:type="gramEnd"/>
      <w:r w:rsidRPr="00CB75BD">
        <w:rPr>
          <w:lang w:val="en-GB"/>
        </w:rPr>
        <w:t>:</w:t>
      </w:r>
    </w:p>
    <w:p w:rsidR="006612E7" w:rsidRPr="00CB75BD" w:rsidRDefault="006612E7" w:rsidP="006612E7">
      <w:pPr>
        <w:pStyle w:val="Equationlegend"/>
        <w:rPr>
          <w:lang w:val="en-GB"/>
        </w:rPr>
      </w:pPr>
      <w:r w:rsidRPr="00CB75BD">
        <w:rPr>
          <w:lang w:val="en-GB"/>
        </w:rPr>
        <w:tab/>
      </w:r>
      <w:r w:rsidRPr="00CB75BD">
        <w:rPr>
          <w:i/>
          <w:iCs/>
          <w:lang w:val="en-GB"/>
        </w:rPr>
        <w:t>Pr</w:t>
      </w:r>
      <w:r w:rsidRPr="00CB75BD">
        <w:rPr>
          <w:lang w:val="en-GB"/>
        </w:rPr>
        <w:t xml:space="preserve"> = </w:t>
      </w:r>
      <w:r w:rsidRPr="00CB75BD">
        <w:rPr>
          <w:lang w:val="en-GB"/>
        </w:rPr>
        <w:tab/>
        <w:t>received power (dBm)</w:t>
      </w:r>
    </w:p>
    <w:p w:rsidR="006612E7" w:rsidRPr="00CB75BD" w:rsidRDefault="006612E7" w:rsidP="006612E7">
      <w:pPr>
        <w:pStyle w:val="Equationlegend"/>
        <w:rPr>
          <w:lang w:val="en-GB"/>
        </w:rPr>
      </w:pPr>
      <w:r w:rsidRPr="00CB75BD">
        <w:rPr>
          <w:lang w:val="en-GB"/>
        </w:rPr>
        <w:tab/>
      </w:r>
      <w:r w:rsidRPr="00CB75BD">
        <w:rPr>
          <w:i/>
          <w:iCs/>
          <w:lang w:val="en-GB"/>
        </w:rPr>
        <w:t>TXp</w:t>
      </w:r>
      <w:r w:rsidRPr="00CB75BD">
        <w:rPr>
          <w:lang w:val="en-GB"/>
        </w:rPr>
        <w:t xml:space="preserve"> = </w:t>
      </w:r>
      <w:r w:rsidRPr="00CB75BD">
        <w:rPr>
          <w:lang w:val="en-GB"/>
        </w:rPr>
        <w:tab/>
        <w:t>transmitter output power (dBm)</w:t>
      </w:r>
    </w:p>
    <w:p w:rsidR="006612E7" w:rsidRPr="00CB75BD" w:rsidRDefault="006612E7" w:rsidP="006612E7">
      <w:pPr>
        <w:pStyle w:val="Equationlegend"/>
        <w:rPr>
          <w:lang w:val="en-GB"/>
        </w:rPr>
      </w:pPr>
      <w:r w:rsidRPr="00CB75BD">
        <w:rPr>
          <w:lang w:val="en-GB"/>
        </w:rPr>
        <w:tab/>
      </w:r>
      <w:r w:rsidRPr="00CB75BD">
        <w:rPr>
          <w:i/>
          <w:iCs/>
          <w:lang w:val="en-GB"/>
        </w:rPr>
        <w:t>TXg</w:t>
      </w:r>
      <w:r w:rsidRPr="00CB75BD">
        <w:rPr>
          <w:lang w:val="en-GB"/>
        </w:rPr>
        <w:t xml:space="preserve"> = </w:t>
      </w:r>
      <w:r w:rsidRPr="00CB75BD">
        <w:rPr>
          <w:lang w:val="en-GB"/>
        </w:rPr>
        <w:tab/>
        <w:t>transmitter antenna gain (dBi)</w:t>
      </w:r>
    </w:p>
    <w:p w:rsidR="006612E7" w:rsidRPr="00CB75BD" w:rsidRDefault="006612E7" w:rsidP="006612E7">
      <w:pPr>
        <w:pStyle w:val="Equationlegend"/>
        <w:rPr>
          <w:lang w:val="en-GB"/>
        </w:rPr>
      </w:pPr>
      <w:r w:rsidRPr="00CB75BD">
        <w:rPr>
          <w:lang w:val="en-GB"/>
        </w:rPr>
        <w:tab/>
      </w:r>
      <w:r w:rsidRPr="00CB75BD">
        <w:rPr>
          <w:i/>
          <w:iCs/>
          <w:lang w:val="en-GB"/>
        </w:rPr>
        <w:t>RXg</w:t>
      </w:r>
      <w:r w:rsidRPr="00CB75BD">
        <w:rPr>
          <w:lang w:val="en-GB"/>
        </w:rPr>
        <w:t xml:space="preserve"> = </w:t>
      </w:r>
      <w:r w:rsidRPr="00CB75BD">
        <w:rPr>
          <w:lang w:val="en-GB"/>
        </w:rPr>
        <w:tab/>
        <w:t>receiver antenna gain (dBi)</w:t>
      </w:r>
    </w:p>
    <w:p w:rsidR="006612E7" w:rsidRPr="00CB75BD" w:rsidRDefault="006612E7" w:rsidP="006612E7">
      <w:pPr>
        <w:pStyle w:val="Equationlegend"/>
        <w:rPr>
          <w:lang w:val="en-GB"/>
        </w:rPr>
      </w:pPr>
      <w:r w:rsidRPr="00CB75BD">
        <w:rPr>
          <w:lang w:val="en-GB"/>
        </w:rPr>
        <w:tab/>
      </w:r>
      <w:r w:rsidRPr="00CB75BD">
        <w:rPr>
          <w:i/>
          <w:iCs/>
          <w:lang w:val="en-GB"/>
        </w:rPr>
        <w:t>TXL</w:t>
      </w:r>
      <w:r w:rsidRPr="00CB75BD">
        <w:rPr>
          <w:lang w:val="en-GB"/>
        </w:rPr>
        <w:t xml:space="preserve"> = </w:t>
      </w:r>
      <w:r w:rsidRPr="00CB75BD">
        <w:rPr>
          <w:lang w:val="en-GB"/>
        </w:rPr>
        <w:tab/>
        <w:t>transmit feeder and associated losses (feeder, connectors, etc.) (</w:t>
      </w:r>
      <w:proofErr w:type="gramStart"/>
      <w:r w:rsidRPr="00CB75BD">
        <w:rPr>
          <w:lang w:val="en-GB"/>
        </w:rPr>
        <w:t>dB</w:t>
      </w:r>
      <w:proofErr w:type="gramEnd"/>
      <w:r w:rsidRPr="00CB75BD">
        <w:rPr>
          <w:lang w:val="en-GB"/>
        </w:rPr>
        <w:t>)</w:t>
      </w:r>
    </w:p>
    <w:p w:rsidR="006612E7" w:rsidRPr="00CB75BD" w:rsidRDefault="006612E7" w:rsidP="006612E7">
      <w:pPr>
        <w:pStyle w:val="Equationlegend"/>
        <w:rPr>
          <w:lang w:val="en-GB"/>
        </w:rPr>
      </w:pPr>
      <w:r w:rsidRPr="00CB75BD">
        <w:rPr>
          <w:lang w:val="en-GB"/>
        </w:rPr>
        <w:tab/>
      </w:r>
      <w:r w:rsidRPr="00CB75BD">
        <w:rPr>
          <w:i/>
          <w:iCs/>
          <w:lang w:val="en-GB"/>
        </w:rPr>
        <w:t>FSL</w:t>
      </w:r>
      <w:r w:rsidRPr="00CB75BD">
        <w:rPr>
          <w:lang w:val="en-GB"/>
        </w:rPr>
        <w:t xml:space="preserve"> = </w:t>
      </w:r>
      <w:r w:rsidRPr="00CB75BD">
        <w:rPr>
          <w:lang w:val="en-GB"/>
        </w:rPr>
        <w:tab/>
        <w:t>free space loss or path loss (dB)</w:t>
      </w:r>
    </w:p>
    <w:p w:rsidR="006612E7" w:rsidRPr="00CB75BD" w:rsidRDefault="006612E7" w:rsidP="006612E7">
      <w:pPr>
        <w:pStyle w:val="Equationlegend"/>
        <w:rPr>
          <w:lang w:val="en-GB"/>
        </w:rPr>
      </w:pPr>
      <w:r w:rsidRPr="00CB75BD">
        <w:rPr>
          <w:lang w:val="en-GB"/>
        </w:rPr>
        <w:tab/>
      </w:r>
      <w:proofErr w:type="gramStart"/>
      <w:r w:rsidRPr="00CB75BD">
        <w:rPr>
          <w:i/>
          <w:iCs/>
          <w:lang w:val="en-GB"/>
        </w:rPr>
        <w:t>Lp</w:t>
      </w:r>
      <w:proofErr w:type="gramEnd"/>
      <w:r w:rsidRPr="00CB75BD">
        <w:rPr>
          <w:lang w:val="en-GB"/>
        </w:rPr>
        <w:t xml:space="preserve"> = </w:t>
      </w:r>
      <w:r w:rsidRPr="00CB75BD">
        <w:rPr>
          <w:lang w:val="en-GB"/>
        </w:rPr>
        <w:tab/>
        <w:t xml:space="preserve">The </w:t>
      </w:r>
      <w:r w:rsidRPr="00CB75BD">
        <w:rPr>
          <w:i/>
          <w:iCs/>
          <w:lang w:val="en-GB"/>
        </w:rPr>
        <w:t>Lp</w:t>
      </w:r>
      <w:r w:rsidRPr="00CB75BD">
        <w:rPr>
          <w:lang w:val="en-GB"/>
        </w:rPr>
        <w:t xml:space="preserve"> term includes both miscellaneous signal propagation losses and absorption losses. Miscellaneous losses include fading margin, polarization mismatch, and other losses associated with medium through which signal is travelling. For polar and mid-latitude regions, the absorption loss values calculations are provided in Annex 2 and were equal to 9.83 dB for the Polar Regions, 12.29 dB for Polar Regions during auroral activity, and less than 2.46 dB for the mid-latitude regions. These are calculated loss values for slant path that is 20 degree off-axis from zenith</w:t>
      </w:r>
    </w:p>
    <w:p w:rsidR="006612E7" w:rsidRPr="00CB75BD" w:rsidRDefault="006612E7" w:rsidP="006612E7">
      <w:pPr>
        <w:pStyle w:val="Equationlegend"/>
        <w:rPr>
          <w:lang w:val="en-GB"/>
        </w:rPr>
      </w:pPr>
      <w:r w:rsidRPr="00CB75BD">
        <w:rPr>
          <w:lang w:val="en-GB"/>
        </w:rPr>
        <w:tab/>
      </w:r>
      <w:r w:rsidRPr="00CB75BD">
        <w:rPr>
          <w:i/>
          <w:iCs/>
          <w:lang w:val="en-GB"/>
        </w:rPr>
        <w:t>RXL</w:t>
      </w:r>
      <w:r w:rsidRPr="00CB75BD">
        <w:rPr>
          <w:lang w:val="en-GB"/>
        </w:rPr>
        <w:t xml:space="preserve"> = </w:t>
      </w:r>
      <w:r w:rsidRPr="00CB75BD">
        <w:rPr>
          <w:lang w:val="en-GB"/>
        </w:rPr>
        <w:tab/>
        <w:t>receiver feeder and associated losses (feeder, connectors, etc.) (</w:t>
      </w:r>
      <w:proofErr w:type="gramStart"/>
      <w:r w:rsidRPr="00CB75BD">
        <w:rPr>
          <w:lang w:val="en-GB"/>
        </w:rPr>
        <w:t>dB</w:t>
      </w:r>
      <w:proofErr w:type="gramEnd"/>
      <w:r w:rsidR="000969A5" w:rsidRPr="00CB75BD">
        <w:rPr>
          <w:lang w:val="en-GB"/>
        </w:rPr>
        <w:t>)</w:t>
      </w:r>
    </w:p>
    <w:p w:rsidR="006612E7" w:rsidRPr="00CB75BD" w:rsidRDefault="006612E7" w:rsidP="006612E7">
      <w:pPr>
        <w:pStyle w:val="Equationlegend"/>
        <w:rPr>
          <w:lang w:val="en-GB"/>
        </w:rPr>
      </w:pPr>
      <w:r w:rsidRPr="00CB75BD">
        <w:rPr>
          <w:lang w:val="en-GB"/>
        </w:rPr>
        <w:tab/>
      </w:r>
      <w:r w:rsidRPr="00CB75BD">
        <w:rPr>
          <w:i/>
          <w:iCs/>
          <w:lang w:val="en-GB"/>
        </w:rPr>
        <w:t>FDR</w:t>
      </w:r>
      <w:r w:rsidRPr="00CB75BD">
        <w:rPr>
          <w:lang w:val="en-GB"/>
        </w:rPr>
        <w:t xml:space="preserve"> = </w:t>
      </w:r>
      <w:r w:rsidRPr="00CB75BD">
        <w:rPr>
          <w:lang w:val="en-GB"/>
        </w:rPr>
        <w:tab/>
        <w:t>Frequency Dependent Rejection (dB).</w:t>
      </w:r>
    </w:p>
    <w:p w:rsidR="006612E7" w:rsidRPr="00CB75BD" w:rsidRDefault="006612E7" w:rsidP="006612E7">
      <w:pPr>
        <w:pStyle w:val="Heading3"/>
        <w:rPr>
          <w:lang w:val="en-GB"/>
        </w:rPr>
      </w:pPr>
      <w:r w:rsidRPr="00CB75BD">
        <w:rPr>
          <w:lang w:val="en-GB"/>
        </w:rPr>
        <w:t>6.1.1</w:t>
      </w:r>
      <w:r w:rsidRPr="00CB75BD">
        <w:rPr>
          <w:lang w:val="en-GB"/>
        </w:rPr>
        <w:tab/>
      </w:r>
      <w:r w:rsidRPr="00CB75BD">
        <w:rPr>
          <w:iCs/>
          <w:lang w:val="en-GB"/>
        </w:rPr>
        <w:t>Radar</w:t>
      </w:r>
      <w:r w:rsidRPr="00CB75BD">
        <w:rPr>
          <w:lang w:val="en-GB"/>
        </w:rPr>
        <w:t xml:space="preserve"> sounder to incumbent systems static analysis results</w:t>
      </w:r>
    </w:p>
    <w:p w:rsidR="006612E7" w:rsidRPr="00CB75BD" w:rsidRDefault="006612E7" w:rsidP="006612E7">
      <w:pPr>
        <w:rPr>
          <w:lang w:val="en-GB"/>
        </w:rPr>
      </w:pPr>
      <w:r w:rsidRPr="00CB75BD">
        <w:rPr>
          <w:lang w:val="en-GB"/>
        </w:rPr>
        <w:t xml:space="preserve">System characteristics and the propagation effects (absorption losses) were taken into consideration for this analysis which is based upon the methodology that is described in </w:t>
      </w:r>
      <w:r w:rsidRPr="00CB75BD">
        <w:rPr>
          <w:rFonts w:eastAsiaTheme="minorEastAsia"/>
          <w:lang w:val="en-GB"/>
        </w:rPr>
        <w:t>Recommendation</w:t>
      </w:r>
      <w:r w:rsidRPr="00CB75BD">
        <w:rPr>
          <w:lang w:val="en-GB"/>
        </w:rPr>
        <w:t xml:space="preserve"> ITU</w:t>
      </w:r>
      <w:r w:rsidRPr="00CB75BD">
        <w:rPr>
          <w:lang w:val="en-GB"/>
        </w:rPr>
        <w:noBreakHyphen/>
        <w:t xml:space="preserve">R P.619-1 – Propagation data required for the evaluation of interference between stations in space and those on the surface of the Earth, and </w:t>
      </w:r>
      <w:r w:rsidRPr="00CB75BD">
        <w:rPr>
          <w:rFonts w:eastAsiaTheme="minorEastAsia"/>
          <w:lang w:val="en-GB"/>
        </w:rPr>
        <w:t>Recommendation</w:t>
      </w:r>
      <w:r w:rsidRPr="00CB75BD">
        <w:rPr>
          <w:lang w:val="en-GB"/>
        </w:rPr>
        <w:t xml:space="preserve"> ITU-R RS.1260-1 Annex 2 Methodology for interference assessment and mitigation. A summary of the results of the static analysis can be found in Table 6.</w:t>
      </w:r>
    </w:p>
    <w:p w:rsidR="006612E7" w:rsidRPr="00CB75BD" w:rsidRDefault="006612E7" w:rsidP="006612E7">
      <w:pPr>
        <w:tabs>
          <w:tab w:val="clear" w:pos="794"/>
          <w:tab w:val="clear" w:pos="1191"/>
          <w:tab w:val="clear" w:pos="1588"/>
          <w:tab w:val="clear" w:pos="1985"/>
        </w:tabs>
        <w:overflowPunct/>
        <w:autoSpaceDE/>
        <w:autoSpaceDN/>
        <w:adjustRightInd/>
        <w:spacing w:before="0"/>
        <w:jc w:val="left"/>
        <w:textAlignment w:val="auto"/>
        <w:rPr>
          <w:lang w:val="en-GB"/>
        </w:rPr>
        <w:sectPr w:rsidR="006612E7" w:rsidRPr="00CB75BD" w:rsidSect="00AD0307">
          <w:headerReference w:type="even" r:id="rId20"/>
          <w:headerReference w:type="default" r:id="rId21"/>
          <w:pgSz w:w="11907" w:h="16834" w:code="9"/>
          <w:pgMar w:top="1418" w:right="1134" w:bottom="1134" w:left="1134" w:header="720" w:footer="482" w:gutter="0"/>
          <w:pgNumType w:start="1"/>
          <w:cols w:space="720"/>
        </w:sectPr>
      </w:pPr>
    </w:p>
    <w:p w:rsidR="006612E7" w:rsidRPr="00CB75BD" w:rsidRDefault="006612E7" w:rsidP="003614F5">
      <w:pPr>
        <w:pStyle w:val="TableNo"/>
        <w:spacing w:before="0"/>
        <w:rPr>
          <w:lang w:val="en-GB"/>
        </w:rPr>
      </w:pPr>
      <w:r w:rsidRPr="00CB75BD">
        <w:rPr>
          <w:lang w:val="en-GB"/>
        </w:rPr>
        <w:lastRenderedPageBreak/>
        <w:t>TABLE 6</w:t>
      </w:r>
    </w:p>
    <w:p w:rsidR="006612E7" w:rsidRPr="00CB75BD" w:rsidRDefault="006612E7" w:rsidP="00DF214D">
      <w:pPr>
        <w:pStyle w:val="Tabletitle"/>
        <w:rPr>
          <w:lang w:val="en-GB"/>
        </w:rPr>
      </w:pPr>
      <w:r w:rsidRPr="00CB75BD">
        <w:rPr>
          <w:lang w:val="en-GB"/>
        </w:rPr>
        <w:t>Results of static analysis</w:t>
      </w:r>
    </w:p>
    <w:tbl>
      <w:tblPr>
        <w:tblW w:w="14459" w:type="dxa"/>
        <w:jc w:val="center"/>
        <w:tblLayout w:type="fixed"/>
        <w:tblLook w:val="04A0" w:firstRow="1" w:lastRow="0" w:firstColumn="1" w:lastColumn="0" w:noHBand="0" w:noVBand="1"/>
      </w:tblPr>
      <w:tblGrid>
        <w:gridCol w:w="1828"/>
        <w:gridCol w:w="1322"/>
        <w:gridCol w:w="1009"/>
        <w:gridCol w:w="691"/>
        <w:gridCol w:w="1235"/>
        <w:gridCol w:w="1313"/>
        <w:gridCol w:w="882"/>
        <w:gridCol w:w="691"/>
        <w:gridCol w:w="1304"/>
        <w:gridCol w:w="1307"/>
        <w:gridCol w:w="1460"/>
        <w:gridCol w:w="1417"/>
      </w:tblGrid>
      <w:tr w:rsidR="006612E7" w:rsidRPr="00CB75BD" w:rsidTr="003614F5">
        <w:trPr>
          <w:cantSplit/>
          <w:jc w:val="center"/>
        </w:trPr>
        <w:tc>
          <w:tcPr>
            <w:tcW w:w="632"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r w:rsidRPr="00CB75BD">
              <w:rPr>
                <w:sz w:val="18"/>
                <w:szCs w:val="18"/>
                <w:lang w:val="en-GB"/>
              </w:rPr>
              <w:t>MidLatitude</w:t>
            </w:r>
          </w:p>
        </w:tc>
        <w:tc>
          <w:tcPr>
            <w:tcW w:w="457"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349"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239"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427"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454"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305"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239"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451"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452"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505"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c>
          <w:tcPr>
            <w:tcW w:w="490" w:type="pct"/>
            <w:tcBorders>
              <w:top w:val="nil"/>
              <w:left w:val="nil"/>
              <w:bottom w:val="nil"/>
              <w:right w:val="nil"/>
            </w:tcBorders>
            <w:shd w:val="clear" w:color="auto" w:fill="auto"/>
            <w:noWrap/>
            <w:vAlign w:val="bottom"/>
            <w:hideMark/>
          </w:tcPr>
          <w:p w:rsidR="006612E7" w:rsidRPr="00CB75BD" w:rsidRDefault="006612E7" w:rsidP="00840349">
            <w:pPr>
              <w:pStyle w:val="Tablehead"/>
              <w:rPr>
                <w:sz w:val="18"/>
                <w:szCs w:val="18"/>
                <w:lang w:val="en-GB"/>
              </w:rPr>
            </w:pPr>
          </w:p>
        </w:tc>
      </w:tr>
      <w:tr w:rsidR="006612E7" w:rsidRPr="00CB75BD" w:rsidTr="003614F5">
        <w:trPr>
          <w:cantSplit/>
          <w:jc w:val="center"/>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Service</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Sounder transmitter power </w:t>
            </w:r>
            <w:r w:rsidRPr="00CB75BD">
              <w:rPr>
                <w:sz w:val="18"/>
                <w:szCs w:val="18"/>
                <w:lang w:val="en-GB"/>
              </w:rPr>
              <w:br/>
              <w:t>(dBm)</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Sounder antenna gain</w:t>
            </w:r>
            <w:r w:rsidRPr="00CB75BD">
              <w:rPr>
                <w:sz w:val="18"/>
                <w:szCs w:val="18"/>
                <w:lang w:val="en-GB"/>
              </w:rPr>
              <w:br/>
              <w:t>(dBi)</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Path loss</w:t>
            </w:r>
            <w:r w:rsidRPr="00CB75BD">
              <w:rPr>
                <w:sz w:val="18"/>
                <w:szCs w:val="18"/>
                <w:lang w:val="en-GB"/>
              </w:rPr>
              <w:br/>
              <w:t>(dB)</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7235DA">
            <w:pPr>
              <w:pStyle w:val="Tablehead"/>
              <w:ind w:left="-57" w:right="-57"/>
              <w:rPr>
                <w:sz w:val="18"/>
                <w:szCs w:val="18"/>
                <w:lang w:val="en-GB"/>
              </w:rPr>
            </w:pPr>
            <w:r w:rsidRPr="00CB75BD">
              <w:rPr>
                <w:sz w:val="18"/>
                <w:szCs w:val="18"/>
                <w:lang w:val="en-GB"/>
              </w:rPr>
              <w:t>Loss due to absorption</w:t>
            </w:r>
            <w:r w:rsidRPr="00CB75BD">
              <w:rPr>
                <w:sz w:val="18"/>
                <w:szCs w:val="18"/>
                <w:lang w:val="en-GB"/>
              </w:rPr>
              <w:br/>
              <w:t>(mid-latitude)</w:t>
            </w:r>
            <w:r w:rsidRPr="00CB75BD">
              <w:rPr>
                <w:sz w:val="18"/>
                <w:szCs w:val="18"/>
                <w:lang w:val="en-GB"/>
              </w:rPr>
              <w:br/>
              <w:t>(dB)</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Incumbent receiver antenna gain </w:t>
            </w:r>
            <w:r w:rsidRPr="00CB75BD">
              <w:rPr>
                <w:sz w:val="18"/>
                <w:szCs w:val="18"/>
                <w:lang w:val="en-GB"/>
              </w:rPr>
              <w:br/>
              <w:t>(dBi)</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Other losses</w:t>
            </w:r>
            <w:r w:rsidRPr="00CB75BD">
              <w:rPr>
                <w:sz w:val="18"/>
                <w:szCs w:val="18"/>
                <w:lang w:val="en-GB"/>
              </w:rPr>
              <w:br/>
              <w:t>(dB)</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FDR </w:t>
            </w:r>
            <w:r w:rsidRPr="00CB75BD">
              <w:rPr>
                <w:sz w:val="18"/>
                <w:szCs w:val="18"/>
                <w:lang w:val="en-GB"/>
              </w:rPr>
              <w:br/>
              <w:t>(dB)</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Power at incumbent receiver </w:t>
            </w:r>
            <w:r w:rsidRPr="00CB75BD">
              <w:rPr>
                <w:sz w:val="18"/>
                <w:szCs w:val="18"/>
                <w:lang w:val="en-GB"/>
              </w:rPr>
              <w:br/>
              <w:t>(dBm)</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Power at incumbent receiver</w:t>
            </w:r>
            <w:r w:rsidRPr="00CB75BD">
              <w:rPr>
                <w:sz w:val="18"/>
                <w:szCs w:val="18"/>
                <w:lang w:val="en-GB"/>
              </w:rPr>
              <w:br/>
              <w:t>(dBW)</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7235DA">
            <w:pPr>
              <w:pStyle w:val="Tablehead"/>
              <w:ind w:left="-57" w:right="-57"/>
              <w:rPr>
                <w:sz w:val="18"/>
                <w:szCs w:val="18"/>
                <w:lang w:val="en-GB"/>
              </w:rPr>
            </w:pPr>
            <w:r w:rsidRPr="00CB75BD">
              <w:rPr>
                <w:sz w:val="18"/>
                <w:szCs w:val="18"/>
                <w:lang w:val="en-GB"/>
              </w:rPr>
              <w:t>Maximum incumbent interference level</w:t>
            </w:r>
            <w:r w:rsidRPr="00CB75BD">
              <w:rPr>
                <w:sz w:val="18"/>
                <w:szCs w:val="18"/>
                <w:lang w:val="en-GB"/>
              </w:rPr>
              <w:br/>
              <w:t>(dBW)</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7235DA">
            <w:pPr>
              <w:pStyle w:val="Tablehead"/>
              <w:ind w:left="-57" w:right="-57"/>
              <w:rPr>
                <w:sz w:val="18"/>
                <w:szCs w:val="18"/>
                <w:lang w:val="en-GB"/>
              </w:rPr>
            </w:pPr>
            <w:r w:rsidRPr="00CB75BD">
              <w:rPr>
                <w:sz w:val="18"/>
                <w:szCs w:val="18"/>
                <w:lang w:val="en-GB"/>
              </w:rPr>
              <w:t>Interference exceedance level</w:t>
            </w:r>
            <w:r w:rsidRPr="00CB75BD">
              <w:rPr>
                <w:sz w:val="18"/>
                <w:szCs w:val="18"/>
                <w:lang w:val="en-GB"/>
              </w:rPr>
              <w:br/>
              <w:t>(dB)</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Fixed</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2.3</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47</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−109.72</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−139.72</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−141.40</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1.68</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Mobile</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2.3</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54</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−116.76</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−146.76</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−148.92</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2.16</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Broadcasting</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2.3</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59</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−121.76</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−151.76</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−151.42</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−0.34</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Space Research</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2.3</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78</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−140.84</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−170.84</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−156.96</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−13.88</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Radiolocation</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2.3</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36</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−98.90</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−128.90</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−135.99</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7.09</w:t>
            </w:r>
          </w:p>
        </w:tc>
      </w:tr>
      <w:tr w:rsidR="006612E7" w:rsidRPr="00CB75BD" w:rsidTr="003614F5">
        <w:trPr>
          <w:cantSplit/>
          <w:jc w:val="center"/>
        </w:trPr>
        <w:tc>
          <w:tcPr>
            <w:tcW w:w="632" w:type="pct"/>
            <w:tcBorders>
              <w:top w:val="nil"/>
              <w:left w:val="nil"/>
              <w:bottom w:val="nil"/>
              <w:right w:val="nil"/>
            </w:tcBorders>
            <w:shd w:val="clear" w:color="auto" w:fill="auto"/>
            <w:noWrap/>
            <w:vAlign w:val="bottom"/>
            <w:hideMark/>
          </w:tcPr>
          <w:p w:rsidR="006612E7" w:rsidRPr="00CB75BD" w:rsidRDefault="006612E7" w:rsidP="003614F5">
            <w:pPr>
              <w:pStyle w:val="Tabletext"/>
              <w:keepNext/>
              <w:keepLines/>
              <w:jc w:val="center"/>
              <w:rPr>
                <w:b/>
                <w:sz w:val="18"/>
                <w:szCs w:val="18"/>
                <w:lang w:val="en-GB"/>
              </w:rPr>
            </w:pPr>
            <w:r w:rsidRPr="00CB75BD">
              <w:rPr>
                <w:b/>
                <w:sz w:val="18"/>
                <w:szCs w:val="18"/>
                <w:lang w:val="en-GB"/>
              </w:rPr>
              <w:t>Polar</w:t>
            </w:r>
          </w:p>
        </w:tc>
        <w:tc>
          <w:tcPr>
            <w:tcW w:w="457"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349"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239"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427"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454"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305"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239"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451"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452"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505"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c>
          <w:tcPr>
            <w:tcW w:w="490" w:type="pct"/>
            <w:tcBorders>
              <w:top w:val="nil"/>
              <w:left w:val="nil"/>
              <w:bottom w:val="nil"/>
              <w:right w:val="nil"/>
            </w:tcBorders>
            <w:shd w:val="clear" w:color="auto" w:fill="auto"/>
            <w:noWrap/>
            <w:vAlign w:val="bottom"/>
            <w:hideMark/>
          </w:tcPr>
          <w:p w:rsidR="006612E7" w:rsidRPr="00CB75BD" w:rsidRDefault="006612E7" w:rsidP="00840349">
            <w:pPr>
              <w:pStyle w:val="Tabletext"/>
              <w:keepNext/>
              <w:keepLines/>
              <w:rPr>
                <w:sz w:val="18"/>
                <w:szCs w:val="18"/>
                <w:lang w:val="en-GB"/>
              </w:rPr>
            </w:pPr>
          </w:p>
        </w:tc>
      </w:tr>
      <w:tr w:rsidR="006612E7" w:rsidRPr="00CB75BD" w:rsidTr="003614F5">
        <w:trPr>
          <w:cantSplit/>
          <w:jc w:val="center"/>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Service</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Sounder transmitter power</w:t>
            </w:r>
            <w:r w:rsidRPr="00CB75BD">
              <w:rPr>
                <w:sz w:val="18"/>
                <w:szCs w:val="18"/>
                <w:lang w:val="en-GB"/>
              </w:rPr>
              <w:br/>
              <w:t>(dBm)</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Sounder antenna gain</w:t>
            </w:r>
            <w:r w:rsidRPr="00CB75BD">
              <w:rPr>
                <w:sz w:val="18"/>
                <w:szCs w:val="18"/>
                <w:lang w:val="en-GB"/>
              </w:rPr>
              <w:br/>
              <w:t>(dBi)</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Path loss</w:t>
            </w:r>
            <w:r w:rsidRPr="00CB75BD">
              <w:rPr>
                <w:sz w:val="18"/>
                <w:szCs w:val="18"/>
                <w:lang w:val="en-GB"/>
              </w:rPr>
              <w:br/>
              <w:t>(dB)</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Loss due to absorption</w:t>
            </w:r>
            <w:r w:rsidRPr="00CB75BD">
              <w:rPr>
                <w:sz w:val="18"/>
                <w:szCs w:val="18"/>
                <w:lang w:val="en-GB"/>
              </w:rPr>
              <w:br/>
              <w:t>(Polar)</w:t>
            </w:r>
            <w:r w:rsidRPr="00CB75BD">
              <w:rPr>
                <w:sz w:val="18"/>
                <w:szCs w:val="18"/>
                <w:lang w:val="en-GB"/>
              </w:rPr>
              <w:br/>
              <w:t>(dB)</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Incumbent receiver antenna gain </w:t>
            </w:r>
            <w:r w:rsidRPr="00CB75BD">
              <w:rPr>
                <w:sz w:val="18"/>
                <w:szCs w:val="18"/>
                <w:lang w:val="en-GB"/>
              </w:rPr>
              <w:br/>
              <w:t>(dBi)</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Other losses</w:t>
            </w:r>
            <w:r w:rsidR="003614F5" w:rsidRPr="00CB75BD">
              <w:rPr>
                <w:sz w:val="18"/>
                <w:szCs w:val="18"/>
                <w:lang w:val="en-GB"/>
              </w:rPr>
              <w:br/>
            </w:r>
            <w:r w:rsidRPr="00CB75BD">
              <w:rPr>
                <w:sz w:val="18"/>
                <w:szCs w:val="18"/>
                <w:lang w:val="en-GB"/>
              </w:rPr>
              <w:t>(dB)</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FDR</w:t>
            </w:r>
            <w:r w:rsidR="003614F5" w:rsidRPr="00CB75BD">
              <w:rPr>
                <w:sz w:val="18"/>
                <w:szCs w:val="18"/>
                <w:lang w:val="en-GB"/>
              </w:rPr>
              <w:br/>
            </w:r>
            <w:r w:rsidRPr="00CB75BD">
              <w:rPr>
                <w:sz w:val="18"/>
                <w:szCs w:val="18"/>
                <w:lang w:val="en-GB"/>
              </w:rPr>
              <w:t>(dB)</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Power at incumbent receiver </w:t>
            </w:r>
            <w:r w:rsidR="003614F5" w:rsidRPr="00CB75BD">
              <w:rPr>
                <w:sz w:val="18"/>
                <w:szCs w:val="18"/>
                <w:lang w:val="en-GB"/>
              </w:rPr>
              <w:br/>
            </w:r>
            <w:r w:rsidRPr="00CB75BD">
              <w:rPr>
                <w:sz w:val="18"/>
                <w:szCs w:val="18"/>
                <w:lang w:val="en-GB"/>
              </w:rPr>
              <w:t>(dBm)</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Power at incumbent receiver </w:t>
            </w:r>
            <w:r w:rsidR="003614F5" w:rsidRPr="00CB75BD">
              <w:rPr>
                <w:sz w:val="18"/>
                <w:szCs w:val="18"/>
                <w:lang w:val="en-GB"/>
              </w:rPr>
              <w:br/>
            </w:r>
            <w:r w:rsidRPr="00CB75BD">
              <w:rPr>
                <w:sz w:val="18"/>
                <w:szCs w:val="18"/>
                <w:lang w:val="en-GB"/>
              </w:rPr>
              <w:t>(dBW)</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7235DA">
            <w:pPr>
              <w:pStyle w:val="Tablehead"/>
              <w:ind w:left="-57" w:right="-57"/>
              <w:rPr>
                <w:sz w:val="18"/>
                <w:szCs w:val="18"/>
                <w:lang w:val="en-GB"/>
              </w:rPr>
            </w:pPr>
            <w:r w:rsidRPr="00CB75BD">
              <w:rPr>
                <w:sz w:val="18"/>
                <w:szCs w:val="18"/>
                <w:lang w:val="en-GB"/>
              </w:rPr>
              <w:t>Maximum incumbent interference level</w:t>
            </w:r>
            <w:r w:rsidRPr="00CB75BD">
              <w:rPr>
                <w:sz w:val="18"/>
                <w:szCs w:val="18"/>
                <w:lang w:val="en-GB"/>
              </w:rPr>
              <w:br/>
              <w:t>(dBW)</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7235DA">
            <w:pPr>
              <w:pStyle w:val="Tablehead"/>
              <w:ind w:left="-57" w:right="-57"/>
              <w:rPr>
                <w:sz w:val="18"/>
                <w:szCs w:val="18"/>
                <w:lang w:val="en-GB"/>
              </w:rPr>
            </w:pPr>
            <w:r w:rsidRPr="00CB75BD">
              <w:rPr>
                <w:sz w:val="18"/>
                <w:szCs w:val="18"/>
                <w:lang w:val="en-GB"/>
              </w:rPr>
              <w:t>Interference exceedance level</w:t>
            </w:r>
            <w:r w:rsidRPr="00CB75BD">
              <w:rPr>
                <w:sz w:val="18"/>
                <w:szCs w:val="18"/>
                <w:lang w:val="en-GB"/>
              </w:rPr>
              <w:br/>
              <w:t>(dB)</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Fixed</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9.8</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47</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−117.27</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−147.27</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−141.40</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−5.87</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Mobile</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9.8</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54</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−124.31</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−154.31</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−148.92</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−5.39</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Broadcasting</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9.8</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59</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−129.31</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−159.31</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−151.42</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−7.89</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Space Research</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9.8</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78</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−148.39</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−178.39</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−156.96</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−21.43</w:t>
            </w:r>
          </w:p>
        </w:tc>
      </w:tr>
      <w:tr w:rsidR="006612E7" w:rsidRPr="00CB75BD" w:rsidTr="003614F5">
        <w:trPr>
          <w:cantSplit/>
          <w:trHeight w:val="56"/>
          <w:jc w:val="center"/>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Radiolocation</w:t>
            </w:r>
          </w:p>
        </w:tc>
        <w:tc>
          <w:tcPr>
            <w:tcW w:w="457"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9.8</w:t>
            </w:r>
          </w:p>
        </w:tc>
        <w:tc>
          <w:tcPr>
            <w:tcW w:w="454"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36</w:t>
            </w:r>
          </w:p>
        </w:tc>
        <w:tc>
          <w:tcPr>
            <w:tcW w:w="451"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−106.45</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−136.45</w:t>
            </w:r>
          </w:p>
        </w:tc>
        <w:tc>
          <w:tcPr>
            <w:tcW w:w="505"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−135.99</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−0.46</w:t>
            </w:r>
          </w:p>
        </w:tc>
      </w:tr>
      <w:tr w:rsidR="006612E7" w:rsidRPr="00CB75BD" w:rsidTr="003614F5">
        <w:trPr>
          <w:cantSplit/>
          <w:jc w:val="center"/>
        </w:trPr>
        <w:tc>
          <w:tcPr>
            <w:tcW w:w="632"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r w:rsidRPr="00CB75BD">
              <w:rPr>
                <w:sz w:val="18"/>
                <w:szCs w:val="18"/>
                <w:lang w:val="en-GB"/>
              </w:rPr>
              <w:t>Auroral+Polar</w:t>
            </w:r>
          </w:p>
        </w:tc>
        <w:tc>
          <w:tcPr>
            <w:tcW w:w="457"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349"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239"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427"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454"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305"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239"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451"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452"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505"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c>
          <w:tcPr>
            <w:tcW w:w="490" w:type="pct"/>
            <w:tcBorders>
              <w:top w:val="nil"/>
              <w:left w:val="nil"/>
              <w:bottom w:val="nil"/>
              <w:right w:val="nil"/>
            </w:tcBorders>
            <w:shd w:val="clear" w:color="auto" w:fill="auto"/>
            <w:noWrap/>
            <w:vAlign w:val="bottom"/>
            <w:hideMark/>
          </w:tcPr>
          <w:p w:rsidR="006612E7" w:rsidRPr="00CB75BD" w:rsidRDefault="006612E7" w:rsidP="003614F5">
            <w:pPr>
              <w:pStyle w:val="Tablehead"/>
              <w:spacing w:before="40" w:after="40"/>
              <w:rPr>
                <w:sz w:val="18"/>
                <w:szCs w:val="18"/>
                <w:lang w:val="en-GB"/>
              </w:rPr>
            </w:pPr>
          </w:p>
        </w:tc>
      </w:tr>
      <w:tr w:rsidR="006612E7" w:rsidRPr="00CB75BD" w:rsidTr="003614F5">
        <w:trPr>
          <w:cantSplit/>
          <w:jc w:val="center"/>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Service</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Sounder transmitter power</w:t>
            </w:r>
            <w:r w:rsidRPr="00CB75BD">
              <w:rPr>
                <w:sz w:val="18"/>
                <w:szCs w:val="18"/>
                <w:lang w:val="en-GB"/>
              </w:rPr>
              <w:br/>
              <w:t>(dBm)</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Sounder antenna gain</w:t>
            </w:r>
            <w:r w:rsidRPr="00CB75BD">
              <w:rPr>
                <w:sz w:val="18"/>
                <w:szCs w:val="18"/>
                <w:lang w:val="en-GB"/>
              </w:rPr>
              <w:br/>
              <w:t>(dBi)</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Path loss </w:t>
            </w:r>
            <w:r w:rsidR="003614F5" w:rsidRPr="00CB75BD">
              <w:rPr>
                <w:sz w:val="18"/>
                <w:szCs w:val="18"/>
                <w:lang w:val="en-GB"/>
              </w:rPr>
              <w:br/>
            </w:r>
            <w:r w:rsidRPr="00CB75BD">
              <w:rPr>
                <w:sz w:val="18"/>
                <w:szCs w:val="18"/>
                <w:lang w:val="en-GB"/>
              </w:rPr>
              <w:t>(dB)</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Loss due to absorption</w:t>
            </w:r>
            <w:r w:rsidRPr="00CB75BD">
              <w:rPr>
                <w:sz w:val="18"/>
                <w:szCs w:val="18"/>
                <w:lang w:val="en-GB"/>
              </w:rPr>
              <w:br/>
              <w:t>(</w:t>
            </w:r>
            <w:r w:rsidR="00F06766" w:rsidRPr="00CB75BD">
              <w:rPr>
                <w:sz w:val="18"/>
                <w:szCs w:val="18"/>
                <w:lang w:val="en-GB"/>
              </w:rPr>
              <w:t>Polar</w:t>
            </w:r>
            <w:r w:rsidRPr="00CB75BD">
              <w:rPr>
                <w:sz w:val="18"/>
                <w:szCs w:val="18"/>
                <w:lang w:val="en-GB"/>
              </w:rPr>
              <w:t>)</w:t>
            </w:r>
            <w:r w:rsidRPr="00CB75BD">
              <w:rPr>
                <w:sz w:val="18"/>
                <w:szCs w:val="18"/>
                <w:lang w:val="en-GB"/>
              </w:rPr>
              <w:br/>
              <w:t>(dB)</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Incumbent receiver antenna gain </w:t>
            </w:r>
            <w:r w:rsidRPr="00CB75BD">
              <w:rPr>
                <w:sz w:val="18"/>
                <w:szCs w:val="18"/>
                <w:lang w:val="en-GB"/>
              </w:rPr>
              <w:br/>
              <w:t>(dBi)</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Other losses</w:t>
            </w:r>
            <w:r w:rsidR="003614F5" w:rsidRPr="00CB75BD">
              <w:rPr>
                <w:sz w:val="18"/>
                <w:szCs w:val="18"/>
                <w:lang w:val="en-GB"/>
              </w:rPr>
              <w:br/>
            </w:r>
            <w:r w:rsidRPr="00CB75BD">
              <w:rPr>
                <w:sz w:val="18"/>
                <w:szCs w:val="18"/>
                <w:lang w:val="en-GB"/>
              </w:rPr>
              <w:t>(dB)</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FDR</w:t>
            </w:r>
            <w:r w:rsidR="003614F5" w:rsidRPr="00CB75BD">
              <w:rPr>
                <w:sz w:val="18"/>
                <w:szCs w:val="18"/>
                <w:lang w:val="en-GB"/>
              </w:rPr>
              <w:br/>
            </w:r>
            <w:r w:rsidRPr="00CB75BD">
              <w:rPr>
                <w:sz w:val="18"/>
                <w:szCs w:val="18"/>
                <w:lang w:val="en-GB"/>
              </w:rPr>
              <w:t>(dB)</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Power at incumbent receiver </w:t>
            </w:r>
            <w:r w:rsidR="003614F5" w:rsidRPr="00CB75BD">
              <w:rPr>
                <w:sz w:val="18"/>
                <w:szCs w:val="18"/>
                <w:lang w:val="en-GB"/>
              </w:rPr>
              <w:br/>
            </w:r>
            <w:r w:rsidRPr="00CB75BD">
              <w:rPr>
                <w:sz w:val="18"/>
                <w:szCs w:val="18"/>
                <w:lang w:val="en-GB"/>
              </w:rPr>
              <w:t>(dBm)</w:t>
            </w:r>
          </w:p>
        </w:tc>
        <w:tc>
          <w:tcPr>
            <w:tcW w:w="452"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3614F5">
            <w:pPr>
              <w:pStyle w:val="Tablehead"/>
              <w:rPr>
                <w:sz w:val="18"/>
                <w:szCs w:val="18"/>
                <w:lang w:val="en-GB"/>
              </w:rPr>
            </w:pPr>
            <w:r w:rsidRPr="00CB75BD">
              <w:rPr>
                <w:sz w:val="18"/>
                <w:szCs w:val="18"/>
                <w:lang w:val="en-GB"/>
              </w:rPr>
              <w:t xml:space="preserve">Power at incumbent receiver </w:t>
            </w:r>
            <w:r w:rsidR="003614F5" w:rsidRPr="00CB75BD">
              <w:rPr>
                <w:sz w:val="18"/>
                <w:szCs w:val="18"/>
                <w:lang w:val="en-GB"/>
              </w:rPr>
              <w:br/>
            </w:r>
            <w:r w:rsidRPr="00CB75BD">
              <w:rPr>
                <w:sz w:val="18"/>
                <w:szCs w:val="18"/>
                <w:lang w:val="en-GB"/>
              </w:rPr>
              <w:t>(dBW)</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7235DA">
            <w:pPr>
              <w:pStyle w:val="Tablehead"/>
              <w:ind w:left="-57" w:right="-57"/>
              <w:rPr>
                <w:sz w:val="18"/>
                <w:szCs w:val="18"/>
                <w:lang w:val="en-GB"/>
              </w:rPr>
            </w:pPr>
            <w:r w:rsidRPr="00CB75BD">
              <w:rPr>
                <w:sz w:val="18"/>
                <w:szCs w:val="18"/>
                <w:lang w:val="en-GB"/>
              </w:rPr>
              <w:t>Maximum incumbent interference level</w:t>
            </w:r>
            <w:r w:rsidRPr="00CB75BD">
              <w:rPr>
                <w:sz w:val="18"/>
                <w:szCs w:val="18"/>
                <w:lang w:val="en-GB"/>
              </w:rPr>
              <w:br/>
              <w:t>(dBW)</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6612E7" w:rsidRPr="00CB75BD" w:rsidRDefault="006612E7" w:rsidP="007235DA">
            <w:pPr>
              <w:pStyle w:val="Tablehead"/>
              <w:ind w:left="-57" w:right="-57"/>
              <w:rPr>
                <w:sz w:val="18"/>
                <w:szCs w:val="18"/>
                <w:lang w:val="en-GB"/>
              </w:rPr>
            </w:pPr>
            <w:r w:rsidRPr="00CB75BD">
              <w:rPr>
                <w:sz w:val="18"/>
                <w:szCs w:val="18"/>
                <w:lang w:val="en-GB"/>
              </w:rPr>
              <w:t>Interference exceedance level</w:t>
            </w:r>
            <w:r w:rsidRPr="00CB75BD">
              <w:rPr>
                <w:sz w:val="18"/>
                <w:szCs w:val="18"/>
                <w:lang w:val="en-GB"/>
              </w:rPr>
              <w:br/>
              <w:t>(dB)</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Fixed</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12.29</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47</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−119.73</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−149.73</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−141.40</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−8.33</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Mobile</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12.29</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54</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−126.77</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−156.77</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−148.92</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−7.85</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Broadcasting</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12.29</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59</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−131.77</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−161.77</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−151.42</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−10.35</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Space Research</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12.29</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78</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−150.85</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−180.85</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−156.96</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−23.89</w:t>
            </w:r>
          </w:p>
        </w:tc>
      </w:tr>
      <w:tr w:rsidR="006612E7" w:rsidRPr="00CB75BD" w:rsidTr="003614F5">
        <w:trPr>
          <w:cantSplit/>
          <w:jc w:val="center"/>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rPr>
                <w:sz w:val="18"/>
                <w:szCs w:val="18"/>
                <w:lang w:val="en-GB"/>
              </w:rPr>
            </w:pPr>
            <w:r w:rsidRPr="00CB75BD">
              <w:rPr>
                <w:sz w:val="18"/>
                <w:szCs w:val="18"/>
                <w:lang w:val="en-GB"/>
              </w:rPr>
              <w:t>Radiolocation</w:t>
            </w:r>
          </w:p>
        </w:tc>
        <w:tc>
          <w:tcPr>
            <w:tcW w:w="45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50</w:t>
            </w:r>
          </w:p>
        </w:tc>
        <w:tc>
          <w:tcPr>
            <w:tcW w:w="34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118</w:t>
            </w:r>
          </w:p>
        </w:tc>
        <w:tc>
          <w:tcPr>
            <w:tcW w:w="427"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12.29</w:t>
            </w:r>
          </w:p>
        </w:tc>
        <w:tc>
          <w:tcPr>
            <w:tcW w:w="454"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0</w:t>
            </w:r>
          </w:p>
        </w:tc>
        <w:tc>
          <w:tcPr>
            <w:tcW w:w="3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w:t>
            </w:r>
          </w:p>
        </w:tc>
        <w:tc>
          <w:tcPr>
            <w:tcW w:w="239"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36</w:t>
            </w:r>
          </w:p>
        </w:tc>
        <w:tc>
          <w:tcPr>
            <w:tcW w:w="451"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−108.91</w:t>
            </w:r>
          </w:p>
        </w:tc>
        <w:tc>
          <w:tcPr>
            <w:tcW w:w="452"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−138.91</w:t>
            </w:r>
          </w:p>
        </w:tc>
        <w:tc>
          <w:tcPr>
            <w:tcW w:w="505"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−135.99</w:t>
            </w:r>
          </w:p>
        </w:tc>
        <w:tc>
          <w:tcPr>
            <w:tcW w:w="490" w:type="pct"/>
            <w:tcBorders>
              <w:top w:val="nil"/>
              <w:left w:val="nil"/>
              <w:bottom w:val="single" w:sz="4" w:space="0" w:color="auto"/>
              <w:right w:val="single" w:sz="4" w:space="0" w:color="auto"/>
            </w:tcBorders>
            <w:shd w:val="clear" w:color="auto" w:fill="auto"/>
            <w:noWrap/>
            <w:vAlign w:val="bottom"/>
            <w:hideMark/>
          </w:tcPr>
          <w:p w:rsidR="006612E7" w:rsidRPr="00CB75BD" w:rsidRDefault="006612E7" w:rsidP="003614F5">
            <w:pPr>
              <w:pStyle w:val="Tabletext"/>
              <w:spacing w:before="20" w:after="20"/>
              <w:jc w:val="center"/>
              <w:rPr>
                <w:sz w:val="18"/>
                <w:szCs w:val="18"/>
                <w:lang w:val="en-GB"/>
              </w:rPr>
            </w:pPr>
            <w:r w:rsidRPr="00CB75BD">
              <w:rPr>
                <w:sz w:val="18"/>
                <w:szCs w:val="18"/>
                <w:lang w:val="en-GB"/>
              </w:rPr>
              <w:t>−2.92</w:t>
            </w:r>
          </w:p>
        </w:tc>
      </w:tr>
    </w:tbl>
    <w:p w:rsidR="006612E7" w:rsidRPr="00CB75BD" w:rsidRDefault="006612E7" w:rsidP="006612E7">
      <w:pPr>
        <w:rPr>
          <w:lang w:val="en-GB"/>
        </w:rPr>
      </w:pPr>
    </w:p>
    <w:p w:rsidR="006612E7" w:rsidRPr="00CB75BD" w:rsidRDefault="006612E7" w:rsidP="006612E7">
      <w:pPr>
        <w:tabs>
          <w:tab w:val="clear" w:pos="794"/>
          <w:tab w:val="clear" w:pos="1191"/>
          <w:tab w:val="clear" w:pos="1588"/>
          <w:tab w:val="clear" w:pos="1985"/>
        </w:tabs>
        <w:overflowPunct/>
        <w:autoSpaceDE/>
        <w:autoSpaceDN/>
        <w:adjustRightInd/>
        <w:spacing w:before="0"/>
        <w:jc w:val="left"/>
        <w:textAlignment w:val="auto"/>
        <w:rPr>
          <w:lang w:val="en-GB"/>
        </w:rPr>
        <w:sectPr w:rsidR="006612E7" w:rsidRPr="00CB75BD" w:rsidSect="003614F5">
          <w:headerReference w:type="default" r:id="rId22"/>
          <w:pgSz w:w="16834" w:h="11907" w:orient="landscape" w:code="9"/>
          <w:pgMar w:top="1418" w:right="1134" w:bottom="1134" w:left="1134" w:header="720" w:footer="482" w:gutter="0"/>
          <w:cols w:space="720"/>
        </w:sectPr>
      </w:pPr>
    </w:p>
    <w:p w:rsidR="006612E7" w:rsidRPr="00CB75BD" w:rsidRDefault="006612E7" w:rsidP="00DF214D">
      <w:pPr>
        <w:pStyle w:val="Heading1"/>
        <w:spacing w:before="0"/>
        <w:rPr>
          <w:lang w:val="en-GB"/>
        </w:rPr>
      </w:pPr>
      <w:bookmarkStart w:id="106" w:name="_Toc14851689"/>
      <w:bookmarkStart w:id="107" w:name="_Toc14851779"/>
      <w:bookmarkStart w:id="108" w:name="_Toc14858084"/>
      <w:bookmarkStart w:id="109" w:name="_Toc14858465"/>
      <w:r w:rsidRPr="00CB75BD">
        <w:rPr>
          <w:lang w:val="en-GB"/>
        </w:rPr>
        <w:lastRenderedPageBreak/>
        <w:t>7</w:t>
      </w:r>
      <w:r w:rsidRPr="00CB75BD">
        <w:rPr>
          <w:lang w:val="en-GB"/>
        </w:rPr>
        <w:tab/>
        <w:t>Summary</w:t>
      </w:r>
      <w:bookmarkEnd w:id="106"/>
      <w:bookmarkEnd w:id="107"/>
      <w:bookmarkEnd w:id="108"/>
      <w:bookmarkEnd w:id="109"/>
    </w:p>
    <w:p w:rsidR="006612E7" w:rsidRPr="00CB75BD" w:rsidRDefault="006612E7" w:rsidP="006612E7">
      <w:pPr>
        <w:rPr>
          <w:lang w:val="en-GB"/>
        </w:rPr>
      </w:pPr>
      <w:r w:rsidRPr="00CB75BD">
        <w:rPr>
          <w:lang w:val="en-GB"/>
        </w:rPr>
        <w:t>The results of the static analysis show that the transmissions of proposed sounder in the midlatitude regions are slightly higher than the interference thresholds for the Fixed and Mobile services and, for the Radiolocation service, about 7 dB higher tha</w:t>
      </w:r>
      <w:r w:rsidR="00F06766" w:rsidRPr="00CB75BD">
        <w:rPr>
          <w:lang w:val="en-GB"/>
        </w:rPr>
        <w:t xml:space="preserve">n the interference thresholds. </w:t>
      </w:r>
      <w:r w:rsidRPr="00CB75BD">
        <w:rPr>
          <w:lang w:val="en-GB"/>
        </w:rPr>
        <w:t>For Broadcasting and the Space Research Service, the interferenc</w:t>
      </w:r>
      <w:r w:rsidR="00F06766" w:rsidRPr="00CB75BD">
        <w:rPr>
          <w:lang w:val="en-GB"/>
        </w:rPr>
        <w:t xml:space="preserve">e thresholds are not exceeded. </w:t>
      </w:r>
      <w:r w:rsidRPr="00CB75BD">
        <w:rPr>
          <w:lang w:val="en-GB"/>
        </w:rPr>
        <w:t>In the Polar Regions the interference thresholds for the five services are not exceeded, including times when there is no auroral activity as well as when there is auroral activity. In all three case</w:t>
      </w:r>
      <w:r w:rsidR="008F5F45" w:rsidRPr="00CB75BD">
        <w:rPr>
          <w:lang w:val="en-GB"/>
        </w:rPr>
        <w:t>s (midlatitude, polar and polar </w:t>
      </w:r>
      <w:r w:rsidRPr="00CB75BD">
        <w:rPr>
          <w:lang w:val="en-GB"/>
        </w:rPr>
        <w:t>+ auroral), the two dominating factors are the environmental noise levels in areas where there are assignments in these services, and the impacts of absorption, which is higher in the Polar Regions.</w:t>
      </w:r>
    </w:p>
    <w:p w:rsidR="006612E7" w:rsidRPr="00CB75BD" w:rsidRDefault="006612E7" w:rsidP="006612E7">
      <w:pPr>
        <w:rPr>
          <w:lang w:val="en-GB"/>
        </w:rPr>
      </w:pPr>
      <w:r w:rsidRPr="00CB75BD">
        <w:rPr>
          <w:lang w:val="en-GB"/>
        </w:rPr>
        <w:t>The results of studies indicate that additional more rigorous static and dynamic studies are required to determine if compatibility is feasible between the spaceborne radar sounder and the incumbent fixed, mobile and radiolocation services in the 40-50 MHz frequency range. These studies may, among other factors, include:</w:t>
      </w:r>
    </w:p>
    <w:p w:rsidR="006612E7" w:rsidRPr="00CB75BD" w:rsidRDefault="006612E7" w:rsidP="006612E7">
      <w:pPr>
        <w:pStyle w:val="enumlev1"/>
        <w:rPr>
          <w:lang w:val="en-GB"/>
        </w:rPr>
      </w:pPr>
      <w:r w:rsidRPr="00CB75BD">
        <w:rPr>
          <w:lang w:val="en-GB"/>
        </w:rPr>
        <w:t>–</w:t>
      </w:r>
      <w:r w:rsidRPr="00CB75BD">
        <w:rPr>
          <w:lang w:val="en-GB"/>
        </w:rPr>
        <w:tab/>
      </w:r>
      <w:proofErr w:type="gramStart"/>
      <w:r w:rsidRPr="00CB75BD">
        <w:rPr>
          <w:lang w:val="en-GB"/>
        </w:rPr>
        <w:t>time-of-day</w:t>
      </w:r>
      <w:proofErr w:type="gramEnd"/>
      <w:r w:rsidRPr="00CB75BD">
        <w:rPr>
          <w:lang w:val="en-GB"/>
        </w:rPr>
        <w:t xml:space="preserve"> and location factors which take into account the infrequent operation of the sounder and the limited areas of operation;</w:t>
      </w:r>
    </w:p>
    <w:p w:rsidR="006612E7" w:rsidRPr="00CB75BD" w:rsidRDefault="006612E7" w:rsidP="006612E7">
      <w:pPr>
        <w:pStyle w:val="enumlev1"/>
        <w:rPr>
          <w:lang w:val="en-GB"/>
        </w:rPr>
      </w:pPr>
      <w:r w:rsidRPr="00CB75BD">
        <w:rPr>
          <w:lang w:val="en-GB"/>
        </w:rPr>
        <w:t>–</w:t>
      </w:r>
      <w:r w:rsidRPr="00CB75BD">
        <w:rPr>
          <w:lang w:val="en-GB"/>
        </w:rPr>
        <w:tab/>
      </w:r>
      <w:proofErr w:type="gramStart"/>
      <w:r w:rsidRPr="00CB75BD">
        <w:rPr>
          <w:lang w:val="en-GB"/>
        </w:rPr>
        <w:t>refinement</w:t>
      </w:r>
      <w:proofErr w:type="gramEnd"/>
      <w:r w:rsidRPr="00CB75BD">
        <w:rPr>
          <w:lang w:val="en-GB"/>
        </w:rPr>
        <w:t xml:space="preserve"> of noise levels for areas taking into account the incumbent service assignments in the frequency range;</w:t>
      </w:r>
    </w:p>
    <w:p w:rsidR="006612E7" w:rsidRPr="00CB75BD" w:rsidRDefault="006612E7" w:rsidP="006612E7">
      <w:pPr>
        <w:pStyle w:val="enumlev1"/>
        <w:rPr>
          <w:lang w:val="en-GB"/>
        </w:rPr>
      </w:pPr>
      <w:r w:rsidRPr="00CB75BD">
        <w:rPr>
          <w:lang w:val="en-GB"/>
        </w:rPr>
        <w:t>–</w:t>
      </w:r>
      <w:r w:rsidRPr="00CB75BD">
        <w:rPr>
          <w:lang w:val="en-GB"/>
        </w:rPr>
        <w:tab/>
      </w:r>
      <w:proofErr w:type="gramStart"/>
      <w:r w:rsidRPr="00CB75BD">
        <w:rPr>
          <w:lang w:val="en-GB"/>
        </w:rPr>
        <w:t>solar</w:t>
      </w:r>
      <w:proofErr w:type="gramEnd"/>
      <w:r w:rsidRPr="00CB75BD">
        <w:rPr>
          <w:lang w:val="en-GB"/>
        </w:rPr>
        <w:t xml:space="preserve"> activity fluctuations;</w:t>
      </w:r>
    </w:p>
    <w:p w:rsidR="006612E7" w:rsidRPr="00CB75BD" w:rsidRDefault="006612E7" w:rsidP="006612E7">
      <w:pPr>
        <w:pStyle w:val="enumlev1"/>
        <w:rPr>
          <w:lang w:val="en-GB"/>
        </w:rPr>
      </w:pPr>
      <w:r w:rsidRPr="00CB75BD">
        <w:rPr>
          <w:lang w:val="en-GB"/>
        </w:rPr>
        <w:t>–</w:t>
      </w:r>
      <w:r w:rsidRPr="00CB75BD">
        <w:rPr>
          <w:lang w:val="en-GB"/>
        </w:rPr>
        <w:tab/>
      </w:r>
      <w:proofErr w:type="gramStart"/>
      <w:r w:rsidRPr="00CB75BD">
        <w:rPr>
          <w:lang w:val="en-GB"/>
        </w:rPr>
        <w:t>other</w:t>
      </w:r>
      <w:proofErr w:type="gramEnd"/>
      <w:r w:rsidRPr="00CB75BD">
        <w:rPr>
          <w:lang w:val="en-GB"/>
        </w:rPr>
        <w:t xml:space="preserve"> seasonal effects; and</w:t>
      </w:r>
    </w:p>
    <w:p w:rsidR="006612E7" w:rsidRPr="00CB75BD" w:rsidRDefault="006612E7" w:rsidP="006612E7">
      <w:pPr>
        <w:pStyle w:val="enumlev1"/>
        <w:rPr>
          <w:lang w:val="en-GB"/>
        </w:rPr>
      </w:pPr>
      <w:r w:rsidRPr="00CB75BD">
        <w:rPr>
          <w:lang w:val="en-GB"/>
        </w:rPr>
        <w:t>–</w:t>
      </w:r>
      <w:r w:rsidRPr="00CB75BD">
        <w:rPr>
          <w:lang w:val="en-GB"/>
        </w:rPr>
        <w:tab/>
      </w:r>
      <w:proofErr w:type="gramStart"/>
      <w:r w:rsidRPr="00CB75BD">
        <w:rPr>
          <w:lang w:val="en-GB"/>
        </w:rPr>
        <w:t>directionality</w:t>
      </w:r>
      <w:proofErr w:type="gramEnd"/>
      <w:r w:rsidRPr="00CB75BD">
        <w:rPr>
          <w:lang w:val="en-GB"/>
        </w:rPr>
        <w:t xml:space="preserve"> of the radar sounder signal compared to the incumbent services.</w:t>
      </w:r>
    </w:p>
    <w:p w:rsidR="006612E7" w:rsidRPr="00CB75BD" w:rsidRDefault="006612E7" w:rsidP="006612E7">
      <w:pPr>
        <w:rPr>
          <w:lang w:val="en-GB"/>
        </w:rPr>
      </w:pPr>
      <w:r w:rsidRPr="00CB75BD">
        <w:rPr>
          <w:lang w:val="en-GB"/>
        </w:rPr>
        <w:t>Considering the marginal exceedance of the interference threshold for f</w:t>
      </w:r>
      <w:r w:rsidR="001C5190" w:rsidRPr="00CB75BD">
        <w:rPr>
          <w:lang w:val="en-GB"/>
        </w:rPr>
        <w:t>ixed and mobile services (i.e. </w:t>
      </w:r>
      <w:r w:rsidRPr="00CB75BD">
        <w:rPr>
          <w:lang w:val="en-GB"/>
        </w:rPr>
        <w:t>less than 2.2 dB) these exceedances may be resol</w:t>
      </w:r>
      <w:r w:rsidR="001C5190" w:rsidRPr="00CB75BD">
        <w:rPr>
          <w:lang w:val="en-GB"/>
        </w:rPr>
        <w:t>vable through refined analyses.</w:t>
      </w:r>
      <w:r w:rsidRPr="00CB75BD">
        <w:rPr>
          <w:lang w:val="en-GB"/>
        </w:rPr>
        <w:t xml:space="preserve"> In the case of the radiolocation service where an exceedance of protection levels by about 7 dB was found, if this exceedance cannot resolved by the dynamic analysis, some additional mitigation steps may be n</w:t>
      </w:r>
      <w:r w:rsidR="001C5190" w:rsidRPr="00CB75BD">
        <w:rPr>
          <w:lang w:val="en-GB"/>
        </w:rPr>
        <w:t xml:space="preserve">eeded requiring further study. </w:t>
      </w:r>
      <w:r w:rsidRPr="00CB75BD">
        <w:rPr>
          <w:lang w:val="en-GB"/>
        </w:rPr>
        <w:t>Such follow-on studies should look at these issues and also examine compatibility with services operating in the bands immediately adjacent to the spaceborne radar sounder frequency range of operation.</w:t>
      </w:r>
    </w:p>
    <w:p w:rsidR="006612E7" w:rsidRPr="00CB75BD" w:rsidRDefault="006612E7" w:rsidP="006612E7">
      <w:pPr>
        <w:rPr>
          <w:lang w:val="en-GB"/>
        </w:rPr>
      </w:pPr>
    </w:p>
    <w:p w:rsidR="006612E7" w:rsidRPr="00CB75BD" w:rsidRDefault="006612E7" w:rsidP="006612E7">
      <w:pPr>
        <w:rPr>
          <w:lang w:val="en-GB"/>
        </w:rPr>
      </w:pPr>
    </w:p>
    <w:p w:rsidR="006612E7" w:rsidRPr="00CB75BD" w:rsidRDefault="006612E7" w:rsidP="006612E7">
      <w:pPr>
        <w:pStyle w:val="AnnexNoTitle"/>
        <w:rPr>
          <w:lang w:val="en-GB"/>
        </w:rPr>
      </w:pPr>
      <w:bookmarkStart w:id="110" w:name="_Toc14851690"/>
      <w:bookmarkStart w:id="111" w:name="_Toc14851780"/>
      <w:bookmarkStart w:id="112" w:name="_Toc14858085"/>
      <w:bookmarkStart w:id="113" w:name="_Toc14858466"/>
      <w:r w:rsidRPr="00CB75BD">
        <w:rPr>
          <w:lang w:val="en-GB"/>
        </w:rPr>
        <w:t>Annex 1</w:t>
      </w:r>
      <w:r w:rsidRPr="00CB75BD">
        <w:rPr>
          <w:lang w:val="en-GB"/>
        </w:rPr>
        <w:br/>
      </w:r>
      <w:r w:rsidRPr="00CB75BD">
        <w:rPr>
          <w:lang w:val="en-GB"/>
        </w:rPr>
        <w:br/>
        <w:t>Derivation of propagation factors</w:t>
      </w:r>
      <w:bookmarkEnd w:id="110"/>
      <w:bookmarkEnd w:id="111"/>
      <w:bookmarkEnd w:id="112"/>
      <w:bookmarkEnd w:id="113"/>
    </w:p>
    <w:p w:rsidR="006612E7" w:rsidRPr="00CB75BD" w:rsidRDefault="006612E7" w:rsidP="006612E7">
      <w:pPr>
        <w:pStyle w:val="Heading1"/>
        <w:rPr>
          <w:lang w:val="en-GB"/>
        </w:rPr>
      </w:pPr>
      <w:bookmarkStart w:id="114" w:name="_Toc14851691"/>
      <w:bookmarkStart w:id="115" w:name="_Toc14851781"/>
      <w:bookmarkStart w:id="116" w:name="_Toc14858086"/>
      <w:bookmarkStart w:id="117" w:name="_Toc14858467"/>
      <w:r w:rsidRPr="00CB75BD">
        <w:rPr>
          <w:lang w:val="en-GB"/>
        </w:rPr>
        <w:t>1</w:t>
      </w:r>
      <w:r w:rsidRPr="00CB75BD">
        <w:rPr>
          <w:lang w:val="en-GB"/>
        </w:rPr>
        <w:tab/>
        <w:t>Summary</w:t>
      </w:r>
      <w:bookmarkEnd w:id="114"/>
      <w:bookmarkEnd w:id="115"/>
      <w:bookmarkEnd w:id="116"/>
      <w:bookmarkEnd w:id="117"/>
    </w:p>
    <w:p w:rsidR="006612E7" w:rsidRPr="00CB75BD" w:rsidRDefault="006612E7" w:rsidP="006612E7">
      <w:pPr>
        <w:rPr>
          <w:lang w:val="en-GB"/>
        </w:rPr>
      </w:pPr>
      <w:r w:rsidRPr="00CB75BD">
        <w:rPr>
          <w:lang w:val="en-GB"/>
        </w:rPr>
        <w:t>The propagation parameters reported in Table 5 in the main body in this Report are grouped into two groups: one group having parameters linearly proportional to total electron content along the propagation path, and another group having parameters with dependence on ionospheric refractive index profile. The methods used in calculating the propagation parameters of the first group and the second groups are described in §§ 3 and 4 respectively. Also the variation in angle of arrival is among the parameters within the second group. The profile of such a variation is calculated to prove that ducting cannot take place between the transmissions of the radar sounder and the incumbent services.</w:t>
      </w:r>
    </w:p>
    <w:p w:rsidR="006612E7" w:rsidRPr="00CB75BD" w:rsidRDefault="006612E7" w:rsidP="006612E7">
      <w:pPr>
        <w:pStyle w:val="Heading1"/>
        <w:rPr>
          <w:lang w:val="en-GB"/>
        </w:rPr>
      </w:pPr>
      <w:bookmarkStart w:id="118" w:name="_Toc14851692"/>
      <w:bookmarkStart w:id="119" w:name="_Toc14851782"/>
      <w:bookmarkStart w:id="120" w:name="_Toc14858087"/>
      <w:bookmarkStart w:id="121" w:name="_Toc14858468"/>
      <w:r w:rsidRPr="00CB75BD">
        <w:rPr>
          <w:lang w:val="en-GB"/>
        </w:rPr>
        <w:lastRenderedPageBreak/>
        <w:t>2</w:t>
      </w:r>
      <w:r w:rsidRPr="00CB75BD">
        <w:rPr>
          <w:lang w:val="en-GB"/>
        </w:rPr>
        <w:tab/>
        <w:t>Grouping propagation parameters</w:t>
      </w:r>
      <w:bookmarkEnd w:id="118"/>
      <w:bookmarkEnd w:id="119"/>
      <w:bookmarkEnd w:id="120"/>
      <w:bookmarkEnd w:id="121"/>
    </w:p>
    <w:p w:rsidR="006612E7" w:rsidRPr="00CB75BD" w:rsidRDefault="006612E7" w:rsidP="006612E7">
      <w:pPr>
        <w:rPr>
          <w:lang w:val="en-GB"/>
        </w:rPr>
      </w:pPr>
      <w:r w:rsidRPr="00CB75BD">
        <w:rPr>
          <w:lang w:val="en-GB"/>
        </w:rPr>
        <w:t xml:space="preserve">The ionospheric propagation parameters reported in Table 5 in the main body in this Report can be </w:t>
      </w:r>
      <w:r w:rsidR="00CB75BD" w:rsidRPr="00CB75BD">
        <w:rPr>
          <w:lang w:val="en-GB"/>
        </w:rPr>
        <w:t>gathered</w:t>
      </w:r>
      <w:r w:rsidRPr="00CB75BD">
        <w:rPr>
          <w:lang w:val="en-GB"/>
        </w:rPr>
        <w:t xml:space="preserve"> into two groups:</w:t>
      </w:r>
    </w:p>
    <w:p w:rsidR="006612E7" w:rsidRPr="00CB75BD" w:rsidRDefault="006612E7" w:rsidP="006612E7">
      <w:pPr>
        <w:pStyle w:val="enumlev1"/>
        <w:rPr>
          <w:lang w:val="en-GB"/>
        </w:rPr>
      </w:pPr>
      <w:r w:rsidRPr="00CB75BD">
        <w:rPr>
          <w:lang w:val="en-GB"/>
        </w:rPr>
        <w:t>−</w:t>
      </w:r>
      <w:r w:rsidRPr="00CB75BD">
        <w:rPr>
          <w:lang w:val="en-GB"/>
        </w:rPr>
        <w:tab/>
        <w:t>One group having parameters linearly proportional to total electron content along the propagation path; and</w:t>
      </w:r>
    </w:p>
    <w:p w:rsidR="006612E7" w:rsidRPr="00CB75BD" w:rsidRDefault="006612E7" w:rsidP="006612E7">
      <w:pPr>
        <w:pStyle w:val="enumlev1"/>
        <w:rPr>
          <w:lang w:val="en-GB"/>
        </w:rPr>
      </w:pPr>
      <w:r w:rsidRPr="00CB75BD">
        <w:rPr>
          <w:lang w:val="en-GB"/>
        </w:rPr>
        <w:t>−</w:t>
      </w:r>
      <w:r w:rsidRPr="00CB75BD">
        <w:rPr>
          <w:lang w:val="en-GB"/>
        </w:rPr>
        <w:tab/>
        <w:t>Another group having parameters with dependence on ionospheric refractive index profile.</w:t>
      </w:r>
    </w:p>
    <w:p w:rsidR="006612E7" w:rsidRPr="00CB75BD" w:rsidRDefault="006612E7" w:rsidP="006612E7">
      <w:pPr>
        <w:rPr>
          <w:lang w:val="en-GB"/>
        </w:rPr>
      </w:pPr>
      <w:r w:rsidRPr="00CB75BD">
        <w:rPr>
          <w:lang w:val="en-GB"/>
        </w:rPr>
        <w:t>The ionospheric propagation parameters within the first group are the following:</w:t>
      </w:r>
    </w:p>
    <w:p w:rsidR="006612E7" w:rsidRPr="00CB75BD" w:rsidRDefault="006612E7" w:rsidP="006612E7">
      <w:pPr>
        <w:pStyle w:val="enumlev1"/>
        <w:rPr>
          <w:lang w:val="en-GB"/>
        </w:rPr>
      </w:pPr>
      <w:r w:rsidRPr="00CB75BD">
        <w:rPr>
          <w:lang w:val="en-GB"/>
        </w:rPr>
        <w:t>−</w:t>
      </w:r>
      <w:r w:rsidRPr="00CB75BD">
        <w:rPr>
          <w:lang w:val="en-GB"/>
        </w:rPr>
        <w:tab/>
        <w:t>Faraday rotation;</w:t>
      </w:r>
    </w:p>
    <w:p w:rsidR="006612E7" w:rsidRPr="00CB75BD" w:rsidRDefault="006612E7" w:rsidP="006612E7">
      <w:pPr>
        <w:pStyle w:val="enumlev1"/>
        <w:rPr>
          <w:lang w:val="en-GB"/>
        </w:rPr>
      </w:pPr>
      <w:r w:rsidRPr="00CB75BD">
        <w:rPr>
          <w:lang w:val="en-GB"/>
        </w:rPr>
        <w:t>−</w:t>
      </w:r>
      <w:r w:rsidRPr="00CB75BD">
        <w:rPr>
          <w:lang w:val="en-GB"/>
        </w:rPr>
        <w:tab/>
        <w:t>Group Delay (phase advance);</w:t>
      </w:r>
    </w:p>
    <w:p w:rsidR="006612E7" w:rsidRPr="00CB75BD" w:rsidRDefault="006612E7" w:rsidP="006612E7">
      <w:pPr>
        <w:pStyle w:val="enumlev1"/>
        <w:rPr>
          <w:lang w:val="en-GB"/>
        </w:rPr>
      </w:pPr>
      <w:r w:rsidRPr="00CB75BD">
        <w:rPr>
          <w:lang w:val="en-GB"/>
        </w:rPr>
        <w:t>−</w:t>
      </w:r>
      <w:r w:rsidRPr="00CB75BD">
        <w:rPr>
          <w:lang w:val="en-GB"/>
        </w:rPr>
        <w:tab/>
        <w:t>Absorption (polar cap absorption, auroral absorption, and mid – latitude absorption).</w:t>
      </w:r>
    </w:p>
    <w:p w:rsidR="006612E7" w:rsidRPr="00CB75BD" w:rsidRDefault="006612E7" w:rsidP="006612E7">
      <w:pPr>
        <w:rPr>
          <w:lang w:val="en-GB"/>
        </w:rPr>
      </w:pPr>
      <w:r w:rsidRPr="00CB75BD">
        <w:rPr>
          <w:lang w:val="en-GB"/>
        </w:rPr>
        <w:t>The ionospheric propagation parameters within the second group are the following:</w:t>
      </w:r>
    </w:p>
    <w:p w:rsidR="006612E7" w:rsidRPr="00CB75BD" w:rsidRDefault="006612E7" w:rsidP="006612E7">
      <w:pPr>
        <w:pStyle w:val="enumlev1"/>
        <w:rPr>
          <w:lang w:val="en-GB"/>
        </w:rPr>
      </w:pPr>
      <w:r w:rsidRPr="00CB75BD">
        <w:rPr>
          <w:lang w:val="en-GB"/>
        </w:rPr>
        <w:t>−</w:t>
      </w:r>
      <w:r w:rsidRPr="00CB75BD">
        <w:rPr>
          <w:lang w:val="en-GB"/>
        </w:rPr>
        <w:tab/>
        <w:t>Refraction;</w:t>
      </w:r>
    </w:p>
    <w:p w:rsidR="006612E7" w:rsidRPr="00CB75BD" w:rsidRDefault="006612E7" w:rsidP="006612E7">
      <w:pPr>
        <w:pStyle w:val="enumlev1"/>
        <w:rPr>
          <w:lang w:val="en-GB"/>
        </w:rPr>
      </w:pPr>
      <w:r w:rsidRPr="00CB75BD">
        <w:rPr>
          <w:lang w:val="en-GB"/>
        </w:rPr>
        <w:t>−</w:t>
      </w:r>
      <w:r w:rsidRPr="00CB75BD">
        <w:rPr>
          <w:lang w:val="en-GB"/>
        </w:rPr>
        <w:tab/>
        <w:t>Variation in angle of arrival.</w:t>
      </w:r>
    </w:p>
    <w:p w:rsidR="006612E7" w:rsidRPr="00CB75BD" w:rsidRDefault="006612E7" w:rsidP="006612E7">
      <w:pPr>
        <w:pStyle w:val="Heading1"/>
        <w:rPr>
          <w:lang w:val="en-GB"/>
        </w:rPr>
      </w:pPr>
      <w:bookmarkStart w:id="122" w:name="_Toc14851693"/>
      <w:bookmarkStart w:id="123" w:name="_Toc14851783"/>
      <w:bookmarkStart w:id="124" w:name="_Toc14858088"/>
      <w:bookmarkStart w:id="125" w:name="_Toc14858469"/>
      <w:r w:rsidRPr="00CB75BD">
        <w:rPr>
          <w:lang w:val="en-GB"/>
        </w:rPr>
        <w:t>3</w:t>
      </w:r>
      <w:r w:rsidRPr="00CB75BD">
        <w:rPr>
          <w:lang w:val="en-GB"/>
        </w:rPr>
        <w:tab/>
        <w:t>Calculating propagation parameters within the first group</w:t>
      </w:r>
      <w:bookmarkEnd w:id="122"/>
      <w:bookmarkEnd w:id="123"/>
      <w:bookmarkEnd w:id="124"/>
      <w:bookmarkEnd w:id="125"/>
    </w:p>
    <w:p w:rsidR="006612E7" w:rsidRPr="00CB75BD" w:rsidRDefault="006612E7" w:rsidP="006612E7">
      <w:pPr>
        <w:rPr>
          <w:rFonts w:eastAsiaTheme="minorEastAsia"/>
          <w:lang w:val="en-GB"/>
        </w:rPr>
      </w:pPr>
      <w:r w:rsidRPr="00CB75BD">
        <w:rPr>
          <w:lang w:val="en-GB"/>
        </w:rPr>
        <w:t xml:space="preserve">Each parameter within the first group is linearly proportional to the total electron content (TEC). By labelling TEC as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m:t>
            </m:r>
          </m:sub>
        </m:sSub>
        <m:r>
          <w:rPr>
            <w:rFonts w:ascii="Cambria Math" w:hAnsi="Cambria Math"/>
            <w:lang w:val="en-GB"/>
          </w:rPr>
          <m:t xml:space="preserve"> </m:t>
        </m:r>
      </m:oMath>
      <w:r w:rsidRPr="00CB75BD">
        <w:rPr>
          <w:lang w:val="en-GB"/>
        </w:rPr>
        <w:t xml:space="preserve">it can be written along a propagation path </w:t>
      </w:r>
      <m:oMath>
        <m:r>
          <w:rPr>
            <w:rFonts w:ascii="Cambria Math" w:hAnsi="Cambria Math"/>
            <w:lang w:val="en-GB"/>
          </w:rPr>
          <m:t>s</m:t>
        </m:r>
      </m:oMath>
      <w:r w:rsidRPr="00CB75BD">
        <w:rPr>
          <w:rFonts w:eastAsiaTheme="minorEastAsia"/>
          <w:lang w:val="en-GB"/>
        </w:rPr>
        <w:t xml:space="preserve"> as follows:</w:t>
      </w:r>
    </w:p>
    <w:p w:rsidR="006612E7" w:rsidRPr="00CB75BD" w:rsidRDefault="006612E7" w:rsidP="006612E7">
      <w:pPr>
        <w:pStyle w:val="Equation"/>
        <w:rPr>
          <w:rFonts w:eastAsiaTheme="minorEastAsia"/>
          <w:lang w:val="en-GB"/>
        </w:rPr>
      </w:pPr>
      <w:r w:rsidRPr="00CB75BD">
        <w:rPr>
          <w:rFonts w:eastAsiaTheme="minorEastAsia"/>
          <w:lang w:val="en-GB"/>
        </w:rPr>
        <w:tab/>
      </w:r>
      <w:r w:rsidRPr="00CB75BD">
        <w:rPr>
          <w:rFonts w:eastAsiaTheme="minorEastAsia"/>
          <w:lang w:val="en-GB"/>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T</m:t>
            </m:r>
          </m:sub>
        </m:sSub>
        <m:r>
          <m:rPr>
            <m:sty m:val="p"/>
          </m:rPr>
          <w:rPr>
            <w:rFonts w:ascii="Cambria Math" w:hAnsi="Cambria Math"/>
            <w:lang w:val="en-GB"/>
          </w:rPr>
          <m:t xml:space="preserve">= </m:t>
        </m:r>
        <m:nary>
          <m:naryPr>
            <m:limLoc m:val="undOvr"/>
            <m:subHide m:val="1"/>
            <m:supHide m:val="1"/>
            <m:ctrlPr>
              <w:rPr>
                <w:rFonts w:ascii="Cambria Math" w:hAnsi="Cambria Math"/>
                <w:lang w:val="en-GB"/>
              </w:rPr>
            </m:ctrlPr>
          </m:naryPr>
          <m:sub/>
          <m:sup/>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e</m:t>
                </m:r>
              </m:sub>
            </m:sSub>
            <m:d>
              <m:dPr>
                <m:ctrlPr>
                  <w:rPr>
                    <w:rFonts w:ascii="Cambria Math" w:hAnsi="Cambria Math"/>
                    <w:lang w:val="en-GB"/>
                  </w:rPr>
                </m:ctrlPr>
              </m:dPr>
              <m:e>
                <m:r>
                  <w:rPr>
                    <w:rFonts w:ascii="Cambria Math" w:hAnsi="Cambria Math"/>
                    <w:lang w:val="en-GB"/>
                  </w:rPr>
                  <m:t>s</m:t>
                </m:r>
              </m:e>
            </m:d>
            <m:r>
              <w:rPr>
                <w:rFonts w:ascii="Cambria Math" w:hAnsi="Cambria Math"/>
                <w:lang w:val="en-GB"/>
              </w:rPr>
              <m:t>ds</m:t>
            </m:r>
          </m:e>
        </m:nary>
      </m:oMath>
      <w:r w:rsidRPr="00CB75BD">
        <w:rPr>
          <w:rFonts w:eastAsiaTheme="minorEastAsia"/>
          <w:lang w:val="en-GB"/>
        </w:rPr>
        <w:t xml:space="preserve"> </w:t>
      </w:r>
      <w:r w:rsidRPr="00CB75BD">
        <w:rPr>
          <w:rFonts w:eastAsiaTheme="minorEastAsia"/>
          <w:lang w:val="en-GB"/>
        </w:rPr>
        <w:tab/>
        <w:t>(</w:t>
      </w:r>
      <w:r w:rsidR="00CB75BD">
        <w:rPr>
          <w:rFonts w:eastAsiaTheme="minorEastAsia"/>
          <w:lang w:val="en-GB"/>
        </w:rPr>
        <w:t>7</w:t>
      </w:r>
      <w:r w:rsidRPr="00CB75BD">
        <w:rPr>
          <w:rFonts w:eastAsiaTheme="minorEastAsia"/>
          <w:lang w:val="en-GB"/>
        </w:rPr>
        <w:t>)</w:t>
      </w:r>
    </w:p>
    <w:p w:rsidR="006612E7" w:rsidRPr="00CB75BD" w:rsidRDefault="006612E7" w:rsidP="006612E7">
      <w:pPr>
        <w:rPr>
          <w:rFonts w:eastAsiaTheme="minorEastAsia"/>
          <w:szCs w:val="24"/>
          <w:lang w:val="en-GB"/>
        </w:rPr>
      </w:pPr>
      <w:proofErr w:type="gramStart"/>
      <w:r w:rsidRPr="00CB75BD">
        <w:rPr>
          <w:rFonts w:eastAsiaTheme="minorEastAsia"/>
          <w:szCs w:val="24"/>
          <w:lang w:val="en-GB"/>
        </w:rPr>
        <w:t>where</w:t>
      </w:r>
      <w:proofErr w:type="gramEnd"/>
      <w:r w:rsidRPr="00CB75BD">
        <w:rPr>
          <w:rFonts w:eastAsiaTheme="minorEastAsia"/>
          <w:szCs w:val="24"/>
          <w:lang w:val="en-GB"/>
        </w:rPr>
        <w:t xml:space="preserve"> </w:t>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n</m:t>
            </m:r>
          </m:e>
          <m:sub>
            <m:r>
              <w:rPr>
                <w:rFonts w:ascii="Cambria Math" w:eastAsiaTheme="minorEastAsia" w:hAnsi="Cambria Math"/>
                <w:szCs w:val="24"/>
                <w:lang w:val="en-GB"/>
              </w:rPr>
              <m:t>e</m:t>
            </m:r>
          </m:sub>
        </m:sSub>
        <m:r>
          <w:rPr>
            <w:rFonts w:ascii="Cambria Math" w:eastAsiaTheme="minorEastAsia" w:hAnsi="Cambria Math"/>
            <w:szCs w:val="24"/>
            <w:lang w:val="en-GB"/>
          </w:rPr>
          <m:t>(s)</m:t>
        </m:r>
      </m:oMath>
      <w:r w:rsidRPr="00CB75BD">
        <w:rPr>
          <w:rFonts w:eastAsiaTheme="minorEastAsia"/>
          <w:szCs w:val="24"/>
          <w:lang w:val="en-GB"/>
        </w:rPr>
        <w:t xml:space="preserve"> is electron density (concentration). </w:t>
      </w:r>
    </w:p>
    <w:p w:rsidR="006612E7" w:rsidRPr="00CB75BD" w:rsidRDefault="006612E7" w:rsidP="006612E7">
      <w:pPr>
        <w:rPr>
          <w:rFonts w:eastAsiaTheme="minorEastAsia"/>
          <w:lang w:val="en-GB"/>
        </w:rPr>
      </w:pPr>
      <w:r w:rsidRPr="00CB75BD">
        <w:rPr>
          <w:rFonts w:eastAsiaTheme="minorEastAsia"/>
          <w:lang w:val="en-GB"/>
        </w:rPr>
        <w:t xml:space="preserve">In case of Recommendation ITU-R P.531-13, where the systems are deployed above the ionosphere, the integration limits in </w:t>
      </w:r>
      <w:r w:rsidR="00CB75BD">
        <w:rPr>
          <w:rFonts w:eastAsiaTheme="minorEastAsia"/>
          <w:lang w:val="en-GB"/>
        </w:rPr>
        <w:t xml:space="preserve">equation </w:t>
      </w:r>
      <w:r w:rsidRPr="00CB75BD">
        <w:rPr>
          <w:rFonts w:eastAsiaTheme="minorEastAsia"/>
          <w:lang w:val="en-GB"/>
        </w:rPr>
        <w:t>(</w:t>
      </w:r>
      <w:r w:rsidR="00CB75BD">
        <w:rPr>
          <w:rFonts w:eastAsiaTheme="minorEastAsia"/>
          <w:lang w:val="en-GB"/>
        </w:rPr>
        <w:t>7</w:t>
      </w:r>
      <w:r w:rsidRPr="00CB75BD">
        <w:rPr>
          <w:rFonts w:eastAsiaTheme="minorEastAsia"/>
          <w:lang w:val="en-GB"/>
        </w:rPr>
        <w:t>) are from 80</w:t>
      </w:r>
      <w:r w:rsidRPr="00CB75BD">
        <w:rPr>
          <w:rFonts w:eastAsiaTheme="minorEastAsia"/>
          <w:lang w:val="en-GB"/>
        </w:rPr>
        <w:noBreakHyphen/>
        <w:t xml:space="preserve">2 000 km. Those limits are based on the altitude values used by IRI-2012 (International Reference Ionosphere 2012). For the 45 MHz radar sounder, the total electron content </w:t>
      </w:r>
      <m:oMath>
        <m:sSub>
          <m:sSubPr>
            <m:ctrlPr>
              <w:rPr>
                <w:rFonts w:ascii="Cambria Math" w:eastAsiaTheme="minorEastAsia" w:hAnsi="Cambria Math"/>
                <w:i/>
                <w:lang w:val="en-GB"/>
              </w:rPr>
            </m:ctrlPr>
          </m:sSubPr>
          <m:e>
            <m:r>
              <w:rPr>
                <w:rFonts w:ascii="Cambria Math" w:eastAsiaTheme="minorEastAsia" w:hAnsi="Cambria Math"/>
                <w:lang w:val="en-GB"/>
              </w:rPr>
              <m:t>N</m:t>
            </m:r>
          </m:e>
          <m:sub>
            <m:r>
              <w:rPr>
                <w:rFonts w:ascii="Cambria Math" w:eastAsiaTheme="minorEastAsia" w:hAnsi="Cambria Math"/>
                <w:lang w:val="en-GB"/>
              </w:rPr>
              <m:t>TS</m:t>
            </m:r>
          </m:sub>
        </m:sSub>
      </m:oMath>
      <w:r w:rsidRPr="00CB75BD">
        <w:rPr>
          <w:rFonts w:eastAsiaTheme="minorEastAsia"/>
          <w:lang w:val="en-GB"/>
        </w:rPr>
        <w:t xml:space="preserve"> can be written as</w:t>
      </w:r>
      <w:r w:rsidR="008C356F" w:rsidRPr="00CB75BD">
        <w:rPr>
          <w:rFonts w:eastAsiaTheme="minorEastAsia"/>
          <w:lang w:val="en-GB"/>
        </w:rPr>
        <w:t>:</w:t>
      </w:r>
      <w:r w:rsidRPr="00CB75BD">
        <w:rPr>
          <w:rFonts w:eastAsiaTheme="minorEastAsia"/>
          <w:lang w:val="en-GB"/>
        </w:rPr>
        <w:t xml:space="preserve"> </w:t>
      </w:r>
    </w:p>
    <w:p w:rsidR="006612E7" w:rsidRPr="00CB75BD" w:rsidRDefault="006612E7" w:rsidP="006612E7">
      <w:pPr>
        <w:pStyle w:val="Equation"/>
        <w:rPr>
          <w:rFonts w:eastAsiaTheme="minorEastAsia"/>
          <w:lang w:val="en-GB"/>
        </w:rPr>
      </w:pPr>
      <w:r w:rsidRPr="00CB75BD">
        <w:rPr>
          <w:rFonts w:eastAsiaTheme="minorEastAsia"/>
          <w:lang w:val="en-GB"/>
        </w:rPr>
        <w:tab/>
      </w:r>
      <w:r w:rsidRPr="00CB75BD">
        <w:rPr>
          <w:rFonts w:eastAsiaTheme="minorEastAsia"/>
          <w:lang w:val="en-GB"/>
        </w:rPr>
        <w:tab/>
      </w:r>
      <m:oMath>
        <m:sSub>
          <m:sSubPr>
            <m:ctrlPr>
              <w:rPr>
                <w:rFonts w:ascii="Cambria Math" w:eastAsiaTheme="minorEastAsia" w:hAnsi="Cambria Math"/>
                <w:lang w:val="en-GB"/>
              </w:rPr>
            </m:ctrlPr>
          </m:sSubPr>
          <m:e>
            <m:r>
              <w:rPr>
                <w:rFonts w:ascii="Cambria Math" w:eastAsiaTheme="minorEastAsia" w:hAnsi="Cambria Math"/>
                <w:lang w:val="en-GB"/>
              </w:rPr>
              <m:t>N</m:t>
            </m:r>
          </m:e>
          <m:sub>
            <m:r>
              <w:rPr>
                <w:rFonts w:ascii="Cambria Math" w:eastAsiaTheme="minorEastAsia" w:hAnsi="Cambria Math"/>
                <w:lang w:val="en-GB"/>
              </w:rPr>
              <m:t>TS</m:t>
            </m:r>
          </m:sub>
        </m:sSub>
        <m:r>
          <m:rPr>
            <m:sty m:val="p"/>
          </m:rPr>
          <w:rPr>
            <w:rFonts w:ascii="Cambria Math" w:eastAsiaTheme="minorEastAsia" w:hAnsi="Cambria Math"/>
            <w:lang w:val="en-GB"/>
          </w:rPr>
          <m:t xml:space="preserve">= </m:t>
        </m:r>
        <m:nary>
          <m:naryPr>
            <m:limLoc m:val="subSup"/>
            <m:ctrlPr>
              <w:rPr>
                <w:rFonts w:ascii="Cambria Math" w:eastAsiaTheme="minorEastAsia" w:hAnsi="Cambria Math"/>
                <w:lang w:val="en-GB"/>
              </w:rPr>
            </m:ctrlPr>
          </m:naryPr>
          <m:sub>
            <m:r>
              <m:rPr>
                <m:sty m:val="p"/>
              </m:rPr>
              <w:rPr>
                <w:rFonts w:ascii="Cambria Math" w:eastAsiaTheme="minorEastAsia" w:hAnsi="Cambria Math"/>
                <w:lang w:val="en-GB"/>
              </w:rPr>
              <m:t>80</m:t>
            </m:r>
            <m:r>
              <w:rPr>
                <w:rFonts w:ascii="Cambria Math" w:eastAsiaTheme="minorEastAsia" w:hAnsi="Cambria Math"/>
                <w:lang w:val="en-GB"/>
              </w:rPr>
              <m:t>km</m:t>
            </m:r>
          </m:sub>
          <m:sup>
            <m:r>
              <m:rPr>
                <m:sty m:val="p"/>
              </m:rPr>
              <w:rPr>
                <w:rFonts w:ascii="Cambria Math" w:eastAsiaTheme="minorEastAsia" w:hAnsi="Cambria Math"/>
                <w:lang w:val="en-GB"/>
              </w:rPr>
              <m:t>400</m:t>
            </m:r>
            <m:r>
              <w:rPr>
                <w:rFonts w:ascii="Cambria Math" w:eastAsiaTheme="minorEastAsia" w:hAnsi="Cambria Math"/>
                <w:lang w:val="en-GB"/>
              </w:rPr>
              <m:t>km</m:t>
            </m:r>
          </m:sup>
          <m:e>
            <m:sSub>
              <m:sSubPr>
                <m:ctrlPr>
                  <w:rPr>
                    <w:rFonts w:ascii="Cambria Math" w:eastAsiaTheme="minorEastAsia" w:hAnsi="Cambria Math"/>
                    <w:lang w:val="en-GB"/>
                  </w:rPr>
                </m:ctrlPr>
              </m:sSubPr>
              <m:e>
                <m:r>
                  <w:rPr>
                    <w:rFonts w:ascii="Cambria Math" w:eastAsiaTheme="minorEastAsia" w:hAnsi="Cambria Math"/>
                    <w:lang w:val="en-GB"/>
                  </w:rPr>
                  <m:t>n</m:t>
                </m:r>
              </m:e>
              <m:sub>
                <m:r>
                  <w:rPr>
                    <w:rFonts w:ascii="Cambria Math" w:eastAsiaTheme="minorEastAsia" w:hAnsi="Cambria Math"/>
                    <w:lang w:val="en-GB"/>
                  </w:rPr>
                  <m:t>e</m:t>
                </m:r>
              </m:sub>
            </m:sSub>
            <m:d>
              <m:dPr>
                <m:ctrlPr>
                  <w:rPr>
                    <w:rFonts w:ascii="Cambria Math" w:eastAsiaTheme="minorEastAsia" w:hAnsi="Cambria Math"/>
                    <w:lang w:val="en-GB"/>
                  </w:rPr>
                </m:ctrlPr>
              </m:dPr>
              <m:e>
                <m:r>
                  <w:rPr>
                    <w:rFonts w:ascii="Cambria Math" w:eastAsiaTheme="minorEastAsia" w:hAnsi="Cambria Math"/>
                    <w:lang w:val="en-GB"/>
                  </w:rPr>
                  <m:t>s</m:t>
                </m:r>
              </m:e>
            </m:d>
            <m:r>
              <w:rPr>
                <w:rFonts w:ascii="Cambria Math" w:eastAsiaTheme="minorEastAsia" w:hAnsi="Cambria Math"/>
                <w:lang w:val="en-GB"/>
              </w:rPr>
              <m:t>ds</m:t>
            </m:r>
          </m:e>
        </m:nary>
      </m:oMath>
      <w:r w:rsidRPr="00CB75BD">
        <w:rPr>
          <w:rFonts w:eastAsiaTheme="minorEastAsia"/>
          <w:lang w:val="en-GB"/>
        </w:rPr>
        <w:t xml:space="preserve"> </w:t>
      </w:r>
      <w:r w:rsidRPr="00CB75BD">
        <w:rPr>
          <w:rFonts w:eastAsiaTheme="minorEastAsia"/>
          <w:lang w:val="en-GB"/>
        </w:rPr>
        <w:tab/>
        <w:t>(</w:t>
      </w:r>
      <w:r w:rsidR="00CB75BD">
        <w:rPr>
          <w:rFonts w:eastAsiaTheme="minorEastAsia"/>
          <w:lang w:val="en-GB"/>
        </w:rPr>
        <w:t>8</w:t>
      </w:r>
      <w:r w:rsidRPr="00CB75BD">
        <w:rPr>
          <w:rFonts w:eastAsiaTheme="minorEastAsia"/>
          <w:lang w:val="en-GB"/>
        </w:rPr>
        <w:t>)</w:t>
      </w:r>
    </w:p>
    <w:p w:rsidR="006612E7" w:rsidRPr="00CB75BD" w:rsidRDefault="006612E7" w:rsidP="006612E7">
      <w:pPr>
        <w:rPr>
          <w:rFonts w:eastAsiaTheme="minorEastAsia"/>
          <w:lang w:val="en-GB"/>
        </w:rPr>
      </w:pPr>
      <w:r w:rsidRPr="00CB75BD">
        <w:rPr>
          <w:rFonts w:eastAsiaTheme="minorEastAsia"/>
          <w:lang w:val="en-GB"/>
        </w:rPr>
        <w:t xml:space="preserve">Based on </w:t>
      </w:r>
      <w:r w:rsidR="00CB75BD">
        <w:rPr>
          <w:rFonts w:eastAsiaTheme="minorEastAsia"/>
          <w:lang w:val="en-GB"/>
        </w:rPr>
        <w:t xml:space="preserve">equation </w:t>
      </w:r>
      <w:r w:rsidRPr="00CB75BD">
        <w:rPr>
          <w:rFonts w:eastAsiaTheme="minorEastAsia"/>
          <w:lang w:val="en-GB"/>
        </w:rPr>
        <w:t>(</w:t>
      </w:r>
      <w:r w:rsidR="00CB75BD">
        <w:rPr>
          <w:rFonts w:eastAsiaTheme="minorEastAsia"/>
          <w:lang w:val="en-GB"/>
        </w:rPr>
        <w:t>8</w:t>
      </w:r>
      <w:r w:rsidRPr="00CB75BD">
        <w:rPr>
          <w:rFonts w:eastAsiaTheme="minorEastAsia"/>
          <w:lang w:val="en-GB"/>
        </w:rPr>
        <w:t>), the total electron content in case of the 45 MHz radar sounder is equal to the area under the curve of ionospheric electron density profile for heights extending from 80 km to 400 km. In case of Recommendation ITU-R P.531-13, the total electron content is equal the area under the curve from height of 80 km to the height of 2 000 km.</w:t>
      </w:r>
    </w:p>
    <w:p w:rsidR="006612E7" w:rsidRPr="00CB75BD" w:rsidRDefault="006612E7" w:rsidP="006612E7">
      <w:pPr>
        <w:rPr>
          <w:rFonts w:eastAsiaTheme="minorEastAsia"/>
          <w:lang w:val="en-GB"/>
        </w:rPr>
      </w:pPr>
      <w:r w:rsidRPr="00CB75BD">
        <w:rPr>
          <w:rFonts w:eastAsiaTheme="minorEastAsia"/>
          <w:lang w:val="en-GB"/>
        </w:rPr>
        <w:t>Figures 1 to 3 below depict some examples of ionosphe</w:t>
      </w:r>
      <w:r w:rsidR="00F840E2" w:rsidRPr="00CB75BD">
        <w:rPr>
          <w:rFonts w:eastAsiaTheme="minorEastAsia"/>
          <w:lang w:val="en-GB"/>
        </w:rPr>
        <w:t xml:space="preserve">ric electron density profiles. </w:t>
      </w:r>
      <w:r w:rsidRPr="00CB75BD">
        <w:rPr>
          <w:rFonts w:eastAsiaTheme="minorEastAsia"/>
          <w:lang w:val="en-GB"/>
        </w:rPr>
        <w:t xml:space="preserve">For each </w:t>
      </w:r>
      <w:r w:rsidR="00CB75BD" w:rsidRPr="00CB75BD">
        <w:rPr>
          <w:rFonts w:eastAsiaTheme="minorEastAsia"/>
          <w:lang w:val="en-GB"/>
        </w:rPr>
        <w:t>figure</w:t>
      </w:r>
      <w:r w:rsidRPr="00CB75BD">
        <w:rPr>
          <w:rFonts w:eastAsiaTheme="minorEastAsia"/>
          <w:lang w:val="en-GB"/>
        </w:rPr>
        <w:t>, the height resolution used is 1 km, and both areas are calculated using the numerical trapezoidal rule. Below each figure of Figs 1 to 3, the following are provided:</w:t>
      </w:r>
    </w:p>
    <w:p w:rsidR="006612E7" w:rsidRPr="00CB75BD" w:rsidRDefault="006612E7" w:rsidP="006612E7">
      <w:pPr>
        <w:pStyle w:val="enumlev1"/>
        <w:rPr>
          <w:rFonts w:eastAsiaTheme="minorEastAsia"/>
          <w:lang w:val="en-GB"/>
        </w:rPr>
      </w:pPr>
      <w:r w:rsidRPr="00CB75BD">
        <w:rPr>
          <w:lang w:val="en-GB"/>
        </w:rPr>
        <w:t>−</w:t>
      </w:r>
      <w:r w:rsidRPr="00CB75BD">
        <w:rPr>
          <w:lang w:val="en-GB"/>
        </w:rPr>
        <w:tab/>
      </w:r>
      <w:r w:rsidRPr="00CB75BD">
        <w:rPr>
          <w:rFonts w:eastAsiaTheme="minorEastAsia"/>
          <w:lang w:val="en-GB"/>
        </w:rPr>
        <w:t xml:space="preserve">Total electron content </w:t>
      </w:r>
      <m:oMath>
        <m:sSub>
          <m:sSubPr>
            <m:ctrlPr>
              <w:rPr>
                <w:rFonts w:ascii="Cambria Math" w:eastAsiaTheme="minorEastAsia" w:hAnsi="Cambria Math"/>
                <w:i/>
                <w:lang w:val="en-GB"/>
              </w:rPr>
            </m:ctrlPr>
          </m:sSubPr>
          <m:e>
            <m:r>
              <w:rPr>
                <w:rFonts w:ascii="Cambria Math" w:eastAsiaTheme="minorEastAsia" w:hAnsi="Cambria Math"/>
                <w:lang w:val="en-GB"/>
              </w:rPr>
              <m:t>N</m:t>
            </m:r>
          </m:e>
          <m:sub>
            <m:r>
              <w:rPr>
                <w:rFonts w:ascii="Cambria Math" w:eastAsiaTheme="minorEastAsia" w:hAnsi="Cambria Math"/>
                <w:lang w:val="en-GB"/>
              </w:rPr>
              <m:t>T</m:t>
            </m:r>
          </m:sub>
        </m:sSub>
        <m:r>
          <w:rPr>
            <w:rFonts w:ascii="Cambria Math" w:eastAsiaTheme="minorEastAsia" w:hAnsi="Cambria Math"/>
            <w:lang w:val="en-GB"/>
          </w:rPr>
          <m:t xml:space="preserve"> </m:t>
        </m:r>
      </m:oMath>
      <w:r w:rsidRPr="00CB75BD">
        <w:rPr>
          <w:rFonts w:eastAsiaTheme="minorEastAsia"/>
          <w:lang w:val="en-GB"/>
        </w:rPr>
        <w:t>used in Table 7.</w:t>
      </w:r>
    </w:p>
    <w:p w:rsidR="006612E7" w:rsidRPr="00CB75BD" w:rsidRDefault="006612E7" w:rsidP="006612E7">
      <w:pPr>
        <w:pStyle w:val="enumlev1"/>
        <w:rPr>
          <w:rFonts w:eastAsiaTheme="minorEastAsia"/>
          <w:lang w:val="en-GB"/>
        </w:rPr>
      </w:pPr>
      <w:r w:rsidRPr="00CB75BD">
        <w:rPr>
          <w:lang w:val="en-GB"/>
        </w:rPr>
        <w:t>−</w:t>
      </w:r>
      <w:r w:rsidRPr="00CB75BD">
        <w:rPr>
          <w:lang w:val="en-GB"/>
        </w:rPr>
        <w:tab/>
      </w:r>
      <w:r w:rsidRPr="00CB75BD">
        <w:rPr>
          <w:rFonts w:eastAsiaTheme="minorEastAsia"/>
          <w:lang w:val="en-GB"/>
        </w:rPr>
        <w:t xml:space="preserve">Total electron content </w:t>
      </w:r>
      <m:oMath>
        <m:sSub>
          <m:sSubPr>
            <m:ctrlPr>
              <w:rPr>
                <w:rFonts w:ascii="Cambria Math" w:eastAsiaTheme="minorEastAsia" w:hAnsi="Cambria Math"/>
                <w:i/>
                <w:lang w:val="en-GB"/>
              </w:rPr>
            </m:ctrlPr>
          </m:sSubPr>
          <m:e>
            <m:r>
              <w:rPr>
                <w:rFonts w:ascii="Cambria Math" w:eastAsiaTheme="minorEastAsia" w:hAnsi="Cambria Math"/>
                <w:lang w:val="en-GB"/>
              </w:rPr>
              <m:t>N</m:t>
            </m:r>
          </m:e>
          <m:sub>
            <m:r>
              <w:rPr>
                <w:rFonts w:ascii="Cambria Math" w:eastAsiaTheme="minorEastAsia" w:hAnsi="Cambria Math"/>
                <w:lang w:val="en-GB"/>
              </w:rPr>
              <m:t>TS</m:t>
            </m:r>
          </m:sub>
        </m:sSub>
        <m:r>
          <w:rPr>
            <w:rFonts w:ascii="Cambria Math" w:eastAsiaTheme="minorEastAsia" w:hAnsi="Cambria Math"/>
            <w:lang w:val="en-GB"/>
          </w:rPr>
          <m:t xml:space="preserve"> </m:t>
        </m:r>
      </m:oMath>
      <w:r w:rsidRPr="00CB75BD">
        <w:rPr>
          <w:rFonts w:eastAsiaTheme="minorEastAsia"/>
          <w:lang w:val="en-GB"/>
        </w:rPr>
        <w:t>in case of the 45 MHz sounder.</w:t>
      </w:r>
    </w:p>
    <w:p w:rsidR="006612E7" w:rsidRPr="00CB75BD" w:rsidRDefault="006612E7" w:rsidP="006612E7">
      <w:pPr>
        <w:pStyle w:val="enumlev1"/>
        <w:rPr>
          <w:rFonts w:eastAsiaTheme="minorEastAsia"/>
          <w:lang w:val="en-GB"/>
        </w:rPr>
      </w:pPr>
      <w:r w:rsidRPr="00CB75BD">
        <w:rPr>
          <w:lang w:val="en-GB"/>
        </w:rPr>
        <w:t>−</w:t>
      </w:r>
      <w:r w:rsidRPr="00CB75BD">
        <w:rPr>
          <w:lang w:val="en-GB"/>
        </w:rPr>
        <w:tab/>
      </w:r>
      <w:r w:rsidRPr="00CB75BD">
        <w:rPr>
          <w:rFonts w:eastAsiaTheme="minorEastAsia"/>
          <w:lang w:val="en-GB"/>
        </w:rPr>
        <w:t xml:space="preserve">Ratio </w:t>
      </w:r>
      <m:oMath>
        <m:r>
          <w:rPr>
            <w:rFonts w:ascii="Cambria Math" w:eastAsiaTheme="minorEastAsia" w:hAnsi="Cambria Math"/>
            <w:lang w:val="en-GB"/>
          </w:rPr>
          <m:t>R</m:t>
        </m:r>
      </m:oMath>
      <w:r w:rsidRPr="00CB75BD">
        <w:rPr>
          <w:rFonts w:eastAsiaTheme="minorEastAsia"/>
          <w:lang w:val="en-GB"/>
        </w:rPr>
        <w:t xml:space="preserve"> of </w:t>
      </w:r>
      <m:oMath>
        <m:sSub>
          <m:sSubPr>
            <m:ctrlPr>
              <w:rPr>
                <w:rFonts w:ascii="Cambria Math" w:eastAsiaTheme="minorEastAsia" w:hAnsi="Cambria Math"/>
                <w:i/>
                <w:lang w:val="en-GB"/>
              </w:rPr>
            </m:ctrlPr>
          </m:sSubPr>
          <m:e>
            <m:r>
              <w:rPr>
                <w:rFonts w:ascii="Cambria Math" w:eastAsiaTheme="minorEastAsia" w:hAnsi="Cambria Math"/>
                <w:lang w:val="en-GB"/>
              </w:rPr>
              <m:t>N</m:t>
            </m:r>
          </m:e>
          <m:sub>
            <m:r>
              <w:rPr>
                <w:rFonts w:ascii="Cambria Math" w:eastAsiaTheme="minorEastAsia" w:hAnsi="Cambria Math"/>
                <w:lang w:val="en-GB"/>
              </w:rPr>
              <m:t>TS</m:t>
            </m:r>
          </m:sub>
        </m:sSub>
      </m:oMath>
      <w:r w:rsidRPr="00CB75BD">
        <w:rPr>
          <w:rFonts w:eastAsiaTheme="minorEastAsia"/>
          <w:lang w:val="en-GB"/>
        </w:rPr>
        <w:t xml:space="preserve"> </w:t>
      </w:r>
      <w:proofErr w:type="gramStart"/>
      <w:r w:rsidRPr="00CB75BD">
        <w:rPr>
          <w:rFonts w:eastAsiaTheme="minorEastAsia"/>
          <w:lang w:val="en-GB"/>
        </w:rPr>
        <w:t xml:space="preserve">over </w:t>
      </w:r>
      <w:proofErr w:type="gramEnd"/>
      <m:oMath>
        <m:sSub>
          <m:sSubPr>
            <m:ctrlPr>
              <w:rPr>
                <w:rFonts w:ascii="Cambria Math" w:eastAsiaTheme="minorEastAsia" w:hAnsi="Cambria Math"/>
                <w:i/>
                <w:lang w:val="en-GB"/>
              </w:rPr>
            </m:ctrlPr>
          </m:sSubPr>
          <m:e>
            <m:r>
              <w:rPr>
                <w:rFonts w:ascii="Cambria Math" w:eastAsiaTheme="minorEastAsia" w:hAnsi="Cambria Math"/>
                <w:lang w:val="en-GB"/>
              </w:rPr>
              <m:t>N</m:t>
            </m:r>
          </m:e>
          <m:sub>
            <m:r>
              <w:rPr>
                <w:rFonts w:ascii="Cambria Math" w:eastAsiaTheme="minorEastAsia" w:hAnsi="Cambria Math"/>
                <w:lang w:val="en-GB"/>
              </w:rPr>
              <m:t>T</m:t>
            </m:r>
          </m:sub>
        </m:sSub>
      </m:oMath>
      <w:r w:rsidRPr="00CB75BD">
        <w:rPr>
          <w:rFonts w:eastAsiaTheme="minorEastAsia"/>
          <w:lang w:val="en-GB"/>
        </w:rPr>
        <w:t>:</w:t>
      </w:r>
    </w:p>
    <w:p w:rsidR="006612E7" w:rsidRPr="00CB75BD" w:rsidRDefault="006612E7" w:rsidP="006612E7">
      <w:pPr>
        <w:pStyle w:val="Equation"/>
        <w:rPr>
          <w:rFonts w:eastAsiaTheme="minorEastAsia"/>
          <w:lang w:val="en-GB"/>
        </w:rPr>
      </w:pPr>
      <w:r w:rsidRPr="00CB75BD">
        <w:rPr>
          <w:rFonts w:eastAsiaTheme="minorEastAsia"/>
          <w:iCs/>
          <w:lang w:val="en-GB"/>
        </w:rPr>
        <w:tab/>
      </w:r>
      <w:r w:rsidRPr="00CB75BD">
        <w:rPr>
          <w:rFonts w:eastAsiaTheme="minorEastAsia"/>
          <w:iCs/>
          <w:lang w:val="en-GB"/>
        </w:rPr>
        <w:tab/>
      </w:r>
      <m:oMath>
        <m:r>
          <w:rPr>
            <w:rFonts w:ascii="Cambria Math" w:eastAsiaTheme="minorEastAsia" w:hAnsi="Cambria Math"/>
            <w:lang w:val="en-GB"/>
          </w:rPr>
          <m:t>R</m:t>
        </m:r>
        <m:r>
          <m:rPr>
            <m:sty m:val="p"/>
          </m:rPr>
          <w:rPr>
            <w:rFonts w:ascii="Cambria Math" w:eastAsiaTheme="minorEastAsia" w:hAnsi="Cambria Math"/>
            <w:lang w:val="en-GB"/>
          </w:rPr>
          <m:t xml:space="preserve">= </m:t>
        </m:r>
        <m:f>
          <m:fPr>
            <m:ctrlPr>
              <w:rPr>
                <w:rFonts w:ascii="Cambria Math" w:eastAsiaTheme="minorEastAsia" w:hAnsi="Cambria Math"/>
                <w:lang w:val="en-GB"/>
              </w:rPr>
            </m:ctrlPr>
          </m:fPr>
          <m:num>
            <m:sSub>
              <m:sSubPr>
                <m:ctrlPr>
                  <w:rPr>
                    <w:rFonts w:ascii="Cambria Math" w:eastAsiaTheme="minorEastAsia" w:hAnsi="Cambria Math"/>
                    <w:lang w:val="en-GB"/>
                  </w:rPr>
                </m:ctrlPr>
              </m:sSubPr>
              <m:e>
                <m:r>
                  <w:rPr>
                    <w:rFonts w:ascii="Cambria Math" w:eastAsiaTheme="minorEastAsia" w:hAnsi="Cambria Math"/>
                    <w:lang w:val="en-GB"/>
                  </w:rPr>
                  <m:t>N</m:t>
                </m:r>
              </m:e>
              <m:sub>
                <m:r>
                  <w:rPr>
                    <w:rFonts w:ascii="Cambria Math" w:eastAsiaTheme="minorEastAsia" w:hAnsi="Cambria Math"/>
                    <w:lang w:val="en-GB"/>
                  </w:rPr>
                  <m:t>TS</m:t>
                </m:r>
              </m:sub>
            </m:sSub>
          </m:num>
          <m:den>
            <m:sSub>
              <m:sSubPr>
                <m:ctrlPr>
                  <w:rPr>
                    <w:rFonts w:ascii="Cambria Math" w:eastAsiaTheme="minorEastAsia" w:hAnsi="Cambria Math"/>
                    <w:lang w:val="en-GB"/>
                  </w:rPr>
                </m:ctrlPr>
              </m:sSubPr>
              <m:e>
                <m:r>
                  <w:rPr>
                    <w:rFonts w:ascii="Cambria Math" w:eastAsiaTheme="minorEastAsia" w:hAnsi="Cambria Math"/>
                    <w:lang w:val="en-GB"/>
                  </w:rPr>
                  <m:t>N</m:t>
                </m:r>
              </m:e>
              <m:sub>
                <m:r>
                  <w:rPr>
                    <w:rFonts w:ascii="Cambria Math" w:eastAsiaTheme="minorEastAsia" w:hAnsi="Cambria Math"/>
                    <w:lang w:val="en-GB"/>
                  </w:rPr>
                  <m:t>T</m:t>
                </m:r>
              </m:sub>
            </m:sSub>
          </m:den>
        </m:f>
      </m:oMath>
      <w:r w:rsidRPr="00CB75BD">
        <w:rPr>
          <w:rFonts w:eastAsiaTheme="minorEastAsia"/>
          <w:lang w:val="en-GB"/>
        </w:rPr>
        <w:t xml:space="preserve"> </w:t>
      </w:r>
      <w:r w:rsidRPr="00CB75BD">
        <w:rPr>
          <w:rFonts w:eastAsiaTheme="minorEastAsia"/>
          <w:lang w:val="en-GB"/>
        </w:rPr>
        <w:tab/>
        <w:t>(</w:t>
      </w:r>
      <w:r w:rsidR="00CB75BD">
        <w:rPr>
          <w:rFonts w:eastAsiaTheme="minorEastAsia"/>
          <w:lang w:val="en-GB"/>
        </w:rPr>
        <w:t>9</w:t>
      </w:r>
      <w:r w:rsidRPr="00CB75BD">
        <w:rPr>
          <w:rFonts w:eastAsiaTheme="minorEastAsia"/>
          <w:lang w:val="en-GB"/>
        </w:rPr>
        <w:t>)</w:t>
      </w:r>
    </w:p>
    <w:p w:rsidR="006612E7" w:rsidRPr="00CB75BD" w:rsidRDefault="006612E7" w:rsidP="006612E7">
      <w:pPr>
        <w:rPr>
          <w:rFonts w:eastAsiaTheme="minorEastAsia"/>
          <w:spacing w:val="-2"/>
          <w:lang w:val="en-GB"/>
        </w:rPr>
      </w:pPr>
      <w:r w:rsidRPr="00CB75BD">
        <w:rPr>
          <w:rFonts w:eastAsiaTheme="minorEastAsia"/>
          <w:spacing w:val="-2"/>
          <w:lang w:val="en-GB"/>
        </w:rPr>
        <w:t xml:space="preserve">The three ratio </w:t>
      </w:r>
      <m:oMath>
        <m:r>
          <w:rPr>
            <w:rFonts w:ascii="Cambria Math" w:eastAsiaTheme="minorEastAsia" w:hAnsi="Cambria Math"/>
            <w:spacing w:val="-2"/>
            <w:lang w:val="en-GB"/>
          </w:rPr>
          <m:t xml:space="preserve">R </m:t>
        </m:r>
      </m:oMath>
      <w:r w:rsidRPr="00CB75BD">
        <w:rPr>
          <w:rFonts w:eastAsiaTheme="minorEastAsia"/>
          <w:spacing w:val="-2"/>
          <w:lang w:val="en-GB"/>
        </w:rPr>
        <w:t xml:space="preserve">values reported below Figs 1 to 3 yield an average ratio value </w:t>
      </w:r>
      <m:oMath>
        <m:sSub>
          <m:sSubPr>
            <m:ctrlPr>
              <w:rPr>
                <w:rFonts w:ascii="Cambria Math" w:eastAsiaTheme="minorEastAsia" w:hAnsi="Cambria Math"/>
                <w:i/>
                <w:spacing w:val="-2"/>
                <w:lang w:val="en-GB"/>
              </w:rPr>
            </m:ctrlPr>
          </m:sSubPr>
          <m:e>
            <m:r>
              <w:rPr>
                <w:rFonts w:ascii="Cambria Math" w:eastAsiaTheme="minorEastAsia" w:hAnsi="Cambria Math"/>
                <w:spacing w:val="-2"/>
                <w:lang w:val="en-GB"/>
              </w:rPr>
              <m:t>R</m:t>
            </m:r>
          </m:e>
          <m:sub>
            <m:r>
              <w:rPr>
                <w:rFonts w:ascii="Cambria Math" w:eastAsiaTheme="minorEastAsia" w:hAnsi="Cambria Math"/>
                <w:spacing w:val="-2"/>
                <w:lang w:val="en-GB"/>
              </w:rPr>
              <m:t>avg</m:t>
            </m:r>
          </m:sub>
        </m:sSub>
        <m:r>
          <w:rPr>
            <w:rFonts w:ascii="Cambria Math" w:eastAsiaTheme="minorEastAsia" w:hAnsi="Cambria Math"/>
            <w:spacing w:val="-2"/>
            <w:lang w:val="en-GB"/>
          </w:rPr>
          <m:t xml:space="preserve"> </m:t>
        </m:r>
      </m:oMath>
      <w:r w:rsidRPr="00CB75BD">
        <w:rPr>
          <w:rFonts w:eastAsiaTheme="minorEastAsia"/>
          <w:spacing w:val="-2"/>
          <w:lang w:val="en-GB"/>
        </w:rPr>
        <w:t>of 0.52. Accordingly, each parameter within the first group is multiplied by this average value to bring the parameter value to t</w:t>
      </w:r>
      <w:r w:rsidR="008C356F" w:rsidRPr="00CB75BD">
        <w:rPr>
          <w:rFonts w:eastAsiaTheme="minorEastAsia"/>
          <w:spacing w:val="-2"/>
          <w:lang w:val="en-GB"/>
        </w:rPr>
        <w:t xml:space="preserve">he sounder altitude of 400 km. </w:t>
      </w:r>
      <w:r w:rsidRPr="00CB75BD">
        <w:rPr>
          <w:rFonts w:eastAsiaTheme="minorEastAsia"/>
          <w:spacing w:val="-2"/>
          <w:lang w:val="en-GB"/>
        </w:rPr>
        <w:t xml:space="preserve">Then the frequency dependence </w:t>
      </w:r>
      <m:oMath>
        <m:r>
          <w:rPr>
            <w:rFonts w:ascii="Cambria Math" w:eastAsiaTheme="minorEastAsia" w:hAnsi="Cambria Math"/>
            <w:spacing w:val="-2"/>
            <w:lang w:val="en-GB"/>
          </w:rPr>
          <m:t>1/</m:t>
        </m:r>
        <m:sSup>
          <m:sSupPr>
            <m:ctrlPr>
              <w:rPr>
                <w:rFonts w:ascii="Cambria Math" w:eastAsiaTheme="minorEastAsia" w:hAnsi="Cambria Math"/>
                <w:i/>
                <w:spacing w:val="-2"/>
                <w:lang w:val="en-GB"/>
              </w:rPr>
            </m:ctrlPr>
          </m:sSupPr>
          <m:e>
            <m:r>
              <w:rPr>
                <w:rFonts w:ascii="Cambria Math" w:eastAsiaTheme="minorEastAsia" w:hAnsi="Cambria Math"/>
                <w:spacing w:val="-2"/>
                <w:lang w:val="en-GB"/>
              </w:rPr>
              <m:t>f</m:t>
            </m:r>
          </m:e>
          <m:sup>
            <m:r>
              <w:rPr>
                <w:rFonts w:ascii="Cambria Math" w:eastAsiaTheme="minorEastAsia" w:hAnsi="Cambria Math"/>
                <w:spacing w:val="-2"/>
                <w:lang w:val="en-GB"/>
              </w:rPr>
              <m:t>2</m:t>
            </m:r>
          </m:sup>
        </m:sSup>
      </m:oMath>
      <w:r w:rsidRPr="00CB75BD">
        <w:rPr>
          <w:rFonts w:eastAsiaTheme="minorEastAsia"/>
          <w:spacing w:val="-2"/>
          <w:lang w:val="en-GB"/>
        </w:rPr>
        <w:t xml:space="preserve"> is used to transfer the value at the radar sounder altitude from 1 GHz, which is used in Table 3 of Recommendat</w:t>
      </w:r>
      <w:r w:rsidR="0064233B" w:rsidRPr="00CB75BD">
        <w:rPr>
          <w:rFonts w:eastAsiaTheme="minorEastAsia"/>
          <w:spacing w:val="-2"/>
          <w:lang w:val="en-GB"/>
        </w:rPr>
        <w:t xml:space="preserve">ion ITU-R P.531-13, to 45 MHz. </w:t>
      </w:r>
      <w:r w:rsidRPr="00CB75BD">
        <w:rPr>
          <w:rFonts w:eastAsiaTheme="minorEastAsia"/>
          <w:spacing w:val="-2"/>
          <w:lang w:val="en-GB"/>
        </w:rPr>
        <w:t xml:space="preserve">Such frequency dependence yields a scaling </w:t>
      </w:r>
      <w:proofErr w:type="gramStart"/>
      <w:r w:rsidRPr="00CB75BD">
        <w:rPr>
          <w:rFonts w:eastAsiaTheme="minorEastAsia"/>
          <w:spacing w:val="-2"/>
          <w:lang w:val="en-GB"/>
        </w:rPr>
        <w:t xml:space="preserve">factor </w:t>
      </w:r>
      <w:proofErr w:type="gramEnd"/>
      <m:oMath>
        <m:r>
          <w:rPr>
            <w:rFonts w:ascii="Cambria Math" w:eastAsiaTheme="minorEastAsia" w:hAnsi="Cambria Math"/>
            <w:spacing w:val="-2"/>
            <w:lang w:val="en-GB"/>
          </w:rPr>
          <m:t>F</m:t>
        </m:r>
      </m:oMath>
      <w:r w:rsidRPr="00CB75BD">
        <w:rPr>
          <w:rFonts w:eastAsiaTheme="minorEastAsia"/>
          <w:spacing w:val="-2"/>
          <w:lang w:val="en-GB"/>
        </w:rPr>
        <w:t>:</w:t>
      </w:r>
    </w:p>
    <w:p w:rsidR="006612E7" w:rsidRPr="00CB75BD" w:rsidRDefault="006612E7" w:rsidP="006612E7">
      <w:pPr>
        <w:pStyle w:val="Equation"/>
        <w:rPr>
          <w:rFonts w:eastAsiaTheme="minorEastAsia"/>
          <w:lang w:val="en-GB"/>
        </w:rPr>
      </w:pPr>
      <w:r w:rsidRPr="00CB75BD">
        <w:rPr>
          <w:rFonts w:eastAsiaTheme="minorEastAsia"/>
          <w:iCs/>
          <w:lang w:val="en-GB"/>
        </w:rPr>
        <w:lastRenderedPageBreak/>
        <w:tab/>
      </w:r>
      <w:r w:rsidRPr="00CB75BD">
        <w:rPr>
          <w:rFonts w:eastAsiaTheme="minorEastAsia"/>
          <w:iCs/>
          <w:lang w:val="en-GB"/>
        </w:rPr>
        <w:tab/>
      </w:r>
      <m:oMath>
        <m:r>
          <w:rPr>
            <w:rFonts w:ascii="Cambria Math" w:eastAsiaTheme="minorEastAsia" w:hAnsi="Cambria Math"/>
            <w:lang w:val="en-GB"/>
          </w:rPr>
          <m:t>F</m:t>
        </m:r>
        <m:r>
          <m:rPr>
            <m:sty m:val="p"/>
          </m:rPr>
          <w:rPr>
            <w:rFonts w:ascii="Cambria Math" w:eastAsiaTheme="minorEastAsia" w:hAnsi="Cambria Math"/>
            <w:lang w:val="en-GB"/>
          </w:rPr>
          <m:t>=</m:t>
        </m:r>
        <m:sSup>
          <m:sSupPr>
            <m:ctrlPr>
              <w:rPr>
                <w:rFonts w:ascii="Cambria Math" w:eastAsiaTheme="minorEastAsia" w:hAnsi="Cambria Math"/>
                <w:lang w:val="en-GB"/>
              </w:rPr>
            </m:ctrlPr>
          </m:sSupPr>
          <m:e>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r>
                      <m:rPr>
                        <m:sty m:val="p"/>
                      </m:rPr>
                      <w:rPr>
                        <w:rFonts w:ascii="Cambria Math" w:eastAsiaTheme="minorEastAsia" w:hAnsi="Cambria Math"/>
                        <w:lang w:val="en-GB"/>
                      </w:rPr>
                      <m:t>1/0.045</m:t>
                    </m:r>
                  </m:num>
                  <m:den>
                    <m:r>
                      <m:rPr>
                        <m:sty m:val="p"/>
                      </m:rPr>
                      <w:rPr>
                        <w:rFonts w:ascii="Cambria Math" w:eastAsiaTheme="minorEastAsia" w:hAnsi="Cambria Math"/>
                        <w:lang w:val="en-GB"/>
                      </w:rPr>
                      <m:t>1/1</m:t>
                    </m:r>
                  </m:den>
                </m:f>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m:t>
        </m:r>
        <m:sSup>
          <m:sSupPr>
            <m:ctrlPr>
              <w:rPr>
                <w:rFonts w:ascii="Cambria Math" w:eastAsiaTheme="minorEastAsia" w:hAnsi="Cambria Math"/>
                <w:lang w:val="en-GB"/>
              </w:rPr>
            </m:ctrlPr>
          </m:sSupPr>
          <m:e>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r>
                      <m:rPr>
                        <m:sty m:val="p"/>
                      </m:rPr>
                      <w:rPr>
                        <w:rFonts w:ascii="Cambria Math" w:eastAsiaTheme="minorEastAsia" w:hAnsi="Cambria Math"/>
                        <w:lang w:val="en-GB"/>
                      </w:rPr>
                      <m:t>1</m:t>
                    </m:r>
                  </m:num>
                  <m:den>
                    <m:r>
                      <m:rPr>
                        <m:sty m:val="p"/>
                      </m:rPr>
                      <w:rPr>
                        <w:rFonts w:ascii="Cambria Math" w:eastAsiaTheme="minorEastAsia" w:hAnsi="Cambria Math"/>
                        <w:lang w:val="en-GB"/>
                      </w:rPr>
                      <m:t>0.045</m:t>
                    </m:r>
                  </m:den>
                </m:f>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=493.83</m:t>
        </m:r>
      </m:oMath>
      <w:r w:rsidRPr="00CB75BD">
        <w:rPr>
          <w:rFonts w:eastAsiaTheme="minorEastAsia"/>
          <w:lang w:val="en-GB"/>
        </w:rPr>
        <w:t xml:space="preserve"> </w:t>
      </w:r>
      <w:r w:rsidRPr="00CB75BD">
        <w:rPr>
          <w:rFonts w:eastAsiaTheme="minorEastAsia"/>
          <w:lang w:val="en-GB"/>
        </w:rPr>
        <w:tab/>
        <w:t>(</w:t>
      </w:r>
      <w:r w:rsidR="00CB75BD">
        <w:rPr>
          <w:rFonts w:eastAsiaTheme="minorEastAsia"/>
          <w:lang w:val="en-GB"/>
        </w:rPr>
        <w:t>10</w:t>
      </w:r>
      <w:r w:rsidRPr="00CB75BD">
        <w:rPr>
          <w:rFonts w:eastAsiaTheme="minorEastAsia"/>
          <w:lang w:val="en-GB"/>
        </w:rPr>
        <w:t>)</w:t>
      </w:r>
    </w:p>
    <w:p w:rsidR="006612E7" w:rsidRPr="00CB75BD" w:rsidRDefault="006612E7" w:rsidP="006612E7">
      <w:pPr>
        <w:rPr>
          <w:rFonts w:eastAsiaTheme="minorEastAsia"/>
          <w:lang w:val="en-GB"/>
        </w:rPr>
      </w:pPr>
      <w:r w:rsidRPr="00CB75BD">
        <w:rPr>
          <w:rFonts w:eastAsiaTheme="minorEastAsia"/>
          <w:lang w:val="en-GB"/>
        </w:rPr>
        <w:t>In summary to transfer parameters within the first group (Faraday rotation, propagation delay, and attenuation) from Table 3 of Recommendation ITU-R P.531-13 to Table 5, each parameter is multiplied by the following factor:</w:t>
      </w:r>
    </w:p>
    <w:p w:rsidR="006612E7" w:rsidRPr="00CB75BD" w:rsidRDefault="006612E7" w:rsidP="006612E7">
      <w:pPr>
        <w:pStyle w:val="Equation"/>
        <w:rPr>
          <w:rFonts w:eastAsiaTheme="minorEastAsia"/>
          <w:lang w:val="en-GB"/>
        </w:rPr>
      </w:pPr>
      <w:r w:rsidRPr="00CB75BD">
        <w:rPr>
          <w:rFonts w:eastAsiaTheme="minorEastAsia"/>
          <w:lang w:val="en-GB"/>
        </w:rPr>
        <w:tab/>
      </w:r>
      <w:r w:rsidRPr="00CB75BD">
        <w:rPr>
          <w:rFonts w:eastAsiaTheme="minorEastAsia"/>
          <w:lang w:val="en-GB"/>
        </w:rPr>
        <w:tab/>
      </w:r>
      <m:oMath>
        <m:sSub>
          <m:sSubPr>
            <m:ctrlPr>
              <w:rPr>
                <w:rFonts w:ascii="Cambria Math" w:eastAsiaTheme="minorEastAsia" w:hAnsi="Cambria Math"/>
                <w:lang w:val="en-GB"/>
              </w:rPr>
            </m:ctrlPr>
          </m:sSubPr>
          <m:e>
            <m:r>
              <w:rPr>
                <w:rFonts w:ascii="Cambria Math" w:eastAsiaTheme="minorEastAsia" w:hAnsi="Cambria Math"/>
                <w:lang w:val="en-GB"/>
              </w:rPr>
              <m:t>R</m:t>
            </m:r>
          </m:e>
          <m:sub>
            <m:r>
              <w:rPr>
                <w:rFonts w:ascii="Cambria Math" w:eastAsiaTheme="minorEastAsia" w:hAnsi="Cambria Math"/>
                <w:lang w:val="en-GB"/>
              </w:rPr>
              <m:t>avg</m:t>
            </m:r>
          </m:sub>
        </m:sSub>
        <m:r>
          <m:rPr>
            <m:sty m:val="p"/>
          </m:rPr>
          <w:rPr>
            <w:rFonts w:ascii="Cambria Math" w:eastAsiaTheme="minorEastAsia" w:hAnsi="Cambria Math"/>
            <w:lang w:val="en-GB"/>
          </w:rPr>
          <m:t xml:space="preserve"> ×</m:t>
        </m:r>
        <m:r>
          <w:rPr>
            <w:rFonts w:ascii="Cambria Math" w:eastAsiaTheme="minorEastAsia" w:hAnsi="Cambria Math"/>
            <w:lang w:val="en-GB"/>
          </w:rPr>
          <m:t>F</m:t>
        </m:r>
        <m:r>
          <m:rPr>
            <m:sty m:val="p"/>
          </m:rPr>
          <w:rPr>
            <w:rFonts w:ascii="Cambria Math" w:eastAsiaTheme="minorEastAsia" w:hAnsi="Cambria Math"/>
            <w:lang w:val="en-GB"/>
          </w:rPr>
          <m:t xml:space="preserve">=0.52 ×493.83=256.79 </m:t>
        </m:r>
      </m:oMath>
      <w:r w:rsidRPr="00CB75BD">
        <w:rPr>
          <w:rFonts w:eastAsiaTheme="minorEastAsia"/>
          <w:lang w:val="en-GB"/>
        </w:rPr>
        <w:tab/>
        <w:t>(</w:t>
      </w:r>
      <w:r w:rsidR="00CB75BD">
        <w:rPr>
          <w:rFonts w:eastAsiaTheme="minorEastAsia"/>
          <w:lang w:val="en-GB"/>
        </w:rPr>
        <w:t>11</w:t>
      </w:r>
      <w:r w:rsidRPr="00CB75BD">
        <w:rPr>
          <w:rFonts w:eastAsiaTheme="minorEastAsia"/>
          <w:lang w:val="en-GB"/>
        </w:rPr>
        <w:t>)</w:t>
      </w:r>
    </w:p>
    <w:p w:rsidR="006612E7" w:rsidRPr="00CB75BD" w:rsidRDefault="006612E7" w:rsidP="006612E7">
      <w:pPr>
        <w:pStyle w:val="FigureNo"/>
        <w:rPr>
          <w:lang w:val="en-GB"/>
        </w:rPr>
      </w:pPr>
      <w:r w:rsidRPr="00CB75BD">
        <w:rPr>
          <w:lang w:val="en-GB"/>
        </w:rPr>
        <w:t>Figure 1</w:t>
      </w:r>
    </w:p>
    <w:p w:rsidR="006612E7" w:rsidRPr="00CB75BD" w:rsidRDefault="006612E7" w:rsidP="006612E7">
      <w:pPr>
        <w:pStyle w:val="Figuretitle"/>
        <w:rPr>
          <w:lang w:val="en-GB"/>
        </w:rPr>
      </w:pPr>
      <w:r w:rsidRPr="00CB75BD">
        <w:rPr>
          <w:lang w:val="en-GB"/>
        </w:rPr>
        <w:t xml:space="preserve">Ionospheric electron density versus height (date = June, 14, 2017, </w:t>
      </w:r>
      <w:r w:rsidRPr="00CB75BD">
        <w:rPr>
          <w:lang w:val="en-GB"/>
        </w:rPr>
        <w:br/>
        <w:t>Universal time = 1.5 hour, latitude = 50</w:t>
      </w:r>
      <w:r w:rsidRPr="00CB75BD">
        <w:rPr>
          <w:vertAlign w:val="superscript"/>
          <w:lang w:val="en-GB"/>
        </w:rPr>
        <w:t>o</w:t>
      </w:r>
      <w:r w:rsidRPr="00CB75BD">
        <w:rPr>
          <w:lang w:val="en-GB"/>
        </w:rPr>
        <w:t>, longitude 40</w:t>
      </w:r>
      <w:r w:rsidRPr="00CB75BD">
        <w:rPr>
          <w:vertAlign w:val="superscript"/>
          <w:lang w:val="en-GB"/>
        </w:rPr>
        <w:t>o</w:t>
      </w:r>
      <w:r w:rsidRPr="00CB75BD">
        <w:rPr>
          <w:lang w:val="en-GB"/>
        </w:rPr>
        <w:t xml:space="preserve">) </w:t>
      </w:r>
    </w:p>
    <w:p w:rsidR="006612E7" w:rsidRPr="00CB75BD" w:rsidRDefault="006612E7" w:rsidP="006612E7">
      <w:pPr>
        <w:pStyle w:val="Figure"/>
        <w:rPr>
          <w:lang w:val="en-GB"/>
        </w:rPr>
      </w:pPr>
      <w:r w:rsidRPr="00CB75BD">
        <w:rPr>
          <w:noProof/>
          <w:lang w:val="en-GB" w:eastAsia="en-GB"/>
        </w:rPr>
        <w:drawing>
          <wp:inline distT="0" distB="0" distL="0" distR="0" wp14:anchorId="4BA1204C" wp14:editId="7F60EC48">
            <wp:extent cx="5943090" cy="2731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273"/>
                    <a:stretch/>
                  </pic:blipFill>
                  <pic:spPr bwMode="auto">
                    <a:xfrm>
                      <a:off x="0" y="0"/>
                      <a:ext cx="5943600" cy="2731370"/>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Normalaftertitle"/>
        <w:rPr>
          <w:rFonts w:eastAsiaTheme="minorEastAsia"/>
          <w:lang w:val="en-GB"/>
        </w:rPr>
      </w:pPr>
      <w:r w:rsidRPr="00CB75BD">
        <w:rPr>
          <w:lang w:val="en-GB"/>
        </w:rPr>
        <w:t>Based on this Figure</w:t>
      </w:r>
      <w:proofErr w:type="gramStart"/>
      <w:r w:rsidRPr="00CB75BD">
        <w:rPr>
          <w:lang w:val="en-GB"/>
        </w:rPr>
        <w:t xml:space="preserve">: </w:t>
      </w:r>
      <w:proofErr w:type="gramEnd"/>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en-GB"/>
          </w:rPr>
          <m:t>=1.8×</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17</m:t>
            </m:r>
          </m:sup>
        </m:sSup>
        <m:r>
          <m:rPr>
            <m:sty m:val="p"/>
          </m:rPr>
          <w:rPr>
            <w:rFonts w:ascii="Cambria Math" w:hAnsi="Cambria Math"/>
            <w:lang w:val="en-GB"/>
          </w:rPr>
          <m:t xml:space="preserve"> el/</m:t>
        </m:r>
        <m:sSup>
          <m:sSupPr>
            <m:ctrlPr>
              <w:rPr>
                <w:rFonts w:ascii="Cambria Math" w:hAnsi="Cambria Math"/>
                <w:lang w:val="en-GB"/>
              </w:rPr>
            </m:ctrlPr>
          </m:sSupPr>
          <m:e>
            <m:r>
              <w:rPr>
                <w:rFonts w:ascii="Cambria Math" w:hAnsi="Cambria Math"/>
                <w:lang w:val="en-GB"/>
              </w:rPr>
              <m:t>m</m:t>
            </m:r>
          </m:e>
          <m:sup>
            <m:r>
              <w:rPr>
                <w:rFonts w:ascii="Cambria Math" w:hAnsi="Cambria Math"/>
                <w:lang w:val="en-GB"/>
              </w:rPr>
              <m:t>2</m:t>
            </m:r>
          </m:sup>
        </m:sSup>
      </m:oMath>
      <w:r w:rsidRPr="00CB75BD">
        <w:rPr>
          <w:lang w:val="en-GB"/>
        </w:rPr>
        <w:t xml:space="preserve">, </w:t>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TS</m:t>
            </m:r>
          </m:sub>
        </m:sSub>
        <m:r>
          <m:rPr>
            <m:sty m:val="p"/>
          </m:rPr>
          <w:rPr>
            <w:rFonts w:ascii="Cambria Math" w:hAnsi="Cambria Math"/>
            <w:lang w:val="en-GB"/>
          </w:rPr>
          <m:t>=8.7×</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16</m:t>
            </m:r>
          </m:sup>
        </m:sSup>
        <m:r>
          <m:rPr>
            <m:sty m:val="p"/>
          </m:rPr>
          <w:rPr>
            <w:rFonts w:ascii="Cambria Math" w:hAnsi="Cambria Math"/>
            <w:lang w:val="en-GB"/>
          </w:rPr>
          <m:t>el/</m:t>
        </m:r>
        <m:sSup>
          <m:sSupPr>
            <m:ctrlPr>
              <w:rPr>
                <w:rFonts w:ascii="Cambria Math" w:hAnsi="Cambria Math"/>
                <w:lang w:val="en-GB"/>
              </w:rPr>
            </m:ctrlPr>
          </m:sSupPr>
          <m:e>
            <m:r>
              <w:rPr>
                <w:rFonts w:ascii="Cambria Math" w:hAnsi="Cambria Math"/>
                <w:lang w:val="en-GB"/>
              </w:rPr>
              <m:t>m</m:t>
            </m:r>
          </m:e>
          <m:sup>
            <m:r>
              <w:rPr>
                <w:rFonts w:ascii="Cambria Math" w:hAnsi="Cambria Math"/>
                <w:lang w:val="en-GB"/>
              </w:rPr>
              <m:t>2</m:t>
            </m:r>
          </m:sup>
        </m:sSup>
      </m:oMath>
      <w:r w:rsidRPr="00CB75BD">
        <w:rPr>
          <w:rFonts w:eastAsiaTheme="minorEastAsia"/>
          <w:lang w:val="en-GB"/>
        </w:rPr>
        <w:t xml:space="preserve">, and </w:t>
      </w:r>
      <m:oMath>
        <m:r>
          <w:rPr>
            <w:rFonts w:ascii="Cambria Math" w:eastAsiaTheme="minorEastAsia" w:hAnsi="Cambria Math"/>
            <w:lang w:val="en-GB"/>
          </w:rPr>
          <m:t>R</m:t>
        </m:r>
        <m:r>
          <m:rPr>
            <m:sty m:val="p"/>
          </m:rPr>
          <w:rPr>
            <w:rFonts w:ascii="Cambria Math" w:eastAsiaTheme="minorEastAsia" w:hAnsi="Cambria Math"/>
            <w:lang w:val="en-GB"/>
          </w:rPr>
          <m:t>=0.482 .</m:t>
        </m:r>
      </m:oMath>
    </w:p>
    <w:p w:rsidR="006612E7" w:rsidRPr="00CB75BD" w:rsidRDefault="006612E7" w:rsidP="006612E7">
      <w:pPr>
        <w:pStyle w:val="FigureNo"/>
        <w:rPr>
          <w:lang w:val="en-GB"/>
        </w:rPr>
      </w:pPr>
      <w:r w:rsidRPr="00CB75BD">
        <w:rPr>
          <w:lang w:val="en-GB"/>
        </w:rPr>
        <w:t>Figure 2</w:t>
      </w:r>
    </w:p>
    <w:p w:rsidR="006612E7" w:rsidRPr="00CB75BD" w:rsidRDefault="006612E7" w:rsidP="006612E7">
      <w:pPr>
        <w:pStyle w:val="Figuretitle"/>
        <w:rPr>
          <w:rFonts w:eastAsiaTheme="minorEastAsia"/>
          <w:lang w:val="en-GB"/>
        </w:rPr>
      </w:pPr>
      <w:r w:rsidRPr="00CB75BD">
        <w:rPr>
          <w:lang w:val="en-GB"/>
        </w:rPr>
        <w:t xml:space="preserve">Ionospheric electron density versus height (date = June, 14, 2017, </w:t>
      </w:r>
      <w:r w:rsidRPr="00CB75BD">
        <w:rPr>
          <w:lang w:val="en-GB"/>
        </w:rPr>
        <w:br/>
        <w:t>Universal time = 1.5 hour, latitude = 50</w:t>
      </w:r>
      <w:r w:rsidRPr="00CB75BD">
        <w:rPr>
          <w:vertAlign w:val="superscript"/>
          <w:lang w:val="en-GB"/>
        </w:rPr>
        <w:t>o</w:t>
      </w:r>
      <w:r w:rsidRPr="00CB75BD">
        <w:rPr>
          <w:lang w:val="en-GB"/>
        </w:rPr>
        <w:t>, longitude 90</w:t>
      </w:r>
      <w:r w:rsidRPr="00CB75BD">
        <w:rPr>
          <w:vertAlign w:val="superscript"/>
          <w:lang w:val="en-GB"/>
        </w:rPr>
        <w:t>o</w:t>
      </w:r>
      <w:r w:rsidRPr="00CB75BD">
        <w:rPr>
          <w:lang w:val="en-GB"/>
        </w:rPr>
        <w:t>)</w:t>
      </w:r>
    </w:p>
    <w:p w:rsidR="006612E7" w:rsidRPr="00CB75BD" w:rsidRDefault="006612E7" w:rsidP="006612E7">
      <w:pPr>
        <w:pStyle w:val="Figure"/>
        <w:rPr>
          <w:lang w:val="en-GB"/>
        </w:rPr>
      </w:pPr>
      <w:r w:rsidRPr="00CB75BD">
        <w:rPr>
          <w:noProof/>
          <w:lang w:val="en-GB" w:eastAsia="en-GB"/>
        </w:rPr>
        <w:drawing>
          <wp:inline distT="0" distB="0" distL="0" distR="0" wp14:anchorId="44557CD8" wp14:editId="1EA33985">
            <wp:extent cx="5943090" cy="2715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807"/>
                    <a:stretch/>
                  </pic:blipFill>
                  <pic:spPr bwMode="auto">
                    <a:xfrm>
                      <a:off x="0" y="0"/>
                      <a:ext cx="5943600" cy="2716128"/>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Normalaftertitle"/>
        <w:rPr>
          <w:rFonts w:eastAsiaTheme="minorEastAsia"/>
          <w:lang w:val="en-GB"/>
        </w:rPr>
      </w:pPr>
      <w:r w:rsidRPr="00CB75BD">
        <w:rPr>
          <w:lang w:val="en-GB"/>
        </w:rPr>
        <w:t>Based on this Figure</w:t>
      </w:r>
      <w:proofErr w:type="gramStart"/>
      <w:r w:rsidRPr="00CB75BD">
        <w:rPr>
          <w:lang w:val="en-GB"/>
        </w:rPr>
        <w:t xml:space="preserve">: </w:t>
      </w:r>
      <w:proofErr w:type="gramEnd"/>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en-GB"/>
          </w:rPr>
          <m:t>=2.7×</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17</m:t>
            </m:r>
          </m:sup>
        </m:sSup>
        <m:r>
          <m:rPr>
            <m:sty m:val="p"/>
          </m:rPr>
          <w:rPr>
            <w:rFonts w:ascii="Cambria Math" w:hAnsi="Cambria Math"/>
            <w:lang w:val="en-GB"/>
          </w:rPr>
          <m:t xml:space="preserve"> el/</m:t>
        </m:r>
        <m:sSup>
          <m:sSupPr>
            <m:ctrlPr>
              <w:rPr>
                <w:rFonts w:ascii="Cambria Math" w:hAnsi="Cambria Math"/>
                <w:lang w:val="en-GB"/>
              </w:rPr>
            </m:ctrlPr>
          </m:sSupPr>
          <m:e>
            <m:r>
              <w:rPr>
                <w:rFonts w:ascii="Cambria Math" w:hAnsi="Cambria Math"/>
                <w:lang w:val="en-GB"/>
              </w:rPr>
              <m:t>m</m:t>
            </m:r>
          </m:e>
          <m:sup>
            <m:r>
              <w:rPr>
                <w:rFonts w:ascii="Cambria Math" w:hAnsi="Cambria Math"/>
                <w:lang w:val="en-GB"/>
              </w:rPr>
              <m:t>2</m:t>
            </m:r>
          </m:sup>
        </m:sSup>
      </m:oMath>
      <w:r w:rsidRPr="00CB75BD">
        <w:rPr>
          <w:lang w:val="en-GB"/>
        </w:rPr>
        <w:t xml:space="preserve">, </w:t>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TS</m:t>
            </m:r>
          </m:sub>
        </m:sSub>
        <m:r>
          <m:rPr>
            <m:sty m:val="p"/>
          </m:rPr>
          <w:rPr>
            <w:rFonts w:ascii="Cambria Math" w:hAnsi="Cambria Math"/>
            <w:lang w:val="en-GB"/>
          </w:rPr>
          <m:t>=1.6×</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17</m:t>
            </m:r>
          </m:sup>
        </m:sSup>
        <m:r>
          <m:rPr>
            <m:sty m:val="p"/>
          </m:rPr>
          <w:rPr>
            <w:rFonts w:ascii="Cambria Math" w:hAnsi="Cambria Math"/>
            <w:lang w:val="en-GB"/>
          </w:rPr>
          <m:t>el/</m:t>
        </m:r>
        <m:sSup>
          <m:sSupPr>
            <m:ctrlPr>
              <w:rPr>
                <w:rFonts w:ascii="Cambria Math" w:hAnsi="Cambria Math"/>
                <w:lang w:val="en-GB"/>
              </w:rPr>
            </m:ctrlPr>
          </m:sSupPr>
          <m:e>
            <m:r>
              <w:rPr>
                <w:rFonts w:ascii="Cambria Math" w:hAnsi="Cambria Math"/>
                <w:lang w:val="en-GB"/>
              </w:rPr>
              <m:t>m</m:t>
            </m:r>
          </m:e>
          <m:sup>
            <m:r>
              <w:rPr>
                <w:rFonts w:ascii="Cambria Math" w:hAnsi="Cambria Math"/>
                <w:lang w:val="en-GB"/>
              </w:rPr>
              <m:t>2</m:t>
            </m:r>
          </m:sup>
        </m:sSup>
      </m:oMath>
      <w:r w:rsidRPr="00CB75BD">
        <w:rPr>
          <w:rFonts w:eastAsiaTheme="minorEastAsia"/>
          <w:lang w:val="en-GB"/>
        </w:rPr>
        <w:t xml:space="preserve">, and </w:t>
      </w:r>
      <m:oMath>
        <m:r>
          <w:rPr>
            <w:rFonts w:ascii="Cambria Math" w:eastAsiaTheme="minorEastAsia" w:hAnsi="Cambria Math"/>
            <w:lang w:val="en-GB"/>
          </w:rPr>
          <m:t>R</m:t>
        </m:r>
        <m:r>
          <m:rPr>
            <m:sty m:val="p"/>
          </m:rPr>
          <w:rPr>
            <w:rFonts w:ascii="Cambria Math" w:eastAsiaTheme="minorEastAsia" w:hAnsi="Cambria Math"/>
            <w:lang w:val="en-GB"/>
          </w:rPr>
          <m:t>=0.582</m:t>
        </m:r>
      </m:oMath>
    </w:p>
    <w:p w:rsidR="006612E7" w:rsidRPr="00CB75BD" w:rsidRDefault="006612E7" w:rsidP="006612E7">
      <w:pPr>
        <w:pStyle w:val="FigureNo"/>
        <w:rPr>
          <w:lang w:val="en-GB"/>
        </w:rPr>
      </w:pPr>
      <w:r w:rsidRPr="00CB75BD">
        <w:rPr>
          <w:lang w:val="en-GB"/>
        </w:rPr>
        <w:lastRenderedPageBreak/>
        <w:t>Figure 3</w:t>
      </w:r>
    </w:p>
    <w:p w:rsidR="006612E7" w:rsidRPr="00CB75BD" w:rsidRDefault="006612E7" w:rsidP="006612E7">
      <w:pPr>
        <w:pStyle w:val="Figuretitle"/>
        <w:rPr>
          <w:lang w:val="en-GB"/>
        </w:rPr>
      </w:pPr>
      <w:r w:rsidRPr="00CB75BD">
        <w:rPr>
          <w:lang w:val="en-GB"/>
        </w:rPr>
        <w:t xml:space="preserve">Ionospheric electron density versus height (date = June, 14, 2017, </w:t>
      </w:r>
      <w:r w:rsidRPr="00CB75BD">
        <w:rPr>
          <w:lang w:val="en-GB"/>
        </w:rPr>
        <w:br/>
        <w:t>Universal time = 1.5 hour, latitude = 0</w:t>
      </w:r>
      <w:r w:rsidRPr="00CB75BD">
        <w:rPr>
          <w:vertAlign w:val="superscript"/>
          <w:lang w:val="en-GB"/>
        </w:rPr>
        <w:t>o</w:t>
      </w:r>
      <w:r w:rsidRPr="00CB75BD">
        <w:rPr>
          <w:lang w:val="en-GB"/>
        </w:rPr>
        <w:t>, longitude 0</w:t>
      </w:r>
      <w:r w:rsidRPr="00CB75BD">
        <w:rPr>
          <w:vertAlign w:val="superscript"/>
          <w:lang w:val="en-GB"/>
        </w:rPr>
        <w:t>o</w:t>
      </w:r>
      <w:r w:rsidRPr="00CB75BD">
        <w:rPr>
          <w:lang w:val="en-GB"/>
        </w:rPr>
        <w:t>)</w:t>
      </w:r>
    </w:p>
    <w:p w:rsidR="006612E7" w:rsidRPr="00CB75BD" w:rsidRDefault="006612E7" w:rsidP="006612E7">
      <w:pPr>
        <w:pStyle w:val="Figure"/>
        <w:rPr>
          <w:lang w:val="en-GB"/>
        </w:rPr>
      </w:pPr>
      <w:r w:rsidRPr="00CB75BD">
        <w:rPr>
          <w:noProof/>
          <w:lang w:val="en-GB" w:eastAsia="en-GB"/>
        </w:rPr>
        <w:drawing>
          <wp:inline distT="0" distB="0" distL="0" distR="0" wp14:anchorId="76E26EFE" wp14:editId="67C8F1A5">
            <wp:extent cx="5943600" cy="2853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53300"/>
                    </a:xfrm>
                    <a:prstGeom prst="rect">
                      <a:avLst/>
                    </a:prstGeom>
                    <a:noFill/>
                    <a:ln>
                      <a:noFill/>
                    </a:ln>
                  </pic:spPr>
                </pic:pic>
              </a:graphicData>
            </a:graphic>
          </wp:inline>
        </w:drawing>
      </w:r>
    </w:p>
    <w:p w:rsidR="006612E7" w:rsidRPr="00CB75BD" w:rsidRDefault="006612E7" w:rsidP="006612E7">
      <w:pPr>
        <w:jc w:val="center"/>
        <w:rPr>
          <w:rFonts w:eastAsiaTheme="minorEastAsia"/>
          <w:lang w:val="en-GB"/>
        </w:rPr>
      </w:pPr>
      <w:r w:rsidRPr="00CB75BD">
        <w:rPr>
          <w:lang w:val="en-GB"/>
        </w:rPr>
        <w:t>Based on this Figure</w:t>
      </w:r>
      <w:proofErr w:type="gramStart"/>
      <w:r w:rsidRPr="00CB75BD">
        <w:rPr>
          <w:lang w:val="en-GB"/>
        </w:rPr>
        <w:t xml:space="preserve">: </w:t>
      </w:r>
      <w:proofErr w:type="gramEnd"/>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T</m:t>
            </m:r>
          </m:sub>
        </m:sSub>
        <m:r>
          <w:rPr>
            <w:rFonts w:ascii="Cambria Math" w:hAnsi="Cambria Math"/>
            <w:lang w:val="en-GB"/>
          </w:rPr>
          <m:t>=2.2×</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17</m:t>
            </m:r>
          </m:sup>
        </m:sSup>
        <m:r>
          <w:rPr>
            <w:rFonts w:ascii="Cambria Math" w:hAnsi="Cambria Math"/>
            <w:lang w:val="en-GB"/>
          </w:rPr>
          <m:t xml:space="preserve"> </m:t>
        </m:r>
        <m:r>
          <m:rPr>
            <m:sty m:val="p"/>
          </m:rPr>
          <w:rPr>
            <w:rFonts w:ascii="Cambria Math" w:hAnsi="Cambria Math"/>
            <w:lang w:val="en-GB"/>
          </w:rPr>
          <m:t>el/</m:t>
        </m:r>
        <m:sSup>
          <m:sSupPr>
            <m:ctrlPr>
              <w:rPr>
                <w:rFonts w:ascii="Cambria Math" w:hAnsi="Cambria Math"/>
                <w:lang w:val="en-GB"/>
              </w:rPr>
            </m:ctrlPr>
          </m:sSupPr>
          <m:e>
            <m:r>
              <w:rPr>
                <w:rFonts w:ascii="Cambria Math" w:hAnsi="Cambria Math"/>
                <w:lang w:val="en-GB"/>
              </w:rPr>
              <m:t>m</m:t>
            </m:r>
          </m:e>
          <m:sup>
            <m:r>
              <w:rPr>
                <w:rFonts w:ascii="Cambria Math" w:hAnsi="Cambria Math"/>
                <w:lang w:val="en-GB"/>
              </w:rPr>
              <m:t>2</m:t>
            </m:r>
          </m:sup>
        </m:sSup>
      </m:oMath>
      <w:r w:rsidRPr="00CB75BD">
        <w:rPr>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TS</m:t>
            </m:r>
          </m:sub>
        </m:sSub>
        <m:r>
          <w:rPr>
            <w:rFonts w:ascii="Cambria Math" w:hAnsi="Cambria Math"/>
            <w:lang w:val="en-GB"/>
          </w:rPr>
          <m:t>=1.2×</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17</m:t>
            </m:r>
          </m:sup>
        </m:sSup>
        <m:r>
          <m:rPr>
            <m:sty m:val="p"/>
          </m:rPr>
          <w:rPr>
            <w:rFonts w:ascii="Cambria Math" w:hAnsi="Cambria Math"/>
            <w:lang w:val="en-GB"/>
          </w:rPr>
          <m:t>el/</m:t>
        </m:r>
        <m:sSup>
          <m:sSupPr>
            <m:ctrlPr>
              <w:rPr>
                <w:rFonts w:ascii="Cambria Math" w:hAnsi="Cambria Math"/>
                <w:lang w:val="en-GB"/>
              </w:rPr>
            </m:ctrlPr>
          </m:sSupPr>
          <m:e>
            <m:r>
              <w:rPr>
                <w:rFonts w:ascii="Cambria Math" w:hAnsi="Cambria Math"/>
                <w:lang w:val="en-GB"/>
              </w:rPr>
              <m:t>m</m:t>
            </m:r>
          </m:e>
          <m:sup>
            <m:r>
              <w:rPr>
                <w:rFonts w:ascii="Cambria Math" w:hAnsi="Cambria Math"/>
                <w:lang w:val="en-GB"/>
              </w:rPr>
              <m:t>2</m:t>
            </m:r>
          </m:sup>
        </m:sSup>
      </m:oMath>
      <w:r w:rsidR="00F840E2" w:rsidRPr="00CB75BD">
        <w:rPr>
          <w:rFonts w:eastAsiaTheme="minorEastAsia"/>
          <w:lang w:val="en-GB"/>
        </w:rPr>
        <w:t>, and</w:t>
      </w:r>
      <w:r w:rsidRPr="00CB75BD">
        <w:rPr>
          <w:rFonts w:eastAsiaTheme="minorEastAsia"/>
          <w:lang w:val="en-GB"/>
        </w:rPr>
        <w:t xml:space="preserve"> </w:t>
      </w:r>
      <m:oMath>
        <m:r>
          <w:rPr>
            <w:rFonts w:ascii="Cambria Math" w:eastAsiaTheme="minorEastAsia" w:hAnsi="Cambria Math"/>
            <w:lang w:val="en-GB"/>
          </w:rPr>
          <m:t>R=0.5561</m:t>
        </m:r>
      </m:oMath>
    </w:p>
    <w:p w:rsidR="006612E7" w:rsidRPr="00CB75BD" w:rsidRDefault="006612E7" w:rsidP="006612E7">
      <w:pPr>
        <w:pStyle w:val="Heading1"/>
        <w:rPr>
          <w:rFonts w:eastAsiaTheme="minorEastAsia"/>
          <w:lang w:val="en-GB"/>
        </w:rPr>
      </w:pPr>
      <w:bookmarkStart w:id="126" w:name="_Toc14851694"/>
      <w:bookmarkStart w:id="127" w:name="_Toc14851784"/>
      <w:bookmarkStart w:id="128" w:name="_Toc14858089"/>
      <w:bookmarkStart w:id="129" w:name="_Toc14858470"/>
      <w:r w:rsidRPr="00CB75BD">
        <w:rPr>
          <w:rFonts w:eastAsiaTheme="minorEastAsia"/>
          <w:lang w:val="en-GB"/>
        </w:rPr>
        <w:t>4</w:t>
      </w:r>
      <w:r w:rsidRPr="00CB75BD">
        <w:rPr>
          <w:rFonts w:eastAsiaTheme="minorEastAsia"/>
          <w:lang w:val="en-GB"/>
        </w:rPr>
        <w:tab/>
        <w:t>Calculating propagation parameters within the second group</w:t>
      </w:r>
      <w:bookmarkEnd w:id="126"/>
      <w:bookmarkEnd w:id="127"/>
      <w:bookmarkEnd w:id="128"/>
      <w:bookmarkEnd w:id="129"/>
    </w:p>
    <w:p w:rsidR="006612E7" w:rsidRPr="00CB75BD" w:rsidRDefault="006612E7" w:rsidP="006612E7">
      <w:pPr>
        <w:spacing w:after="120"/>
        <w:rPr>
          <w:szCs w:val="24"/>
          <w:lang w:val="en-GB"/>
        </w:rPr>
      </w:pPr>
      <w:r w:rsidRPr="00CB75BD">
        <w:rPr>
          <w:szCs w:val="24"/>
          <w:lang w:val="en-GB"/>
        </w:rPr>
        <w:t>The propagation parameters within the second group are:</w:t>
      </w:r>
    </w:p>
    <w:p w:rsidR="006612E7" w:rsidRPr="00CB75BD" w:rsidRDefault="006612E7" w:rsidP="006612E7">
      <w:pPr>
        <w:pStyle w:val="enumlev1"/>
        <w:rPr>
          <w:lang w:val="en-GB"/>
        </w:rPr>
      </w:pPr>
      <w:r w:rsidRPr="00CB75BD">
        <w:rPr>
          <w:lang w:val="en-GB"/>
        </w:rPr>
        <w:t>−</w:t>
      </w:r>
      <w:r w:rsidRPr="00CB75BD">
        <w:rPr>
          <w:lang w:val="en-GB"/>
        </w:rPr>
        <w:tab/>
      </w:r>
      <w:proofErr w:type="gramStart"/>
      <w:r w:rsidRPr="00CB75BD">
        <w:rPr>
          <w:lang w:val="en-GB"/>
        </w:rPr>
        <w:t>variation</w:t>
      </w:r>
      <w:proofErr w:type="gramEnd"/>
      <w:r w:rsidRPr="00CB75BD">
        <w:rPr>
          <w:lang w:val="en-GB"/>
        </w:rPr>
        <w:t xml:space="preserve"> in angle of arrival; and</w:t>
      </w:r>
    </w:p>
    <w:p w:rsidR="006612E7" w:rsidRPr="00CB75BD" w:rsidRDefault="006612E7" w:rsidP="006612E7">
      <w:pPr>
        <w:pStyle w:val="enumlev1"/>
        <w:rPr>
          <w:lang w:val="en-GB"/>
        </w:rPr>
      </w:pPr>
      <w:r w:rsidRPr="00CB75BD">
        <w:rPr>
          <w:lang w:val="en-GB"/>
        </w:rPr>
        <w:t>−</w:t>
      </w:r>
      <w:r w:rsidRPr="00CB75BD">
        <w:rPr>
          <w:lang w:val="en-GB"/>
        </w:rPr>
        <w:tab/>
      </w:r>
      <w:proofErr w:type="gramStart"/>
      <w:r w:rsidRPr="00CB75BD">
        <w:rPr>
          <w:lang w:val="en-GB"/>
        </w:rPr>
        <w:t>refraction</w:t>
      </w:r>
      <w:proofErr w:type="gramEnd"/>
      <w:r w:rsidRPr="00CB75BD">
        <w:rPr>
          <w:lang w:val="en-GB"/>
        </w:rPr>
        <w:t>.</w:t>
      </w:r>
    </w:p>
    <w:p w:rsidR="006612E7" w:rsidRPr="00CB75BD" w:rsidRDefault="006612E7" w:rsidP="006612E7">
      <w:pPr>
        <w:pStyle w:val="Heading2"/>
        <w:rPr>
          <w:lang w:val="en-GB"/>
        </w:rPr>
      </w:pPr>
      <w:bookmarkStart w:id="130" w:name="_Toc14851695"/>
      <w:bookmarkStart w:id="131" w:name="_Toc14851785"/>
      <w:bookmarkStart w:id="132" w:name="_Toc14858090"/>
      <w:bookmarkStart w:id="133" w:name="_Toc14858471"/>
      <w:r w:rsidRPr="00CB75BD">
        <w:rPr>
          <w:lang w:val="en-GB"/>
        </w:rPr>
        <w:t>4.1</w:t>
      </w:r>
      <w:r w:rsidRPr="00CB75BD">
        <w:rPr>
          <w:lang w:val="en-GB"/>
        </w:rPr>
        <w:tab/>
        <w:t>Variation in angle of arrival</w:t>
      </w:r>
      <w:bookmarkEnd w:id="130"/>
      <w:bookmarkEnd w:id="131"/>
      <w:bookmarkEnd w:id="132"/>
      <w:bookmarkEnd w:id="133"/>
    </w:p>
    <w:p w:rsidR="006612E7" w:rsidRPr="00CB75BD" w:rsidRDefault="006612E7" w:rsidP="006612E7">
      <w:pPr>
        <w:rPr>
          <w:lang w:val="en-GB"/>
        </w:rPr>
      </w:pPr>
      <w:r w:rsidRPr="00CB75BD">
        <w:rPr>
          <w:lang w:val="en-GB"/>
        </w:rPr>
        <w:t>The variation in angle of arrival in case of the downlink (sounder – Earth) direction can be obtained from the following Snell’s law in polar coordinate:</w:t>
      </w:r>
    </w:p>
    <w:p w:rsidR="006612E7" w:rsidRPr="00CB75BD" w:rsidRDefault="006612E7" w:rsidP="006612E7">
      <w:pPr>
        <w:pStyle w:val="Equation"/>
        <w:rPr>
          <w:rFonts w:eastAsiaTheme="minorEastAsia"/>
          <w:lang w:val="en-GB"/>
        </w:rPr>
      </w:pPr>
      <w:r w:rsidRPr="00CB75BD">
        <w:rPr>
          <w:lang w:val="en-GB"/>
        </w:rPr>
        <w:tab/>
      </w:r>
      <w:r w:rsidRPr="00CB75BD">
        <w:rPr>
          <w:lang w:val="en-GB"/>
        </w:rPr>
        <w:tab/>
      </w:r>
      <m:oMath>
        <m:d>
          <m:dPr>
            <m:ctrlPr>
              <w:rPr>
                <w:rFonts w:ascii="Cambria Math" w:hAnsi="Cambria Math"/>
                <w:lang w:val="en-GB"/>
              </w:rPr>
            </m:ctrlPr>
          </m:dPr>
          <m:e>
            <m:r>
              <w:rPr>
                <w:rFonts w:ascii="Cambria Math" w:hAnsi="Cambria Math"/>
                <w:lang w:val="en-GB"/>
              </w:rPr>
              <m:t>a</m:t>
            </m:r>
            <m:r>
              <m:rPr>
                <m:sty m:val="p"/>
              </m:rPr>
              <w:rPr>
                <w:rFonts w:ascii="Cambria Math" w:hAnsi="Cambria Math"/>
                <w:lang w:val="en-GB"/>
              </w:rPr>
              <m:t>+</m:t>
            </m:r>
            <m:r>
              <w:rPr>
                <w:rFonts w:ascii="Cambria Math" w:hAnsi="Cambria Math"/>
                <w:lang w:val="en-GB"/>
              </w:rPr>
              <m:t>h</m:t>
            </m:r>
          </m:e>
        </m:d>
        <m:r>
          <w:rPr>
            <w:rFonts w:ascii="Cambria Math" w:hAnsi="Cambria Math"/>
            <w:lang w:val="en-GB"/>
          </w:rPr>
          <m:t>n</m:t>
        </m:r>
        <m:d>
          <m:dPr>
            <m:ctrlPr>
              <w:rPr>
                <w:rFonts w:ascii="Cambria Math" w:hAnsi="Cambria Math"/>
                <w:lang w:val="en-GB"/>
              </w:rPr>
            </m:ctrlPr>
          </m:dPr>
          <m:e>
            <m:r>
              <w:rPr>
                <w:rFonts w:ascii="Cambria Math" w:hAnsi="Cambria Math"/>
                <w:lang w:val="en-GB"/>
              </w:rPr>
              <m:t>h</m:t>
            </m:r>
          </m:e>
        </m:d>
        <m:func>
          <m:funcPr>
            <m:ctrlPr>
              <w:rPr>
                <w:rFonts w:ascii="Cambria Math" w:hAnsi="Cambria Math"/>
                <w:lang w:val="en-GB"/>
              </w:rPr>
            </m:ctrlPr>
          </m:funcPr>
          <m:fName>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h</m:t>
                    </m:r>
                  </m:sub>
                </m:sSub>
              </m:e>
            </m:func>
          </m:fName>
          <m:e>
            <m:r>
              <m:rPr>
                <m:sty m:val="p"/>
              </m:rPr>
              <w:rPr>
                <w:rFonts w:ascii="Cambria Math" w:hAnsi="Cambria Math"/>
                <w:lang w:val="en-GB"/>
              </w:rPr>
              <m:t xml:space="preserve">= </m:t>
            </m:r>
            <m:d>
              <m:dPr>
                <m:ctrlPr>
                  <w:rPr>
                    <w:rFonts w:ascii="Cambria Math" w:hAnsi="Cambria Math"/>
                    <w:lang w:val="en-GB"/>
                  </w:rPr>
                </m:ctrlPr>
              </m:dPr>
              <m:e>
                <m:r>
                  <w:rPr>
                    <w:rFonts w:ascii="Cambria Math" w:hAnsi="Cambria Math"/>
                    <w:lang w:val="en-GB"/>
                  </w:rPr>
                  <m:t>a</m:t>
                </m:r>
                <m:r>
                  <m:rPr>
                    <m:sty m:val="p"/>
                  </m:rPr>
                  <w:rPr>
                    <w:rFonts w:ascii="Cambria Math" w:hAnsi="Cambria Math"/>
                    <w:lang w:val="en-GB"/>
                  </w:rPr>
                  <m:t>+400</m:t>
                </m:r>
              </m:e>
            </m:d>
          </m:e>
        </m:func>
        <m:r>
          <w:rPr>
            <w:rFonts w:ascii="Cambria Math" w:hAnsi="Cambria Math"/>
            <w:lang w:val="en-GB"/>
          </w:rPr>
          <m:t>n</m:t>
        </m:r>
        <m:d>
          <m:dPr>
            <m:ctrlPr>
              <w:rPr>
                <w:rFonts w:ascii="Cambria Math" w:hAnsi="Cambria Math"/>
                <w:lang w:val="en-GB"/>
              </w:rPr>
            </m:ctrlPr>
          </m:dPr>
          <m:e>
            <m:r>
              <m:rPr>
                <m:sty m:val="p"/>
              </m:rPr>
              <w:rPr>
                <w:rFonts w:ascii="Cambria Math" w:hAnsi="Cambria Math"/>
                <w:lang w:val="en-GB"/>
              </w:rPr>
              <m:t>400</m:t>
            </m:r>
          </m:e>
        </m:d>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φ</m:t>
                </m:r>
              </m:e>
              <m:sub>
                <m:r>
                  <m:rPr>
                    <m:sty m:val="p"/>
                  </m:rPr>
                  <w:rPr>
                    <w:rFonts w:ascii="Cambria Math" w:hAnsi="Cambria Math"/>
                    <w:lang w:val="en-GB"/>
                  </w:rPr>
                  <m:t>400</m:t>
                </m:r>
              </m:sub>
            </m:sSub>
          </m:e>
        </m:func>
      </m:oMath>
      <w:r w:rsidRPr="00CB75BD">
        <w:rPr>
          <w:rFonts w:eastAsiaTheme="minorEastAsia"/>
          <w:lang w:val="en-GB"/>
        </w:rPr>
        <w:tab/>
        <w:t>(</w:t>
      </w:r>
      <w:r w:rsidR="00CB75BD">
        <w:rPr>
          <w:rFonts w:eastAsiaTheme="minorEastAsia"/>
          <w:lang w:val="en-GB"/>
        </w:rPr>
        <w:t>12</w:t>
      </w:r>
      <w:r w:rsidRPr="00CB75BD">
        <w:rPr>
          <w:rFonts w:eastAsiaTheme="minorEastAsia"/>
          <w:lang w:val="en-GB"/>
        </w:rPr>
        <w:t>)</w:t>
      </w:r>
    </w:p>
    <w:p w:rsidR="006612E7" w:rsidRPr="00CB75BD" w:rsidRDefault="006612E7" w:rsidP="006612E7">
      <w:pPr>
        <w:rPr>
          <w:rFonts w:eastAsiaTheme="minorEastAsia"/>
          <w:lang w:val="en-GB"/>
        </w:rPr>
      </w:pPr>
      <w:r w:rsidRPr="00CB75BD">
        <w:rPr>
          <w:rFonts w:eastAsiaTheme="minorEastAsia"/>
          <w:lang w:val="en-GB"/>
        </w:rPr>
        <w:t xml:space="preserve">In the above, </w:t>
      </w:r>
      <m:oMath>
        <m:r>
          <w:rPr>
            <w:rFonts w:ascii="Cambria Math" w:eastAsiaTheme="minorEastAsia" w:hAnsi="Cambria Math"/>
            <w:lang w:val="en-GB"/>
          </w:rPr>
          <m:t>a</m:t>
        </m:r>
      </m:oMath>
      <w:r w:rsidRPr="00CB75BD">
        <w:rPr>
          <w:rFonts w:eastAsiaTheme="minorEastAsia"/>
          <w:lang w:val="en-GB"/>
        </w:rPr>
        <w:t xml:space="preserve"> (</w:t>
      </w:r>
      <m:oMath>
        <m:r>
          <w:rPr>
            <w:rFonts w:ascii="Cambria Math" w:eastAsiaTheme="minorEastAsia" w:hAnsi="Cambria Math"/>
            <w:lang w:val="en-GB"/>
          </w:rPr>
          <m:t>a=6 370 km)</m:t>
        </m:r>
      </m:oMath>
      <w:r w:rsidRPr="00CB75BD">
        <w:rPr>
          <w:rFonts w:eastAsiaTheme="minorEastAsia"/>
          <w:lang w:val="en-GB"/>
        </w:rPr>
        <w:t xml:space="preserve"> is the Earth radius, </w:t>
      </w:r>
      <m:oMath>
        <m:r>
          <w:rPr>
            <w:rFonts w:ascii="Cambria Math" w:eastAsiaTheme="minorEastAsia" w:hAnsi="Cambria Math"/>
            <w:lang w:val="en-GB"/>
          </w:rPr>
          <m:t>n(h)</m:t>
        </m:r>
      </m:oMath>
      <w:r w:rsidRPr="00CB75BD">
        <w:rPr>
          <w:rFonts w:eastAsiaTheme="minorEastAsia"/>
          <w:lang w:val="en-GB"/>
        </w:rPr>
        <w:t xml:space="preserve"> is the ionospheric refractive index at an altitude of </w:t>
      </w:r>
      <m:oMath>
        <m:r>
          <w:rPr>
            <w:rFonts w:ascii="Cambria Math" w:eastAsiaTheme="minorEastAsia" w:hAnsi="Cambria Math"/>
            <w:lang w:val="en-GB"/>
          </w:rPr>
          <m:t>h</m:t>
        </m:r>
      </m:oMath>
      <w:r w:rsidRPr="00CB75BD">
        <w:rPr>
          <w:rFonts w:eastAsiaTheme="minorEastAsia"/>
          <w:lang w:val="en-GB"/>
        </w:rPr>
        <w:t xml:space="preserve"> km, and </w:t>
      </w:r>
      <m:oMath>
        <m:sSub>
          <m:sSubPr>
            <m:ctrlPr>
              <w:rPr>
                <w:rFonts w:ascii="Cambria Math" w:eastAsiaTheme="minorEastAsia" w:hAnsi="Cambria Math"/>
                <w:i/>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h</m:t>
            </m:r>
          </m:sub>
        </m:sSub>
      </m:oMath>
      <w:r w:rsidRPr="00CB75BD">
        <w:rPr>
          <w:rFonts w:eastAsiaTheme="minorEastAsia"/>
          <w:lang w:val="en-GB"/>
        </w:rPr>
        <w:t xml:space="preserve"> is the zenith incident angle at the </w:t>
      </w:r>
      <w:proofErr w:type="gramStart"/>
      <w:r w:rsidRPr="00CB75BD">
        <w:rPr>
          <w:rFonts w:eastAsiaTheme="minorEastAsia"/>
          <w:lang w:val="en-GB"/>
        </w:rPr>
        <w:t xml:space="preserve">height </w:t>
      </w:r>
      <w:proofErr w:type="gramEnd"/>
      <m:oMath>
        <m:r>
          <w:rPr>
            <w:rFonts w:ascii="Cambria Math" w:eastAsiaTheme="minorEastAsia" w:hAnsi="Cambria Math"/>
            <w:lang w:val="en-GB"/>
          </w:rPr>
          <m:t>h</m:t>
        </m:r>
      </m:oMath>
      <w:r w:rsidRPr="00CB75BD">
        <w:rPr>
          <w:rFonts w:eastAsiaTheme="minorEastAsia"/>
          <w:lang w:val="en-GB"/>
        </w:rPr>
        <w:t>. If the elevation angle is used instead of the zenith angle</w:t>
      </w:r>
      <w:r w:rsidR="00CB75BD">
        <w:rPr>
          <w:rFonts w:eastAsiaTheme="minorEastAsia"/>
          <w:lang w:val="en-GB"/>
        </w:rPr>
        <w:t>, equation</w:t>
      </w:r>
      <w:r w:rsidRPr="00CB75BD">
        <w:rPr>
          <w:rFonts w:eastAsiaTheme="minorEastAsia"/>
          <w:lang w:val="en-GB"/>
        </w:rPr>
        <w:t xml:space="preserve"> (</w:t>
      </w:r>
      <w:r w:rsidR="00CB75BD">
        <w:rPr>
          <w:rFonts w:eastAsiaTheme="minorEastAsia"/>
          <w:lang w:val="en-GB"/>
        </w:rPr>
        <w:t>12</w:t>
      </w:r>
      <w:r w:rsidRPr="00CB75BD">
        <w:rPr>
          <w:rFonts w:eastAsiaTheme="minorEastAsia"/>
          <w:lang w:val="en-GB"/>
        </w:rPr>
        <w:t xml:space="preserve">) reduces to </w:t>
      </w:r>
      <w:r w:rsidR="00CB75BD" w:rsidRPr="00CB75BD">
        <w:rPr>
          <w:rFonts w:eastAsiaTheme="minorEastAsia"/>
          <w:lang w:val="en-GB"/>
        </w:rPr>
        <w:t xml:space="preserve">equation </w:t>
      </w:r>
      <w:r w:rsidRPr="00CB75BD">
        <w:rPr>
          <w:rFonts w:eastAsiaTheme="minorEastAsia"/>
          <w:lang w:val="en-GB"/>
        </w:rPr>
        <w:t>(13) of Recommendation ITU-R P.676</w:t>
      </w:r>
      <w:r w:rsidR="00CB75BD">
        <w:rPr>
          <w:rFonts w:eastAsiaTheme="minorEastAsia"/>
          <w:lang w:val="en-GB"/>
        </w:rPr>
        <w:noBreakHyphen/>
      </w:r>
      <w:r w:rsidRPr="00CB75BD">
        <w:rPr>
          <w:rFonts w:eastAsiaTheme="minorEastAsia"/>
          <w:lang w:val="en-GB"/>
        </w:rPr>
        <w:t>11, and equation (7) of Recommendation ITU-R P.834-7.</w:t>
      </w:r>
    </w:p>
    <w:p w:rsidR="006612E7" w:rsidRPr="00CB75BD" w:rsidRDefault="006612E7" w:rsidP="006612E7">
      <w:pPr>
        <w:rPr>
          <w:rFonts w:eastAsiaTheme="minorEastAsia"/>
          <w:szCs w:val="24"/>
          <w:lang w:val="en-GB"/>
        </w:rPr>
      </w:pPr>
      <w:r w:rsidRPr="00CB75BD">
        <w:rPr>
          <w:rFonts w:eastAsiaTheme="minorEastAsia"/>
          <w:szCs w:val="24"/>
          <w:lang w:val="en-GB"/>
        </w:rPr>
        <w:t xml:space="preserve">The angle difference </w:t>
      </w:r>
      <m:oMath>
        <m:r>
          <m:rPr>
            <m:sty m:val="p"/>
          </m:rPr>
          <w:rPr>
            <w:rFonts w:ascii="Cambria Math" w:eastAsiaTheme="minorEastAsia" w:hAnsi="Cambria Math"/>
            <w:szCs w:val="24"/>
            <w:lang w:val="en-GB"/>
          </w:rPr>
          <m:t>Δ</m:t>
        </m:r>
        <m:d>
          <m:dPr>
            <m:ctrlPr>
              <w:rPr>
                <w:rFonts w:ascii="Cambria Math" w:eastAsiaTheme="minorEastAsia" w:hAnsi="Cambria Math"/>
                <w:i/>
                <w:szCs w:val="24"/>
                <w:lang w:val="en-GB"/>
              </w:rPr>
            </m:ctrlPr>
          </m:dPr>
          <m:e>
            <m:r>
              <w:rPr>
                <w:rFonts w:ascii="Cambria Math" w:eastAsiaTheme="minorEastAsia" w:hAnsi="Cambria Math"/>
                <w:szCs w:val="24"/>
                <w:lang w:val="en-GB"/>
              </w:rPr>
              <m:t>h</m:t>
            </m:r>
          </m:e>
        </m:d>
      </m:oMath>
      <w:r w:rsidRPr="00CB75BD">
        <w:rPr>
          <w:rFonts w:eastAsiaTheme="minorEastAsia"/>
          <w:szCs w:val="24"/>
          <w:lang w:val="en-GB"/>
        </w:rPr>
        <w:t xml:space="preserve"> gives the variation in angle of arrival at the </w:t>
      </w:r>
      <w:proofErr w:type="gramStart"/>
      <w:r w:rsidRPr="00CB75BD">
        <w:rPr>
          <w:rFonts w:eastAsiaTheme="minorEastAsia"/>
          <w:szCs w:val="24"/>
          <w:lang w:val="en-GB"/>
        </w:rPr>
        <w:t xml:space="preserve">height </w:t>
      </w:r>
      <w:proofErr w:type="gramEnd"/>
      <m:oMath>
        <m:r>
          <w:rPr>
            <w:rFonts w:ascii="Cambria Math" w:eastAsiaTheme="minorEastAsia" w:hAnsi="Cambria Math"/>
            <w:szCs w:val="24"/>
            <w:lang w:val="en-GB"/>
          </w:rPr>
          <m:t>h</m:t>
        </m:r>
      </m:oMath>
      <w:r w:rsidR="006C7468" w:rsidRPr="00CB75BD">
        <w:rPr>
          <w:rFonts w:eastAsiaTheme="minorEastAsia"/>
          <w:szCs w:val="24"/>
          <w:lang w:val="en-GB"/>
        </w:rPr>
        <w:t>:</w:t>
      </w:r>
    </w:p>
    <w:p w:rsidR="006612E7" w:rsidRPr="00CB75BD" w:rsidRDefault="006612E7" w:rsidP="006612E7">
      <w:pPr>
        <w:pStyle w:val="Equation"/>
        <w:rPr>
          <w:rFonts w:eastAsiaTheme="minorEastAsia"/>
          <w:lang w:val="en-GB"/>
        </w:rPr>
      </w:pPr>
      <w:r w:rsidRPr="00CB75BD">
        <w:rPr>
          <w:rFonts w:eastAsiaTheme="minorEastAsia"/>
          <w:iCs/>
          <w:lang w:val="en-GB"/>
        </w:rPr>
        <w:tab/>
      </w:r>
      <w:r w:rsidRPr="00CB75BD">
        <w:rPr>
          <w:rFonts w:eastAsiaTheme="minorEastAsia"/>
          <w:iCs/>
          <w:lang w:val="en-GB"/>
        </w:rPr>
        <w:tab/>
      </w:r>
      <m:oMath>
        <m:r>
          <m:rPr>
            <m:sty m:val="p"/>
          </m:rPr>
          <w:rPr>
            <w:rFonts w:ascii="Cambria Math" w:hAnsi="Cambria Math"/>
            <w:lang w:val="en-GB"/>
          </w:rPr>
          <m:t>Δ</m:t>
        </m:r>
        <m:d>
          <m:dPr>
            <m:ctrlPr>
              <w:rPr>
                <w:rFonts w:ascii="Cambria Math" w:hAnsi="Cambria Math"/>
                <w:lang w:val="en-GB"/>
              </w:rPr>
            </m:ctrlPr>
          </m:dPr>
          <m:e>
            <m:r>
              <w:rPr>
                <w:rFonts w:ascii="Cambria Math" w:hAnsi="Cambria Math"/>
                <w:lang w:val="en-GB"/>
              </w:rPr>
              <m:t>h</m:t>
            </m:r>
          </m:e>
        </m:d>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h</m:t>
            </m:r>
          </m:sub>
        </m:sSub>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φ</m:t>
            </m:r>
          </m:e>
          <m:sub>
            <m:r>
              <m:rPr>
                <m:sty m:val="p"/>
              </m:rPr>
              <w:rPr>
                <w:rFonts w:ascii="Cambria Math" w:hAnsi="Cambria Math"/>
                <w:lang w:val="en-GB"/>
              </w:rPr>
              <m:t>400</m:t>
            </m:r>
          </m:sub>
        </m:sSub>
      </m:oMath>
      <w:r w:rsidRPr="00CB75BD">
        <w:rPr>
          <w:rFonts w:eastAsiaTheme="minorEastAsia"/>
          <w:lang w:val="en-GB"/>
        </w:rPr>
        <w:t xml:space="preserve"> </w:t>
      </w:r>
      <w:r w:rsidRPr="00CB75BD">
        <w:rPr>
          <w:rFonts w:eastAsiaTheme="minorEastAsia"/>
          <w:lang w:val="en-GB"/>
        </w:rPr>
        <w:tab/>
        <w:t>(</w:t>
      </w:r>
      <w:r w:rsidR="00CB75BD">
        <w:rPr>
          <w:rFonts w:eastAsiaTheme="minorEastAsia"/>
          <w:lang w:val="en-GB"/>
        </w:rPr>
        <w:t>13</w:t>
      </w:r>
      <w:r w:rsidRPr="00CB75BD">
        <w:rPr>
          <w:rFonts w:eastAsiaTheme="minorEastAsia"/>
          <w:lang w:val="en-GB"/>
        </w:rPr>
        <w:t>)</w:t>
      </w:r>
    </w:p>
    <w:p w:rsidR="006612E7" w:rsidRPr="00CB75BD" w:rsidRDefault="006612E7" w:rsidP="006612E7">
      <w:pPr>
        <w:rPr>
          <w:rFonts w:eastAsiaTheme="minorEastAsia"/>
          <w:lang w:val="en-GB"/>
        </w:rPr>
      </w:pPr>
      <w:r w:rsidRPr="00CB75BD">
        <w:rPr>
          <w:rFonts w:eastAsiaTheme="minorEastAsia"/>
          <w:lang w:val="en-GB"/>
        </w:rPr>
        <w:t xml:space="preserve">Figures 4 to 6 calculate downlink (sounder-Earth) variations in angle of arrival using the three electron density profiles used in Figs 1 to 3, for a sounder with an incident angle of 30°. In each figure an arrow is added indicating the direction of propagation. </w:t>
      </w:r>
    </w:p>
    <w:p w:rsidR="006612E7" w:rsidRPr="00CB75BD" w:rsidRDefault="006612E7" w:rsidP="006612E7">
      <w:pPr>
        <w:rPr>
          <w:rFonts w:eastAsiaTheme="minorEastAsia"/>
          <w:szCs w:val="24"/>
          <w:lang w:val="en-GB"/>
        </w:rPr>
      </w:pPr>
      <w:r w:rsidRPr="00CB75BD">
        <w:rPr>
          <w:rFonts w:eastAsiaTheme="minorEastAsia"/>
          <w:szCs w:val="24"/>
          <w:lang w:val="en-GB"/>
        </w:rPr>
        <w:t xml:space="preserve">The ionospheric refractive index profiles used in Figs 4 </w:t>
      </w:r>
      <w:r w:rsidR="008F5F45" w:rsidRPr="00CB75BD">
        <w:rPr>
          <w:rFonts w:eastAsiaTheme="minorEastAsia"/>
          <w:szCs w:val="24"/>
          <w:lang w:val="en-GB"/>
        </w:rPr>
        <w:t>to</w:t>
      </w:r>
      <w:r w:rsidRPr="00CB75BD">
        <w:rPr>
          <w:rFonts w:eastAsiaTheme="minorEastAsia"/>
          <w:szCs w:val="24"/>
          <w:lang w:val="en-GB"/>
        </w:rPr>
        <w:t xml:space="preserve"> 6 are based on equation (</w:t>
      </w:r>
      <w:r w:rsidR="00CB75BD">
        <w:rPr>
          <w:rFonts w:eastAsiaTheme="minorEastAsia"/>
          <w:szCs w:val="24"/>
          <w:lang w:val="en-GB"/>
        </w:rPr>
        <w:t>14</w:t>
      </w:r>
      <w:r w:rsidRPr="00CB75BD">
        <w:rPr>
          <w:rFonts w:eastAsiaTheme="minorEastAsia"/>
          <w:szCs w:val="24"/>
          <w:lang w:val="en-GB"/>
        </w:rPr>
        <w:t>).</w:t>
      </w:r>
    </w:p>
    <w:p w:rsidR="006612E7" w:rsidRPr="00CB75BD" w:rsidRDefault="006612E7" w:rsidP="006612E7">
      <w:pPr>
        <w:pStyle w:val="Equation"/>
        <w:rPr>
          <w:rFonts w:eastAsiaTheme="minorEastAsia"/>
          <w:lang w:val="en-GB"/>
        </w:rPr>
      </w:pPr>
      <w:r w:rsidRPr="00CB75BD">
        <w:rPr>
          <w:rFonts w:eastAsiaTheme="minorEastAsia"/>
          <w:iCs/>
          <w:lang w:val="en-GB"/>
        </w:rPr>
        <w:tab/>
      </w:r>
      <w:r w:rsidRPr="00CB75BD">
        <w:rPr>
          <w:rFonts w:eastAsiaTheme="minorEastAsia"/>
          <w:iCs/>
          <w:lang w:val="en-GB"/>
        </w:rPr>
        <w:tab/>
      </w:r>
      <m:oMath>
        <m:r>
          <w:rPr>
            <w:rFonts w:ascii="Cambria Math" w:hAnsi="Cambria Math"/>
            <w:lang w:val="en-GB"/>
          </w:rPr>
          <m:t>n</m:t>
        </m:r>
        <m:d>
          <m:dPr>
            <m:ctrlPr>
              <w:rPr>
                <w:rFonts w:ascii="Cambria Math" w:hAnsi="Cambria Math"/>
                <w:lang w:val="en-GB"/>
              </w:rPr>
            </m:ctrlPr>
          </m:dPr>
          <m:e>
            <m:r>
              <w:rPr>
                <w:rFonts w:ascii="Cambria Math" w:hAnsi="Cambria Math"/>
                <w:lang w:val="en-GB"/>
              </w:rPr>
              <m:t>h</m:t>
            </m:r>
          </m:e>
        </m:d>
        <m:r>
          <m:rPr>
            <m:sty m:val="p"/>
          </m:rPr>
          <w:rPr>
            <w:rFonts w:ascii="Cambria Math" w:hAnsi="Cambria Math"/>
            <w:lang w:val="en-GB"/>
          </w:rPr>
          <m:t xml:space="preserve">= </m:t>
        </m:r>
        <m:rad>
          <m:radPr>
            <m:degHide m:val="1"/>
            <m:ctrlPr>
              <w:rPr>
                <w:rFonts w:ascii="Cambria Math" w:hAnsi="Cambria Math"/>
                <w:lang w:val="en-GB"/>
              </w:rPr>
            </m:ctrlPr>
          </m:radPr>
          <m:deg/>
          <m:e>
            <m:r>
              <m:rPr>
                <m:sty m:val="p"/>
              </m:rPr>
              <w:rPr>
                <w:rFonts w:ascii="Cambria Math" w:hAnsi="Cambria Math"/>
                <w:lang w:val="en-GB"/>
              </w:rPr>
              <m:t xml:space="preserve">1- </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c</m:t>
                            </m:r>
                          </m:sub>
                        </m:sSub>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r>
                          <w:rPr>
                            <w:rFonts w:ascii="Cambria Math" w:hAnsi="Cambria Math"/>
                            <w:lang w:val="en-GB"/>
                          </w:rPr>
                          <m:t>f</m:t>
                        </m:r>
                      </m:den>
                    </m:f>
                  </m:e>
                </m:d>
              </m:e>
              <m:sup>
                <m:r>
                  <m:rPr>
                    <m:sty m:val="p"/>
                  </m:rPr>
                  <w:rPr>
                    <w:rFonts w:ascii="Cambria Math" w:hAnsi="Cambria Math"/>
                    <w:lang w:val="en-GB"/>
                  </w:rPr>
                  <m:t>2</m:t>
                </m:r>
              </m:sup>
            </m:sSup>
          </m:e>
        </m:rad>
      </m:oMath>
      <w:r w:rsidRPr="00CB75BD">
        <w:rPr>
          <w:rFonts w:eastAsiaTheme="minorEastAsia"/>
          <w:lang w:val="en-GB"/>
        </w:rPr>
        <w:t xml:space="preserve"> </w:t>
      </w:r>
      <w:r w:rsidRPr="00CB75BD">
        <w:rPr>
          <w:rFonts w:eastAsiaTheme="minorEastAsia"/>
          <w:lang w:val="en-GB"/>
        </w:rPr>
        <w:tab/>
        <w:t>(</w:t>
      </w:r>
      <w:r w:rsidR="00CB75BD">
        <w:rPr>
          <w:rFonts w:eastAsiaTheme="minorEastAsia"/>
          <w:lang w:val="en-GB"/>
        </w:rPr>
        <w:t>14</w:t>
      </w:r>
      <w:r w:rsidRPr="00CB75BD">
        <w:rPr>
          <w:rFonts w:eastAsiaTheme="minorEastAsia"/>
          <w:lang w:val="en-GB"/>
        </w:rPr>
        <w:t>)</w:t>
      </w:r>
    </w:p>
    <w:p w:rsidR="006612E7" w:rsidRPr="00CB75BD" w:rsidRDefault="006612E7" w:rsidP="006612E7">
      <w:pPr>
        <w:rPr>
          <w:rFonts w:eastAsiaTheme="minorEastAsia"/>
          <w:szCs w:val="24"/>
          <w:lang w:val="en-GB"/>
        </w:rPr>
      </w:pPr>
      <w:r w:rsidRPr="00CB75BD">
        <w:rPr>
          <w:rFonts w:eastAsiaTheme="minorEastAsia"/>
          <w:szCs w:val="24"/>
          <w:lang w:val="en-GB"/>
        </w:rPr>
        <w:t>In equation (</w:t>
      </w:r>
      <w:r w:rsidR="00CB75BD">
        <w:rPr>
          <w:rFonts w:eastAsiaTheme="minorEastAsia"/>
          <w:szCs w:val="24"/>
          <w:lang w:val="en-GB"/>
        </w:rPr>
        <w:t>14</w:t>
      </w:r>
      <w:r w:rsidRPr="00CB75BD">
        <w:rPr>
          <w:rFonts w:eastAsiaTheme="minorEastAsia"/>
          <w:szCs w:val="24"/>
          <w:lang w:val="en-GB"/>
        </w:rPr>
        <w:t xml:space="preserve">), </w:t>
      </w:r>
      <m:oMath>
        <m:r>
          <w:rPr>
            <w:rFonts w:ascii="Cambria Math" w:eastAsiaTheme="minorEastAsia" w:hAnsi="Cambria Math"/>
            <w:szCs w:val="24"/>
            <w:lang w:val="en-GB"/>
          </w:rPr>
          <m:t>f</m:t>
        </m:r>
      </m:oMath>
      <w:r w:rsidRPr="00CB75BD">
        <w:rPr>
          <w:rFonts w:eastAsiaTheme="minorEastAsia"/>
          <w:szCs w:val="24"/>
          <w:lang w:val="en-GB"/>
        </w:rPr>
        <w:t xml:space="preserve"> is the frequency in Hz (</w:t>
      </w:r>
      <m:oMath>
        <m:r>
          <w:rPr>
            <w:rFonts w:ascii="Cambria Math" w:eastAsiaTheme="minorEastAsia" w:hAnsi="Cambria Math"/>
            <w:szCs w:val="24"/>
            <w:lang w:val="en-GB"/>
          </w:rPr>
          <m:t xml:space="preserve">f=45 000 </m:t>
        </m:r>
      </m:oMath>
      <w:r w:rsidRPr="00CB75BD">
        <w:rPr>
          <w:rFonts w:eastAsiaTheme="minorEastAsia"/>
          <w:szCs w:val="24"/>
          <w:lang w:val="en-GB"/>
        </w:rPr>
        <w:t xml:space="preserve">Hz), and </w:t>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c</m:t>
            </m:r>
          </m:sub>
        </m:sSub>
        <m:d>
          <m:dPr>
            <m:ctrlPr>
              <w:rPr>
                <w:rFonts w:ascii="Cambria Math" w:eastAsiaTheme="minorEastAsia" w:hAnsi="Cambria Math"/>
                <w:i/>
                <w:szCs w:val="24"/>
                <w:lang w:val="en-GB"/>
              </w:rPr>
            </m:ctrlPr>
          </m:dPr>
          <m:e>
            <m:r>
              <w:rPr>
                <w:rFonts w:ascii="Cambria Math" w:eastAsiaTheme="minorEastAsia" w:hAnsi="Cambria Math"/>
                <w:szCs w:val="24"/>
                <w:lang w:val="en-GB"/>
              </w:rPr>
              <m:t>h</m:t>
            </m:r>
          </m:e>
        </m:d>
      </m:oMath>
      <w:r w:rsidRPr="00CB75BD">
        <w:rPr>
          <w:rFonts w:eastAsiaTheme="minorEastAsia"/>
          <w:szCs w:val="24"/>
          <w:lang w:val="en-GB"/>
        </w:rPr>
        <w:t xml:space="preserve"> is the electron plasma frequency (critical frequency) at the height </w:t>
      </w:r>
      <m:oMath>
        <m:r>
          <w:rPr>
            <w:rFonts w:ascii="Cambria Math" w:eastAsiaTheme="minorEastAsia" w:hAnsi="Cambria Math"/>
            <w:szCs w:val="24"/>
            <w:lang w:val="en-GB"/>
          </w:rPr>
          <m:t>h</m:t>
        </m:r>
      </m:oMath>
      <w:r w:rsidRPr="00CB75BD">
        <w:rPr>
          <w:rFonts w:eastAsiaTheme="minorEastAsia"/>
          <w:szCs w:val="24"/>
          <w:lang w:val="en-GB"/>
        </w:rPr>
        <w:t xml:space="preserve"> with:</w:t>
      </w:r>
    </w:p>
    <w:p w:rsidR="006612E7" w:rsidRPr="00CB75BD" w:rsidRDefault="006612E7" w:rsidP="006612E7">
      <w:pPr>
        <w:pStyle w:val="Equation"/>
        <w:rPr>
          <w:rFonts w:eastAsiaTheme="minorEastAsia"/>
          <w:lang w:val="en-GB"/>
        </w:rPr>
      </w:pPr>
      <w:r w:rsidRPr="00CB75BD">
        <w:rPr>
          <w:rFonts w:eastAsiaTheme="minorEastAsia"/>
          <w:lang w:val="en-GB"/>
        </w:rPr>
        <w:lastRenderedPageBreak/>
        <w:tab/>
      </w:r>
      <w:r w:rsidRPr="00CB75BD">
        <w:rPr>
          <w:rFonts w:eastAsiaTheme="minorEastAsia"/>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c</m:t>
            </m:r>
          </m:sub>
        </m:sSub>
        <m:d>
          <m:dPr>
            <m:ctrlPr>
              <w:rPr>
                <w:rFonts w:ascii="Cambria Math" w:hAnsi="Cambria Math"/>
                <w:lang w:val="en-GB"/>
              </w:rPr>
            </m:ctrlPr>
          </m:dPr>
          <m:e>
            <m:r>
              <w:rPr>
                <w:rFonts w:ascii="Cambria Math" w:hAnsi="Cambria Math"/>
                <w:lang w:val="en-GB"/>
              </w:rPr>
              <m:t>h</m:t>
            </m:r>
          </m:e>
        </m:d>
        <m:r>
          <m:rPr>
            <m:sty m:val="p"/>
          </m:rPr>
          <w:rPr>
            <w:rFonts w:ascii="Cambria Math" w:hAnsi="Cambria Math"/>
            <w:lang w:val="en-GB"/>
          </w:rPr>
          <m:t>=8.9785</m:t>
        </m:r>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rad>
      </m:oMath>
      <w:r w:rsidRPr="00CB75BD">
        <w:rPr>
          <w:rFonts w:eastAsiaTheme="minorEastAsia"/>
          <w:lang w:val="en-GB"/>
        </w:rPr>
        <w:t xml:space="preserve"> </w:t>
      </w:r>
      <w:r w:rsidRPr="00CB75BD">
        <w:rPr>
          <w:rFonts w:eastAsiaTheme="minorEastAsia"/>
          <w:lang w:val="en-GB"/>
        </w:rPr>
        <w:tab/>
        <w:t>(</w:t>
      </w:r>
      <w:r w:rsidR="00CB75BD">
        <w:rPr>
          <w:rFonts w:eastAsiaTheme="minorEastAsia"/>
          <w:lang w:val="en-GB"/>
        </w:rPr>
        <w:t>15</w:t>
      </w:r>
      <w:r w:rsidRPr="00CB75BD">
        <w:rPr>
          <w:rFonts w:eastAsiaTheme="minorEastAsia"/>
          <w:lang w:val="en-GB"/>
        </w:rPr>
        <w:t>)</w:t>
      </w:r>
    </w:p>
    <w:p w:rsidR="006612E7" w:rsidRPr="00CB75BD" w:rsidRDefault="006612E7" w:rsidP="006612E7">
      <w:pPr>
        <w:pStyle w:val="FigureNo"/>
        <w:rPr>
          <w:rFonts w:eastAsiaTheme="minorEastAsia"/>
          <w:lang w:val="en-GB"/>
        </w:rPr>
      </w:pPr>
      <w:r w:rsidRPr="00CB75BD">
        <w:rPr>
          <w:rFonts w:eastAsiaTheme="minorEastAsia"/>
          <w:lang w:val="en-GB"/>
        </w:rPr>
        <w:t>Figure 4</w:t>
      </w:r>
    </w:p>
    <w:p w:rsidR="006612E7" w:rsidRPr="00CB75BD" w:rsidRDefault="006612E7" w:rsidP="006612E7">
      <w:pPr>
        <w:pStyle w:val="Figuretitle"/>
        <w:rPr>
          <w:rFonts w:eastAsiaTheme="minorEastAsia"/>
          <w:szCs w:val="24"/>
          <w:lang w:val="en-GB"/>
        </w:rPr>
      </w:pPr>
      <w:r w:rsidRPr="00CB75BD">
        <w:rPr>
          <w:lang w:val="en-GB"/>
        </w:rPr>
        <w:t>Downlink (sounder-Earth) variation in angle of arrival as a function of height for a sounder incident angle of 30</w:t>
      </w:r>
      <w:r w:rsidR="00F840E2" w:rsidRPr="00CB75BD">
        <w:rPr>
          <w:rFonts w:cs="Times New Roman Bold"/>
          <w:lang w:val="en-GB"/>
        </w:rPr>
        <w:t>°</w:t>
      </w:r>
      <w:r w:rsidRPr="00CB75BD">
        <w:rPr>
          <w:lang w:val="en-GB"/>
        </w:rPr>
        <w:t xml:space="preserve"> </w:t>
      </w:r>
      <w:r w:rsidR="0064233B" w:rsidRPr="00CB75BD">
        <w:rPr>
          <w:lang w:val="en-GB"/>
        </w:rPr>
        <w:br/>
      </w:r>
      <w:r w:rsidRPr="00CB75BD">
        <w:rPr>
          <w:lang w:val="en-GB"/>
        </w:rPr>
        <w:t>(Electron density profile as in Fig.</w:t>
      </w:r>
      <w:r w:rsidR="00F840E2" w:rsidRPr="00CB75BD">
        <w:rPr>
          <w:lang w:val="en-GB"/>
        </w:rPr>
        <w:t xml:space="preserve"> 1). </w:t>
      </w:r>
      <w:r w:rsidRPr="00CB75BD">
        <w:rPr>
          <w:lang w:val="en-GB"/>
        </w:rPr>
        <w:t>Based on the Figure</w:t>
      </w:r>
      <m:oMath>
        <m:r>
          <m:rPr>
            <m:sty m:val="bi"/>
          </m:rPr>
          <w:rPr>
            <w:rFonts w:ascii="Cambria Math" w:hAnsi="Cambria Math"/>
            <w:szCs w:val="24"/>
            <w:lang w:val="en-GB"/>
          </w:rPr>
          <m:t xml:space="preserve"> </m:t>
        </m:r>
        <m:r>
          <m:rPr>
            <m:sty m:val="b"/>
          </m:rPr>
          <w:rPr>
            <w:rFonts w:ascii="Cambria Math" w:hAnsi="Cambria Math"/>
            <w:szCs w:val="24"/>
            <w:lang w:val="en-GB"/>
          </w:rPr>
          <m:t>Δ</m:t>
        </m:r>
        <m:d>
          <m:dPr>
            <m:ctrlPr>
              <w:rPr>
                <w:rFonts w:ascii="Cambria Math" w:hAnsi="Cambria Math"/>
                <w:i/>
                <w:szCs w:val="24"/>
                <w:lang w:val="en-GB"/>
              </w:rPr>
            </m:ctrlPr>
          </m:dPr>
          <m:e>
            <m:r>
              <m:rPr>
                <m:sty m:val="bi"/>
              </m:rPr>
              <w:rPr>
                <w:rFonts w:ascii="Cambria Math" w:hAnsi="Cambria Math"/>
                <w:szCs w:val="24"/>
                <w:lang w:val="en-GB"/>
              </w:rPr>
              <m:t>80</m:t>
            </m:r>
          </m:e>
        </m:d>
      </m:oMath>
      <w:r w:rsidRPr="00CB75BD">
        <w:rPr>
          <w:lang w:val="en-GB"/>
        </w:rPr>
        <w:t xml:space="preserve"> = 1.31</w:t>
      </w:r>
      <w:r w:rsidR="00F840E2" w:rsidRPr="00CB75BD">
        <w:rPr>
          <w:rFonts w:cs="Times New Roman Bold"/>
          <w:lang w:val="en-GB"/>
        </w:rPr>
        <w:t>°</w:t>
      </w:r>
    </w:p>
    <w:p w:rsidR="006612E7" w:rsidRPr="00CB75BD" w:rsidRDefault="006612E7" w:rsidP="006612E7">
      <w:pPr>
        <w:pStyle w:val="Figure"/>
        <w:rPr>
          <w:rFonts w:eastAsiaTheme="minorEastAsia"/>
          <w:lang w:val="en-GB"/>
        </w:rPr>
      </w:pPr>
      <w:r w:rsidRPr="00CB75BD">
        <w:rPr>
          <w:rFonts w:eastAsiaTheme="minorEastAsia"/>
          <w:noProof/>
          <w:lang w:val="en-GB" w:eastAsia="en-GB"/>
        </w:rPr>
        <w:drawing>
          <wp:inline distT="0" distB="0" distL="0" distR="0" wp14:anchorId="22EB2C06" wp14:editId="330496EE">
            <wp:extent cx="5943090" cy="270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075"/>
                    <a:stretch/>
                  </pic:blipFill>
                  <pic:spPr bwMode="auto">
                    <a:xfrm>
                      <a:off x="0" y="0"/>
                      <a:ext cx="5943600" cy="2708508"/>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FigureNo"/>
        <w:rPr>
          <w:rFonts w:eastAsiaTheme="minorEastAsia"/>
          <w:lang w:val="en-GB"/>
        </w:rPr>
      </w:pPr>
      <w:r w:rsidRPr="00CB75BD">
        <w:rPr>
          <w:rFonts w:eastAsiaTheme="minorEastAsia"/>
          <w:lang w:val="en-GB"/>
        </w:rPr>
        <w:t>Figure 5</w:t>
      </w:r>
    </w:p>
    <w:p w:rsidR="006612E7" w:rsidRPr="00CB75BD" w:rsidRDefault="006612E7" w:rsidP="006612E7">
      <w:pPr>
        <w:pStyle w:val="Figuretitle"/>
        <w:rPr>
          <w:lang w:val="en-GB"/>
        </w:rPr>
      </w:pPr>
      <w:r w:rsidRPr="00CB75BD">
        <w:rPr>
          <w:lang w:val="en-GB"/>
        </w:rPr>
        <w:t>Downlink (sounder-Earth) variation in angle of arrival as a function of height for a sounder incident angle of 30</w:t>
      </w:r>
      <w:r w:rsidR="00F840E2" w:rsidRPr="00CB75BD">
        <w:rPr>
          <w:rFonts w:cs="Times New Roman Bold"/>
          <w:lang w:val="en-GB"/>
        </w:rPr>
        <w:t>°</w:t>
      </w:r>
      <w:r w:rsidRPr="00CB75BD">
        <w:rPr>
          <w:lang w:val="en-GB"/>
        </w:rPr>
        <w:t xml:space="preserve"> </w:t>
      </w:r>
      <w:r w:rsidR="0064233B" w:rsidRPr="00CB75BD">
        <w:rPr>
          <w:lang w:val="en-GB"/>
        </w:rPr>
        <w:br/>
      </w:r>
      <w:r w:rsidRPr="00CB75BD">
        <w:rPr>
          <w:lang w:val="en-GB"/>
        </w:rPr>
        <w:t xml:space="preserve">(Electron density profile as in Fig. 2). Based on the Figure </w:t>
      </w:r>
      <m:oMath>
        <m:r>
          <m:rPr>
            <m:sty m:val="b"/>
          </m:rPr>
          <w:rPr>
            <w:rFonts w:ascii="Cambria Math" w:hAnsi="Cambria Math"/>
            <w:szCs w:val="24"/>
            <w:lang w:val="en-GB"/>
          </w:rPr>
          <m:t>Δ</m:t>
        </m:r>
        <m:d>
          <m:dPr>
            <m:ctrlPr>
              <w:rPr>
                <w:rFonts w:ascii="Cambria Math" w:hAnsi="Cambria Math"/>
                <w:i/>
                <w:szCs w:val="24"/>
                <w:lang w:val="en-GB"/>
              </w:rPr>
            </m:ctrlPr>
          </m:dPr>
          <m:e>
            <m:r>
              <m:rPr>
                <m:sty m:val="bi"/>
              </m:rPr>
              <w:rPr>
                <w:rFonts w:ascii="Cambria Math" w:hAnsi="Cambria Math"/>
                <w:szCs w:val="24"/>
                <w:lang w:val="en-GB"/>
              </w:rPr>
              <m:t>80</m:t>
            </m:r>
          </m:e>
        </m:d>
        <m:r>
          <m:rPr>
            <m:sty m:val="bi"/>
          </m:rPr>
          <w:rPr>
            <w:rFonts w:ascii="Cambria Math" w:hAnsi="Cambria Math"/>
            <w:szCs w:val="24"/>
            <w:lang w:val="en-GB"/>
          </w:rPr>
          <m:t xml:space="preserve"> </m:t>
        </m:r>
      </m:oMath>
      <w:r w:rsidRPr="00CB75BD">
        <w:rPr>
          <w:lang w:val="en-GB"/>
        </w:rPr>
        <w:t>= 1.25</w:t>
      </w:r>
      <w:r w:rsidR="00F840E2" w:rsidRPr="00CB75BD">
        <w:rPr>
          <w:rFonts w:cs="Times New Roman Bold"/>
          <w:lang w:val="en-GB"/>
        </w:rPr>
        <w:t>°</w:t>
      </w:r>
    </w:p>
    <w:p w:rsidR="006612E7" w:rsidRPr="00CB75BD" w:rsidRDefault="006612E7" w:rsidP="006612E7">
      <w:pPr>
        <w:pStyle w:val="Figure"/>
        <w:rPr>
          <w:rFonts w:eastAsiaTheme="minorEastAsia"/>
          <w:lang w:val="en-GB"/>
        </w:rPr>
      </w:pPr>
      <w:r w:rsidRPr="00CB75BD">
        <w:rPr>
          <w:rFonts w:eastAsiaTheme="minorEastAsia"/>
          <w:noProof/>
          <w:lang w:val="en-GB" w:eastAsia="en-GB"/>
        </w:rPr>
        <w:drawing>
          <wp:inline distT="0" distB="0" distL="0" distR="0" wp14:anchorId="521EFD81" wp14:editId="09F01DED">
            <wp:extent cx="5943090" cy="2700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342"/>
                    <a:stretch/>
                  </pic:blipFill>
                  <pic:spPr bwMode="auto">
                    <a:xfrm>
                      <a:off x="0" y="0"/>
                      <a:ext cx="5943600" cy="2700887"/>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FigureNo"/>
        <w:rPr>
          <w:rFonts w:eastAsiaTheme="minorEastAsia"/>
          <w:lang w:val="en-GB"/>
        </w:rPr>
      </w:pPr>
      <w:r w:rsidRPr="00CB75BD">
        <w:rPr>
          <w:rFonts w:eastAsiaTheme="minorEastAsia"/>
          <w:lang w:val="en-GB"/>
        </w:rPr>
        <w:lastRenderedPageBreak/>
        <w:t>Figure 6</w:t>
      </w:r>
    </w:p>
    <w:p w:rsidR="006612E7" w:rsidRPr="00CB75BD" w:rsidRDefault="006612E7" w:rsidP="006612E7">
      <w:pPr>
        <w:pStyle w:val="Figuretitle"/>
        <w:rPr>
          <w:lang w:val="en-GB"/>
        </w:rPr>
      </w:pPr>
      <w:r w:rsidRPr="00CB75BD">
        <w:rPr>
          <w:lang w:val="en-GB"/>
        </w:rPr>
        <w:t>Downlink (sounder-Earth) variation in angle of arrival as a function of height for a sounder incident angle of 30</w:t>
      </w:r>
      <w:r w:rsidRPr="00CB75BD">
        <w:rPr>
          <w:vertAlign w:val="superscript"/>
          <w:lang w:val="en-GB"/>
        </w:rPr>
        <w:t>o</w:t>
      </w:r>
      <w:r w:rsidRPr="00CB75BD">
        <w:rPr>
          <w:lang w:val="en-GB"/>
        </w:rPr>
        <w:t xml:space="preserve"> </w:t>
      </w:r>
      <w:r w:rsidR="00837009" w:rsidRPr="00CB75BD">
        <w:rPr>
          <w:lang w:val="en-GB"/>
        </w:rPr>
        <w:br/>
      </w:r>
      <w:r w:rsidRPr="00CB75BD">
        <w:rPr>
          <w:lang w:val="en-GB"/>
        </w:rPr>
        <w:t xml:space="preserve">(Electron density profile as in Fig. 3). Based on the Figure </w:t>
      </w:r>
      <m:oMath>
        <m:r>
          <m:rPr>
            <m:sty m:val="b"/>
          </m:rPr>
          <w:rPr>
            <w:rFonts w:ascii="Cambria Math" w:hAnsi="Cambria Math"/>
            <w:szCs w:val="24"/>
            <w:lang w:val="en-GB"/>
          </w:rPr>
          <m:t>Δ</m:t>
        </m:r>
        <m:d>
          <m:dPr>
            <m:ctrlPr>
              <w:rPr>
                <w:rFonts w:ascii="Cambria Math" w:hAnsi="Cambria Math"/>
                <w:i/>
                <w:szCs w:val="24"/>
                <w:lang w:val="en-GB"/>
              </w:rPr>
            </m:ctrlPr>
          </m:dPr>
          <m:e>
            <m:r>
              <m:rPr>
                <m:sty m:val="bi"/>
              </m:rPr>
              <w:rPr>
                <w:rFonts w:ascii="Cambria Math" w:hAnsi="Cambria Math"/>
                <w:szCs w:val="24"/>
                <w:lang w:val="en-GB"/>
              </w:rPr>
              <m:t>80</m:t>
            </m:r>
          </m:e>
        </m:d>
        <m:r>
          <m:rPr>
            <m:sty m:val="bi"/>
          </m:rPr>
          <w:rPr>
            <w:rFonts w:ascii="Cambria Math" w:hAnsi="Cambria Math"/>
            <w:szCs w:val="24"/>
            <w:lang w:val="en-GB"/>
          </w:rPr>
          <m:t xml:space="preserve"> </m:t>
        </m:r>
      </m:oMath>
      <w:r w:rsidRPr="00CB75BD">
        <w:rPr>
          <w:lang w:val="en-GB"/>
        </w:rPr>
        <w:t>= 1.27</w:t>
      </w:r>
      <w:r w:rsidRPr="00CB75BD">
        <w:rPr>
          <w:vertAlign w:val="superscript"/>
          <w:lang w:val="en-GB"/>
        </w:rPr>
        <w:t>o</w:t>
      </w:r>
    </w:p>
    <w:p w:rsidR="006612E7" w:rsidRPr="00CB75BD" w:rsidRDefault="006612E7" w:rsidP="006612E7">
      <w:pPr>
        <w:pStyle w:val="Figure"/>
        <w:rPr>
          <w:rFonts w:eastAsiaTheme="minorEastAsia"/>
          <w:lang w:val="en-GB"/>
        </w:rPr>
      </w:pPr>
      <w:r w:rsidRPr="00CB75BD">
        <w:rPr>
          <w:rFonts w:eastAsiaTheme="minorEastAsia"/>
          <w:noProof/>
          <w:lang w:val="en-GB" w:eastAsia="en-GB"/>
        </w:rPr>
        <w:drawing>
          <wp:inline distT="0" distB="0" distL="0" distR="0" wp14:anchorId="5BB8BB54" wp14:editId="58F76220">
            <wp:extent cx="5943090" cy="2685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876"/>
                    <a:stretch/>
                  </pic:blipFill>
                  <pic:spPr bwMode="auto">
                    <a:xfrm>
                      <a:off x="0" y="0"/>
                      <a:ext cx="5943600" cy="2685646"/>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Normalaftertitle"/>
        <w:rPr>
          <w:lang w:val="en-GB"/>
        </w:rPr>
      </w:pPr>
      <w:r w:rsidRPr="00CB75BD">
        <w:rPr>
          <w:lang w:val="en-GB"/>
        </w:rPr>
        <w:t xml:space="preserve">Figures 4 to 6, give the following values for downlink (sounder – Earth) variation in angle of arrival </w:t>
      </w:r>
      <m:oMath>
        <m:r>
          <m:rPr>
            <m:sty m:val="p"/>
          </m:rPr>
          <w:rPr>
            <w:rFonts w:ascii="Cambria Math" w:hAnsi="Cambria Math"/>
            <w:lang w:val="en-GB"/>
          </w:rPr>
          <m:t>Δ</m:t>
        </m:r>
        <m:d>
          <m:dPr>
            <m:ctrlPr>
              <w:rPr>
                <w:rFonts w:ascii="Cambria Math" w:hAnsi="Cambria Math"/>
                <w:i/>
                <w:lang w:val="en-GB"/>
              </w:rPr>
            </m:ctrlPr>
          </m:dPr>
          <m:e>
            <m:r>
              <w:rPr>
                <w:rFonts w:ascii="Cambria Math" w:hAnsi="Cambria Math"/>
                <w:lang w:val="en-GB"/>
              </w:rPr>
              <m:t>80</m:t>
            </m:r>
          </m:e>
        </m:d>
        <m:r>
          <w:rPr>
            <w:rFonts w:ascii="Cambria Math" w:hAnsi="Cambria Math"/>
            <w:lang w:val="en-GB"/>
          </w:rPr>
          <m:t xml:space="preserve"> </m:t>
        </m:r>
      </m:oMath>
      <w:r w:rsidRPr="00CB75BD">
        <w:rPr>
          <w:lang w:val="en-GB"/>
        </w:rPr>
        <w:t>at the lower boundary of the ionosphere: 1.31</w:t>
      </w:r>
      <w:r w:rsidR="00837009" w:rsidRPr="00CB75BD">
        <w:rPr>
          <w:lang w:val="en-GB"/>
        </w:rPr>
        <w:t>°</w:t>
      </w:r>
      <w:r w:rsidRPr="00CB75BD">
        <w:rPr>
          <w:lang w:val="en-GB"/>
        </w:rPr>
        <w:t>, 1.25</w:t>
      </w:r>
      <w:r w:rsidR="00837009" w:rsidRPr="00CB75BD">
        <w:rPr>
          <w:lang w:val="en-GB"/>
        </w:rPr>
        <w:t>°</w:t>
      </w:r>
      <w:r w:rsidRPr="00CB75BD">
        <w:rPr>
          <w:lang w:val="en-GB"/>
        </w:rPr>
        <w:t>, and 1.27</w:t>
      </w:r>
      <w:r w:rsidR="00837009" w:rsidRPr="00CB75BD">
        <w:rPr>
          <w:lang w:val="en-GB"/>
        </w:rPr>
        <w:t>°</w:t>
      </w:r>
      <w:r w:rsidRPr="00CB75BD">
        <w:rPr>
          <w:lang w:val="en-GB"/>
        </w:rPr>
        <w:t xml:space="preserve"> respectively. Those values yield an average variation in angle of arrival of </w:t>
      </w:r>
      <m:oMath>
        <m:r>
          <w:rPr>
            <w:rFonts w:ascii="Cambria Math" w:hAnsi="Cambria Math"/>
            <w:lang w:val="en-GB"/>
          </w:rPr>
          <m:t>1.28°=1.28×60=76.8</m:t>
        </m:r>
      </m:oMath>
      <w:r w:rsidRPr="00CB75BD">
        <w:rPr>
          <w:lang w:val="en-GB"/>
        </w:rPr>
        <w:t xml:space="preserve"> minutes.</w:t>
      </w:r>
    </w:p>
    <w:p w:rsidR="006612E7" w:rsidRPr="00CB75BD" w:rsidRDefault="006612E7" w:rsidP="006612E7">
      <w:pPr>
        <w:rPr>
          <w:rFonts w:eastAsiaTheme="minorEastAsia"/>
          <w:lang w:val="en-GB"/>
        </w:rPr>
      </w:pPr>
      <w:r w:rsidRPr="00CB75BD">
        <w:rPr>
          <w:lang w:val="en-GB"/>
        </w:rPr>
        <w:t xml:space="preserve">Also examining Figs 4 to 6, indicates that total reflection and hence ducting </w:t>
      </w:r>
      <w:r w:rsidRPr="00CB75BD">
        <w:rPr>
          <w:rFonts w:eastAsiaTheme="minorEastAsia"/>
          <w:lang w:val="en-GB"/>
        </w:rPr>
        <w:t>cannot take place at any altitude between the radar sounder altitude of 400 km and the lower boundary of the ionosphere of 80 km. At any altitude for total reflection to occur, the variation in angle of arrival should be equal or greater that 60</w:t>
      </w:r>
      <w:r w:rsidR="00837009" w:rsidRPr="00CB75BD">
        <w:rPr>
          <w:rFonts w:eastAsiaTheme="minorEastAsia"/>
          <w:lang w:val="en-GB"/>
        </w:rPr>
        <w:t>°</w:t>
      </w:r>
      <w:r w:rsidRPr="00CB75BD">
        <w:rPr>
          <w:rFonts w:eastAsiaTheme="minorEastAsia"/>
          <w:vertAlign w:val="superscript"/>
          <w:lang w:val="en-GB"/>
        </w:rPr>
        <w:t xml:space="preserve"> </w:t>
      </w:r>
      <w:r w:rsidRPr="00CB75BD">
        <w:rPr>
          <w:rFonts w:eastAsiaTheme="minorEastAsia"/>
          <w:lang w:val="en-GB"/>
        </w:rPr>
        <w:t>(90</w:t>
      </w:r>
      <w:r w:rsidR="00837009" w:rsidRPr="00CB75BD">
        <w:rPr>
          <w:rFonts w:eastAsiaTheme="minorEastAsia"/>
          <w:lang w:val="en-GB"/>
        </w:rPr>
        <w:t>°</w:t>
      </w:r>
      <w:r w:rsidRPr="00CB75BD">
        <w:rPr>
          <w:rFonts w:eastAsiaTheme="minorEastAsia"/>
          <w:lang w:val="en-GB"/>
        </w:rPr>
        <w:t xml:space="preserve"> – the incident angle of 30</w:t>
      </w:r>
      <w:r w:rsidR="00837009" w:rsidRPr="00CB75BD">
        <w:rPr>
          <w:rFonts w:eastAsiaTheme="minorEastAsia"/>
          <w:lang w:val="en-GB"/>
        </w:rPr>
        <w:t xml:space="preserve">°). </w:t>
      </w:r>
      <w:r w:rsidRPr="00CB75BD">
        <w:rPr>
          <w:rFonts w:eastAsiaTheme="minorEastAsia"/>
          <w:lang w:val="en-GB"/>
        </w:rPr>
        <w:t xml:space="preserve">To put this into a mathematical form we write </w:t>
      </w:r>
      <m:oMath>
        <m:func>
          <m:funcPr>
            <m:ctrlPr>
              <w:rPr>
                <w:rFonts w:ascii="Cambria Math" w:eastAsiaTheme="minorEastAsia" w:hAnsi="Cambria Math"/>
                <w:i/>
                <w:lang w:val="en-GB"/>
              </w:rPr>
            </m:ctrlPr>
          </m:funcPr>
          <m:fName>
            <m:r>
              <m:rPr>
                <m:sty m:val="p"/>
              </m:rPr>
              <w:rPr>
                <w:rFonts w:ascii="Cambria Math" w:hAnsi="Cambria Math"/>
                <w:lang w:val="en-GB"/>
              </w:rPr>
              <m:t>sin</m:t>
            </m:r>
          </m:fName>
          <m:e>
            <m:sSub>
              <m:sSubPr>
                <m:ctrlPr>
                  <w:rPr>
                    <w:rFonts w:ascii="Cambria Math" w:eastAsiaTheme="minorEastAsia" w:hAnsi="Cambria Math"/>
                    <w:i/>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h</m:t>
                </m:r>
              </m:sub>
            </m:sSub>
          </m:e>
        </m:func>
        <m:r>
          <w:rPr>
            <w:rFonts w:ascii="Cambria Math" w:eastAsiaTheme="minorEastAsia" w:hAnsi="Cambria Math"/>
            <w:lang w:val="en-GB"/>
          </w:rPr>
          <m:t xml:space="preserve"> </m:t>
        </m:r>
      </m:oMath>
      <w:r w:rsidRPr="00CB75BD">
        <w:rPr>
          <w:rFonts w:eastAsiaTheme="minorEastAsia"/>
          <w:lang w:val="en-GB"/>
        </w:rPr>
        <w:t>from (3) as:</w:t>
      </w:r>
    </w:p>
    <w:p w:rsidR="006612E7" w:rsidRPr="00CB75BD" w:rsidRDefault="006612E7" w:rsidP="006612E7">
      <w:pPr>
        <w:pStyle w:val="Equation"/>
        <w:rPr>
          <w:rFonts w:eastAsiaTheme="minorEastAsia"/>
          <w:lang w:val="en-GB"/>
        </w:rPr>
      </w:pPr>
      <w:r w:rsidRPr="00CB75BD">
        <w:rPr>
          <w:rFonts w:eastAsiaTheme="minorEastAsia"/>
          <w:lang w:val="en-GB"/>
        </w:rPr>
        <w:tab/>
      </w:r>
      <w:r w:rsidRPr="00CB75BD">
        <w:rPr>
          <w:rFonts w:eastAsiaTheme="minorEastAsia"/>
          <w:lang w:val="en-GB"/>
        </w:rPr>
        <w:tab/>
      </w:r>
      <m:oMath>
        <m:func>
          <m:funcPr>
            <m:ctrlPr>
              <w:rPr>
                <w:rFonts w:ascii="Cambria Math" w:eastAsiaTheme="minorEastAsia" w:hAnsi="Cambria Math"/>
                <w:lang w:val="en-GB"/>
              </w:rPr>
            </m:ctrlPr>
          </m:funcPr>
          <m:fName>
            <m:r>
              <m:rPr>
                <m:sty m:val="p"/>
              </m:rPr>
              <w:rPr>
                <w:rFonts w:ascii="Cambria Math" w:hAnsi="Cambria Math"/>
                <w:lang w:val="en-GB"/>
              </w:rPr>
              <m:t>sin</m:t>
            </m:r>
          </m:fName>
          <m:e>
            <m:sSub>
              <m:sSubPr>
                <m:ctrlPr>
                  <w:rPr>
                    <w:rFonts w:ascii="Cambria Math" w:eastAsiaTheme="minorEastAsia" w:hAnsi="Cambria Math"/>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h</m:t>
                </m:r>
              </m:sub>
            </m:sSub>
          </m:e>
        </m:func>
        <m:r>
          <m:rPr>
            <m:sty m:val="p"/>
          </m:rPr>
          <w:rPr>
            <w:rFonts w:ascii="Cambria Math" w:eastAsiaTheme="minorEastAsia" w:hAnsi="Cambria Math"/>
            <w:lang w:val="en-GB"/>
          </w:rPr>
          <m:t>=</m:t>
        </m:r>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r>
                  <m:rPr>
                    <m:sty m:val="p"/>
                  </m:rPr>
                  <w:rPr>
                    <w:rFonts w:ascii="Cambria Math" w:eastAsiaTheme="minorEastAsia" w:hAnsi="Cambria Math"/>
                    <w:lang w:val="en-GB"/>
                  </w:rPr>
                  <m:t>1+400/</m:t>
                </m:r>
                <m:r>
                  <w:rPr>
                    <w:rFonts w:ascii="Cambria Math" w:eastAsiaTheme="minorEastAsia" w:hAnsi="Cambria Math"/>
                    <w:lang w:val="en-GB"/>
                  </w:rPr>
                  <m:t>a</m:t>
                </m:r>
              </m:num>
              <m:den>
                <m:r>
                  <m:rPr>
                    <m:sty m:val="p"/>
                  </m:rPr>
                  <w:rPr>
                    <w:rFonts w:ascii="Cambria Math" w:eastAsiaTheme="minorEastAsia" w:hAnsi="Cambria Math"/>
                    <w:lang w:val="en-GB"/>
                  </w:rPr>
                  <m:t>1+</m:t>
                </m:r>
                <m:r>
                  <w:rPr>
                    <w:rFonts w:ascii="Cambria Math" w:eastAsiaTheme="minorEastAsia" w:hAnsi="Cambria Math"/>
                    <w:lang w:val="en-GB"/>
                  </w:rPr>
                  <m:t>h</m:t>
                </m:r>
                <m:r>
                  <m:rPr>
                    <m:sty m:val="p"/>
                  </m:rPr>
                  <w:rPr>
                    <w:rFonts w:ascii="Cambria Math" w:eastAsiaTheme="minorEastAsia" w:hAnsi="Cambria Math"/>
                    <w:lang w:val="en-GB"/>
                  </w:rPr>
                  <m:t>/</m:t>
                </m:r>
                <m:r>
                  <w:rPr>
                    <w:rFonts w:ascii="Cambria Math" w:eastAsiaTheme="minorEastAsia" w:hAnsi="Cambria Math"/>
                    <w:lang w:val="en-GB"/>
                  </w:rPr>
                  <m:t>a</m:t>
                </m:r>
              </m:den>
            </m:f>
          </m:e>
        </m:d>
        <m:r>
          <m:rPr>
            <m:sty m:val="p"/>
          </m:rPr>
          <w:rPr>
            <w:rFonts w:ascii="Cambria Math" w:eastAsiaTheme="minorEastAsia" w:hAnsi="Cambria Math"/>
            <w:lang w:val="en-GB"/>
          </w:rPr>
          <m:t xml:space="preserve"> </m:t>
        </m:r>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r>
                  <w:rPr>
                    <w:rFonts w:ascii="Cambria Math" w:eastAsiaTheme="minorEastAsia" w:hAnsi="Cambria Math"/>
                    <w:lang w:val="en-GB"/>
                  </w:rPr>
                  <m:t>n</m:t>
                </m:r>
                <m:r>
                  <m:rPr>
                    <m:sty m:val="p"/>
                  </m:rPr>
                  <w:rPr>
                    <w:rFonts w:ascii="Cambria Math" w:eastAsiaTheme="minorEastAsia" w:hAnsi="Cambria Math"/>
                    <w:lang w:val="en-GB"/>
                  </w:rPr>
                  <m:t>(400)</m:t>
                </m:r>
              </m:num>
              <m:den>
                <m:r>
                  <w:rPr>
                    <w:rFonts w:ascii="Cambria Math" w:eastAsiaTheme="minorEastAsia" w:hAnsi="Cambria Math"/>
                    <w:lang w:val="en-GB"/>
                  </w:rPr>
                  <m:t>n</m:t>
                </m:r>
                <m:r>
                  <m:rPr>
                    <m:sty m:val="p"/>
                  </m:rPr>
                  <w:rPr>
                    <w:rFonts w:ascii="Cambria Math" w:eastAsiaTheme="minorEastAsia" w:hAnsi="Cambria Math"/>
                    <w:lang w:val="en-GB"/>
                  </w:rPr>
                  <m:t>(</m:t>
                </m:r>
                <m:r>
                  <w:rPr>
                    <w:rFonts w:ascii="Cambria Math" w:eastAsiaTheme="minorEastAsia" w:hAnsi="Cambria Math"/>
                    <w:lang w:val="en-GB"/>
                  </w:rPr>
                  <m:t>h</m:t>
                </m:r>
                <m:r>
                  <m:rPr>
                    <m:sty m:val="p"/>
                  </m:rPr>
                  <w:rPr>
                    <w:rFonts w:ascii="Cambria Math" w:eastAsiaTheme="minorEastAsia" w:hAnsi="Cambria Math"/>
                    <w:lang w:val="en-GB"/>
                  </w:rPr>
                  <m:t>)</m:t>
                </m:r>
              </m:den>
            </m:f>
          </m:e>
        </m:d>
        <m:r>
          <m:rPr>
            <m:sty m:val="p"/>
          </m:rPr>
          <w:rPr>
            <w:rFonts w:ascii="Cambria Math" w:eastAsiaTheme="minorEastAsia" w:hAnsi="Cambria Math"/>
            <w:lang w:val="en-GB"/>
          </w:rPr>
          <m:t xml:space="preserve"> </m:t>
        </m:r>
        <m:func>
          <m:funcPr>
            <m:ctrlPr>
              <w:rPr>
                <w:rFonts w:ascii="Cambria Math" w:eastAsiaTheme="minorEastAsia" w:hAnsi="Cambria Math"/>
                <w:lang w:val="en-GB"/>
              </w:rPr>
            </m:ctrlPr>
          </m:funcPr>
          <m:fName>
            <m:r>
              <m:rPr>
                <m:sty m:val="p"/>
              </m:rPr>
              <w:rPr>
                <w:rFonts w:ascii="Cambria Math" w:hAnsi="Cambria Math"/>
                <w:lang w:val="en-GB"/>
              </w:rPr>
              <m:t>sin</m:t>
            </m:r>
          </m:fName>
          <m:e>
            <m:sSub>
              <m:sSubPr>
                <m:ctrlPr>
                  <w:rPr>
                    <w:rFonts w:ascii="Cambria Math" w:eastAsiaTheme="minorEastAsia" w:hAnsi="Cambria Math"/>
                    <w:lang w:val="en-GB"/>
                  </w:rPr>
                </m:ctrlPr>
              </m:sSubPr>
              <m:e>
                <m:r>
                  <m:rPr>
                    <m:sty m:val="p"/>
                  </m:rPr>
                  <w:rPr>
                    <w:rFonts w:ascii="Cambria Math" w:eastAsiaTheme="minorEastAsia" w:hAnsi="Cambria Math"/>
                    <w:lang w:val="en-GB"/>
                  </w:rPr>
                  <m:t>φ</m:t>
                </m:r>
              </m:e>
              <m:sub>
                <m:r>
                  <m:rPr>
                    <m:sty m:val="p"/>
                  </m:rPr>
                  <w:rPr>
                    <w:rFonts w:ascii="Cambria Math" w:eastAsiaTheme="minorEastAsia" w:hAnsi="Cambria Math"/>
                    <w:lang w:val="en-GB"/>
                  </w:rPr>
                  <m:t>400</m:t>
                </m:r>
              </m:sub>
            </m:sSub>
          </m:e>
        </m:func>
      </m:oMath>
      <w:r w:rsidRPr="00CB75BD">
        <w:rPr>
          <w:rFonts w:eastAsiaTheme="minorEastAsia"/>
          <w:lang w:val="en-GB"/>
        </w:rPr>
        <w:t xml:space="preserve"> </w:t>
      </w:r>
      <w:r w:rsidRPr="00CB75BD">
        <w:rPr>
          <w:rFonts w:eastAsiaTheme="minorEastAsia"/>
          <w:lang w:val="en-GB"/>
        </w:rPr>
        <w:tab/>
        <w:t>(1</w:t>
      </w:r>
      <w:r w:rsidR="00CB75BD">
        <w:rPr>
          <w:rFonts w:eastAsiaTheme="minorEastAsia"/>
          <w:lang w:val="en-GB"/>
        </w:rPr>
        <w:t>6</w:t>
      </w:r>
      <w:r w:rsidRPr="00CB75BD">
        <w:rPr>
          <w:rFonts w:eastAsiaTheme="minorEastAsia"/>
          <w:lang w:val="en-GB"/>
        </w:rPr>
        <w:t>)</w:t>
      </w:r>
    </w:p>
    <w:p w:rsidR="006612E7" w:rsidRPr="00CB75BD" w:rsidRDefault="006612E7" w:rsidP="006612E7">
      <w:pPr>
        <w:rPr>
          <w:rFonts w:eastAsiaTheme="minorEastAsia"/>
          <w:lang w:val="en-GB"/>
        </w:rPr>
      </w:pPr>
      <w:r w:rsidRPr="00CB75BD">
        <w:rPr>
          <w:rFonts w:eastAsiaTheme="minorEastAsia"/>
          <w:lang w:val="en-GB"/>
        </w:rPr>
        <w:t xml:space="preserve">Total </w:t>
      </w:r>
      <w:r w:rsidR="00837009" w:rsidRPr="00CB75BD">
        <w:rPr>
          <w:rFonts w:eastAsiaTheme="minorEastAsia"/>
          <w:lang w:val="en-GB"/>
        </w:rPr>
        <w:t xml:space="preserve">reflection (ducting) occurs if </w:t>
      </w:r>
      <m:oMath>
        <m:func>
          <m:funcPr>
            <m:ctrlPr>
              <w:rPr>
                <w:rFonts w:ascii="Cambria Math" w:eastAsiaTheme="minorEastAsia" w:hAnsi="Cambria Math"/>
                <w:i/>
                <w:lang w:val="en-GB"/>
              </w:rPr>
            </m:ctrlPr>
          </m:funcPr>
          <m:fName>
            <m:r>
              <m:rPr>
                <m:sty m:val="p"/>
              </m:rPr>
              <w:rPr>
                <w:rFonts w:ascii="Cambria Math" w:hAnsi="Cambria Math"/>
                <w:lang w:val="en-GB"/>
              </w:rPr>
              <m:t>sin</m:t>
            </m:r>
          </m:fName>
          <m:e>
            <m:sSub>
              <m:sSubPr>
                <m:ctrlPr>
                  <w:rPr>
                    <w:rFonts w:ascii="Cambria Math" w:eastAsiaTheme="minorEastAsia" w:hAnsi="Cambria Math"/>
                    <w:i/>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h</m:t>
                </m:r>
              </m:sub>
            </m:sSub>
          </m:e>
        </m:func>
        <m:r>
          <w:rPr>
            <w:rFonts w:ascii="Cambria Math" w:eastAsiaTheme="minorEastAsia" w:hAnsi="Cambria Math"/>
            <w:lang w:val="en-GB"/>
          </w:rPr>
          <m:t>≥1</m:t>
        </m:r>
      </m:oMath>
      <w:r w:rsidRPr="00CB75BD">
        <w:rPr>
          <w:rFonts w:eastAsiaTheme="minorEastAsia"/>
          <w:lang w:val="en-GB"/>
        </w:rPr>
        <w:t xml:space="preserve"> which can be incorporated into </w:t>
      </w:r>
      <w:r w:rsidR="00CB75BD">
        <w:rPr>
          <w:rFonts w:eastAsiaTheme="minorEastAsia"/>
          <w:lang w:val="en-GB"/>
        </w:rPr>
        <w:t xml:space="preserve">equation </w:t>
      </w:r>
      <w:r w:rsidRPr="00CB75BD">
        <w:rPr>
          <w:rFonts w:eastAsiaTheme="minorEastAsia"/>
          <w:lang w:val="en-GB"/>
        </w:rPr>
        <w:t>(1</w:t>
      </w:r>
      <w:r w:rsidR="00CB75BD">
        <w:rPr>
          <w:rFonts w:eastAsiaTheme="minorEastAsia"/>
          <w:lang w:val="en-GB"/>
        </w:rPr>
        <w:t>6</w:t>
      </w:r>
      <w:r w:rsidRPr="00CB75BD">
        <w:rPr>
          <w:rFonts w:eastAsiaTheme="minorEastAsia"/>
          <w:lang w:val="en-GB"/>
        </w:rPr>
        <w:t>) yielding the following condition leading to total reflection (ducting):</w:t>
      </w:r>
    </w:p>
    <w:p w:rsidR="006612E7" w:rsidRPr="00CB75BD" w:rsidRDefault="006612E7" w:rsidP="006612E7">
      <w:pPr>
        <w:pStyle w:val="Equation"/>
        <w:rPr>
          <w:rFonts w:eastAsiaTheme="minorEastAsia"/>
          <w:lang w:val="en-GB"/>
        </w:rPr>
      </w:pPr>
      <w:r w:rsidRPr="00CB75BD">
        <w:rPr>
          <w:rFonts w:eastAsiaTheme="minorEastAsia"/>
          <w:lang w:val="en-GB"/>
        </w:rPr>
        <w:tab/>
      </w:r>
      <w:r w:rsidRPr="00CB75BD">
        <w:rPr>
          <w:rFonts w:eastAsiaTheme="minorEastAsia"/>
          <w:lang w:val="en-GB"/>
        </w:rPr>
        <w:tab/>
      </w:r>
      <m:oMath>
        <m:func>
          <m:funcPr>
            <m:ctrlPr>
              <w:rPr>
                <w:rFonts w:ascii="Cambria Math" w:eastAsiaTheme="minorEastAsia" w:hAnsi="Cambria Math"/>
                <w:lang w:val="en-GB"/>
              </w:rPr>
            </m:ctrlPr>
          </m:funcPr>
          <m:fName>
            <m:r>
              <m:rPr>
                <m:sty m:val="p"/>
              </m:rPr>
              <w:rPr>
                <w:rFonts w:ascii="Cambria Math" w:hAnsi="Cambria Math"/>
                <w:lang w:val="en-GB"/>
              </w:rPr>
              <m:t>sin</m:t>
            </m:r>
          </m:fName>
          <m:e>
            <m:sSub>
              <m:sSubPr>
                <m:ctrlPr>
                  <w:rPr>
                    <w:rFonts w:ascii="Cambria Math" w:eastAsiaTheme="minorEastAsia" w:hAnsi="Cambria Math"/>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h</m:t>
                </m:r>
              </m:sub>
            </m:sSub>
          </m:e>
        </m:func>
        <m:r>
          <m:rPr>
            <m:sty m:val="p"/>
          </m:rPr>
          <w:rPr>
            <w:rFonts w:ascii="Cambria Math" w:eastAsiaTheme="minorEastAsia" w:hAnsi="Cambria Math"/>
            <w:lang w:val="en-GB"/>
          </w:rPr>
          <m:t>=</m:t>
        </m:r>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r>
                  <m:rPr>
                    <m:sty m:val="p"/>
                  </m:rPr>
                  <w:rPr>
                    <w:rFonts w:ascii="Cambria Math" w:eastAsiaTheme="minorEastAsia" w:hAnsi="Cambria Math"/>
                    <w:lang w:val="en-GB"/>
                  </w:rPr>
                  <m:t>1+400/</m:t>
                </m:r>
                <m:r>
                  <w:rPr>
                    <w:rFonts w:ascii="Cambria Math" w:eastAsiaTheme="minorEastAsia" w:hAnsi="Cambria Math"/>
                    <w:lang w:val="en-GB"/>
                  </w:rPr>
                  <m:t>a</m:t>
                </m:r>
              </m:num>
              <m:den>
                <m:r>
                  <m:rPr>
                    <m:sty m:val="p"/>
                  </m:rPr>
                  <w:rPr>
                    <w:rFonts w:ascii="Cambria Math" w:eastAsiaTheme="minorEastAsia" w:hAnsi="Cambria Math"/>
                    <w:lang w:val="en-GB"/>
                  </w:rPr>
                  <m:t>1+</m:t>
                </m:r>
                <m:r>
                  <w:rPr>
                    <w:rFonts w:ascii="Cambria Math" w:eastAsiaTheme="minorEastAsia" w:hAnsi="Cambria Math"/>
                    <w:lang w:val="en-GB"/>
                  </w:rPr>
                  <m:t>h</m:t>
                </m:r>
                <m:r>
                  <m:rPr>
                    <m:sty m:val="p"/>
                  </m:rPr>
                  <w:rPr>
                    <w:rFonts w:ascii="Cambria Math" w:eastAsiaTheme="minorEastAsia" w:hAnsi="Cambria Math"/>
                    <w:lang w:val="en-GB"/>
                  </w:rPr>
                  <m:t>/</m:t>
                </m:r>
                <m:r>
                  <w:rPr>
                    <w:rFonts w:ascii="Cambria Math" w:eastAsiaTheme="minorEastAsia" w:hAnsi="Cambria Math"/>
                    <w:lang w:val="en-GB"/>
                  </w:rPr>
                  <m:t>a</m:t>
                </m:r>
              </m:den>
            </m:f>
          </m:e>
        </m:d>
        <m:r>
          <m:rPr>
            <m:sty m:val="p"/>
          </m:rPr>
          <w:rPr>
            <w:rFonts w:ascii="Cambria Math" w:eastAsiaTheme="minorEastAsia" w:hAnsi="Cambria Math"/>
            <w:lang w:val="en-GB"/>
          </w:rPr>
          <m:t xml:space="preserve"> </m:t>
        </m:r>
        <m:d>
          <m:dPr>
            <m:begChr m:val="{"/>
            <m:endChr m:val="}"/>
            <m:ctrlPr>
              <w:rPr>
                <w:rFonts w:ascii="Cambria Math" w:eastAsiaTheme="minorEastAsia" w:hAnsi="Cambria Math"/>
                <w:lang w:val="en-GB"/>
              </w:rPr>
            </m:ctrlPr>
          </m:dPr>
          <m:e>
            <m:f>
              <m:fPr>
                <m:ctrlPr>
                  <w:rPr>
                    <w:rFonts w:ascii="Cambria Math" w:eastAsiaTheme="minorEastAsia" w:hAnsi="Cambria Math"/>
                    <w:lang w:val="en-GB"/>
                  </w:rPr>
                </m:ctrlPr>
              </m:fPr>
              <m:num>
                <m:r>
                  <w:rPr>
                    <w:rFonts w:ascii="Cambria Math" w:eastAsiaTheme="minorEastAsia" w:hAnsi="Cambria Math"/>
                    <w:lang w:val="en-GB"/>
                  </w:rPr>
                  <m:t>n</m:t>
                </m:r>
                <m:r>
                  <m:rPr>
                    <m:sty m:val="p"/>
                  </m:rPr>
                  <w:rPr>
                    <w:rFonts w:ascii="Cambria Math" w:eastAsiaTheme="minorEastAsia" w:hAnsi="Cambria Math"/>
                    <w:lang w:val="en-GB"/>
                  </w:rPr>
                  <m:t>(400)</m:t>
                </m:r>
              </m:num>
              <m:den>
                <m:r>
                  <w:rPr>
                    <w:rFonts w:ascii="Cambria Math" w:eastAsiaTheme="minorEastAsia" w:hAnsi="Cambria Math"/>
                    <w:lang w:val="en-GB"/>
                  </w:rPr>
                  <m:t>n</m:t>
                </m:r>
                <m:r>
                  <m:rPr>
                    <m:sty m:val="p"/>
                  </m:rPr>
                  <w:rPr>
                    <w:rFonts w:ascii="Cambria Math" w:eastAsiaTheme="minorEastAsia" w:hAnsi="Cambria Math"/>
                    <w:lang w:val="en-GB"/>
                  </w:rPr>
                  <m:t>(</m:t>
                </m:r>
                <m:r>
                  <w:rPr>
                    <w:rFonts w:ascii="Cambria Math" w:eastAsiaTheme="minorEastAsia" w:hAnsi="Cambria Math"/>
                    <w:lang w:val="en-GB"/>
                  </w:rPr>
                  <m:t>h</m:t>
                </m:r>
                <m:r>
                  <m:rPr>
                    <m:sty m:val="p"/>
                  </m:rPr>
                  <w:rPr>
                    <w:rFonts w:ascii="Cambria Math" w:eastAsiaTheme="minorEastAsia" w:hAnsi="Cambria Math"/>
                    <w:lang w:val="en-GB"/>
                  </w:rPr>
                  <m:t>)</m:t>
                </m:r>
              </m:den>
            </m:f>
          </m:e>
        </m:d>
        <m:r>
          <m:rPr>
            <m:sty m:val="p"/>
          </m:rPr>
          <w:rPr>
            <w:rFonts w:ascii="Cambria Math" w:eastAsiaTheme="minorEastAsia" w:hAnsi="Cambria Math"/>
            <w:lang w:val="en-GB"/>
          </w:rPr>
          <m:t xml:space="preserve"> </m:t>
        </m:r>
        <m:func>
          <m:funcPr>
            <m:ctrlPr>
              <w:rPr>
                <w:rFonts w:ascii="Cambria Math" w:eastAsiaTheme="minorEastAsia" w:hAnsi="Cambria Math"/>
                <w:lang w:val="en-GB"/>
              </w:rPr>
            </m:ctrlPr>
          </m:funcPr>
          <m:fName>
            <m:r>
              <m:rPr>
                <m:sty m:val="p"/>
              </m:rPr>
              <w:rPr>
                <w:rFonts w:ascii="Cambria Math" w:hAnsi="Cambria Math"/>
                <w:lang w:val="en-GB"/>
              </w:rPr>
              <m:t>sin</m:t>
            </m:r>
          </m:fName>
          <m:e>
            <m:sSub>
              <m:sSubPr>
                <m:ctrlPr>
                  <w:rPr>
                    <w:rFonts w:ascii="Cambria Math" w:eastAsiaTheme="minorEastAsia" w:hAnsi="Cambria Math"/>
                    <w:lang w:val="en-GB"/>
                  </w:rPr>
                </m:ctrlPr>
              </m:sSubPr>
              <m:e>
                <m:r>
                  <m:rPr>
                    <m:sty m:val="p"/>
                  </m:rPr>
                  <w:rPr>
                    <w:rFonts w:ascii="Cambria Math" w:eastAsiaTheme="minorEastAsia" w:hAnsi="Cambria Math"/>
                    <w:lang w:val="en-GB"/>
                  </w:rPr>
                  <m:t>φ</m:t>
                </m:r>
              </m:e>
              <m:sub>
                <m:r>
                  <m:rPr>
                    <m:sty m:val="p"/>
                  </m:rPr>
                  <w:rPr>
                    <w:rFonts w:ascii="Cambria Math" w:eastAsiaTheme="minorEastAsia" w:hAnsi="Cambria Math"/>
                    <w:lang w:val="en-GB"/>
                  </w:rPr>
                  <m:t>400</m:t>
                </m:r>
              </m:sub>
            </m:sSub>
          </m:e>
        </m:func>
        <m:r>
          <m:rPr>
            <m:sty m:val="p"/>
          </m:rPr>
          <w:rPr>
            <w:rFonts w:ascii="Cambria Math" w:eastAsiaTheme="minorEastAsia" w:hAnsi="Cambria Math"/>
            <w:lang w:val="en-GB"/>
          </w:rPr>
          <m:t xml:space="preserve"> ≥1</m:t>
        </m:r>
      </m:oMath>
      <w:r w:rsidRPr="00CB75BD">
        <w:rPr>
          <w:rFonts w:eastAsiaTheme="minorEastAsia"/>
          <w:lang w:val="en-GB"/>
        </w:rPr>
        <w:t xml:space="preserve"> </w:t>
      </w:r>
      <w:r w:rsidRPr="00CB75BD">
        <w:rPr>
          <w:rFonts w:eastAsiaTheme="minorEastAsia"/>
          <w:lang w:val="en-GB"/>
        </w:rPr>
        <w:tab/>
        <w:t>(1</w:t>
      </w:r>
      <w:r w:rsidR="00CB75BD">
        <w:rPr>
          <w:rFonts w:eastAsiaTheme="minorEastAsia"/>
          <w:lang w:val="en-GB"/>
        </w:rPr>
        <w:t>7</w:t>
      </w:r>
      <w:r w:rsidRPr="00CB75BD">
        <w:rPr>
          <w:rFonts w:eastAsiaTheme="minorEastAsia"/>
          <w:lang w:val="en-GB"/>
        </w:rPr>
        <w:t>)</w:t>
      </w:r>
    </w:p>
    <w:p w:rsidR="006612E7" w:rsidRPr="00CB75BD" w:rsidRDefault="006612E7" w:rsidP="006612E7">
      <w:pPr>
        <w:rPr>
          <w:rFonts w:eastAsiaTheme="minorEastAsia"/>
          <w:lang w:val="en-GB"/>
        </w:rPr>
      </w:pPr>
      <w:r w:rsidRPr="00CB75BD">
        <w:rPr>
          <w:rFonts w:eastAsiaTheme="minorEastAsia"/>
          <w:lang w:val="en-GB"/>
        </w:rPr>
        <w:t xml:space="preserve">The above condition cannot be satisfied for a ray propagating from the sounder at </w:t>
      </w:r>
      <m:oMath>
        <m:sSub>
          <m:sSubPr>
            <m:ctrlPr>
              <w:rPr>
                <w:rFonts w:ascii="Cambria Math" w:eastAsiaTheme="minorEastAsia" w:hAnsi="Cambria Math"/>
                <w:i/>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400</m:t>
            </m:r>
          </m:sub>
        </m:sSub>
        <m:r>
          <w:rPr>
            <w:rFonts w:ascii="Cambria Math" w:eastAsiaTheme="minorEastAsia" w:hAnsi="Cambria Math"/>
            <w:lang w:val="en-GB"/>
          </w:rPr>
          <m:t>= 30°</m:t>
        </m:r>
      </m:oMath>
      <w:r w:rsidRPr="00CB75BD">
        <w:rPr>
          <w:rFonts w:eastAsiaTheme="minorEastAsia"/>
          <w:lang w:val="en-GB"/>
        </w:rPr>
        <w:t xml:space="preserve"> as shown in Fig. 7. </w:t>
      </w:r>
    </w:p>
    <w:p w:rsidR="006612E7" w:rsidRPr="00CB75BD" w:rsidRDefault="006612E7" w:rsidP="006612E7">
      <w:pPr>
        <w:pStyle w:val="FigureNo"/>
        <w:rPr>
          <w:rFonts w:eastAsiaTheme="minorEastAsia"/>
          <w:lang w:val="en-GB"/>
        </w:rPr>
      </w:pPr>
      <w:r w:rsidRPr="00CB75BD">
        <w:rPr>
          <w:rFonts w:eastAsiaTheme="minorEastAsia"/>
          <w:lang w:val="en-GB"/>
        </w:rPr>
        <w:lastRenderedPageBreak/>
        <w:t>Figure 7</w:t>
      </w:r>
    </w:p>
    <w:p w:rsidR="006612E7" w:rsidRPr="00CB75BD" w:rsidRDefault="00F840E2" w:rsidP="006612E7">
      <w:pPr>
        <w:pStyle w:val="Figuretitle"/>
        <w:rPr>
          <w:rFonts w:eastAsiaTheme="minorEastAsia"/>
          <w:lang w:val="en-GB"/>
        </w:rPr>
      </w:pPr>
      <w:r w:rsidRPr="00CB75BD">
        <w:rPr>
          <w:rFonts w:eastAsiaTheme="minorEastAsia"/>
          <w:lang w:val="en-GB"/>
        </w:rPr>
        <w:t>Downlink (sounder-Earth)</w:t>
      </w:r>
      <w:r w:rsidR="006612E7" w:rsidRPr="00CB75BD">
        <w:rPr>
          <w:rFonts w:eastAsiaTheme="minorEastAsia"/>
          <w:lang w:val="en-GB"/>
        </w:rPr>
        <w:t xml:space="preserve"> </w:t>
      </w:r>
      <m:oMath>
        <m:func>
          <m:funcPr>
            <m:ctrlPr>
              <w:rPr>
                <w:rFonts w:ascii="Cambria Math" w:eastAsiaTheme="minorEastAsia" w:hAnsi="Cambria Math"/>
                <w:i/>
                <w:lang w:val="en-GB"/>
              </w:rPr>
            </m:ctrlPr>
          </m:funcPr>
          <m:fName>
            <m:r>
              <m:rPr>
                <m:sty m:val="b"/>
              </m:rPr>
              <w:rPr>
                <w:rFonts w:ascii="Cambria Math" w:hAnsi="Cambria Math"/>
                <w:lang w:val="en-GB"/>
              </w:rPr>
              <m:t>sin</m:t>
            </m:r>
          </m:fName>
          <m:e>
            <m:sSub>
              <m:sSubPr>
                <m:ctrlPr>
                  <w:rPr>
                    <w:rFonts w:ascii="Cambria Math" w:eastAsiaTheme="minorEastAsia" w:hAnsi="Cambria Math"/>
                    <w:i/>
                    <w:lang w:val="en-GB"/>
                  </w:rPr>
                </m:ctrlPr>
              </m:sSubPr>
              <m:e>
                <m:r>
                  <m:rPr>
                    <m:sty m:val="b"/>
                  </m:rPr>
                  <w:rPr>
                    <w:rFonts w:ascii="Cambria Math" w:eastAsiaTheme="minorEastAsia" w:hAnsi="Cambria Math"/>
                    <w:lang w:val="en-GB"/>
                  </w:rPr>
                  <m:t>φ</m:t>
                </m:r>
              </m:e>
              <m:sub>
                <m:r>
                  <m:rPr>
                    <m:sty m:val="bi"/>
                  </m:rPr>
                  <w:rPr>
                    <w:rFonts w:ascii="Cambria Math" w:eastAsiaTheme="minorEastAsia" w:hAnsi="Cambria Math"/>
                    <w:lang w:val="en-GB"/>
                  </w:rPr>
                  <m:t>h</m:t>
                </m:r>
              </m:sub>
            </m:sSub>
          </m:e>
        </m:func>
      </m:oMath>
      <w:r w:rsidR="006612E7" w:rsidRPr="00CB75BD">
        <w:rPr>
          <w:rFonts w:eastAsiaTheme="minorEastAsia"/>
          <w:lang w:val="en-GB"/>
        </w:rPr>
        <w:t xml:space="preserve"> versus height </w:t>
      </w:r>
      <w:r w:rsidR="006612E7" w:rsidRPr="00CB75BD">
        <w:rPr>
          <w:lang w:val="en-GB"/>
        </w:rPr>
        <w:t>(Electron density profile as in Fig. 1)</w:t>
      </w:r>
    </w:p>
    <w:p w:rsidR="006612E7" w:rsidRPr="00CB75BD" w:rsidRDefault="006612E7" w:rsidP="006612E7">
      <w:pPr>
        <w:pStyle w:val="Figure"/>
        <w:rPr>
          <w:rFonts w:eastAsiaTheme="minorEastAsia"/>
          <w:lang w:val="en-GB"/>
        </w:rPr>
      </w:pPr>
      <w:r w:rsidRPr="00CB75BD">
        <w:rPr>
          <w:rFonts w:eastAsiaTheme="minorEastAsia"/>
          <w:noProof/>
          <w:lang w:val="en-GB" w:eastAsia="en-GB"/>
        </w:rPr>
        <w:drawing>
          <wp:inline distT="0" distB="0" distL="0" distR="0" wp14:anchorId="257C52F3" wp14:editId="2D86E847">
            <wp:extent cx="5943090" cy="2700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342"/>
                    <a:stretch/>
                  </pic:blipFill>
                  <pic:spPr bwMode="auto">
                    <a:xfrm>
                      <a:off x="0" y="0"/>
                      <a:ext cx="5943090" cy="2700655"/>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Normalaftertitle"/>
        <w:rPr>
          <w:rFonts w:eastAsiaTheme="minorEastAsia"/>
          <w:lang w:val="en-GB"/>
        </w:rPr>
      </w:pPr>
      <w:r w:rsidRPr="00CB75BD">
        <w:rPr>
          <w:rFonts w:eastAsiaTheme="minorEastAsia"/>
          <w:lang w:val="en-GB"/>
        </w:rPr>
        <w:t>In case of uplink (Earth-sounder) direction, based on reciprocity, the above results are reversed. This means that the increase in angle of arrival (beam defocusing) depicted in Figs 4 to 6 in downlink (sounder-Earth) direction becomes a decrease (beam focusing) in angle of arrival in the uplink (Earth</w:t>
      </w:r>
      <w:r w:rsidR="00A910CF" w:rsidRPr="00CB75BD">
        <w:rPr>
          <w:rFonts w:eastAsiaTheme="minorEastAsia"/>
          <w:lang w:val="en-GB"/>
        </w:rPr>
        <w:noBreakHyphen/>
      </w:r>
      <w:r w:rsidRPr="00CB75BD">
        <w:rPr>
          <w:rFonts w:eastAsiaTheme="minorEastAsia"/>
          <w:lang w:val="en-GB"/>
        </w:rPr>
        <w:t>sounder) direction. For instance, in Fig. 4, a ray leaving the radar sounder at a zenith angle of 30</w:t>
      </w:r>
      <w:r w:rsidR="00A910CF" w:rsidRPr="00CB75BD">
        <w:rPr>
          <w:rFonts w:eastAsiaTheme="minorEastAsia"/>
          <w:lang w:val="en-GB"/>
        </w:rPr>
        <w:t>°</w:t>
      </w:r>
      <w:r w:rsidRPr="00CB75BD">
        <w:rPr>
          <w:rFonts w:eastAsiaTheme="minorEastAsia"/>
          <w:lang w:val="en-GB"/>
        </w:rPr>
        <w:t xml:space="preserve"> reaches the lower boundary of the ionosphere at a zenith angle of 31.31</w:t>
      </w:r>
      <w:r w:rsidRPr="00CB75BD">
        <w:rPr>
          <w:rFonts w:eastAsiaTheme="minorEastAsia"/>
          <w:vertAlign w:val="superscript"/>
          <w:lang w:val="en-GB"/>
        </w:rPr>
        <w:t> </w:t>
      </w:r>
      <w:r w:rsidRPr="00CB75BD">
        <w:rPr>
          <w:rFonts w:eastAsiaTheme="minorEastAsia"/>
          <w:lang w:val="en-GB"/>
        </w:rPr>
        <w:t>(30</w:t>
      </w:r>
      <w:r w:rsidR="00A910CF" w:rsidRPr="00CB75BD">
        <w:rPr>
          <w:rFonts w:eastAsiaTheme="minorEastAsia"/>
          <w:lang w:val="en-GB"/>
        </w:rPr>
        <w:t>°</w:t>
      </w:r>
      <w:r w:rsidRPr="00CB75BD">
        <w:rPr>
          <w:rFonts w:eastAsiaTheme="minorEastAsia"/>
          <w:lang w:val="en-GB"/>
        </w:rPr>
        <w:t xml:space="preserve"> + 1.31</w:t>
      </w:r>
      <w:r w:rsidR="00A910CF" w:rsidRPr="00CB75BD">
        <w:rPr>
          <w:rFonts w:eastAsiaTheme="minorEastAsia"/>
          <w:lang w:val="en-GB"/>
        </w:rPr>
        <w:t>°</w:t>
      </w:r>
      <w:r w:rsidRPr="00CB75BD">
        <w:rPr>
          <w:rFonts w:eastAsiaTheme="minorEastAsia"/>
          <w:lang w:val="en-GB"/>
        </w:rPr>
        <w:t>). On the other hand, as shown in Fig. 8, a ray entering the lower boundary of the ionosphere at a zenith angle of 31.31</w:t>
      </w:r>
      <w:r w:rsidR="00A910CF" w:rsidRPr="00CB75BD">
        <w:rPr>
          <w:rFonts w:eastAsiaTheme="minorEastAsia"/>
          <w:lang w:val="en-GB"/>
        </w:rPr>
        <w:t>°</w:t>
      </w:r>
      <w:r w:rsidRPr="00CB75BD">
        <w:rPr>
          <w:rFonts w:eastAsiaTheme="minorEastAsia"/>
          <w:lang w:val="en-GB"/>
        </w:rPr>
        <w:t xml:space="preserve"> reaches the radar sounder at a zenith angle of 30</w:t>
      </w:r>
      <w:r w:rsidR="00A910CF" w:rsidRPr="00CB75BD">
        <w:rPr>
          <w:rFonts w:eastAsiaTheme="minorEastAsia"/>
          <w:lang w:val="en-GB"/>
        </w:rPr>
        <w:t>°</w:t>
      </w:r>
      <w:r w:rsidRPr="00CB75BD">
        <w:rPr>
          <w:rFonts w:eastAsiaTheme="minorEastAsia"/>
          <w:lang w:val="en-GB"/>
        </w:rPr>
        <w:t xml:space="preserve"> (31.31</w:t>
      </w:r>
      <w:r w:rsidR="00A910CF" w:rsidRPr="00CB75BD">
        <w:rPr>
          <w:rFonts w:eastAsiaTheme="minorEastAsia"/>
          <w:lang w:val="en-GB"/>
        </w:rPr>
        <w:t>°</w:t>
      </w:r>
      <w:r w:rsidR="006C7468" w:rsidRPr="00CB75BD">
        <w:rPr>
          <w:rFonts w:eastAsiaTheme="minorEastAsia"/>
          <w:lang w:val="en-GB"/>
        </w:rPr>
        <w:t xml:space="preserve"> – </w:t>
      </w:r>
      <w:r w:rsidRPr="00CB75BD">
        <w:rPr>
          <w:rFonts w:eastAsiaTheme="minorEastAsia"/>
          <w:lang w:val="en-GB"/>
        </w:rPr>
        <w:t>30</w:t>
      </w:r>
      <w:r w:rsidR="00A910CF" w:rsidRPr="00CB75BD">
        <w:rPr>
          <w:rFonts w:eastAsiaTheme="minorEastAsia"/>
          <w:lang w:val="en-GB"/>
        </w:rPr>
        <w:t>°</w:t>
      </w:r>
      <w:r w:rsidRPr="00CB75BD">
        <w:rPr>
          <w:rFonts w:eastAsiaTheme="minorEastAsia"/>
          <w:lang w:val="en-GB"/>
        </w:rPr>
        <w:t>).</w:t>
      </w:r>
    </w:p>
    <w:p w:rsidR="006612E7" w:rsidRPr="00CB75BD" w:rsidRDefault="006612E7" w:rsidP="00A910CF">
      <w:pPr>
        <w:pStyle w:val="FigureNo"/>
        <w:rPr>
          <w:rFonts w:eastAsiaTheme="minorEastAsia"/>
          <w:lang w:val="en-GB"/>
        </w:rPr>
      </w:pPr>
      <w:r w:rsidRPr="00CB75BD">
        <w:rPr>
          <w:rFonts w:eastAsiaTheme="minorEastAsia"/>
          <w:lang w:val="en-GB"/>
        </w:rPr>
        <w:t>Figure 8</w:t>
      </w:r>
    </w:p>
    <w:p w:rsidR="006612E7" w:rsidRPr="00CB75BD" w:rsidRDefault="006612E7" w:rsidP="00A910CF">
      <w:pPr>
        <w:pStyle w:val="Figuretitle"/>
        <w:rPr>
          <w:rFonts w:eastAsiaTheme="minorEastAsia"/>
          <w:lang w:val="en-GB"/>
        </w:rPr>
      </w:pPr>
      <w:r w:rsidRPr="00CB75BD">
        <w:rPr>
          <w:lang w:val="en-GB"/>
        </w:rPr>
        <w:t>Uplink (Earth-sounder) variation in angle of arrival as a function of height for a sounder incident angle of 30</w:t>
      </w:r>
      <w:r w:rsidR="00A910CF" w:rsidRPr="00CB75BD">
        <w:rPr>
          <w:rFonts w:cs="Times New Roman Bold"/>
          <w:lang w:val="en-GB"/>
        </w:rPr>
        <w:t>°</w:t>
      </w:r>
      <w:r w:rsidRPr="00CB75BD">
        <w:rPr>
          <w:lang w:val="en-GB"/>
        </w:rPr>
        <w:t xml:space="preserve"> </w:t>
      </w:r>
      <w:r w:rsidR="00A910CF" w:rsidRPr="00CB75BD">
        <w:rPr>
          <w:lang w:val="en-GB"/>
        </w:rPr>
        <w:br/>
      </w:r>
      <w:r w:rsidRPr="00CB75BD">
        <w:rPr>
          <w:lang w:val="en-GB"/>
        </w:rPr>
        <w:t>(Electron density profile as in Fig.</w:t>
      </w:r>
      <w:r w:rsidR="00A910CF" w:rsidRPr="00CB75BD">
        <w:rPr>
          <w:lang w:val="en-GB"/>
        </w:rPr>
        <w:t xml:space="preserve"> 4). </w:t>
      </w:r>
      <w:r w:rsidRPr="00CB75BD">
        <w:rPr>
          <w:lang w:val="en-GB"/>
        </w:rPr>
        <w:t>Based on the Figure</w:t>
      </w:r>
      <m:oMath>
        <m:r>
          <m:rPr>
            <m:sty m:val="bi"/>
          </m:rPr>
          <w:rPr>
            <w:rFonts w:ascii="Cambria Math" w:hAnsi="Cambria Math"/>
            <w:szCs w:val="24"/>
            <w:lang w:val="en-GB"/>
          </w:rPr>
          <m:t xml:space="preserve"> </m:t>
        </m:r>
        <m:r>
          <m:rPr>
            <m:sty m:val="b"/>
          </m:rPr>
          <w:rPr>
            <w:rFonts w:ascii="Cambria Math" w:hAnsi="Cambria Math"/>
            <w:szCs w:val="24"/>
            <w:lang w:val="en-GB"/>
          </w:rPr>
          <m:t>Δ</m:t>
        </m:r>
        <m:d>
          <m:dPr>
            <m:ctrlPr>
              <w:rPr>
                <w:rFonts w:ascii="Cambria Math" w:hAnsi="Cambria Math"/>
                <w:i/>
                <w:szCs w:val="24"/>
                <w:lang w:val="en-GB"/>
              </w:rPr>
            </m:ctrlPr>
          </m:dPr>
          <m:e>
            <m:r>
              <m:rPr>
                <m:sty m:val="bi"/>
              </m:rPr>
              <w:rPr>
                <w:rFonts w:ascii="Cambria Math" w:hAnsi="Cambria Math"/>
                <w:szCs w:val="24"/>
                <w:lang w:val="en-GB"/>
              </w:rPr>
              <m:t>400</m:t>
            </m:r>
          </m:e>
        </m:d>
      </m:oMath>
      <w:r w:rsidRPr="00CB75BD">
        <w:rPr>
          <w:lang w:val="en-GB"/>
        </w:rPr>
        <w:t xml:space="preserve"> = −1.31</w:t>
      </w:r>
      <w:r w:rsidR="00A910CF" w:rsidRPr="00CB75BD">
        <w:rPr>
          <w:lang w:val="en-GB"/>
        </w:rPr>
        <w:t>°</w:t>
      </w:r>
    </w:p>
    <w:p w:rsidR="006612E7" w:rsidRPr="00CB75BD" w:rsidRDefault="006612E7" w:rsidP="00A910CF">
      <w:pPr>
        <w:pStyle w:val="Figure"/>
        <w:rPr>
          <w:rFonts w:eastAsiaTheme="minorEastAsia"/>
          <w:lang w:val="en-GB"/>
        </w:rPr>
      </w:pPr>
      <w:r w:rsidRPr="00CB75BD">
        <w:rPr>
          <w:rFonts w:eastAsiaTheme="minorEastAsia"/>
          <w:noProof/>
          <w:lang w:val="en-GB" w:eastAsia="en-GB"/>
        </w:rPr>
        <w:drawing>
          <wp:inline distT="0" distB="0" distL="0" distR="0" wp14:anchorId="2B89C7E2" wp14:editId="5FC5E5A4">
            <wp:extent cx="594309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273"/>
                    <a:stretch/>
                  </pic:blipFill>
                  <pic:spPr bwMode="auto">
                    <a:xfrm>
                      <a:off x="0" y="0"/>
                      <a:ext cx="5943600" cy="2731370"/>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FigureNo"/>
        <w:rPr>
          <w:rFonts w:eastAsiaTheme="minorEastAsia"/>
          <w:lang w:val="en-GB"/>
        </w:rPr>
      </w:pPr>
      <w:r w:rsidRPr="00CB75BD">
        <w:rPr>
          <w:rFonts w:eastAsiaTheme="minorEastAsia"/>
          <w:lang w:val="en-GB"/>
        </w:rPr>
        <w:lastRenderedPageBreak/>
        <w:t>Figure 9</w:t>
      </w:r>
    </w:p>
    <w:p w:rsidR="006612E7" w:rsidRPr="00CB75BD" w:rsidRDefault="006612E7" w:rsidP="006612E7">
      <w:pPr>
        <w:pStyle w:val="Figuretitle"/>
        <w:rPr>
          <w:lang w:val="en-GB"/>
        </w:rPr>
      </w:pPr>
      <w:r w:rsidRPr="00CB75BD">
        <w:rPr>
          <w:rFonts w:eastAsiaTheme="minorEastAsia"/>
          <w:lang w:val="en-GB"/>
        </w:rPr>
        <w:t xml:space="preserve">Uplink (Earth-sounder) </w:t>
      </w:r>
      <m:oMath>
        <m:func>
          <m:funcPr>
            <m:ctrlPr>
              <w:rPr>
                <w:rFonts w:ascii="Cambria Math" w:eastAsiaTheme="minorEastAsia" w:hAnsi="Cambria Math"/>
                <w:i/>
                <w:lang w:val="en-GB"/>
              </w:rPr>
            </m:ctrlPr>
          </m:funcPr>
          <m:fName>
            <m:r>
              <m:rPr>
                <m:sty m:val="b"/>
              </m:rPr>
              <w:rPr>
                <w:rFonts w:ascii="Cambria Math" w:hAnsi="Cambria Math"/>
                <w:lang w:val="en-GB"/>
              </w:rPr>
              <m:t>sin</m:t>
            </m:r>
          </m:fName>
          <m:e>
            <m:sSub>
              <m:sSubPr>
                <m:ctrlPr>
                  <w:rPr>
                    <w:rFonts w:ascii="Cambria Math" w:eastAsiaTheme="minorEastAsia" w:hAnsi="Cambria Math"/>
                    <w:i/>
                    <w:lang w:val="en-GB"/>
                  </w:rPr>
                </m:ctrlPr>
              </m:sSubPr>
              <m:e>
                <m:r>
                  <m:rPr>
                    <m:sty m:val="b"/>
                  </m:rPr>
                  <w:rPr>
                    <w:rFonts w:ascii="Cambria Math" w:eastAsiaTheme="minorEastAsia" w:hAnsi="Cambria Math"/>
                    <w:lang w:val="en-GB"/>
                  </w:rPr>
                  <m:t>φ</m:t>
                </m:r>
              </m:e>
              <m:sub>
                <m:r>
                  <m:rPr>
                    <m:sty m:val="bi"/>
                  </m:rPr>
                  <w:rPr>
                    <w:rFonts w:ascii="Cambria Math" w:eastAsiaTheme="minorEastAsia" w:hAnsi="Cambria Math"/>
                    <w:lang w:val="en-GB"/>
                  </w:rPr>
                  <m:t>h</m:t>
                </m:r>
              </m:sub>
            </m:sSub>
          </m:e>
        </m:func>
      </m:oMath>
      <w:r w:rsidRPr="00CB75BD">
        <w:rPr>
          <w:rFonts w:eastAsiaTheme="minorEastAsia"/>
          <w:lang w:val="en-GB"/>
        </w:rPr>
        <w:t xml:space="preserve"> versus height </w:t>
      </w:r>
      <w:r w:rsidRPr="00CB75BD">
        <w:rPr>
          <w:lang w:val="en-GB"/>
        </w:rPr>
        <w:t>(Electron density profile as in Fig. 4)</w:t>
      </w:r>
    </w:p>
    <w:p w:rsidR="006612E7" w:rsidRPr="00CB75BD" w:rsidRDefault="006612E7" w:rsidP="006612E7">
      <w:pPr>
        <w:pStyle w:val="Figure"/>
        <w:rPr>
          <w:rFonts w:eastAsiaTheme="minorEastAsia"/>
          <w:lang w:val="en-GB"/>
        </w:rPr>
      </w:pPr>
      <w:r w:rsidRPr="00CB75BD">
        <w:rPr>
          <w:rFonts w:eastAsiaTheme="minorEastAsia"/>
          <w:noProof/>
          <w:lang w:val="en-GB" w:eastAsia="en-GB"/>
        </w:rPr>
        <w:drawing>
          <wp:inline distT="0" distB="0" distL="0" distR="0" wp14:anchorId="4607BBCA" wp14:editId="31BC0DD9">
            <wp:extent cx="5943090" cy="2715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807"/>
                    <a:stretch/>
                  </pic:blipFill>
                  <pic:spPr bwMode="auto">
                    <a:xfrm>
                      <a:off x="0" y="0"/>
                      <a:ext cx="5943600" cy="2716128"/>
                    </a:xfrm>
                    <a:prstGeom prst="rect">
                      <a:avLst/>
                    </a:prstGeom>
                    <a:noFill/>
                    <a:ln>
                      <a:noFill/>
                    </a:ln>
                    <a:extLst>
                      <a:ext uri="{53640926-AAD7-44D8-BBD7-CCE9431645EC}">
                        <a14:shadowObscured xmlns:a14="http://schemas.microsoft.com/office/drawing/2010/main"/>
                      </a:ext>
                    </a:extLst>
                  </pic:spPr>
                </pic:pic>
              </a:graphicData>
            </a:graphic>
          </wp:inline>
        </w:drawing>
      </w:r>
    </w:p>
    <w:p w:rsidR="006612E7" w:rsidRPr="00CB75BD" w:rsidRDefault="006612E7" w:rsidP="006612E7">
      <w:pPr>
        <w:pStyle w:val="Normalaftertitle"/>
        <w:rPr>
          <w:rFonts w:eastAsiaTheme="minorEastAsia"/>
          <w:lang w:val="en-GB"/>
        </w:rPr>
      </w:pPr>
      <w:r w:rsidRPr="00CB75BD">
        <w:rPr>
          <w:lang w:val="en-GB"/>
        </w:rPr>
        <w:t>Figure 9</w:t>
      </w:r>
      <w:r w:rsidRPr="00CB75BD">
        <w:rPr>
          <w:rFonts w:eastAsiaTheme="minorEastAsia"/>
          <w:lang w:val="en-GB"/>
        </w:rPr>
        <w:t xml:space="preserve"> is calculated to prove that ducting cannot occur in case of uplink (Earth-sounder). Figure 9 depicts </w:t>
      </w:r>
      <m:oMath>
        <m:func>
          <m:funcPr>
            <m:ctrlPr>
              <w:rPr>
                <w:rFonts w:ascii="Cambria Math" w:eastAsiaTheme="minorEastAsia" w:hAnsi="Cambria Math"/>
                <w:i/>
                <w:lang w:val="en-GB"/>
              </w:rPr>
            </m:ctrlPr>
          </m:funcPr>
          <m:fName>
            <m:r>
              <m:rPr>
                <m:sty m:val="p"/>
              </m:rPr>
              <w:rPr>
                <w:rFonts w:ascii="Cambria Math" w:hAnsi="Cambria Math"/>
                <w:lang w:val="en-GB"/>
              </w:rPr>
              <m:t>sin</m:t>
            </m:r>
          </m:fName>
          <m:e>
            <m:sSub>
              <m:sSubPr>
                <m:ctrlPr>
                  <w:rPr>
                    <w:rFonts w:ascii="Cambria Math" w:eastAsiaTheme="minorEastAsia" w:hAnsi="Cambria Math"/>
                    <w:i/>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h</m:t>
                </m:r>
              </m:sub>
            </m:sSub>
          </m:e>
        </m:func>
      </m:oMath>
      <w:r w:rsidRPr="00CB75BD">
        <w:rPr>
          <w:rFonts w:eastAsiaTheme="minorEastAsia"/>
          <w:lang w:val="en-GB"/>
        </w:rPr>
        <w:t xml:space="preserve"> for a ray entering the lower boundary of the ionosphere at zenith angle of 31.31</w:t>
      </w:r>
      <w:r w:rsidR="00A910CF" w:rsidRPr="00CB75BD">
        <w:rPr>
          <w:rFonts w:eastAsiaTheme="minorEastAsia"/>
          <w:lang w:val="en-GB"/>
        </w:rPr>
        <w:t>°</w:t>
      </w:r>
      <w:r w:rsidRPr="00CB75BD">
        <w:rPr>
          <w:rFonts w:eastAsiaTheme="minorEastAsia"/>
          <w:lang w:val="en-GB"/>
        </w:rPr>
        <w:t xml:space="preserve">. As shown in Fig. 9, along the propagation </w:t>
      </w:r>
      <w:proofErr w:type="gramStart"/>
      <w:r w:rsidRPr="00CB75BD">
        <w:rPr>
          <w:rFonts w:eastAsiaTheme="minorEastAsia"/>
          <w:lang w:val="en-GB"/>
        </w:rPr>
        <w:t xml:space="preserve">path </w:t>
      </w:r>
      <w:proofErr w:type="gramEnd"/>
      <m:oMath>
        <m:func>
          <m:funcPr>
            <m:ctrlPr>
              <w:rPr>
                <w:rFonts w:ascii="Cambria Math" w:eastAsiaTheme="minorEastAsia" w:hAnsi="Cambria Math"/>
                <w:i/>
                <w:lang w:val="en-GB"/>
              </w:rPr>
            </m:ctrlPr>
          </m:funcPr>
          <m:fName>
            <m:r>
              <m:rPr>
                <m:sty m:val="p"/>
              </m:rPr>
              <w:rPr>
                <w:rFonts w:ascii="Cambria Math" w:hAnsi="Cambria Math"/>
                <w:lang w:val="en-GB"/>
              </w:rPr>
              <m:t>sin</m:t>
            </m:r>
          </m:fName>
          <m:e>
            <m:sSub>
              <m:sSubPr>
                <m:ctrlPr>
                  <w:rPr>
                    <w:rFonts w:ascii="Cambria Math" w:eastAsiaTheme="minorEastAsia" w:hAnsi="Cambria Math"/>
                    <w:i/>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h</m:t>
                </m:r>
              </m:sub>
            </m:sSub>
          </m:e>
        </m:func>
        <m:r>
          <w:rPr>
            <w:rFonts w:ascii="Cambria Math" w:eastAsiaTheme="minorEastAsia" w:hAnsi="Cambria Math"/>
            <w:lang w:val="en-GB"/>
          </w:rPr>
          <m:t>&lt;1</m:t>
        </m:r>
      </m:oMath>
      <w:r w:rsidRPr="00CB75BD">
        <w:rPr>
          <w:rFonts w:eastAsiaTheme="minorEastAsia"/>
          <w:lang w:val="en-GB"/>
        </w:rPr>
        <w:t xml:space="preserve">. Accordingly, along the propagation path total reflection and hence ducting cannot occur. It is worth mentioning that Fig. 9 (uplink) is the same as Fig. 7 (downlink). The only difference between the two figures is the propagation (arrow) direction. </w:t>
      </w:r>
    </w:p>
    <w:p w:rsidR="006612E7" w:rsidRPr="00CB75BD" w:rsidRDefault="006612E7" w:rsidP="006612E7">
      <w:pPr>
        <w:pStyle w:val="Heading2"/>
        <w:rPr>
          <w:rFonts w:eastAsiaTheme="minorEastAsia"/>
          <w:lang w:val="en-GB"/>
        </w:rPr>
      </w:pPr>
      <w:bookmarkStart w:id="134" w:name="_Toc14851696"/>
      <w:bookmarkStart w:id="135" w:name="_Toc14851786"/>
      <w:bookmarkStart w:id="136" w:name="_Toc14858091"/>
      <w:bookmarkStart w:id="137" w:name="_Toc14858472"/>
      <w:r w:rsidRPr="00CB75BD">
        <w:rPr>
          <w:rFonts w:eastAsiaTheme="minorEastAsia"/>
          <w:lang w:val="en-GB"/>
        </w:rPr>
        <w:t>4.2</w:t>
      </w:r>
      <w:r w:rsidRPr="00CB75BD">
        <w:rPr>
          <w:rFonts w:eastAsiaTheme="minorEastAsia"/>
          <w:lang w:val="en-GB"/>
        </w:rPr>
        <w:tab/>
        <w:t>Refraction</w:t>
      </w:r>
      <w:bookmarkEnd w:id="134"/>
      <w:bookmarkEnd w:id="135"/>
      <w:bookmarkEnd w:id="136"/>
      <w:bookmarkEnd w:id="137"/>
    </w:p>
    <w:p w:rsidR="006612E7" w:rsidRPr="00CB75BD" w:rsidRDefault="006612E7" w:rsidP="006612E7">
      <w:pPr>
        <w:rPr>
          <w:lang w:val="en-GB"/>
        </w:rPr>
      </w:pPr>
      <w:r w:rsidRPr="00CB75BD">
        <w:rPr>
          <w:lang w:val="en-GB"/>
        </w:rPr>
        <w:t>Refraction in downlink (sounder-Earth) direction is caused by the variation in ionospheric refraction index along the propagation path and it is given by:</w:t>
      </w:r>
    </w:p>
    <w:p w:rsidR="006612E7" w:rsidRPr="00CB75BD" w:rsidRDefault="006612E7" w:rsidP="006612E7">
      <w:pPr>
        <w:pStyle w:val="Equation"/>
        <w:rPr>
          <w:rFonts w:eastAsiaTheme="minorEastAsia"/>
          <w:lang w:val="en-GB"/>
        </w:rPr>
      </w:pPr>
      <w:r w:rsidRPr="00CB75BD">
        <w:rPr>
          <w:lang w:val="en-GB"/>
        </w:rPr>
        <w:tab/>
      </w:r>
      <w:r w:rsidRPr="00CB75BD">
        <w:rPr>
          <w:lang w:val="en-GB"/>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dn</m:t>
            </m:r>
          </m:sub>
        </m:sSub>
        <m:r>
          <m:rPr>
            <m:sty m:val="p"/>
          </m:rPr>
          <w:rPr>
            <w:rFonts w:ascii="Cambria Math" w:hAnsi="Cambria Math"/>
            <w:lang w:val="en-GB"/>
          </w:rPr>
          <m:t>= -</m:t>
        </m:r>
        <m:nary>
          <m:naryPr>
            <m:limLoc m:val="subSup"/>
            <m:ctrlPr>
              <w:rPr>
                <w:rFonts w:ascii="Cambria Math" w:hAnsi="Cambria Math"/>
                <w:lang w:val="en-GB"/>
              </w:rPr>
            </m:ctrlPr>
          </m:naryPr>
          <m:sub>
            <m:r>
              <m:rPr>
                <m:sty m:val="p"/>
              </m:rPr>
              <w:rPr>
                <w:rFonts w:ascii="Cambria Math" w:hAnsi="Cambria Math"/>
                <w:lang w:val="en-GB"/>
              </w:rPr>
              <m:t>80</m:t>
            </m:r>
          </m:sub>
          <m:sup>
            <m:r>
              <m:rPr>
                <m:sty m:val="p"/>
              </m:rPr>
              <w:rPr>
                <w:rFonts w:ascii="Cambria Math" w:hAnsi="Cambria Math"/>
                <w:lang w:val="en-GB"/>
              </w:rPr>
              <m:t>400</m:t>
            </m:r>
          </m:sup>
          <m:e>
            <m:func>
              <m:funcPr>
                <m:ctrlPr>
                  <w:rPr>
                    <w:rFonts w:ascii="Cambria Math" w:hAnsi="Cambria Math"/>
                    <w:lang w:val="en-GB"/>
                  </w:rPr>
                </m:ctrlPr>
              </m:funcPr>
              <m:fName>
                <m:r>
                  <m:rPr>
                    <m:sty m:val="p"/>
                  </m:rPr>
                  <w:rPr>
                    <w:rFonts w:ascii="Cambria Math" w:hAnsi="Cambria Math"/>
                    <w:lang w:val="en-GB"/>
                  </w:rPr>
                  <m:t>tan</m:t>
                </m:r>
              </m:fName>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h</m:t>
                    </m:r>
                  </m:sub>
                </m:sSub>
              </m:e>
            </m:func>
            <m:f>
              <m:fPr>
                <m:ctrlPr>
                  <w:rPr>
                    <w:rFonts w:ascii="Cambria Math" w:hAnsi="Cambria Math"/>
                    <w:lang w:val="en-GB"/>
                  </w:rPr>
                </m:ctrlPr>
              </m:fPr>
              <m:num>
                <m:r>
                  <w:rPr>
                    <w:rFonts w:ascii="Cambria Math" w:hAnsi="Cambria Math"/>
                    <w:lang w:val="en-GB"/>
                  </w:rPr>
                  <m:t>n</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r>
                  <w:rPr>
                    <w:rFonts w:ascii="Cambria Math" w:hAnsi="Cambria Math"/>
                    <w:lang w:val="en-GB"/>
                  </w:rPr>
                  <m:t>n</m:t>
                </m:r>
                <m:d>
                  <m:dPr>
                    <m:ctrlPr>
                      <w:rPr>
                        <w:rFonts w:ascii="Cambria Math" w:hAnsi="Cambria Math"/>
                        <w:lang w:val="en-GB"/>
                      </w:rPr>
                    </m:ctrlPr>
                  </m:dPr>
                  <m:e>
                    <m:r>
                      <w:rPr>
                        <w:rFonts w:ascii="Cambria Math" w:hAnsi="Cambria Math"/>
                        <w:lang w:val="en-GB"/>
                      </w:rPr>
                      <m:t>h</m:t>
                    </m:r>
                  </m:e>
                </m:d>
              </m:den>
            </m:f>
          </m:e>
        </m:nary>
        <m:r>
          <m:rPr>
            <m:sty m:val="p"/>
          </m:rPr>
          <w:rPr>
            <w:rFonts w:ascii="Cambria Math" w:hAnsi="Cambria Math"/>
            <w:lang w:val="en-GB"/>
          </w:rPr>
          <m:t xml:space="preserve"> </m:t>
        </m:r>
        <m:r>
          <w:rPr>
            <w:rFonts w:ascii="Cambria Math" w:hAnsi="Cambria Math"/>
            <w:lang w:val="en-GB"/>
          </w:rPr>
          <m:t>dh</m:t>
        </m:r>
      </m:oMath>
      <w:r w:rsidRPr="00CB75BD">
        <w:rPr>
          <w:rFonts w:eastAsiaTheme="minorEastAsia"/>
          <w:lang w:val="en-GB"/>
        </w:rPr>
        <w:t xml:space="preserve"> </w:t>
      </w:r>
      <w:r w:rsidRPr="00CB75BD">
        <w:rPr>
          <w:rFonts w:eastAsiaTheme="minorEastAsia"/>
          <w:lang w:val="en-GB"/>
        </w:rPr>
        <w:tab/>
        <w:t>(1</w:t>
      </w:r>
      <w:r w:rsidR="00D7633A">
        <w:rPr>
          <w:rFonts w:eastAsiaTheme="minorEastAsia"/>
          <w:lang w:val="en-GB"/>
        </w:rPr>
        <w:t>8</w:t>
      </w:r>
      <w:r w:rsidRPr="00CB75BD">
        <w:rPr>
          <w:rFonts w:eastAsiaTheme="minorEastAsia"/>
          <w:lang w:val="en-GB"/>
        </w:rPr>
        <w:t>)</w:t>
      </w:r>
    </w:p>
    <w:p w:rsidR="006612E7" w:rsidRPr="00CB75BD" w:rsidRDefault="006612E7" w:rsidP="006612E7">
      <w:pPr>
        <w:rPr>
          <w:rFonts w:eastAsiaTheme="minorEastAsia"/>
          <w:lang w:val="en-GB"/>
        </w:rPr>
      </w:pPr>
      <w:r w:rsidRPr="00CB75BD">
        <w:rPr>
          <w:rFonts w:eastAsiaTheme="minorEastAsia"/>
          <w:lang w:val="en-GB"/>
        </w:rPr>
        <w:t xml:space="preserve">In the above </w:t>
      </w:r>
      <m:oMath>
        <m:r>
          <w:rPr>
            <w:rFonts w:ascii="Cambria Math" w:eastAsiaTheme="minorEastAsia" w:hAnsi="Cambria Math"/>
            <w:lang w:val="en-GB"/>
          </w:rPr>
          <m:t>n'(h)</m:t>
        </m:r>
      </m:oMath>
      <w:r w:rsidRPr="00CB75BD">
        <w:rPr>
          <w:rFonts w:eastAsiaTheme="minorEastAsia"/>
          <w:lang w:val="en-GB"/>
        </w:rPr>
        <w:t>is the first order derivative of the ionospheric refractive</w:t>
      </w:r>
      <w:r w:rsidR="00A910CF" w:rsidRPr="00CB75BD">
        <w:rPr>
          <w:rFonts w:eastAsiaTheme="minorEastAsia"/>
          <w:lang w:val="en-GB"/>
        </w:rPr>
        <w:t xml:space="preserve"> index with respect to height. </w:t>
      </w:r>
      <w:r w:rsidRPr="00CB75BD">
        <w:rPr>
          <w:rFonts w:eastAsiaTheme="minorEastAsia"/>
          <w:lang w:val="en-GB"/>
        </w:rPr>
        <w:t xml:space="preserve">It is worth mentioning that using the elevation angle instead of the zenith angle, </w:t>
      </w:r>
      <w:r w:rsidRPr="00CB75BD">
        <w:rPr>
          <w:rFonts w:eastAsiaTheme="minorEastAsia"/>
          <w:szCs w:val="24"/>
          <w:lang w:val="en-GB"/>
        </w:rPr>
        <w:t>equation </w:t>
      </w:r>
      <w:r w:rsidRPr="00CB75BD">
        <w:rPr>
          <w:rFonts w:eastAsiaTheme="minorEastAsia"/>
          <w:lang w:val="en-GB"/>
        </w:rPr>
        <w:t>(1</w:t>
      </w:r>
      <w:r w:rsidR="00D7633A">
        <w:rPr>
          <w:rFonts w:eastAsiaTheme="minorEastAsia"/>
          <w:lang w:val="en-GB"/>
        </w:rPr>
        <w:t>8</w:t>
      </w:r>
      <w:r w:rsidRPr="00CB75BD">
        <w:rPr>
          <w:rFonts w:eastAsiaTheme="minorEastAsia"/>
          <w:lang w:val="en-GB"/>
        </w:rPr>
        <w:t>) reduces into equation (5) of Recommendation ITU-R P.834-7.</w:t>
      </w:r>
    </w:p>
    <w:p w:rsidR="006612E7" w:rsidRPr="00CB75BD" w:rsidRDefault="006612E7" w:rsidP="006612E7">
      <w:pPr>
        <w:rPr>
          <w:rFonts w:eastAsiaTheme="minorEastAsia"/>
          <w:lang w:val="en-GB"/>
        </w:rPr>
      </w:pPr>
      <w:r w:rsidRPr="00CB75BD">
        <w:rPr>
          <w:rFonts w:eastAsiaTheme="minorEastAsia"/>
          <w:lang w:val="en-GB"/>
        </w:rPr>
        <w:t xml:space="preserve">To facilitate performing numerical calculation of </w:t>
      </w:r>
      <w:r w:rsidRPr="00CB75BD">
        <w:rPr>
          <w:rFonts w:eastAsiaTheme="minorEastAsia"/>
          <w:szCs w:val="24"/>
          <w:lang w:val="en-GB"/>
        </w:rPr>
        <w:t xml:space="preserve">equation </w:t>
      </w:r>
      <w:r w:rsidRPr="00CB75BD">
        <w:rPr>
          <w:rFonts w:eastAsiaTheme="minorEastAsia"/>
          <w:lang w:val="en-GB"/>
        </w:rPr>
        <w:t>(1</w:t>
      </w:r>
      <w:r w:rsidR="00D7633A">
        <w:rPr>
          <w:rFonts w:eastAsiaTheme="minorEastAsia"/>
          <w:lang w:val="en-GB"/>
        </w:rPr>
        <w:t>8</w:t>
      </w:r>
      <w:r w:rsidRPr="00CB75BD">
        <w:rPr>
          <w:rFonts w:eastAsiaTheme="minorEastAsia"/>
          <w:lang w:val="en-GB"/>
        </w:rPr>
        <w:t>) the following identity</w:t>
      </w:r>
      <w:r w:rsidR="00CB75BD" w:rsidRPr="00CB75BD">
        <w:rPr>
          <w:rFonts w:eastAsiaTheme="minorEastAsia"/>
          <w:lang w:val="en-GB"/>
        </w:rPr>
        <w:t xml:space="preserve"> </w:t>
      </w:r>
      <w:r w:rsidR="00CB75BD">
        <w:rPr>
          <w:rFonts w:eastAsiaTheme="minorEastAsia"/>
          <w:lang w:val="en-GB"/>
        </w:rPr>
        <w:t xml:space="preserve">is </w:t>
      </w:r>
      <w:r w:rsidR="00CB75BD" w:rsidRPr="00CB75BD">
        <w:rPr>
          <w:rFonts w:eastAsiaTheme="minorEastAsia"/>
          <w:lang w:val="en-GB"/>
        </w:rPr>
        <w:t>recall</w:t>
      </w:r>
      <w:r w:rsidR="00CB75BD">
        <w:rPr>
          <w:rFonts w:eastAsiaTheme="minorEastAsia"/>
          <w:lang w:val="en-GB"/>
        </w:rPr>
        <w:t>ed</w:t>
      </w:r>
      <w:r w:rsidR="00A910CF" w:rsidRPr="00CB75BD">
        <w:rPr>
          <w:rFonts w:eastAsiaTheme="minorEastAsia"/>
          <w:lang w:val="en-GB"/>
        </w:rPr>
        <w:t>:</w:t>
      </w:r>
    </w:p>
    <w:p w:rsidR="006612E7" w:rsidRPr="00CB75BD" w:rsidRDefault="006612E7" w:rsidP="006612E7">
      <w:pPr>
        <w:pStyle w:val="Equation"/>
        <w:rPr>
          <w:rFonts w:eastAsiaTheme="minorEastAsia"/>
          <w:szCs w:val="24"/>
          <w:lang w:val="en-GB"/>
        </w:rPr>
      </w:pPr>
      <w:r w:rsidRPr="00CB75BD">
        <w:rPr>
          <w:rFonts w:eastAsiaTheme="minorEastAsia"/>
          <w:szCs w:val="24"/>
          <w:lang w:val="en-GB"/>
        </w:rPr>
        <w:tab/>
      </w:r>
      <w:r w:rsidRPr="00CB75BD">
        <w:rPr>
          <w:rFonts w:eastAsiaTheme="minorEastAsia"/>
          <w:szCs w:val="24"/>
          <w:lang w:val="en-GB"/>
        </w:rPr>
        <w:tab/>
      </w:r>
      <m:oMath>
        <m:f>
          <m:fPr>
            <m:ctrlPr>
              <w:rPr>
                <w:rFonts w:ascii="Cambria Math" w:hAnsi="Cambria Math"/>
                <w:i/>
                <w:szCs w:val="24"/>
                <w:lang w:val="en-GB"/>
              </w:rPr>
            </m:ctrlPr>
          </m:fPr>
          <m:num>
            <m:r>
              <w:rPr>
                <w:rFonts w:ascii="Cambria Math" w:hAnsi="Cambria Math"/>
                <w:szCs w:val="24"/>
                <w:lang w:val="en-GB"/>
              </w:rPr>
              <m:t>n'(h)</m:t>
            </m:r>
          </m:num>
          <m:den>
            <m:r>
              <w:rPr>
                <w:rFonts w:ascii="Cambria Math" w:hAnsi="Cambria Math"/>
                <w:szCs w:val="24"/>
                <w:lang w:val="en-GB"/>
              </w:rPr>
              <m:t>n(h)</m:t>
            </m:r>
          </m:den>
        </m:f>
        <m:r>
          <w:rPr>
            <w:rFonts w:ascii="Cambria Math" w:hAnsi="Cambria Math"/>
            <w:szCs w:val="24"/>
            <w:lang w:val="en-GB"/>
          </w:rPr>
          <m:t xml:space="preserve">= </m:t>
        </m:r>
        <m:d>
          <m:dPr>
            <m:begChr m:val="{"/>
            <m:endChr m:val="}"/>
            <m:ctrlPr>
              <w:rPr>
                <w:rFonts w:ascii="Cambria Math" w:hAnsi="Cambria Math"/>
                <w:i/>
                <w:szCs w:val="24"/>
                <w:lang w:val="en-GB"/>
              </w:rPr>
            </m:ctrlPr>
          </m:dPr>
          <m:e>
            <m:func>
              <m:funcPr>
                <m:ctrlPr>
                  <w:rPr>
                    <w:rFonts w:ascii="Cambria Math" w:hAnsi="Cambria Math"/>
                    <w:i/>
                    <w:szCs w:val="24"/>
                    <w:lang w:val="en-GB"/>
                  </w:rPr>
                </m:ctrlPr>
              </m:funcPr>
              <m:fName>
                <m:r>
                  <m:rPr>
                    <m:sty m:val="p"/>
                  </m:rPr>
                  <w:rPr>
                    <w:rFonts w:ascii="Cambria Math" w:hAnsi="Cambria Math"/>
                    <w:szCs w:val="24"/>
                    <w:lang w:val="en-GB"/>
                  </w:rPr>
                  <m:t>log</m:t>
                </m:r>
              </m:fName>
              <m:e>
                <m:r>
                  <w:rPr>
                    <w:rFonts w:ascii="Cambria Math" w:hAnsi="Cambria Math"/>
                    <w:szCs w:val="24"/>
                    <w:lang w:val="en-GB"/>
                  </w:rPr>
                  <m:t>n(h)</m:t>
                </m:r>
              </m:e>
            </m:func>
          </m:e>
        </m:d>
        <m:r>
          <w:rPr>
            <w:rFonts w:ascii="Cambria Math" w:hAnsi="Cambria Math"/>
            <w:szCs w:val="24"/>
            <w:lang w:val="en-GB"/>
          </w:rPr>
          <m:t>'</m:t>
        </m:r>
      </m:oMath>
      <w:r w:rsidRPr="00CB75BD">
        <w:rPr>
          <w:rFonts w:eastAsiaTheme="minorEastAsia"/>
          <w:szCs w:val="24"/>
          <w:lang w:val="en-GB"/>
        </w:rPr>
        <w:t xml:space="preserve"> </w:t>
      </w:r>
      <w:r w:rsidRPr="00CB75BD">
        <w:rPr>
          <w:rFonts w:eastAsiaTheme="minorEastAsia"/>
          <w:szCs w:val="24"/>
          <w:lang w:val="en-GB"/>
        </w:rPr>
        <w:tab/>
        <w:t>(1</w:t>
      </w:r>
      <w:r w:rsidR="00D7633A">
        <w:rPr>
          <w:rFonts w:eastAsiaTheme="minorEastAsia"/>
          <w:szCs w:val="24"/>
          <w:lang w:val="en-GB"/>
        </w:rPr>
        <w:t>9</w:t>
      </w:r>
      <w:r w:rsidRPr="00CB75BD">
        <w:rPr>
          <w:rFonts w:eastAsiaTheme="minorEastAsia"/>
          <w:szCs w:val="24"/>
          <w:lang w:val="en-GB"/>
        </w:rPr>
        <w:t>)</w:t>
      </w:r>
    </w:p>
    <w:p w:rsidR="006612E7" w:rsidRPr="00CB75BD" w:rsidRDefault="006612E7" w:rsidP="006612E7">
      <w:pPr>
        <w:rPr>
          <w:rFonts w:eastAsiaTheme="minorEastAsia"/>
          <w:szCs w:val="24"/>
          <w:lang w:val="en-GB"/>
        </w:rPr>
      </w:pPr>
      <w:r w:rsidRPr="00CB75BD">
        <w:rPr>
          <w:rFonts w:eastAsiaTheme="minorEastAsia"/>
          <w:szCs w:val="24"/>
          <w:lang w:val="en-GB"/>
        </w:rPr>
        <w:t>Then equation (</w:t>
      </w:r>
      <w:r w:rsidR="00D7633A">
        <w:rPr>
          <w:rFonts w:eastAsiaTheme="minorEastAsia"/>
          <w:szCs w:val="24"/>
          <w:lang w:val="en-GB"/>
        </w:rPr>
        <w:t>9</w:t>
      </w:r>
      <w:r w:rsidRPr="00CB75BD">
        <w:rPr>
          <w:rFonts w:eastAsiaTheme="minorEastAsia"/>
          <w:szCs w:val="24"/>
          <w:lang w:val="en-GB"/>
        </w:rPr>
        <w:t xml:space="preserve">) is used to write </w:t>
      </w:r>
      <m:oMath>
        <m:func>
          <m:funcPr>
            <m:ctrlPr>
              <w:rPr>
                <w:rFonts w:ascii="Cambria Math" w:eastAsiaTheme="minorEastAsia" w:hAnsi="Cambria Math"/>
                <w:i/>
                <w:szCs w:val="24"/>
                <w:lang w:val="en-GB"/>
              </w:rPr>
            </m:ctrlPr>
          </m:funcPr>
          <m:fName>
            <m:r>
              <m:rPr>
                <m:sty m:val="p"/>
              </m:rPr>
              <w:rPr>
                <w:rFonts w:ascii="Cambria Math" w:hAnsi="Cambria Math"/>
                <w:szCs w:val="24"/>
                <w:lang w:val="en-GB"/>
              </w:rPr>
              <m:t>tan</m:t>
            </m:r>
          </m:fName>
          <m:e>
            <m:sSub>
              <m:sSubPr>
                <m:ctrlPr>
                  <w:rPr>
                    <w:rFonts w:ascii="Cambria Math" w:eastAsiaTheme="minorEastAsia" w:hAnsi="Cambria Math"/>
                    <w:i/>
                    <w:szCs w:val="24"/>
                    <w:lang w:val="en-GB"/>
                  </w:rPr>
                </m:ctrlPr>
              </m:sSubPr>
              <m:e>
                <m:r>
                  <m:rPr>
                    <m:sty m:val="p"/>
                  </m:rPr>
                  <w:rPr>
                    <w:rFonts w:ascii="Cambria Math" w:eastAsiaTheme="minorEastAsia" w:hAnsi="Cambria Math"/>
                    <w:szCs w:val="24"/>
                    <w:lang w:val="en-GB"/>
                  </w:rPr>
                  <m:t>φ</m:t>
                </m:r>
              </m:e>
              <m:sub>
                <m:r>
                  <w:rPr>
                    <w:rFonts w:ascii="Cambria Math" w:eastAsiaTheme="minorEastAsia" w:hAnsi="Cambria Math"/>
                    <w:szCs w:val="24"/>
                    <w:lang w:val="en-GB"/>
                  </w:rPr>
                  <m:t>h</m:t>
                </m:r>
              </m:sub>
            </m:sSub>
          </m:e>
        </m:func>
      </m:oMath>
      <w:r w:rsidRPr="00CB75BD">
        <w:rPr>
          <w:rFonts w:eastAsiaTheme="minorEastAsia"/>
          <w:szCs w:val="24"/>
          <w:lang w:val="en-GB"/>
        </w:rPr>
        <w:t xml:space="preserve"> as:</w:t>
      </w:r>
    </w:p>
    <w:p w:rsidR="006612E7" w:rsidRPr="00CB75BD" w:rsidRDefault="006612E7" w:rsidP="006612E7">
      <w:pPr>
        <w:pStyle w:val="Equation"/>
        <w:rPr>
          <w:rFonts w:eastAsiaTheme="minorEastAsia"/>
          <w:szCs w:val="24"/>
          <w:lang w:val="en-GB"/>
        </w:rPr>
      </w:pPr>
      <w:r w:rsidRPr="00CB75BD">
        <w:rPr>
          <w:rFonts w:eastAsiaTheme="minorEastAsia"/>
          <w:szCs w:val="24"/>
          <w:lang w:val="en-GB"/>
        </w:rPr>
        <w:tab/>
      </w:r>
      <w:r w:rsidRPr="00CB75BD">
        <w:rPr>
          <w:rFonts w:eastAsiaTheme="minorEastAsia"/>
          <w:szCs w:val="24"/>
          <w:lang w:val="en-GB"/>
        </w:rPr>
        <w:tab/>
      </w:r>
      <m:oMath>
        <m:func>
          <m:funcPr>
            <m:ctrlPr>
              <w:rPr>
                <w:rFonts w:ascii="Cambria Math" w:eastAsiaTheme="minorEastAsia" w:hAnsi="Cambria Math"/>
                <w:i/>
                <w:szCs w:val="24"/>
                <w:lang w:val="en-GB"/>
              </w:rPr>
            </m:ctrlPr>
          </m:funcPr>
          <m:fName>
            <m:r>
              <m:rPr>
                <m:sty m:val="p"/>
              </m:rPr>
              <w:rPr>
                <w:rFonts w:ascii="Cambria Math" w:hAnsi="Cambria Math"/>
                <w:szCs w:val="24"/>
                <w:lang w:val="en-GB"/>
              </w:rPr>
              <m:t>tan</m:t>
            </m:r>
          </m:fName>
          <m:e>
            <m:sSub>
              <m:sSubPr>
                <m:ctrlPr>
                  <w:rPr>
                    <w:rFonts w:ascii="Cambria Math" w:eastAsiaTheme="minorEastAsia" w:hAnsi="Cambria Math"/>
                    <w:i/>
                    <w:szCs w:val="24"/>
                    <w:lang w:val="en-GB"/>
                  </w:rPr>
                </m:ctrlPr>
              </m:sSubPr>
              <m:e>
                <m:r>
                  <m:rPr>
                    <m:sty m:val="p"/>
                  </m:rPr>
                  <w:rPr>
                    <w:rFonts w:ascii="Cambria Math" w:eastAsiaTheme="minorEastAsia" w:hAnsi="Cambria Math"/>
                    <w:szCs w:val="24"/>
                    <w:lang w:val="en-GB"/>
                  </w:rPr>
                  <m:t>φ</m:t>
                </m:r>
              </m:e>
              <m:sub>
                <m:r>
                  <w:rPr>
                    <w:rFonts w:ascii="Cambria Math" w:eastAsiaTheme="minorEastAsia" w:hAnsi="Cambria Math"/>
                    <w:szCs w:val="24"/>
                    <w:lang w:val="en-GB"/>
                  </w:rPr>
                  <m:t>h</m:t>
                </m:r>
              </m:sub>
            </m:sSub>
          </m:e>
        </m:func>
        <m:r>
          <w:rPr>
            <w:rFonts w:ascii="Cambria Math" w:eastAsiaTheme="minorEastAsia" w:hAnsi="Cambria Math"/>
            <w:szCs w:val="24"/>
            <w:lang w:val="en-GB"/>
          </w:rPr>
          <m:t xml:space="preserve">= </m:t>
        </m:r>
        <m:f>
          <m:fPr>
            <m:ctrlPr>
              <w:rPr>
                <w:rFonts w:ascii="Cambria Math" w:eastAsiaTheme="minorEastAsia" w:hAnsi="Cambria Math"/>
                <w:i/>
                <w:szCs w:val="24"/>
                <w:lang w:val="en-GB"/>
              </w:rPr>
            </m:ctrlPr>
          </m:fPr>
          <m:num>
            <m:d>
              <m:dPr>
                <m:ctrlPr>
                  <w:rPr>
                    <w:rFonts w:ascii="Cambria Math" w:eastAsiaTheme="minorEastAsia" w:hAnsi="Cambria Math"/>
                    <w:i/>
                    <w:szCs w:val="24"/>
                    <w:lang w:val="en-GB"/>
                  </w:rPr>
                </m:ctrlPr>
              </m:dPr>
              <m:e>
                <m:r>
                  <w:rPr>
                    <w:rFonts w:ascii="Cambria Math" w:eastAsiaTheme="minorEastAsia" w:hAnsi="Cambria Math"/>
                    <w:szCs w:val="24"/>
                    <w:lang w:val="en-GB"/>
                  </w:rPr>
                  <m:t>a+400</m:t>
                </m:r>
              </m:e>
            </m:d>
            <m:r>
              <w:rPr>
                <w:rFonts w:ascii="Cambria Math" w:eastAsiaTheme="minorEastAsia" w:hAnsi="Cambria Math"/>
                <w:szCs w:val="24"/>
                <w:lang w:val="en-GB"/>
              </w:rPr>
              <m:t>n(400)</m:t>
            </m:r>
            <m:func>
              <m:funcPr>
                <m:ctrlPr>
                  <w:rPr>
                    <w:rFonts w:ascii="Cambria Math" w:eastAsiaTheme="minorEastAsia" w:hAnsi="Cambria Math"/>
                    <w:i/>
                    <w:szCs w:val="24"/>
                    <w:lang w:val="en-GB"/>
                  </w:rPr>
                </m:ctrlPr>
              </m:funcPr>
              <m:fName>
                <m:r>
                  <m:rPr>
                    <m:sty m:val="p"/>
                  </m:rPr>
                  <w:rPr>
                    <w:rFonts w:ascii="Cambria Math" w:hAnsi="Cambria Math"/>
                    <w:szCs w:val="24"/>
                    <w:lang w:val="en-GB"/>
                  </w:rPr>
                  <m:t>sin</m:t>
                </m:r>
              </m:fName>
              <m:e>
                <m:sSub>
                  <m:sSubPr>
                    <m:ctrlPr>
                      <w:rPr>
                        <w:rFonts w:ascii="Cambria Math" w:eastAsiaTheme="minorEastAsia" w:hAnsi="Cambria Math"/>
                        <w:i/>
                        <w:szCs w:val="24"/>
                        <w:lang w:val="en-GB"/>
                      </w:rPr>
                    </m:ctrlPr>
                  </m:sSubPr>
                  <m:e>
                    <m:r>
                      <m:rPr>
                        <m:sty m:val="p"/>
                      </m:rPr>
                      <w:rPr>
                        <w:rFonts w:ascii="Cambria Math" w:eastAsiaTheme="minorEastAsia" w:hAnsi="Cambria Math"/>
                        <w:szCs w:val="24"/>
                        <w:lang w:val="en-GB"/>
                      </w:rPr>
                      <m:t>φ</m:t>
                    </m:r>
                  </m:e>
                  <m:sub>
                    <m:r>
                      <w:rPr>
                        <w:rFonts w:ascii="Cambria Math" w:eastAsiaTheme="minorEastAsia" w:hAnsi="Cambria Math"/>
                        <w:szCs w:val="24"/>
                        <w:lang w:val="en-GB"/>
                      </w:rPr>
                      <m:t>400</m:t>
                    </m:r>
                  </m:sub>
                </m:sSub>
              </m:e>
            </m:func>
          </m:num>
          <m:den>
            <m:rad>
              <m:radPr>
                <m:degHide m:val="1"/>
                <m:ctrlPr>
                  <w:rPr>
                    <w:rFonts w:ascii="Cambria Math" w:eastAsiaTheme="minorEastAsia" w:hAnsi="Cambria Math"/>
                    <w:i/>
                    <w:szCs w:val="24"/>
                    <w:lang w:val="en-GB"/>
                  </w:rPr>
                </m:ctrlPr>
              </m:radPr>
              <m:deg/>
              <m:e>
                <m:sSup>
                  <m:sSupPr>
                    <m:ctrlPr>
                      <w:rPr>
                        <w:rFonts w:ascii="Cambria Math" w:eastAsiaTheme="minorEastAsia" w:hAnsi="Cambria Math"/>
                        <w:i/>
                        <w:szCs w:val="24"/>
                        <w:lang w:val="en-GB"/>
                      </w:rPr>
                    </m:ctrlPr>
                  </m:sSupPr>
                  <m:e>
                    <m:d>
                      <m:dPr>
                        <m:begChr m:val="{"/>
                        <m:endChr m:val="}"/>
                        <m:ctrlPr>
                          <w:rPr>
                            <w:rFonts w:ascii="Cambria Math" w:eastAsiaTheme="minorEastAsia" w:hAnsi="Cambria Math"/>
                            <w:i/>
                            <w:szCs w:val="24"/>
                            <w:lang w:val="en-GB"/>
                          </w:rPr>
                        </m:ctrlPr>
                      </m:dPr>
                      <m:e>
                        <m:d>
                          <m:dPr>
                            <m:ctrlPr>
                              <w:rPr>
                                <w:rFonts w:ascii="Cambria Math" w:eastAsiaTheme="minorEastAsia" w:hAnsi="Cambria Math"/>
                                <w:i/>
                                <w:szCs w:val="24"/>
                                <w:lang w:val="en-GB"/>
                              </w:rPr>
                            </m:ctrlPr>
                          </m:dPr>
                          <m:e>
                            <m:r>
                              <w:rPr>
                                <w:rFonts w:ascii="Cambria Math" w:eastAsiaTheme="minorEastAsia" w:hAnsi="Cambria Math"/>
                                <w:szCs w:val="24"/>
                                <w:lang w:val="en-GB"/>
                              </w:rPr>
                              <m:t>a+h</m:t>
                            </m:r>
                          </m:e>
                        </m:d>
                        <m:r>
                          <w:rPr>
                            <w:rFonts w:ascii="Cambria Math" w:eastAsiaTheme="minorEastAsia" w:hAnsi="Cambria Math"/>
                            <w:szCs w:val="24"/>
                            <w:lang w:val="en-GB"/>
                          </w:rPr>
                          <m:t>n(h)</m:t>
                        </m:r>
                      </m:e>
                    </m:d>
                  </m:e>
                  <m:sup>
                    <m:r>
                      <w:rPr>
                        <w:rFonts w:ascii="Cambria Math" w:eastAsiaTheme="minorEastAsia" w:hAnsi="Cambria Math"/>
                        <w:szCs w:val="24"/>
                        <w:lang w:val="en-GB"/>
                      </w:rPr>
                      <m:t>2</m:t>
                    </m:r>
                  </m:sup>
                </m:sSup>
                <m:r>
                  <w:rPr>
                    <w:rFonts w:ascii="Cambria Math" w:eastAsiaTheme="minorEastAsia" w:hAnsi="Cambria Math"/>
                    <w:szCs w:val="24"/>
                    <w:lang w:val="en-GB"/>
                  </w:rPr>
                  <m:t>-</m:t>
                </m:r>
                <m:sSup>
                  <m:sSupPr>
                    <m:ctrlPr>
                      <w:rPr>
                        <w:rFonts w:ascii="Cambria Math" w:eastAsiaTheme="minorEastAsia" w:hAnsi="Cambria Math"/>
                        <w:i/>
                        <w:szCs w:val="24"/>
                        <w:lang w:val="en-GB"/>
                      </w:rPr>
                    </m:ctrlPr>
                  </m:sSupPr>
                  <m:e>
                    <m:d>
                      <m:dPr>
                        <m:begChr m:val="{"/>
                        <m:endChr m:val="}"/>
                        <m:ctrlPr>
                          <w:rPr>
                            <w:rFonts w:ascii="Cambria Math" w:eastAsiaTheme="minorEastAsia" w:hAnsi="Cambria Math"/>
                            <w:i/>
                            <w:szCs w:val="24"/>
                            <w:lang w:val="en-GB"/>
                          </w:rPr>
                        </m:ctrlPr>
                      </m:dPr>
                      <m:e>
                        <m:d>
                          <m:dPr>
                            <m:ctrlPr>
                              <w:rPr>
                                <w:rFonts w:ascii="Cambria Math" w:eastAsiaTheme="minorEastAsia" w:hAnsi="Cambria Math"/>
                                <w:i/>
                                <w:szCs w:val="24"/>
                                <w:lang w:val="en-GB"/>
                              </w:rPr>
                            </m:ctrlPr>
                          </m:dPr>
                          <m:e>
                            <m:r>
                              <w:rPr>
                                <w:rFonts w:ascii="Cambria Math" w:eastAsiaTheme="minorEastAsia" w:hAnsi="Cambria Math"/>
                                <w:szCs w:val="24"/>
                                <w:lang w:val="en-GB"/>
                              </w:rPr>
                              <m:t>a+400</m:t>
                            </m:r>
                          </m:e>
                        </m:d>
                        <m:r>
                          <w:rPr>
                            <w:rFonts w:ascii="Cambria Math" w:eastAsiaTheme="minorEastAsia" w:hAnsi="Cambria Math"/>
                            <w:szCs w:val="24"/>
                            <w:lang w:val="en-GB"/>
                          </w:rPr>
                          <m:t>n</m:t>
                        </m:r>
                        <m:d>
                          <m:dPr>
                            <m:ctrlPr>
                              <w:rPr>
                                <w:rFonts w:ascii="Cambria Math" w:eastAsiaTheme="minorEastAsia" w:hAnsi="Cambria Math"/>
                                <w:i/>
                                <w:szCs w:val="24"/>
                                <w:lang w:val="en-GB"/>
                              </w:rPr>
                            </m:ctrlPr>
                          </m:dPr>
                          <m:e>
                            <m:r>
                              <w:rPr>
                                <w:rFonts w:ascii="Cambria Math" w:eastAsiaTheme="minorEastAsia" w:hAnsi="Cambria Math"/>
                                <w:szCs w:val="24"/>
                                <w:lang w:val="en-GB"/>
                              </w:rPr>
                              <m:t>400</m:t>
                            </m:r>
                          </m:e>
                        </m:d>
                        <m:func>
                          <m:funcPr>
                            <m:ctrlPr>
                              <w:rPr>
                                <w:rFonts w:ascii="Cambria Math" w:eastAsiaTheme="minorEastAsia" w:hAnsi="Cambria Math"/>
                                <w:i/>
                                <w:szCs w:val="24"/>
                                <w:lang w:val="en-GB"/>
                              </w:rPr>
                            </m:ctrlPr>
                          </m:funcPr>
                          <m:fName>
                            <m:r>
                              <m:rPr>
                                <m:sty m:val="p"/>
                              </m:rPr>
                              <w:rPr>
                                <w:rFonts w:ascii="Cambria Math" w:hAnsi="Cambria Math"/>
                                <w:szCs w:val="24"/>
                                <w:lang w:val="en-GB"/>
                              </w:rPr>
                              <m:t>sin</m:t>
                            </m:r>
                          </m:fName>
                          <m:e>
                            <m:sSub>
                              <m:sSubPr>
                                <m:ctrlPr>
                                  <w:rPr>
                                    <w:rFonts w:ascii="Cambria Math" w:eastAsiaTheme="minorEastAsia" w:hAnsi="Cambria Math"/>
                                    <w:i/>
                                    <w:szCs w:val="24"/>
                                    <w:lang w:val="en-GB"/>
                                  </w:rPr>
                                </m:ctrlPr>
                              </m:sSubPr>
                              <m:e>
                                <m:r>
                                  <m:rPr>
                                    <m:sty m:val="p"/>
                                  </m:rPr>
                                  <w:rPr>
                                    <w:rFonts w:ascii="Cambria Math" w:eastAsiaTheme="minorEastAsia" w:hAnsi="Cambria Math"/>
                                    <w:szCs w:val="24"/>
                                    <w:lang w:val="en-GB"/>
                                  </w:rPr>
                                  <m:t>φ</m:t>
                                </m:r>
                              </m:e>
                              <m:sub>
                                <m:r>
                                  <w:rPr>
                                    <w:rFonts w:ascii="Cambria Math" w:eastAsiaTheme="minorEastAsia" w:hAnsi="Cambria Math"/>
                                    <w:szCs w:val="24"/>
                                    <w:lang w:val="en-GB"/>
                                  </w:rPr>
                                  <m:t>400</m:t>
                                </m:r>
                              </m:sub>
                            </m:sSub>
                          </m:e>
                        </m:func>
                      </m:e>
                    </m:d>
                  </m:e>
                  <m:sup>
                    <m:r>
                      <w:rPr>
                        <w:rFonts w:ascii="Cambria Math" w:eastAsiaTheme="minorEastAsia" w:hAnsi="Cambria Math"/>
                        <w:szCs w:val="24"/>
                        <w:lang w:val="en-GB"/>
                      </w:rPr>
                      <m:t>2</m:t>
                    </m:r>
                  </m:sup>
                </m:sSup>
              </m:e>
            </m:rad>
          </m:den>
        </m:f>
      </m:oMath>
      <w:r w:rsidRPr="00CB75BD">
        <w:rPr>
          <w:rFonts w:eastAsiaTheme="minorEastAsia"/>
          <w:szCs w:val="24"/>
          <w:lang w:val="en-GB"/>
        </w:rPr>
        <w:t xml:space="preserve"> </w:t>
      </w:r>
      <w:r w:rsidRPr="00CB75BD">
        <w:rPr>
          <w:rFonts w:eastAsiaTheme="minorEastAsia"/>
          <w:szCs w:val="24"/>
          <w:lang w:val="en-GB"/>
        </w:rPr>
        <w:tab/>
        <w:t>(</w:t>
      </w:r>
      <w:r w:rsidR="00D7633A">
        <w:rPr>
          <w:rFonts w:eastAsiaTheme="minorEastAsia"/>
          <w:szCs w:val="24"/>
          <w:lang w:val="en-GB"/>
        </w:rPr>
        <w:t>20</w:t>
      </w:r>
      <w:r w:rsidRPr="00CB75BD">
        <w:rPr>
          <w:rFonts w:eastAsiaTheme="minorEastAsia"/>
          <w:szCs w:val="24"/>
          <w:lang w:val="en-GB"/>
        </w:rPr>
        <w:t>)</w:t>
      </w:r>
    </w:p>
    <w:p w:rsidR="006612E7" w:rsidRPr="00CB75BD" w:rsidRDefault="006612E7" w:rsidP="006612E7">
      <w:pPr>
        <w:spacing w:before="240" w:after="240"/>
        <w:rPr>
          <w:rFonts w:eastAsiaTheme="minorEastAsia"/>
          <w:szCs w:val="24"/>
          <w:lang w:val="en-GB"/>
        </w:rPr>
      </w:pPr>
      <w:r w:rsidRPr="00CB75BD">
        <w:rPr>
          <w:rFonts w:eastAsiaTheme="minorEastAsia"/>
          <w:szCs w:val="24"/>
          <w:lang w:val="en-GB"/>
        </w:rPr>
        <w:t>Now introducing (1</w:t>
      </w:r>
      <w:r w:rsidR="00D7633A">
        <w:rPr>
          <w:rFonts w:eastAsiaTheme="minorEastAsia"/>
          <w:szCs w:val="24"/>
          <w:lang w:val="en-GB"/>
        </w:rPr>
        <w:t>9</w:t>
      </w:r>
      <w:r w:rsidRPr="00CB75BD">
        <w:rPr>
          <w:rFonts w:eastAsiaTheme="minorEastAsia"/>
          <w:szCs w:val="24"/>
          <w:lang w:val="en-GB"/>
        </w:rPr>
        <w:t>) and (</w:t>
      </w:r>
      <w:r w:rsidR="00D7633A">
        <w:rPr>
          <w:rFonts w:eastAsiaTheme="minorEastAsia"/>
          <w:szCs w:val="24"/>
          <w:lang w:val="en-GB"/>
        </w:rPr>
        <w:t>20</w:t>
      </w:r>
      <w:r w:rsidRPr="00CB75BD">
        <w:rPr>
          <w:rFonts w:eastAsiaTheme="minorEastAsia"/>
          <w:szCs w:val="24"/>
          <w:lang w:val="en-GB"/>
        </w:rPr>
        <w:t>) into (</w:t>
      </w:r>
      <w:r w:rsidR="00D7633A">
        <w:rPr>
          <w:rFonts w:eastAsiaTheme="minorEastAsia"/>
          <w:szCs w:val="24"/>
          <w:lang w:val="en-GB"/>
        </w:rPr>
        <w:t>18</w:t>
      </w:r>
      <w:r w:rsidRPr="00CB75BD">
        <w:rPr>
          <w:rFonts w:eastAsiaTheme="minorEastAsia"/>
          <w:szCs w:val="24"/>
          <w:lang w:val="en-GB"/>
        </w:rPr>
        <w:t>) yields</w:t>
      </w:r>
      <w:r w:rsidR="00A910CF" w:rsidRPr="00CB75BD">
        <w:rPr>
          <w:rFonts w:eastAsiaTheme="minorEastAsia"/>
          <w:szCs w:val="24"/>
          <w:lang w:val="en-GB"/>
        </w:rPr>
        <w:t>:</w:t>
      </w:r>
    </w:p>
    <w:p w:rsidR="006612E7" w:rsidRPr="00CB75BD" w:rsidRDefault="006612E7" w:rsidP="006612E7">
      <w:pPr>
        <w:pStyle w:val="Equation"/>
        <w:rPr>
          <w:rFonts w:eastAsiaTheme="minorEastAsia"/>
          <w:szCs w:val="24"/>
          <w:lang w:val="en-GB"/>
        </w:rPr>
      </w:pPr>
      <w:r w:rsidRPr="00CB75BD">
        <w:rPr>
          <w:rFonts w:eastAsiaTheme="minorEastAsia"/>
          <w:sz w:val="22"/>
          <w:szCs w:val="22"/>
          <w:lang w:val="en-GB"/>
        </w:rPr>
        <w:tab/>
      </w:r>
      <m:oMath>
        <m:sSub>
          <m:sSubPr>
            <m:ctrlPr>
              <w:rPr>
                <w:rFonts w:ascii="Cambria Math" w:hAnsi="Cambria Math"/>
                <w:i/>
                <w:sz w:val="22"/>
                <w:szCs w:val="22"/>
                <w:lang w:val="en-GB"/>
              </w:rPr>
            </m:ctrlPr>
          </m:sSubPr>
          <m:e>
            <m:r>
              <m:rPr>
                <m:sty m:val="p"/>
              </m:rPr>
              <w:rPr>
                <w:rFonts w:ascii="Cambria Math" w:hAnsi="Cambria Math"/>
                <w:sz w:val="22"/>
                <w:szCs w:val="22"/>
                <w:lang w:val="en-GB"/>
              </w:rPr>
              <m:t>τ</m:t>
            </m:r>
          </m:e>
          <m:sub>
            <m:r>
              <w:rPr>
                <w:rFonts w:ascii="Cambria Math" w:hAnsi="Cambria Math"/>
                <w:sz w:val="22"/>
                <w:szCs w:val="22"/>
                <w:lang w:val="en-GB"/>
              </w:rPr>
              <m:t>dn</m:t>
            </m:r>
          </m:sub>
        </m:sSub>
        <m:r>
          <w:rPr>
            <w:rFonts w:ascii="Cambria Math" w:eastAsiaTheme="minorEastAsia" w:hAnsi="Cambria Math"/>
            <w:sz w:val="22"/>
            <w:szCs w:val="22"/>
            <w:lang w:val="en-GB"/>
          </w:rPr>
          <m:t xml:space="preserve">=- </m:t>
        </m:r>
        <m:d>
          <m:dPr>
            <m:ctrlPr>
              <w:rPr>
                <w:rFonts w:ascii="Cambria Math" w:eastAsiaTheme="minorEastAsia" w:hAnsi="Cambria Math"/>
                <w:i/>
                <w:sz w:val="22"/>
                <w:szCs w:val="22"/>
                <w:lang w:val="en-GB"/>
              </w:rPr>
            </m:ctrlPr>
          </m:dPr>
          <m:e>
            <m:r>
              <w:rPr>
                <w:rFonts w:ascii="Cambria Math" w:eastAsiaTheme="minorEastAsia" w:hAnsi="Cambria Math"/>
                <w:sz w:val="22"/>
                <w:szCs w:val="22"/>
                <w:lang w:val="en-GB"/>
              </w:rPr>
              <m:t>a+400</m:t>
            </m:r>
          </m:e>
        </m:d>
        <m:r>
          <w:rPr>
            <w:rFonts w:ascii="Cambria Math" w:eastAsiaTheme="minorEastAsia" w:hAnsi="Cambria Math"/>
            <w:sz w:val="22"/>
            <w:szCs w:val="22"/>
            <w:lang w:val="en-GB"/>
          </w:rPr>
          <m:t>n</m:t>
        </m:r>
        <m:d>
          <m:dPr>
            <m:ctrlPr>
              <w:rPr>
                <w:rFonts w:ascii="Cambria Math" w:eastAsiaTheme="minorEastAsia" w:hAnsi="Cambria Math"/>
                <w:i/>
                <w:sz w:val="22"/>
                <w:szCs w:val="22"/>
                <w:lang w:val="en-GB"/>
              </w:rPr>
            </m:ctrlPr>
          </m:dPr>
          <m:e>
            <m:r>
              <w:rPr>
                <w:rFonts w:ascii="Cambria Math" w:eastAsiaTheme="minorEastAsia" w:hAnsi="Cambria Math"/>
                <w:sz w:val="22"/>
                <w:szCs w:val="22"/>
                <w:lang w:val="en-GB"/>
              </w:rPr>
              <m:t>400</m:t>
            </m:r>
          </m:e>
        </m:d>
        <m:func>
          <m:funcPr>
            <m:ctrlPr>
              <w:rPr>
                <w:rFonts w:ascii="Cambria Math" w:eastAsiaTheme="minorEastAsia" w:hAnsi="Cambria Math"/>
                <w:i/>
                <w:sz w:val="22"/>
                <w:szCs w:val="22"/>
                <w:lang w:val="en-GB"/>
              </w:rPr>
            </m:ctrlPr>
          </m:funcPr>
          <m:fName>
            <m:r>
              <m:rPr>
                <m:sty m:val="p"/>
              </m:rPr>
              <w:rPr>
                <w:rFonts w:ascii="Cambria Math" w:hAnsi="Cambria Math"/>
                <w:sz w:val="22"/>
                <w:szCs w:val="22"/>
                <w:lang w:val="en-GB"/>
              </w:rPr>
              <m:t>sin</m:t>
            </m:r>
          </m:fName>
          <m:e>
            <m:sSub>
              <m:sSubPr>
                <m:ctrlPr>
                  <w:rPr>
                    <w:rFonts w:ascii="Cambria Math" w:eastAsiaTheme="minorEastAsia" w:hAnsi="Cambria Math"/>
                    <w:i/>
                    <w:sz w:val="22"/>
                    <w:szCs w:val="22"/>
                    <w:lang w:val="en-GB"/>
                  </w:rPr>
                </m:ctrlPr>
              </m:sSubPr>
              <m:e>
                <m:r>
                  <m:rPr>
                    <m:sty m:val="p"/>
                  </m:rPr>
                  <w:rPr>
                    <w:rFonts w:ascii="Cambria Math" w:eastAsiaTheme="minorEastAsia" w:hAnsi="Cambria Math"/>
                    <w:sz w:val="22"/>
                    <w:szCs w:val="22"/>
                    <w:lang w:val="en-GB"/>
                  </w:rPr>
                  <m:t>φ</m:t>
                </m:r>
              </m:e>
              <m:sub>
                <m:r>
                  <w:rPr>
                    <w:rFonts w:ascii="Cambria Math" w:eastAsiaTheme="minorEastAsia" w:hAnsi="Cambria Math"/>
                    <w:sz w:val="22"/>
                    <w:szCs w:val="22"/>
                    <w:lang w:val="en-GB"/>
                  </w:rPr>
                  <m:t>400</m:t>
                </m:r>
              </m:sub>
            </m:sSub>
          </m:e>
        </m:func>
        <m:nary>
          <m:naryPr>
            <m:limLoc m:val="subSup"/>
            <m:ctrlPr>
              <w:rPr>
                <w:rFonts w:ascii="Cambria Math" w:eastAsiaTheme="minorEastAsia" w:hAnsi="Cambria Math"/>
                <w:i/>
                <w:sz w:val="22"/>
                <w:szCs w:val="22"/>
                <w:lang w:val="en-GB"/>
              </w:rPr>
            </m:ctrlPr>
          </m:naryPr>
          <m:sub>
            <m:r>
              <w:rPr>
                <w:rFonts w:ascii="Cambria Math" w:eastAsiaTheme="minorEastAsia" w:hAnsi="Cambria Math"/>
                <w:sz w:val="22"/>
                <w:szCs w:val="22"/>
                <w:lang w:val="en-GB"/>
              </w:rPr>
              <m:t>80</m:t>
            </m:r>
          </m:sub>
          <m:sup>
            <m:r>
              <w:rPr>
                <w:rFonts w:ascii="Cambria Math" w:eastAsiaTheme="minorEastAsia" w:hAnsi="Cambria Math"/>
                <w:sz w:val="22"/>
                <w:szCs w:val="22"/>
                <w:lang w:val="en-GB"/>
              </w:rPr>
              <m:t>400</m:t>
            </m:r>
          </m:sup>
          <m:e>
            <m:f>
              <m:fPr>
                <m:ctrlPr>
                  <w:rPr>
                    <w:rFonts w:ascii="Cambria Math" w:eastAsiaTheme="minorEastAsia" w:hAnsi="Cambria Math"/>
                    <w:i/>
                    <w:sz w:val="22"/>
                    <w:szCs w:val="22"/>
                    <w:lang w:val="en-GB"/>
                  </w:rPr>
                </m:ctrlPr>
              </m:fPr>
              <m:num>
                <m:sSup>
                  <m:sSupPr>
                    <m:ctrlPr>
                      <w:rPr>
                        <w:rFonts w:ascii="Cambria Math" w:eastAsiaTheme="minorEastAsia" w:hAnsi="Cambria Math"/>
                        <w:i/>
                        <w:sz w:val="22"/>
                        <w:szCs w:val="22"/>
                        <w:lang w:val="en-GB"/>
                      </w:rPr>
                    </m:ctrlPr>
                  </m:sSupPr>
                  <m:e>
                    <m:d>
                      <m:dPr>
                        <m:begChr m:val="{"/>
                        <m:endChr m:val="}"/>
                        <m:ctrlPr>
                          <w:rPr>
                            <w:rFonts w:ascii="Cambria Math" w:eastAsiaTheme="minorEastAsia" w:hAnsi="Cambria Math"/>
                            <w:i/>
                            <w:sz w:val="22"/>
                            <w:szCs w:val="22"/>
                            <w:lang w:val="en-GB"/>
                          </w:rPr>
                        </m:ctrlPr>
                      </m:dPr>
                      <m:e>
                        <m:r>
                          <w:rPr>
                            <w:rFonts w:ascii="Cambria Math" w:eastAsiaTheme="minorEastAsia" w:hAnsi="Cambria Math"/>
                            <w:sz w:val="22"/>
                            <w:szCs w:val="22"/>
                            <w:lang w:val="en-GB"/>
                          </w:rPr>
                          <m:t>logn</m:t>
                        </m:r>
                        <m:d>
                          <m:dPr>
                            <m:ctrlPr>
                              <w:rPr>
                                <w:rFonts w:ascii="Cambria Math" w:eastAsiaTheme="minorEastAsia" w:hAnsi="Cambria Math"/>
                                <w:i/>
                                <w:sz w:val="22"/>
                                <w:szCs w:val="22"/>
                                <w:lang w:val="en-GB"/>
                              </w:rPr>
                            </m:ctrlPr>
                          </m:dPr>
                          <m:e>
                            <m:r>
                              <w:rPr>
                                <w:rFonts w:ascii="Cambria Math" w:eastAsiaTheme="minorEastAsia" w:hAnsi="Cambria Math"/>
                                <w:sz w:val="22"/>
                                <w:szCs w:val="22"/>
                                <w:lang w:val="en-GB"/>
                              </w:rPr>
                              <m:t>h</m:t>
                            </m:r>
                          </m:e>
                        </m:d>
                      </m:e>
                    </m:d>
                  </m:e>
                  <m:sup>
                    <m:r>
                      <w:rPr>
                        <w:rFonts w:ascii="Cambria Math" w:eastAsiaTheme="minorEastAsia" w:hAnsi="Cambria Math"/>
                        <w:sz w:val="22"/>
                        <w:szCs w:val="22"/>
                        <w:lang w:val="en-GB"/>
                      </w:rPr>
                      <m:t>'</m:t>
                    </m:r>
                  </m:sup>
                </m:sSup>
              </m:num>
              <m:den>
                <m:rad>
                  <m:radPr>
                    <m:degHide m:val="1"/>
                    <m:ctrlPr>
                      <w:rPr>
                        <w:rFonts w:ascii="Cambria Math" w:eastAsiaTheme="minorEastAsia" w:hAnsi="Cambria Math"/>
                        <w:i/>
                        <w:sz w:val="22"/>
                        <w:szCs w:val="22"/>
                        <w:lang w:val="en-GB"/>
                      </w:rPr>
                    </m:ctrlPr>
                  </m:radPr>
                  <m:deg/>
                  <m:e>
                    <m:sSup>
                      <m:sSupPr>
                        <m:ctrlPr>
                          <w:rPr>
                            <w:rFonts w:ascii="Cambria Math" w:eastAsiaTheme="minorEastAsia" w:hAnsi="Cambria Math"/>
                            <w:i/>
                            <w:sz w:val="22"/>
                            <w:szCs w:val="22"/>
                            <w:lang w:val="en-GB"/>
                          </w:rPr>
                        </m:ctrlPr>
                      </m:sSupPr>
                      <m:e>
                        <m:d>
                          <m:dPr>
                            <m:begChr m:val="{"/>
                            <m:endChr m:val="}"/>
                            <m:ctrlPr>
                              <w:rPr>
                                <w:rFonts w:ascii="Cambria Math" w:eastAsiaTheme="minorEastAsia" w:hAnsi="Cambria Math"/>
                                <w:i/>
                                <w:sz w:val="22"/>
                                <w:szCs w:val="22"/>
                                <w:lang w:val="en-GB"/>
                              </w:rPr>
                            </m:ctrlPr>
                          </m:dPr>
                          <m:e>
                            <m:d>
                              <m:dPr>
                                <m:ctrlPr>
                                  <w:rPr>
                                    <w:rFonts w:ascii="Cambria Math" w:eastAsiaTheme="minorEastAsia" w:hAnsi="Cambria Math"/>
                                    <w:i/>
                                    <w:sz w:val="22"/>
                                    <w:szCs w:val="22"/>
                                    <w:lang w:val="en-GB"/>
                                  </w:rPr>
                                </m:ctrlPr>
                              </m:dPr>
                              <m:e>
                                <m:r>
                                  <w:rPr>
                                    <w:rFonts w:ascii="Cambria Math" w:eastAsiaTheme="minorEastAsia" w:hAnsi="Cambria Math"/>
                                    <w:sz w:val="22"/>
                                    <w:szCs w:val="22"/>
                                    <w:lang w:val="en-GB"/>
                                  </w:rPr>
                                  <m:t>a+h</m:t>
                                </m:r>
                              </m:e>
                            </m:d>
                            <m:r>
                              <w:rPr>
                                <w:rFonts w:ascii="Cambria Math" w:eastAsiaTheme="minorEastAsia" w:hAnsi="Cambria Math"/>
                                <w:sz w:val="22"/>
                                <w:szCs w:val="22"/>
                                <w:lang w:val="en-GB"/>
                              </w:rPr>
                              <m:t>n</m:t>
                            </m:r>
                            <m:d>
                              <m:dPr>
                                <m:ctrlPr>
                                  <w:rPr>
                                    <w:rFonts w:ascii="Cambria Math" w:eastAsiaTheme="minorEastAsia" w:hAnsi="Cambria Math"/>
                                    <w:i/>
                                    <w:sz w:val="22"/>
                                    <w:szCs w:val="22"/>
                                    <w:lang w:val="en-GB"/>
                                  </w:rPr>
                                </m:ctrlPr>
                              </m:dPr>
                              <m:e>
                                <m:r>
                                  <w:rPr>
                                    <w:rFonts w:ascii="Cambria Math" w:eastAsiaTheme="minorEastAsia" w:hAnsi="Cambria Math"/>
                                    <w:sz w:val="22"/>
                                    <w:szCs w:val="22"/>
                                    <w:lang w:val="en-GB"/>
                                  </w:rPr>
                                  <m:t>h</m:t>
                                </m:r>
                              </m:e>
                            </m:d>
                          </m:e>
                        </m:d>
                      </m:e>
                      <m:sup>
                        <m:r>
                          <w:rPr>
                            <w:rFonts w:ascii="Cambria Math" w:eastAsiaTheme="minorEastAsia" w:hAnsi="Cambria Math"/>
                            <w:sz w:val="22"/>
                            <w:szCs w:val="22"/>
                            <w:lang w:val="en-GB"/>
                          </w:rPr>
                          <m:t>2</m:t>
                        </m:r>
                      </m:sup>
                    </m:sSup>
                    <m:r>
                      <w:rPr>
                        <w:rFonts w:ascii="Cambria Math" w:eastAsiaTheme="minorEastAsia" w:hAnsi="Cambria Math"/>
                        <w:sz w:val="22"/>
                        <w:szCs w:val="22"/>
                        <w:lang w:val="en-GB"/>
                      </w:rPr>
                      <m:t>-</m:t>
                    </m:r>
                    <m:sSup>
                      <m:sSupPr>
                        <m:ctrlPr>
                          <w:rPr>
                            <w:rFonts w:ascii="Cambria Math" w:eastAsiaTheme="minorEastAsia" w:hAnsi="Cambria Math"/>
                            <w:i/>
                            <w:sz w:val="22"/>
                            <w:szCs w:val="22"/>
                            <w:lang w:val="en-GB"/>
                          </w:rPr>
                        </m:ctrlPr>
                      </m:sSupPr>
                      <m:e>
                        <m:d>
                          <m:dPr>
                            <m:begChr m:val="{"/>
                            <m:endChr m:val="}"/>
                            <m:ctrlPr>
                              <w:rPr>
                                <w:rFonts w:ascii="Cambria Math" w:eastAsiaTheme="minorEastAsia" w:hAnsi="Cambria Math"/>
                                <w:i/>
                                <w:sz w:val="22"/>
                                <w:szCs w:val="22"/>
                                <w:lang w:val="en-GB"/>
                              </w:rPr>
                            </m:ctrlPr>
                          </m:dPr>
                          <m:e>
                            <m:d>
                              <m:dPr>
                                <m:ctrlPr>
                                  <w:rPr>
                                    <w:rFonts w:ascii="Cambria Math" w:eastAsiaTheme="minorEastAsia" w:hAnsi="Cambria Math"/>
                                    <w:i/>
                                    <w:sz w:val="22"/>
                                    <w:szCs w:val="22"/>
                                    <w:lang w:val="en-GB"/>
                                  </w:rPr>
                                </m:ctrlPr>
                              </m:dPr>
                              <m:e>
                                <m:r>
                                  <w:rPr>
                                    <w:rFonts w:ascii="Cambria Math" w:eastAsiaTheme="minorEastAsia" w:hAnsi="Cambria Math"/>
                                    <w:sz w:val="22"/>
                                    <w:szCs w:val="22"/>
                                    <w:lang w:val="en-GB"/>
                                  </w:rPr>
                                  <m:t>a+400</m:t>
                                </m:r>
                              </m:e>
                            </m:d>
                            <m:r>
                              <w:rPr>
                                <w:rFonts w:ascii="Cambria Math" w:eastAsiaTheme="minorEastAsia" w:hAnsi="Cambria Math"/>
                                <w:sz w:val="22"/>
                                <w:szCs w:val="22"/>
                                <w:lang w:val="en-GB"/>
                              </w:rPr>
                              <m:t>n</m:t>
                            </m:r>
                            <m:d>
                              <m:dPr>
                                <m:ctrlPr>
                                  <w:rPr>
                                    <w:rFonts w:ascii="Cambria Math" w:eastAsiaTheme="minorEastAsia" w:hAnsi="Cambria Math"/>
                                    <w:i/>
                                    <w:sz w:val="22"/>
                                    <w:szCs w:val="22"/>
                                    <w:lang w:val="en-GB"/>
                                  </w:rPr>
                                </m:ctrlPr>
                              </m:dPr>
                              <m:e>
                                <m:r>
                                  <w:rPr>
                                    <w:rFonts w:ascii="Cambria Math" w:eastAsiaTheme="minorEastAsia" w:hAnsi="Cambria Math"/>
                                    <w:sz w:val="22"/>
                                    <w:szCs w:val="22"/>
                                    <w:lang w:val="en-GB"/>
                                  </w:rPr>
                                  <m:t>400</m:t>
                                </m:r>
                              </m:e>
                            </m:d>
                            <m:func>
                              <m:funcPr>
                                <m:ctrlPr>
                                  <w:rPr>
                                    <w:rFonts w:ascii="Cambria Math" w:eastAsiaTheme="minorEastAsia" w:hAnsi="Cambria Math"/>
                                    <w:i/>
                                    <w:sz w:val="22"/>
                                    <w:szCs w:val="22"/>
                                    <w:lang w:val="en-GB"/>
                                  </w:rPr>
                                </m:ctrlPr>
                              </m:funcPr>
                              <m:fName>
                                <m:r>
                                  <m:rPr>
                                    <m:sty m:val="p"/>
                                  </m:rPr>
                                  <w:rPr>
                                    <w:rFonts w:ascii="Cambria Math" w:hAnsi="Cambria Math"/>
                                    <w:sz w:val="22"/>
                                    <w:szCs w:val="22"/>
                                    <w:lang w:val="en-GB"/>
                                  </w:rPr>
                                  <m:t>sin</m:t>
                                </m:r>
                              </m:fName>
                              <m:e>
                                <m:sSub>
                                  <m:sSubPr>
                                    <m:ctrlPr>
                                      <w:rPr>
                                        <w:rFonts w:ascii="Cambria Math" w:eastAsiaTheme="minorEastAsia" w:hAnsi="Cambria Math"/>
                                        <w:i/>
                                        <w:sz w:val="22"/>
                                        <w:szCs w:val="22"/>
                                        <w:lang w:val="en-GB"/>
                                      </w:rPr>
                                    </m:ctrlPr>
                                  </m:sSubPr>
                                  <m:e>
                                    <m:r>
                                      <m:rPr>
                                        <m:sty m:val="p"/>
                                      </m:rPr>
                                      <w:rPr>
                                        <w:rFonts w:ascii="Cambria Math" w:eastAsiaTheme="minorEastAsia" w:hAnsi="Cambria Math"/>
                                        <w:sz w:val="22"/>
                                        <w:szCs w:val="22"/>
                                        <w:lang w:val="en-GB"/>
                                      </w:rPr>
                                      <m:t>φ</m:t>
                                    </m:r>
                                  </m:e>
                                  <m:sub>
                                    <m:r>
                                      <w:rPr>
                                        <w:rFonts w:ascii="Cambria Math" w:eastAsiaTheme="minorEastAsia" w:hAnsi="Cambria Math"/>
                                        <w:sz w:val="22"/>
                                        <w:szCs w:val="22"/>
                                        <w:lang w:val="en-GB"/>
                                      </w:rPr>
                                      <m:t>400</m:t>
                                    </m:r>
                                  </m:sub>
                                </m:sSub>
                              </m:e>
                            </m:func>
                          </m:e>
                        </m:d>
                      </m:e>
                      <m:sup>
                        <m:r>
                          <w:rPr>
                            <w:rFonts w:ascii="Cambria Math" w:eastAsiaTheme="minorEastAsia" w:hAnsi="Cambria Math"/>
                            <w:sz w:val="22"/>
                            <w:szCs w:val="22"/>
                            <w:lang w:val="en-GB"/>
                          </w:rPr>
                          <m:t>2</m:t>
                        </m:r>
                      </m:sup>
                    </m:sSup>
                  </m:e>
                </m:rad>
              </m:den>
            </m:f>
          </m:e>
        </m:nary>
        <m:r>
          <w:rPr>
            <w:rFonts w:ascii="Cambria Math" w:eastAsiaTheme="minorEastAsia" w:hAnsi="Cambria Math"/>
            <w:sz w:val="22"/>
            <w:szCs w:val="22"/>
            <w:lang w:val="en-GB"/>
          </w:rPr>
          <m:t>dh</m:t>
        </m:r>
      </m:oMath>
      <w:r w:rsidRPr="00CB75BD">
        <w:rPr>
          <w:rFonts w:eastAsiaTheme="minorEastAsia"/>
          <w:sz w:val="22"/>
          <w:szCs w:val="22"/>
          <w:lang w:val="en-GB"/>
        </w:rPr>
        <w:tab/>
      </w:r>
      <w:r w:rsidRPr="00CB75BD">
        <w:rPr>
          <w:rFonts w:eastAsiaTheme="minorEastAsia"/>
          <w:szCs w:val="24"/>
          <w:lang w:val="en-GB"/>
        </w:rPr>
        <w:t>(</w:t>
      </w:r>
      <w:r w:rsidR="00D7633A">
        <w:rPr>
          <w:rFonts w:eastAsiaTheme="minorEastAsia"/>
          <w:szCs w:val="24"/>
          <w:lang w:val="en-GB"/>
        </w:rPr>
        <w:t>21</w:t>
      </w:r>
      <w:r w:rsidRPr="00CB75BD">
        <w:rPr>
          <w:rFonts w:eastAsiaTheme="minorEastAsia"/>
          <w:szCs w:val="24"/>
          <w:lang w:val="en-GB"/>
        </w:rPr>
        <w:t>)</w:t>
      </w:r>
    </w:p>
    <w:p w:rsidR="006612E7" w:rsidRPr="00CB75BD" w:rsidRDefault="006612E7" w:rsidP="006612E7">
      <w:pPr>
        <w:rPr>
          <w:rFonts w:eastAsiaTheme="minorEastAsia"/>
          <w:lang w:val="en-GB"/>
        </w:rPr>
      </w:pPr>
      <w:r w:rsidRPr="00CB75BD">
        <w:rPr>
          <w:rFonts w:eastAsiaTheme="minorEastAsia"/>
          <w:lang w:val="en-GB"/>
        </w:rPr>
        <w:t xml:space="preserve">The integral in </w:t>
      </w:r>
      <w:r w:rsidRPr="00CB75BD">
        <w:rPr>
          <w:rFonts w:eastAsiaTheme="minorEastAsia"/>
          <w:szCs w:val="24"/>
          <w:lang w:val="en-GB"/>
        </w:rPr>
        <w:t xml:space="preserve">equation </w:t>
      </w:r>
      <w:r w:rsidRPr="00CB75BD">
        <w:rPr>
          <w:rFonts w:eastAsiaTheme="minorEastAsia"/>
          <w:lang w:val="en-GB"/>
        </w:rPr>
        <w:t>(</w:t>
      </w:r>
      <w:r w:rsidR="00D7633A">
        <w:rPr>
          <w:rFonts w:eastAsiaTheme="minorEastAsia"/>
          <w:lang w:val="en-GB"/>
        </w:rPr>
        <w:t>21</w:t>
      </w:r>
      <w:r w:rsidRPr="00CB75BD">
        <w:rPr>
          <w:rFonts w:eastAsiaTheme="minorEastAsia"/>
          <w:lang w:val="en-GB"/>
        </w:rPr>
        <w:t>) is calculated numerically using the electron density profiles used in Figs</w:t>
      </w:r>
      <w:r w:rsidRPr="00CB75BD">
        <w:rPr>
          <w:rFonts w:eastAsiaTheme="minorEastAsia"/>
          <w:i/>
          <w:lang w:val="en-GB"/>
        </w:rPr>
        <w:t> </w:t>
      </w:r>
      <w:r w:rsidRPr="00CB75BD">
        <w:rPr>
          <w:rFonts w:eastAsiaTheme="minorEastAsia"/>
          <w:lang w:val="en-GB"/>
        </w:rPr>
        <w:t xml:space="preserve">1 to 3 yielding refraction values of 5.88, 6.98, and 6.50 mrad. Those refraction values give an average refraction value </w:t>
      </w:r>
      <m:oMath>
        <m:sSub>
          <m:sSubPr>
            <m:ctrlPr>
              <w:rPr>
                <w:rFonts w:ascii="Cambria Math" w:eastAsiaTheme="minorEastAsia" w:hAnsi="Cambria Math"/>
                <w:i/>
                <w:lang w:val="en-GB"/>
              </w:rPr>
            </m:ctrlPr>
          </m:sSubPr>
          <m:e>
            <m:r>
              <m:rPr>
                <m:sty m:val="p"/>
              </m:rPr>
              <w:rPr>
                <w:rFonts w:ascii="Cambria Math" w:eastAsiaTheme="minorEastAsia" w:hAnsi="Cambria Math"/>
                <w:lang w:val="en-GB"/>
              </w:rPr>
              <m:t>τ</m:t>
            </m:r>
          </m:e>
          <m:sub>
            <m:r>
              <w:rPr>
                <w:rFonts w:ascii="Cambria Math" w:eastAsiaTheme="minorEastAsia" w:hAnsi="Cambria Math"/>
                <w:lang w:val="en-GB"/>
              </w:rPr>
              <m:t>avg</m:t>
            </m:r>
          </m:sub>
        </m:sSub>
      </m:oMath>
      <w:r w:rsidRPr="00CB75BD">
        <w:rPr>
          <w:rFonts w:eastAsiaTheme="minorEastAsia"/>
          <w:lang w:val="en-GB"/>
        </w:rPr>
        <w:t xml:space="preserve"> of 6.45 mrad in the downl</w:t>
      </w:r>
      <w:r w:rsidR="00A910CF" w:rsidRPr="00CB75BD">
        <w:rPr>
          <w:rFonts w:eastAsiaTheme="minorEastAsia"/>
          <w:lang w:val="en-GB"/>
        </w:rPr>
        <w:t xml:space="preserve">ink (sounder-Earth) direction. </w:t>
      </w:r>
      <w:r w:rsidRPr="00CB75BD">
        <w:rPr>
          <w:rFonts w:eastAsiaTheme="minorEastAsia"/>
          <w:lang w:val="en-GB"/>
        </w:rPr>
        <w:t>Based on reciprocity, those refraction values are reversed in the uplink (Earth-sounder) direction. Equation (</w:t>
      </w:r>
      <w:r w:rsidR="00D7633A">
        <w:rPr>
          <w:rFonts w:eastAsiaTheme="minorEastAsia"/>
          <w:lang w:val="en-GB"/>
        </w:rPr>
        <w:t>21</w:t>
      </w:r>
      <w:r w:rsidRPr="00CB75BD">
        <w:rPr>
          <w:rFonts w:eastAsiaTheme="minorEastAsia"/>
          <w:lang w:val="en-GB"/>
        </w:rPr>
        <w:t xml:space="preserve">) </w:t>
      </w:r>
      <w:r w:rsidRPr="00CB75BD">
        <w:rPr>
          <w:rFonts w:eastAsiaTheme="minorEastAsia"/>
          <w:lang w:val="en-GB"/>
        </w:rPr>
        <w:lastRenderedPageBreak/>
        <w:t xml:space="preserve">can adapted for calculating uplink refraction </w:t>
      </w:r>
      <m:oMath>
        <m:sSub>
          <m:sSubPr>
            <m:ctrlPr>
              <w:rPr>
                <w:rFonts w:ascii="Cambria Math" w:eastAsiaTheme="minorEastAsia" w:hAnsi="Cambria Math"/>
                <w:i/>
                <w:lang w:val="en-GB"/>
              </w:rPr>
            </m:ctrlPr>
          </m:sSubPr>
          <m:e>
            <m:r>
              <m:rPr>
                <m:sty m:val="p"/>
              </m:rPr>
              <w:rPr>
                <w:rFonts w:ascii="Cambria Math" w:eastAsiaTheme="minorEastAsia" w:hAnsi="Cambria Math"/>
                <w:lang w:val="en-GB"/>
              </w:rPr>
              <m:t>τ</m:t>
            </m:r>
          </m:e>
          <m:sub>
            <m:r>
              <w:rPr>
                <w:rFonts w:ascii="Cambria Math" w:eastAsiaTheme="minorEastAsia" w:hAnsi="Cambria Math"/>
                <w:lang w:val="en-GB"/>
              </w:rPr>
              <m:t>up</m:t>
            </m:r>
          </m:sub>
        </m:sSub>
        <m:r>
          <w:rPr>
            <w:rFonts w:ascii="Cambria Math" w:eastAsiaTheme="minorEastAsia" w:hAnsi="Cambria Math"/>
            <w:lang w:val="en-GB"/>
          </w:rPr>
          <m:t xml:space="preserve"> </m:t>
        </m:r>
      </m:oMath>
      <w:r w:rsidRPr="00CB75BD">
        <w:rPr>
          <w:rFonts w:eastAsiaTheme="minorEastAsia"/>
          <w:lang w:val="en-GB"/>
        </w:rPr>
        <w:t>through exchanging the radar sounder height by the height of the ionosphere lower boundary, and removing the minus sign yielding:</w:t>
      </w:r>
    </w:p>
    <w:p w:rsidR="006612E7" w:rsidRPr="00CB75BD" w:rsidRDefault="006612E7" w:rsidP="006612E7">
      <w:pPr>
        <w:pStyle w:val="Equation"/>
        <w:jc w:val="center"/>
        <w:rPr>
          <w:rFonts w:eastAsiaTheme="minorEastAsia"/>
          <w:szCs w:val="24"/>
          <w:lang w:val="en-GB"/>
        </w:rPr>
      </w:pPr>
      <w:r w:rsidRPr="00CB75BD">
        <w:rPr>
          <w:rFonts w:eastAsiaTheme="minorEastAsia"/>
          <w:szCs w:val="24"/>
          <w:lang w:val="en-GB"/>
        </w:rPr>
        <w:tab/>
      </w:r>
      <w:r w:rsidRPr="00CB75BD">
        <w:rPr>
          <w:rFonts w:eastAsiaTheme="minorEastAsia"/>
          <w:szCs w:val="24"/>
          <w:lang w:val="en-GB"/>
        </w:rPr>
        <w:tab/>
      </w:r>
      <m:oMath>
        <m:sSub>
          <m:sSubPr>
            <m:ctrlPr>
              <w:rPr>
                <w:rFonts w:ascii="Cambria Math" w:eastAsiaTheme="minorEastAsia" w:hAnsi="Cambria Math"/>
                <w:i/>
                <w:szCs w:val="24"/>
                <w:lang w:val="en-GB"/>
              </w:rPr>
            </m:ctrlPr>
          </m:sSubPr>
          <m:e>
            <m:r>
              <m:rPr>
                <m:sty m:val="p"/>
              </m:rPr>
              <w:rPr>
                <w:rFonts w:ascii="Cambria Math" w:eastAsiaTheme="minorEastAsia" w:hAnsi="Cambria Math"/>
                <w:szCs w:val="24"/>
                <w:lang w:val="en-GB"/>
              </w:rPr>
              <m:t>τ</m:t>
            </m:r>
          </m:e>
          <m:sub>
            <m:r>
              <w:rPr>
                <w:rFonts w:ascii="Cambria Math" w:eastAsiaTheme="minorEastAsia" w:hAnsi="Cambria Math"/>
                <w:szCs w:val="24"/>
                <w:lang w:val="en-GB"/>
              </w:rPr>
              <m:t>up</m:t>
            </m:r>
          </m:sub>
        </m:sSub>
        <m:r>
          <w:rPr>
            <w:rFonts w:ascii="Cambria Math" w:eastAsiaTheme="minorEastAsia" w:hAnsi="Cambria Math"/>
            <w:szCs w:val="24"/>
            <w:lang w:val="en-GB"/>
          </w:rPr>
          <m:t xml:space="preserve">= </m:t>
        </m:r>
        <m:d>
          <m:dPr>
            <m:ctrlPr>
              <w:rPr>
                <w:rFonts w:ascii="Cambria Math" w:eastAsiaTheme="minorEastAsia" w:hAnsi="Cambria Math"/>
                <w:i/>
                <w:szCs w:val="24"/>
                <w:lang w:val="en-GB"/>
              </w:rPr>
            </m:ctrlPr>
          </m:dPr>
          <m:e>
            <m:r>
              <w:rPr>
                <w:rFonts w:ascii="Cambria Math" w:eastAsiaTheme="minorEastAsia" w:hAnsi="Cambria Math"/>
                <w:szCs w:val="24"/>
                <w:lang w:val="en-GB"/>
              </w:rPr>
              <m:t>a+80</m:t>
            </m:r>
          </m:e>
        </m:d>
        <m:r>
          <w:rPr>
            <w:rFonts w:ascii="Cambria Math" w:eastAsiaTheme="minorEastAsia" w:hAnsi="Cambria Math"/>
            <w:szCs w:val="24"/>
            <w:lang w:val="en-GB"/>
          </w:rPr>
          <m:t>n</m:t>
        </m:r>
        <m:d>
          <m:dPr>
            <m:ctrlPr>
              <w:rPr>
                <w:rFonts w:ascii="Cambria Math" w:eastAsiaTheme="minorEastAsia" w:hAnsi="Cambria Math"/>
                <w:i/>
                <w:szCs w:val="24"/>
                <w:lang w:val="en-GB"/>
              </w:rPr>
            </m:ctrlPr>
          </m:dPr>
          <m:e>
            <m:r>
              <w:rPr>
                <w:rFonts w:ascii="Cambria Math" w:eastAsiaTheme="minorEastAsia" w:hAnsi="Cambria Math"/>
                <w:szCs w:val="24"/>
                <w:lang w:val="en-GB"/>
              </w:rPr>
              <m:t>80</m:t>
            </m:r>
          </m:e>
        </m:d>
        <m:func>
          <m:funcPr>
            <m:ctrlPr>
              <w:rPr>
                <w:rFonts w:ascii="Cambria Math" w:eastAsiaTheme="minorEastAsia" w:hAnsi="Cambria Math"/>
                <w:i/>
                <w:szCs w:val="24"/>
                <w:lang w:val="en-GB"/>
              </w:rPr>
            </m:ctrlPr>
          </m:funcPr>
          <m:fName>
            <m:r>
              <m:rPr>
                <m:sty m:val="p"/>
              </m:rPr>
              <w:rPr>
                <w:rFonts w:ascii="Cambria Math" w:hAnsi="Cambria Math"/>
                <w:szCs w:val="24"/>
                <w:lang w:val="en-GB"/>
              </w:rPr>
              <m:t>sin</m:t>
            </m:r>
          </m:fName>
          <m:e>
            <m:sSub>
              <m:sSubPr>
                <m:ctrlPr>
                  <w:rPr>
                    <w:rFonts w:ascii="Cambria Math" w:eastAsiaTheme="minorEastAsia" w:hAnsi="Cambria Math"/>
                    <w:i/>
                    <w:szCs w:val="24"/>
                    <w:lang w:val="en-GB"/>
                  </w:rPr>
                </m:ctrlPr>
              </m:sSubPr>
              <m:e>
                <m:r>
                  <m:rPr>
                    <m:sty m:val="p"/>
                  </m:rPr>
                  <w:rPr>
                    <w:rFonts w:ascii="Cambria Math" w:eastAsiaTheme="minorEastAsia" w:hAnsi="Cambria Math"/>
                    <w:szCs w:val="24"/>
                    <w:lang w:val="en-GB"/>
                  </w:rPr>
                  <m:t>φ</m:t>
                </m:r>
              </m:e>
              <m:sub>
                <m:r>
                  <w:rPr>
                    <w:rFonts w:ascii="Cambria Math" w:eastAsiaTheme="minorEastAsia" w:hAnsi="Cambria Math"/>
                    <w:szCs w:val="24"/>
                    <w:lang w:val="en-GB"/>
                  </w:rPr>
                  <m:t>80</m:t>
                </m:r>
              </m:sub>
            </m:sSub>
          </m:e>
        </m:func>
        <m:nary>
          <m:naryPr>
            <m:limLoc m:val="subSup"/>
            <m:ctrlPr>
              <w:rPr>
                <w:rFonts w:ascii="Cambria Math" w:eastAsiaTheme="minorEastAsia" w:hAnsi="Cambria Math"/>
                <w:i/>
                <w:szCs w:val="24"/>
                <w:lang w:val="en-GB"/>
              </w:rPr>
            </m:ctrlPr>
          </m:naryPr>
          <m:sub>
            <m:r>
              <w:rPr>
                <w:rFonts w:ascii="Cambria Math" w:eastAsiaTheme="minorEastAsia" w:hAnsi="Cambria Math"/>
                <w:szCs w:val="24"/>
                <w:lang w:val="en-GB"/>
              </w:rPr>
              <m:t>80</m:t>
            </m:r>
          </m:sub>
          <m:sup>
            <m:r>
              <w:rPr>
                <w:rFonts w:ascii="Cambria Math" w:eastAsiaTheme="minorEastAsia" w:hAnsi="Cambria Math"/>
                <w:szCs w:val="24"/>
                <w:lang w:val="en-GB"/>
              </w:rPr>
              <m:t>400</m:t>
            </m:r>
          </m:sup>
          <m:e>
            <m:f>
              <m:fPr>
                <m:ctrlPr>
                  <w:rPr>
                    <w:rFonts w:ascii="Cambria Math" w:eastAsiaTheme="minorEastAsia" w:hAnsi="Cambria Math"/>
                    <w:i/>
                    <w:szCs w:val="24"/>
                    <w:lang w:val="en-GB"/>
                  </w:rPr>
                </m:ctrlPr>
              </m:fPr>
              <m:num>
                <m:sSup>
                  <m:sSupPr>
                    <m:ctrlPr>
                      <w:rPr>
                        <w:rFonts w:ascii="Cambria Math" w:eastAsiaTheme="minorEastAsia" w:hAnsi="Cambria Math"/>
                        <w:i/>
                        <w:szCs w:val="24"/>
                        <w:lang w:val="en-GB"/>
                      </w:rPr>
                    </m:ctrlPr>
                  </m:sSupPr>
                  <m:e>
                    <m:d>
                      <m:dPr>
                        <m:begChr m:val="{"/>
                        <m:endChr m:val="}"/>
                        <m:ctrlPr>
                          <w:rPr>
                            <w:rFonts w:ascii="Cambria Math" w:eastAsiaTheme="minorEastAsia" w:hAnsi="Cambria Math"/>
                            <w:i/>
                            <w:szCs w:val="24"/>
                            <w:lang w:val="en-GB"/>
                          </w:rPr>
                        </m:ctrlPr>
                      </m:dPr>
                      <m:e>
                        <m:r>
                          <w:rPr>
                            <w:rFonts w:ascii="Cambria Math" w:eastAsiaTheme="minorEastAsia" w:hAnsi="Cambria Math"/>
                            <w:szCs w:val="24"/>
                            <w:lang w:val="en-GB"/>
                          </w:rPr>
                          <m:t>logn</m:t>
                        </m:r>
                        <m:d>
                          <m:dPr>
                            <m:ctrlPr>
                              <w:rPr>
                                <w:rFonts w:ascii="Cambria Math" w:eastAsiaTheme="minorEastAsia" w:hAnsi="Cambria Math"/>
                                <w:i/>
                                <w:szCs w:val="24"/>
                                <w:lang w:val="en-GB"/>
                              </w:rPr>
                            </m:ctrlPr>
                          </m:dPr>
                          <m:e>
                            <m:r>
                              <w:rPr>
                                <w:rFonts w:ascii="Cambria Math" w:eastAsiaTheme="minorEastAsia" w:hAnsi="Cambria Math"/>
                                <w:szCs w:val="24"/>
                                <w:lang w:val="en-GB"/>
                              </w:rPr>
                              <m:t>h</m:t>
                            </m:r>
                          </m:e>
                        </m:d>
                      </m:e>
                    </m:d>
                  </m:e>
                  <m:sup>
                    <m:r>
                      <w:rPr>
                        <w:rFonts w:ascii="Cambria Math" w:eastAsiaTheme="minorEastAsia" w:hAnsi="Cambria Math"/>
                        <w:szCs w:val="24"/>
                        <w:lang w:val="en-GB"/>
                      </w:rPr>
                      <m:t>'</m:t>
                    </m:r>
                  </m:sup>
                </m:sSup>
              </m:num>
              <m:den>
                <m:rad>
                  <m:radPr>
                    <m:degHide m:val="1"/>
                    <m:ctrlPr>
                      <w:rPr>
                        <w:rFonts w:ascii="Cambria Math" w:eastAsiaTheme="minorEastAsia" w:hAnsi="Cambria Math"/>
                        <w:i/>
                        <w:szCs w:val="24"/>
                        <w:lang w:val="en-GB"/>
                      </w:rPr>
                    </m:ctrlPr>
                  </m:radPr>
                  <m:deg/>
                  <m:e>
                    <m:sSup>
                      <m:sSupPr>
                        <m:ctrlPr>
                          <w:rPr>
                            <w:rFonts w:ascii="Cambria Math" w:eastAsiaTheme="minorEastAsia" w:hAnsi="Cambria Math"/>
                            <w:i/>
                            <w:szCs w:val="24"/>
                            <w:lang w:val="en-GB"/>
                          </w:rPr>
                        </m:ctrlPr>
                      </m:sSupPr>
                      <m:e>
                        <m:d>
                          <m:dPr>
                            <m:begChr m:val="{"/>
                            <m:endChr m:val="}"/>
                            <m:ctrlPr>
                              <w:rPr>
                                <w:rFonts w:ascii="Cambria Math" w:eastAsiaTheme="minorEastAsia" w:hAnsi="Cambria Math"/>
                                <w:i/>
                                <w:szCs w:val="24"/>
                                <w:lang w:val="en-GB"/>
                              </w:rPr>
                            </m:ctrlPr>
                          </m:dPr>
                          <m:e>
                            <m:d>
                              <m:dPr>
                                <m:ctrlPr>
                                  <w:rPr>
                                    <w:rFonts w:ascii="Cambria Math" w:eastAsiaTheme="minorEastAsia" w:hAnsi="Cambria Math"/>
                                    <w:i/>
                                    <w:szCs w:val="24"/>
                                    <w:lang w:val="en-GB"/>
                                  </w:rPr>
                                </m:ctrlPr>
                              </m:dPr>
                              <m:e>
                                <m:r>
                                  <w:rPr>
                                    <w:rFonts w:ascii="Cambria Math" w:eastAsiaTheme="minorEastAsia" w:hAnsi="Cambria Math"/>
                                    <w:szCs w:val="24"/>
                                    <w:lang w:val="en-GB"/>
                                  </w:rPr>
                                  <m:t>a+h</m:t>
                                </m:r>
                              </m:e>
                            </m:d>
                            <m:r>
                              <w:rPr>
                                <w:rFonts w:ascii="Cambria Math" w:eastAsiaTheme="minorEastAsia" w:hAnsi="Cambria Math"/>
                                <w:szCs w:val="24"/>
                                <w:lang w:val="en-GB"/>
                              </w:rPr>
                              <m:t>n</m:t>
                            </m:r>
                            <m:d>
                              <m:dPr>
                                <m:ctrlPr>
                                  <w:rPr>
                                    <w:rFonts w:ascii="Cambria Math" w:eastAsiaTheme="minorEastAsia" w:hAnsi="Cambria Math"/>
                                    <w:i/>
                                    <w:szCs w:val="24"/>
                                    <w:lang w:val="en-GB"/>
                                  </w:rPr>
                                </m:ctrlPr>
                              </m:dPr>
                              <m:e>
                                <m:r>
                                  <w:rPr>
                                    <w:rFonts w:ascii="Cambria Math" w:eastAsiaTheme="minorEastAsia" w:hAnsi="Cambria Math"/>
                                    <w:szCs w:val="24"/>
                                    <w:lang w:val="en-GB"/>
                                  </w:rPr>
                                  <m:t>h</m:t>
                                </m:r>
                              </m:e>
                            </m:d>
                          </m:e>
                        </m:d>
                      </m:e>
                      <m:sup>
                        <m:r>
                          <w:rPr>
                            <w:rFonts w:ascii="Cambria Math" w:eastAsiaTheme="minorEastAsia" w:hAnsi="Cambria Math"/>
                            <w:szCs w:val="24"/>
                            <w:lang w:val="en-GB"/>
                          </w:rPr>
                          <m:t>2</m:t>
                        </m:r>
                      </m:sup>
                    </m:sSup>
                    <m:r>
                      <w:rPr>
                        <w:rFonts w:ascii="Cambria Math" w:eastAsiaTheme="minorEastAsia" w:hAnsi="Cambria Math"/>
                        <w:szCs w:val="24"/>
                        <w:lang w:val="en-GB"/>
                      </w:rPr>
                      <m:t>-</m:t>
                    </m:r>
                    <m:sSup>
                      <m:sSupPr>
                        <m:ctrlPr>
                          <w:rPr>
                            <w:rFonts w:ascii="Cambria Math" w:eastAsiaTheme="minorEastAsia" w:hAnsi="Cambria Math"/>
                            <w:i/>
                            <w:szCs w:val="24"/>
                            <w:lang w:val="en-GB"/>
                          </w:rPr>
                        </m:ctrlPr>
                      </m:sSupPr>
                      <m:e>
                        <m:d>
                          <m:dPr>
                            <m:begChr m:val="{"/>
                            <m:endChr m:val="}"/>
                            <m:ctrlPr>
                              <w:rPr>
                                <w:rFonts w:ascii="Cambria Math" w:eastAsiaTheme="minorEastAsia" w:hAnsi="Cambria Math"/>
                                <w:i/>
                                <w:szCs w:val="24"/>
                                <w:lang w:val="en-GB"/>
                              </w:rPr>
                            </m:ctrlPr>
                          </m:dPr>
                          <m:e>
                            <m:d>
                              <m:dPr>
                                <m:ctrlPr>
                                  <w:rPr>
                                    <w:rFonts w:ascii="Cambria Math" w:eastAsiaTheme="minorEastAsia" w:hAnsi="Cambria Math"/>
                                    <w:i/>
                                    <w:szCs w:val="24"/>
                                    <w:lang w:val="en-GB"/>
                                  </w:rPr>
                                </m:ctrlPr>
                              </m:dPr>
                              <m:e>
                                <m:r>
                                  <w:rPr>
                                    <w:rFonts w:ascii="Cambria Math" w:eastAsiaTheme="minorEastAsia" w:hAnsi="Cambria Math"/>
                                    <w:szCs w:val="24"/>
                                    <w:lang w:val="en-GB"/>
                                  </w:rPr>
                                  <m:t>a+80</m:t>
                                </m:r>
                              </m:e>
                            </m:d>
                            <m:r>
                              <w:rPr>
                                <w:rFonts w:ascii="Cambria Math" w:eastAsiaTheme="minorEastAsia" w:hAnsi="Cambria Math"/>
                                <w:szCs w:val="24"/>
                                <w:lang w:val="en-GB"/>
                              </w:rPr>
                              <m:t>n</m:t>
                            </m:r>
                            <m:d>
                              <m:dPr>
                                <m:ctrlPr>
                                  <w:rPr>
                                    <w:rFonts w:ascii="Cambria Math" w:eastAsiaTheme="minorEastAsia" w:hAnsi="Cambria Math"/>
                                    <w:i/>
                                    <w:szCs w:val="24"/>
                                    <w:lang w:val="en-GB"/>
                                  </w:rPr>
                                </m:ctrlPr>
                              </m:dPr>
                              <m:e>
                                <m:r>
                                  <w:rPr>
                                    <w:rFonts w:ascii="Cambria Math" w:eastAsiaTheme="minorEastAsia" w:hAnsi="Cambria Math"/>
                                    <w:szCs w:val="24"/>
                                    <w:lang w:val="en-GB"/>
                                  </w:rPr>
                                  <m:t>80</m:t>
                                </m:r>
                              </m:e>
                            </m:d>
                            <m:func>
                              <m:funcPr>
                                <m:ctrlPr>
                                  <w:rPr>
                                    <w:rFonts w:ascii="Cambria Math" w:eastAsiaTheme="minorEastAsia" w:hAnsi="Cambria Math"/>
                                    <w:i/>
                                    <w:szCs w:val="24"/>
                                    <w:lang w:val="en-GB"/>
                                  </w:rPr>
                                </m:ctrlPr>
                              </m:funcPr>
                              <m:fName>
                                <m:r>
                                  <m:rPr>
                                    <m:sty m:val="p"/>
                                  </m:rPr>
                                  <w:rPr>
                                    <w:rFonts w:ascii="Cambria Math" w:hAnsi="Cambria Math"/>
                                    <w:szCs w:val="24"/>
                                    <w:lang w:val="en-GB"/>
                                  </w:rPr>
                                  <m:t>sin</m:t>
                                </m:r>
                              </m:fName>
                              <m:e>
                                <m:sSub>
                                  <m:sSubPr>
                                    <m:ctrlPr>
                                      <w:rPr>
                                        <w:rFonts w:ascii="Cambria Math" w:eastAsiaTheme="minorEastAsia" w:hAnsi="Cambria Math"/>
                                        <w:i/>
                                        <w:szCs w:val="24"/>
                                        <w:lang w:val="en-GB"/>
                                      </w:rPr>
                                    </m:ctrlPr>
                                  </m:sSubPr>
                                  <m:e>
                                    <m:r>
                                      <m:rPr>
                                        <m:sty m:val="p"/>
                                      </m:rPr>
                                      <w:rPr>
                                        <w:rFonts w:ascii="Cambria Math" w:eastAsiaTheme="minorEastAsia" w:hAnsi="Cambria Math"/>
                                        <w:szCs w:val="24"/>
                                        <w:lang w:val="en-GB"/>
                                      </w:rPr>
                                      <m:t>φ</m:t>
                                    </m:r>
                                  </m:e>
                                  <m:sub>
                                    <m:r>
                                      <w:rPr>
                                        <w:rFonts w:ascii="Cambria Math" w:eastAsiaTheme="minorEastAsia" w:hAnsi="Cambria Math"/>
                                        <w:szCs w:val="24"/>
                                        <w:lang w:val="en-GB"/>
                                      </w:rPr>
                                      <m:t>80</m:t>
                                    </m:r>
                                  </m:sub>
                                </m:sSub>
                              </m:e>
                            </m:func>
                          </m:e>
                        </m:d>
                      </m:e>
                      <m:sup>
                        <m:r>
                          <w:rPr>
                            <w:rFonts w:ascii="Cambria Math" w:eastAsiaTheme="minorEastAsia" w:hAnsi="Cambria Math"/>
                            <w:szCs w:val="24"/>
                            <w:lang w:val="en-GB"/>
                          </w:rPr>
                          <m:t>2</m:t>
                        </m:r>
                      </m:sup>
                    </m:sSup>
                  </m:e>
                </m:rad>
              </m:den>
            </m:f>
          </m:e>
        </m:nary>
      </m:oMath>
      <w:r w:rsidRPr="00CB75BD">
        <w:rPr>
          <w:rFonts w:eastAsiaTheme="minorEastAsia"/>
          <w:szCs w:val="24"/>
          <w:lang w:val="en-GB"/>
        </w:rPr>
        <w:tab/>
        <w:t>(</w:t>
      </w:r>
      <w:r w:rsidR="00D7633A">
        <w:rPr>
          <w:rFonts w:eastAsiaTheme="minorEastAsia"/>
          <w:szCs w:val="24"/>
          <w:lang w:val="en-GB"/>
        </w:rPr>
        <w:t>22</w:t>
      </w:r>
      <w:r w:rsidRPr="00CB75BD">
        <w:rPr>
          <w:rFonts w:eastAsiaTheme="minorEastAsia"/>
          <w:szCs w:val="24"/>
          <w:lang w:val="en-GB"/>
        </w:rPr>
        <w:t>)</w:t>
      </w:r>
    </w:p>
    <w:p w:rsidR="006612E7" w:rsidRPr="00CB75BD" w:rsidRDefault="006612E7" w:rsidP="00A910CF">
      <w:pPr>
        <w:rPr>
          <w:lang w:val="en-GB"/>
        </w:rPr>
      </w:pPr>
      <w:r w:rsidRPr="00CB75BD">
        <w:rPr>
          <w:lang w:val="en-GB"/>
        </w:rPr>
        <w:t>In summary, based on reciprocity, refraction effects in the uplink direction are the reverse of the corresponding effects in the downlink direction. No ducting can occur in the uplink direction.</w:t>
      </w:r>
    </w:p>
    <w:p w:rsidR="006612E7" w:rsidRPr="00CB75BD" w:rsidRDefault="006612E7" w:rsidP="006612E7">
      <w:pPr>
        <w:rPr>
          <w:lang w:val="en-GB"/>
        </w:rPr>
      </w:pPr>
    </w:p>
    <w:p w:rsidR="006612E7" w:rsidRPr="00CB75BD" w:rsidRDefault="006612E7" w:rsidP="006612E7">
      <w:pPr>
        <w:rPr>
          <w:lang w:val="en-GB"/>
        </w:rPr>
      </w:pPr>
    </w:p>
    <w:p w:rsidR="006612E7" w:rsidRPr="00CB75BD" w:rsidRDefault="006612E7" w:rsidP="006612E7">
      <w:pPr>
        <w:pStyle w:val="AnnexNoTitle"/>
        <w:rPr>
          <w:lang w:val="en-GB"/>
        </w:rPr>
      </w:pPr>
      <w:bookmarkStart w:id="138" w:name="_Toc14851697"/>
      <w:bookmarkStart w:id="139" w:name="_Toc14851787"/>
      <w:bookmarkStart w:id="140" w:name="_Toc14858092"/>
      <w:bookmarkStart w:id="141" w:name="_Toc14858473"/>
      <w:r w:rsidRPr="00CB75BD">
        <w:rPr>
          <w:lang w:val="en-GB"/>
        </w:rPr>
        <w:t>Annex 2</w:t>
      </w:r>
      <w:r w:rsidRPr="00CB75BD">
        <w:rPr>
          <w:lang w:val="en-GB"/>
        </w:rPr>
        <w:br/>
      </w:r>
      <w:r w:rsidRPr="00CB75BD">
        <w:rPr>
          <w:lang w:val="en-GB"/>
        </w:rPr>
        <w:br/>
        <w:t>Atmospheric absorption/attenuation</w:t>
      </w:r>
      <w:bookmarkEnd w:id="138"/>
      <w:bookmarkEnd w:id="139"/>
      <w:bookmarkEnd w:id="140"/>
      <w:bookmarkEnd w:id="141"/>
    </w:p>
    <w:p w:rsidR="006612E7" w:rsidRPr="00CB75BD" w:rsidRDefault="006612E7" w:rsidP="006612E7">
      <w:pPr>
        <w:pStyle w:val="Normalaftertitle"/>
        <w:rPr>
          <w:lang w:val="en-GB"/>
        </w:rPr>
      </w:pPr>
      <w:r w:rsidRPr="00CB75BD">
        <w:rPr>
          <w:lang w:val="en-GB"/>
        </w:rPr>
        <w:t>Based on Recommendation ITU-R P.531-13, there are three types of ionospheric attenuation:</w:t>
      </w:r>
    </w:p>
    <w:p w:rsidR="006612E7" w:rsidRPr="00CB75BD" w:rsidRDefault="006612E7" w:rsidP="006612E7">
      <w:pPr>
        <w:pStyle w:val="enumlev1"/>
        <w:rPr>
          <w:lang w:val="en-GB"/>
        </w:rPr>
      </w:pPr>
      <w:r w:rsidRPr="00CB75BD">
        <w:rPr>
          <w:lang w:val="en-GB"/>
        </w:rPr>
        <w:t>–</w:t>
      </w:r>
      <w:r w:rsidRPr="00CB75BD">
        <w:rPr>
          <w:lang w:val="en-GB"/>
        </w:rPr>
        <w:tab/>
        <w:t>Polar cap absorption (PCA)</w:t>
      </w:r>
    </w:p>
    <w:p w:rsidR="006612E7" w:rsidRPr="00CB75BD" w:rsidRDefault="006612E7" w:rsidP="006612E7">
      <w:pPr>
        <w:pStyle w:val="enumlev1"/>
        <w:rPr>
          <w:lang w:val="en-GB"/>
        </w:rPr>
      </w:pPr>
      <w:r w:rsidRPr="00CB75BD">
        <w:rPr>
          <w:lang w:val="en-GB"/>
        </w:rPr>
        <w:t>–</w:t>
      </w:r>
      <w:r w:rsidRPr="00CB75BD">
        <w:rPr>
          <w:lang w:val="en-GB"/>
        </w:rPr>
        <w:tab/>
        <w:t>Auroral absorption, and</w:t>
      </w:r>
    </w:p>
    <w:p w:rsidR="006612E7" w:rsidRPr="00CB75BD" w:rsidRDefault="006612E7" w:rsidP="006612E7">
      <w:pPr>
        <w:pStyle w:val="enumlev1"/>
        <w:rPr>
          <w:lang w:val="en-GB"/>
        </w:rPr>
      </w:pPr>
      <w:r w:rsidRPr="00CB75BD">
        <w:rPr>
          <w:lang w:val="en-GB"/>
        </w:rPr>
        <w:t>–</w:t>
      </w:r>
      <w:r w:rsidRPr="00CB75BD">
        <w:rPr>
          <w:lang w:val="en-GB"/>
        </w:rPr>
        <w:tab/>
        <w:t>Mid-latitude absorption.</w:t>
      </w:r>
    </w:p>
    <w:p w:rsidR="006612E7" w:rsidRPr="00CB75BD" w:rsidRDefault="006612E7" w:rsidP="006612E7">
      <w:pPr>
        <w:rPr>
          <w:color w:val="000000"/>
          <w:lang w:val="en-GB"/>
        </w:rPr>
      </w:pPr>
      <w:r w:rsidRPr="00CB75BD">
        <w:rPr>
          <w:color w:val="000000"/>
          <w:lang w:val="en-GB"/>
        </w:rPr>
        <w:t xml:space="preserve">The values of the above attenuation are given in Table 3 of </w:t>
      </w:r>
      <w:r w:rsidRPr="00CB75BD">
        <w:rPr>
          <w:lang w:val="en-GB"/>
        </w:rPr>
        <w:t xml:space="preserve">Recommendation </w:t>
      </w:r>
      <w:r w:rsidRPr="00CB75BD">
        <w:rPr>
          <w:color w:val="000000"/>
          <w:lang w:val="en-GB"/>
        </w:rPr>
        <w:t>ITU-R P.531-13 at a frequency of 1 GHz and zenith angle of 30</w:t>
      </w:r>
      <w:r w:rsidR="00A910CF" w:rsidRPr="00CB75BD">
        <w:rPr>
          <w:color w:val="000000"/>
          <w:lang w:val="en-GB"/>
        </w:rPr>
        <w:t>°</w:t>
      </w:r>
      <w:r w:rsidRPr="00CB75BD">
        <w:rPr>
          <w:color w:val="000000"/>
          <w:lang w:val="en-GB"/>
        </w:rPr>
        <w:t>. Those values are recalled in the Table 7 below.</w:t>
      </w:r>
    </w:p>
    <w:p w:rsidR="006612E7" w:rsidRPr="00CB75BD" w:rsidRDefault="006612E7" w:rsidP="006612E7">
      <w:pPr>
        <w:pStyle w:val="TableNo"/>
        <w:rPr>
          <w:lang w:val="en-GB"/>
        </w:rPr>
      </w:pPr>
      <w:r w:rsidRPr="00CB75BD">
        <w:rPr>
          <w:lang w:val="en-GB"/>
        </w:rPr>
        <w:t>TABLE 7</w:t>
      </w:r>
    </w:p>
    <w:p w:rsidR="006612E7" w:rsidRPr="00CB75BD" w:rsidRDefault="006612E7" w:rsidP="006612E7">
      <w:pPr>
        <w:pStyle w:val="Tabletitle"/>
        <w:rPr>
          <w:lang w:val="en-GB"/>
        </w:rPr>
      </w:pPr>
      <w:r w:rsidRPr="00CB75BD">
        <w:rPr>
          <w:lang w:val="en-GB"/>
        </w:rPr>
        <w:t>Ionospheric attenuation at 1 GHz and zenith angle of 30 degrees</w:t>
      </w:r>
    </w:p>
    <w:tbl>
      <w:tblPr>
        <w:tblStyle w:val="TableGrid"/>
        <w:tblW w:w="9639" w:type="dxa"/>
        <w:jc w:val="center"/>
        <w:tblLook w:val="04A0" w:firstRow="1" w:lastRow="0" w:firstColumn="1" w:lastColumn="0" w:noHBand="0" w:noVBand="1"/>
      </w:tblPr>
      <w:tblGrid>
        <w:gridCol w:w="2972"/>
        <w:gridCol w:w="2126"/>
        <w:gridCol w:w="2127"/>
        <w:gridCol w:w="2414"/>
      </w:tblGrid>
      <w:tr w:rsidR="006612E7" w:rsidRPr="00CB75BD" w:rsidTr="00840349">
        <w:trPr>
          <w:jc w:val="center"/>
        </w:trPr>
        <w:tc>
          <w:tcPr>
            <w:tcW w:w="2972" w:type="dxa"/>
            <w:vAlign w:val="center"/>
          </w:tcPr>
          <w:p w:rsidR="006612E7" w:rsidRPr="00CB75BD" w:rsidRDefault="006612E7" w:rsidP="00840349">
            <w:pPr>
              <w:pStyle w:val="Tablehead"/>
              <w:rPr>
                <w:lang w:val="en-GB"/>
              </w:rPr>
            </w:pPr>
            <w:r w:rsidRPr="00CB75BD">
              <w:rPr>
                <w:lang w:val="en-GB"/>
              </w:rPr>
              <w:t>Attenuation Type</w:t>
            </w:r>
          </w:p>
        </w:tc>
        <w:tc>
          <w:tcPr>
            <w:tcW w:w="2126" w:type="dxa"/>
            <w:vAlign w:val="center"/>
          </w:tcPr>
          <w:p w:rsidR="006612E7" w:rsidRPr="00CB75BD" w:rsidRDefault="006612E7" w:rsidP="00840349">
            <w:pPr>
              <w:pStyle w:val="Tablehead"/>
              <w:rPr>
                <w:lang w:val="en-GB"/>
              </w:rPr>
            </w:pPr>
            <w:r w:rsidRPr="00CB75BD">
              <w:rPr>
                <w:lang w:val="en-GB"/>
              </w:rPr>
              <w:t>Attenuation value (dB)</w:t>
            </w:r>
          </w:p>
        </w:tc>
        <w:tc>
          <w:tcPr>
            <w:tcW w:w="2127" w:type="dxa"/>
            <w:vAlign w:val="center"/>
          </w:tcPr>
          <w:p w:rsidR="006612E7" w:rsidRPr="00CB75BD" w:rsidRDefault="006612E7" w:rsidP="00840349">
            <w:pPr>
              <w:pStyle w:val="Tablehead"/>
              <w:rPr>
                <w:lang w:val="en-GB"/>
              </w:rPr>
            </w:pPr>
            <w:r w:rsidRPr="00CB75BD">
              <w:rPr>
                <w:lang w:val="en-GB"/>
              </w:rPr>
              <w:t>Frequency dependence</w:t>
            </w:r>
          </w:p>
        </w:tc>
        <w:tc>
          <w:tcPr>
            <w:tcW w:w="2414" w:type="dxa"/>
            <w:vAlign w:val="center"/>
          </w:tcPr>
          <w:p w:rsidR="006612E7" w:rsidRPr="00CB75BD" w:rsidRDefault="006612E7" w:rsidP="00840349">
            <w:pPr>
              <w:pStyle w:val="Tablehead"/>
              <w:rPr>
                <w:lang w:val="en-GB"/>
              </w:rPr>
            </w:pPr>
            <w:r w:rsidRPr="00CB75BD">
              <w:rPr>
                <w:lang w:val="en-GB"/>
              </w:rPr>
              <w:t>Zenith angle dependence</w:t>
            </w:r>
          </w:p>
        </w:tc>
      </w:tr>
      <w:tr w:rsidR="006612E7" w:rsidRPr="00CB75BD" w:rsidTr="00840349">
        <w:trPr>
          <w:jc w:val="center"/>
        </w:trPr>
        <w:tc>
          <w:tcPr>
            <w:tcW w:w="2972" w:type="dxa"/>
          </w:tcPr>
          <w:p w:rsidR="006612E7" w:rsidRPr="00CB75BD" w:rsidRDefault="006612E7" w:rsidP="00840349">
            <w:pPr>
              <w:pStyle w:val="Tabletext"/>
              <w:rPr>
                <w:lang w:val="en-GB"/>
              </w:rPr>
            </w:pPr>
            <w:r w:rsidRPr="00CB75BD">
              <w:rPr>
                <w:lang w:val="en-GB"/>
              </w:rPr>
              <w:t>PCA</w:t>
            </w:r>
          </w:p>
        </w:tc>
        <w:tc>
          <w:tcPr>
            <w:tcW w:w="2126" w:type="dxa"/>
          </w:tcPr>
          <w:p w:rsidR="006612E7" w:rsidRPr="00CB75BD" w:rsidRDefault="006612E7" w:rsidP="00840349">
            <w:pPr>
              <w:pStyle w:val="Tabletext"/>
              <w:jc w:val="center"/>
              <w:rPr>
                <w:lang w:val="en-GB"/>
              </w:rPr>
            </w:pPr>
            <w:r w:rsidRPr="00CB75BD">
              <w:rPr>
                <w:lang w:val="en-GB"/>
              </w:rPr>
              <w:t>0.04</w:t>
            </w:r>
          </w:p>
        </w:tc>
        <w:tc>
          <w:tcPr>
            <w:tcW w:w="2127" w:type="dxa"/>
          </w:tcPr>
          <w:p w:rsidR="006612E7" w:rsidRPr="00CB75BD" w:rsidRDefault="006612E7" w:rsidP="00840349">
            <w:pPr>
              <w:pStyle w:val="Tabletext"/>
              <w:jc w:val="center"/>
              <w:rPr>
                <w:lang w:val="en-GB"/>
              </w:rPr>
            </w:pPr>
            <m:oMathPara>
              <m:oMath>
                <m:r>
                  <w:rPr>
                    <w:rFonts w:ascii="Cambria Math" w:hAnsi="Cambria Math"/>
                    <w:lang w:val="en-GB"/>
                  </w:rPr>
                  <m:t>1/</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oMath>
            </m:oMathPara>
          </w:p>
        </w:tc>
        <w:tc>
          <w:tcPr>
            <w:tcW w:w="2414" w:type="dxa"/>
          </w:tcPr>
          <w:p w:rsidR="006612E7" w:rsidRPr="00CB75BD" w:rsidRDefault="00CB75BD" w:rsidP="00840349">
            <w:pPr>
              <w:pStyle w:val="Tabletext"/>
              <w:jc w:val="center"/>
              <w:rPr>
                <w:lang w:val="en-GB"/>
              </w:rPr>
            </w:pPr>
            <m:oMathPara>
              <m:oMath>
                <m:func>
                  <m:funcPr>
                    <m:ctrlPr>
                      <w:rPr>
                        <w:rFonts w:ascii="Cambria Math" w:hAnsi="Cambria Math"/>
                        <w:i/>
                        <w:lang w:val="en-GB"/>
                      </w:rPr>
                    </m:ctrlPr>
                  </m:funcPr>
                  <m:fName>
                    <m:r>
                      <m:rPr>
                        <m:sty m:val="p"/>
                      </m:rPr>
                      <w:rPr>
                        <w:rFonts w:ascii="Cambria Math" w:hAnsi="Cambria Math"/>
                        <w:lang w:val="en-GB"/>
                      </w:rPr>
                      <m:t>sec</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i</m:t>
                        </m:r>
                      </m:sub>
                    </m:sSub>
                  </m:e>
                </m:func>
              </m:oMath>
            </m:oMathPara>
          </w:p>
        </w:tc>
      </w:tr>
      <w:tr w:rsidR="006612E7" w:rsidRPr="00CB75BD" w:rsidTr="00840349">
        <w:trPr>
          <w:jc w:val="center"/>
        </w:trPr>
        <w:tc>
          <w:tcPr>
            <w:tcW w:w="2972" w:type="dxa"/>
          </w:tcPr>
          <w:p w:rsidR="006612E7" w:rsidRPr="00CB75BD" w:rsidRDefault="006612E7" w:rsidP="00840349">
            <w:pPr>
              <w:pStyle w:val="Tabletext"/>
              <w:rPr>
                <w:lang w:val="en-GB"/>
              </w:rPr>
            </w:pPr>
            <w:r w:rsidRPr="00CB75BD">
              <w:rPr>
                <w:lang w:val="en-GB"/>
              </w:rPr>
              <w:t>Auroral + PCA</w:t>
            </w:r>
          </w:p>
        </w:tc>
        <w:tc>
          <w:tcPr>
            <w:tcW w:w="2126" w:type="dxa"/>
          </w:tcPr>
          <w:p w:rsidR="006612E7" w:rsidRPr="00CB75BD" w:rsidRDefault="006612E7" w:rsidP="00840349">
            <w:pPr>
              <w:pStyle w:val="Tabletext"/>
              <w:jc w:val="center"/>
              <w:rPr>
                <w:lang w:val="en-GB"/>
              </w:rPr>
            </w:pPr>
            <w:r w:rsidRPr="00CB75BD">
              <w:rPr>
                <w:lang w:val="en-GB"/>
              </w:rPr>
              <w:t>0.05</w:t>
            </w:r>
          </w:p>
        </w:tc>
        <w:tc>
          <w:tcPr>
            <w:tcW w:w="2127" w:type="dxa"/>
          </w:tcPr>
          <w:p w:rsidR="006612E7" w:rsidRPr="00CB75BD" w:rsidRDefault="006612E7" w:rsidP="00840349">
            <w:pPr>
              <w:pStyle w:val="Tabletext"/>
              <w:jc w:val="center"/>
              <w:rPr>
                <w:lang w:val="en-GB"/>
              </w:rPr>
            </w:pPr>
            <m:oMathPara>
              <m:oMath>
                <m:r>
                  <w:rPr>
                    <w:rFonts w:ascii="Cambria Math" w:hAnsi="Cambria Math"/>
                    <w:lang w:val="en-GB"/>
                  </w:rPr>
                  <m:t>1/</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oMath>
            </m:oMathPara>
          </w:p>
        </w:tc>
        <w:tc>
          <w:tcPr>
            <w:tcW w:w="2414" w:type="dxa"/>
          </w:tcPr>
          <w:p w:rsidR="006612E7" w:rsidRPr="00CB75BD" w:rsidRDefault="00CB75BD" w:rsidP="00840349">
            <w:pPr>
              <w:pStyle w:val="Tabletext"/>
              <w:jc w:val="center"/>
              <w:rPr>
                <w:lang w:val="en-GB"/>
              </w:rPr>
            </w:pPr>
            <m:oMathPara>
              <m:oMath>
                <m:func>
                  <m:funcPr>
                    <m:ctrlPr>
                      <w:rPr>
                        <w:rFonts w:ascii="Cambria Math" w:hAnsi="Cambria Math"/>
                        <w:i/>
                        <w:lang w:val="en-GB"/>
                      </w:rPr>
                    </m:ctrlPr>
                  </m:funcPr>
                  <m:fName>
                    <m:r>
                      <m:rPr>
                        <m:sty m:val="p"/>
                      </m:rPr>
                      <w:rPr>
                        <w:rFonts w:ascii="Cambria Math" w:hAnsi="Cambria Math"/>
                        <w:lang w:val="en-GB"/>
                      </w:rPr>
                      <m:t>sec</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i</m:t>
                        </m:r>
                      </m:sub>
                    </m:sSub>
                  </m:e>
                </m:func>
              </m:oMath>
            </m:oMathPara>
          </w:p>
        </w:tc>
      </w:tr>
      <w:tr w:rsidR="006612E7" w:rsidRPr="00CB75BD" w:rsidTr="00840349">
        <w:trPr>
          <w:jc w:val="center"/>
        </w:trPr>
        <w:tc>
          <w:tcPr>
            <w:tcW w:w="2972" w:type="dxa"/>
          </w:tcPr>
          <w:p w:rsidR="006612E7" w:rsidRPr="00CB75BD" w:rsidRDefault="006612E7" w:rsidP="00840349">
            <w:pPr>
              <w:pStyle w:val="Tabletext"/>
              <w:rPr>
                <w:lang w:val="en-GB"/>
              </w:rPr>
            </w:pPr>
            <w:r w:rsidRPr="00CB75BD">
              <w:rPr>
                <w:lang w:val="en-GB"/>
              </w:rPr>
              <w:t xml:space="preserve">Mid-latitude absorption </w:t>
            </w:r>
          </w:p>
        </w:tc>
        <w:tc>
          <w:tcPr>
            <w:tcW w:w="2126" w:type="dxa"/>
          </w:tcPr>
          <w:p w:rsidR="006612E7" w:rsidRPr="00CB75BD" w:rsidRDefault="006612E7" w:rsidP="00840349">
            <w:pPr>
              <w:pStyle w:val="Tabletext"/>
              <w:jc w:val="center"/>
              <w:rPr>
                <w:lang w:val="en-GB"/>
              </w:rPr>
            </w:pPr>
            <w:r w:rsidRPr="00CB75BD">
              <w:rPr>
                <w:lang w:val="en-GB"/>
              </w:rPr>
              <w:t>&lt; 0.01</w:t>
            </w:r>
          </w:p>
        </w:tc>
        <w:tc>
          <w:tcPr>
            <w:tcW w:w="2127" w:type="dxa"/>
          </w:tcPr>
          <w:p w:rsidR="006612E7" w:rsidRPr="00CB75BD" w:rsidRDefault="006612E7" w:rsidP="00840349">
            <w:pPr>
              <w:pStyle w:val="Tabletext"/>
              <w:jc w:val="center"/>
              <w:rPr>
                <w:lang w:val="en-GB"/>
              </w:rPr>
            </w:pPr>
            <m:oMathPara>
              <m:oMath>
                <m:r>
                  <w:rPr>
                    <w:rFonts w:ascii="Cambria Math" w:hAnsi="Cambria Math"/>
                    <w:lang w:val="en-GB"/>
                  </w:rPr>
                  <m:t>1/</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oMath>
            </m:oMathPara>
          </w:p>
        </w:tc>
        <w:tc>
          <w:tcPr>
            <w:tcW w:w="2414" w:type="dxa"/>
          </w:tcPr>
          <w:p w:rsidR="006612E7" w:rsidRPr="00CB75BD" w:rsidRDefault="00CB75BD" w:rsidP="00840349">
            <w:pPr>
              <w:pStyle w:val="Tabletext"/>
              <w:jc w:val="center"/>
              <w:rPr>
                <w:lang w:val="en-GB"/>
              </w:rPr>
            </w:pPr>
            <m:oMathPara>
              <m:oMath>
                <m:func>
                  <m:funcPr>
                    <m:ctrlPr>
                      <w:rPr>
                        <w:rFonts w:ascii="Cambria Math" w:hAnsi="Cambria Math"/>
                        <w:i/>
                        <w:lang w:val="en-GB"/>
                      </w:rPr>
                    </m:ctrlPr>
                  </m:funcPr>
                  <m:fName>
                    <m:r>
                      <m:rPr>
                        <m:sty m:val="p"/>
                      </m:rPr>
                      <w:rPr>
                        <w:rFonts w:ascii="Cambria Math" w:hAnsi="Cambria Math"/>
                        <w:lang w:val="en-GB"/>
                      </w:rPr>
                      <m:t>sec</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i</m:t>
                        </m:r>
                      </m:sub>
                    </m:sSub>
                  </m:e>
                </m:func>
              </m:oMath>
            </m:oMathPara>
          </w:p>
        </w:tc>
      </w:tr>
    </w:tbl>
    <w:p w:rsidR="006612E7" w:rsidRPr="00CB75BD" w:rsidRDefault="006612E7" w:rsidP="006612E7">
      <w:pPr>
        <w:pStyle w:val="Tablefin"/>
      </w:pPr>
    </w:p>
    <w:p w:rsidR="006612E7" w:rsidRPr="00CB75BD" w:rsidRDefault="006612E7" w:rsidP="006612E7">
      <w:pPr>
        <w:pStyle w:val="Normalaftertitle"/>
        <w:rPr>
          <w:lang w:val="en-GB"/>
        </w:rPr>
      </w:pPr>
      <w:r w:rsidRPr="00CB75BD">
        <w:rPr>
          <w:lang w:val="en-GB"/>
        </w:rPr>
        <w:t>The 45 MHs sounder is a nadir looking sounder with a frequency of 45 MH, and is located at a height of 400 km. The zenith angle within its footprint varies between 0</w:t>
      </w:r>
      <w:r w:rsidR="00A910CF" w:rsidRPr="00CB75BD">
        <w:rPr>
          <w:lang w:val="en-GB"/>
        </w:rPr>
        <w:t>°</w:t>
      </w:r>
      <w:r w:rsidRPr="00CB75BD">
        <w:rPr>
          <w:lang w:val="en-GB"/>
        </w:rPr>
        <w:t xml:space="preserve"> and 40</w:t>
      </w:r>
      <w:r w:rsidR="00A910CF" w:rsidRPr="00CB75BD">
        <w:rPr>
          <w:lang w:val="en-GB"/>
        </w:rPr>
        <w:t>°</w:t>
      </w:r>
      <w:r w:rsidRPr="00CB75BD">
        <w:rPr>
          <w:lang w:val="en-GB"/>
        </w:rPr>
        <w:t>.</w:t>
      </w:r>
    </w:p>
    <w:p w:rsidR="006612E7" w:rsidRPr="00CB75BD" w:rsidRDefault="006612E7" w:rsidP="006612E7">
      <w:pPr>
        <w:rPr>
          <w:color w:val="000000"/>
          <w:lang w:val="en-GB"/>
        </w:rPr>
      </w:pPr>
      <w:r w:rsidRPr="00CB75BD">
        <w:rPr>
          <w:color w:val="000000"/>
          <w:lang w:val="en-GB"/>
        </w:rPr>
        <w:t>The following steps can be followed for adapting the above attenuation values for the 45 MHz:</w:t>
      </w:r>
    </w:p>
    <w:p w:rsidR="006612E7" w:rsidRPr="00CB75BD" w:rsidRDefault="006612E7" w:rsidP="006612E7">
      <w:pPr>
        <w:pStyle w:val="enumlev1"/>
        <w:rPr>
          <w:lang w:val="en-GB"/>
        </w:rPr>
      </w:pPr>
      <w:r w:rsidRPr="00CB75BD">
        <w:rPr>
          <w:lang w:val="en-GB"/>
        </w:rPr>
        <w:t>–</w:t>
      </w:r>
      <w:r w:rsidRPr="00CB75BD">
        <w:rPr>
          <w:lang w:val="en-GB"/>
        </w:rPr>
        <w:tab/>
        <w:t xml:space="preserve">Transferring the above values from 1 GHz to 45 MHz (0.045 GHz) through multiplying each value by the factor </w:t>
      </w:r>
      <w:proofErr w:type="gramStart"/>
      <w:r w:rsidRPr="00CB75BD">
        <w:rPr>
          <w:lang w:val="en-GB"/>
        </w:rPr>
        <w:t xml:space="preserve">of </w:t>
      </w:r>
      <w:proofErr w:type="gramEnd"/>
      <m:oMath>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0.045</m:t>
                    </m:r>
                  </m:den>
                </m:f>
              </m:e>
            </m:d>
          </m:e>
          <m:sup>
            <m:r>
              <w:rPr>
                <w:rFonts w:ascii="Cambria Math" w:hAnsi="Cambria Math"/>
                <w:lang w:val="en-GB"/>
              </w:rPr>
              <m:t>2</m:t>
            </m:r>
          </m:sup>
        </m:sSup>
        <m:r>
          <w:rPr>
            <w:rFonts w:ascii="Cambria Math" w:hAnsi="Cambria Math"/>
            <w:lang w:val="en-GB"/>
          </w:rPr>
          <m:t>= 493.8272</m:t>
        </m:r>
      </m:oMath>
      <w:r w:rsidRPr="00CB75BD">
        <w:rPr>
          <w:lang w:val="en-GB"/>
        </w:rPr>
        <w:t>.</w:t>
      </w:r>
    </w:p>
    <w:p w:rsidR="006612E7" w:rsidRPr="00CB75BD" w:rsidRDefault="006612E7" w:rsidP="006612E7">
      <w:pPr>
        <w:pStyle w:val="enumlev1"/>
        <w:rPr>
          <w:lang w:val="en-GB"/>
        </w:rPr>
      </w:pPr>
      <w:r w:rsidRPr="00CB75BD">
        <w:rPr>
          <w:lang w:val="en-GB"/>
        </w:rPr>
        <w:t>–</w:t>
      </w:r>
      <w:r w:rsidRPr="00CB75BD">
        <w:rPr>
          <w:lang w:val="en-GB"/>
        </w:rPr>
        <w:tab/>
        <w:t>After frequency transferring, transfer the attenuation to the sounder location. This can be achieved by multiplying the ratio of the total electron density below the sounder and total electron density of the ionosphere. This ratio</w:t>
      </w:r>
      <w:r w:rsidR="00A910CF" w:rsidRPr="00CB75BD">
        <w:rPr>
          <w:lang w:val="en-GB"/>
        </w:rPr>
        <w:t xml:space="preserve"> may vary </w:t>
      </w:r>
      <w:proofErr w:type="gramStart"/>
      <w:r w:rsidR="00A910CF" w:rsidRPr="00CB75BD">
        <w:rPr>
          <w:lang w:val="en-GB"/>
        </w:rPr>
        <w:t>between 0.59 to 0.</w:t>
      </w:r>
      <w:r w:rsidRPr="00CB75BD">
        <w:rPr>
          <w:lang w:val="en-GB"/>
        </w:rPr>
        <w:t>54 depending on the location</w:t>
      </w:r>
      <w:proofErr w:type="gramEnd"/>
      <w:r w:rsidRPr="00CB75BD">
        <w:rPr>
          <w:lang w:val="en-GB"/>
        </w:rPr>
        <w:t>. The value of 0.54 is used</w:t>
      </w:r>
      <w:r w:rsidRPr="00CB75BD">
        <w:rPr>
          <w:vertAlign w:val="superscript"/>
          <w:lang w:val="en-GB"/>
        </w:rPr>
        <w:footnoteReference w:id="2"/>
      </w:r>
      <w:r w:rsidRPr="00CB75BD">
        <w:rPr>
          <w:lang w:val="en-GB"/>
        </w:rPr>
        <w:t>.</w:t>
      </w:r>
    </w:p>
    <w:p w:rsidR="006612E7" w:rsidRPr="00CB75BD" w:rsidRDefault="006612E7" w:rsidP="006612E7">
      <w:pPr>
        <w:pStyle w:val="enumlev1"/>
        <w:rPr>
          <w:lang w:val="en-GB"/>
        </w:rPr>
      </w:pPr>
      <w:r w:rsidRPr="00CB75BD">
        <w:rPr>
          <w:lang w:val="en-GB"/>
        </w:rPr>
        <w:lastRenderedPageBreak/>
        <w:t>–</w:t>
      </w:r>
      <w:r w:rsidRPr="00CB75BD">
        <w:rPr>
          <w:lang w:val="en-GB"/>
        </w:rPr>
        <w:tab/>
        <w:t>Transferring the attenuation values from the zenith angle of 30</w:t>
      </w:r>
      <w:r w:rsidR="00A910CF" w:rsidRPr="00CB75BD">
        <w:rPr>
          <w:lang w:val="en-GB"/>
        </w:rPr>
        <w:t>°</w:t>
      </w:r>
      <w:r w:rsidRPr="00CB75BD">
        <w:rPr>
          <w:lang w:val="en-GB"/>
        </w:rPr>
        <w:t xml:space="preserve"> to the nadir incidence direction. This can be achieved through multiplying by this </w:t>
      </w:r>
      <w:proofErr w:type="gramStart"/>
      <w:r w:rsidRPr="00CB75BD">
        <w:rPr>
          <w:lang w:val="en-GB"/>
        </w:rPr>
        <w:t xml:space="preserve">ratio </w:t>
      </w:r>
      <w:proofErr w:type="gramEnd"/>
      <m:oMath>
        <m:f>
          <m:fPr>
            <m:ctrlPr>
              <w:rPr>
                <w:rFonts w:ascii="Cambria Math" w:hAnsi="Cambria Math"/>
                <w:i/>
                <w:lang w:val="en-GB"/>
              </w:rPr>
            </m:ctrlPr>
          </m:fPr>
          <m:num>
            <m:func>
              <m:funcPr>
                <m:ctrlPr>
                  <w:rPr>
                    <w:rFonts w:ascii="Cambria Math" w:hAnsi="Cambria Math"/>
                    <w:i/>
                    <w:lang w:val="en-GB"/>
                  </w:rPr>
                </m:ctrlPr>
              </m:funcPr>
              <m:fName>
                <m:r>
                  <m:rPr>
                    <m:sty m:val="p"/>
                  </m:rPr>
                  <w:rPr>
                    <w:rFonts w:ascii="Cambria Math" w:hAnsi="Cambria Math"/>
                    <w:lang w:val="en-GB"/>
                  </w:rPr>
                  <m:t>sec</m:t>
                </m:r>
              </m:fName>
              <m:e>
                <m:r>
                  <w:rPr>
                    <w:rFonts w:ascii="Cambria Math" w:hAnsi="Cambria Math"/>
                    <w:lang w:val="en-GB"/>
                  </w:rPr>
                  <m:t>0</m:t>
                </m:r>
              </m:e>
            </m:func>
          </m:num>
          <m:den>
            <m:func>
              <m:funcPr>
                <m:ctrlPr>
                  <w:rPr>
                    <w:rFonts w:ascii="Cambria Math" w:hAnsi="Cambria Math"/>
                    <w:i/>
                    <w:lang w:val="en-GB"/>
                  </w:rPr>
                </m:ctrlPr>
              </m:funcPr>
              <m:fName>
                <m:r>
                  <m:rPr>
                    <m:sty m:val="p"/>
                  </m:rPr>
                  <w:rPr>
                    <w:rFonts w:ascii="Cambria Math" w:hAnsi="Cambria Math"/>
                    <w:lang w:val="en-GB"/>
                  </w:rPr>
                  <m:t>sec</m:t>
                </m:r>
              </m:fName>
              <m:e>
                <m:r>
                  <w:rPr>
                    <w:rFonts w:ascii="Cambria Math" w:hAnsi="Cambria Math"/>
                    <w:lang w:val="en-GB"/>
                  </w:rPr>
                  <m:t>(30*</m:t>
                </m:r>
                <m:f>
                  <m:fPr>
                    <m:ctrlPr>
                      <w:rPr>
                        <w:rFonts w:ascii="Cambria Math" w:hAnsi="Cambria Math"/>
                        <w:i/>
                        <w:lang w:val="en-GB"/>
                      </w:rPr>
                    </m:ctrlPr>
                  </m:fPr>
                  <m:num>
                    <m:r>
                      <m:rPr>
                        <m:sty m:val="p"/>
                      </m:rPr>
                      <w:rPr>
                        <w:rFonts w:ascii="Cambria Math" w:hAnsi="Cambria Math"/>
                        <w:lang w:val="en-GB"/>
                      </w:rPr>
                      <m:t>π</m:t>
                    </m:r>
                  </m:num>
                  <m:den>
                    <m:r>
                      <w:rPr>
                        <w:rFonts w:ascii="Cambria Math" w:hAnsi="Cambria Math"/>
                        <w:lang w:val="en-GB"/>
                      </w:rPr>
                      <m:t>180</m:t>
                    </m:r>
                  </m:den>
                </m:f>
                <m:r>
                  <w:rPr>
                    <w:rFonts w:ascii="Cambria Math" w:hAnsi="Cambria Math"/>
                    <w:lang w:val="en-GB"/>
                  </w:rPr>
                  <m:t>)</m:t>
                </m:r>
              </m:e>
            </m:func>
          </m:den>
        </m:f>
        <m:r>
          <w:rPr>
            <w:rFonts w:ascii="Cambria Math" w:hAnsi="Cambria Math"/>
            <w:lang w:val="en-GB"/>
          </w:rPr>
          <m:t xml:space="preserve">=0.8660 </m:t>
        </m:r>
      </m:oMath>
      <w:r w:rsidRPr="00CB75BD">
        <w:rPr>
          <w:lang w:val="en-GB"/>
        </w:rPr>
        <w:t>.</w:t>
      </w:r>
    </w:p>
    <w:p w:rsidR="006612E7" w:rsidRPr="00CB75BD" w:rsidRDefault="006612E7" w:rsidP="006612E7">
      <w:pPr>
        <w:rPr>
          <w:color w:val="000000"/>
          <w:lang w:val="en-GB"/>
        </w:rPr>
      </w:pPr>
      <w:r w:rsidRPr="00CB75BD">
        <w:rPr>
          <w:color w:val="000000"/>
          <w:lang w:val="en-GB"/>
        </w:rPr>
        <w:t>Accordingly transferring the attenuation values in Table 7 for the sound</w:t>
      </w:r>
      <w:r w:rsidR="00A910CF" w:rsidRPr="00CB75BD">
        <w:rPr>
          <w:color w:val="000000"/>
          <w:lang w:val="en-GB"/>
        </w:rPr>
        <w:t>er use at nadir incidence (zero </w:t>
      </w:r>
      <w:r w:rsidRPr="00CB75BD">
        <w:rPr>
          <w:color w:val="000000"/>
          <w:lang w:val="en-GB"/>
        </w:rPr>
        <w:t>zenith angle) can be achieved through scaling them by the following factor:</w:t>
      </w:r>
    </w:p>
    <w:p w:rsidR="006612E7" w:rsidRPr="00CB75BD" w:rsidRDefault="006612E7" w:rsidP="006612E7">
      <w:pPr>
        <w:pStyle w:val="Equation"/>
        <w:rPr>
          <w:lang w:val="en-GB"/>
        </w:rPr>
      </w:pPr>
      <w:r w:rsidRPr="00CB75BD">
        <w:rPr>
          <w:lang w:val="en-GB"/>
        </w:rPr>
        <w:tab/>
      </w:r>
      <w:r w:rsidRPr="00CB75BD">
        <w:rPr>
          <w:lang w:val="en-GB"/>
        </w:rPr>
        <w:tab/>
      </w:r>
      <m:oMath>
        <m:r>
          <w:rPr>
            <w:rFonts w:ascii="Cambria Math" w:hAnsi="Cambria Math"/>
            <w:lang w:val="en-GB"/>
          </w:rPr>
          <m:t>493.8272</m:t>
        </m:r>
        <m:r>
          <m:rPr>
            <m:sty m:val="p"/>
          </m:rPr>
          <w:rPr>
            <w:rFonts w:ascii="Cambria Math" w:hAnsi="Cambria Math"/>
            <w:lang w:val="en-GB"/>
          </w:rPr>
          <m:t xml:space="preserve"> × 0.54 ×</m:t>
        </m:r>
        <m:r>
          <w:rPr>
            <w:rFonts w:ascii="Cambria Math" w:hAnsi="Cambria Math"/>
            <w:lang w:val="en-GB"/>
          </w:rPr>
          <m:t xml:space="preserve">0.8660 </m:t>
        </m:r>
        <m:r>
          <m:rPr>
            <m:sty m:val="p"/>
          </m:rPr>
          <w:rPr>
            <w:rFonts w:ascii="Cambria Math" w:hAnsi="Cambria Math"/>
            <w:lang w:val="en-GB"/>
          </w:rPr>
          <m:t xml:space="preserve">= 230.9334 </m:t>
        </m:r>
      </m:oMath>
    </w:p>
    <w:p w:rsidR="006612E7" w:rsidRPr="00CB75BD" w:rsidRDefault="006612E7" w:rsidP="006612E7">
      <w:pPr>
        <w:rPr>
          <w:color w:val="000000"/>
          <w:lang w:val="en-GB"/>
        </w:rPr>
      </w:pPr>
      <w:r w:rsidRPr="00CB75BD">
        <w:rPr>
          <w:color w:val="000000"/>
          <w:lang w:val="en-GB"/>
        </w:rPr>
        <w:t xml:space="preserve">Scaling by the above factor yields the attenuation at zero zenith angle </w:t>
      </w:r>
      <m:oMath>
        <m:sSub>
          <m:sSubPr>
            <m:ctrlPr>
              <w:rPr>
                <w:rFonts w:ascii="Cambria Math" w:hAnsi="Cambria Math"/>
                <w:i/>
                <w:color w:val="000000"/>
                <w:lang w:val="en-GB"/>
              </w:rPr>
            </m:ctrlPr>
          </m:sSubPr>
          <m:e>
            <m:r>
              <w:rPr>
                <w:rFonts w:ascii="Cambria Math" w:hAnsi="Cambria Math"/>
                <w:color w:val="000000"/>
                <w:lang w:val="en-GB"/>
              </w:rPr>
              <m:t>A</m:t>
            </m:r>
          </m:e>
          <m:sub>
            <m:r>
              <w:rPr>
                <w:rFonts w:ascii="Cambria Math" w:hAnsi="Cambria Math"/>
                <w:color w:val="000000"/>
                <w:lang w:val="en-GB"/>
              </w:rPr>
              <m:t>0</m:t>
            </m:r>
          </m:sub>
        </m:sSub>
      </m:oMath>
      <w:r w:rsidRPr="00CB75BD">
        <w:rPr>
          <w:color w:val="000000"/>
          <w:lang w:val="en-GB"/>
        </w:rPr>
        <w:t xml:space="preserve"> which can be used for getting the attenuation </w:t>
      </w:r>
      <m:oMath>
        <m:sSub>
          <m:sSubPr>
            <m:ctrlPr>
              <w:rPr>
                <w:rFonts w:ascii="Cambria Math" w:hAnsi="Cambria Math"/>
                <w:i/>
                <w:color w:val="000000"/>
                <w:lang w:val="en-GB"/>
              </w:rPr>
            </m:ctrlPr>
          </m:sSubPr>
          <m:e>
            <m:r>
              <w:rPr>
                <w:rFonts w:ascii="Cambria Math" w:hAnsi="Cambria Math"/>
                <w:color w:val="000000"/>
                <w:lang w:val="en-GB"/>
              </w:rPr>
              <m:t>A</m:t>
            </m:r>
          </m:e>
          <m:sub>
            <m:r>
              <m:rPr>
                <m:sty m:val="p"/>
              </m:rPr>
              <w:rPr>
                <w:rFonts w:ascii="Cambria Math" w:hAnsi="Cambria Math"/>
                <w:color w:val="000000"/>
                <w:lang w:val="en-GB"/>
              </w:rPr>
              <m:t>θ</m:t>
            </m:r>
          </m:sub>
        </m:sSub>
      </m:oMath>
      <w:r w:rsidRPr="00CB75BD">
        <w:rPr>
          <w:color w:val="000000"/>
          <w:lang w:val="en-GB"/>
        </w:rPr>
        <w:t xml:space="preserve"> at an arbitrary zenith angle </w:t>
      </w:r>
      <m:oMath>
        <m:r>
          <m:rPr>
            <m:sty m:val="p"/>
          </m:rPr>
          <w:rPr>
            <w:rFonts w:ascii="Cambria Math" w:hAnsi="Cambria Math"/>
            <w:color w:val="000000"/>
            <w:lang w:val="en-GB"/>
          </w:rPr>
          <m:t>θ</m:t>
        </m:r>
      </m:oMath>
      <w:r w:rsidRPr="00CB75BD">
        <w:rPr>
          <w:color w:val="000000"/>
          <w:lang w:val="en-GB"/>
        </w:rPr>
        <w:t xml:space="preserve"> as follows:</w:t>
      </w:r>
    </w:p>
    <w:p w:rsidR="006612E7" w:rsidRPr="00CB75BD" w:rsidRDefault="006612E7" w:rsidP="006612E7">
      <w:pPr>
        <w:pStyle w:val="Equation"/>
        <w:rPr>
          <w:lang w:val="en-GB"/>
        </w:rPr>
      </w:pPr>
      <w:r w:rsidRPr="00CB75BD">
        <w:rPr>
          <w:lang w:val="en-GB"/>
        </w:rPr>
        <w:tab/>
      </w:r>
      <w:r w:rsidRPr="00CB75BD">
        <w:rPr>
          <w:lang w:val="en-GB"/>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θ</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0</m:t>
            </m:r>
          </m:sub>
        </m:sSub>
        <m:func>
          <m:funcPr>
            <m:ctrlPr>
              <w:rPr>
                <w:rFonts w:ascii="Cambria Math" w:hAnsi="Cambria Math"/>
                <w:lang w:val="en-GB"/>
              </w:rPr>
            </m:ctrlPr>
          </m:funcPr>
          <m:fName>
            <m:r>
              <m:rPr>
                <m:sty m:val="p"/>
              </m:rPr>
              <w:rPr>
                <w:rFonts w:ascii="Cambria Math" w:hAnsi="Cambria Math"/>
                <w:lang w:val="en-GB"/>
              </w:rPr>
              <m:t>sec</m:t>
            </m:r>
          </m:fName>
          <m:e>
            <m:r>
              <m:rPr>
                <m:sty m:val="p"/>
              </m:rPr>
              <w:rPr>
                <w:rFonts w:ascii="Cambria Math" w:hAnsi="Cambria Math"/>
                <w:lang w:val="en-GB"/>
              </w:rPr>
              <m:t>θ</m:t>
            </m:r>
          </m:e>
        </m:func>
      </m:oMath>
    </w:p>
    <w:p w:rsidR="006612E7" w:rsidRPr="00CB75BD" w:rsidRDefault="006612E7" w:rsidP="006612E7">
      <w:pPr>
        <w:pStyle w:val="TableNo"/>
        <w:rPr>
          <w:lang w:val="en-GB"/>
        </w:rPr>
      </w:pPr>
      <w:r w:rsidRPr="00CB75BD">
        <w:rPr>
          <w:lang w:val="en-GB"/>
        </w:rPr>
        <w:t>TABLE 8</w:t>
      </w:r>
    </w:p>
    <w:p w:rsidR="006612E7" w:rsidRPr="00CB75BD" w:rsidRDefault="006612E7" w:rsidP="006612E7">
      <w:pPr>
        <w:pStyle w:val="Tabletitle"/>
        <w:rPr>
          <w:lang w:val="en-GB"/>
        </w:rPr>
      </w:pPr>
      <w:r w:rsidRPr="00CB75BD">
        <w:rPr>
          <w:lang w:val="en-GB"/>
        </w:rPr>
        <w:t xml:space="preserve">Ionospheric attenuation between the 45 MHz sounder and Earth surface </w:t>
      </w:r>
      <w:r w:rsidR="00A46B9F" w:rsidRPr="00CB75BD">
        <w:rPr>
          <w:lang w:val="en-GB"/>
        </w:rPr>
        <w:br/>
      </w:r>
      <w:r w:rsidRPr="00CB75BD">
        <w:rPr>
          <w:lang w:val="en-GB"/>
        </w:rPr>
        <w:t xml:space="preserve">at three different zenith angles </w:t>
      </w:r>
      <w:r w:rsidRPr="00CB75BD">
        <w:rPr>
          <w:lang w:val="en-GB"/>
        </w:rPr>
        <w:br/>
        <w:t>(9</w:t>
      </w:r>
      <w:r w:rsidR="00FF45F2" w:rsidRPr="00CB75BD">
        <w:rPr>
          <w:vertAlign w:val="superscript"/>
          <w:lang w:val="en-GB"/>
        </w:rPr>
        <w:t>°</w:t>
      </w:r>
      <w:r w:rsidRPr="00CB75BD">
        <w:rPr>
          <w:lang w:val="en-GB"/>
        </w:rPr>
        <w:t>, 20</w:t>
      </w:r>
      <w:r w:rsidR="00FF45F2" w:rsidRPr="00CB75BD">
        <w:rPr>
          <w:vertAlign w:val="superscript"/>
          <w:lang w:val="en-GB"/>
        </w:rPr>
        <w:t>°</w:t>
      </w:r>
      <w:r w:rsidRPr="00CB75BD">
        <w:rPr>
          <w:lang w:val="en-GB"/>
        </w:rPr>
        <w:t>, 30</w:t>
      </w:r>
      <w:r w:rsidR="00FF45F2" w:rsidRPr="00CB75BD">
        <w:rPr>
          <w:vertAlign w:val="superscript"/>
          <w:lang w:val="en-GB"/>
        </w:rPr>
        <w:t>°</w:t>
      </w:r>
      <w:r w:rsidRPr="00CB75BD">
        <w:rPr>
          <w:lang w:val="en-GB"/>
        </w:rPr>
        <w:t>)</w:t>
      </w:r>
    </w:p>
    <w:tbl>
      <w:tblPr>
        <w:tblStyle w:val="TableGrid"/>
        <w:tblW w:w="9639" w:type="dxa"/>
        <w:tblLook w:val="04A0" w:firstRow="1" w:lastRow="0" w:firstColumn="1" w:lastColumn="0" w:noHBand="0" w:noVBand="1"/>
      </w:tblPr>
      <w:tblGrid>
        <w:gridCol w:w="2735"/>
        <w:gridCol w:w="2084"/>
        <w:gridCol w:w="2410"/>
        <w:gridCol w:w="2410"/>
      </w:tblGrid>
      <w:tr w:rsidR="006612E7" w:rsidRPr="00CB75BD" w:rsidTr="00840349">
        <w:tc>
          <w:tcPr>
            <w:tcW w:w="2718" w:type="dxa"/>
          </w:tcPr>
          <w:p w:rsidR="006612E7" w:rsidRPr="00CB75BD" w:rsidRDefault="006612E7" w:rsidP="00840349">
            <w:pPr>
              <w:pStyle w:val="Tablehead"/>
              <w:rPr>
                <w:lang w:val="en-GB"/>
              </w:rPr>
            </w:pPr>
            <w:r w:rsidRPr="00CB75BD">
              <w:rPr>
                <w:lang w:val="en-GB"/>
              </w:rPr>
              <w:t>Attenuation (dB)</w:t>
            </w:r>
          </w:p>
        </w:tc>
        <w:tc>
          <w:tcPr>
            <w:tcW w:w="2070" w:type="dxa"/>
          </w:tcPr>
          <w:p w:rsidR="006612E7" w:rsidRPr="00CB75BD" w:rsidRDefault="00CB75BD" w:rsidP="00840349">
            <w:pPr>
              <w:pStyle w:val="Tablehead"/>
              <w:rPr>
                <w:lang w:val="en-GB"/>
              </w:rPr>
            </w:pPr>
            <m:oMathPara>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0</m:t>
                    </m:r>
                  </m:sub>
                </m:sSub>
              </m:oMath>
            </m:oMathPara>
          </w:p>
        </w:tc>
        <w:tc>
          <w:tcPr>
            <w:tcW w:w="2394" w:type="dxa"/>
          </w:tcPr>
          <w:p w:rsidR="006612E7" w:rsidRPr="00CB75BD" w:rsidRDefault="00CB75BD" w:rsidP="00840349">
            <w:pPr>
              <w:pStyle w:val="Tablehead"/>
              <w:rPr>
                <w:lang w:val="en-GB"/>
              </w:rPr>
            </w:pPr>
            <m:oMathPara>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20</m:t>
                    </m:r>
                  </m:sub>
                </m:sSub>
              </m:oMath>
            </m:oMathPara>
          </w:p>
        </w:tc>
        <w:tc>
          <w:tcPr>
            <w:tcW w:w="2394" w:type="dxa"/>
          </w:tcPr>
          <w:p w:rsidR="006612E7" w:rsidRPr="00CB75BD" w:rsidRDefault="00CB75BD" w:rsidP="00840349">
            <w:pPr>
              <w:pStyle w:val="Tablehead"/>
              <w:rPr>
                <w:lang w:val="en-GB"/>
              </w:rPr>
            </w:pPr>
            <m:oMathPara>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30</m:t>
                    </m:r>
                  </m:sub>
                </m:sSub>
              </m:oMath>
            </m:oMathPara>
          </w:p>
        </w:tc>
      </w:tr>
      <w:tr w:rsidR="006612E7" w:rsidRPr="00CB75BD" w:rsidTr="00840349">
        <w:tc>
          <w:tcPr>
            <w:tcW w:w="2718" w:type="dxa"/>
          </w:tcPr>
          <w:p w:rsidR="006612E7" w:rsidRPr="00CB75BD" w:rsidRDefault="006612E7" w:rsidP="00840349">
            <w:pPr>
              <w:pStyle w:val="Tabletext"/>
              <w:rPr>
                <w:lang w:val="en-GB"/>
              </w:rPr>
            </w:pPr>
            <w:r w:rsidRPr="00CB75BD">
              <w:rPr>
                <w:lang w:val="en-GB"/>
              </w:rPr>
              <w:t>PCA</w:t>
            </w:r>
          </w:p>
        </w:tc>
        <w:tc>
          <w:tcPr>
            <w:tcW w:w="2070" w:type="dxa"/>
          </w:tcPr>
          <w:p w:rsidR="006612E7" w:rsidRPr="00CB75BD" w:rsidRDefault="006612E7" w:rsidP="00840349">
            <w:pPr>
              <w:pStyle w:val="Tabletext"/>
              <w:jc w:val="center"/>
              <w:rPr>
                <w:lang w:val="en-GB"/>
              </w:rPr>
            </w:pPr>
            <w:r w:rsidRPr="00CB75BD">
              <w:rPr>
                <w:lang w:val="en-GB"/>
              </w:rPr>
              <w:t>9.2373</w:t>
            </w:r>
          </w:p>
        </w:tc>
        <w:tc>
          <w:tcPr>
            <w:tcW w:w="2394" w:type="dxa"/>
          </w:tcPr>
          <w:p w:rsidR="006612E7" w:rsidRPr="00CB75BD" w:rsidRDefault="006612E7" w:rsidP="00840349">
            <w:pPr>
              <w:pStyle w:val="Tabletext"/>
              <w:jc w:val="center"/>
              <w:rPr>
                <w:lang w:val="en-GB"/>
              </w:rPr>
            </w:pPr>
            <w:r w:rsidRPr="00CB75BD">
              <w:rPr>
                <w:lang w:val="en-GB"/>
              </w:rPr>
              <w:t>9.8303</w:t>
            </w:r>
          </w:p>
        </w:tc>
        <w:tc>
          <w:tcPr>
            <w:tcW w:w="2394" w:type="dxa"/>
          </w:tcPr>
          <w:p w:rsidR="006612E7" w:rsidRPr="00CB75BD" w:rsidRDefault="006612E7" w:rsidP="00840349">
            <w:pPr>
              <w:pStyle w:val="Tabletext"/>
              <w:jc w:val="center"/>
              <w:rPr>
                <w:lang w:val="en-GB"/>
              </w:rPr>
            </w:pPr>
            <w:r w:rsidRPr="00CB75BD">
              <w:rPr>
                <w:lang w:val="en-GB"/>
              </w:rPr>
              <w:t>10.6663</w:t>
            </w:r>
          </w:p>
        </w:tc>
      </w:tr>
      <w:tr w:rsidR="006612E7" w:rsidRPr="00CB75BD" w:rsidTr="00840349">
        <w:tc>
          <w:tcPr>
            <w:tcW w:w="2718" w:type="dxa"/>
          </w:tcPr>
          <w:p w:rsidR="006612E7" w:rsidRPr="00CB75BD" w:rsidRDefault="006612E7" w:rsidP="00840349">
            <w:pPr>
              <w:pStyle w:val="Tabletext"/>
              <w:rPr>
                <w:lang w:val="en-GB"/>
              </w:rPr>
            </w:pPr>
            <w:r w:rsidRPr="00CB75BD">
              <w:rPr>
                <w:lang w:val="en-GB"/>
              </w:rPr>
              <w:t>Auroral + PCA</w:t>
            </w:r>
          </w:p>
        </w:tc>
        <w:tc>
          <w:tcPr>
            <w:tcW w:w="2070" w:type="dxa"/>
          </w:tcPr>
          <w:p w:rsidR="006612E7" w:rsidRPr="00CB75BD" w:rsidRDefault="006612E7" w:rsidP="00840349">
            <w:pPr>
              <w:pStyle w:val="Tabletext"/>
              <w:jc w:val="center"/>
              <w:rPr>
                <w:lang w:val="en-GB"/>
              </w:rPr>
            </w:pPr>
            <w:r w:rsidRPr="00CB75BD">
              <w:rPr>
                <w:lang w:val="en-GB"/>
              </w:rPr>
              <w:t>11.5467</w:t>
            </w:r>
          </w:p>
        </w:tc>
        <w:tc>
          <w:tcPr>
            <w:tcW w:w="2394" w:type="dxa"/>
          </w:tcPr>
          <w:p w:rsidR="006612E7" w:rsidRPr="00CB75BD" w:rsidRDefault="006612E7" w:rsidP="00840349">
            <w:pPr>
              <w:pStyle w:val="Tabletext"/>
              <w:jc w:val="center"/>
              <w:rPr>
                <w:lang w:val="en-GB"/>
              </w:rPr>
            </w:pPr>
            <w:r w:rsidRPr="00CB75BD">
              <w:rPr>
                <w:lang w:val="en-GB"/>
              </w:rPr>
              <w:t>12.2880</w:t>
            </w:r>
          </w:p>
        </w:tc>
        <w:tc>
          <w:tcPr>
            <w:tcW w:w="2394" w:type="dxa"/>
          </w:tcPr>
          <w:p w:rsidR="006612E7" w:rsidRPr="00CB75BD" w:rsidRDefault="006612E7" w:rsidP="00840349">
            <w:pPr>
              <w:pStyle w:val="Tabletext"/>
              <w:jc w:val="center"/>
              <w:rPr>
                <w:lang w:val="en-GB"/>
              </w:rPr>
            </w:pPr>
            <w:r w:rsidRPr="00CB75BD">
              <w:rPr>
                <w:lang w:val="en-GB"/>
              </w:rPr>
              <w:t>13.3330</w:t>
            </w:r>
          </w:p>
        </w:tc>
      </w:tr>
      <w:tr w:rsidR="006612E7" w:rsidRPr="00CB75BD" w:rsidTr="00840349">
        <w:tc>
          <w:tcPr>
            <w:tcW w:w="2718" w:type="dxa"/>
          </w:tcPr>
          <w:p w:rsidR="006612E7" w:rsidRPr="00CB75BD" w:rsidRDefault="006612E7" w:rsidP="00840349">
            <w:pPr>
              <w:pStyle w:val="Tabletext"/>
              <w:rPr>
                <w:lang w:val="en-GB"/>
              </w:rPr>
            </w:pPr>
            <w:r w:rsidRPr="00CB75BD">
              <w:rPr>
                <w:lang w:val="en-GB"/>
              </w:rPr>
              <w:t>Mid-latitude absorption</w:t>
            </w:r>
          </w:p>
        </w:tc>
        <w:tc>
          <w:tcPr>
            <w:tcW w:w="2070" w:type="dxa"/>
          </w:tcPr>
          <w:p w:rsidR="006612E7" w:rsidRPr="00CB75BD" w:rsidRDefault="00FF45F2" w:rsidP="00840349">
            <w:pPr>
              <w:pStyle w:val="Tabletext"/>
              <w:jc w:val="center"/>
              <w:rPr>
                <w:lang w:val="en-GB"/>
              </w:rPr>
            </w:pPr>
            <w:r w:rsidRPr="00CB75BD">
              <w:rPr>
                <w:lang w:val="en-GB"/>
              </w:rPr>
              <w:t xml:space="preserve">&lt; </w:t>
            </w:r>
            <w:r w:rsidR="006612E7" w:rsidRPr="00CB75BD">
              <w:rPr>
                <w:lang w:val="en-GB"/>
              </w:rPr>
              <w:t>2.3093</w:t>
            </w:r>
          </w:p>
        </w:tc>
        <w:tc>
          <w:tcPr>
            <w:tcW w:w="2394" w:type="dxa"/>
          </w:tcPr>
          <w:p w:rsidR="006612E7" w:rsidRPr="00CB75BD" w:rsidRDefault="006612E7" w:rsidP="00840349">
            <w:pPr>
              <w:pStyle w:val="Tabletext"/>
              <w:jc w:val="center"/>
              <w:rPr>
                <w:lang w:val="en-GB"/>
              </w:rPr>
            </w:pPr>
            <w:r w:rsidRPr="00CB75BD">
              <w:rPr>
                <w:lang w:val="en-GB"/>
              </w:rPr>
              <w:t>&lt; 2.4576</w:t>
            </w:r>
          </w:p>
        </w:tc>
        <w:tc>
          <w:tcPr>
            <w:tcW w:w="2394" w:type="dxa"/>
          </w:tcPr>
          <w:p w:rsidR="006612E7" w:rsidRPr="00CB75BD" w:rsidRDefault="006612E7" w:rsidP="00840349">
            <w:pPr>
              <w:pStyle w:val="Tabletext"/>
              <w:jc w:val="center"/>
              <w:rPr>
                <w:lang w:val="en-GB"/>
              </w:rPr>
            </w:pPr>
            <w:r w:rsidRPr="00CB75BD">
              <w:rPr>
                <w:lang w:val="en-GB"/>
              </w:rPr>
              <w:t>&lt; 2.8378</w:t>
            </w:r>
          </w:p>
        </w:tc>
      </w:tr>
    </w:tbl>
    <w:p w:rsidR="006612E7" w:rsidRPr="00CB75BD" w:rsidRDefault="006612E7" w:rsidP="006612E7">
      <w:pPr>
        <w:pStyle w:val="Tablefin"/>
      </w:pPr>
    </w:p>
    <w:p w:rsidR="00FF45F2" w:rsidRPr="00F108F0" w:rsidRDefault="00FF45F2" w:rsidP="00FF45F2">
      <w:pPr>
        <w:spacing w:before="720"/>
        <w:jc w:val="center"/>
        <w:rPr>
          <w:u w:val="single"/>
          <w:lang w:val="en-GB"/>
        </w:rPr>
      </w:pPr>
      <w:r w:rsidRPr="00F108F0">
        <w:rPr>
          <w:u w:val="single"/>
          <w:lang w:val="en-GB"/>
        </w:rPr>
        <w:t>______________</w:t>
      </w:r>
    </w:p>
    <w:sectPr w:rsidR="00FF45F2" w:rsidRPr="00F108F0" w:rsidSect="006612E7">
      <w:headerReference w:type="even" r:id="rId32"/>
      <w:headerReference w:type="default" r:id="rId3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5BD" w:rsidRDefault="00CB75BD">
      <w:r>
        <w:separator/>
      </w:r>
    </w:p>
  </w:endnote>
  <w:endnote w:type="continuationSeparator" w:id="0">
    <w:p w:rsidR="00CB75BD" w:rsidRDefault="00CB7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5BD" w:rsidRDefault="00CB75BD">
      <w:r>
        <w:separator/>
      </w:r>
    </w:p>
  </w:footnote>
  <w:footnote w:type="continuationSeparator" w:id="0">
    <w:p w:rsidR="00CB75BD" w:rsidRDefault="00CB75BD">
      <w:r>
        <w:continuationSeparator/>
      </w:r>
    </w:p>
  </w:footnote>
  <w:footnote w:id="1">
    <w:p w:rsidR="00CB75BD" w:rsidRPr="001B1B00" w:rsidRDefault="00CB75BD" w:rsidP="006612E7">
      <w:pPr>
        <w:pStyle w:val="FootnoteText"/>
        <w:spacing w:before="0"/>
        <w:rPr>
          <w:lang w:val="en-US"/>
        </w:rPr>
      </w:pPr>
      <w:r>
        <w:rPr>
          <w:rStyle w:val="FootnoteReference"/>
        </w:rPr>
        <w:footnoteRef/>
      </w:r>
      <w:r>
        <w:rPr>
          <w:lang w:val="en-US"/>
        </w:rPr>
        <w:tab/>
        <w:t>Sun Synchronous Orbit.</w:t>
      </w:r>
    </w:p>
  </w:footnote>
  <w:footnote w:id="2">
    <w:p w:rsidR="00CB75BD" w:rsidRDefault="00CB75BD" w:rsidP="006612E7">
      <w:pPr>
        <w:pStyle w:val="FootnoteText"/>
      </w:pPr>
      <w:r>
        <w:rPr>
          <w:rStyle w:val="FootnoteReference"/>
        </w:rPr>
        <w:footnoteRef/>
      </w:r>
      <w:r>
        <w:t xml:space="preserve"> </w:t>
      </w:r>
      <w:r>
        <w:tab/>
        <w:t xml:space="preserve">The lower value is used because it yields lower attenuation values. Lower attenuation values could be used for setting interference criteria and not the higher attenuation values.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BD" w:rsidRPr="00926183" w:rsidRDefault="00CB75BD"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F108F0">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Pr="00682FEA">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108F0">
      <w:rPr>
        <w:b/>
        <w:bCs/>
        <w:noProof/>
        <w:lang w:val="en-US"/>
      </w:rPr>
      <w:t>ITU-R  RS.2455-0</w:t>
    </w:r>
    <w:r w:rsidRPr="00186C0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BD" w:rsidRDefault="00CB75BD" w:rsidP="00B033C8">
    <w:pPr>
      <w:pStyle w:val="Header"/>
      <w:ind w:right="360" w:firstLine="360"/>
    </w:pPr>
    <w:r>
      <w:rPr>
        <w:noProof/>
        <w:lang w:val="en-GB" w:eastAsia="en-GB"/>
      </w:rPr>
      <w:drawing>
        <wp:anchor distT="0" distB="0" distL="114300" distR="114300" simplePos="0" relativeHeight="251656704" behindDoc="1" locked="0" layoutInCell="1" allowOverlap="1" wp14:anchorId="6ABF5061" wp14:editId="487B7EC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BD" w:rsidRPr="00AD0307" w:rsidRDefault="00CB75BD" w:rsidP="00AD0307">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F108F0">
      <w:rPr>
        <w:b/>
        <w:bCs/>
        <w:noProof/>
        <w:lang w:val="en-US"/>
      </w:rPr>
      <w:t>6</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Pr="00682FEA">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108F0">
      <w:rPr>
        <w:b/>
        <w:bCs/>
        <w:noProof/>
        <w:lang w:val="en-US"/>
      </w:rPr>
      <w:t>ITU-R  RS.2455-0</w:t>
    </w:r>
    <w:r w:rsidRPr="00186C0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BD" w:rsidRDefault="00CB75BD" w:rsidP="00AD0307">
    <w:pPr>
      <w:pStyle w:val="Header"/>
      <w:jc w:val="both"/>
    </w:pPr>
    <w:r w:rsidRPr="009770E7">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9770E7">
      <w:rPr>
        <w:b/>
        <w:bCs/>
      </w:rPr>
      <w:t xml:space="preserve"> </w:t>
    </w:r>
    <w:r w:rsidRPr="009770E7">
      <w:rPr>
        <w:b/>
        <w:bCs/>
      </w:rPr>
      <w:fldChar w:fldCharType="begin"/>
    </w:r>
    <w:r w:rsidRPr="009770E7">
      <w:rPr>
        <w:b/>
        <w:bCs/>
        <w:lang w:val="en-US"/>
      </w:rPr>
      <w:instrText>styleref href</w:instrText>
    </w:r>
    <w:r w:rsidRPr="009770E7">
      <w:rPr>
        <w:b/>
        <w:bCs/>
      </w:rPr>
      <w:fldChar w:fldCharType="separate"/>
    </w:r>
    <w:r w:rsidR="00F108F0">
      <w:rPr>
        <w:b/>
        <w:bCs/>
        <w:noProof/>
        <w:lang w:val="en-US"/>
      </w:rPr>
      <w:t>ITU-R  RS.2455-0</w:t>
    </w:r>
    <w:r w:rsidRPr="009770E7">
      <w:fldChar w:fldCharType="end"/>
    </w:r>
    <w:r w:rsidRPr="009770E7">
      <w:tab/>
    </w:r>
    <w:r w:rsidRPr="009770E7">
      <w:rPr>
        <w:b/>
        <w:bCs/>
      </w:rPr>
      <w:fldChar w:fldCharType="begin"/>
    </w:r>
    <w:r w:rsidRPr="009770E7">
      <w:rPr>
        <w:b/>
        <w:bCs/>
        <w:lang w:val="en-US"/>
      </w:rPr>
      <w:instrText xml:space="preserve"> PAGE </w:instrText>
    </w:r>
    <w:r w:rsidRPr="009770E7">
      <w:rPr>
        <w:b/>
        <w:bCs/>
      </w:rPr>
      <w:fldChar w:fldCharType="separate"/>
    </w:r>
    <w:r w:rsidR="00F108F0">
      <w:rPr>
        <w:b/>
        <w:bCs/>
        <w:noProof/>
        <w:lang w:val="en-US"/>
      </w:rPr>
      <w:t>7</w:t>
    </w:r>
    <w:r w:rsidRPr="009770E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BD" w:rsidRDefault="00CB75BD" w:rsidP="003614F5">
    <w:pPr>
      <w:pStyle w:val="Header"/>
      <w:tabs>
        <w:tab w:val="clear" w:pos="4848"/>
        <w:tab w:val="clear" w:pos="9696"/>
        <w:tab w:val="center" w:pos="7371"/>
        <w:tab w:val="right" w:pos="14566"/>
      </w:tabs>
      <w:jc w:val="both"/>
    </w:pPr>
    <w:r w:rsidRPr="009770E7">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9770E7">
      <w:rPr>
        <w:b/>
        <w:bCs/>
      </w:rPr>
      <w:t xml:space="preserve"> </w:t>
    </w:r>
    <w:r w:rsidRPr="009770E7">
      <w:rPr>
        <w:b/>
        <w:bCs/>
      </w:rPr>
      <w:fldChar w:fldCharType="begin"/>
    </w:r>
    <w:r w:rsidRPr="009770E7">
      <w:rPr>
        <w:b/>
        <w:bCs/>
        <w:lang w:val="en-US"/>
      </w:rPr>
      <w:instrText>styleref href</w:instrText>
    </w:r>
    <w:r w:rsidRPr="009770E7">
      <w:rPr>
        <w:b/>
        <w:bCs/>
      </w:rPr>
      <w:fldChar w:fldCharType="separate"/>
    </w:r>
    <w:r w:rsidR="00F108F0">
      <w:rPr>
        <w:b/>
        <w:bCs/>
        <w:noProof/>
        <w:lang w:val="en-US"/>
      </w:rPr>
      <w:t>ITU-R  RS.2455-0</w:t>
    </w:r>
    <w:r w:rsidRPr="009770E7">
      <w:fldChar w:fldCharType="end"/>
    </w:r>
    <w:r w:rsidRPr="009770E7">
      <w:tab/>
    </w:r>
    <w:r w:rsidRPr="009770E7">
      <w:rPr>
        <w:b/>
        <w:bCs/>
      </w:rPr>
      <w:fldChar w:fldCharType="begin"/>
    </w:r>
    <w:r w:rsidRPr="009770E7">
      <w:rPr>
        <w:b/>
        <w:bCs/>
        <w:lang w:val="en-US"/>
      </w:rPr>
      <w:instrText xml:space="preserve"> PAGE </w:instrText>
    </w:r>
    <w:r w:rsidRPr="009770E7">
      <w:rPr>
        <w:b/>
        <w:bCs/>
      </w:rPr>
      <w:fldChar w:fldCharType="separate"/>
    </w:r>
    <w:r w:rsidR="00F108F0">
      <w:rPr>
        <w:b/>
        <w:bCs/>
        <w:noProof/>
        <w:lang w:val="en-US"/>
      </w:rPr>
      <w:t>15</w:t>
    </w:r>
    <w:r w:rsidRPr="009770E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BD" w:rsidRDefault="00CB75BD" w:rsidP="008403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08F0">
      <w:rPr>
        <w:rStyle w:val="PageNumber"/>
        <w:b/>
        <w:bCs/>
        <w:noProof/>
        <w:lang w:val="en-US"/>
      </w:rPr>
      <w:t>20</w:t>
    </w:r>
    <w:r>
      <w:rPr>
        <w:rStyle w:val="PageNumber"/>
        <w:b/>
        <w:bCs/>
      </w:rPr>
      <w:fldChar w:fldCharType="end"/>
    </w:r>
    <w:r>
      <w:rPr>
        <w:lang w:val="en-US"/>
      </w:rPr>
      <w:tab/>
    </w:r>
    <w:r>
      <w:fldChar w:fldCharType="begin"/>
    </w:r>
    <w:r w:rsidRPr="00926183">
      <w:rPr>
        <w:lang w:val="en-US"/>
      </w:rPr>
      <w:instrText xml:space="preserve"> DOCPROPERTY "Header 2" \* MERGEFORMAT </w:instrText>
    </w:r>
    <w:r>
      <w:fldChar w:fldCharType="separate"/>
    </w:r>
    <w:r w:rsidRPr="00682FEA">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F108F0">
      <w:rPr>
        <w:b/>
        <w:bCs/>
        <w:noProof/>
        <w:lang w:val="en-US"/>
      </w:rPr>
      <w:t>ITU-R  RS.2455-0</w:t>
    </w:r>
    <w:r w:rsidRPr="00186C0C">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5BD" w:rsidRPr="00186C0C" w:rsidRDefault="00CB75BD" w:rsidP="00186C0C">
    <w:pPr>
      <w:pStyle w:val="Header"/>
      <w:jc w:val="both"/>
    </w:pPr>
    <w:r w:rsidRPr="00186C0C">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186C0C">
      <w:rPr>
        <w:b/>
        <w:bCs/>
      </w:rPr>
      <w:t xml:space="preserve"> </w:t>
    </w:r>
    <w:r w:rsidRPr="00186C0C">
      <w:rPr>
        <w:b/>
        <w:bCs/>
      </w:rPr>
      <w:fldChar w:fldCharType="begin"/>
    </w:r>
    <w:r w:rsidRPr="00186C0C">
      <w:rPr>
        <w:b/>
        <w:bCs/>
        <w:lang w:val="en-US"/>
      </w:rPr>
      <w:instrText>styleref href</w:instrText>
    </w:r>
    <w:r w:rsidRPr="00186C0C">
      <w:rPr>
        <w:b/>
        <w:bCs/>
      </w:rPr>
      <w:fldChar w:fldCharType="separate"/>
    </w:r>
    <w:r w:rsidR="00F108F0">
      <w:rPr>
        <w:b/>
        <w:bCs/>
        <w:noProof/>
        <w:lang w:val="en-US"/>
      </w:rPr>
      <w:t>ITU-R  RS.2455-0</w:t>
    </w:r>
    <w:r w:rsidRPr="00186C0C">
      <w:fldChar w:fldCharType="end"/>
    </w:r>
    <w:r w:rsidRPr="00186C0C">
      <w:tab/>
    </w:r>
    <w:r w:rsidRPr="00186C0C">
      <w:rPr>
        <w:b/>
        <w:bCs/>
      </w:rPr>
      <w:fldChar w:fldCharType="begin"/>
    </w:r>
    <w:r w:rsidRPr="00186C0C">
      <w:rPr>
        <w:b/>
        <w:bCs/>
        <w:lang w:val="en-US"/>
      </w:rPr>
      <w:instrText xml:space="preserve"> PAGE </w:instrText>
    </w:r>
    <w:r w:rsidRPr="00186C0C">
      <w:rPr>
        <w:b/>
        <w:bCs/>
      </w:rPr>
      <w:fldChar w:fldCharType="separate"/>
    </w:r>
    <w:r w:rsidR="00F108F0">
      <w:rPr>
        <w:b/>
        <w:bCs/>
        <w:noProof/>
        <w:lang w:val="en-US"/>
      </w:rPr>
      <w:t>19</w:t>
    </w:r>
    <w:r w:rsidRPr="00186C0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4C7"/>
    <w:rsid w:val="00005884"/>
    <w:rsid w:val="00013002"/>
    <w:rsid w:val="00023E30"/>
    <w:rsid w:val="00050D41"/>
    <w:rsid w:val="00072484"/>
    <w:rsid w:val="00081C0B"/>
    <w:rsid w:val="0009150E"/>
    <w:rsid w:val="00096612"/>
    <w:rsid w:val="000969A5"/>
    <w:rsid w:val="000B7683"/>
    <w:rsid w:val="000B7B53"/>
    <w:rsid w:val="000C0413"/>
    <w:rsid w:val="000C3624"/>
    <w:rsid w:val="000E4FD1"/>
    <w:rsid w:val="000F3C25"/>
    <w:rsid w:val="000F6FC4"/>
    <w:rsid w:val="00100E9C"/>
    <w:rsid w:val="00102934"/>
    <w:rsid w:val="00147110"/>
    <w:rsid w:val="001567BC"/>
    <w:rsid w:val="00181806"/>
    <w:rsid w:val="00186C0C"/>
    <w:rsid w:val="001A5259"/>
    <w:rsid w:val="001C5190"/>
    <w:rsid w:val="001C70F6"/>
    <w:rsid w:val="001C75C0"/>
    <w:rsid w:val="00201545"/>
    <w:rsid w:val="002058CE"/>
    <w:rsid w:val="00205EEB"/>
    <w:rsid w:val="002105C3"/>
    <w:rsid w:val="002165F1"/>
    <w:rsid w:val="00247681"/>
    <w:rsid w:val="002558DC"/>
    <w:rsid w:val="00276D21"/>
    <w:rsid w:val="00280CD5"/>
    <w:rsid w:val="00296D7F"/>
    <w:rsid w:val="00297D43"/>
    <w:rsid w:val="002B32C9"/>
    <w:rsid w:val="002B3CF6"/>
    <w:rsid w:val="002C768A"/>
    <w:rsid w:val="002D1160"/>
    <w:rsid w:val="002D76C4"/>
    <w:rsid w:val="002D77AF"/>
    <w:rsid w:val="003342DC"/>
    <w:rsid w:val="00351573"/>
    <w:rsid w:val="003571CE"/>
    <w:rsid w:val="00357282"/>
    <w:rsid w:val="003614F5"/>
    <w:rsid w:val="00362ED1"/>
    <w:rsid w:val="00377D55"/>
    <w:rsid w:val="00382E8A"/>
    <w:rsid w:val="003B452D"/>
    <w:rsid w:val="003B4EE8"/>
    <w:rsid w:val="003C6718"/>
    <w:rsid w:val="00420DFD"/>
    <w:rsid w:val="004319C1"/>
    <w:rsid w:val="00470E28"/>
    <w:rsid w:val="004720FC"/>
    <w:rsid w:val="004934C5"/>
    <w:rsid w:val="004B477A"/>
    <w:rsid w:val="004F5291"/>
    <w:rsid w:val="00505FB4"/>
    <w:rsid w:val="00517190"/>
    <w:rsid w:val="00526063"/>
    <w:rsid w:val="00556548"/>
    <w:rsid w:val="005600C9"/>
    <w:rsid w:val="00586EF8"/>
    <w:rsid w:val="005A791E"/>
    <w:rsid w:val="005B49AB"/>
    <w:rsid w:val="005B50E7"/>
    <w:rsid w:val="005D3544"/>
    <w:rsid w:val="005E7B4F"/>
    <w:rsid w:val="00607D68"/>
    <w:rsid w:val="006149B1"/>
    <w:rsid w:val="0064233B"/>
    <w:rsid w:val="006612E7"/>
    <w:rsid w:val="00676073"/>
    <w:rsid w:val="00680D2B"/>
    <w:rsid w:val="00681B32"/>
    <w:rsid w:val="00682FEA"/>
    <w:rsid w:val="006A1F02"/>
    <w:rsid w:val="006B7993"/>
    <w:rsid w:val="006C7468"/>
    <w:rsid w:val="006E2037"/>
    <w:rsid w:val="006F2B77"/>
    <w:rsid w:val="00712870"/>
    <w:rsid w:val="007235DA"/>
    <w:rsid w:val="007356D7"/>
    <w:rsid w:val="00743D85"/>
    <w:rsid w:val="0074518F"/>
    <w:rsid w:val="00752FD3"/>
    <w:rsid w:val="00753CF4"/>
    <w:rsid w:val="007565CC"/>
    <w:rsid w:val="00763B9A"/>
    <w:rsid w:val="007A4F79"/>
    <w:rsid w:val="007A6AA8"/>
    <w:rsid w:val="007B203C"/>
    <w:rsid w:val="007C2459"/>
    <w:rsid w:val="00811FBD"/>
    <w:rsid w:val="008310C9"/>
    <w:rsid w:val="00836298"/>
    <w:rsid w:val="00837009"/>
    <w:rsid w:val="00840349"/>
    <w:rsid w:val="00852A34"/>
    <w:rsid w:val="00870342"/>
    <w:rsid w:val="0087251C"/>
    <w:rsid w:val="008815AC"/>
    <w:rsid w:val="008B2CC6"/>
    <w:rsid w:val="008C356F"/>
    <w:rsid w:val="008C7848"/>
    <w:rsid w:val="008D3D8D"/>
    <w:rsid w:val="008E491D"/>
    <w:rsid w:val="008F5F45"/>
    <w:rsid w:val="009030CC"/>
    <w:rsid w:val="00917AF2"/>
    <w:rsid w:val="0092418A"/>
    <w:rsid w:val="00926183"/>
    <w:rsid w:val="00934ED7"/>
    <w:rsid w:val="009474D9"/>
    <w:rsid w:val="009543C3"/>
    <w:rsid w:val="00966E1B"/>
    <w:rsid w:val="0097351A"/>
    <w:rsid w:val="0099106F"/>
    <w:rsid w:val="009A351D"/>
    <w:rsid w:val="009E0E2E"/>
    <w:rsid w:val="009F2D2C"/>
    <w:rsid w:val="00A46B9F"/>
    <w:rsid w:val="00A54559"/>
    <w:rsid w:val="00A6617B"/>
    <w:rsid w:val="00A71FE5"/>
    <w:rsid w:val="00A910CF"/>
    <w:rsid w:val="00AA3AD8"/>
    <w:rsid w:val="00AB0DC8"/>
    <w:rsid w:val="00AC3946"/>
    <w:rsid w:val="00AC3C9F"/>
    <w:rsid w:val="00AD0307"/>
    <w:rsid w:val="00AD26B8"/>
    <w:rsid w:val="00B033C8"/>
    <w:rsid w:val="00B036D9"/>
    <w:rsid w:val="00B257C1"/>
    <w:rsid w:val="00B33425"/>
    <w:rsid w:val="00B44E24"/>
    <w:rsid w:val="00B47809"/>
    <w:rsid w:val="00B54ECC"/>
    <w:rsid w:val="00B55B7D"/>
    <w:rsid w:val="00B567BC"/>
    <w:rsid w:val="00B61918"/>
    <w:rsid w:val="00B714F3"/>
    <w:rsid w:val="00B75A37"/>
    <w:rsid w:val="00BC2A05"/>
    <w:rsid w:val="00BC5D77"/>
    <w:rsid w:val="00BC6FC2"/>
    <w:rsid w:val="00BD3F5C"/>
    <w:rsid w:val="00BE5B84"/>
    <w:rsid w:val="00BF15C3"/>
    <w:rsid w:val="00BF487A"/>
    <w:rsid w:val="00C06FD2"/>
    <w:rsid w:val="00C46BD9"/>
    <w:rsid w:val="00C55258"/>
    <w:rsid w:val="00C728FC"/>
    <w:rsid w:val="00C73560"/>
    <w:rsid w:val="00C7761D"/>
    <w:rsid w:val="00C81A3B"/>
    <w:rsid w:val="00C93B65"/>
    <w:rsid w:val="00CA7678"/>
    <w:rsid w:val="00CB0F14"/>
    <w:rsid w:val="00CB47A0"/>
    <w:rsid w:val="00CB60A4"/>
    <w:rsid w:val="00CB75BD"/>
    <w:rsid w:val="00CD58B5"/>
    <w:rsid w:val="00CD659B"/>
    <w:rsid w:val="00CD7A62"/>
    <w:rsid w:val="00CE4575"/>
    <w:rsid w:val="00CF0D45"/>
    <w:rsid w:val="00CF34B5"/>
    <w:rsid w:val="00D0034D"/>
    <w:rsid w:val="00D069F2"/>
    <w:rsid w:val="00D10CF1"/>
    <w:rsid w:val="00D503C9"/>
    <w:rsid w:val="00D50B43"/>
    <w:rsid w:val="00D516E3"/>
    <w:rsid w:val="00D55B55"/>
    <w:rsid w:val="00D57367"/>
    <w:rsid w:val="00D722EF"/>
    <w:rsid w:val="00D73FBE"/>
    <w:rsid w:val="00D7633A"/>
    <w:rsid w:val="00D8150A"/>
    <w:rsid w:val="00D83331"/>
    <w:rsid w:val="00D84F58"/>
    <w:rsid w:val="00D91F7F"/>
    <w:rsid w:val="00DB4F6A"/>
    <w:rsid w:val="00DF087C"/>
    <w:rsid w:val="00DF214D"/>
    <w:rsid w:val="00DF4176"/>
    <w:rsid w:val="00E039E3"/>
    <w:rsid w:val="00E17240"/>
    <w:rsid w:val="00E1785F"/>
    <w:rsid w:val="00E7610E"/>
    <w:rsid w:val="00E83CDE"/>
    <w:rsid w:val="00E84492"/>
    <w:rsid w:val="00ED683F"/>
    <w:rsid w:val="00F06766"/>
    <w:rsid w:val="00F103A9"/>
    <w:rsid w:val="00F108F0"/>
    <w:rsid w:val="00F20231"/>
    <w:rsid w:val="00F30C9B"/>
    <w:rsid w:val="00F354B1"/>
    <w:rsid w:val="00F545E6"/>
    <w:rsid w:val="00F72869"/>
    <w:rsid w:val="00F77437"/>
    <w:rsid w:val="00F840E2"/>
    <w:rsid w:val="00F90896"/>
    <w:rsid w:val="00FB0E4E"/>
    <w:rsid w:val="00FE79FE"/>
    <w:rsid w:val="00FF237E"/>
    <w:rsid w:val="00FF45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d62a47"/>
      <o:colormenu v:ext="edit" strokecolor="#d62a47"/>
    </o:shapedefaults>
    <o:shapelayout v:ext="edit">
      <o:idmap v:ext="edit" data="1"/>
    </o:shapelayout>
  </w:shapeDefaults>
  <w:decimalSymbol w:val="."/>
  <w:listSeparator w:val=","/>
  <w14:docId w14:val="4B9B6558"/>
  <w15:docId w15:val="{5D5C596C-E94A-46D3-9BE8-A837CFD8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2E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12E7"/>
    <w:pPr>
      <w:keepNext/>
      <w:keepLines/>
      <w:spacing w:before="480"/>
      <w:ind w:left="794" w:hanging="794"/>
      <w:outlineLvl w:val="0"/>
    </w:pPr>
    <w:rPr>
      <w:b/>
    </w:rPr>
  </w:style>
  <w:style w:type="paragraph" w:styleId="Heading2">
    <w:name w:val="heading 2"/>
    <w:basedOn w:val="Heading1"/>
    <w:next w:val="Normal"/>
    <w:link w:val="Heading2Char"/>
    <w:qFormat/>
    <w:rsid w:val="006612E7"/>
    <w:pPr>
      <w:spacing w:before="320"/>
      <w:outlineLvl w:val="1"/>
    </w:pPr>
  </w:style>
  <w:style w:type="paragraph" w:styleId="Heading3">
    <w:name w:val="heading 3"/>
    <w:basedOn w:val="Heading1"/>
    <w:next w:val="Normal"/>
    <w:link w:val="Heading3Char"/>
    <w:qFormat/>
    <w:rsid w:val="006612E7"/>
    <w:pPr>
      <w:spacing w:before="200"/>
      <w:outlineLvl w:val="2"/>
    </w:pPr>
  </w:style>
  <w:style w:type="paragraph" w:styleId="Heading4">
    <w:name w:val="heading 4"/>
    <w:basedOn w:val="Heading3"/>
    <w:next w:val="Normal"/>
    <w:qFormat/>
    <w:rsid w:val="006612E7"/>
    <w:pPr>
      <w:tabs>
        <w:tab w:val="clear" w:pos="794"/>
        <w:tab w:val="left" w:pos="992"/>
      </w:tabs>
      <w:ind w:left="992" w:hanging="992"/>
      <w:outlineLvl w:val="3"/>
    </w:pPr>
  </w:style>
  <w:style w:type="paragraph" w:styleId="Heading5">
    <w:name w:val="heading 5"/>
    <w:basedOn w:val="Heading4"/>
    <w:next w:val="Normal"/>
    <w:qFormat/>
    <w:rsid w:val="006612E7"/>
    <w:pPr>
      <w:outlineLvl w:val="4"/>
    </w:pPr>
  </w:style>
  <w:style w:type="paragraph" w:styleId="Heading6">
    <w:name w:val="heading 6"/>
    <w:basedOn w:val="Heading4"/>
    <w:next w:val="Normal"/>
    <w:qFormat/>
    <w:rsid w:val="006612E7"/>
    <w:pPr>
      <w:tabs>
        <w:tab w:val="clear" w:pos="992"/>
        <w:tab w:val="clear" w:pos="1191"/>
      </w:tabs>
      <w:ind w:left="1588" w:hanging="1588"/>
      <w:outlineLvl w:val="5"/>
    </w:pPr>
  </w:style>
  <w:style w:type="paragraph" w:styleId="Heading7">
    <w:name w:val="heading 7"/>
    <w:basedOn w:val="Heading6"/>
    <w:next w:val="Normal"/>
    <w:qFormat/>
    <w:rsid w:val="006612E7"/>
    <w:pPr>
      <w:outlineLvl w:val="6"/>
    </w:pPr>
  </w:style>
  <w:style w:type="paragraph" w:styleId="Heading8">
    <w:name w:val="heading 8"/>
    <w:basedOn w:val="Heading6"/>
    <w:next w:val="Normal"/>
    <w:qFormat/>
    <w:rsid w:val="006612E7"/>
    <w:pPr>
      <w:outlineLvl w:val="7"/>
    </w:pPr>
  </w:style>
  <w:style w:type="paragraph" w:styleId="Heading9">
    <w:name w:val="heading 9"/>
    <w:basedOn w:val="Heading6"/>
    <w:next w:val="Normal"/>
    <w:qFormat/>
    <w:rsid w:val="006612E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6612E7"/>
    <w:pPr>
      <w:keepNext/>
      <w:keepLines/>
      <w:spacing w:after="280"/>
      <w:jc w:val="center"/>
    </w:pPr>
  </w:style>
  <w:style w:type="paragraph" w:customStyle="1" w:styleId="Blanc">
    <w:name w:val="Blanc"/>
    <w:basedOn w:val="Normal"/>
    <w:next w:val="Tabletext"/>
    <w:rsid w:val="006612E7"/>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6612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6612E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612E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612E7"/>
  </w:style>
  <w:style w:type="paragraph" w:customStyle="1" w:styleId="Headingb">
    <w:name w:val="Heading_b"/>
    <w:basedOn w:val="Heading3"/>
    <w:next w:val="Normal"/>
    <w:rsid w:val="006612E7"/>
    <w:pPr>
      <w:spacing w:before="160"/>
      <w:ind w:left="0" w:firstLine="0"/>
      <w:outlineLvl w:val="9"/>
    </w:pPr>
  </w:style>
  <w:style w:type="paragraph" w:customStyle="1" w:styleId="Headingi">
    <w:name w:val="Heading_i"/>
    <w:basedOn w:val="Heading3"/>
    <w:next w:val="Normal"/>
    <w:rsid w:val="006612E7"/>
    <w:pPr>
      <w:spacing w:before="160"/>
      <w:ind w:left="0" w:firstLine="0"/>
    </w:pPr>
    <w:rPr>
      <w:b w:val="0"/>
      <w:i/>
    </w:rPr>
  </w:style>
  <w:style w:type="character" w:customStyle="1" w:styleId="href">
    <w:name w:val="href"/>
    <w:basedOn w:val="DefaultParagraphFont"/>
    <w:rsid w:val="006612E7"/>
  </w:style>
  <w:style w:type="paragraph" w:customStyle="1" w:styleId="AnnexNoTitle">
    <w:name w:val="Annex_NoTitle"/>
    <w:basedOn w:val="Heading1"/>
    <w:next w:val="Normalaftertitle"/>
    <w:rsid w:val="001C5190"/>
    <w:pPr>
      <w:spacing w:after="80"/>
      <w:ind w:left="0" w:firstLine="0"/>
      <w:jc w:val="center"/>
    </w:pPr>
    <w:rPr>
      <w:sz w:val="28"/>
    </w:rPr>
  </w:style>
  <w:style w:type="paragraph" w:customStyle="1" w:styleId="enumlev1">
    <w:name w:val="enumlev1"/>
    <w:basedOn w:val="Normal"/>
    <w:rsid w:val="006612E7"/>
    <w:pPr>
      <w:spacing w:before="80"/>
      <w:ind w:left="794" w:hanging="794"/>
    </w:pPr>
  </w:style>
  <w:style w:type="paragraph" w:customStyle="1" w:styleId="Equation">
    <w:name w:val="Equation"/>
    <w:basedOn w:val="Normal"/>
    <w:rsid w:val="006612E7"/>
    <w:pPr>
      <w:tabs>
        <w:tab w:val="clear" w:pos="1191"/>
        <w:tab w:val="clear" w:pos="1588"/>
        <w:tab w:val="clear" w:pos="1985"/>
        <w:tab w:val="center" w:pos="4820"/>
        <w:tab w:val="right" w:pos="9639"/>
      </w:tabs>
    </w:pPr>
  </w:style>
  <w:style w:type="paragraph" w:customStyle="1" w:styleId="enumlev2">
    <w:name w:val="enumlev2"/>
    <w:basedOn w:val="enumlev1"/>
    <w:rsid w:val="006612E7"/>
    <w:pPr>
      <w:ind w:left="1191" w:hanging="397"/>
    </w:pPr>
  </w:style>
  <w:style w:type="paragraph" w:styleId="FootnoteText">
    <w:name w:val="footnote text"/>
    <w:basedOn w:val="Normal"/>
    <w:link w:val="FootnoteTextChar"/>
    <w:rsid w:val="006612E7"/>
    <w:pPr>
      <w:keepLines/>
      <w:tabs>
        <w:tab w:val="left" w:pos="255"/>
      </w:tabs>
      <w:ind w:left="255" w:hanging="255"/>
    </w:pPr>
    <w:rPr>
      <w:sz w:val="22"/>
    </w:rPr>
  </w:style>
  <w:style w:type="paragraph" w:customStyle="1" w:styleId="Normalaftertitle">
    <w:name w:val="Normal_after_title"/>
    <w:basedOn w:val="Normal"/>
    <w:next w:val="Normal"/>
    <w:rsid w:val="006612E7"/>
    <w:pPr>
      <w:spacing w:before="320"/>
    </w:pPr>
  </w:style>
  <w:style w:type="paragraph" w:customStyle="1" w:styleId="enumlev3">
    <w:name w:val="enumlev3"/>
    <w:basedOn w:val="enumlev2"/>
    <w:rsid w:val="006612E7"/>
    <w:pPr>
      <w:ind w:left="1588"/>
    </w:pPr>
  </w:style>
  <w:style w:type="paragraph" w:customStyle="1" w:styleId="Note">
    <w:name w:val="Note"/>
    <w:basedOn w:val="Normal"/>
    <w:rsid w:val="006612E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12E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12E7"/>
    <w:pPr>
      <w:keepNext/>
      <w:keepLines/>
      <w:spacing w:before="240"/>
      <w:jc w:val="center"/>
    </w:pPr>
    <w:rPr>
      <w:b/>
      <w:sz w:val="28"/>
    </w:rPr>
  </w:style>
  <w:style w:type="paragraph" w:customStyle="1" w:styleId="Recref">
    <w:name w:val="Rec_ref"/>
    <w:basedOn w:val="Normal"/>
    <w:next w:val="Recdate"/>
    <w:rsid w:val="006612E7"/>
    <w:pPr>
      <w:jc w:val="center"/>
    </w:pPr>
  </w:style>
  <w:style w:type="paragraph" w:customStyle="1" w:styleId="Recdate">
    <w:name w:val="Rec_date"/>
    <w:basedOn w:val="Recref"/>
    <w:next w:val="Normalaftertitle"/>
    <w:rsid w:val="006612E7"/>
    <w:pPr>
      <w:jc w:val="right"/>
    </w:pPr>
  </w:style>
  <w:style w:type="paragraph" w:customStyle="1" w:styleId="HeadingSum">
    <w:name w:val="Heading_Sum"/>
    <w:basedOn w:val="Headingb"/>
    <w:next w:val="Normal"/>
    <w:autoRedefine/>
    <w:rsid w:val="006612E7"/>
    <w:pPr>
      <w:spacing w:before="240"/>
    </w:pPr>
    <w:rPr>
      <w:sz w:val="22"/>
      <w:lang w:val="es-ES_tradnl"/>
    </w:rPr>
  </w:style>
  <w:style w:type="paragraph" w:customStyle="1" w:styleId="AppendixNoTitle">
    <w:name w:val="Appendix_NoTitle"/>
    <w:basedOn w:val="AnnexNoTitle"/>
    <w:next w:val="Normal"/>
    <w:rsid w:val="006612E7"/>
  </w:style>
  <w:style w:type="paragraph" w:customStyle="1" w:styleId="Tablefin">
    <w:name w:val="Table_fin"/>
    <w:basedOn w:val="Normal"/>
    <w:next w:val="Normal"/>
    <w:rsid w:val="006612E7"/>
    <w:pPr>
      <w:spacing w:before="0"/>
    </w:pPr>
    <w:rPr>
      <w:sz w:val="20"/>
      <w:lang w:val="en-GB"/>
    </w:rPr>
  </w:style>
  <w:style w:type="paragraph" w:customStyle="1" w:styleId="Tablehead">
    <w:name w:val="Table_head"/>
    <w:basedOn w:val="Normal"/>
    <w:next w:val="Normal"/>
    <w:rsid w:val="006612E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612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612E7"/>
    <w:pPr>
      <w:keepNext/>
      <w:spacing w:before="360" w:after="120"/>
      <w:jc w:val="center"/>
    </w:pPr>
  </w:style>
  <w:style w:type="paragraph" w:customStyle="1" w:styleId="Equationlegend">
    <w:name w:val="Equation_legend"/>
    <w:basedOn w:val="NormalIndent"/>
    <w:rsid w:val="006612E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12E7"/>
    <w:pPr>
      <w:ind w:left="794"/>
    </w:pPr>
  </w:style>
  <w:style w:type="paragraph" w:customStyle="1" w:styleId="Figurelegend">
    <w:name w:val="Figure_legend"/>
    <w:basedOn w:val="Normal"/>
    <w:rsid w:val="006612E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612E7"/>
    <w:pPr>
      <w:keepNext/>
      <w:keepLines/>
      <w:spacing w:before="480" w:after="80"/>
      <w:jc w:val="center"/>
    </w:pPr>
    <w:rPr>
      <w:caps/>
      <w:sz w:val="18"/>
    </w:rPr>
  </w:style>
  <w:style w:type="paragraph" w:customStyle="1" w:styleId="Figuretitle">
    <w:name w:val="Figure_title"/>
    <w:basedOn w:val="Normal"/>
    <w:next w:val="Figure"/>
    <w:rsid w:val="006612E7"/>
    <w:pPr>
      <w:keepNext/>
      <w:spacing w:before="0" w:after="120"/>
      <w:jc w:val="center"/>
    </w:pPr>
    <w:rPr>
      <w:rFonts w:ascii="Times New Roman Bold" w:hAnsi="Times New Roman Bold"/>
      <w:b/>
      <w:sz w:val="18"/>
    </w:rPr>
  </w:style>
  <w:style w:type="paragraph" w:customStyle="1" w:styleId="Figure">
    <w:name w:val="Figure"/>
    <w:basedOn w:val="FigureNo"/>
    <w:next w:val="Normal"/>
    <w:rsid w:val="006612E7"/>
    <w:pPr>
      <w:keepNext w:val="0"/>
      <w:spacing w:before="0" w:after="240"/>
    </w:pPr>
  </w:style>
  <w:style w:type="paragraph" w:customStyle="1" w:styleId="tocpart">
    <w:name w:val="tocpart"/>
    <w:basedOn w:val="Normal"/>
    <w:rsid w:val="006612E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12E7"/>
    <w:pPr>
      <w:keepNext/>
      <w:keepLines/>
      <w:spacing w:before="480"/>
      <w:jc w:val="center"/>
    </w:pPr>
    <w:rPr>
      <w:sz w:val="28"/>
    </w:rPr>
  </w:style>
  <w:style w:type="paragraph" w:customStyle="1" w:styleId="Arttitle">
    <w:name w:val="Art_title"/>
    <w:basedOn w:val="Normal"/>
    <w:next w:val="Normalaftertitle"/>
    <w:rsid w:val="006612E7"/>
    <w:pPr>
      <w:keepNext/>
      <w:keepLines/>
      <w:spacing w:before="240"/>
      <w:jc w:val="center"/>
    </w:pPr>
    <w:rPr>
      <w:b/>
      <w:sz w:val="28"/>
    </w:rPr>
  </w:style>
  <w:style w:type="paragraph" w:customStyle="1" w:styleId="ASN1">
    <w:name w:val="ASN.1"/>
    <w:basedOn w:val="Normal"/>
    <w:next w:val="Normal"/>
    <w:rsid w:val="006612E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612E7"/>
    <w:pPr>
      <w:keepNext/>
      <w:keepLines/>
      <w:spacing w:before="160"/>
      <w:ind w:left="794"/>
    </w:pPr>
    <w:rPr>
      <w:i/>
    </w:rPr>
  </w:style>
  <w:style w:type="paragraph" w:customStyle="1" w:styleId="ChapNo">
    <w:name w:val="Chap_No"/>
    <w:basedOn w:val="ArtNo"/>
    <w:next w:val="Chaptitle"/>
    <w:rsid w:val="006612E7"/>
    <w:rPr>
      <w:b/>
    </w:rPr>
  </w:style>
  <w:style w:type="character" w:styleId="FootnoteReference">
    <w:name w:val="footnote reference"/>
    <w:basedOn w:val="DefaultParagraphFont"/>
    <w:rsid w:val="006612E7"/>
    <w:rPr>
      <w:position w:val="6"/>
      <w:sz w:val="18"/>
    </w:rPr>
  </w:style>
  <w:style w:type="paragraph" w:styleId="Index1">
    <w:name w:val="index 1"/>
    <w:basedOn w:val="Normal"/>
    <w:next w:val="Normal"/>
    <w:semiHidden/>
    <w:rsid w:val="006612E7"/>
  </w:style>
  <w:style w:type="paragraph" w:styleId="Index2">
    <w:name w:val="index 2"/>
    <w:basedOn w:val="Normal"/>
    <w:next w:val="Normal"/>
    <w:semiHidden/>
    <w:rsid w:val="006612E7"/>
    <w:pPr>
      <w:ind w:left="283"/>
    </w:pPr>
  </w:style>
  <w:style w:type="paragraph" w:styleId="Index3">
    <w:name w:val="index 3"/>
    <w:basedOn w:val="Normal"/>
    <w:next w:val="Normal"/>
    <w:semiHidden/>
    <w:rsid w:val="006612E7"/>
    <w:pPr>
      <w:ind w:left="566"/>
    </w:pPr>
  </w:style>
  <w:style w:type="paragraph" w:styleId="IndexHeading">
    <w:name w:val="index heading"/>
    <w:basedOn w:val="Normal"/>
    <w:next w:val="Index1"/>
    <w:semiHidden/>
    <w:rsid w:val="006612E7"/>
  </w:style>
  <w:style w:type="paragraph" w:customStyle="1" w:styleId="Line">
    <w:name w:val="Line"/>
    <w:basedOn w:val="Normal"/>
    <w:next w:val="Normal"/>
    <w:rsid w:val="006612E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12E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12E7"/>
  </w:style>
  <w:style w:type="paragraph" w:customStyle="1" w:styleId="Partref">
    <w:name w:val="Part_ref"/>
    <w:basedOn w:val="Normal"/>
    <w:next w:val="Normal"/>
    <w:rsid w:val="006612E7"/>
    <w:pPr>
      <w:keepNext/>
      <w:keepLines/>
      <w:spacing w:after="280"/>
      <w:jc w:val="center"/>
    </w:pPr>
  </w:style>
  <w:style w:type="paragraph" w:customStyle="1" w:styleId="Parttitle">
    <w:name w:val="Part_title"/>
    <w:basedOn w:val="Normal"/>
    <w:next w:val="Normalaftertitle"/>
    <w:rsid w:val="006612E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12E7"/>
  </w:style>
  <w:style w:type="paragraph" w:customStyle="1" w:styleId="QuestionNo">
    <w:name w:val="Question_No"/>
    <w:basedOn w:val="RecNo"/>
    <w:next w:val="Normal"/>
    <w:rsid w:val="006612E7"/>
  </w:style>
  <w:style w:type="paragraph" w:customStyle="1" w:styleId="Questionref">
    <w:name w:val="Question_ref"/>
    <w:basedOn w:val="Recref"/>
    <w:next w:val="Questiondate"/>
    <w:rsid w:val="006612E7"/>
  </w:style>
  <w:style w:type="paragraph" w:customStyle="1" w:styleId="Questiontitle">
    <w:name w:val="Question_title"/>
    <w:basedOn w:val="Normal"/>
    <w:next w:val="Questionref"/>
    <w:rsid w:val="006612E7"/>
  </w:style>
  <w:style w:type="paragraph" w:customStyle="1" w:styleId="Reftext">
    <w:name w:val="Ref_text"/>
    <w:basedOn w:val="Normal"/>
    <w:rsid w:val="006612E7"/>
    <w:pPr>
      <w:ind w:left="794" w:hanging="794"/>
    </w:pPr>
    <w:rPr>
      <w:sz w:val="22"/>
    </w:rPr>
  </w:style>
  <w:style w:type="paragraph" w:customStyle="1" w:styleId="Reftitle">
    <w:name w:val="Ref_title"/>
    <w:basedOn w:val="Normal"/>
    <w:next w:val="Reftext"/>
    <w:rsid w:val="006612E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12E7"/>
  </w:style>
  <w:style w:type="paragraph" w:customStyle="1" w:styleId="RepNo">
    <w:name w:val="Rep_No"/>
    <w:basedOn w:val="RecNo"/>
    <w:next w:val="Reptitle"/>
    <w:rsid w:val="006612E7"/>
  </w:style>
  <w:style w:type="paragraph" w:customStyle="1" w:styleId="Reptitle">
    <w:name w:val="Rep_title"/>
    <w:basedOn w:val="Rectitle"/>
    <w:next w:val="Repref"/>
    <w:rsid w:val="006612E7"/>
  </w:style>
  <w:style w:type="paragraph" w:customStyle="1" w:styleId="Repref">
    <w:name w:val="Rep_ref"/>
    <w:basedOn w:val="Recref"/>
    <w:next w:val="Repdate"/>
    <w:rsid w:val="006612E7"/>
  </w:style>
  <w:style w:type="paragraph" w:customStyle="1" w:styleId="Resdate">
    <w:name w:val="Res_date"/>
    <w:basedOn w:val="Recdate"/>
    <w:next w:val="Normalaftertitle"/>
    <w:rsid w:val="006612E7"/>
  </w:style>
  <w:style w:type="paragraph" w:customStyle="1" w:styleId="ResNo">
    <w:name w:val="Res_No"/>
    <w:basedOn w:val="RecNo"/>
    <w:next w:val="Restitle"/>
    <w:rsid w:val="006612E7"/>
  </w:style>
  <w:style w:type="paragraph" w:customStyle="1" w:styleId="Restitle">
    <w:name w:val="Res_title"/>
    <w:basedOn w:val="Normal"/>
    <w:next w:val="Resref"/>
    <w:rsid w:val="006612E7"/>
    <w:pPr>
      <w:spacing w:before="240"/>
      <w:jc w:val="center"/>
    </w:pPr>
    <w:rPr>
      <w:b/>
      <w:sz w:val="28"/>
    </w:rPr>
  </w:style>
  <w:style w:type="paragraph" w:customStyle="1" w:styleId="Resref">
    <w:name w:val="Res_ref"/>
    <w:basedOn w:val="Recref"/>
    <w:next w:val="Resdate"/>
    <w:rsid w:val="006612E7"/>
  </w:style>
  <w:style w:type="paragraph" w:customStyle="1" w:styleId="SectionNo">
    <w:name w:val="Section_No"/>
    <w:basedOn w:val="Normal"/>
    <w:next w:val="Normal"/>
    <w:rsid w:val="006612E7"/>
  </w:style>
  <w:style w:type="paragraph" w:customStyle="1" w:styleId="Sectiontitle">
    <w:name w:val="Section_title"/>
    <w:basedOn w:val="Normal"/>
    <w:next w:val="Normalaftertitle"/>
    <w:rsid w:val="006612E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6612E7"/>
    <w:pPr>
      <w:tabs>
        <w:tab w:val="clear" w:pos="794"/>
        <w:tab w:val="clear" w:pos="1191"/>
        <w:tab w:val="clear" w:pos="1588"/>
        <w:tab w:val="clear" w:pos="1985"/>
        <w:tab w:val="right" w:pos="9611"/>
      </w:tabs>
    </w:pPr>
    <w:rPr>
      <w:i/>
    </w:rPr>
  </w:style>
  <w:style w:type="paragraph" w:styleId="TOC1">
    <w:name w:val="toc 1"/>
    <w:basedOn w:val="Normal"/>
    <w:uiPriority w:val="39"/>
    <w:rsid w:val="006612E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612E7"/>
    <w:pPr>
      <w:tabs>
        <w:tab w:val="clear" w:pos="567"/>
        <w:tab w:val="left" w:pos="1276"/>
      </w:tabs>
      <w:spacing w:before="160"/>
      <w:ind w:left="1276" w:hanging="709"/>
    </w:pPr>
  </w:style>
  <w:style w:type="paragraph" w:styleId="TOC3">
    <w:name w:val="toc 3"/>
    <w:basedOn w:val="TOC2"/>
    <w:semiHidden/>
    <w:rsid w:val="006612E7"/>
    <w:pPr>
      <w:tabs>
        <w:tab w:val="clear" w:pos="1276"/>
        <w:tab w:val="left" w:pos="2155"/>
      </w:tabs>
      <w:ind w:left="2155" w:hanging="879"/>
    </w:pPr>
  </w:style>
  <w:style w:type="paragraph" w:styleId="TOC4">
    <w:name w:val="toc 4"/>
    <w:basedOn w:val="TOC3"/>
    <w:semiHidden/>
    <w:rsid w:val="006612E7"/>
    <w:pPr>
      <w:tabs>
        <w:tab w:val="left" w:pos="3261"/>
      </w:tabs>
      <w:spacing w:before="80"/>
      <w:ind w:left="3261" w:hanging="993"/>
    </w:pPr>
  </w:style>
  <w:style w:type="paragraph" w:styleId="TOC5">
    <w:name w:val="toc 5"/>
    <w:basedOn w:val="TOC4"/>
    <w:semiHidden/>
    <w:rsid w:val="006612E7"/>
  </w:style>
  <w:style w:type="paragraph" w:styleId="TOC6">
    <w:name w:val="toc 6"/>
    <w:basedOn w:val="TOC4"/>
    <w:semiHidden/>
    <w:rsid w:val="006612E7"/>
  </w:style>
  <w:style w:type="paragraph" w:styleId="TOC7">
    <w:name w:val="toc 7"/>
    <w:basedOn w:val="TOC4"/>
    <w:semiHidden/>
    <w:rsid w:val="006612E7"/>
  </w:style>
  <w:style w:type="paragraph" w:styleId="TOC8">
    <w:name w:val="toc 8"/>
    <w:basedOn w:val="TOC4"/>
    <w:semiHidden/>
    <w:rsid w:val="006612E7"/>
  </w:style>
  <w:style w:type="paragraph" w:customStyle="1" w:styleId="Appendixref">
    <w:name w:val="Appendix_ref"/>
    <w:basedOn w:val="Annexref"/>
    <w:next w:val="Normalaftertitle"/>
    <w:rsid w:val="006612E7"/>
  </w:style>
  <w:style w:type="paragraph" w:customStyle="1" w:styleId="Tabletitle">
    <w:name w:val="Table_title"/>
    <w:basedOn w:val="Normal"/>
    <w:next w:val="Tablehead"/>
    <w:rsid w:val="006612E7"/>
    <w:pPr>
      <w:keepNext/>
      <w:spacing w:before="0" w:after="120"/>
      <w:jc w:val="center"/>
    </w:pPr>
    <w:rPr>
      <w:b/>
    </w:rPr>
  </w:style>
  <w:style w:type="paragraph" w:customStyle="1" w:styleId="Summary">
    <w:name w:val="Summary"/>
    <w:basedOn w:val="Normal"/>
    <w:next w:val="Normalaftertitle"/>
    <w:autoRedefine/>
    <w:rsid w:val="006612E7"/>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6612E7"/>
  </w:style>
  <w:style w:type="paragraph" w:customStyle="1" w:styleId="TableLegendNote">
    <w:name w:val="Table_Legend_Note"/>
    <w:basedOn w:val="Tablelegend"/>
    <w:next w:val="Tablelegend"/>
    <w:rsid w:val="006612E7"/>
    <w:pPr>
      <w:ind w:left="-85" w:firstLine="0"/>
    </w:pPr>
    <w:rPr>
      <w:lang w:val="en-US"/>
    </w:rPr>
  </w:style>
  <w:style w:type="character" w:customStyle="1" w:styleId="Heading1Char">
    <w:name w:val="Heading 1 Char"/>
    <w:basedOn w:val="DefaultParagraphFont"/>
    <w:link w:val="Heading1"/>
    <w:rsid w:val="006612E7"/>
    <w:rPr>
      <w:b/>
      <w:sz w:val="24"/>
      <w:lang w:val="fr-FR" w:eastAsia="en-US"/>
    </w:rPr>
  </w:style>
  <w:style w:type="character" w:customStyle="1" w:styleId="FootnoteTextChar">
    <w:name w:val="Footnote Text Char"/>
    <w:basedOn w:val="DefaultParagraphFont"/>
    <w:link w:val="FootnoteText"/>
    <w:rsid w:val="006612E7"/>
    <w:rPr>
      <w:sz w:val="22"/>
      <w:lang w:val="fr-FR" w:eastAsia="en-US"/>
    </w:rPr>
  </w:style>
  <w:style w:type="paragraph" w:customStyle="1" w:styleId="Normalend">
    <w:name w:val="Normal_end"/>
    <w:basedOn w:val="Normal"/>
    <w:next w:val="Normal"/>
    <w:qFormat/>
    <w:rsid w:val="006612E7"/>
    <w:pPr>
      <w:tabs>
        <w:tab w:val="clear" w:pos="794"/>
        <w:tab w:val="clear" w:pos="1191"/>
        <w:tab w:val="clear" w:pos="1588"/>
        <w:tab w:val="clear" w:pos="1985"/>
        <w:tab w:val="left" w:pos="1134"/>
        <w:tab w:val="left" w:pos="1871"/>
        <w:tab w:val="left" w:pos="2268"/>
      </w:tabs>
      <w:jc w:val="left"/>
    </w:pPr>
    <w:rPr>
      <w:lang w:val="en-US"/>
    </w:rPr>
  </w:style>
  <w:style w:type="character" w:customStyle="1" w:styleId="Heading2Char">
    <w:name w:val="Heading 2 Char"/>
    <w:basedOn w:val="DefaultParagraphFont"/>
    <w:link w:val="Heading2"/>
    <w:rsid w:val="006612E7"/>
    <w:rPr>
      <w:b/>
      <w:sz w:val="24"/>
      <w:lang w:val="fr-FR" w:eastAsia="en-US"/>
    </w:rPr>
  </w:style>
  <w:style w:type="character" w:customStyle="1" w:styleId="Heading3Char">
    <w:name w:val="Heading 3 Char"/>
    <w:basedOn w:val="DefaultParagraphFont"/>
    <w:link w:val="Heading3"/>
    <w:rsid w:val="006612E7"/>
    <w:rPr>
      <w:b/>
      <w:sz w:val="24"/>
      <w:lang w:val="fr-FR" w:eastAsia="en-US"/>
    </w:rPr>
  </w:style>
  <w:style w:type="table" w:styleId="TableGrid">
    <w:name w:val="Table Grid"/>
    <w:basedOn w:val="TableNormal"/>
    <w:rsid w:val="006612E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FF45F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6.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eader" Target="header5.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116DB-1671-4EB4-9EB4-ADDC373F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136</TotalTime>
  <Pages>27</Pages>
  <Words>7134</Words>
  <Characters>40210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47250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Gomez, Yoanni</cp:lastModifiedBy>
  <cp:revision>34</cp:revision>
  <cp:lastPrinted>2019-07-24T09:06:00Z</cp:lastPrinted>
  <dcterms:created xsi:type="dcterms:W3CDTF">2019-07-24T08:50:00Z</dcterms:created>
  <dcterms:modified xsi:type="dcterms:W3CDTF">2019-07-24T13:17:00Z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