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3D96" w14:textId="77777777" w:rsidR="00FE79FE" w:rsidRPr="00B02693" w:rsidRDefault="00FE79FE"/>
    <w:p w14:paraId="127A916A" w14:textId="77777777" w:rsidR="00013002" w:rsidRPr="00B02693" w:rsidRDefault="00013002" w:rsidP="00DE5556">
      <w:pPr>
        <w:tabs>
          <w:tab w:val="clear" w:pos="794"/>
          <w:tab w:val="clear" w:pos="1191"/>
          <w:tab w:val="clear" w:pos="1588"/>
          <w:tab w:val="clear" w:pos="1985"/>
        </w:tabs>
      </w:pPr>
    </w:p>
    <w:p w14:paraId="032954F8" w14:textId="393F8161" w:rsidR="00D5024B" w:rsidRPr="00B02693" w:rsidRDefault="00E97A57" w:rsidP="00D5024B">
      <w:pPr>
        <w:pStyle w:val="CoverNumber"/>
        <w:rPr>
          <w:lang w:val="en-GB"/>
        </w:rPr>
      </w:pPr>
      <w:r w:rsidRPr="00B02693">
        <w:rPr>
          <w:lang w:val="en-GB"/>
        </w:rPr>
        <w:t xml:space="preserve">Report ITU-R </w:t>
      </w:r>
      <w:r w:rsidR="006B56A3" w:rsidRPr="00B02693">
        <w:rPr>
          <w:lang w:val="en-GB"/>
        </w:rPr>
        <w:t>M</w:t>
      </w:r>
      <w:r w:rsidRPr="00B02693">
        <w:rPr>
          <w:lang w:val="en-GB"/>
        </w:rPr>
        <w:t>.</w:t>
      </w:r>
      <w:r w:rsidR="001C30B1" w:rsidRPr="00B02693">
        <w:rPr>
          <w:lang w:val="en-GB"/>
        </w:rPr>
        <w:t>254</w:t>
      </w:r>
      <w:r w:rsidR="0079744B" w:rsidRPr="00B02693">
        <w:rPr>
          <w:lang w:val="en-GB"/>
        </w:rPr>
        <w:t>3</w:t>
      </w:r>
      <w:r w:rsidR="001C30B1" w:rsidRPr="00B02693">
        <w:rPr>
          <w:lang w:val="en-GB"/>
        </w:rPr>
        <w:t>-0</w:t>
      </w:r>
    </w:p>
    <w:p w14:paraId="63AD702E" w14:textId="643CE78A" w:rsidR="00D5024B" w:rsidRPr="00B02693" w:rsidRDefault="00D5024B" w:rsidP="00815356">
      <w:pPr>
        <w:pStyle w:val="CoverDate"/>
      </w:pPr>
      <w:r w:rsidRPr="00B02693">
        <w:t>(</w:t>
      </w:r>
      <w:r w:rsidR="0079744B" w:rsidRPr="00B02693">
        <w:t>11</w:t>
      </w:r>
      <w:r w:rsidRPr="00B02693">
        <w:t>/</w:t>
      </w:r>
      <w:r w:rsidR="001C30B1" w:rsidRPr="00B02693">
        <w:t>2024</w:t>
      </w:r>
      <w:r w:rsidRPr="00B02693">
        <w:t>)</w:t>
      </w:r>
    </w:p>
    <w:p w14:paraId="0FB5767F" w14:textId="77777777" w:rsidR="00D5024B" w:rsidRPr="00B02693" w:rsidRDefault="006B56A3" w:rsidP="00D5024B">
      <w:pPr>
        <w:pStyle w:val="CoverSeries"/>
        <w:rPr>
          <w:lang w:val="en-GB"/>
        </w:rPr>
      </w:pPr>
      <w:r w:rsidRPr="00B02693">
        <w:rPr>
          <w:lang w:val="en-GB"/>
        </w:rPr>
        <w:t>M</w:t>
      </w:r>
      <w:r w:rsidR="00E97A57" w:rsidRPr="00B02693">
        <w:rPr>
          <w:lang w:val="en-GB"/>
        </w:rPr>
        <w:t xml:space="preserve"> Series: </w:t>
      </w:r>
      <w:r w:rsidRPr="00B02693">
        <w:rPr>
          <w:bCs w:val="0"/>
          <w:iCs/>
          <w:lang w:val="en-GB"/>
        </w:rPr>
        <w:t>Mobile, radiodetermination, amateur</w:t>
      </w:r>
      <w:r w:rsidRPr="00B02693">
        <w:rPr>
          <w:bCs w:val="0"/>
          <w:iCs/>
          <w:lang w:val="en-GB"/>
        </w:rPr>
        <w:br/>
        <w:t>and related satellite services</w:t>
      </w:r>
    </w:p>
    <w:p w14:paraId="3F8FB230" w14:textId="065EC999" w:rsidR="00D5024B" w:rsidRPr="00B02693" w:rsidRDefault="000F2B5A" w:rsidP="00E97A57">
      <w:pPr>
        <w:pStyle w:val="CoverTitle"/>
        <w:rPr>
          <w:lang w:val="en-GB"/>
        </w:rPr>
      </w:pPr>
      <w:r w:rsidRPr="00B02693">
        <w:rPr>
          <w:lang w:val="en-GB"/>
        </w:rPr>
        <w:t>Outcome of the evaluation, consensus building and decision of the IMT</w:t>
      </w:r>
      <w:r w:rsidR="001A43C6">
        <w:rPr>
          <w:lang w:val="en-GB"/>
        </w:rPr>
        <w:t>-</w:t>
      </w:r>
      <w:r w:rsidRPr="00B02693">
        <w:rPr>
          <w:lang w:val="en-GB"/>
        </w:rPr>
        <w:t xml:space="preserve">2020 </w:t>
      </w:r>
      <w:r w:rsidRPr="00B02693">
        <w:rPr>
          <w:rFonts w:eastAsia="Malgun Gothic"/>
          <w:lang w:val="en-GB" w:eastAsia="ko-KR"/>
        </w:rPr>
        <w:t xml:space="preserve">satellite </w:t>
      </w:r>
      <w:r w:rsidRPr="00B02693">
        <w:rPr>
          <w:lang w:val="en-GB"/>
        </w:rPr>
        <w:t xml:space="preserve">process (Steps 4 to 7), including characteristics of IMT-2020 </w:t>
      </w:r>
      <w:r w:rsidRPr="00B02693">
        <w:rPr>
          <w:rFonts w:eastAsia="Malgun Gothic"/>
          <w:lang w:val="en-GB" w:eastAsia="ko-KR"/>
        </w:rPr>
        <w:t xml:space="preserve">satellite </w:t>
      </w:r>
      <w:r w:rsidRPr="00B02693">
        <w:rPr>
          <w:lang w:val="en-GB"/>
        </w:rPr>
        <w:t>radio interfaces</w:t>
      </w:r>
    </w:p>
    <w:p w14:paraId="3957BE48" w14:textId="77777777" w:rsidR="00A71FE5" w:rsidRPr="00B02693" w:rsidRDefault="00A71FE5" w:rsidP="005373E0"/>
    <w:p w14:paraId="762BA62C" w14:textId="77777777" w:rsidR="00EE47C4" w:rsidRPr="00B02693" w:rsidRDefault="00EE47C4" w:rsidP="005373E0">
      <w:pPr>
        <w:sectPr w:rsidR="00EE47C4" w:rsidRPr="00B02693"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392D3E8" w14:textId="77777777" w:rsidR="00B975C4" w:rsidRPr="00B02693"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240" w:after="0"/>
        <w:rPr>
          <w:bCs/>
          <w:sz w:val="24"/>
          <w:szCs w:val="24"/>
        </w:rPr>
      </w:pPr>
      <w:bookmarkStart w:id="0" w:name="c2tope"/>
      <w:bookmarkEnd w:id="0"/>
      <w:r w:rsidRPr="00B02693">
        <w:rPr>
          <w:bCs/>
          <w:sz w:val="24"/>
          <w:szCs w:val="24"/>
        </w:rPr>
        <w:lastRenderedPageBreak/>
        <w:t>Foreword</w:t>
      </w:r>
    </w:p>
    <w:p w14:paraId="32D830BE" w14:textId="77777777" w:rsidR="00B975C4" w:rsidRPr="00B02693" w:rsidRDefault="00B975C4" w:rsidP="00B975C4">
      <w:pPr>
        <w:spacing w:before="240"/>
        <w:rPr>
          <w:sz w:val="20"/>
        </w:rPr>
      </w:pPr>
      <w:r w:rsidRPr="00B02693">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2AD2AB1D" w14:textId="77777777" w:rsidR="00B975C4" w:rsidRPr="00B02693" w:rsidRDefault="00B975C4" w:rsidP="00B975C4">
      <w:pPr>
        <w:rPr>
          <w:sz w:val="20"/>
        </w:rPr>
      </w:pPr>
      <w:r w:rsidRPr="00B02693">
        <w:rPr>
          <w:sz w:val="20"/>
        </w:rPr>
        <w:t>The regulatory and policy functions of the Radiocommunication Sector are performed by World and Regional Radiocommunication Conferences and Radiocommunication Assemblies supported by Study Groups.</w:t>
      </w:r>
    </w:p>
    <w:p w14:paraId="6EFB32F3" w14:textId="77777777" w:rsidR="00B975C4" w:rsidRPr="00B02693" w:rsidRDefault="00B975C4" w:rsidP="00B975C4">
      <w:pPr>
        <w:pStyle w:val="Heading1"/>
        <w:spacing w:before="400"/>
        <w:jc w:val="center"/>
        <w:rPr>
          <w:szCs w:val="24"/>
        </w:rPr>
      </w:pPr>
    </w:p>
    <w:p w14:paraId="35DE960E" w14:textId="77777777" w:rsidR="00B975C4" w:rsidRPr="00B02693" w:rsidRDefault="00B975C4" w:rsidP="00B975C4">
      <w:pPr>
        <w:pStyle w:val="Heading1"/>
        <w:spacing w:before="540"/>
        <w:jc w:val="center"/>
        <w:rPr>
          <w:szCs w:val="24"/>
        </w:rPr>
      </w:pPr>
      <w:bookmarkStart w:id="1" w:name="_Toc182391766"/>
      <w:r w:rsidRPr="00B02693">
        <w:rPr>
          <w:szCs w:val="24"/>
        </w:rPr>
        <w:t>Policy on Intellectual Property Right (IPR)</w:t>
      </w:r>
      <w:bookmarkEnd w:id="1"/>
    </w:p>
    <w:p w14:paraId="372F61A4" w14:textId="766CA1E0" w:rsidR="00B975C4" w:rsidRPr="00B02693" w:rsidRDefault="00B975C4" w:rsidP="00B975C4">
      <w:pPr>
        <w:tabs>
          <w:tab w:val="left" w:pos="720"/>
        </w:tabs>
        <w:spacing w:before="240"/>
        <w:rPr>
          <w:sz w:val="20"/>
        </w:rPr>
      </w:pPr>
      <w:r w:rsidRPr="00B02693">
        <w:rPr>
          <w:sz w:val="20"/>
        </w:rPr>
        <w:t>ITU-R policy on IPR is described in the Common Patent Policy for ITU-T/ITU-R/ISO/IEC referenced in Resolution ITU</w:t>
      </w:r>
      <w:r w:rsidR="006F003F" w:rsidRPr="00B02693">
        <w:rPr>
          <w:sz w:val="20"/>
        </w:rPr>
        <w:noBreakHyphen/>
      </w:r>
      <w:r w:rsidRPr="00B02693">
        <w:rPr>
          <w:sz w:val="20"/>
        </w:rPr>
        <w:t xml:space="preserve">R 1. Forms to be used for the submission of patent statements and licensing declarations by patent holders are available from </w:t>
      </w:r>
      <w:hyperlink r:id="rId11" w:history="1">
        <w:r w:rsidR="007525FB" w:rsidRPr="0047754F">
          <w:rPr>
            <w:rStyle w:val="Hyperlink"/>
            <w:sz w:val="20"/>
          </w:rPr>
          <w:t>https://www.itu.int/ITU-R/go/patents/en</w:t>
        </w:r>
      </w:hyperlink>
      <w:r w:rsidRPr="00B02693">
        <w:rPr>
          <w:sz w:val="20"/>
        </w:rPr>
        <w:t xml:space="preserve"> where the Guidelines for Implementation of the Common Patent Policy for ITU</w:t>
      </w:r>
      <w:r w:rsidRPr="00B02693">
        <w:rPr>
          <w:sz w:val="20"/>
        </w:rPr>
        <w:noBreakHyphen/>
        <w:t>T/ITU</w:t>
      </w:r>
      <w:r w:rsidRPr="00B02693">
        <w:rPr>
          <w:sz w:val="20"/>
        </w:rPr>
        <w:noBreakHyphen/>
        <w:t xml:space="preserve">R/ISO/IEC and the ITU-R patent information database can also be found. </w:t>
      </w:r>
    </w:p>
    <w:p w14:paraId="2FC1A027" w14:textId="77777777" w:rsidR="00B975C4" w:rsidRPr="00B02693" w:rsidRDefault="00B975C4" w:rsidP="00B975C4">
      <w:pPr>
        <w:jc w:val="center"/>
        <w:rPr>
          <w:sz w:val="22"/>
        </w:rPr>
      </w:pPr>
    </w:p>
    <w:p w14:paraId="3229CE43" w14:textId="77777777" w:rsidR="00B975C4" w:rsidRPr="00B02693" w:rsidRDefault="00B975C4" w:rsidP="00B975C4">
      <w:pPr>
        <w:jc w:val="center"/>
        <w:rPr>
          <w:sz w:val="22"/>
        </w:rPr>
      </w:pPr>
    </w:p>
    <w:p w14:paraId="08DAAEDE" w14:textId="77777777" w:rsidR="00B975C4" w:rsidRPr="00B02693" w:rsidRDefault="00B975C4" w:rsidP="00B975C4">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B975C4" w:rsidRPr="00B02693" w14:paraId="0DCD7FE2" w14:textId="77777777" w:rsidTr="00B975C4">
        <w:tc>
          <w:tcPr>
            <w:tcW w:w="9360" w:type="dxa"/>
            <w:gridSpan w:val="2"/>
            <w:tcBorders>
              <w:top w:val="single" w:sz="12" w:space="0" w:color="000080"/>
              <w:left w:val="single" w:sz="12" w:space="0" w:color="000080"/>
              <w:bottom w:val="nil"/>
              <w:right w:val="single" w:sz="12" w:space="0" w:color="000080"/>
            </w:tcBorders>
          </w:tcPr>
          <w:p w14:paraId="48733BE9" w14:textId="77777777" w:rsidR="00B975C4" w:rsidRPr="00B02693" w:rsidRDefault="00B975C4" w:rsidP="000B4BD9">
            <w:pPr>
              <w:pStyle w:val="ChapNo"/>
              <w:spacing w:before="240"/>
              <w:rPr>
                <w:sz w:val="22"/>
                <w:szCs w:val="22"/>
              </w:rPr>
            </w:pPr>
            <w:r w:rsidRPr="00B02693">
              <w:rPr>
                <w:sz w:val="22"/>
                <w:szCs w:val="22"/>
              </w:rPr>
              <w:t xml:space="preserve">Series of ITU-R Reports </w:t>
            </w:r>
          </w:p>
          <w:p w14:paraId="07CE3B81" w14:textId="77777777" w:rsidR="00B975C4" w:rsidRPr="00B02693" w:rsidRDefault="00B975C4" w:rsidP="000B4BD9">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18"/>
                <w:szCs w:val="18"/>
              </w:rPr>
            </w:pPr>
            <w:r w:rsidRPr="00B02693">
              <w:rPr>
                <w:b w:val="0"/>
                <w:sz w:val="18"/>
                <w:szCs w:val="18"/>
              </w:rPr>
              <w:t xml:space="preserve">(Also available online at </w:t>
            </w:r>
            <w:hyperlink r:id="rId12" w:history="1">
              <w:r w:rsidR="00892092" w:rsidRPr="00B02693">
                <w:rPr>
                  <w:rStyle w:val="Hyperlink"/>
                  <w:b w:val="0"/>
                  <w:bCs/>
                  <w:sz w:val="18"/>
                  <w:szCs w:val="18"/>
                </w:rPr>
                <w:t>https://www.itu.int/publ/R-REP/en</w:t>
              </w:r>
            </w:hyperlink>
            <w:r w:rsidRPr="00B02693">
              <w:rPr>
                <w:b w:val="0"/>
                <w:sz w:val="18"/>
                <w:szCs w:val="18"/>
              </w:rPr>
              <w:t>)</w:t>
            </w:r>
          </w:p>
        </w:tc>
      </w:tr>
      <w:tr w:rsidR="00B975C4" w:rsidRPr="00B02693" w14:paraId="091D3F6B" w14:textId="77777777" w:rsidTr="00B975C4">
        <w:tc>
          <w:tcPr>
            <w:tcW w:w="1140" w:type="dxa"/>
            <w:tcBorders>
              <w:top w:val="nil"/>
              <w:left w:val="single" w:sz="12" w:space="0" w:color="000080"/>
              <w:bottom w:val="nil"/>
              <w:right w:val="nil"/>
            </w:tcBorders>
            <w:vAlign w:val="bottom"/>
          </w:tcPr>
          <w:p w14:paraId="1FAFC789" w14:textId="77777777" w:rsidR="00B975C4" w:rsidRPr="00B02693" w:rsidRDefault="00B975C4" w:rsidP="00B975C4">
            <w:pPr>
              <w:spacing w:before="200" w:after="100"/>
              <w:ind w:left="57"/>
              <w:jc w:val="left"/>
              <w:rPr>
                <w:b/>
                <w:bCs/>
                <w:sz w:val="20"/>
              </w:rPr>
            </w:pPr>
            <w:r w:rsidRPr="00B02693">
              <w:rPr>
                <w:b/>
                <w:bCs/>
                <w:sz w:val="20"/>
              </w:rPr>
              <w:t>Series</w:t>
            </w:r>
          </w:p>
        </w:tc>
        <w:tc>
          <w:tcPr>
            <w:tcW w:w="8220" w:type="dxa"/>
            <w:tcBorders>
              <w:top w:val="nil"/>
              <w:left w:val="nil"/>
              <w:bottom w:val="nil"/>
              <w:right w:val="single" w:sz="12" w:space="0" w:color="000080"/>
            </w:tcBorders>
            <w:vAlign w:val="bottom"/>
          </w:tcPr>
          <w:p w14:paraId="3586A2B8" w14:textId="77777777" w:rsidR="00B975C4" w:rsidRPr="00B02693" w:rsidRDefault="00B975C4" w:rsidP="00B975C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rPr>
                <w:bCs/>
                <w:sz w:val="20"/>
              </w:rPr>
            </w:pPr>
            <w:r w:rsidRPr="00B02693">
              <w:rPr>
                <w:bCs/>
                <w:sz w:val="20"/>
              </w:rPr>
              <w:t>Title</w:t>
            </w:r>
          </w:p>
        </w:tc>
      </w:tr>
      <w:tr w:rsidR="00B975C4" w:rsidRPr="00B02693" w14:paraId="194AF15A" w14:textId="77777777" w:rsidTr="00BF5DBE">
        <w:tc>
          <w:tcPr>
            <w:tcW w:w="1140" w:type="dxa"/>
            <w:tcBorders>
              <w:top w:val="nil"/>
              <w:left w:val="single" w:sz="12" w:space="0" w:color="000080"/>
              <w:bottom w:val="nil"/>
              <w:right w:val="nil"/>
            </w:tcBorders>
            <w:shd w:val="clear" w:color="auto" w:fill="auto"/>
          </w:tcPr>
          <w:p w14:paraId="4216A5CA"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BO</w:t>
            </w:r>
          </w:p>
        </w:tc>
        <w:tc>
          <w:tcPr>
            <w:tcW w:w="8220" w:type="dxa"/>
            <w:tcBorders>
              <w:top w:val="nil"/>
              <w:left w:val="nil"/>
              <w:bottom w:val="nil"/>
              <w:right w:val="single" w:sz="12" w:space="0" w:color="000080"/>
            </w:tcBorders>
            <w:shd w:val="clear" w:color="auto" w:fill="auto"/>
          </w:tcPr>
          <w:p w14:paraId="79E31FE1" w14:textId="77777777" w:rsidR="00B975C4" w:rsidRPr="00B02693" w:rsidRDefault="00B975C4" w:rsidP="00BD3887">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rPr>
            </w:pPr>
            <w:r w:rsidRPr="00B02693">
              <w:rPr>
                <w:b w:val="0"/>
                <w:sz w:val="20"/>
              </w:rPr>
              <w:t>Satellite delivery</w:t>
            </w:r>
          </w:p>
        </w:tc>
      </w:tr>
      <w:tr w:rsidR="00B975C4" w:rsidRPr="00B02693" w14:paraId="5171BA65" w14:textId="77777777" w:rsidTr="00D606E1">
        <w:tc>
          <w:tcPr>
            <w:tcW w:w="1140" w:type="dxa"/>
            <w:tcBorders>
              <w:top w:val="nil"/>
              <w:left w:val="single" w:sz="12" w:space="0" w:color="000080"/>
              <w:bottom w:val="nil"/>
              <w:right w:val="nil"/>
            </w:tcBorders>
            <w:shd w:val="clear" w:color="auto" w:fill="FFFFFF" w:themeFill="background1"/>
          </w:tcPr>
          <w:p w14:paraId="6B19D1D9" w14:textId="77777777" w:rsidR="00B975C4" w:rsidRPr="00B02693" w:rsidRDefault="00B975C4" w:rsidP="000B4BD9">
            <w:pPr>
              <w:spacing w:before="30" w:after="30"/>
              <w:ind w:left="57"/>
              <w:jc w:val="left"/>
              <w:rPr>
                <w:b/>
                <w:bCs/>
                <w:color w:val="000080"/>
                <w:sz w:val="20"/>
              </w:rPr>
            </w:pPr>
            <w:r w:rsidRPr="00B02693">
              <w:rPr>
                <w:rFonts w:ascii="Times New Roman Bold" w:hAnsi="Times New Roman Bold" w:cs="Times New Roman Bold"/>
                <w:b/>
                <w:bCs/>
                <w:sz w:val="20"/>
              </w:rPr>
              <w:t>BR</w:t>
            </w:r>
          </w:p>
        </w:tc>
        <w:tc>
          <w:tcPr>
            <w:tcW w:w="8220" w:type="dxa"/>
            <w:tcBorders>
              <w:top w:val="nil"/>
              <w:left w:val="nil"/>
              <w:bottom w:val="nil"/>
              <w:right w:val="single" w:sz="12" w:space="0" w:color="000080"/>
            </w:tcBorders>
            <w:shd w:val="clear" w:color="auto" w:fill="FFFFFF" w:themeFill="background1"/>
          </w:tcPr>
          <w:p w14:paraId="58946EF6" w14:textId="77777777" w:rsidR="00B975C4" w:rsidRPr="00B02693" w:rsidRDefault="00B975C4" w:rsidP="00D606E1">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color w:val="000080"/>
                <w:sz w:val="20"/>
              </w:rPr>
            </w:pPr>
            <w:r w:rsidRPr="00B02693">
              <w:rPr>
                <w:b w:val="0"/>
                <w:sz w:val="20"/>
              </w:rPr>
              <w:t>Recording for production, archival and play-out; film for television</w:t>
            </w:r>
          </w:p>
        </w:tc>
      </w:tr>
      <w:tr w:rsidR="00B975C4" w:rsidRPr="00B02693" w14:paraId="3FDD2953" w14:textId="77777777" w:rsidTr="00F06F93">
        <w:tc>
          <w:tcPr>
            <w:tcW w:w="1140" w:type="dxa"/>
            <w:tcBorders>
              <w:top w:val="nil"/>
              <w:left w:val="single" w:sz="12" w:space="0" w:color="000080"/>
              <w:bottom w:val="nil"/>
              <w:right w:val="nil"/>
            </w:tcBorders>
            <w:shd w:val="clear" w:color="auto" w:fill="FFFFFF" w:themeFill="background1"/>
          </w:tcPr>
          <w:p w14:paraId="1308852B"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BS</w:t>
            </w:r>
          </w:p>
        </w:tc>
        <w:tc>
          <w:tcPr>
            <w:tcW w:w="8220" w:type="dxa"/>
            <w:tcBorders>
              <w:top w:val="nil"/>
              <w:left w:val="nil"/>
              <w:bottom w:val="nil"/>
              <w:right w:val="single" w:sz="12" w:space="0" w:color="000080"/>
            </w:tcBorders>
            <w:shd w:val="clear" w:color="auto" w:fill="FFFFFF" w:themeFill="background1"/>
          </w:tcPr>
          <w:p w14:paraId="48E9793E" w14:textId="77777777" w:rsidR="00B975C4" w:rsidRPr="00B02693" w:rsidRDefault="00B975C4" w:rsidP="00D606E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bCs/>
                <w:color w:val="000080"/>
                <w:sz w:val="20"/>
              </w:rPr>
            </w:pPr>
            <w:r w:rsidRPr="00B02693">
              <w:rPr>
                <w:sz w:val="20"/>
              </w:rPr>
              <w:t>Broadcasting service (sound)</w:t>
            </w:r>
          </w:p>
        </w:tc>
      </w:tr>
      <w:tr w:rsidR="00B975C4" w:rsidRPr="00B02693" w14:paraId="53751D9B" w14:textId="77777777" w:rsidTr="000C0798">
        <w:tc>
          <w:tcPr>
            <w:tcW w:w="1140" w:type="dxa"/>
            <w:tcBorders>
              <w:top w:val="nil"/>
              <w:left w:val="single" w:sz="12" w:space="0" w:color="000080"/>
              <w:bottom w:val="nil"/>
              <w:right w:val="nil"/>
            </w:tcBorders>
            <w:shd w:val="clear" w:color="auto" w:fill="FFFFFF" w:themeFill="background1"/>
          </w:tcPr>
          <w:p w14:paraId="22871AEA" w14:textId="77777777" w:rsidR="00B975C4" w:rsidRPr="00B02693" w:rsidRDefault="00B975C4" w:rsidP="006B56A3">
            <w:pPr>
              <w:spacing w:before="30" w:after="30"/>
              <w:ind w:left="57"/>
              <w:jc w:val="left"/>
              <w:rPr>
                <w:sz w:val="20"/>
              </w:rPr>
            </w:pPr>
            <w:r w:rsidRPr="00B02693">
              <w:rPr>
                <w:rFonts w:ascii="Times New Roman Bold" w:hAnsi="Times New Roman Bold" w:cs="Times New Roman Bold"/>
                <w:b/>
                <w:bCs/>
                <w:sz w:val="20"/>
              </w:rPr>
              <w:t>BT</w:t>
            </w:r>
          </w:p>
        </w:tc>
        <w:tc>
          <w:tcPr>
            <w:tcW w:w="8220" w:type="dxa"/>
            <w:tcBorders>
              <w:top w:val="nil"/>
              <w:left w:val="nil"/>
              <w:bottom w:val="nil"/>
              <w:right w:val="single" w:sz="12" w:space="0" w:color="000080"/>
            </w:tcBorders>
            <w:shd w:val="clear" w:color="auto" w:fill="FFFFFF" w:themeFill="background1"/>
          </w:tcPr>
          <w:p w14:paraId="34203A9B" w14:textId="77777777" w:rsidR="00B975C4" w:rsidRPr="00B02693" w:rsidRDefault="00B975C4" w:rsidP="000C0798">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Broadcasting service (television)</w:t>
            </w:r>
          </w:p>
        </w:tc>
      </w:tr>
      <w:tr w:rsidR="00B975C4" w:rsidRPr="00B02693" w14:paraId="3E9AF33A" w14:textId="77777777" w:rsidTr="006B56A3">
        <w:tc>
          <w:tcPr>
            <w:tcW w:w="1140" w:type="dxa"/>
            <w:tcBorders>
              <w:top w:val="nil"/>
              <w:left w:val="single" w:sz="12" w:space="0" w:color="000080"/>
              <w:bottom w:val="nil"/>
              <w:right w:val="nil"/>
            </w:tcBorders>
            <w:shd w:val="clear" w:color="auto" w:fill="FFFFFF" w:themeFill="background1"/>
          </w:tcPr>
          <w:p w14:paraId="4EFDA038" w14:textId="77777777" w:rsidR="00B975C4" w:rsidRPr="00B02693" w:rsidRDefault="00B975C4" w:rsidP="000B4BD9">
            <w:pPr>
              <w:spacing w:before="30" w:after="30"/>
              <w:ind w:left="57"/>
              <w:jc w:val="left"/>
              <w:rPr>
                <w:b/>
                <w:bCs/>
                <w:sz w:val="20"/>
              </w:rPr>
            </w:pPr>
            <w:r w:rsidRPr="00B02693">
              <w:rPr>
                <w:b/>
                <w:bCs/>
                <w:sz w:val="20"/>
              </w:rPr>
              <w:t>F</w:t>
            </w:r>
          </w:p>
        </w:tc>
        <w:tc>
          <w:tcPr>
            <w:tcW w:w="8220" w:type="dxa"/>
            <w:tcBorders>
              <w:top w:val="nil"/>
              <w:left w:val="nil"/>
              <w:bottom w:val="nil"/>
              <w:right w:val="single" w:sz="12" w:space="0" w:color="000080"/>
            </w:tcBorders>
            <w:shd w:val="clear" w:color="auto" w:fill="FFFFFF" w:themeFill="background1"/>
          </w:tcPr>
          <w:p w14:paraId="72F8672C" w14:textId="77777777" w:rsidR="00B975C4" w:rsidRPr="00B02693"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Fixed service</w:t>
            </w:r>
          </w:p>
        </w:tc>
      </w:tr>
      <w:tr w:rsidR="00B975C4" w:rsidRPr="00B02693" w14:paraId="284FE422" w14:textId="77777777" w:rsidTr="006B56A3">
        <w:tc>
          <w:tcPr>
            <w:tcW w:w="1140" w:type="dxa"/>
            <w:tcBorders>
              <w:top w:val="nil"/>
              <w:left w:val="single" w:sz="12" w:space="0" w:color="000080"/>
              <w:bottom w:val="nil"/>
              <w:right w:val="nil"/>
            </w:tcBorders>
            <w:shd w:val="clear" w:color="auto" w:fill="D9D9D9" w:themeFill="background1" w:themeFillShade="D9"/>
          </w:tcPr>
          <w:p w14:paraId="5971D5CE" w14:textId="77777777" w:rsidR="00B975C4" w:rsidRPr="00B02693" w:rsidRDefault="00B975C4" w:rsidP="000B4BD9">
            <w:pPr>
              <w:spacing w:before="30" w:after="30"/>
              <w:ind w:left="57"/>
              <w:jc w:val="left"/>
              <w:rPr>
                <w:b/>
                <w:bCs/>
                <w:sz w:val="20"/>
              </w:rPr>
            </w:pPr>
            <w:r w:rsidRPr="00B02693">
              <w:rPr>
                <w:b/>
                <w:bCs/>
                <w:color w:val="000080"/>
                <w:sz w:val="20"/>
              </w:rPr>
              <w:t>M</w:t>
            </w:r>
          </w:p>
        </w:tc>
        <w:tc>
          <w:tcPr>
            <w:tcW w:w="8220" w:type="dxa"/>
            <w:tcBorders>
              <w:top w:val="nil"/>
              <w:left w:val="nil"/>
              <w:bottom w:val="nil"/>
              <w:right w:val="single" w:sz="12" w:space="0" w:color="000080"/>
            </w:tcBorders>
            <w:shd w:val="clear" w:color="auto" w:fill="D9D9D9" w:themeFill="background1" w:themeFillShade="D9"/>
          </w:tcPr>
          <w:p w14:paraId="7F242297" w14:textId="77777777" w:rsidR="00B975C4" w:rsidRPr="00B02693" w:rsidRDefault="00B975C4" w:rsidP="006B56A3">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b/>
                <w:sz w:val="20"/>
              </w:rPr>
            </w:pPr>
            <w:r w:rsidRPr="00B02693">
              <w:rPr>
                <w:b/>
                <w:bCs/>
                <w:color w:val="000080"/>
                <w:sz w:val="20"/>
              </w:rPr>
              <w:t>Mobile, radiodetermination, amateur and related satellite services</w:t>
            </w:r>
          </w:p>
        </w:tc>
      </w:tr>
      <w:tr w:rsidR="00B975C4" w:rsidRPr="00B02693" w14:paraId="3A4C66BD" w14:textId="77777777" w:rsidTr="00B975C4">
        <w:tc>
          <w:tcPr>
            <w:tcW w:w="1140" w:type="dxa"/>
            <w:tcBorders>
              <w:top w:val="nil"/>
              <w:left w:val="single" w:sz="12" w:space="0" w:color="000080"/>
              <w:bottom w:val="nil"/>
              <w:right w:val="nil"/>
            </w:tcBorders>
            <w:shd w:val="clear" w:color="auto" w:fill="auto"/>
          </w:tcPr>
          <w:p w14:paraId="1BEFA7C6"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P</w:t>
            </w:r>
          </w:p>
        </w:tc>
        <w:tc>
          <w:tcPr>
            <w:tcW w:w="8220" w:type="dxa"/>
            <w:tcBorders>
              <w:top w:val="nil"/>
              <w:left w:val="nil"/>
              <w:bottom w:val="nil"/>
              <w:right w:val="single" w:sz="12" w:space="0" w:color="000080"/>
            </w:tcBorders>
            <w:shd w:val="clear" w:color="auto" w:fill="auto"/>
          </w:tcPr>
          <w:p w14:paraId="54040BFA" w14:textId="77777777" w:rsidR="00B975C4" w:rsidRPr="00B02693" w:rsidRDefault="00B975C4" w:rsidP="000B4BD9">
            <w:pPr>
              <w:spacing w:before="30" w:after="30"/>
              <w:jc w:val="left"/>
              <w:rPr>
                <w:sz w:val="20"/>
              </w:rPr>
            </w:pPr>
            <w:proofErr w:type="spellStart"/>
            <w:r w:rsidRPr="00B02693">
              <w:rPr>
                <w:sz w:val="20"/>
              </w:rPr>
              <w:t>Radiowave</w:t>
            </w:r>
            <w:proofErr w:type="spellEnd"/>
            <w:r w:rsidRPr="00B02693">
              <w:rPr>
                <w:sz w:val="20"/>
              </w:rPr>
              <w:t xml:space="preserve"> propagation</w:t>
            </w:r>
          </w:p>
        </w:tc>
      </w:tr>
      <w:tr w:rsidR="00B975C4" w:rsidRPr="00B02693" w14:paraId="2402505B" w14:textId="77777777" w:rsidTr="00B975C4">
        <w:tc>
          <w:tcPr>
            <w:tcW w:w="1140" w:type="dxa"/>
            <w:tcBorders>
              <w:top w:val="nil"/>
              <w:left w:val="single" w:sz="12" w:space="0" w:color="000080"/>
              <w:bottom w:val="nil"/>
              <w:right w:val="nil"/>
            </w:tcBorders>
            <w:shd w:val="clear" w:color="auto" w:fill="auto"/>
          </w:tcPr>
          <w:p w14:paraId="200E303C"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RA</w:t>
            </w:r>
          </w:p>
        </w:tc>
        <w:tc>
          <w:tcPr>
            <w:tcW w:w="8220" w:type="dxa"/>
            <w:tcBorders>
              <w:top w:val="nil"/>
              <w:left w:val="nil"/>
              <w:bottom w:val="nil"/>
              <w:right w:val="single" w:sz="12" w:space="0" w:color="000080"/>
            </w:tcBorders>
            <w:shd w:val="clear" w:color="auto" w:fill="auto"/>
          </w:tcPr>
          <w:p w14:paraId="5B5D43E3" w14:textId="77777777" w:rsidR="00B975C4" w:rsidRPr="00B02693" w:rsidRDefault="00B975C4" w:rsidP="000B4BD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rPr>
            </w:pPr>
            <w:r w:rsidRPr="00B02693">
              <w:rPr>
                <w:sz w:val="20"/>
              </w:rPr>
              <w:t>Radio astronomy</w:t>
            </w:r>
          </w:p>
        </w:tc>
      </w:tr>
      <w:tr w:rsidR="00B975C4" w:rsidRPr="00B02693" w14:paraId="01C44F54" w14:textId="77777777" w:rsidTr="00FC68F0">
        <w:tc>
          <w:tcPr>
            <w:tcW w:w="1140" w:type="dxa"/>
            <w:tcBorders>
              <w:top w:val="nil"/>
              <w:left w:val="single" w:sz="12" w:space="0" w:color="000080"/>
              <w:bottom w:val="nil"/>
              <w:right w:val="nil"/>
            </w:tcBorders>
            <w:shd w:val="clear" w:color="auto" w:fill="FFFFFF" w:themeFill="background1"/>
          </w:tcPr>
          <w:p w14:paraId="07D17453" w14:textId="77777777" w:rsidR="00B975C4" w:rsidRPr="00B02693" w:rsidRDefault="00B975C4" w:rsidP="000B4BD9">
            <w:pPr>
              <w:spacing w:before="30" w:after="30"/>
              <w:ind w:left="57"/>
              <w:jc w:val="left"/>
              <w:rPr>
                <w:rFonts w:ascii="Times New Roman Bold" w:hAnsi="Times New Roman Bold" w:cs="Times New Roman Bold"/>
                <w:b/>
                <w:bCs/>
                <w:sz w:val="20"/>
              </w:rPr>
            </w:pPr>
            <w:r w:rsidRPr="00B02693">
              <w:rPr>
                <w:rFonts w:ascii="Times New Roman Bold" w:hAnsi="Times New Roman Bold" w:cs="Times New Roman Bold"/>
                <w:b/>
                <w:bCs/>
                <w:sz w:val="20"/>
              </w:rPr>
              <w:t>RS</w:t>
            </w:r>
          </w:p>
        </w:tc>
        <w:tc>
          <w:tcPr>
            <w:tcW w:w="8220" w:type="dxa"/>
            <w:tcBorders>
              <w:top w:val="nil"/>
              <w:left w:val="nil"/>
              <w:bottom w:val="nil"/>
              <w:right w:val="single" w:sz="12" w:space="0" w:color="000080"/>
            </w:tcBorders>
            <w:shd w:val="clear" w:color="auto" w:fill="FFFFFF" w:themeFill="background1"/>
          </w:tcPr>
          <w:p w14:paraId="09684FA6" w14:textId="77777777" w:rsidR="00B975C4" w:rsidRPr="00B02693" w:rsidRDefault="00B975C4" w:rsidP="00FC68F0">
            <w:pPr>
              <w:spacing w:before="30" w:after="30"/>
              <w:jc w:val="left"/>
              <w:rPr>
                <w:sz w:val="20"/>
              </w:rPr>
            </w:pPr>
            <w:r w:rsidRPr="00B02693">
              <w:rPr>
                <w:sz w:val="20"/>
              </w:rPr>
              <w:t>Remote sensing systems</w:t>
            </w:r>
          </w:p>
        </w:tc>
      </w:tr>
      <w:tr w:rsidR="00B975C4" w:rsidRPr="00B02693" w14:paraId="6522AB9F" w14:textId="77777777" w:rsidTr="00B975C4">
        <w:tc>
          <w:tcPr>
            <w:tcW w:w="1140" w:type="dxa"/>
            <w:tcBorders>
              <w:top w:val="nil"/>
              <w:left w:val="single" w:sz="12" w:space="0" w:color="000080"/>
              <w:bottom w:val="nil"/>
              <w:right w:val="nil"/>
            </w:tcBorders>
          </w:tcPr>
          <w:p w14:paraId="6323E995" w14:textId="77777777" w:rsidR="00B975C4" w:rsidRPr="00B02693" w:rsidRDefault="00B975C4" w:rsidP="000B4BD9">
            <w:pPr>
              <w:spacing w:before="30" w:after="30"/>
              <w:ind w:left="57"/>
              <w:jc w:val="left"/>
              <w:rPr>
                <w:b/>
                <w:bCs/>
                <w:sz w:val="20"/>
              </w:rPr>
            </w:pPr>
            <w:r w:rsidRPr="00B02693">
              <w:rPr>
                <w:b/>
                <w:bCs/>
                <w:sz w:val="20"/>
              </w:rPr>
              <w:t>S</w:t>
            </w:r>
          </w:p>
        </w:tc>
        <w:tc>
          <w:tcPr>
            <w:tcW w:w="8220" w:type="dxa"/>
            <w:tcBorders>
              <w:top w:val="nil"/>
              <w:left w:val="nil"/>
              <w:bottom w:val="nil"/>
              <w:right w:val="single" w:sz="12" w:space="0" w:color="000080"/>
            </w:tcBorders>
          </w:tcPr>
          <w:p w14:paraId="73C4EF71" w14:textId="77777777" w:rsidR="00B975C4" w:rsidRPr="00B02693" w:rsidRDefault="00B975C4" w:rsidP="000B4BD9">
            <w:pPr>
              <w:spacing w:before="30" w:after="30"/>
              <w:jc w:val="left"/>
              <w:rPr>
                <w:sz w:val="20"/>
              </w:rPr>
            </w:pPr>
            <w:r w:rsidRPr="00B02693">
              <w:rPr>
                <w:sz w:val="20"/>
              </w:rPr>
              <w:t>Fixed-satellite service</w:t>
            </w:r>
          </w:p>
        </w:tc>
      </w:tr>
      <w:tr w:rsidR="00B975C4" w:rsidRPr="00B02693" w14:paraId="29709B87" w14:textId="77777777" w:rsidTr="00B975C4">
        <w:tc>
          <w:tcPr>
            <w:tcW w:w="1140" w:type="dxa"/>
            <w:tcBorders>
              <w:top w:val="nil"/>
              <w:left w:val="single" w:sz="12" w:space="0" w:color="000080"/>
              <w:bottom w:val="nil"/>
              <w:right w:val="nil"/>
            </w:tcBorders>
          </w:tcPr>
          <w:p w14:paraId="7E1EF06A" w14:textId="77777777" w:rsidR="00B975C4" w:rsidRPr="00B02693" w:rsidRDefault="00B975C4" w:rsidP="000B4BD9">
            <w:pPr>
              <w:spacing w:before="30" w:after="30"/>
              <w:ind w:left="57"/>
              <w:jc w:val="left"/>
              <w:rPr>
                <w:b/>
                <w:bCs/>
                <w:sz w:val="20"/>
              </w:rPr>
            </w:pPr>
            <w:r w:rsidRPr="00B02693">
              <w:rPr>
                <w:b/>
                <w:bCs/>
                <w:sz w:val="20"/>
              </w:rPr>
              <w:t>SA</w:t>
            </w:r>
          </w:p>
        </w:tc>
        <w:tc>
          <w:tcPr>
            <w:tcW w:w="8220" w:type="dxa"/>
            <w:tcBorders>
              <w:top w:val="nil"/>
              <w:left w:val="nil"/>
              <w:bottom w:val="nil"/>
              <w:right w:val="single" w:sz="12" w:space="0" w:color="000080"/>
            </w:tcBorders>
          </w:tcPr>
          <w:p w14:paraId="03FA03CE" w14:textId="77777777" w:rsidR="00B975C4" w:rsidRPr="00B02693" w:rsidRDefault="00B975C4" w:rsidP="000B4BD9">
            <w:pPr>
              <w:spacing w:before="30" w:after="30"/>
              <w:jc w:val="left"/>
              <w:rPr>
                <w:sz w:val="20"/>
              </w:rPr>
            </w:pPr>
            <w:r w:rsidRPr="00B02693">
              <w:rPr>
                <w:sz w:val="20"/>
              </w:rPr>
              <w:t>Space applications and meteorology</w:t>
            </w:r>
          </w:p>
        </w:tc>
      </w:tr>
      <w:tr w:rsidR="00B975C4" w:rsidRPr="00B02693" w14:paraId="17BD64DB" w14:textId="77777777" w:rsidTr="00B975C4">
        <w:tc>
          <w:tcPr>
            <w:tcW w:w="1140" w:type="dxa"/>
            <w:tcBorders>
              <w:top w:val="nil"/>
              <w:left w:val="single" w:sz="12" w:space="0" w:color="000080"/>
              <w:bottom w:val="nil"/>
              <w:right w:val="nil"/>
            </w:tcBorders>
          </w:tcPr>
          <w:p w14:paraId="600B4B87" w14:textId="77777777" w:rsidR="00B975C4" w:rsidRPr="00B02693" w:rsidRDefault="00B975C4" w:rsidP="000B4BD9">
            <w:pPr>
              <w:spacing w:before="30" w:after="30"/>
              <w:ind w:left="57"/>
              <w:jc w:val="left"/>
              <w:rPr>
                <w:b/>
                <w:bCs/>
                <w:sz w:val="20"/>
              </w:rPr>
            </w:pPr>
            <w:r w:rsidRPr="00B02693">
              <w:rPr>
                <w:b/>
                <w:bCs/>
                <w:sz w:val="20"/>
              </w:rPr>
              <w:t>SF</w:t>
            </w:r>
          </w:p>
        </w:tc>
        <w:tc>
          <w:tcPr>
            <w:tcW w:w="8220" w:type="dxa"/>
            <w:tcBorders>
              <w:top w:val="nil"/>
              <w:left w:val="nil"/>
              <w:bottom w:val="nil"/>
              <w:right w:val="single" w:sz="12" w:space="0" w:color="000080"/>
            </w:tcBorders>
          </w:tcPr>
          <w:p w14:paraId="2C5D70CE" w14:textId="77777777" w:rsidR="00B975C4" w:rsidRPr="00B02693" w:rsidRDefault="00B975C4" w:rsidP="000B4BD9">
            <w:pPr>
              <w:spacing w:before="30" w:after="30"/>
              <w:jc w:val="left"/>
              <w:rPr>
                <w:sz w:val="20"/>
              </w:rPr>
            </w:pPr>
            <w:r w:rsidRPr="00B02693">
              <w:rPr>
                <w:sz w:val="20"/>
              </w:rPr>
              <w:t>Frequency sharing and coordination between fixed-satellite and fixed service systems</w:t>
            </w:r>
          </w:p>
        </w:tc>
      </w:tr>
      <w:tr w:rsidR="00157679" w:rsidRPr="00B02693" w14:paraId="010A74A4" w14:textId="77777777" w:rsidTr="00B975C4">
        <w:tc>
          <w:tcPr>
            <w:tcW w:w="1140" w:type="dxa"/>
            <w:tcBorders>
              <w:top w:val="nil"/>
              <w:left w:val="single" w:sz="12" w:space="0" w:color="000080"/>
              <w:bottom w:val="nil"/>
              <w:right w:val="nil"/>
            </w:tcBorders>
          </w:tcPr>
          <w:p w14:paraId="57D2ED1D" w14:textId="77777777" w:rsidR="00157679" w:rsidRPr="00B02693" w:rsidRDefault="00157679" w:rsidP="000B4BD9">
            <w:pPr>
              <w:spacing w:before="30" w:after="30"/>
              <w:ind w:left="57"/>
              <w:jc w:val="left"/>
              <w:rPr>
                <w:b/>
                <w:bCs/>
                <w:sz w:val="20"/>
              </w:rPr>
            </w:pPr>
            <w:r w:rsidRPr="00B02693">
              <w:rPr>
                <w:b/>
                <w:bCs/>
                <w:sz w:val="20"/>
              </w:rPr>
              <w:t>SM</w:t>
            </w:r>
          </w:p>
        </w:tc>
        <w:tc>
          <w:tcPr>
            <w:tcW w:w="8220" w:type="dxa"/>
            <w:tcBorders>
              <w:top w:val="nil"/>
              <w:left w:val="nil"/>
              <w:bottom w:val="nil"/>
              <w:right w:val="single" w:sz="12" w:space="0" w:color="000080"/>
            </w:tcBorders>
          </w:tcPr>
          <w:p w14:paraId="51DF5D48" w14:textId="77777777" w:rsidR="00157679" w:rsidRPr="00B02693" w:rsidRDefault="00157679" w:rsidP="000B4BD9">
            <w:pPr>
              <w:spacing w:before="30" w:after="30"/>
              <w:jc w:val="left"/>
              <w:rPr>
                <w:sz w:val="20"/>
              </w:rPr>
            </w:pPr>
            <w:r w:rsidRPr="00B02693">
              <w:rPr>
                <w:sz w:val="20"/>
              </w:rPr>
              <w:t>Spectrum management</w:t>
            </w:r>
          </w:p>
        </w:tc>
      </w:tr>
      <w:tr w:rsidR="00B975C4" w:rsidRPr="00B02693" w14:paraId="1B1D94C4" w14:textId="77777777" w:rsidTr="00B975C4">
        <w:tc>
          <w:tcPr>
            <w:tcW w:w="1140" w:type="dxa"/>
            <w:tcBorders>
              <w:top w:val="nil"/>
              <w:left w:val="single" w:sz="12" w:space="0" w:color="000080"/>
              <w:bottom w:val="single" w:sz="12" w:space="0" w:color="000080"/>
              <w:right w:val="nil"/>
            </w:tcBorders>
          </w:tcPr>
          <w:p w14:paraId="0929771F" w14:textId="77777777" w:rsidR="00B975C4" w:rsidRPr="00B02693" w:rsidRDefault="00157679" w:rsidP="000B4BD9">
            <w:pPr>
              <w:spacing w:before="30" w:after="30"/>
              <w:ind w:left="57"/>
              <w:jc w:val="left"/>
              <w:rPr>
                <w:b/>
                <w:bCs/>
                <w:sz w:val="20"/>
              </w:rPr>
            </w:pPr>
            <w:r w:rsidRPr="00B02693">
              <w:rPr>
                <w:b/>
                <w:bCs/>
                <w:sz w:val="20"/>
              </w:rPr>
              <w:t>TF</w:t>
            </w:r>
          </w:p>
        </w:tc>
        <w:tc>
          <w:tcPr>
            <w:tcW w:w="8220" w:type="dxa"/>
            <w:tcBorders>
              <w:top w:val="nil"/>
              <w:left w:val="nil"/>
              <w:bottom w:val="single" w:sz="12" w:space="0" w:color="000080"/>
              <w:right w:val="single" w:sz="12" w:space="0" w:color="000080"/>
            </w:tcBorders>
          </w:tcPr>
          <w:p w14:paraId="16CB94F1" w14:textId="77777777" w:rsidR="00B975C4" w:rsidRPr="00B02693" w:rsidRDefault="00157679" w:rsidP="000B4BD9">
            <w:pPr>
              <w:spacing w:before="30" w:after="180"/>
              <w:jc w:val="left"/>
              <w:rPr>
                <w:sz w:val="20"/>
              </w:rPr>
            </w:pPr>
            <w:r w:rsidRPr="00B02693">
              <w:rPr>
                <w:sz w:val="20"/>
              </w:rPr>
              <w:t>Time signals and frequency standards emissions</w:t>
            </w:r>
          </w:p>
        </w:tc>
      </w:tr>
    </w:tbl>
    <w:p w14:paraId="58E0EFAB" w14:textId="77777777" w:rsidR="00B975C4" w:rsidRPr="00B02693" w:rsidRDefault="00B975C4" w:rsidP="00B975C4">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B975C4" w:rsidRPr="00B02693" w14:paraId="576883FD" w14:textId="77777777" w:rsidTr="000B4BD9">
        <w:tc>
          <w:tcPr>
            <w:tcW w:w="720" w:type="dxa"/>
          </w:tcPr>
          <w:p w14:paraId="485747C1" w14:textId="77777777" w:rsidR="00B975C4" w:rsidRPr="00B02693" w:rsidRDefault="00B975C4" w:rsidP="000B4BD9">
            <w:pPr>
              <w:jc w:val="center"/>
              <w:rPr>
                <w:sz w:val="22"/>
              </w:rPr>
            </w:pPr>
          </w:p>
        </w:tc>
      </w:tr>
    </w:tbl>
    <w:p w14:paraId="5F9C68AF" w14:textId="77777777" w:rsidR="00B975C4" w:rsidRPr="00B02693" w:rsidRDefault="00B975C4" w:rsidP="00B975C4">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609"/>
      </w:tblGrid>
      <w:tr w:rsidR="00B975C4" w:rsidRPr="00B02693" w14:paraId="6B007D49" w14:textId="77777777" w:rsidTr="00B975C4">
        <w:tc>
          <w:tcPr>
            <w:tcW w:w="9360" w:type="dxa"/>
            <w:tcBorders>
              <w:top w:val="single" w:sz="12" w:space="0" w:color="000080"/>
              <w:left w:val="single" w:sz="12" w:space="0" w:color="000080"/>
              <w:bottom w:val="single" w:sz="12" w:space="0" w:color="000080"/>
              <w:right w:val="single" w:sz="12" w:space="0" w:color="000080"/>
            </w:tcBorders>
          </w:tcPr>
          <w:p w14:paraId="0E68F15F" w14:textId="77777777" w:rsidR="00B975C4" w:rsidRPr="00B02693" w:rsidRDefault="00B975C4" w:rsidP="004941AC">
            <w:pPr>
              <w:spacing w:after="120"/>
              <w:rPr>
                <w:b/>
                <w:bCs/>
                <w:sz w:val="20"/>
              </w:rPr>
            </w:pPr>
            <w:r w:rsidRPr="00B02693">
              <w:rPr>
                <w:b/>
                <w:bCs/>
                <w:i/>
                <w:iCs/>
                <w:sz w:val="20"/>
              </w:rPr>
              <w:t>Note</w:t>
            </w:r>
            <w:r w:rsidRPr="00B02693">
              <w:rPr>
                <w:i/>
                <w:iCs/>
                <w:sz w:val="20"/>
              </w:rPr>
              <w:t>: This ITU-R Report was approved in English by the Study Group under the procedure detailed in Resolution</w:t>
            </w:r>
            <w:r w:rsidR="004941AC" w:rsidRPr="00B02693">
              <w:rPr>
                <w:i/>
                <w:iCs/>
                <w:sz w:val="20"/>
              </w:rPr>
              <w:t xml:space="preserve"> </w:t>
            </w:r>
            <w:r w:rsidRPr="00B02693">
              <w:rPr>
                <w:i/>
                <w:iCs/>
                <w:sz w:val="20"/>
              </w:rPr>
              <w:t>ITU</w:t>
            </w:r>
            <w:r w:rsidR="004941AC" w:rsidRPr="00B02693">
              <w:rPr>
                <w:i/>
                <w:iCs/>
                <w:sz w:val="20"/>
              </w:rPr>
              <w:noBreakHyphen/>
            </w:r>
            <w:r w:rsidRPr="00B02693">
              <w:rPr>
                <w:i/>
                <w:iCs/>
                <w:sz w:val="20"/>
              </w:rPr>
              <w:t>R 1.</w:t>
            </w:r>
          </w:p>
        </w:tc>
      </w:tr>
    </w:tbl>
    <w:p w14:paraId="0CD34711" w14:textId="77777777" w:rsidR="00B975C4" w:rsidRPr="00B02693" w:rsidRDefault="00B975C4" w:rsidP="00B975C4">
      <w:pPr>
        <w:spacing w:before="0"/>
        <w:jc w:val="center"/>
        <w:rPr>
          <w:sz w:val="22"/>
        </w:rPr>
      </w:pPr>
    </w:p>
    <w:p w14:paraId="205A203C" w14:textId="77777777" w:rsidR="00B975C4" w:rsidRPr="00B02693" w:rsidRDefault="00B975C4" w:rsidP="00B975C4">
      <w:pPr>
        <w:spacing w:before="0"/>
        <w:jc w:val="right"/>
        <w:rPr>
          <w:i/>
          <w:iCs/>
          <w:sz w:val="20"/>
        </w:rPr>
      </w:pPr>
      <w:r w:rsidRPr="00B02693">
        <w:rPr>
          <w:i/>
          <w:iCs/>
          <w:sz w:val="20"/>
        </w:rPr>
        <w:t>Electronic Publication</w:t>
      </w:r>
    </w:p>
    <w:p w14:paraId="3C935518" w14:textId="08B81E5D" w:rsidR="00B975C4" w:rsidRPr="00B02693" w:rsidRDefault="00B975C4" w:rsidP="00B975C4">
      <w:pPr>
        <w:spacing w:before="0"/>
        <w:jc w:val="right"/>
        <w:rPr>
          <w:sz w:val="20"/>
        </w:rPr>
      </w:pPr>
      <w:r w:rsidRPr="00B02693">
        <w:rPr>
          <w:sz w:val="20"/>
        </w:rPr>
        <w:t>Geneva, 202</w:t>
      </w:r>
      <w:r w:rsidR="001C30B1" w:rsidRPr="00B02693">
        <w:rPr>
          <w:sz w:val="20"/>
        </w:rPr>
        <w:t>4</w:t>
      </w:r>
    </w:p>
    <w:p w14:paraId="7B345581" w14:textId="1093703C" w:rsidR="00B975C4" w:rsidRPr="00B02693" w:rsidRDefault="00B975C4" w:rsidP="00B975C4">
      <w:pPr>
        <w:jc w:val="center"/>
        <w:rPr>
          <w:sz w:val="20"/>
        </w:rPr>
      </w:pPr>
      <w:r w:rsidRPr="00B02693">
        <w:rPr>
          <w:sz w:val="20"/>
        </w:rPr>
        <w:sym w:font="Symbol" w:char="00E3"/>
      </w:r>
      <w:r w:rsidRPr="00B02693">
        <w:rPr>
          <w:sz w:val="20"/>
        </w:rPr>
        <w:t xml:space="preserve"> ITU </w:t>
      </w:r>
      <w:bookmarkStart w:id="2" w:name="iiannee"/>
      <w:bookmarkEnd w:id="2"/>
      <w:r w:rsidRPr="00B02693">
        <w:rPr>
          <w:sz w:val="20"/>
        </w:rPr>
        <w:t>202</w:t>
      </w:r>
      <w:r w:rsidR="001C30B1" w:rsidRPr="00B02693">
        <w:rPr>
          <w:sz w:val="20"/>
        </w:rPr>
        <w:t>4</w:t>
      </w:r>
    </w:p>
    <w:p w14:paraId="21C12343" w14:textId="77777777" w:rsidR="00D5024B" w:rsidRPr="00B02693" w:rsidRDefault="00B975C4" w:rsidP="00B975C4">
      <w:pPr>
        <w:rPr>
          <w:sz w:val="18"/>
          <w:szCs w:val="18"/>
        </w:rPr>
      </w:pPr>
      <w:r w:rsidRPr="00B02693">
        <w:rPr>
          <w:sz w:val="18"/>
          <w:szCs w:val="18"/>
        </w:rPr>
        <w:t>All rights reserved. No part of this publication may be reproduced, by any means whatsoever, without written permission of ITU.</w:t>
      </w:r>
    </w:p>
    <w:p w14:paraId="09727C50" w14:textId="77777777" w:rsidR="007565CC" w:rsidRPr="00B02693" w:rsidRDefault="007565CC" w:rsidP="00A971A1">
      <w:pPr>
        <w:spacing w:before="160"/>
        <w:rPr>
          <w:i/>
          <w:sz w:val="20"/>
        </w:rPr>
        <w:sectPr w:rsidR="007565CC" w:rsidRPr="00B02693"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817BAAB" w14:textId="7937A84C" w:rsidR="00B874C6" w:rsidRPr="00B02693" w:rsidRDefault="00B874C6" w:rsidP="001C30B1">
      <w:pPr>
        <w:pStyle w:val="RepNo"/>
        <w:spacing w:before="0"/>
      </w:pPr>
      <w:bookmarkStart w:id="3" w:name="irecnoe"/>
      <w:bookmarkEnd w:id="3"/>
      <w:r w:rsidRPr="00B02693">
        <w:lastRenderedPageBreak/>
        <w:t>RE</w:t>
      </w:r>
      <w:r w:rsidR="00B975C4" w:rsidRPr="00B02693">
        <w:t>PORT</w:t>
      </w:r>
      <w:r w:rsidRPr="00B02693">
        <w:t xml:space="preserve">  </w:t>
      </w:r>
      <w:r w:rsidRPr="00B02693">
        <w:rPr>
          <w:rStyle w:val="href"/>
        </w:rPr>
        <w:t xml:space="preserve">ITU-R  </w:t>
      </w:r>
      <w:r w:rsidR="006B56A3" w:rsidRPr="00B02693">
        <w:rPr>
          <w:rStyle w:val="href"/>
        </w:rPr>
        <w:t>M</w:t>
      </w:r>
      <w:r w:rsidRPr="00B02693">
        <w:rPr>
          <w:rStyle w:val="href"/>
        </w:rPr>
        <w:t>.</w:t>
      </w:r>
      <w:r w:rsidR="001C30B1" w:rsidRPr="00B02693">
        <w:rPr>
          <w:rStyle w:val="href"/>
        </w:rPr>
        <w:t>254</w:t>
      </w:r>
      <w:r w:rsidR="0079744B" w:rsidRPr="00B02693">
        <w:rPr>
          <w:rStyle w:val="href"/>
        </w:rPr>
        <w:t>3</w:t>
      </w:r>
      <w:r w:rsidR="001C30B1" w:rsidRPr="00B02693">
        <w:rPr>
          <w:rStyle w:val="href"/>
        </w:rPr>
        <w:t>-0</w:t>
      </w:r>
    </w:p>
    <w:p w14:paraId="1160EF0A" w14:textId="3D36271A" w:rsidR="00934ED7" w:rsidRPr="00B02693" w:rsidRDefault="00D44F58" w:rsidP="001C30B1">
      <w:pPr>
        <w:pStyle w:val="Reptitle"/>
      </w:pPr>
      <w:r w:rsidRPr="00B02693">
        <w:t>Outcome of the evaluation, consensus building and decision of the IMT</w:t>
      </w:r>
      <w:r w:rsidRPr="00B02693">
        <w:noBreakHyphen/>
        <w:t xml:space="preserve">2020 </w:t>
      </w:r>
      <w:r w:rsidRPr="00B02693">
        <w:rPr>
          <w:rFonts w:eastAsia="Malgun Gothic"/>
          <w:lang w:eastAsia="ko-KR"/>
        </w:rPr>
        <w:t xml:space="preserve">satellite </w:t>
      </w:r>
      <w:r w:rsidRPr="00B02693">
        <w:t xml:space="preserve">process (Steps 4 to 7), including characteristics of </w:t>
      </w:r>
      <w:r w:rsidR="00B26A56">
        <w:br/>
      </w:r>
      <w:r w:rsidRPr="00B02693">
        <w:t xml:space="preserve">IMT-2020 </w:t>
      </w:r>
      <w:r w:rsidRPr="00B02693">
        <w:rPr>
          <w:rFonts w:eastAsia="Malgun Gothic"/>
          <w:lang w:eastAsia="ko-KR"/>
        </w:rPr>
        <w:t xml:space="preserve">satellite </w:t>
      </w:r>
      <w:r w:rsidRPr="00B02693">
        <w:t>radio interfaces</w:t>
      </w:r>
    </w:p>
    <w:p w14:paraId="69AD0E46" w14:textId="77777777" w:rsidR="001C30B1" w:rsidRPr="00B02693" w:rsidRDefault="001C30B1" w:rsidP="001C30B1">
      <w:pPr>
        <w:pStyle w:val="Repdate"/>
      </w:pPr>
      <w:r w:rsidRPr="00B02693">
        <w:t>(2024)</w:t>
      </w:r>
    </w:p>
    <w:p w14:paraId="2F097B22" w14:textId="77777777" w:rsidR="001C30B1" w:rsidRPr="00B02693" w:rsidRDefault="001C30B1" w:rsidP="001C30B1">
      <w:pPr>
        <w:pStyle w:val="Title3"/>
        <w:spacing w:before="840"/>
        <w:rPr>
          <w:sz w:val="24"/>
          <w:szCs w:val="18"/>
        </w:rPr>
      </w:pPr>
      <w:r w:rsidRPr="00B02693">
        <w:rPr>
          <w:sz w:val="24"/>
          <w:szCs w:val="18"/>
        </w:rPr>
        <w:t>TABLE OF CONTENTS</w:t>
      </w:r>
    </w:p>
    <w:p w14:paraId="19C59548" w14:textId="77777777" w:rsidR="001C30B1" w:rsidRPr="00B02693" w:rsidRDefault="001C30B1" w:rsidP="001C30B1">
      <w:pPr>
        <w:tabs>
          <w:tab w:val="left" w:pos="8647"/>
        </w:tabs>
        <w:jc w:val="right"/>
        <w:rPr>
          <w:i/>
          <w:iCs/>
        </w:rPr>
      </w:pPr>
      <w:r w:rsidRPr="00B02693">
        <w:rPr>
          <w:i/>
          <w:iCs/>
        </w:rPr>
        <w:t>Page</w:t>
      </w:r>
    </w:p>
    <w:p w14:paraId="5C09CBA2" w14:textId="79ADD62B" w:rsidR="008B78D5" w:rsidRDefault="008B78D5">
      <w:pPr>
        <w:pStyle w:val="TOC1"/>
        <w:rPr>
          <w:rFonts w:asciiTheme="minorHAnsi" w:eastAsiaTheme="minorEastAsia" w:hAnsiTheme="minorHAnsi" w:cstheme="minorBidi"/>
          <w:noProof/>
          <w:kern w:val="2"/>
          <w:szCs w:val="24"/>
          <w:lang w:val="en-GB" w:eastAsia="en-GB"/>
          <w14:ligatures w14:val="standardContextual"/>
        </w:rPr>
      </w:pPr>
      <w:r>
        <w:rPr>
          <w:b/>
          <w:bCs/>
          <w:caps/>
          <w:szCs w:val="24"/>
          <w:lang w:eastAsia="zh-CN"/>
        </w:rPr>
        <w:fldChar w:fldCharType="begin"/>
      </w:r>
      <w:r>
        <w:rPr>
          <w:b/>
          <w:bCs/>
          <w:caps/>
          <w:szCs w:val="24"/>
          <w:lang w:eastAsia="zh-CN"/>
        </w:rPr>
        <w:instrText xml:space="preserve"> TOC \o "2-2" \h \z \t "Heading 1,1,Annex_NoTitle,1,Appendix_NoTitle,1" </w:instrText>
      </w:r>
      <w:r>
        <w:rPr>
          <w:b/>
          <w:bCs/>
          <w:caps/>
          <w:szCs w:val="24"/>
          <w:lang w:eastAsia="zh-CN"/>
        </w:rPr>
        <w:fldChar w:fldCharType="separate"/>
      </w:r>
      <w:hyperlink w:anchor="_Toc182391766" w:history="1">
        <w:r w:rsidRPr="00596ABB">
          <w:rPr>
            <w:rStyle w:val="Hyperlink"/>
            <w:noProof/>
          </w:rPr>
          <w:t>Policy on Intellectual Property Right (IPR)</w:t>
        </w:r>
        <w:r>
          <w:rPr>
            <w:noProof/>
            <w:webHidden/>
          </w:rPr>
          <w:tab/>
        </w:r>
        <w:r>
          <w:rPr>
            <w:noProof/>
            <w:webHidden/>
          </w:rPr>
          <w:tab/>
        </w:r>
        <w:r>
          <w:rPr>
            <w:noProof/>
            <w:webHidden/>
          </w:rPr>
          <w:fldChar w:fldCharType="begin"/>
        </w:r>
        <w:r>
          <w:rPr>
            <w:noProof/>
            <w:webHidden/>
          </w:rPr>
          <w:instrText xml:space="preserve"> PAGEREF _Toc182391766 \h </w:instrText>
        </w:r>
        <w:r>
          <w:rPr>
            <w:noProof/>
            <w:webHidden/>
          </w:rPr>
        </w:r>
        <w:r>
          <w:rPr>
            <w:noProof/>
            <w:webHidden/>
          </w:rPr>
          <w:fldChar w:fldCharType="separate"/>
        </w:r>
        <w:r w:rsidR="002C64E1">
          <w:rPr>
            <w:noProof/>
            <w:webHidden/>
          </w:rPr>
          <w:t>ii</w:t>
        </w:r>
        <w:r>
          <w:rPr>
            <w:noProof/>
            <w:webHidden/>
          </w:rPr>
          <w:fldChar w:fldCharType="end"/>
        </w:r>
      </w:hyperlink>
    </w:p>
    <w:p w14:paraId="7ED5FE1C" w14:textId="2D1EAAD7"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67" w:history="1">
        <w:r w:rsidRPr="00596ABB">
          <w:rPr>
            <w:rStyle w:val="Hyperlink"/>
            <w:noProof/>
          </w:rPr>
          <w:t>1</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_Toc182391767 \h </w:instrText>
        </w:r>
        <w:r>
          <w:rPr>
            <w:noProof/>
            <w:webHidden/>
          </w:rPr>
        </w:r>
        <w:r>
          <w:rPr>
            <w:noProof/>
            <w:webHidden/>
          </w:rPr>
          <w:fldChar w:fldCharType="separate"/>
        </w:r>
        <w:r w:rsidR="002C64E1">
          <w:rPr>
            <w:noProof/>
            <w:webHidden/>
          </w:rPr>
          <w:t>2</w:t>
        </w:r>
        <w:r>
          <w:rPr>
            <w:noProof/>
            <w:webHidden/>
          </w:rPr>
          <w:fldChar w:fldCharType="end"/>
        </w:r>
      </w:hyperlink>
    </w:p>
    <w:p w14:paraId="72826677" w14:textId="10A3487D"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68" w:history="1">
        <w:r w:rsidRPr="00596ABB">
          <w:rPr>
            <w:rStyle w:val="Hyperlink"/>
            <w:noProof/>
          </w:rPr>
          <w:t>2</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Scope</w:t>
        </w:r>
        <w:r>
          <w:rPr>
            <w:noProof/>
            <w:webHidden/>
          </w:rPr>
          <w:tab/>
        </w:r>
        <w:r>
          <w:rPr>
            <w:noProof/>
            <w:webHidden/>
          </w:rPr>
          <w:tab/>
        </w:r>
        <w:r>
          <w:rPr>
            <w:noProof/>
            <w:webHidden/>
          </w:rPr>
          <w:fldChar w:fldCharType="begin"/>
        </w:r>
        <w:r>
          <w:rPr>
            <w:noProof/>
            <w:webHidden/>
          </w:rPr>
          <w:instrText xml:space="preserve"> PAGEREF _Toc182391768 \h </w:instrText>
        </w:r>
        <w:r>
          <w:rPr>
            <w:noProof/>
            <w:webHidden/>
          </w:rPr>
        </w:r>
        <w:r>
          <w:rPr>
            <w:noProof/>
            <w:webHidden/>
          </w:rPr>
          <w:fldChar w:fldCharType="separate"/>
        </w:r>
        <w:r w:rsidR="002C64E1">
          <w:rPr>
            <w:noProof/>
            <w:webHidden/>
          </w:rPr>
          <w:t>4</w:t>
        </w:r>
        <w:r>
          <w:rPr>
            <w:noProof/>
            <w:webHidden/>
          </w:rPr>
          <w:fldChar w:fldCharType="end"/>
        </w:r>
      </w:hyperlink>
    </w:p>
    <w:p w14:paraId="0FA1CB76" w14:textId="738B9CAB"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69" w:history="1">
        <w:r w:rsidRPr="00596ABB">
          <w:rPr>
            <w:rStyle w:val="Hyperlink"/>
            <w:noProof/>
          </w:rPr>
          <w:t>3</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Related text references</w:t>
        </w:r>
        <w:r>
          <w:rPr>
            <w:noProof/>
            <w:webHidden/>
          </w:rPr>
          <w:tab/>
        </w:r>
        <w:r>
          <w:rPr>
            <w:noProof/>
            <w:webHidden/>
          </w:rPr>
          <w:tab/>
        </w:r>
        <w:r>
          <w:rPr>
            <w:noProof/>
            <w:webHidden/>
          </w:rPr>
          <w:fldChar w:fldCharType="begin"/>
        </w:r>
        <w:r>
          <w:rPr>
            <w:noProof/>
            <w:webHidden/>
          </w:rPr>
          <w:instrText xml:space="preserve"> PAGEREF _Toc182391769 \h </w:instrText>
        </w:r>
        <w:r>
          <w:rPr>
            <w:noProof/>
            <w:webHidden/>
          </w:rPr>
        </w:r>
        <w:r>
          <w:rPr>
            <w:noProof/>
            <w:webHidden/>
          </w:rPr>
          <w:fldChar w:fldCharType="separate"/>
        </w:r>
        <w:r w:rsidR="002C64E1">
          <w:rPr>
            <w:noProof/>
            <w:webHidden/>
          </w:rPr>
          <w:t>4</w:t>
        </w:r>
        <w:r>
          <w:rPr>
            <w:noProof/>
            <w:webHidden/>
          </w:rPr>
          <w:fldChar w:fldCharType="end"/>
        </w:r>
      </w:hyperlink>
    </w:p>
    <w:p w14:paraId="4D071474" w14:textId="631DD8B9" w:rsidR="008B78D5" w:rsidRDefault="008B78D5">
      <w:pPr>
        <w:pStyle w:val="TOC2"/>
        <w:rPr>
          <w:rFonts w:asciiTheme="minorHAnsi" w:eastAsiaTheme="minorEastAsia" w:hAnsiTheme="minorHAnsi" w:cstheme="minorBidi"/>
          <w:noProof/>
          <w:kern w:val="2"/>
          <w:szCs w:val="24"/>
          <w:lang w:val="en-GB" w:eastAsia="en-GB"/>
          <w14:ligatures w14:val="standardContextual"/>
        </w:rPr>
      </w:pPr>
      <w:hyperlink w:anchor="_Toc182391770" w:history="1">
        <w:r w:rsidRPr="00596ABB">
          <w:rPr>
            <w:rStyle w:val="Hyperlink"/>
            <w:noProof/>
          </w:rPr>
          <w:t>3.1</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List of acronyms and abbreviations</w:t>
        </w:r>
        <w:r>
          <w:rPr>
            <w:noProof/>
            <w:webHidden/>
          </w:rPr>
          <w:tab/>
        </w:r>
        <w:r>
          <w:rPr>
            <w:noProof/>
            <w:webHidden/>
          </w:rPr>
          <w:tab/>
        </w:r>
        <w:r>
          <w:rPr>
            <w:noProof/>
            <w:webHidden/>
          </w:rPr>
          <w:fldChar w:fldCharType="begin"/>
        </w:r>
        <w:r>
          <w:rPr>
            <w:noProof/>
            <w:webHidden/>
          </w:rPr>
          <w:instrText xml:space="preserve"> PAGEREF _Toc182391770 \h </w:instrText>
        </w:r>
        <w:r>
          <w:rPr>
            <w:noProof/>
            <w:webHidden/>
          </w:rPr>
        </w:r>
        <w:r>
          <w:rPr>
            <w:noProof/>
            <w:webHidden/>
          </w:rPr>
          <w:fldChar w:fldCharType="separate"/>
        </w:r>
        <w:r w:rsidR="002C64E1">
          <w:rPr>
            <w:noProof/>
            <w:webHidden/>
          </w:rPr>
          <w:t>4</w:t>
        </w:r>
        <w:r>
          <w:rPr>
            <w:noProof/>
            <w:webHidden/>
          </w:rPr>
          <w:fldChar w:fldCharType="end"/>
        </w:r>
      </w:hyperlink>
    </w:p>
    <w:p w14:paraId="23A894E3" w14:textId="0689833A"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71" w:history="1">
        <w:r w:rsidRPr="00596ABB">
          <w:rPr>
            <w:rStyle w:val="Hyperlink"/>
            <w:rFonts w:eastAsia="Malgun Gothic"/>
            <w:noProof/>
          </w:rPr>
          <w:t>4</w:t>
        </w:r>
        <w:r>
          <w:rPr>
            <w:rFonts w:asciiTheme="minorHAnsi" w:eastAsiaTheme="minorEastAsia" w:hAnsiTheme="minorHAnsi" w:cstheme="minorBidi"/>
            <w:noProof/>
            <w:kern w:val="2"/>
            <w:szCs w:val="24"/>
            <w:lang w:val="en-GB" w:eastAsia="en-GB"/>
            <w14:ligatures w14:val="standardContextual"/>
          </w:rPr>
          <w:tab/>
        </w:r>
        <w:r w:rsidRPr="00596ABB">
          <w:rPr>
            <w:rStyle w:val="Hyperlink"/>
            <w:rFonts w:eastAsia="Malgun Gothic"/>
            <w:noProof/>
          </w:rPr>
          <w:t>Summary of submissions</w:t>
        </w:r>
        <w:r>
          <w:rPr>
            <w:noProof/>
            <w:webHidden/>
          </w:rPr>
          <w:tab/>
        </w:r>
        <w:r>
          <w:rPr>
            <w:noProof/>
            <w:webHidden/>
          </w:rPr>
          <w:tab/>
        </w:r>
        <w:r>
          <w:rPr>
            <w:noProof/>
            <w:webHidden/>
          </w:rPr>
          <w:fldChar w:fldCharType="begin"/>
        </w:r>
        <w:r>
          <w:rPr>
            <w:noProof/>
            <w:webHidden/>
          </w:rPr>
          <w:instrText xml:space="preserve"> PAGEREF _Toc182391771 \h </w:instrText>
        </w:r>
        <w:r>
          <w:rPr>
            <w:noProof/>
            <w:webHidden/>
          </w:rPr>
        </w:r>
        <w:r>
          <w:rPr>
            <w:noProof/>
            <w:webHidden/>
          </w:rPr>
          <w:fldChar w:fldCharType="separate"/>
        </w:r>
        <w:r w:rsidR="002C64E1">
          <w:rPr>
            <w:noProof/>
            <w:webHidden/>
          </w:rPr>
          <w:t>5</w:t>
        </w:r>
        <w:r>
          <w:rPr>
            <w:noProof/>
            <w:webHidden/>
          </w:rPr>
          <w:fldChar w:fldCharType="end"/>
        </w:r>
      </w:hyperlink>
    </w:p>
    <w:p w14:paraId="15648DC7" w14:textId="0342DD7A"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72" w:history="1">
        <w:r w:rsidRPr="00596ABB">
          <w:rPr>
            <w:rStyle w:val="Hyperlink"/>
            <w:rFonts w:eastAsia="Malgun Gothic"/>
            <w:noProof/>
          </w:rPr>
          <w:t>5</w:t>
        </w:r>
        <w:r>
          <w:rPr>
            <w:rFonts w:asciiTheme="minorHAnsi" w:eastAsiaTheme="minorEastAsia" w:hAnsiTheme="minorHAnsi" w:cstheme="minorBidi"/>
            <w:noProof/>
            <w:kern w:val="2"/>
            <w:szCs w:val="24"/>
            <w:lang w:val="en-GB" w:eastAsia="en-GB"/>
            <w14:ligatures w14:val="standardContextual"/>
          </w:rPr>
          <w:tab/>
        </w:r>
        <w:r w:rsidRPr="00596ABB">
          <w:rPr>
            <w:rStyle w:val="Hyperlink"/>
            <w:rFonts w:eastAsia="Malgun Gothic"/>
            <w:noProof/>
          </w:rPr>
          <w:t>Conclusion for Steps 4 to 7</w:t>
        </w:r>
        <w:r>
          <w:rPr>
            <w:noProof/>
            <w:webHidden/>
          </w:rPr>
          <w:tab/>
        </w:r>
        <w:r>
          <w:rPr>
            <w:noProof/>
            <w:webHidden/>
          </w:rPr>
          <w:tab/>
        </w:r>
        <w:r>
          <w:rPr>
            <w:noProof/>
            <w:webHidden/>
          </w:rPr>
          <w:fldChar w:fldCharType="begin"/>
        </w:r>
        <w:r>
          <w:rPr>
            <w:noProof/>
            <w:webHidden/>
          </w:rPr>
          <w:instrText xml:space="preserve"> PAGEREF _Toc182391772 \h </w:instrText>
        </w:r>
        <w:r>
          <w:rPr>
            <w:noProof/>
            <w:webHidden/>
          </w:rPr>
        </w:r>
        <w:r>
          <w:rPr>
            <w:noProof/>
            <w:webHidden/>
          </w:rPr>
          <w:fldChar w:fldCharType="separate"/>
        </w:r>
        <w:r w:rsidR="002C64E1">
          <w:rPr>
            <w:noProof/>
            <w:webHidden/>
          </w:rPr>
          <w:t>5</w:t>
        </w:r>
        <w:r>
          <w:rPr>
            <w:noProof/>
            <w:webHidden/>
          </w:rPr>
          <w:fldChar w:fldCharType="end"/>
        </w:r>
      </w:hyperlink>
    </w:p>
    <w:p w14:paraId="4D9FBF71" w14:textId="5C09D24B" w:rsidR="008B78D5" w:rsidRDefault="008B78D5">
      <w:pPr>
        <w:pStyle w:val="TOC2"/>
        <w:rPr>
          <w:rFonts w:asciiTheme="minorHAnsi" w:eastAsiaTheme="minorEastAsia" w:hAnsiTheme="minorHAnsi" w:cstheme="minorBidi"/>
          <w:noProof/>
          <w:kern w:val="2"/>
          <w:szCs w:val="24"/>
          <w:lang w:val="en-GB" w:eastAsia="en-GB"/>
          <w14:ligatures w14:val="standardContextual"/>
        </w:rPr>
      </w:pPr>
      <w:hyperlink w:anchor="_Toc182391773" w:history="1">
        <w:r w:rsidRPr="00596ABB">
          <w:rPr>
            <w:rStyle w:val="Hyperlink"/>
            <w:noProof/>
          </w:rPr>
          <w:t>5.1</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Results of Step 4, “Evaluation of candidate RITs or SRITs by Evaluation</w:t>
        </w:r>
        <w:r>
          <w:rPr>
            <w:rStyle w:val="Hyperlink"/>
            <w:noProof/>
          </w:rPr>
          <w:t> </w:t>
        </w:r>
        <w:r w:rsidRPr="00596ABB">
          <w:rPr>
            <w:rStyle w:val="Hyperlink"/>
            <w:noProof/>
          </w:rPr>
          <w:t>Groups” and Step 5, “Review and coordination of outside evaluation activities”</w:t>
        </w:r>
        <w:r>
          <w:rPr>
            <w:noProof/>
            <w:webHidden/>
          </w:rPr>
          <w:tab/>
        </w:r>
        <w:r>
          <w:rPr>
            <w:noProof/>
            <w:webHidden/>
          </w:rPr>
          <w:tab/>
        </w:r>
        <w:r>
          <w:rPr>
            <w:noProof/>
            <w:webHidden/>
          </w:rPr>
          <w:fldChar w:fldCharType="begin"/>
        </w:r>
        <w:r>
          <w:rPr>
            <w:noProof/>
            <w:webHidden/>
          </w:rPr>
          <w:instrText xml:space="preserve"> PAGEREF _Toc182391773 \h </w:instrText>
        </w:r>
        <w:r>
          <w:rPr>
            <w:noProof/>
            <w:webHidden/>
          </w:rPr>
        </w:r>
        <w:r>
          <w:rPr>
            <w:noProof/>
            <w:webHidden/>
          </w:rPr>
          <w:fldChar w:fldCharType="separate"/>
        </w:r>
        <w:r w:rsidR="002C64E1">
          <w:rPr>
            <w:noProof/>
            <w:webHidden/>
          </w:rPr>
          <w:t>5</w:t>
        </w:r>
        <w:r>
          <w:rPr>
            <w:noProof/>
            <w:webHidden/>
          </w:rPr>
          <w:fldChar w:fldCharType="end"/>
        </w:r>
      </w:hyperlink>
    </w:p>
    <w:p w14:paraId="04803C14" w14:textId="3B7B3251" w:rsidR="008B78D5" w:rsidRDefault="008B78D5">
      <w:pPr>
        <w:pStyle w:val="TOC2"/>
        <w:rPr>
          <w:rFonts w:asciiTheme="minorHAnsi" w:eastAsiaTheme="minorEastAsia" w:hAnsiTheme="minorHAnsi" w:cstheme="minorBidi"/>
          <w:noProof/>
          <w:kern w:val="2"/>
          <w:szCs w:val="24"/>
          <w:lang w:val="en-GB" w:eastAsia="en-GB"/>
          <w14:ligatures w14:val="standardContextual"/>
        </w:rPr>
      </w:pPr>
      <w:hyperlink w:anchor="_Toc182391774" w:history="1">
        <w:r w:rsidRPr="00596ABB">
          <w:rPr>
            <w:rStyle w:val="Hyperlink"/>
            <w:noProof/>
          </w:rPr>
          <w:t>5.2</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 xml:space="preserve">Results of Step 6, “Review to assess compliance with minimum </w:t>
        </w:r>
        <w:r>
          <w:rPr>
            <w:rStyle w:val="Hyperlink"/>
            <w:noProof/>
          </w:rPr>
          <w:br/>
        </w:r>
        <w:r w:rsidRPr="00596ABB">
          <w:rPr>
            <w:rStyle w:val="Hyperlink"/>
            <w:noProof/>
          </w:rPr>
          <w:t>requirements”</w:t>
        </w:r>
        <w:r>
          <w:rPr>
            <w:noProof/>
            <w:webHidden/>
          </w:rPr>
          <w:tab/>
        </w:r>
        <w:r>
          <w:rPr>
            <w:noProof/>
            <w:webHidden/>
          </w:rPr>
          <w:tab/>
        </w:r>
        <w:r>
          <w:rPr>
            <w:noProof/>
            <w:webHidden/>
          </w:rPr>
          <w:fldChar w:fldCharType="begin"/>
        </w:r>
        <w:r>
          <w:rPr>
            <w:noProof/>
            <w:webHidden/>
          </w:rPr>
          <w:instrText xml:space="preserve"> PAGEREF _Toc182391774 \h </w:instrText>
        </w:r>
        <w:r>
          <w:rPr>
            <w:noProof/>
            <w:webHidden/>
          </w:rPr>
        </w:r>
        <w:r>
          <w:rPr>
            <w:noProof/>
            <w:webHidden/>
          </w:rPr>
          <w:fldChar w:fldCharType="separate"/>
        </w:r>
        <w:r w:rsidR="002C64E1">
          <w:rPr>
            <w:noProof/>
            <w:webHidden/>
          </w:rPr>
          <w:t>7</w:t>
        </w:r>
        <w:r>
          <w:rPr>
            <w:noProof/>
            <w:webHidden/>
          </w:rPr>
          <w:fldChar w:fldCharType="end"/>
        </w:r>
      </w:hyperlink>
    </w:p>
    <w:p w14:paraId="468D7F91" w14:textId="1B5AD009" w:rsidR="008B78D5" w:rsidRDefault="008B78D5">
      <w:pPr>
        <w:pStyle w:val="TOC2"/>
        <w:rPr>
          <w:rFonts w:asciiTheme="minorHAnsi" w:eastAsiaTheme="minorEastAsia" w:hAnsiTheme="minorHAnsi" w:cstheme="minorBidi"/>
          <w:noProof/>
          <w:kern w:val="2"/>
          <w:szCs w:val="24"/>
          <w:lang w:val="en-GB" w:eastAsia="en-GB"/>
          <w14:ligatures w14:val="standardContextual"/>
        </w:rPr>
      </w:pPr>
      <w:hyperlink w:anchor="_Toc182391775" w:history="1">
        <w:r w:rsidRPr="00596ABB">
          <w:rPr>
            <w:rStyle w:val="Hyperlink"/>
            <w:noProof/>
          </w:rPr>
          <w:t>5.3</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Results of Step 7, “Consideration of evaluation results, consensus building and decision”</w:t>
        </w:r>
        <w:r>
          <w:rPr>
            <w:noProof/>
            <w:webHidden/>
          </w:rPr>
          <w:tab/>
        </w:r>
        <w:r>
          <w:rPr>
            <w:noProof/>
            <w:webHidden/>
          </w:rPr>
          <w:tab/>
        </w:r>
        <w:r>
          <w:rPr>
            <w:noProof/>
            <w:webHidden/>
          </w:rPr>
          <w:fldChar w:fldCharType="begin"/>
        </w:r>
        <w:r>
          <w:rPr>
            <w:noProof/>
            <w:webHidden/>
          </w:rPr>
          <w:instrText xml:space="preserve"> PAGEREF _Toc182391775 \h </w:instrText>
        </w:r>
        <w:r>
          <w:rPr>
            <w:noProof/>
            <w:webHidden/>
          </w:rPr>
        </w:r>
        <w:r>
          <w:rPr>
            <w:noProof/>
            <w:webHidden/>
          </w:rPr>
          <w:fldChar w:fldCharType="separate"/>
        </w:r>
        <w:r w:rsidR="002C64E1">
          <w:rPr>
            <w:noProof/>
            <w:webHidden/>
          </w:rPr>
          <w:t>8</w:t>
        </w:r>
        <w:r>
          <w:rPr>
            <w:noProof/>
            <w:webHidden/>
          </w:rPr>
          <w:fldChar w:fldCharType="end"/>
        </w:r>
      </w:hyperlink>
    </w:p>
    <w:p w14:paraId="3D63AF46" w14:textId="3F6137F9"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76" w:history="1">
        <w:r w:rsidRPr="00596ABB">
          <w:rPr>
            <w:rStyle w:val="Hyperlink"/>
            <w:rFonts w:eastAsia="Malgun Gothic"/>
            <w:noProof/>
          </w:rPr>
          <w:t>6</w:t>
        </w:r>
        <w:r>
          <w:rPr>
            <w:rFonts w:asciiTheme="minorHAnsi" w:eastAsiaTheme="minorEastAsia" w:hAnsiTheme="minorHAnsi" w:cstheme="minorBidi"/>
            <w:noProof/>
            <w:kern w:val="2"/>
            <w:szCs w:val="24"/>
            <w:lang w:val="en-GB" w:eastAsia="en-GB"/>
            <w14:ligatures w14:val="standardContextual"/>
          </w:rPr>
          <w:tab/>
        </w:r>
        <w:r w:rsidRPr="00596ABB">
          <w:rPr>
            <w:rStyle w:val="Hyperlink"/>
            <w:rFonts w:eastAsia="Malgun Gothic"/>
            <w:noProof/>
          </w:rPr>
          <w:t xml:space="preserve">Characteristics </w:t>
        </w:r>
        <w:r w:rsidRPr="00596ABB">
          <w:rPr>
            <w:rStyle w:val="Hyperlink"/>
            <w:noProof/>
          </w:rPr>
          <w:t xml:space="preserve">of the </w:t>
        </w:r>
        <w:r w:rsidRPr="00596ABB">
          <w:rPr>
            <w:rStyle w:val="Hyperlink"/>
            <w:noProof/>
            <w:lang w:eastAsia="ko-KR"/>
          </w:rPr>
          <w:t xml:space="preserve">satellite </w:t>
        </w:r>
        <w:r w:rsidRPr="00596ABB">
          <w:rPr>
            <w:rStyle w:val="Hyperlink"/>
            <w:noProof/>
          </w:rPr>
          <w:t>radio interface technologies</w:t>
        </w:r>
        <w:r w:rsidRPr="00596ABB">
          <w:rPr>
            <w:rStyle w:val="Hyperlink"/>
            <w:noProof/>
            <w:lang w:eastAsia="ko-KR"/>
          </w:rPr>
          <w:t xml:space="preserve"> of </w:t>
        </w:r>
        <w:r w:rsidRPr="00596ABB">
          <w:rPr>
            <w:rStyle w:val="Hyperlink"/>
            <w:noProof/>
          </w:rPr>
          <w:t>IMT</w:t>
        </w:r>
        <w:r w:rsidRPr="00596ABB">
          <w:rPr>
            <w:rStyle w:val="Hyperlink"/>
            <w:noProof/>
          </w:rPr>
          <w:noBreakHyphen/>
          <w:t>2020 and basis of the specifications for Step 8</w:t>
        </w:r>
        <w:r>
          <w:rPr>
            <w:noProof/>
            <w:webHidden/>
          </w:rPr>
          <w:tab/>
        </w:r>
        <w:r>
          <w:rPr>
            <w:noProof/>
            <w:webHidden/>
          </w:rPr>
          <w:tab/>
        </w:r>
        <w:r>
          <w:rPr>
            <w:noProof/>
            <w:webHidden/>
          </w:rPr>
          <w:fldChar w:fldCharType="begin"/>
        </w:r>
        <w:r>
          <w:rPr>
            <w:noProof/>
            <w:webHidden/>
          </w:rPr>
          <w:instrText xml:space="preserve"> PAGEREF _Toc182391776 \h </w:instrText>
        </w:r>
        <w:r>
          <w:rPr>
            <w:noProof/>
            <w:webHidden/>
          </w:rPr>
        </w:r>
        <w:r>
          <w:rPr>
            <w:noProof/>
            <w:webHidden/>
          </w:rPr>
          <w:fldChar w:fldCharType="separate"/>
        </w:r>
        <w:r w:rsidR="002C64E1">
          <w:rPr>
            <w:noProof/>
            <w:webHidden/>
          </w:rPr>
          <w:t>9</w:t>
        </w:r>
        <w:r>
          <w:rPr>
            <w:noProof/>
            <w:webHidden/>
          </w:rPr>
          <w:fldChar w:fldCharType="end"/>
        </w:r>
      </w:hyperlink>
    </w:p>
    <w:p w14:paraId="3447E2DA" w14:textId="011D9F0B" w:rsidR="008B78D5" w:rsidRDefault="008B78D5">
      <w:pPr>
        <w:pStyle w:val="TOC2"/>
        <w:rPr>
          <w:rFonts w:asciiTheme="minorHAnsi" w:eastAsiaTheme="minorEastAsia" w:hAnsiTheme="minorHAnsi" w:cstheme="minorBidi"/>
          <w:noProof/>
          <w:kern w:val="2"/>
          <w:szCs w:val="24"/>
          <w:lang w:val="en-GB" w:eastAsia="en-GB"/>
          <w14:ligatures w14:val="standardContextual"/>
        </w:rPr>
      </w:pPr>
      <w:hyperlink w:anchor="_Toc182391777" w:history="1">
        <w:r w:rsidRPr="00596ABB">
          <w:rPr>
            <w:rStyle w:val="Hyperlink"/>
            <w:noProof/>
          </w:rPr>
          <w:t>6.1</w:t>
        </w:r>
        <w:r>
          <w:rPr>
            <w:rFonts w:asciiTheme="minorHAnsi" w:eastAsiaTheme="minorEastAsia" w:hAnsiTheme="minorHAnsi" w:cstheme="minorBidi"/>
            <w:noProof/>
            <w:kern w:val="2"/>
            <w:szCs w:val="24"/>
            <w:lang w:val="en-GB" w:eastAsia="en-GB"/>
            <w14:ligatures w14:val="standardContextual"/>
          </w:rPr>
          <w:tab/>
        </w:r>
        <w:r w:rsidRPr="00596ABB">
          <w:rPr>
            <w:rStyle w:val="Hyperlink"/>
            <w:noProof/>
          </w:rPr>
          <w:t xml:space="preserve">Characteristics of the </w:t>
        </w:r>
        <w:r w:rsidRPr="00596ABB">
          <w:rPr>
            <w:rStyle w:val="Hyperlink"/>
            <w:noProof/>
            <w:lang w:eastAsia="ko-KR"/>
          </w:rPr>
          <w:t xml:space="preserve">satellite </w:t>
        </w:r>
        <w:r w:rsidRPr="00596ABB">
          <w:rPr>
            <w:rStyle w:val="Hyperlink"/>
            <w:noProof/>
          </w:rPr>
          <w:t>radio interface technologies for IMT-2020</w:t>
        </w:r>
        <w:r>
          <w:rPr>
            <w:noProof/>
            <w:webHidden/>
          </w:rPr>
          <w:tab/>
        </w:r>
        <w:r>
          <w:rPr>
            <w:noProof/>
            <w:webHidden/>
          </w:rPr>
          <w:tab/>
        </w:r>
        <w:r>
          <w:rPr>
            <w:noProof/>
            <w:webHidden/>
          </w:rPr>
          <w:fldChar w:fldCharType="begin"/>
        </w:r>
        <w:r>
          <w:rPr>
            <w:noProof/>
            <w:webHidden/>
          </w:rPr>
          <w:instrText xml:space="preserve"> PAGEREF _Toc182391777 \h </w:instrText>
        </w:r>
        <w:r>
          <w:rPr>
            <w:noProof/>
            <w:webHidden/>
          </w:rPr>
        </w:r>
        <w:r>
          <w:rPr>
            <w:noProof/>
            <w:webHidden/>
          </w:rPr>
          <w:fldChar w:fldCharType="separate"/>
        </w:r>
        <w:r w:rsidR="002C64E1">
          <w:rPr>
            <w:noProof/>
            <w:webHidden/>
          </w:rPr>
          <w:t>9</w:t>
        </w:r>
        <w:r>
          <w:rPr>
            <w:noProof/>
            <w:webHidden/>
          </w:rPr>
          <w:fldChar w:fldCharType="end"/>
        </w:r>
      </w:hyperlink>
    </w:p>
    <w:p w14:paraId="44D6978B" w14:textId="7007E170"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78" w:history="1">
        <w:r w:rsidRPr="00596ABB">
          <w:rPr>
            <w:rStyle w:val="Hyperlink"/>
            <w:noProof/>
          </w:rPr>
          <w:t xml:space="preserve">Annex 1 </w:t>
        </w:r>
        <w:r>
          <w:rPr>
            <w:rStyle w:val="Hyperlink"/>
            <w:noProof/>
          </w:rPr>
          <w:t>−</w:t>
        </w:r>
        <w:r w:rsidRPr="00596ABB">
          <w:rPr>
            <w:rStyle w:val="Hyperlink"/>
            <w:noProof/>
          </w:rPr>
          <w:t xml:space="preserve"> Submission of candidate satellite technologies</w:t>
        </w:r>
        <w:r>
          <w:rPr>
            <w:noProof/>
            <w:webHidden/>
          </w:rPr>
          <w:tab/>
        </w:r>
        <w:r>
          <w:rPr>
            <w:noProof/>
            <w:webHidden/>
          </w:rPr>
          <w:tab/>
        </w:r>
        <w:r>
          <w:rPr>
            <w:noProof/>
            <w:webHidden/>
          </w:rPr>
          <w:fldChar w:fldCharType="begin"/>
        </w:r>
        <w:r>
          <w:rPr>
            <w:noProof/>
            <w:webHidden/>
          </w:rPr>
          <w:instrText xml:space="preserve"> PAGEREF _Toc182391778 \h </w:instrText>
        </w:r>
        <w:r>
          <w:rPr>
            <w:noProof/>
            <w:webHidden/>
          </w:rPr>
        </w:r>
        <w:r>
          <w:rPr>
            <w:noProof/>
            <w:webHidden/>
          </w:rPr>
          <w:fldChar w:fldCharType="separate"/>
        </w:r>
        <w:r w:rsidR="002C64E1">
          <w:rPr>
            <w:noProof/>
            <w:webHidden/>
          </w:rPr>
          <w:t>10</w:t>
        </w:r>
        <w:r>
          <w:rPr>
            <w:noProof/>
            <w:webHidden/>
          </w:rPr>
          <w:fldChar w:fldCharType="end"/>
        </w:r>
      </w:hyperlink>
    </w:p>
    <w:p w14:paraId="77807ADF" w14:textId="05C9BB57"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79" w:history="1">
        <w:r w:rsidRPr="00596ABB">
          <w:rPr>
            <w:rStyle w:val="Hyperlink"/>
            <w:noProof/>
          </w:rPr>
          <w:t xml:space="preserve">Annex 2 </w:t>
        </w:r>
        <w:r>
          <w:rPr>
            <w:rStyle w:val="Hyperlink"/>
            <w:noProof/>
          </w:rPr>
          <w:t>−</w:t>
        </w:r>
        <w:r w:rsidRPr="00596ABB">
          <w:rPr>
            <w:rStyle w:val="Hyperlink"/>
            <w:noProof/>
          </w:rPr>
          <w:t xml:space="preserve"> Summary and details of evaluation reports from independent evaluation groups</w:t>
        </w:r>
        <w:r>
          <w:rPr>
            <w:noProof/>
            <w:webHidden/>
          </w:rPr>
          <w:tab/>
        </w:r>
        <w:r>
          <w:rPr>
            <w:noProof/>
            <w:webHidden/>
          </w:rPr>
          <w:tab/>
        </w:r>
        <w:r>
          <w:rPr>
            <w:noProof/>
            <w:webHidden/>
          </w:rPr>
          <w:fldChar w:fldCharType="begin"/>
        </w:r>
        <w:r>
          <w:rPr>
            <w:noProof/>
            <w:webHidden/>
          </w:rPr>
          <w:instrText xml:space="preserve"> PAGEREF _Toc182391779 \h </w:instrText>
        </w:r>
        <w:r>
          <w:rPr>
            <w:noProof/>
            <w:webHidden/>
          </w:rPr>
        </w:r>
        <w:r>
          <w:rPr>
            <w:noProof/>
            <w:webHidden/>
          </w:rPr>
          <w:fldChar w:fldCharType="separate"/>
        </w:r>
        <w:r w:rsidR="002C64E1">
          <w:rPr>
            <w:noProof/>
            <w:webHidden/>
          </w:rPr>
          <w:t>11</w:t>
        </w:r>
        <w:r>
          <w:rPr>
            <w:noProof/>
            <w:webHidden/>
          </w:rPr>
          <w:fldChar w:fldCharType="end"/>
        </w:r>
      </w:hyperlink>
    </w:p>
    <w:p w14:paraId="16F6B2E0" w14:textId="47B3533A" w:rsidR="008B78D5" w:rsidRDefault="008B78D5">
      <w:pPr>
        <w:pStyle w:val="TOC1"/>
        <w:rPr>
          <w:rFonts w:asciiTheme="minorHAnsi" w:eastAsiaTheme="minorEastAsia" w:hAnsiTheme="minorHAnsi" w:cstheme="minorBidi"/>
          <w:noProof/>
          <w:kern w:val="2"/>
          <w:szCs w:val="24"/>
          <w:lang w:val="en-GB" w:eastAsia="en-GB"/>
          <w14:ligatures w14:val="standardContextual"/>
        </w:rPr>
      </w:pPr>
      <w:hyperlink w:anchor="_Toc182391780" w:history="1">
        <w:r w:rsidRPr="00596ABB">
          <w:rPr>
            <w:rStyle w:val="Hyperlink"/>
            <w:noProof/>
          </w:rPr>
          <w:t xml:space="preserve">Annex 3 </w:t>
        </w:r>
        <w:r>
          <w:rPr>
            <w:rStyle w:val="Hyperlink"/>
            <w:noProof/>
          </w:rPr>
          <w:t>−</w:t>
        </w:r>
        <w:r w:rsidRPr="00596ABB">
          <w:rPr>
            <w:rStyle w:val="Hyperlink"/>
            <w:noProof/>
          </w:rPr>
          <w:t xml:space="preserve"> Detailed compliance template summaries</w:t>
        </w:r>
        <w:r>
          <w:rPr>
            <w:noProof/>
            <w:webHidden/>
          </w:rPr>
          <w:tab/>
        </w:r>
        <w:r>
          <w:rPr>
            <w:noProof/>
            <w:webHidden/>
          </w:rPr>
          <w:tab/>
        </w:r>
        <w:r>
          <w:rPr>
            <w:noProof/>
            <w:webHidden/>
          </w:rPr>
          <w:fldChar w:fldCharType="begin"/>
        </w:r>
        <w:r>
          <w:rPr>
            <w:noProof/>
            <w:webHidden/>
          </w:rPr>
          <w:instrText xml:space="preserve"> PAGEREF _Toc182391780 \h </w:instrText>
        </w:r>
        <w:r>
          <w:rPr>
            <w:noProof/>
            <w:webHidden/>
          </w:rPr>
        </w:r>
        <w:r>
          <w:rPr>
            <w:noProof/>
            <w:webHidden/>
          </w:rPr>
          <w:fldChar w:fldCharType="separate"/>
        </w:r>
        <w:r w:rsidR="002C64E1">
          <w:rPr>
            <w:noProof/>
            <w:webHidden/>
          </w:rPr>
          <w:t>11</w:t>
        </w:r>
        <w:r>
          <w:rPr>
            <w:noProof/>
            <w:webHidden/>
          </w:rPr>
          <w:fldChar w:fldCharType="end"/>
        </w:r>
      </w:hyperlink>
    </w:p>
    <w:p w14:paraId="61B78D89" w14:textId="3C4A1395" w:rsidR="001C30B1" w:rsidRPr="00B02693" w:rsidRDefault="008B78D5" w:rsidP="001C30B1">
      <w:pPr>
        <w:tabs>
          <w:tab w:val="left" w:pos="851"/>
          <w:tab w:val="left" w:leader="dot" w:pos="7797"/>
          <w:tab w:val="left" w:leader="dot" w:pos="8789"/>
          <w:tab w:val="left" w:leader="dot" w:pos="9072"/>
          <w:tab w:val="center" w:pos="9356"/>
        </w:tabs>
        <w:overflowPunct/>
        <w:autoSpaceDE/>
        <w:autoSpaceDN/>
        <w:adjustRightInd/>
        <w:spacing w:before="0"/>
        <w:textAlignment w:val="auto"/>
        <w:rPr>
          <w:lang w:eastAsia="zh-CN"/>
        </w:rPr>
      </w:pPr>
      <w:r>
        <w:rPr>
          <w:b/>
          <w:bCs/>
          <w:caps/>
          <w:szCs w:val="24"/>
          <w:lang w:eastAsia="zh-CN"/>
        </w:rPr>
        <w:fldChar w:fldCharType="end"/>
      </w:r>
      <w:r w:rsidR="001C30B1" w:rsidRPr="00B02693">
        <w:rPr>
          <w:lang w:eastAsia="zh-CN"/>
        </w:rPr>
        <w:br w:type="page"/>
      </w:r>
    </w:p>
    <w:p w14:paraId="5E003A1A" w14:textId="738E3C2B" w:rsidR="00196F32" w:rsidRPr="00B02693" w:rsidRDefault="00196F32" w:rsidP="009077EC">
      <w:pPr>
        <w:pStyle w:val="Heading1"/>
        <w:tabs>
          <w:tab w:val="left" w:pos="5840"/>
        </w:tabs>
      </w:pPr>
      <w:bookmarkStart w:id="4" w:name="_Toc181174795"/>
      <w:bookmarkStart w:id="5" w:name="_Toc181174978"/>
      <w:bookmarkStart w:id="6" w:name="_Toc182391767"/>
      <w:r w:rsidRPr="00B02693">
        <w:lastRenderedPageBreak/>
        <w:t>1</w:t>
      </w:r>
      <w:r w:rsidRPr="00B02693">
        <w:tab/>
        <w:t>Introduction</w:t>
      </w:r>
      <w:bookmarkEnd w:id="4"/>
      <w:bookmarkEnd w:id="5"/>
      <w:bookmarkEnd w:id="6"/>
    </w:p>
    <w:p w14:paraId="49C1E105" w14:textId="77777777" w:rsidR="00196F32" w:rsidRPr="00B02693" w:rsidRDefault="00196F32" w:rsidP="00196F32">
      <w:r w:rsidRPr="00B02693">
        <w:t xml:space="preserve">As defined in </w:t>
      </w:r>
      <w:hyperlink r:id="rId15" w:history="1">
        <w:r w:rsidRPr="00B02693">
          <w:t>Resolution ITU-R 56</w:t>
        </w:r>
      </w:hyperlink>
      <w:r w:rsidRPr="00B02693">
        <w:t xml:space="preserve">, International Mobile Telecommunications-2020 (IMT-2020) systems are mobile systems that include new radio interface(s) which support the new capabilities of systems beyond IMT-2000 and IMT-Advanced. Based on Report </w:t>
      </w:r>
      <w:hyperlink r:id="rId16" w:history="1">
        <w:r w:rsidRPr="00B02693">
          <w:t>ITU-R M.2514</w:t>
        </w:r>
      </w:hyperlink>
      <w:r w:rsidRPr="00B02693">
        <w:t>, the capabilities of the satellite component of IMT-2020, include three service categories i.e. enhanced Mobile Broadband (</w:t>
      </w:r>
      <w:proofErr w:type="spellStart"/>
      <w:r w:rsidRPr="00B02693">
        <w:t>eMBB</w:t>
      </w:r>
      <w:proofErr w:type="spellEnd"/>
      <w:r w:rsidRPr="00B02693">
        <w:t>-s), massive Machine Type Communications (</w:t>
      </w:r>
      <w:proofErr w:type="spellStart"/>
      <w:r w:rsidRPr="00B02693">
        <w:t>mMTC</w:t>
      </w:r>
      <w:proofErr w:type="spellEnd"/>
      <w:r w:rsidRPr="00B02693">
        <w:t>-s) and High Reliability Communications (HRC-s) which are defined to support the multitude of applications and services for IMT</w:t>
      </w:r>
      <w:r w:rsidRPr="00B02693">
        <w:noBreakHyphen/>
        <w:t xml:space="preserve">2020 satellite component. In Recommendation </w:t>
      </w:r>
      <w:hyperlink r:id="rId17" w:history="1">
        <w:r w:rsidRPr="00B02693">
          <w:t>ITU-R M.2083</w:t>
        </w:r>
      </w:hyperlink>
      <w:r w:rsidRPr="00B02693">
        <w:t xml:space="preserve"> – IMT Vision – Framework and overall objectives of the future development of IMT for 2020 and beyond, it is presented that various access technologies including a combination of different fixed, terrestrial and satellite networks should interwork in IMT-2020. Each component should fulfil its own role, but also be integrated</w:t>
      </w:r>
      <w:r w:rsidRPr="009077EC">
        <w:rPr>
          <w:rStyle w:val="FootnoteReference"/>
        </w:rPr>
        <w:footnoteReference w:id="1"/>
      </w:r>
      <w:r w:rsidRPr="00B02693">
        <w:t xml:space="preserve"> with other components to provide service continuity as well as reinforced availability to achieve ubiquitous seamless coverage.</w:t>
      </w:r>
    </w:p>
    <w:p w14:paraId="2DE25409" w14:textId="07548561" w:rsidR="00196F32" w:rsidRPr="00B02693" w:rsidRDefault="00196F32" w:rsidP="00196F32">
      <w:pPr>
        <w:rPr>
          <w:lang w:eastAsia="ko-KR"/>
        </w:rPr>
      </w:pPr>
      <w:r w:rsidRPr="00B02693">
        <w:t>The use and objective of satellite radio interfaces is expected to be complementary to terrestrial IMT</w:t>
      </w:r>
      <w:r w:rsidR="002F74B7">
        <w:t>‑</w:t>
      </w:r>
      <w:r w:rsidRPr="00B02693">
        <w:t xml:space="preserve">2020 operations, given satellites’ unique ability to address coverage challenges and use-cases. </w:t>
      </w:r>
    </w:p>
    <w:p w14:paraId="5EBEA13A" w14:textId="77777777" w:rsidR="00196F32" w:rsidRPr="00B02693" w:rsidRDefault="00196F32" w:rsidP="002E747E">
      <w:r w:rsidRPr="00B02693">
        <w:t>The satellite component can be used to provide many different applications, for example:</w:t>
      </w:r>
    </w:p>
    <w:p w14:paraId="523C249B" w14:textId="225CE1C3" w:rsidR="00196F32" w:rsidRPr="00B02693" w:rsidRDefault="00196F32" w:rsidP="00196F32">
      <w:pPr>
        <w:pStyle w:val="enumlev1"/>
      </w:pPr>
      <w:r w:rsidRPr="00B02693">
        <w:t>–</w:t>
      </w:r>
      <w:r w:rsidRPr="00B02693">
        <w:tab/>
        <w:t>Global connectivity to end</w:t>
      </w:r>
      <w:r w:rsidR="00EA3D45">
        <w:t>-</w:t>
      </w:r>
      <w:r w:rsidRPr="00B02693">
        <w:t>user devices.</w:t>
      </w:r>
    </w:p>
    <w:p w14:paraId="685535C8" w14:textId="77777777" w:rsidR="00196F32" w:rsidRPr="00B02693" w:rsidRDefault="00196F32" w:rsidP="00196F32">
      <w:pPr>
        <w:pStyle w:val="enumlev1"/>
      </w:pPr>
      <w:r w:rsidRPr="00B02693">
        <w:t>–</w:t>
      </w:r>
      <w:r w:rsidRPr="00B02693">
        <w:tab/>
        <w:t>Network resilience through high availability combined with high reliability for HRC-s.</w:t>
      </w:r>
    </w:p>
    <w:p w14:paraId="27FD33F1" w14:textId="77777777" w:rsidR="00196F32" w:rsidRPr="00B02693" w:rsidRDefault="00196F32" w:rsidP="00196F32">
      <w:pPr>
        <w:pStyle w:val="enumlev1"/>
      </w:pPr>
      <w:r w:rsidRPr="00B02693">
        <w:t>–</w:t>
      </w:r>
      <w:r w:rsidRPr="00B02693">
        <w:tab/>
        <w:t>Connectivity for transportation purposes.</w:t>
      </w:r>
    </w:p>
    <w:p w14:paraId="37BE68D0" w14:textId="3CB32784" w:rsidR="00196F32" w:rsidRPr="00B02693" w:rsidRDefault="00196F32" w:rsidP="00196F32">
      <w:pPr>
        <w:pStyle w:val="enumlev1"/>
      </w:pPr>
      <w:r w:rsidRPr="00B02693">
        <w:t>–</w:t>
      </w:r>
      <w:r w:rsidRPr="00B02693">
        <w:tab/>
        <w:t>Content delivery in broadcast or multicast mode to end</w:t>
      </w:r>
      <w:r w:rsidR="00EA3D45">
        <w:t>-</w:t>
      </w:r>
      <w:r w:rsidRPr="00B02693">
        <w:t>user devices.</w:t>
      </w:r>
    </w:p>
    <w:p w14:paraId="1EC7B940" w14:textId="7CF1E3D7" w:rsidR="00196F32" w:rsidRPr="00B02693" w:rsidRDefault="00196F32" w:rsidP="00196F32">
      <w:pPr>
        <w:pStyle w:val="enumlev1"/>
      </w:pPr>
      <w:r w:rsidRPr="00B02693">
        <w:t>–</w:t>
      </w:r>
      <w:r w:rsidRPr="00B02693">
        <w:tab/>
        <w:t>Machine</w:t>
      </w:r>
      <w:r w:rsidR="00EA3D45">
        <w:t>-</w:t>
      </w:r>
      <w:r w:rsidRPr="00B02693">
        <w:t>type communications.</w:t>
      </w:r>
    </w:p>
    <w:p w14:paraId="6F1A7CE0" w14:textId="77777777" w:rsidR="00196F32" w:rsidRPr="00B02693" w:rsidRDefault="00196F32" w:rsidP="002E747E">
      <w:r w:rsidRPr="00B02693">
        <w:t>Use cases include:</w:t>
      </w:r>
    </w:p>
    <w:p w14:paraId="66359928" w14:textId="1100B4FA" w:rsidR="00196F32" w:rsidRPr="00B02693" w:rsidRDefault="00196F32" w:rsidP="00196F32">
      <w:pPr>
        <w:pStyle w:val="enumlev1"/>
      </w:pPr>
      <w:r w:rsidRPr="00B02693">
        <w:t>–</w:t>
      </w:r>
      <w:r w:rsidRPr="00B02693">
        <w:tab/>
        <w:t>Coverage continuity: moving pedestrian (consumer smartphones) should be able to maintain access to a large range of communication services and applications while moving out to remote areas for e.g. remote working, leisure, etc.</w:t>
      </w:r>
    </w:p>
    <w:p w14:paraId="31417012" w14:textId="77777777" w:rsidR="00196F32" w:rsidRPr="00B02693" w:rsidRDefault="00196F32" w:rsidP="00196F32">
      <w:pPr>
        <w:pStyle w:val="enumlev1"/>
      </w:pPr>
      <w:r w:rsidRPr="00B02693">
        <w:t>–</w:t>
      </w:r>
      <w:r w:rsidRPr="00B02693">
        <w:tab/>
        <w:t>Connecting populations in unserved or underserved areas.</w:t>
      </w:r>
    </w:p>
    <w:p w14:paraId="36752287" w14:textId="77777777" w:rsidR="00196F32" w:rsidRPr="00B02693" w:rsidRDefault="00196F32" w:rsidP="00196F32">
      <w:pPr>
        <w:pStyle w:val="enumlev1"/>
      </w:pPr>
      <w:r w:rsidRPr="00B02693">
        <w:t>–</w:t>
      </w:r>
      <w:r w:rsidRPr="00B02693">
        <w:tab/>
        <w:t>Connectivity to transport: buses, trains, vessels (leisure or cruise) or airplanes.</w:t>
      </w:r>
    </w:p>
    <w:p w14:paraId="46BA7387" w14:textId="6A188A5F" w:rsidR="00196F32" w:rsidRPr="00B02693" w:rsidRDefault="00196F32" w:rsidP="00196F32">
      <w:pPr>
        <w:pStyle w:val="enumlev1"/>
      </w:pPr>
      <w:r w:rsidRPr="00B02693">
        <w:t>–</w:t>
      </w:r>
      <w:r w:rsidRPr="00B02693">
        <w:tab/>
        <w:t>Public safety: to provide communication services (e.g. messaging, voice, video) to emergency responders (e.g. fire brigade, medical personnel).</w:t>
      </w:r>
    </w:p>
    <w:p w14:paraId="79EEDDC1" w14:textId="77777777" w:rsidR="00196F32" w:rsidRPr="00B02693" w:rsidRDefault="00196F32" w:rsidP="00196F32">
      <w:pPr>
        <w:pStyle w:val="enumlev1"/>
      </w:pPr>
      <w:r w:rsidRPr="00B02693">
        <w:t>–</w:t>
      </w:r>
      <w:r w:rsidRPr="00B02693">
        <w:tab/>
        <w:t>Automotive: this may include traffic flow optimisation, automotive diagnostic, safety status reporting.</w:t>
      </w:r>
    </w:p>
    <w:p w14:paraId="5BBE1B8A" w14:textId="4360FD4C" w:rsidR="00196F32" w:rsidRPr="00B02693" w:rsidRDefault="00196F32" w:rsidP="00196F32">
      <w:pPr>
        <w:pStyle w:val="enumlev1"/>
      </w:pPr>
      <w:r w:rsidRPr="00B02693">
        <w:t>–</w:t>
      </w:r>
      <w:r w:rsidRPr="00B02693">
        <w:tab/>
        <w:t>Utilities: e.g. surveillance of oil/gas, energy/water supply infrastructures, wind farms.</w:t>
      </w:r>
    </w:p>
    <w:p w14:paraId="273362AA" w14:textId="77777777" w:rsidR="00196F32" w:rsidRPr="00B02693" w:rsidRDefault="00196F32" w:rsidP="00196F32">
      <w:pPr>
        <w:pStyle w:val="enumlev1"/>
      </w:pPr>
      <w:r w:rsidRPr="00B02693">
        <w:t>–</w:t>
      </w:r>
      <w:r w:rsidRPr="00B02693">
        <w:tab/>
        <w:t>Transport (road, railway, maritime, aeronautic): Fleet management, asset tracking, digital signage, remote roads alerts.</w:t>
      </w:r>
      <w:r w:rsidRPr="00B02693">
        <w:rPr>
          <w:sz w:val="16"/>
          <w:szCs w:val="16"/>
        </w:rPr>
        <w:t xml:space="preserve"> </w:t>
      </w:r>
    </w:p>
    <w:p w14:paraId="795CCBF3" w14:textId="77777777" w:rsidR="00196F32" w:rsidRPr="00B02693" w:rsidRDefault="00196F32" w:rsidP="00196F32">
      <w:r w:rsidRPr="00B02693">
        <w:t>Circular Letter 4/LCCE/134 was sent on November 2022 to invite the submission of proposals for candidate radio interface technologies for the satellite component of IMT-2020. The Radiocommunication Bureau established an “IMT-2020-Satellite” webpage (</w:t>
      </w:r>
      <w:hyperlink r:id="rId18" w:history="1">
        <w:r w:rsidRPr="00B02693">
          <w:rPr>
            <w:color w:val="0000FF"/>
            <w:u w:val="single"/>
          </w:rPr>
          <w:t>https://www.itu.int/en/ITU-R/study-groups/rsg4/Pages/imt-2020-sat-submission-eval.aspx</w:t>
        </w:r>
      </w:hyperlink>
      <w:r w:rsidRPr="00B02693">
        <w:t>) to facilitate the development of proposals and the work of the Evaluation Groups.</w:t>
      </w:r>
    </w:p>
    <w:p w14:paraId="78093251" w14:textId="1F1C4434" w:rsidR="00196F32" w:rsidRPr="00B02693" w:rsidRDefault="00196F32" w:rsidP="002E747E">
      <w:pPr>
        <w:keepNext/>
        <w:keepLines/>
      </w:pPr>
      <w:r w:rsidRPr="00B02693">
        <w:lastRenderedPageBreak/>
        <w:t>The submission and evaluation process for the IMT-2020 satellite radio interface is included in Document IMT-2020-SAT/2 and is illustrated in</w:t>
      </w:r>
      <w:r w:rsidR="000D074A">
        <w:t xml:space="preserve"> </w:t>
      </w:r>
      <w:r w:rsidR="001400EB">
        <w:t>its</w:t>
      </w:r>
      <w:r w:rsidRPr="00B02693">
        <w:t xml:space="preserve"> Fig. A2</w:t>
      </w:r>
      <w:r w:rsidRPr="00B02693">
        <w:noBreakHyphen/>
        <w:t>2, reproduced below</w:t>
      </w:r>
      <w:r w:rsidR="003E4DB8">
        <w:t xml:space="preserve"> as Fig. 1</w:t>
      </w:r>
      <w:r w:rsidRPr="00B02693">
        <w:t xml:space="preserve"> for easy reference in understanding the steps of the IMT-2020 satellite process. The requirements, evaluation criteria and submission templates for the development of the IMT-2020 satellite radio interface are included in Report </w:t>
      </w:r>
      <w:hyperlink r:id="rId19" w:history="1">
        <w:r w:rsidRPr="00632FEC">
          <w:rPr>
            <w:rStyle w:val="Hyperlink"/>
            <w:color w:val="auto"/>
            <w:u w:val="none"/>
          </w:rPr>
          <w:t>ITU-R M.2514</w:t>
        </w:r>
      </w:hyperlink>
      <w:r w:rsidRPr="00B02693">
        <w:t>. The requirements related to the technical performance for IMT</w:t>
      </w:r>
      <w:r w:rsidRPr="00B02693">
        <w:noBreakHyphen/>
        <w:t>2020 satellite radio interface(s) as well as the guidelines for the evaluation of satellite radio interface technologies for IMT</w:t>
      </w:r>
      <w:r w:rsidRPr="00B02693">
        <w:noBreakHyphen/>
        <w:t xml:space="preserve">2020 are also included in Report </w:t>
      </w:r>
      <w:hyperlink r:id="rId20" w:history="1">
        <w:r w:rsidR="00F2093D" w:rsidRPr="00632FEC">
          <w:rPr>
            <w:rStyle w:val="Hyperlink"/>
            <w:color w:val="auto"/>
            <w:u w:val="none"/>
          </w:rPr>
          <w:t>ITU-R M.2514</w:t>
        </w:r>
      </w:hyperlink>
      <w:r w:rsidRPr="00B02693">
        <w:t>.</w:t>
      </w:r>
    </w:p>
    <w:p w14:paraId="13DC562C" w14:textId="18E63CD4" w:rsidR="00196F32" w:rsidRPr="00B02693" w:rsidRDefault="00196F32" w:rsidP="00196F32">
      <w:pPr>
        <w:pStyle w:val="FigureNo"/>
      </w:pPr>
      <w:bookmarkStart w:id="7" w:name="_Toc254701868"/>
      <w:bookmarkStart w:id="8" w:name="_Toc257375444"/>
      <w:bookmarkStart w:id="9" w:name="_Toc269478139"/>
      <w:bookmarkStart w:id="10" w:name="_Toc269478540"/>
      <w:bookmarkStart w:id="11" w:name="_Toc274204291"/>
      <w:bookmarkStart w:id="12" w:name="_Toc274861532"/>
      <w:bookmarkStart w:id="13" w:name="_Toc276718331"/>
      <w:bookmarkStart w:id="14" w:name="_Toc280016859"/>
      <w:bookmarkStart w:id="15" w:name="_Toc355260986"/>
      <w:r w:rsidRPr="00B02693">
        <w:t xml:space="preserve">Figure </w:t>
      </w:r>
      <w:r w:rsidR="008A6B12">
        <w:t>1</w:t>
      </w:r>
    </w:p>
    <w:p w14:paraId="06E29C7F" w14:textId="77777777" w:rsidR="00196F32" w:rsidRPr="00B02693" w:rsidRDefault="00196F32" w:rsidP="00196F32">
      <w:pPr>
        <w:pStyle w:val="Figuretitle"/>
      </w:pPr>
      <w:r w:rsidRPr="00B02693">
        <w:t>IMT-2020 satellite component radio interface development process</w:t>
      </w:r>
    </w:p>
    <w:p w14:paraId="3E9A64B1" w14:textId="3ACEEABD" w:rsidR="00196F32" w:rsidRPr="00B02693" w:rsidRDefault="00595F8A" w:rsidP="00196F32">
      <w:pPr>
        <w:pStyle w:val="Figure"/>
        <w:rPr>
          <w:rFonts w:eastAsia="Malgun Gothic"/>
          <w:lang w:eastAsia="ko-KR"/>
        </w:rPr>
      </w:pPr>
      <w:r>
        <w:rPr>
          <w:rFonts w:eastAsia="Malgun Gothic"/>
          <w:noProof/>
          <w:lang w:eastAsia="ko-KR"/>
        </w:rPr>
        <w:drawing>
          <wp:inline distT="0" distB="0" distL="0" distR="0" wp14:anchorId="2F1019AC" wp14:editId="0781D871">
            <wp:extent cx="5465075" cy="6449581"/>
            <wp:effectExtent l="0" t="0" r="2540" b="8890"/>
            <wp:docPr id="89925990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59900" name="Picture 1" descr="A diagram of a 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65075" cy="6449581"/>
                    </a:xfrm>
                    <a:prstGeom prst="rect">
                      <a:avLst/>
                    </a:prstGeom>
                  </pic:spPr>
                </pic:pic>
              </a:graphicData>
            </a:graphic>
          </wp:inline>
        </w:drawing>
      </w:r>
    </w:p>
    <w:p w14:paraId="4415A8C0" w14:textId="77777777" w:rsidR="00196F32" w:rsidRPr="00B02693" w:rsidRDefault="00196F32" w:rsidP="00196F32">
      <w:pPr>
        <w:pStyle w:val="Heading1"/>
      </w:pPr>
      <w:bookmarkStart w:id="16" w:name="_Toc374520812"/>
      <w:bookmarkStart w:id="17" w:name="_Toc181174796"/>
      <w:bookmarkStart w:id="18" w:name="_Toc181174979"/>
      <w:bookmarkStart w:id="19" w:name="_Toc182391768"/>
      <w:r w:rsidRPr="00B02693">
        <w:lastRenderedPageBreak/>
        <w:t>2</w:t>
      </w:r>
      <w:r w:rsidRPr="00B02693">
        <w:tab/>
        <w:t>Scope</w:t>
      </w:r>
      <w:bookmarkEnd w:id="7"/>
      <w:bookmarkEnd w:id="8"/>
      <w:bookmarkEnd w:id="9"/>
      <w:bookmarkEnd w:id="10"/>
      <w:bookmarkEnd w:id="11"/>
      <w:bookmarkEnd w:id="12"/>
      <w:bookmarkEnd w:id="13"/>
      <w:bookmarkEnd w:id="14"/>
      <w:bookmarkEnd w:id="15"/>
      <w:bookmarkEnd w:id="16"/>
      <w:bookmarkEnd w:id="17"/>
      <w:bookmarkEnd w:id="18"/>
      <w:bookmarkEnd w:id="19"/>
    </w:p>
    <w:p w14:paraId="0DF7AE69" w14:textId="07DA16FB" w:rsidR="00196F32" w:rsidRPr="00B02693" w:rsidRDefault="00196F32" w:rsidP="00196F32">
      <w:r w:rsidRPr="00B02693">
        <w:t>This Report is the record of the work performed after receipt of the proposals for the IMT</w:t>
      </w:r>
      <w:r w:rsidRPr="00B02693">
        <w:noBreakHyphen/>
        <w:t>2020 satellite candidate RITs, including the evaluation activity and the consensus building. This Report contains the outcome and conclusions of Steps 4</w:t>
      </w:r>
      <w:r w:rsidR="00777AC0">
        <w:t xml:space="preserve"> to </w:t>
      </w:r>
      <w:r w:rsidRPr="00B02693">
        <w:t>7 of the IMT</w:t>
      </w:r>
      <w:r w:rsidRPr="00B02693">
        <w:noBreakHyphen/>
        <w:t>2020 satellite process. These steps correspond to:</w:t>
      </w:r>
    </w:p>
    <w:p w14:paraId="71EAB1C2" w14:textId="77777777" w:rsidR="00196F32" w:rsidRPr="00B02693" w:rsidRDefault="00196F32" w:rsidP="00196F32">
      <w:pPr>
        <w:pStyle w:val="enumlev1"/>
      </w:pPr>
      <w:r w:rsidRPr="00B02693">
        <w:t>–</w:t>
      </w:r>
      <w:r w:rsidRPr="00B02693">
        <w:tab/>
        <w:t>Step 4: Evaluation of candidate RITs and SRITs by independent evaluation groups.</w:t>
      </w:r>
    </w:p>
    <w:p w14:paraId="53B2417B" w14:textId="77777777" w:rsidR="00196F32" w:rsidRPr="00B02693" w:rsidRDefault="00196F32" w:rsidP="00196F32">
      <w:pPr>
        <w:pStyle w:val="enumlev1"/>
      </w:pPr>
      <w:r w:rsidRPr="00B02693">
        <w:t>–</w:t>
      </w:r>
      <w:r w:rsidRPr="00B02693">
        <w:tab/>
        <w:t>Step 5: Review and coordination of outside evaluation activities.</w:t>
      </w:r>
    </w:p>
    <w:p w14:paraId="7886FBFF" w14:textId="77777777" w:rsidR="00196F32" w:rsidRPr="00B02693" w:rsidRDefault="00196F32" w:rsidP="00196F32">
      <w:pPr>
        <w:pStyle w:val="enumlev1"/>
      </w:pPr>
      <w:r w:rsidRPr="00B02693">
        <w:t>–</w:t>
      </w:r>
      <w:r w:rsidRPr="00B02693">
        <w:tab/>
        <w:t>Step 6: Review to assess compliance with minimum requirements.</w:t>
      </w:r>
    </w:p>
    <w:p w14:paraId="6D7E708D" w14:textId="77777777" w:rsidR="00196F32" w:rsidRPr="00B02693" w:rsidRDefault="00196F32" w:rsidP="00196F32">
      <w:pPr>
        <w:pStyle w:val="enumlev1"/>
      </w:pPr>
      <w:r w:rsidRPr="00B02693">
        <w:t>–</w:t>
      </w:r>
      <w:r w:rsidRPr="00B02693">
        <w:tab/>
        <w:t>Step 7: Consideration of evaluation results, consensus building and decision.</w:t>
      </w:r>
    </w:p>
    <w:p w14:paraId="26B0C86F" w14:textId="77777777" w:rsidR="00196F32" w:rsidRPr="00B02693" w:rsidRDefault="00196F32" w:rsidP="00196F32">
      <w:pPr>
        <w:rPr>
          <w:lang w:eastAsia="ko-KR"/>
        </w:rPr>
      </w:pPr>
      <w:r w:rsidRPr="00B02693">
        <w:t>The details of these steps are provided in Document IMT-2020</w:t>
      </w:r>
      <w:r w:rsidRPr="00B02693">
        <w:rPr>
          <w:lang w:eastAsia="ko-KR"/>
        </w:rPr>
        <w:t>-SAT</w:t>
      </w:r>
      <w:r w:rsidRPr="00B02693">
        <w:t>/2.</w:t>
      </w:r>
    </w:p>
    <w:p w14:paraId="670623DD" w14:textId="77777777" w:rsidR="00196F32" w:rsidRDefault="00196F32" w:rsidP="00196F32">
      <w:r w:rsidRPr="00B02693">
        <w:t xml:space="preserve">This Report also states the decisions reached by ITU-R on each of the candidate proposals and </w:t>
      </w:r>
      <w:r w:rsidRPr="00CD30F4">
        <w:t>provides the technical characteristics of the RITs and SRITs for the satellite component of IMT</w:t>
      </w:r>
      <w:r w:rsidRPr="00CD30F4">
        <w:noBreakHyphen/>
        <w:t>2020.</w:t>
      </w:r>
    </w:p>
    <w:p w14:paraId="7BF63EDD" w14:textId="495D56C7" w:rsidR="0033097D" w:rsidRPr="00D21A33" w:rsidRDefault="0033097D" w:rsidP="00196F32">
      <w:pPr>
        <w:rPr>
          <w:lang w:val="en-US" w:eastAsia="ko-KR"/>
        </w:rPr>
      </w:pPr>
      <w:r>
        <w:rPr>
          <w:lang w:val="en-US" w:eastAsia="ko-KR"/>
        </w:rPr>
        <w:t xml:space="preserve">Note that the actual specifications of the </w:t>
      </w:r>
      <w:r w:rsidRPr="0033097D">
        <w:rPr>
          <w:lang w:val="en-US" w:eastAsia="ko-KR"/>
        </w:rPr>
        <w:t>agreed IMT-2020 satellite radio interfaces</w:t>
      </w:r>
      <w:r>
        <w:rPr>
          <w:lang w:val="en-US" w:eastAsia="ko-KR"/>
        </w:rPr>
        <w:t xml:space="preserve"> w</w:t>
      </w:r>
      <w:proofErr w:type="spellStart"/>
      <w:r w:rsidRPr="0033097D">
        <w:rPr>
          <w:lang w:eastAsia="ko-KR"/>
        </w:rPr>
        <w:t>ill</w:t>
      </w:r>
      <w:proofErr w:type="spellEnd"/>
      <w:r w:rsidRPr="0033097D">
        <w:rPr>
          <w:lang w:eastAsia="ko-KR"/>
        </w:rPr>
        <w:t xml:space="preserve"> be contained in a future Recommendation</w:t>
      </w:r>
      <w:r w:rsidRPr="0033097D">
        <w:t xml:space="preserve"> </w:t>
      </w:r>
      <w:r w:rsidRPr="0033097D">
        <w:rPr>
          <w:lang w:eastAsia="ko-KR"/>
        </w:rPr>
        <w:t>on Detailed specifications of the satellite radio interfaces of International Mobile Telecommunications-2020 (IMT-2020), which is being developed</w:t>
      </w:r>
      <w:r>
        <w:rPr>
          <w:rStyle w:val="FootnoteReference"/>
          <w:lang w:eastAsia="ko-KR"/>
        </w:rPr>
        <w:footnoteReference w:id="2"/>
      </w:r>
      <w:r>
        <w:rPr>
          <w:lang w:eastAsia="ko-KR"/>
        </w:rPr>
        <w:t>.</w:t>
      </w:r>
    </w:p>
    <w:p w14:paraId="56964C49" w14:textId="77777777" w:rsidR="00196F32" w:rsidRPr="00B02693" w:rsidRDefault="00196F32" w:rsidP="00196F32">
      <w:pPr>
        <w:pStyle w:val="Heading1"/>
      </w:pPr>
      <w:bookmarkStart w:id="20" w:name="_Toc249844394"/>
      <w:bookmarkStart w:id="21" w:name="_Toc254701869"/>
      <w:bookmarkStart w:id="22" w:name="_Toc257375445"/>
      <w:bookmarkStart w:id="23" w:name="_Toc269478140"/>
      <w:bookmarkStart w:id="24" w:name="_Toc269478541"/>
      <w:bookmarkStart w:id="25" w:name="_Toc274204292"/>
      <w:bookmarkStart w:id="26" w:name="_Toc274861533"/>
      <w:bookmarkStart w:id="27" w:name="_Toc276718332"/>
      <w:bookmarkStart w:id="28" w:name="_Toc280016860"/>
      <w:bookmarkStart w:id="29" w:name="_Toc355260987"/>
      <w:bookmarkStart w:id="30" w:name="_Toc374520813"/>
      <w:bookmarkStart w:id="31" w:name="_Toc181174797"/>
      <w:bookmarkStart w:id="32" w:name="_Toc181174980"/>
      <w:bookmarkStart w:id="33" w:name="_Toc182391769"/>
      <w:r w:rsidRPr="00B02693">
        <w:t>3</w:t>
      </w:r>
      <w:r w:rsidRPr="00B02693">
        <w:rPr>
          <w:rFonts w:eastAsia="Malgun Gothic"/>
        </w:rPr>
        <w:tab/>
      </w:r>
      <w:r w:rsidRPr="00B02693">
        <w:t xml:space="preserve">Related </w:t>
      </w:r>
      <w:bookmarkEnd w:id="20"/>
      <w:bookmarkEnd w:id="21"/>
      <w:bookmarkEnd w:id="22"/>
      <w:bookmarkEnd w:id="23"/>
      <w:bookmarkEnd w:id="24"/>
      <w:bookmarkEnd w:id="25"/>
      <w:bookmarkEnd w:id="26"/>
      <w:bookmarkEnd w:id="27"/>
      <w:r w:rsidRPr="00B02693">
        <w:t>text references</w:t>
      </w:r>
      <w:bookmarkEnd w:id="28"/>
      <w:bookmarkEnd w:id="29"/>
      <w:bookmarkEnd w:id="30"/>
      <w:bookmarkEnd w:id="31"/>
      <w:bookmarkEnd w:id="32"/>
      <w:bookmarkEnd w:id="33"/>
    </w:p>
    <w:p w14:paraId="5EF97FAF" w14:textId="0B7AD3CD" w:rsidR="00196F32" w:rsidRPr="009A38E7" w:rsidRDefault="00196F32" w:rsidP="00196F32">
      <w:pPr>
        <w:ind w:left="3600" w:hanging="3600"/>
      </w:pPr>
      <w:r w:rsidRPr="009A38E7">
        <w:t xml:space="preserve">Resolution </w:t>
      </w:r>
      <w:hyperlink r:id="rId22" w:history="1">
        <w:r w:rsidRPr="009A38E7">
          <w:rPr>
            <w:rStyle w:val="Hyperlink"/>
            <w:color w:val="auto"/>
            <w:u w:val="none"/>
          </w:rPr>
          <w:t>ITU-R 56</w:t>
        </w:r>
      </w:hyperlink>
      <w:r w:rsidRPr="009A38E7">
        <w:tab/>
        <w:t>Naming for International Mobile Telecommunications</w:t>
      </w:r>
    </w:p>
    <w:p w14:paraId="24A43D62" w14:textId="7EA4B6C9" w:rsidR="00196F32" w:rsidRPr="009A38E7" w:rsidRDefault="00196F32" w:rsidP="00196F32">
      <w:pPr>
        <w:ind w:left="3600" w:hanging="3600"/>
      </w:pPr>
      <w:r w:rsidRPr="009A38E7">
        <w:t xml:space="preserve">Resolution </w:t>
      </w:r>
      <w:hyperlink r:id="rId23" w:history="1">
        <w:r w:rsidRPr="009A38E7">
          <w:rPr>
            <w:rStyle w:val="Hyperlink"/>
            <w:color w:val="auto"/>
            <w:u w:val="none"/>
          </w:rPr>
          <w:t>ITU-R 65</w:t>
        </w:r>
      </w:hyperlink>
      <w:r w:rsidRPr="009A38E7">
        <w:tab/>
        <w:t>Principles for the process of future development of IMT for 2020 and beyond</w:t>
      </w:r>
    </w:p>
    <w:p w14:paraId="4BD3A627" w14:textId="29AE6717" w:rsidR="00196F32" w:rsidRPr="009A38E7" w:rsidRDefault="00196F32" w:rsidP="00196F32">
      <w:pPr>
        <w:ind w:left="3600" w:hanging="3600"/>
      </w:pPr>
      <w:r w:rsidRPr="009A38E7">
        <w:t xml:space="preserve">Recommendation </w:t>
      </w:r>
      <w:hyperlink r:id="rId24" w:history="1">
        <w:r w:rsidRPr="009A38E7">
          <w:rPr>
            <w:rStyle w:val="Hyperlink"/>
            <w:color w:val="auto"/>
            <w:u w:val="none"/>
          </w:rPr>
          <w:t>ITU</w:t>
        </w:r>
        <w:r w:rsidRPr="009A38E7">
          <w:rPr>
            <w:rStyle w:val="Hyperlink"/>
            <w:color w:val="auto"/>
            <w:u w:val="none"/>
          </w:rPr>
          <w:noBreakHyphen/>
          <w:t>R M.1224</w:t>
        </w:r>
      </w:hyperlink>
      <w:r w:rsidRPr="009A38E7">
        <w:tab/>
        <w:t>Vocabulary of Terms for International Mobile Telecommunications (IMT)</w:t>
      </w:r>
    </w:p>
    <w:p w14:paraId="1199FFEF" w14:textId="5F3C4752" w:rsidR="00196F32" w:rsidRPr="009A38E7" w:rsidRDefault="00196F32" w:rsidP="00196F32">
      <w:pPr>
        <w:ind w:left="3600" w:hanging="3600"/>
      </w:pPr>
      <w:r w:rsidRPr="009A38E7">
        <w:t xml:space="preserve">Recommendation </w:t>
      </w:r>
      <w:hyperlink r:id="rId25" w:history="1">
        <w:r w:rsidRPr="009A38E7">
          <w:rPr>
            <w:rStyle w:val="Hyperlink"/>
            <w:color w:val="auto"/>
            <w:u w:val="none"/>
          </w:rPr>
          <w:t>ITU-R M.1645</w:t>
        </w:r>
      </w:hyperlink>
      <w:r w:rsidRPr="009A38E7">
        <w:tab/>
        <w:t>Framework and overall objectives of the future development of IMT-2000 and systems beyond IMT</w:t>
      </w:r>
      <w:r w:rsidRPr="009A38E7">
        <w:noBreakHyphen/>
        <w:t>2000</w:t>
      </w:r>
    </w:p>
    <w:p w14:paraId="5BFC3E87" w14:textId="3B6E302B" w:rsidR="00196F32" w:rsidRPr="009A38E7" w:rsidRDefault="00196F32" w:rsidP="00196F32">
      <w:pPr>
        <w:ind w:left="3600" w:hanging="3600"/>
        <w:rPr>
          <w:lang w:eastAsia="ko-KR"/>
        </w:rPr>
      </w:pPr>
      <w:r w:rsidRPr="009A38E7">
        <w:t xml:space="preserve">Recommendation </w:t>
      </w:r>
      <w:hyperlink r:id="rId26" w:history="1">
        <w:r w:rsidRPr="009A38E7">
          <w:rPr>
            <w:rStyle w:val="Hyperlink"/>
            <w:color w:val="auto"/>
            <w:u w:val="none"/>
          </w:rPr>
          <w:t>ITU-R M.1822</w:t>
        </w:r>
      </w:hyperlink>
      <w:r w:rsidRPr="009A38E7">
        <w:tab/>
        <w:t>Framework for services supported by IMT</w:t>
      </w:r>
    </w:p>
    <w:p w14:paraId="76F79E8D" w14:textId="519A5ED5" w:rsidR="00196F32" w:rsidRPr="009A38E7" w:rsidRDefault="00196F32" w:rsidP="00196F32">
      <w:pPr>
        <w:ind w:left="3600" w:hanging="3600"/>
        <w:rPr>
          <w:lang w:eastAsia="zh-CN"/>
        </w:rPr>
      </w:pPr>
      <w:r w:rsidRPr="009A38E7">
        <w:rPr>
          <w:lang w:eastAsia="zh-CN"/>
        </w:rPr>
        <w:t xml:space="preserve">Recommendation </w:t>
      </w:r>
      <w:hyperlink r:id="rId27" w:history="1">
        <w:r w:rsidRPr="009A38E7">
          <w:rPr>
            <w:rStyle w:val="Hyperlink"/>
            <w:color w:val="auto"/>
            <w:u w:val="none"/>
            <w:lang w:eastAsia="zh-CN"/>
          </w:rPr>
          <w:t>ITU-R M.1850</w:t>
        </w:r>
      </w:hyperlink>
      <w:r w:rsidRPr="009A38E7">
        <w:tab/>
        <w:t>Detailed specifications of the radio interfaces for the satellite component of International Mobile Telecommunications-2000 (IMT-2000)</w:t>
      </w:r>
    </w:p>
    <w:p w14:paraId="148A7B70" w14:textId="715F20D8" w:rsidR="00196F32" w:rsidRPr="009A38E7" w:rsidRDefault="00196F32" w:rsidP="00196F32">
      <w:pPr>
        <w:ind w:left="3600" w:hanging="3600"/>
        <w:rPr>
          <w:lang w:eastAsia="ko-KR"/>
        </w:rPr>
      </w:pPr>
      <w:r w:rsidRPr="009A38E7">
        <w:t xml:space="preserve">Recommendation </w:t>
      </w:r>
      <w:hyperlink r:id="rId28" w:history="1">
        <w:r w:rsidRPr="009A38E7">
          <w:rPr>
            <w:rStyle w:val="Hyperlink"/>
            <w:color w:val="auto"/>
            <w:u w:val="none"/>
          </w:rPr>
          <w:t>ITU-R M.2047</w:t>
        </w:r>
      </w:hyperlink>
      <w:r w:rsidRPr="009A38E7">
        <w:tab/>
      </w:r>
      <w:r w:rsidRPr="009A38E7">
        <w:rPr>
          <w:lang w:eastAsia="ko-KR"/>
        </w:rPr>
        <w:t>Detailed specifications of the satellite radio interfaces of International Mobile Telecommunications-Advanced (IMT</w:t>
      </w:r>
      <w:r w:rsidRPr="009A38E7">
        <w:rPr>
          <w:lang w:eastAsia="ko-KR"/>
        </w:rPr>
        <w:noBreakHyphen/>
        <w:t>Advanced)</w:t>
      </w:r>
    </w:p>
    <w:p w14:paraId="1FAE470A" w14:textId="2484BB5E" w:rsidR="00196F32" w:rsidRPr="00B02693" w:rsidRDefault="00196F32" w:rsidP="00196F32">
      <w:pPr>
        <w:ind w:left="3600" w:hanging="3600"/>
      </w:pPr>
      <w:r w:rsidRPr="009A38E7">
        <w:rPr>
          <w:lang w:eastAsia="ko-KR"/>
        </w:rPr>
        <w:t xml:space="preserve">Recommendation </w:t>
      </w:r>
      <w:hyperlink r:id="rId29" w:history="1">
        <w:r w:rsidRPr="009A38E7">
          <w:rPr>
            <w:rStyle w:val="Hyperlink"/>
            <w:color w:val="auto"/>
            <w:u w:val="none"/>
            <w:lang w:eastAsia="ko-KR"/>
          </w:rPr>
          <w:t>ITU-R M.2083</w:t>
        </w:r>
      </w:hyperlink>
      <w:r w:rsidRPr="009A38E7">
        <w:rPr>
          <w:lang w:eastAsia="ko-KR"/>
        </w:rPr>
        <w:tab/>
      </w:r>
      <w:r w:rsidRPr="009A38E7">
        <w:t xml:space="preserve">IMT Vision </w:t>
      </w:r>
      <w:r w:rsidR="000D109D">
        <w:t>−</w:t>
      </w:r>
      <w:r w:rsidRPr="009A38E7">
        <w:t xml:space="preserve"> Framework and overall objectives of the future </w:t>
      </w:r>
      <w:r w:rsidRPr="00B02693">
        <w:t>development of IMT for 2020 and beyond</w:t>
      </w:r>
    </w:p>
    <w:p w14:paraId="7BE80BD1" w14:textId="6A46A151" w:rsidR="00196F32" w:rsidRPr="00B02693" w:rsidRDefault="00196F32" w:rsidP="00196F32">
      <w:pPr>
        <w:ind w:left="3600" w:hanging="3600"/>
        <w:rPr>
          <w:lang w:eastAsia="ko-KR"/>
        </w:rPr>
      </w:pPr>
      <w:r w:rsidRPr="00B02693">
        <w:t xml:space="preserve">Report </w:t>
      </w:r>
      <w:hyperlink r:id="rId30" w:history="1">
        <w:r w:rsidR="00F2093D" w:rsidRPr="00632FEC">
          <w:rPr>
            <w:rStyle w:val="Hyperlink"/>
            <w:color w:val="auto"/>
            <w:u w:val="none"/>
          </w:rPr>
          <w:t>ITU-R M.2514</w:t>
        </w:r>
      </w:hyperlink>
      <w:r w:rsidRPr="00B02693">
        <w:rPr>
          <w:lang w:eastAsia="ko-KR"/>
        </w:rPr>
        <w:t xml:space="preserve"> </w:t>
      </w:r>
      <w:r w:rsidRPr="00B02693">
        <w:tab/>
      </w:r>
      <w:r w:rsidRPr="00B02693">
        <w:rPr>
          <w:lang w:eastAsia="ko-KR"/>
        </w:rPr>
        <w:t>Vision, requirements and evaluation guidelines for the satellite radio interface(s) of IMT-2020</w:t>
      </w:r>
    </w:p>
    <w:p w14:paraId="101A522E" w14:textId="77777777" w:rsidR="00196F32" w:rsidRPr="00B02693" w:rsidRDefault="00196F32" w:rsidP="00196F32">
      <w:pPr>
        <w:ind w:left="3600" w:hanging="3600"/>
      </w:pPr>
      <w:r w:rsidRPr="00B02693">
        <w:t>ITU Handbook on Satellite Communications, third edition, 2002, West Sussex: John Wiley &amp; Sons</w:t>
      </w:r>
    </w:p>
    <w:p w14:paraId="5CCF6EEC" w14:textId="4C5281D5" w:rsidR="00196F32" w:rsidRPr="00B02693" w:rsidRDefault="00196F32" w:rsidP="00196F32">
      <w:pPr>
        <w:ind w:left="3600" w:hanging="3600"/>
      </w:pPr>
      <w:hyperlink r:id="rId31" w:history="1">
        <w:r w:rsidRPr="00EA4E2C">
          <w:rPr>
            <w:rStyle w:val="Hyperlink"/>
            <w:color w:val="auto"/>
            <w:u w:val="none"/>
          </w:rPr>
          <w:t>ITU Handbook on Small Satellites</w:t>
        </w:r>
      </w:hyperlink>
      <w:r w:rsidRPr="00B02693">
        <w:t>, Edition of 2023</w:t>
      </w:r>
    </w:p>
    <w:p w14:paraId="1CDF4720" w14:textId="77777777" w:rsidR="00196F32" w:rsidRPr="00B02693" w:rsidRDefault="00196F32" w:rsidP="00196F32">
      <w:pPr>
        <w:ind w:left="3600" w:hanging="3600"/>
      </w:pPr>
      <w:r w:rsidRPr="00B02693">
        <w:t>Document IMT-2020-SAT/2</w:t>
      </w:r>
      <w:r w:rsidRPr="00B02693">
        <w:tab/>
      </w:r>
      <w:r w:rsidRPr="00B02693">
        <w:rPr>
          <w:rFonts w:eastAsia="Malgun Gothic"/>
          <w:lang w:eastAsia="ko-KR"/>
        </w:rPr>
        <w:t>S</w:t>
      </w:r>
      <w:r w:rsidRPr="00B02693">
        <w:t>ubmission and evaluation process and consensus building for satellite radio interface technology proposals of IMT</w:t>
      </w:r>
      <w:r w:rsidRPr="00B02693">
        <w:noBreakHyphen/>
        <w:t>2020.</w:t>
      </w:r>
    </w:p>
    <w:p w14:paraId="092CE903" w14:textId="77777777" w:rsidR="00196F32" w:rsidRPr="00B02693" w:rsidRDefault="00196F32" w:rsidP="00196F32">
      <w:pPr>
        <w:pStyle w:val="Heading2"/>
      </w:pPr>
      <w:bookmarkStart w:id="34" w:name="_Toc274861534"/>
      <w:bookmarkStart w:id="35" w:name="_Toc276718333"/>
      <w:bookmarkStart w:id="36" w:name="_Toc280016861"/>
      <w:bookmarkStart w:id="37" w:name="_Toc355260988"/>
      <w:bookmarkStart w:id="38" w:name="_Toc374520814"/>
      <w:bookmarkStart w:id="39" w:name="_Toc181174798"/>
      <w:bookmarkStart w:id="40" w:name="_Toc181174981"/>
      <w:bookmarkStart w:id="41" w:name="_Toc182391770"/>
      <w:r w:rsidRPr="00B02693">
        <w:lastRenderedPageBreak/>
        <w:t>3.1</w:t>
      </w:r>
      <w:r w:rsidRPr="00B02693">
        <w:tab/>
        <w:t>List of acronyms and abbreviations</w:t>
      </w:r>
      <w:bookmarkEnd w:id="34"/>
      <w:bookmarkEnd w:id="35"/>
      <w:bookmarkEnd w:id="36"/>
      <w:bookmarkEnd w:id="37"/>
      <w:bookmarkEnd w:id="38"/>
      <w:bookmarkEnd w:id="39"/>
      <w:bookmarkEnd w:id="40"/>
      <w:bookmarkEnd w:id="41"/>
    </w:p>
    <w:p w14:paraId="1AF3CC9E" w14:textId="77777777" w:rsidR="00196F32" w:rsidRPr="00B02693" w:rsidRDefault="00196F32" w:rsidP="00C67C66">
      <w:pPr>
        <w:tabs>
          <w:tab w:val="clear" w:pos="794"/>
        </w:tabs>
        <w:rPr>
          <w:lang w:eastAsia="ko-KR"/>
        </w:rPr>
      </w:pPr>
      <w:r w:rsidRPr="00B02693">
        <w:rPr>
          <w:rFonts w:eastAsia="Malgun Gothic"/>
        </w:rPr>
        <w:t>IMT</w:t>
      </w:r>
      <w:r w:rsidRPr="00B02693">
        <w:rPr>
          <w:rFonts w:eastAsia="Malgun Gothic"/>
          <w:lang w:eastAsia="ko-KR"/>
        </w:rPr>
        <w:tab/>
      </w:r>
      <w:r w:rsidRPr="00B02693">
        <w:t>International Mobile Telecommunications</w:t>
      </w:r>
    </w:p>
    <w:p w14:paraId="15FD898A" w14:textId="77777777" w:rsidR="00196F32" w:rsidRPr="00B02693" w:rsidRDefault="00196F32" w:rsidP="00C67C66">
      <w:pPr>
        <w:tabs>
          <w:tab w:val="clear" w:pos="794"/>
        </w:tabs>
        <w:rPr>
          <w:lang w:eastAsia="ko-KR"/>
        </w:rPr>
      </w:pPr>
      <w:r w:rsidRPr="00B02693">
        <w:t>RIT</w:t>
      </w:r>
      <w:r w:rsidRPr="00B02693">
        <w:tab/>
        <w:t>Radio interface technology</w:t>
      </w:r>
    </w:p>
    <w:p w14:paraId="3A923931" w14:textId="77777777" w:rsidR="00196F32" w:rsidRPr="00B02693" w:rsidRDefault="00196F32" w:rsidP="00C67C66">
      <w:pPr>
        <w:tabs>
          <w:tab w:val="clear" w:pos="794"/>
        </w:tabs>
        <w:rPr>
          <w:lang w:eastAsia="ko-KR"/>
        </w:rPr>
      </w:pPr>
      <w:r w:rsidRPr="00B02693">
        <w:rPr>
          <w:lang w:eastAsia="ko-KR"/>
        </w:rPr>
        <w:t>SRIT</w:t>
      </w:r>
      <w:r w:rsidRPr="00B02693">
        <w:rPr>
          <w:lang w:eastAsia="ko-KR"/>
        </w:rPr>
        <w:tab/>
        <w:t>Set of radio interface technologies</w:t>
      </w:r>
    </w:p>
    <w:p w14:paraId="16A8E046" w14:textId="77777777" w:rsidR="00196F32" w:rsidRPr="00B02693" w:rsidRDefault="00196F32" w:rsidP="00C67C66">
      <w:pPr>
        <w:tabs>
          <w:tab w:val="clear" w:pos="794"/>
        </w:tabs>
        <w:rPr>
          <w:lang w:eastAsia="ko-KR"/>
        </w:rPr>
      </w:pPr>
      <w:r w:rsidRPr="00B02693">
        <w:rPr>
          <w:lang w:eastAsia="ko-KR"/>
        </w:rPr>
        <w:t>UE</w:t>
      </w:r>
      <w:r w:rsidRPr="00B02693">
        <w:rPr>
          <w:lang w:eastAsia="ko-KR"/>
        </w:rPr>
        <w:tab/>
        <w:t>User equipment</w:t>
      </w:r>
    </w:p>
    <w:p w14:paraId="67B09E3E" w14:textId="77777777" w:rsidR="00196F32" w:rsidRPr="00B02693" w:rsidRDefault="00196F32" w:rsidP="00196F32">
      <w:pPr>
        <w:pStyle w:val="Heading1"/>
        <w:rPr>
          <w:rFonts w:eastAsia="Malgun Gothic"/>
        </w:rPr>
      </w:pPr>
      <w:bookmarkStart w:id="42" w:name="_Toc254701870"/>
      <w:bookmarkStart w:id="43" w:name="_Toc257375446"/>
      <w:bookmarkStart w:id="44" w:name="_Toc269478141"/>
      <w:bookmarkStart w:id="45" w:name="_Toc269478542"/>
      <w:bookmarkStart w:id="46" w:name="_Toc274204293"/>
      <w:bookmarkStart w:id="47" w:name="_Toc274861535"/>
      <w:bookmarkStart w:id="48" w:name="_Toc276718334"/>
      <w:bookmarkStart w:id="49" w:name="_Toc280016862"/>
      <w:bookmarkStart w:id="50" w:name="_Toc355260989"/>
      <w:bookmarkStart w:id="51" w:name="_Toc374520815"/>
      <w:bookmarkStart w:id="52" w:name="_Toc181174799"/>
      <w:bookmarkStart w:id="53" w:name="_Toc181174982"/>
      <w:bookmarkStart w:id="54" w:name="_Toc182391771"/>
      <w:r w:rsidRPr="00B02693">
        <w:rPr>
          <w:rFonts w:eastAsia="Malgun Gothic"/>
        </w:rPr>
        <w:t>4</w:t>
      </w:r>
      <w:r w:rsidRPr="00B02693">
        <w:rPr>
          <w:rFonts w:eastAsia="Malgun Gothic"/>
        </w:rPr>
        <w:tab/>
        <w:t>Summary of submission</w:t>
      </w:r>
      <w:bookmarkEnd w:id="42"/>
      <w:bookmarkEnd w:id="43"/>
      <w:bookmarkEnd w:id="44"/>
      <w:bookmarkEnd w:id="45"/>
      <w:bookmarkEnd w:id="46"/>
      <w:r w:rsidRPr="00B02693">
        <w:rPr>
          <w:rFonts w:eastAsia="Malgun Gothic"/>
        </w:rPr>
        <w:t>s</w:t>
      </w:r>
      <w:bookmarkEnd w:id="47"/>
      <w:bookmarkEnd w:id="48"/>
      <w:bookmarkEnd w:id="49"/>
      <w:bookmarkEnd w:id="50"/>
      <w:bookmarkEnd w:id="51"/>
      <w:bookmarkEnd w:id="52"/>
      <w:bookmarkEnd w:id="53"/>
      <w:bookmarkEnd w:id="54"/>
    </w:p>
    <w:p w14:paraId="7DB38EEE" w14:textId="77AB05C3" w:rsidR="00196F32" w:rsidRPr="00B02693" w:rsidRDefault="00196F32" w:rsidP="00196F32">
      <w:r w:rsidRPr="00B02693">
        <w:t xml:space="preserve">Following the guidelines of the IMT-2020 </w:t>
      </w:r>
      <w:r w:rsidRPr="00B02693">
        <w:rPr>
          <w:lang w:eastAsia="ko-KR"/>
        </w:rPr>
        <w:t>satellite</w:t>
      </w:r>
      <w:r w:rsidRPr="00B02693">
        <w:t xml:space="preserve"> process, the candidate technology submissions provided to the ITU-R in </w:t>
      </w:r>
      <w:r w:rsidRPr="00B02693">
        <w:rPr>
          <w:lang w:eastAsia="ko-KR"/>
        </w:rPr>
        <w:t>December 2023</w:t>
      </w:r>
      <w:r w:rsidRPr="00B02693">
        <w:t xml:space="preserve"> were reviewed and the following were acknowledged as “complete” candidate technology submissions as per § 8 of Report </w:t>
      </w:r>
      <w:hyperlink r:id="rId32" w:history="1">
        <w:r w:rsidR="00F2093D" w:rsidRPr="00632FEC">
          <w:rPr>
            <w:rStyle w:val="Hyperlink"/>
            <w:color w:val="auto"/>
            <w:u w:val="none"/>
          </w:rPr>
          <w:t>ITU-R M.2514</w:t>
        </w:r>
      </w:hyperlink>
      <w:r w:rsidRPr="00B02693">
        <w:t>:</w:t>
      </w:r>
    </w:p>
    <w:p w14:paraId="6C7F3B91" w14:textId="4973A716" w:rsidR="00196F32" w:rsidRPr="00B02693" w:rsidRDefault="00196F32" w:rsidP="00073870">
      <w:pPr>
        <w:pStyle w:val="enumlev1"/>
        <w:rPr>
          <w:lang w:eastAsia="ko-KR"/>
        </w:rPr>
      </w:pPr>
      <w:r w:rsidRPr="00B02693">
        <w:t>–</w:t>
      </w:r>
      <w:r w:rsidRPr="00B02693">
        <w:tab/>
        <w:t xml:space="preserve">Document </w:t>
      </w:r>
      <w:r w:rsidRPr="00B02693">
        <w:rPr>
          <w:lang w:eastAsia="ja-JP"/>
        </w:rPr>
        <w:t>IMT-2020</w:t>
      </w:r>
      <w:r w:rsidRPr="00B02693">
        <w:rPr>
          <w:lang w:eastAsia="ko-KR"/>
        </w:rPr>
        <w:t>-SAT</w:t>
      </w:r>
      <w:r w:rsidRPr="00B02693">
        <w:rPr>
          <w:lang w:eastAsia="ja-JP"/>
        </w:rPr>
        <w:t>/3</w:t>
      </w:r>
      <w:r w:rsidRPr="00B02693">
        <w:t xml:space="preserve"> – Acknowledgement of candidate submission from Alliance for Telecommunications Industry Solutions under Step 3 of the satellite IMT</w:t>
      </w:r>
      <w:r w:rsidRPr="00B02693">
        <w:noBreakHyphen/>
        <w:t>2020 process (3GPP 5G NTN candidate for inclusion in the satellite component of IMT-2020: submission</w:t>
      </w:r>
      <w:r w:rsidR="00A06D82">
        <w:t> </w:t>
      </w:r>
      <w:r w:rsidRPr="00B02693">
        <w:t>1 (SRIT)).</w:t>
      </w:r>
    </w:p>
    <w:p w14:paraId="681D144C" w14:textId="26EFACBF" w:rsidR="00196F32" w:rsidRPr="00B02693" w:rsidRDefault="00196F32" w:rsidP="00073870">
      <w:pPr>
        <w:pStyle w:val="enumlev1"/>
        <w:rPr>
          <w:szCs w:val="24"/>
          <w:lang w:eastAsia="ko-KR"/>
        </w:rPr>
      </w:pPr>
      <w:r w:rsidRPr="00B02693">
        <w:rPr>
          <w:szCs w:val="24"/>
        </w:rPr>
        <w:t>–</w:t>
      </w:r>
      <w:r w:rsidRPr="00B02693">
        <w:rPr>
          <w:szCs w:val="24"/>
        </w:rPr>
        <w:tab/>
        <w:t xml:space="preserve">Document </w:t>
      </w:r>
      <w:r w:rsidRPr="00B02693">
        <w:rPr>
          <w:szCs w:val="24"/>
          <w:lang w:eastAsia="ja-JP"/>
        </w:rPr>
        <w:t>IMT-2020</w:t>
      </w:r>
      <w:r w:rsidRPr="00B02693">
        <w:rPr>
          <w:szCs w:val="24"/>
          <w:lang w:eastAsia="ko-KR"/>
        </w:rPr>
        <w:t>-SAT</w:t>
      </w:r>
      <w:r w:rsidRPr="00B02693">
        <w:rPr>
          <w:szCs w:val="24"/>
          <w:lang w:eastAsia="ja-JP"/>
        </w:rPr>
        <w:t xml:space="preserve">/4 </w:t>
      </w:r>
      <w:r w:rsidRPr="00B02693">
        <w:rPr>
          <w:szCs w:val="24"/>
        </w:rPr>
        <w:t>– Acknowledgement of candidate submission from Alliance for Telecommunications Industry Solutions under Step 3 of the satellite IMT</w:t>
      </w:r>
      <w:r w:rsidRPr="00B02693">
        <w:rPr>
          <w:szCs w:val="24"/>
        </w:rPr>
        <w:noBreakHyphen/>
        <w:t>2020 process (3GPP 5G NTN candidate for inclusion in the satellite component of IMT-2020: submission</w:t>
      </w:r>
      <w:r w:rsidR="00A06D82">
        <w:rPr>
          <w:szCs w:val="24"/>
        </w:rPr>
        <w:t> </w:t>
      </w:r>
      <w:r w:rsidRPr="00B02693">
        <w:rPr>
          <w:szCs w:val="24"/>
        </w:rPr>
        <w:t>2 (RIT)).</w:t>
      </w:r>
    </w:p>
    <w:p w14:paraId="3EA093BB" w14:textId="77777777" w:rsidR="00196F32" w:rsidRPr="00B02693" w:rsidRDefault="00196F32" w:rsidP="00196F32">
      <w:pPr>
        <w:rPr>
          <w:rFonts w:eastAsia="Malgun Gothic"/>
          <w:szCs w:val="24"/>
        </w:rPr>
      </w:pPr>
      <w:r w:rsidRPr="00B02693">
        <w:rPr>
          <w:szCs w:val="24"/>
        </w:rPr>
        <w:t>For convenience, these submissions are included</w:t>
      </w:r>
      <w:r w:rsidRPr="00B02693">
        <w:rPr>
          <w:rFonts w:eastAsia="Malgun Gothic"/>
          <w:szCs w:val="24"/>
        </w:rPr>
        <w:t xml:space="preserve"> in Annex 1.</w:t>
      </w:r>
      <w:r w:rsidRPr="00B02693">
        <w:rPr>
          <w:szCs w:val="24"/>
          <w:lang w:eastAsia="zh-CN"/>
        </w:rPr>
        <w:t xml:space="preserve"> </w:t>
      </w:r>
    </w:p>
    <w:p w14:paraId="31504AE5" w14:textId="77777777" w:rsidR="00196F32" w:rsidRPr="00B02693" w:rsidRDefault="00196F32" w:rsidP="00196F32">
      <w:pPr>
        <w:rPr>
          <w:szCs w:val="24"/>
          <w:lang w:eastAsia="zh-CN"/>
        </w:rPr>
      </w:pPr>
      <w:r w:rsidRPr="00B02693">
        <w:rPr>
          <w:szCs w:val="24"/>
          <w:lang w:eastAsia="zh-CN"/>
        </w:rPr>
        <w:t>The following technologies were part of the submissions:</w:t>
      </w:r>
    </w:p>
    <w:p w14:paraId="7056047C" w14:textId="33DA5437" w:rsidR="00196F32" w:rsidRPr="00B02693" w:rsidRDefault="00196F32" w:rsidP="00196F32">
      <w:pPr>
        <w:pStyle w:val="enumlev1"/>
        <w:rPr>
          <w:bCs/>
          <w:szCs w:val="24"/>
        </w:rPr>
      </w:pPr>
      <w:r w:rsidRPr="00B02693">
        <w:rPr>
          <w:rFonts w:eastAsia="Calibri"/>
          <w:szCs w:val="24"/>
        </w:rPr>
        <w:t>–</w:t>
      </w:r>
      <w:r w:rsidRPr="00B02693">
        <w:rPr>
          <w:rFonts w:eastAsia="Calibri"/>
          <w:szCs w:val="24"/>
        </w:rPr>
        <w:tab/>
        <w:t xml:space="preserve">3GPP PROPONENT SUBMISSION OF SRIT </w:t>
      </w:r>
      <w:r w:rsidRPr="00B02693">
        <w:rPr>
          <w:color w:val="000000" w:themeColor="text1"/>
          <w:szCs w:val="24"/>
        </w:rPr>
        <w:t>(</w:t>
      </w:r>
      <w:r w:rsidRPr="00B02693">
        <w:rPr>
          <w:color w:val="000000" w:themeColor="text1"/>
          <w:szCs w:val="24"/>
          <w:bdr w:val="none" w:sz="0" w:space="0" w:color="auto" w:frame="1"/>
          <w:shd w:val="clear" w:color="auto" w:fill="FFFFFF"/>
        </w:rPr>
        <w:t xml:space="preserve">Doc. </w:t>
      </w:r>
      <w:r w:rsidRPr="00B02693">
        <w:rPr>
          <w:szCs w:val="24"/>
          <w:bdr w:val="none" w:sz="0" w:space="0" w:color="auto" w:frame="1"/>
          <w:shd w:val="clear" w:color="auto" w:fill="FFFFFF"/>
        </w:rPr>
        <w:t>IMT-2020-SAT/3</w:t>
      </w:r>
      <w:r w:rsidR="00751227">
        <w:rPr>
          <w:szCs w:val="24"/>
          <w:bdr w:val="none" w:sz="0" w:space="0" w:color="auto" w:frame="1"/>
          <w:shd w:val="clear" w:color="auto" w:fill="FFFFFF"/>
        </w:rPr>
        <w:t>)</w:t>
      </w:r>
      <w:r w:rsidR="00272872">
        <w:rPr>
          <w:szCs w:val="24"/>
          <w:bdr w:val="none" w:sz="0" w:space="0" w:color="auto" w:frame="1"/>
          <w:shd w:val="clear" w:color="auto" w:fill="FFFFFF"/>
        </w:rPr>
        <w:t>.</w:t>
      </w:r>
    </w:p>
    <w:p w14:paraId="2EF70C53" w14:textId="431E5808" w:rsidR="00196F32" w:rsidRPr="00B02693" w:rsidRDefault="00196F32" w:rsidP="00196F32">
      <w:pPr>
        <w:pStyle w:val="enumlev2"/>
        <w:rPr>
          <w:szCs w:val="24"/>
          <w:lang w:eastAsia="zh-CN"/>
        </w:rPr>
      </w:pPr>
      <w:r w:rsidRPr="00B02693">
        <w:rPr>
          <w:rFonts w:eastAsia="Calibri"/>
          <w:szCs w:val="24"/>
        </w:rPr>
        <w:t>•</w:t>
      </w:r>
      <w:r w:rsidRPr="00B02693">
        <w:rPr>
          <w:szCs w:val="24"/>
          <w:lang w:eastAsia="zh-CN"/>
        </w:rPr>
        <w:tab/>
        <w:t>NR NTN and IoT NTN</w:t>
      </w:r>
      <w:r w:rsidR="00272872">
        <w:rPr>
          <w:szCs w:val="24"/>
          <w:lang w:eastAsia="zh-CN"/>
        </w:rPr>
        <w:t>.</w:t>
      </w:r>
    </w:p>
    <w:p w14:paraId="56A0889E" w14:textId="74702A84" w:rsidR="00196F32" w:rsidRPr="00B02693" w:rsidRDefault="00196F32" w:rsidP="00196F32">
      <w:pPr>
        <w:pStyle w:val="enumlev1"/>
      </w:pPr>
      <w:r w:rsidRPr="00B02693">
        <w:rPr>
          <w:rFonts w:eastAsia="Calibri"/>
          <w:szCs w:val="24"/>
        </w:rPr>
        <w:t>–</w:t>
      </w:r>
      <w:r w:rsidRPr="00B02693">
        <w:rPr>
          <w:rFonts w:eastAsia="Calibri"/>
          <w:szCs w:val="24"/>
        </w:rPr>
        <w:tab/>
        <w:t xml:space="preserve">3GPP PROPONENT SUBMISSION OF RIT </w:t>
      </w:r>
      <w:r w:rsidRPr="00B02693">
        <w:rPr>
          <w:color w:val="000000" w:themeColor="text1"/>
          <w:szCs w:val="24"/>
        </w:rPr>
        <w:t>(</w:t>
      </w:r>
      <w:r w:rsidRPr="00B02693">
        <w:rPr>
          <w:szCs w:val="24"/>
        </w:rPr>
        <w:t xml:space="preserve">Doc. </w:t>
      </w:r>
      <w:r w:rsidRPr="00B02693">
        <w:rPr>
          <w:szCs w:val="24"/>
          <w:bdr w:val="none" w:sz="0" w:space="0" w:color="auto" w:frame="1"/>
          <w:shd w:val="clear" w:color="auto" w:fill="FFFFFF"/>
        </w:rPr>
        <w:t>IMT-2020-SAT/4</w:t>
      </w:r>
      <w:r w:rsidRPr="00B02693">
        <w:t>)</w:t>
      </w:r>
      <w:r w:rsidR="00272872">
        <w:t>.</w:t>
      </w:r>
    </w:p>
    <w:p w14:paraId="67A605A4" w14:textId="27C240BF" w:rsidR="00196F32" w:rsidRPr="00B02693" w:rsidRDefault="00196F32" w:rsidP="00196F32">
      <w:pPr>
        <w:pStyle w:val="enumlev2"/>
        <w:rPr>
          <w:szCs w:val="24"/>
          <w:lang w:eastAsia="zh-CN"/>
        </w:rPr>
      </w:pPr>
      <w:r w:rsidRPr="00B02693">
        <w:rPr>
          <w:rFonts w:eastAsia="Calibri"/>
          <w:szCs w:val="24"/>
        </w:rPr>
        <w:t>•</w:t>
      </w:r>
      <w:r w:rsidRPr="00B02693">
        <w:rPr>
          <w:szCs w:val="24"/>
          <w:lang w:eastAsia="zh-CN"/>
        </w:rPr>
        <w:tab/>
        <w:t>NR NTN</w:t>
      </w:r>
      <w:r w:rsidR="00272872">
        <w:rPr>
          <w:szCs w:val="24"/>
          <w:lang w:eastAsia="zh-CN"/>
        </w:rPr>
        <w:t>.</w:t>
      </w:r>
    </w:p>
    <w:p w14:paraId="67334229" w14:textId="77777777" w:rsidR="00196F32" w:rsidRPr="00B02693" w:rsidRDefault="00196F32" w:rsidP="00196F32">
      <w:pPr>
        <w:pStyle w:val="Heading1"/>
        <w:rPr>
          <w:rFonts w:eastAsia="Malgun Gothic"/>
        </w:rPr>
      </w:pPr>
      <w:bookmarkStart w:id="55" w:name="_Toc254701871"/>
      <w:bookmarkStart w:id="56" w:name="_Toc257375447"/>
      <w:bookmarkStart w:id="57" w:name="_Toc269478142"/>
      <w:bookmarkStart w:id="58" w:name="_Toc269478543"/>
      <w:bookmarkStart w:id="59" w:name="_Toc274204294"/>
      <w:bookmarkStart w:id="60" w:name="_Toc274861536"/>
      <w:bookmarkStart w:id="61" w:name="_Toc276718335"/>
      <w:bookmarkStart w:id="62" w:name="_Toc280016863"/>
      <w:bookmarkStart w:id="63" w:name="_Toc355260990"/>
      <w:bookmarkStart w:id="64" w:name="_Toc374520816"/>
      <w:bookmarkStart w:id="65" w:name="_Toc181174800"/>
      <w:bookmarkStart w:id="66" w:name="_Toc181174983"/>
      <w:bookmarkStart w:id="67" w:name="_Toc182391772"/>
      <w:r w:rsidRPr="00B02693">
        <w:rPr>
          <w:rFonts w:eastAsia="Malgun Gothic"/>
        </w:rPr>
        <w:t>5</w:t>
      </w:r>
      <w:r w:rsidRPr="00B02693">
        <w:rPr>
          <w:rFonts w:eastAsia="Malgun Gothic"/>
        </w:rPr>
        <w:tab/>
        <w:t>Conclusion for Steps 4 to 7</w:t>
      </w:r>
      <w:bookmarkEnd w:id="55"/>
      <w:bookmarkEnd w:id="56"/>
      <w:bookmarkEnd w:id="57"/>
      <w:bookmarkEnd w:id="58"/>
      <w:bookmarkEnd w:id="59"/>
      <w:bookmarkEnd w:id="60"/>
      <w:bookmarkEnd w:id="61"/>
      <w:bookmarkEnd w:id="62"/>
      <w:bookmarkEnd w:id="63"/>
      <w:bookmarkEnd w:id="64"/>
      <w:bookmarkEnd w:id="65"/>
      <w:bookmarkEnd w:id="66"/>
      <w:bookmarkEnd w:id="67"/>
    </w:p>
    <w:p w14:paraId="347E1A14" w14:textId="77777777" w:rsidR="00196F32" w:rsidRPr="00B02693" w:rsidRDefault="00196F32" w:rsidP="00196F32">
      <w:pPr>
        <w:pStyle w:val="Heading2"/>
      </w:pPr>
      <w:bookmarkStart w:id="68" w:name="_Toc254701872"/>
      <w:bookmarkStart w:id="69" w:name="_Toc257375448"/>
      <w:bookmarkStart w:id="70" w:name="_Toc269478143"/>
      <w:bookmarkStart w:id="71" w:name="_Toc269478544"/>
      <w:bookmarkStart w:id="72" w:name="_Toc274204295"/>
      <w:bookmarkStart w:id="73" w:name="_Toc274861537"/>
      <w:bookmarkStart w:id="74" w:name="_Toc276718336"/>
      <w:bookmarkStart w:id="75" w:name="_Toc280016864"/>
      <w:bookmarkStart w:id="76" w:name="_Toc355260991"/>
      <w:bookmarkStart w:id="77" w:name="_Toc374520817"/>
      <w:bookmarkStart w:id="78" w:name="_Toc181174801"/>
      <w:bookmarkStart w:id="79" w:name="_Toc181174984"/>
      <w:bookmarkStart w:id="80" w:name="_Toc182391773"/>
      <w:r w:rsidRPr="00B02693">
        <w:t>5.1</w:t>
      </w:r>
      <w:r w:rsidRPr="00B02693">
        <w:tab/>
        <w:t>Results of Step 4, “Evaluation of candidate RITs or SRITs by Evaluation Groups” and Step 5, “Review and coordination of outside evaluation activities”</w:t>
      </w:r>
      <w:bookmarkEnd w:id="68"/>
      <w:bookmarkEnd w:id="69"/>
      <w:bookmarkEnd w:id="70"/>
      <w:bookmarkEnd w:id="71"/>
      <w:bookmarkEnd w:id="72"/>
      <w:bookmarkEnd w:id="73"/>
      <w:bookmarkEnd w:id="74"/>
      <w:bookmarkEnd w:id="75"/>
      <w:bookmarkEnd w:id="76"/>
      <w:bookmarkEnd w:id="77"/>
      <w:bookmarkEnd w:id="78"/>
      <w:bookmarkEnd w:id="79"/>
      <w:bookmarkEnd w:id="80"/>
    </w:p>
    <w:p w14:paraId="64BB3C6B" w14:textId="4F092880" w:rsidR="00196F32" w:rsidRPr="00B02693" w:rsidRDefault="00196F32" w:rsidP="00196F32">
      <w:r w:rsidRPr="00B02693">
        <w:t xml:space="preserve">Under Step 4 of the IMT-2020 satellite process, the candidate RITs were evaluated by Independent Evaluation Groups that were registered in the ITU-R. In this step the candidate RITs were assessed based on Report </w:t>
      </w:r>
      <w:hyperlink r:id="rId33" w:history="1">
        <w:r w:rsidR="00F2093D" w:rsidRPr="00632FEC">
          <w:rPr>
            <w:rStyle w:val="Hyperlink"/>
            <w:color w:val="auto"/>
            <w:u w:val="none"/>
          </w:rPr>
          <w:t>ITU-R M.2514</w:t>
        </w:r>
      </w:hyperlink>
      <w:r w:rsidRPr="00B02693">
        <w:t>.</w:t>
      </w:r>
    </w:p>
    <w:p w14:paraId="7E09B5D3" w14:textId="77777777" w:rsidR="00196F32" w:rsidRPr="00B02693" w:rsidRDefault="00196F32" w:rsidP="004012C2">
      <w:r w:rsidRPr="00B02693">
        <w:t>In Step 5, the ITU-R monitored the progress of the evaluation activities and provided appropriate responses to problems or requests for guidance to facilitate consensus building.</w:t>
      </w:r>
    </w:p>
    <w:p w14:paraId="55916181" w14:textId="4BDBF7E2" w:rsidR="00196F32" w:rsidRPr="00B02693" w:rsidRDefault="00196F32" w:rsidP="004012C2">
      <w:r w:rsidRPr="00B02693">
        <w:t xml:space="preserve">A total of four Independent Evaluation Groups were registered in the ITU-R. Four evaluation reports </w:t>
      </w:r>
      <w:r w:rsidRPr="00CD30F4">
        <w:t>from the Independent Evaluation Groups were submitted and discussed in ITU-R under Steps 4 and</w:t>
      </w:r>
      <w:r w:rsidR="00CD30F4">
        <w:t> </w:t>
      </w:r>
      <w:r w:rsidRPr="00CD30F4">
        <w:t>5.</w:t>
      </w:r>
      <w:r w:rsidRPr="00B02693">
        <w:t xml:space="preserve"> These evaluation reports from the respective Independent Evaluation Groups are included in Annex 2.</w:t>
      </w:r>
    </w:p>
    <w:p w14:paraId="45566376" w14:textId="1DDF32FE" w:rsidR="00196F32" w:rsidRPr="00B02693" w:rsidRDefault="00196F32" w:rsidP="004012C2">
      <w:r w:rsidRPr="00B02693">
        <w:t>The list of IEG evaluation reports for the candidate technology submissions is shown in Table 1</w:t>
      </w:r>
      <w:r w:rsidR="006F08CE">
        <w:t>.</w:t>
      </w:r>
    </w:p>
    <w:p w14:paraId="1E32784A" w14:textId="77777777" w:rsidR="00196F32" w:rsidRPr="00CA5BAC" w:rsidRDefault="00196F32" w:rsidP="00CA5BAC">
      <w:pPr>
        <w:pStyle w:val="TableNo"/>
      </w:pPr>
      <w:r w:rsidRPr="00B02693">
        <w:lastRenderedPageBreak/>
        <w:t>TABLE 1</w:t>
      </w:r>
    </w:p>
    <w:p w14:paraId="113D813B" w14:textId="329A1E72" w:rsidR="00196F32" w:rsidRPr="00B02693" w:rsidRDefault="00196F32" w:rsidP="00CA5BAC">
      <w:pPr>
        <w:pStyle w:val="Tabletitle"/>
      </w:pPr>
      <w:r w:rsidRPr="00B02693">
        <w:t>Index of documents related to IEG final evaluation reports for the candidate</w:t>
      </w:r>
      <w:r w:rsidR="00E809CD" w:rsidRPr="00B02693">
        <w:br/>
      </w:r>
      <w:r w:rsidRPr="00B02693">
        <w:t>technology submissions of IMT-2020 satellite process under Step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196F32" w:rsidRPr="00CA5BAC" w14:paraId="2A621BB5" w14:textId="77777777" w:rsidTr="00DD5352">
        <w:tc>
          <w:tcPr>
            <w:tcW w:w="3209" w:type="dxa"/>
          </w:tcPr>
          <w:p w14:paraId="7F937FCF" w14:textId="77777777" w:rsidR="00196F32" w:rsidRPr="00CA5BAC" w:rsidRDefault="00196F32" w:rsidP="00CB59BF">
            <w:pPr>
              <w:pStyle w:val="Tablehead"/>
              <w:spacing w:before="20" w:after="20"/>
            </w:pPr>
            <w:r w:rsidRPr="00CA5BAC">
              <w:t>Independent Evaluation Group</w:t>
            </w:r>
          </w:p>
        </w:tc>
        <w:tc>
          <w:tcPr>
            <w:tcW w:w="3210" w:type="dxa"/>
          </w:tcPr>
          <w:p w14:paraId="589B1E0F" w14:textId="77777777" w:rsidR="00196F32" w:rsidRPr="00CA5BAC" w:rsidRDefault="00196F32" w:rsidP="00CB59BF">
            <w:pPr>
              <w:pStyle w:val="Tablehead"/>
              <w:spacing w:before="20" w:after="20"/>
            </w:pPr>
            <w:r w:rsidRPr="00CA5BAC">
              <w:t>Interim Evaluation Report</w:t>
            </w:r>
          </w:p>
        </w:tc>
        <w:tc>
          <w:tcPr>
            <w:tcW w:w="3210" w:type="dxa"/>
          </w:tcPr>
          <w:p w14:paraId="51DD1B03" w14:textId="77777777" w:rsidR="00196F32" w:rsidRPr="00CA5BAC" w:rsidRDefault="00196F32" w:rsidP="00CB59BF">
            <w:pPr>
              <w:pStyle w:val="Tablehead"/>
              <w:spacing w:before="20" w:after="20"/>
            </w:pPr>
            <w:r w:rsidRPr="00CA5BAC">
              <w:t>Final Evaluation Report</w:t>
            </w:r>
          </w:p>
        </w:tc>
      </w:tr>
      <w:tr w:rsidR="00196F32" w:rsidRPr="00CA5BAC" w14:paraId="648757E5" w14:textId="77777777" w:rsidTr="00DD5352">
        <w:tc>
          <w:tcPr>
            <w:tcW w:w="3209" w:type="dxa"/>
          </w:tcPr>
          <w:p w14:paraId="10CDAB86" w14:textId="77777777" w:rsidR="00196F32" w:rsidRPr="00CA5BAC" w:rsidRDefault="00196F32" w:rsidP="00CB59BF">
            <w:pPr>
              <w:pStyle w:val="Tabletext"/>
              <w:spacing w:before="20" w:after="20"/>
            </w:pPr>
            <w:r w:rsidRPr="00CA5BAC">
              <w:t>ATIS Evaluation Group</w:t>
            </w:r>
          </w:p>
        </w:tc>
        <w:tc>
          <w:tcPr>
            <w:tcW w:w="3210" w:type="dxa"/>
          </w:tcPr>
          <w:p w14:paraId="3D39F312" w14:textId="77777777" w:rsidR="00196F32" w:rsidRPr="00CA5BAC" w:rsidRDefault="00196F32" w:rsidP="00CB59BF">
            <w:pPr>
              <w:pStyle w:val="Tabletext"/>
              <w:spacing w:before="20" w:after="20"/>
              <w:jc w:val="center"/>
            </w:pPr>
            <w:r w:rsidRPr="00CA5BAC">
              <w:t>4B/23</w:t>
            </w:r>
          </w:p>
        </w:tc>
        <w:tc>
          <w:tcPr>
            <w:tcW w:w="3210" w:type="dxa"/>
          </w:tcPr>
          <w:p w14:paraId="732EC6A3" w14:textId="77777777" w:rsidR="00196F32" w:rsidRPr="00CA5BAC" w:rsidRDefault="00196F32" w:rsidP="00CB59BF">
            <w:pPr>
              <w:pStyle w:val="Tabletext"/>
              <w:spacing w:before="20" w:after="20"/>
              <w:jc w:val="center"/>
            </w:pPr>
            <w:r w:rsidRPr="00CA5BAC">
              <w:t>4B/57</w:t>
            </w:r>
          </w:p>
        </w:tc>
      </w:tr>
      <w:tr w:rsidR="00196F32" w:rsidRPr="00CA5BAC" w14:paraId="1BF673B7" w14:textId="77777777" w:rsidTr="00DD5352">
        <w:tc>
          <w:tcPr>
            <w:tcW w:w="3209" w:type="dxa"/>
          </w:tcPr>
          <w:p w14:paraId="3743CF9F" w14:textId="77777777" w:rsidR="00196F32" w:rsidRPr="00CA5BAC" w:rsidRDefault="00196F32" w:rsidP="00CB59BF">
            <w:pPr>
              <w:pStyle w:val="Tabletext"/>
              <w:spacing w:before="20" w:after="20"/>
            </w:pPr>
            <w:r w:rsidRPr="00CA5BAC">
              <w:t>ETSI</w:t>
            </w:r>
          </w:p>
        </w:tc>
        <w:tc>
          <w:tcPr>
            <w:tcW w:w="3210" w:type="dxa"/>
          </w:tcPr>
          <w:p w14:paraId="3F80E206" w14:textId="77777777" w:rsidR="00196F32" w:rsidRPr="00CA5BAC" w:rsidRDefault="00196F32" w:rsidP="00CB59BF">
            <w:pPr>
              <w:pStyle w:val="Tabletext"/>
              <w:spacing w:before="20" w:after="20"/>
              <w:jc w:val="center"/>
            </w:pPr>
            <w:r w:rsidRPr="00CA5BAC">
              <w:t>4B/22</w:t>
            </w:r>
          </w:p>
        </w:tc>
        <w:tc>
          <w:tcPr>
            <w:tcW w:w="3210" w:type="dxa"/>
          </w:tcPr>
          <w:p w14:paraId="4E6BE329" w14:textId="77777777" w:rsidR="00196F32" w:rsidRPr="00CA5BAC" w:rsidRDefault="00196F32" w:rsidP="00CB59BF">
            <w:pPr>
              <w:pStyle w:val="Tabletext"/>
              <w:spacing w:before="20" w:after="20"/>
              <w:jc w:val="center"/>
            </w:pPr>
            <w:r w:rsidRPr="00CA5BAC">
              <w:t>4B/78</w:t>
            </w:r>
          </w:p>
        </w:tc>
      </w:tr>
      <w:tr w:rsidR="00196F32" w:rsidRPr="00CA5BAC" w14:paraId="20725A39" w14:textId="77777777" w:rsidTr="00DD5352">
        <w:tc>
          <w:tcPr>
            <w:tcW w:w="3209" w:type="dxa"/>
          </w:tcPr>
          <w:p w14:paraId="58C1E276" w14:textId="77777777" w:rsidR="00196F32" w:rsidRPr="00CA5BAC" w:rsidRDefault="00196F32" w:rsidP="00CB59BF">
            <w:pPr>
              <w:pStyle w:val="Tabletext"/>
              <w:spacing w:before="20" w:after="20"/>
            </w:pPr>
            <w:r w:rsidRPr="00CA5BAC">
              <w:t>5GIF</w:t>
            </w:r>
          </w:p>
        </w:tc>
        <w:tc>
          <w:tcPr>
            <w:tcW w:w="3210" w:type="dxa"/>
          </w:tcPr>
          <w:p w14:paraId="21199E70" w14:textId="77777777" w:rsidR="00196F32" w:rsidRPr="00CA5BAC" w:rsidRDefault="00196F32" w:rsidP="00CB59BF">
            <w:pPr>
              <w:pStyle w:val="Tabletext"/>
              <w:spacing w:before="20" w:after="20"/>
              <w:jc w:val="center"/>
            </w:pPr>
            <w:r w:rsidRPr="00CA5BAC">
              <w:t>4B/26</w:t>
            </w:r>
          </w:p>
        </w:tc>
        <w:tc>
          <w:tcPr>
            <w:tcW w:w="3210" w:type="dxa"/>
          </w:tcPr>
          <w:p w14:paraId="6EDFF2CB" w14:textId="77777777" w:rsidR="00196F32" w:rsidRPr="00CA5BAC" w:rsidRDefault="00196F32" w:rsidP="00CB59BF">
            <w:pPr>
              <w:pStyle w:val="Tabletext"/>
              <w:spacing w:before="20" w:after="20"/>
              <w:jc w:val="center"/>
            </w:pPr>
            <w:r w:rsidRPr="00CA5BAC">
              <w:t>4B/77</w:t>
            </w:r>
          </w:p>
        </w:tc>
      </w:tr>
      <w:tr w:rsidR="00196F32" w:rsidRPr="00CA5BAC" w14:paraId="17F1331F" w14:textId="77777777" w:rsidTr="00DD5352">
        <w:tc>
          <w:tcPr>
            <w:tcW w:w="3209" w:type="dxa"/>
          </w:tcPr>
          <w:p w14:paraId="5DFBF593" w14:textId="77777777" w:rsidR="00196F32" w:rsidRPr="00CA5BAC" w:rsidRDefault="00196F32" w:rsidP="00CB59BF">
            <w:pPr>
              <w:pStyle w:val="Tabletext"/>
              <w:spacing w:before="20" w:after="20"/>
            </w:pPr>
            <w:proofErr w:type="spellStart"/>
            <w:r w:rsidRPr="00CA5BAC">
              <w:t>SatComForum</w:t>
            </w:r>
            <w:proofErr w:type="spellEnd"/>
          </w:p>
        </w:tc>
        <w:tc>
          <w:tcPr>
            <w:tcW w:w="3210" w:type="dxa"/>
          </w:tcPr>
          <w:p w14:paraId="26090370" w14:textId="77777777" w:rsidR="00196F32" w:rsidRPr="00CA5BAC" w:rsidRDefault="00196F32" w:rsidP="00CB59BF">
            <w:pPr>
              <w:pStyle w:val="Tabletext"/>
              <w:spacing w:before="20" w:after="20"/>
              <w:jc w:val="center"/>
            </w:pPr>
            <w:r w:rsidRPr="00CA5BAC">
              <w:t>4B/15</w:t>
            </w:r>
          </w:p>
        </w:tc>
        <w:tc>
          <w:tcPr>
            <w:tcW w:w="3210" w:type="dxa"/>
          </w:tcPr>
          <w:p w14:paraId="42D59CE7" w14:textId="77777777" w:rsidR="00196F32" w:rsidRPr="00CA5BAC" w:rsidRDefault="00196F32" w:rsidP="00CB59BF">
            <w:pPr>
              <w:pStyle w:val="Tabletext"/>
              <w:spacing w:before="20" w:after="20"/>
              <w:jc w:val="center"/>
            </w:pPr>
            <w:r w:rsidRPr="00CA5BAC">
              <w:t>4B/75</w:t>
            </w:r>
          </w:p>
        </w:tc>
      </w:tr>
    </w:tbl>
    <w:p w14:paraId="1B42E0A4" w14:textId="781E4946" w:rsidR="00196F32" w:rsidRPr="00B02693" w:rsidRDefault="00196F32" w:rsidP="00196F32">
      <w:r w:rsidRPr="00B02693">
        <w:t>Close online and offline collaboration between the IEGs has been conducted to capture any discrepancies in the evaluations and to coordinate the work, with three online meetings:</w:t>
      </w:r>
    </w:p>
    <w:p w14:paraId="6FB0A5C7" w14:textId="2064C574" w:rsidR="00196F32" w:rsidRPr="00B02693" w:rsidRDefault="00196F32" w:rsidP="007E6023">
      <w:pPr>
        <w:pStyle w:val="enumlev1"/>
      </w:pPr>
      <w:r w:rsidRPr="00B02693">
        <w:t>–</w:t>
      </w:r>
      <w:r w:rsidRPr="00B02693">
        <w:tab/>
        <w:t>IEG coordination #1: 28 March 2024.</w:t>
      </w:r>
    </w:p>
    <w:p w14:paraId="66D4B7F4" w14:textId="636B8B98" w:rsidR="00196F32" w:rsidRPr="00B02693" w:rsidRDefault="00196F32" w:rsidP="007E6023">
      <w:pPr>
        <w:pStyle w:val="enumlev1"/>
      </w:pPr>
      <w:r w:rsidRPr="00B02693">
        <w:t>–</w:t>
      </w:r>
      <w:r w:rsidRPr="00B02693">
        <w:tab/>
        <w:t>IEG coordination #2: 15 May 2024.</w:t>
      </w:r>
    </w:p>
    <w:p w14:paraId="09A204CE" w14:textId="3AD476F7" w:rsidR="00196F32" w:rsidRPr="00B02693" w:rsidRDefault="00196F32" w:rsidP="007E6023">
      <w:pPr>
        <w:pStyle w:val="enumlev1"/>
        <w:rPr>
          <w:rFonts w:eastAsia="Malgun Gothic"/>
        </w:rPr>
      </w:pPr>
      <w:r w:rsidRPr="00B02693">
        <w:t>–</w:t>
      </w:r>
      <w:r w:rsidRPr="00B02693">
        <w:tab/>
        <w:t>IEG coordination #3: 28 August 2024.</w:t>
      </w:r>
    </w:p>
    <w:p w14:paraId="279EFB4D" w14:textId="66C9F5EB" w:rsidR="00196F32" w:rsidRPr="00B02693" w:rsidRDefault="00196F32" w:rsidP="00196F32">
      <w:pPr>
        <w:rPr>
          <w:lang w:eastAsia="zh-CN"/>
        </w:rPr>
      </w:pPr>
      <w:r w:rsidRPr="00B02693">
        <w:rPr>
          <w:rFonts w:eastAsia="Malgun Gothic"/>
        </w:rPr>
        <w:t xml:space="preserve">The </w:t>
      </w:r>
      <w:r w:rsidRPr="00B02693">
        <w:rPr>
          <w:lang w:eastAsia="zh-CN"/>
        </w:rPr>
        <w:t xml:space="preserve">IEGs </w:t>
      </w:r>
      <w:r w:rsidRPr="00B02693">
        <w:rPr>
          <w:rFonts w:eastAsia="Malgun Gothic"/>
        </w:rPr>
        <w:t xml:space="preserve">utilized the defined ITU-R evaluation methodology and criteria established in Report </w:t>
      </w:r>
      <w:hyperlink r:id="rId34" w:history="1">
        <w:r w:rsidR="00F2093D" w:rsidRPr="00632FEC">
          <w:rPr>
            <w:rStyle w:val="Hyperlink"/>
            <w:color w:val="auto"/>
            <w:u w:val="none"/>
          </w:rPr>
          <w:t>ITU</w:t>
        </w:r>
        <w:r w:rsidR="007E6023">
          <w:rPr>
            <w:rStyle w:val="Hyperlink"/>
            <w:color w:val="auto"/>
            <w:u w:val="none"/>
          </w:rPr>
          <w:t>‑</w:t>
        </w:r>
        <w:r w:rsidR="00F2093D" w:rsidRPr="00632FEC">
          <w:rPr>
            <w:rStyle w:val="Hyperlink"/>
            <w:color w:val="auto"/>
            <w:u w:val="none"/>
          </w:rPr>
          <w:t>R M.2514</w:t>
        </w:r>
      </w:hyperlink>
      <w:r w:rsidRPr="00B02693">
        <w:rPr>
          <w:rFonts w:eastAsia="Malgun Gothic"/>
        </w:rPr>
        <w:t xml:space="preserve">. ITU-R concluded that the </w:t>
      </w:r>
      <w:r w:rsidRPr="00B02693">
        <w:rPr>
          <w:lang w:eastAsia="zh-CN"/>
        </w:rPr>
        <w:t xml:space="preserve">IEGs </w:t>
      </w:r>
      <w:r w:rsidRPr="00B02693">
        <w:rPr>
          <w:rFonts w:eastAsia="Malgun Gothic"/>
        </w:rPr>
        <w:t>had fulfilled their role in the process and that the inclusion of views from organizations external to the ITU</w:t>
      </w:r>
      <w:r w:rsidRPr="00B02693">
        <w:rPr>
          <w:rFonts w:eastAsia="Malgun Gothic"/>
        </w:rPr>
        <w:noBreakHyphen/>
        <w:t>R had been useful to the work on IMT</w:t>
      </w:r>
      <w:r w:rsidR="007E6023">
        <w:rPr>
          <w:rFonts w:eastAsia="Malgun Gothic"/>
        </w:rPr>
        <w:t>‑</w:t>
      </w:r>
      <w:r w:rsidRPr="00B02693">
        <w:rPr>
          <w:rFonts w:eastAsia="Malgun Gothic"/>
        </w:rPr>
        <w:t>2020 satellite process and had contributed to the success of the IMT-2020 satellite process.</w:t>
      </w:r>
    </w:p>
    <w:p w14:paraId="191B6FBF" w14:textId="0D121C79" w:rsidR="00196F32" w:rsidRPr="00B02693" w:rsidRDefault="00196F32" w:rsidP="00196F32">
      <w:r w:rsidRPr="00B02693">
        <w:t>Considering the requirements, evaluation criteria and submission templates for the development of IMT-</w:t>
      </w:r>
      <w:r w:rsidRPr="00B02693">
        <w:rPr>
          <w:lang w:eastAsia="zh-CN"/>
        </w:rPr>
        <w:t>2020</w:t>
      </w:r>
      <w:r w:rsidRPr="00B02693">
        <w:t xml:space="preserve"> included in Report </w:t>
      </w:r>
      <w:hyperlink r:id="rId35" w:history="1">
        <w:r w:rsidR="00F2093D" w:rsidRPr="00632FEC">
          <w:rPr>
            <w:rStyle w:val="Hyperlink"/>
            <w:color w:val="auto"/>
            <w:u w:val="none"/>
          </w:rPr>
          <w:t>ITU-R M.2514</w:t>
        </w:r>
      </w:hyperlink>
      <w:r w:rsidRPr="00B02693">
        <w:t>, as well as the</w:t>
      </w:r>
      <w:r w:rsidRPr="00B02693">
        <w:rPr>
          <w:lang w:eastAsia="zh-CN"/>
        </w:rPr>
        <w:t xml:space="preserve"> minimum</w:t>
      </w:r>
      <w:r w:rsidRPr="00B02693">
        <w:t xml:space="preserve"> requirements related to technical performance for IMT</w:t>
      </w:r>
      <w:r w:rsidRPr="00B02693">
        <w:noBreakHyphen/>
      </w:r>
      <w:r w:rsidRPr="00B02693">
        <w:rPr>
          <w:lang w:eastAsia="zh-CN"/>
        </w:rPr>
        <w:t>2020</w:t>
      </w:r>
      <w:r w:rsidRPr="00B02693">
        <w:t xml:space="preserve"> satellite radio interface(s) and the guidelines for evaluation of related satellite radio interface technologies, the following conclusions have been reached.</w:t>
      </w:r>
    </w:p>
    <w:p w14:paraId="4C9AC3C2" w14:textId="77777777" w:rsidR="00196F32" w:rsidRPr="00B02693" w:rsidRDefault="00196F32" w:rsidP="00196F32">
      <w:pPr>
        <w:pStyle w:val="Heading3"/>
        <w:rPr>
          <w:lang w:eastAsia="ko-KR"/>
        </w:rPr>
      </w:pPr>
      <w:bookmarkStart w:id="81" w:name="_Toc355260992"/>
      <w:bookmarkStart w:id="82" w:name="_Toc374520818"/>
      <w:bookmarkStart w:id="83" w:name="_Toc254701873"/>
      <w:bookmarkStart w:id="84" w:name="_Toc269478144"/>
      <w:bookmarkStart w:id="85" w:name="_Toc269478545"/>
      <w:bookmarkStart w:id="86" w:name="_Toc274204296"/>
      <w:bookmarkStart w:id="87" w:name="_Toc274861538"/>
      <w:bookmarkStart w:id="88" w:name="_Toc276718337"/>
      <w:bookmarkStart w:id="89" w:name="_Toc280016865"/>
      <w:r w:rsidRPr="00B02693">
        <w:t>5.1.1</w:t>
      </w:r>
      <w:r w:rsidRPr="00B02693">
        <w:tab/>
        <w:t xml:space="preserve">Summary of the evaluations received for </w:t>
      </w:r>
      <w:bookmarkEnd w:id="81"/>
      <w:bookmarkEnd w:id="82"/>
      <w:bookmarkEnd w:id="83"/>
      <w:bookmarkEnd w:id="84"/>
      <w:bookmarkEnd w:id="85"/>
      <w:bookmarkEnd w:id="86"/>
      <w:bookmarkEnd w:id="87"/>
      <w:bookmarkEnd w:id="88"/>
      <w:bookmarkEnd w:id="89"/>
      <w:r w:rsidRPr="00B02693">
        <w:rPr>
          <w:lang w:eastAsia="ko-KR"/>
        </w:rPr>
        <w:t>the candidate SRIT submission from 3GPP Proponent (Document IMT-2020-SAT/3)</w:t>
      </w:r>
    </w:p>
    <w:p w14:paraId="6854CD5B" w14:textId="77777777" w:rsidR="00196F32" w:rsidRPr="00B02693" w:rsidRDefault="00196F32" w:rsidP="00196F32">
      <w:pPr>
        <w:rPr>
          <w:i/>
          <w:lang w:eastAsia="ko-KR"/>
        </w:rPr>
      </w:pPr>
      <w:r w:rsidRPr="00B02693">
        <w:rPr>
          <w:lang w:eastAsia="zh-CN"/>
        </w:rPr>
        <w:t xml:space="preserve">There was one evaluation report received for </w:t>
      </w:r>
      <w:r w:rsidRPr="00B02693">
        <w:t xml:space="preserve">the </w:t>
      </w:r>
      <w:r w:rsidRPr="00B02693">
        <w:rPr>
          <w:lang w:eastAsia="zh-CN"/>
        </w:rPr>
        <w:t>candidate SRIT submission</w:t>
      </w:r>
      <w:r w:rsidRPr="00B02693">
        <w:t xml:space="preserve">. The received evaluation report confirmed that the candidate </w:t>
      </w:r>
      <w:r w:rsidRPr="00B02693">
        <w:rPr>
          <w:lang w:eastAsia="zh-CN"/>
        </w:rPr>
        <w:t xml:space="preserve">3GPP </w:t>
      </w:r>
      <w:r w:rsidRPr="00B02693">
        <w:t xml:space="preserve">SRIT proposal </w:t>
      </w:r>
      <w:bookmarkStart w:id="90" w:name="_Hlk40473948"/>
      <w:r w:rsidRPr="00B02693">
        <w:t xml:space="preserve">in </w:t>
      </w:r>
      <w:bookmarkEnd w:id="90"/>
      <w:r w:rsidRPr="00B02693">
        <w:t xml:space="preserve">Document </w:t>
      </w:r>
      <w:hyperlink r:id="rId36" w:history="1">
        <w:r w:rsidRPr="00B02693">
          <w:rPr>
            <w:szCs w:val="24"/>
          </w:rPr>
          <w:t>IMT</w:t>
        </w:r>
        <w:r w:rsidRPr="00B02693">
          <w:rPr>
            <w:szCs w:val="24"/>
          </w:rPr>
          <w:noBreakHyphen/>
          <w:t>2020-SAT/3</w:t>
        </w:r>
      </w:hyperlink>
      <w:r w:rsidRPr="00B02693">
        <w:rPr>
          <w:lang w:eastAsia="zh-CN"/>
        </w:rPr>
        <w:t xml:space="preserve"> </w:t>
      </w:r>
      <w:r w:rsidRPr="00B02693">
        <w:t>fulfil</w:t>
      </w:r>
      <w:r w:rsidRPr="00B02693">
        <w:rPr>
          <w:lang w:eastAsia="zh-CN"/>
        </w:rPr>
        <w:t>s</w:t>
      </w:r>
      <w:r w:rsidRPr="00B02693">
        <w:t xml:space="preserve"> the minimum requirements </w:t>
      </w:r>
      <w:r w:rsidRPr="00B02693">
        <w:rPr>
          <w:lang w:eastAsia="zh-CN"/>
        </w:rPr>
        <w:t>with each component RIT fulfilling the minimum requirements of at least one test environment and together as an SRIT fulfilling the minimum requirements of three test environments comprising the three usage scenarios.</w:t>
      </w:r>
    </w:p>
    <w:p w14:paraId="1856FAC5" w14:textId="234B7C7F" w:rsidR="00196F32" w:rsidRPr="00B02693" w:rsidRDefault="00196F32" w:rsidP="00196F32">
      <w:pPr>
        <w:pStyle w:val="Heading3"/>
      </w:pPr>
      <w:bookmarkStart w:id="91" w:name="_Toc254701874"/>
      <w:bookmarkStart w:id="92" w:name="_Toc269478145"/>
      <w:bookmarkStart w:id="93" w:name="_Toc269478546"/>
      <w:bookmarkStart w:id="94" w:name="_Toc274204297"/>
      <w:bookmarkStart w:id="95" w:name="_Toc274861539"/>
      <w:bookmarkStart w:id="96" w:name="_Toc276718338"/>
      <w:bookmarkStart w:id="97" w:name="_Toc280016866"/>
      <w:bookmarkStart w:id="98" w:name="_Toc355260993"/>
      <w:bookmarkStart w:id="99" w:name="_Toc374520819"/>
      <w:r w:rsidRPr="00B02693">
        <w:t>5.1.2</w:t>
      </w:r>
      <w:r w:rsidRPr="00B02693">
        <w:tab/>
        <w:t xml:space="preserve">Summary of the evaluations received for </w:t>
      </w:r>
      <w:bookmarkEnd w:id="91"/>
      <w:bookmarkEnd w:id="92"/>
      <w:bookmarkEnd w:id="93"/>
      <w:bookmarkEnd w:id="94"/>
      <w:bookmarkEnd w:id="95"/>
      <w:bookmarkEnd w:id="96"/>
      <w:bookmarkEnd w:id="97"/>
      <w:bookmarkEnd w:id="98"/>
      <w:r w:rsidRPr="00B02693">
        <w:rPr>
          <w:lang w:eastAsia="ko-KR"/>
        </w:rPr>
        <w:t>the candidate RIT submission from 3GPP Proponent (Document IMT-2020-SAT/4)</w:t>
      </w:r>
      <w:bookmarkEnd w:id="99"/>
    </w:p>
    <w:p w14:paraId="5BDF21D2" w14:textId="77777777" w:rsidR="00196F32" w:rsidRPr="00B02693" w:rsidRDefault="00196F32" w:rsidP="00196F32">
      <w:pPr>
        <w:rPr>
          <w:lang w:eastAsia="ko-KR"/>
        </w:rPr>
      </w:pPr>
      <w:r w:rsidRPr="00B02693">
        <w:rPr>
          <w:lang w:eastAsia="zh-CN"/>
        </w:rPr>
        <w:t xml:space="preserve">There were four evaluation reports received for </w:t>
      </w:r>
      <w:r w:rsidRPr="00B02693">
        <w:t xml:space="preserve">the </w:t>
      </w:r>
      <w:r w:rsidRPr="00B02693">
        <w:rPr>
          <w:lang w:eastAsia="zh-CN"/>
        </w:rPr>
        <w:t>candidate RIT submission</w:t>
      </w:r>
      <w:r w:rsidRPr="00B02693">
        <w:t xml:space="preserve">. The received evaluation reports confirmed that the candidate </w:t>
      </w:r>
      <w:r w:rsidRPr="00B02693">
        <w:rPr>
          <w:lang w:eastAsia="zh-CN"/>
        </w:rPr>
        <w:t xml:space="preserve">3GPP </w:t>
      </w:r>
      <w:r w:rsidRPr="00B02693">
        <w:t>RIT proposal in Document IMT-</w:t>
      </w:r>
      <w:r w:rsidRPr="00B02693">
        <w:rPr>
          <w:lang w:eastAsia="zh-CN"/>
        </w:rPr>
        <w:t>2020-SAT</w:t>
      </w:r>
      <w:r w:rsidRPr="00B02693">
        <w:t>/</w:t>
      </w:r>
      <w:r w:rsidRPr="00B02693">
        <w:rPr>
          <w:lang w:eastAsia="zh-CN"/>
        </w:rPr>
        <w:t xml:space="preserve">4 </w:t>
      </w:r>
      <w:r w:rsidRPr="00B02693">
        <w:t>fulfil</w:t>
      </w:r>
      <w:r w:rsidRPr="00B02693">
        <w:rPr>
          <w:lang w:eastAsia="zh-CN"/>
        </w:rPr>
        <w:t>s</w:t>
      </w:r>
      <w:r w:rsidRPr="00B02693">
        <w:t xml:space="preserve"> the minimum requirements for </w:t>
      </w:r>
      <w:r w:rsidRPr="00B02693">
        <w:rPr>
          <w:lang w:eastAsia="zh-CN"/>
        </w:rPr>
        <w:t xml:space="preserve">the three </w:t>
      </w:r>
      <w:r w:rsidRPr="00B02693">
        <w:t>test environment</w:t>
      </w:r>
      <w:r w:rsidRPr="00B02693">
        <w:rPr>
          <w:lang w:eastAsia="zh-CN"/>
        </w:rPr>
        <w:t>s comprising the three usage scenarios</w:t>
      </w:r>
      <w:r w:rsidRPr="00B02693">
        <w:t>.</w:t>
      </w:r>
    </w:p>
    <w:p w14:paraId="1A214F5B" w14:textId="77777777" w:rsidR="00196F32" w:rsidRPr="00B02693" w:rsidRDefault="00196F32" w:rsidP="00196F32">
      <w:pPr>
        <w:pStyle w:val="Heading3"/>
      </w:pPr>
      <w:r w:rsidRPr="00B02693">
        <w:t>5.1.3</w:t>
      </w:r>
      <w:r w:rsidRPr="00B02693">
        <w:tab/>
        <w:t>References to evaluation reports for candidate technology proposals in § 5.1</w:t>
      </w:r>
    </w:p>
    <w:p w14:paraId="0AEE1647" w14:textId="77777777" w:rsidR="00196F32" w:rsidRPr="00B02693" w:rsidRDefault="00196F32" w:rsidP="00196F32">
      <w:pPr>
        <w:keepNext/>
        <w:rPr>
          <w:lang w:eastAsia="zh-CN"/>
        </w:rPr>
      </w:pPr>
      <w:r w:rsidRPr="00B02693">
        <w:t xml:space="preserve">The summary and details of the evaluation reports from the </w:t>
      </w:r>
      <w:r w:rsidRPr="00B02693">
        <w:rPr>
          <w:lang w:eastAsia="zh-CN"/>
        </w:rPr>
        <w:t xml:space="preserve">IEGs </w:t>
      </w:r>
      <w:r w:rsidRPr="00B02693">
        <w:t xml:space="preserve">and the individual </w:t>
      </w:r>
      <w:r w:rsidRPr="00B02693">
        <w:rPr>
          <w:lang w:eastAsia="zh-CN"/>
        </w:rPr>
        <w:t>IEG</w:t>
      </w:r>
      <w:r w:rsidRPr="00B02693">
        <w:t xml:space="preserve"> analyses for the candidate technology submissions in §§</w:t>
      </w:r>
      <w:r w:rsidRPr="00B02693">
        <w:rPr>
          <w:lang w:eastAsia="zh-CN"/>
        </w:rPr>
        <w:t xml:space="preserve"> 5.1.1 and 5.1.2 </w:t>
      </w:r>
      <w:r w:rsidRPr="00B02693">
        <w:t>above are included in Annex 2 of this Report as follows:</w:t>
      </w:r>
    </w:p>
    <w:p w14:paraId="6AD94874" w14:textId="77777777" w:rsidR="00196F32" w:rsidRPr="00B02693" w:rsidRDefault="00196F32" w:rsidP="00196F32">
      <w:pPr>
        <w:pStyle w:val="enumlev1"/>
        <w:rPr>
          <w:lang w:eastAsia="zh-CN"/>
        </w:rPr>
      </w:pPr>
      <w:r w:rsidRPr="00B02693">
        <w:t>–</w:t>
      </w:r>
      <w:r w:rsidRPr="00B02693">
        <w:tab/>
      </w:r>
      <w:bookmarkStart w:id="100" w:name="_Hlk181053212"/>
      <w:r w:rsidRPr="00B02693">
        <w:t xml:space="preserve">Document </w:t>
      </w:r>
      <w:bookmarkEnd w:id="100"/>
      <w:r w:rsidRPr="00B02693">
        <w:t xml:space="preserve">IMT-2020-SAT/10 – Summary results of evaluation by ATIS Evaluation Group of IMT-2020 satellite candidate technology submission </w:t>
      </w:r>
      <w:r w:rsidRPr="00B02693">
        <w:rPr>
          <w:lang w:eastAsia="zh-CN"/>
        </w:rPr>
        <w:t xml:space="preserve">in </w:t>
      </w:r>
      <w:r w:rsidRPr="00B02693">
        <w:t xml:space="preserve">Documents </w:t>
      </w:r>
      <w:hyperlink r:id="rId37" w:history="1">
        <w:r w:rsidRPr="00B02693">
          <w:rPr>
            <w:szCs w:val="24"/>
          </w:rPr>
          <w:t>IMT</w:t>
        </w:r>
        <w:r w:rsidRPr="00B02693">
          <w:rPr>
            <w:szCs w:val="24"/>
          </w:rPr>
          <w:noBreakHyphen/>
          <w:t>2020-SAT/3</w:t>
        </w:r>
      </w:hyperlink>
      <w:r w:rsidRPr="00B02693">
        <w:t xml:space="preserve"> and IMT-2020-SAT/4 (3GPP)</w:t>
      </w:r>
      <w:r w:rsidRPr="00B02693">
        <w:rPr>
          <w:lang w:eastAsia="zh-CN"/>
        </w:rPr>
        <w:t>.</w:t>
      </w:r>
    </w:p>
    <w:p w14:paraId="2CBD7FDB" w14:textId="77777777" w:rsidR="00196F32" w:rsidRPr="00B02693" w:rsidRDefault="00196F32" w:rsidP="00196F32">
      <w:pPr>
        <w:pStyle w:val="enumlev1"/>
        <w:rPr>
          <w:lang w:eastAsia="zh-CN"/>
        </w:rPr>
      </w:pPr>
      <w:r w:rsidRPr="00B02693">
        <w:rPr>
          <w:lang w:eastAsia="zh-CN"/>
        </w:rPr>
        <w:t>–</w:t>
      </w:r>
      <w:r w:rsidRPr="00B02693">
        <w:rPr>
          <w:lang w:eastAsia="zh-CN"/>
        </w:rPr>
        <w:tab/>
      </w:r>
      <w:r w:rsidRPr="00B02693">
        <w:t xml:space="preserve">Document IMT-2020-SAT/11 – Summary results of evaluation by European Telecommunications Standards Institute (ETSI) Evaluation Group of IMT-2020 satellite candidate technology submission </w:t>
      </w:r>
      <w:r w:rsidRPr="00B02693">
        <w:rPr>
          <w:lang w:eastAsia="zh-CN"/>
        </w:rPr>
        <w:t>in</w:t>
      </w:r>
      <w:r w:rsidRPr="00B02693">
        <w:t xml:space="preserve"> Document IMT-2020-SAT/4 (3GPP)</w:t>
      </w:r>
      <w:r w:rsidRPr="00B02693">
        <w:rPr>
          <w:lang w:eastAsia="zh-CN"/>
        </w:rPr>
        <w:t>.</w:t>
      </w:r>
    </w:p>
    <w:p w14:paraId="7CDEB5D1" w14:textId="115DD59D" w:rsidR="00196F32" w:rsidRPr="00B02693" w:rsidRDefault="00196F32" w:rsidP="00196F32">
      <w:pPr>
        <w:pStyle w:val="enumlev1"/>
        <w:rPr>
          <w:lang w:eastAsia="zh-CN"/>
        </w:rPr>
      </w:pPr>
      <w:r w:rsidRPr="00B02693">
        <w:rPr>
          <w:lang w:eastAsia="zh-CN"/>
        </w:rPr>
        <w:lastRenderedPageBreak/>
        <w:t>–</w:t>
      </w:r>
      <w:r w:rsidRPr="00B02693">
        <w:rPr>
          <w:lang w:eastAsia="zh-CN"/>
        </w:rPr>
        <w:tab/>
      </w:r>
      <w:r w:rsidRPr="00B02693">
        <w:t>Document IMT-2020-SAT/12 – Summary results of evaluation by 5G India Forum (5G IF) Evaluation Group of IMT-2020 satellite candidate technology submission</w:t>
      </w:r>
      <w:r w:rsidRPr="00B02693">
        <w:rPr>
          <w:lang w:eastAsia="zh-CN"/>
        </w:rPr>
        <w:t xml:space="preserve"> in</w:t>
      </w:r>
      <w:r w:rsidRPr="00B02693">
        <w:t xml:space="preserve"> Document IMT</w:t>
      </w:r>
      <w:r w:rsidR="00CC7C3B">
        <w:t>‑</w:t>
      </w:r>
      <w:r w:rsidRPr="00B02693">
        <w:t>2020-SAT/4 (3GPP)</w:t>
      </w:r>
      <w:r w:rsidRPr="00B02693">
        <w:rPr>
          <w:lang w:eastAsia="zh-CN"/>
        </w:rPr>
        <w:t>.</w:t>
      </w:r>
    </w:p>
    <w:p w14:paraId="06F21B26" w14:textId="3677FE12" w:rsidR="00196F32" w:rsidRPr="00B02693" w:rsidRDefault="00196F32" w:rsidP="00196F32">
      <w:pPr>
        <w:pStyle w:val="enumlev1"/>
        <w:rPr>
          <w:lang w:eastAsia="zh-CN"/>
        </w:rPr>
      </w:pPr>
      <w:r w:rsidRPr="00B02693">
        <w:rPr>
          <w:lang w:eastAsia="zh-CN"/>
        </w:rPr>
        <w:t>–</w:t>
      </w:r>
      <w:r w:rsidRPr="00B02693">
        <w:rPr>
          <w:lang w:eastAsia="zh-CN"/>
        </w:rPr>
        <w:tab/>
      </w:r>
      <w:r w:rsidRPr="00B02693">
        <w:t xml:space="preserve">Document IMT-2020-SAT/13 – Summary results of evaluation by </w:t>
      </w:r>
      <w:proofErr w:type="spellStart"/>
      <w:r w:rsidRPr="00B02693">
        <w:t>SatComForum</w:t>
      </w:r>
      <w:proofErr w:type="spellEnd"/>
      <w:r w:rsidRPr="00B02693">
        <w:t xml:space="preserve"> Evaluation Group of IMT-2020 satellite candidate technology submission</w:t>
      </w:r>
      <w:r w:rsidRPr="00B02693">
        <w:rPr>
          <w:lang w:eastAsia="zh-CN"/>
        </w:rPr>
        <w:t xml:space="preserve"> in</w:t>
      </w:r>
      <w:r w:rsidRPr="00B02693">
        <w:t xml:space="preserve"> Document IMT</w:t>
      </w:r>
      <w:r w:rsidR="00CC7C3B">
        <w:t>‑</w:t>
      </w:r>
      <w:r w:rsidRPr="00B02693">
        <w:t>2020</w:t>
      </w:r>
      <w:r w:rsidR="00CC7C3B">
        <w:t>‑</w:t>
      </w:r>
      <w:r w:rsidRPr="00B02693">
        <w:t>SAT/4 (3GPP)</w:t>
      </w:r>
      <w:r w:rsidRPr="00B02693">
        <w:rPr>
          <w:lang w:eastAsia="zh-CN"/>
        </w:rPr>
        <w:t>.</w:t>
      </w:r>
    </w:p>
    <w:p w14:paraId="11083CFA" w14:textId="77777777" w:rsidR="00196F32" w:rsidRPr="00B02693" w:rsidRDefault="00196F32" w:rsidP="00196F32">
      <w:pPr>
        <w:pStyle w:val="Heading2"/>
      </w:pPr>
      <w:bookmarkStart w:id="101" w:name="_Toc254701875"/>
      <w:bookmarkStart w:id="102" w:name="_Toc257375449"/>
      <w:bookmarkStart w:id="103" w:name="_Toc269478146"/>
      <w:bookmarkStart w:id="104" w:name="_Toc269478547"/>
      <w:bookmarkStart w:id="105" w:name="_Toc274204298"/>
      <w:bookmarkStart w:id="106" w:name="_Toc274861540"/>
      <w:bookmarkStart w:id="107" w:name="_Toc276718339"/>
      <w:bookmarkStart w:id="108" w:name="_Toc280016867"/>
      <w:bookmarkStart w:id="109" w:name="_Toc355260995"/>
      <w:bookmarkStart w:id="110" w:name="_Toc374520821"/>
      <w:bookmarkStart w:id="111" w:name="_Toc181174802"/>
      <w:bookmarkStart w:id="112" w:name="_Toc181174985"/>
      <w:bookmarkStart w:id="113" w:name="_Toc182391774"/>
      <w:r w:rsidRPr="00B02693">
        <w:t>5.2</w:t>
      </w:r>
      <w:r w:rsidRPr="00B02693">
        <w:tab/>
        <w:t>Results of Step 6, “Review to assess compliance with minimum requirements”</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0417F0D5" w14:textId="120C8A8E" w:rsidR="00196F32" w:rsidRPr="00B02693" w:rsidRDefault="00196F32" w:rsidP="00196F32">
      <w:pPr>
        <w:rPr>
          <w:lang w:eastAsia="ko-KR"/>
        </w:rPr>
      </w:pPr>
      <w:r w:rsidRPr="00B02693">
        <w:rPr>
          <w:lang w:eastAsia="ko-KR"/>
        </w:rPr>
        <w:t>Under Step 6 of the IMT-2020 satellite process, an assessment of each proposal was made as to whether it met a version of the minimum technical requirements and evaluation criteria of the IMT</w:t>
      </w:r>
      <w:r w:rsidRPr="00B02693">
        <w:rPr>
          <w:lang w:eastAsia="ko-KR"/>
        </w:rPr>
        <w:noBreakHyphen/>
        <w:t xml:space="preserve">2020 satellite process in force, as described in Report </w:t>
      </w:r>
      <w:hyperlink r:id="rId38" w:history="1">
        <w:r w:rsidR="00F947C0" w:rsidRPr="00632FEC">
          <w:rPr>
            <w:rStyle w:val="Hyperlink"/>
            <w:color w:val="auto"/>
            <w:u w:val="none"/>
          </w:rPr>
          <w:t>ITU-R M.2514</w:t>
        </w:r>
      </w:hyperlink>
      <w:r w:rsidRPr="00B02693">
        <w:rPr>
          <w:lang w:eastAsia="ko-KR"/>
        </w:rPr>
        <w:t>. The evaluation methodology and the version of the minimum technical requirements used are described in Report </w:t>
      </w:r>
      <w:hyperlink r:id="rId39" w:history="1">
        <w:r w:rsidR="00F947C0" w:rsidRPr="00632FEC">
          <w:rPr>
            <w:rStyle w:val="Hyperlink"/>
            <w:color w:val="auto"/>
            <w:u w:val="none"/>
          </w:rPr>
          <w:t>ITU-R M.2514</w:t>
        </w:r>
      </w:hyperlink>
      <w:r w:rsidRPr="00B02693">
        <w:rPr>
          <w:lang w:eastAsia="ko-KR"/>
        </w:rPr>
        <w:t>.</w:t>
      </w:r>
    </w:p>
    <w:p w14:paraId="257EBCB9" w14:textId="1F226AE4" w:rsidR="00196F32" w:rsidRPr="00B02693" w:rsidRDefault="00196F32" w:rsidP="00196F32">
      <w:pPr>
        <w:rPr>
          <w:lang w:eastAsia="zh-CN"/>
        </w:rPr>
      </w:pPr>
      <w:r w:rsidRPr="00B02693">
        <w:rPr>
          <w:lang w:eastAsia="ja-JP"/>
        </w:rPr>
        <w:t>In this step, the evaluated proposal for a</w:t>
      </w:r>
      <w:r w:rsidR="00DF21D5">
        <w:rPr>
          <w:lang w:eastAsia="ja-JP"/>
        </w:rPr>
        <w:t>n</w:t>
      </w:r>
      <w:r w:rsidRPr="00B02693">
        <w:t xml:space="preserve"> RIT</w:t>
      </w:r>
      <w:r w:rsidRPr="00B02693">
        <w:rPr>
          <w:lang w:eastAsia="ja-JP"/>
        </w:rPr>
        <w:t xml:space="preserve">/SRIT is assessed as a qualifying RIT/SRIT, </w:t>
      </w:r>
      <w:r w:rsidRPr="00B02693">
        <w:t xml:space="preserve">if </w:t>
      </w:r>
      <w:r w:rsidRPr="00B02693">
        <w:rPr>
          <w:lang w:eastAsia="zh-CN"/>
        </w:rPr>
        <w:t>a</w:t>
      </w:r>
      <w:r w:rsidR="00DF21D5">
        <w:rPr>
          <w:lang w:eastAsia="zh-CN"/>
        </w:rPr>
        <w:t>n</w:t>
      </w:r>
      <w:r w:rsidRPr="00B02693">
        <w:rPr>
          <w:lang w:eastAsia="zh-CN"/>
        </w:rPr>
        <w:t xml:space="preserve"> RIT/SRIT</w:t>
      </w:r>
      <w:r w:rsidRPr="00B02693">
        <w:t xml:space="preserve"> fulfil</w:t>
      </w:r>
      <w:r w:rsidRPr="00B02693">
        <w:rPr>
          <w:lang w:eastAsia="zh-CN"/>
        </w:rPr>
        <w:t>s</w:t>
      </w:r>
      <w:r w:rsidRPr="00B02693">
        <w:t xml:space="preserve"> the minimum requirements for </w:t>
      </w:r>
      <w:r w:rsidRPr="00B02693">
        <w:rPr>
          <w:lang w:eastAsia="zh-CN"/>
        </w:rPr>
        <w:t xml:space="preserve">three </w:t>
      </w:r>
      <w:r w:rsidRPr="00B02693">
        <w:t>test environment</w:t>
      </w:r>
      <w:r w:rsidRPr="00B02693">
        <w:rPr>
          <w:lang w:eastAsia="zh-CN"/>
        </w:rPr>
        <w:t>s comprising the three usage scenarios.</w:t>
      </w:r>
    </w:p>
    <w:p w14:paraId="0A1AD888" w14:textId="77777777" w:rsidR="00196F32" w:rsidRPr="00B02693" w:rsidRDefault="00196F32" w:rsidP="00196F32">
      <w:pPr>
        <w:rPr>
          <w:lang w:eastAsia="ja-JP"/>
        </w:rPr>
      </w:pPr>
      <w:r w:rsidRPr="00B02693">
        <w:rPr>
          <w:lang w:eastAsia="ja-JP"/>
        </w:rPr>
        <w:t>Such a qualified RIT/SRIT will go forward for further consideration in Step 7.</w:t>
      </w:r>
    </w:p>
    <w:p w14:paraId="42F18C48" w14:textId="77777777" w:rsidR="00196F32" w:rsidRPr="00B02693" w:rsidRDefault="00196F32" w:rsidP="00196F32">
      <w:pPr>
        <w:rPr>
          <w:lang w:eastAsia="ko-KR"/>
        </w:rPr>
      </w:pPr>
      <w:r w:rsidRPr="00B02693">
        <w:t>Based on a review of the evaluations carried out by the Independent Evaluation Groups as well as the self-evaluations from the proponents, the conclusions of the ITU-R for Step 6 are presented in the following subsections. Each candidate technology submission is separately addressed for compliance with regard to services, spectrum and technical performance and for confirmation as a qualifying RIT.</w:t>
      </w:r>
    </w:p>
    <w:p w14:paraId="479F8CCF" w14:textId="10C632B4" w:rsidR="00196F32" w:rsidRPr="00B02693" w:rsidRDefault="00196F32" w:rsidP="00196F32">
      <w:pPr>
        <w:pStyle w:val="Heading3"/>
      </w:pPr>
      <w:bookmarkStart w:id="114" w:name="_Toc254701877"/>
      <w:bookmarkStart w:id="115" w:name="_Toc269478147"/>
      <w:bookmarkStart w:id="116" w:name="_Toc269478548"/>
      <w:bookmarkStart w:id="117" w:name="_Toc274204299"/>
      <w:bookmarkStart w:id="118" w:name="_Toc274861541"/>
      <w:bookmarkStart w:id="119" w:name="_Toc276718340"/>
      <w:bookmarkStart w:id="120" w:name="_Toc280016868"/>
      <w:bookmarkStart w:id="121" w:name="_Toc355260996"/>
      <w:bookmarkStart w:id="122" w:name="_Toc374520822"/>
      <w:r w:rsidRPr="00B02693">
        <w:t>5.2.1</w:t>
      </w:r>
      <w:r w:rsidRPr="00B02693">
        <w:tab/>
      </w:r>
      <w:bookmarkEnd w:id="114"/>
      <w:r w:rsidRPr="00B02693">
        <w:t>Result of assessment in Step 6 for the candidate SRIT submission</w:t>
      </w:r>
      <w:r w:rsidR="004E306E">
        <w:t xml:space="preserve"> </w:t>
      </w:r>
      <w:r w:rsidRPr="00B02693">
        <w:t>(Doc. IMT</w:t>
      </w:r>
      <w:r w:rsidR="004E306E">
        <w:t>‑</w:t>
      </w:r>
      <w:r w:rsidRPr="00B02693">
        <w:t>2020</w:t>
      </w:r>
      <w:r w:rsidR="004E306E">
        <w:rPr>
          <w:lang w:eastAsia="ko-KR"/>
        </w:rPr>
        <w:t>‑</w:t>
      </w:r>
      <w:r w:rsidRPr="00B02693">
        <w:rPr>
          <w:lang w:eastAsia="ko-KR"/>
        </w:rPr>
        <w:t>SAT</w:t>
      </w:r>
      <w:r w:rsidRPr="00B02693">
        <w:t>/</w:t>
      </w:r>
      <w:r w:rsidRPr="00B02693">
        <w:rPr>
          <w:lang w:eastAsia="ko-KR"/>
        </w:rPr>
        <w:t>3</w:t>
      </w:r>
      <w:r w:rsidRPr="00B02693">
        <w:t>)</w:t>
      </w:r>
      <w:bookmarkEnd w:id="115"/>
      <w:bookmarkEnd w:id="116"/>
      <w:bookmarkEnd w:id="117"/>
      <w:bookmarkEnd w:id="118"/>
      <w:bookmarkEnd w:id="119"/>
      <w:bookmarkEnd w:id="120"/>
      <w:bookmarkEnd w:id="121"/>
      <w:bookmarkEnd w:id="122"/>
      <w:r w:rsidRPr="00B02693">
        <w:t xml:space="preserve"> from 3GPP Proponent</w:t>
      </w:r>
    </w:p>
    <w:p w14:paraId="4EE9B531" w14:textId="50A6E90E" w:rsidR="00196F32" w:rsidRPr="00B02693" w:rsidRDefault="00196F32" w:rsidP="00196F32">
      <w:pPr>
        <w:rPr>
          <w:lang w:eastAsia="ko-KR"/>
        </w:rPr>
      </w:pPr>
      <w:r w:rsidRPr="00B02693">
        <w:t xml:space="preserve">The ITU-R summary review of the candidate technology submission from </w:t>
      </w:r>
      <w:r w:rsidRPr="00B02693">
        <w:rPr>
          <w:lang w:eastAsia="ko-KR"/>
        </w:rPr>
        <w:t>3GPP (Doc.</w:t>
      </w:r>
      <w:r w:rsidR="0021161E">
        <w:rPr>
          <w:lang w:eastAsia="ko-KR"/>
        </w:rPr>
        <w:t> </w:t>
      </w:r>
      <w:r w:rsidRPr="00B02693">
        <w:rPr>
          <w:lang w:eastAsia="ko-KR"/>
        </w:rPr>
        <w:t>IMT</w:t>
      </w:r>
      <w:r w:rsidR="004E306E">
        <w:rPr>
          <w:lang w:eastAsia="ko-KR"/>
        </w:rPr>
        <w:t>‑</w:t>
      </w:r>
      <w:r w:rsidRPr="00B02693">
        <w:rPr>
          <w:lang w:eastAsia="ko-KR"/>
        </w:rPr>
        <w:t>2020</w:t>
      </w:r>
      <w:r w:rsidR="004E306E">
        <w:rPr>
          <w:lang w:eastAsia="ko-KR"/>
        </w:rPr>
        <w:t>‑</w:t>
      </w:r>
      <w:r w:rsidRPr="00B02693">
        <w:rPr>
          <w:lang w:eastAsia="ko-KR"/>
        </w:rPr>
        <w:t xml:space="preserve">SAT/3) </w:t>
      </w:r>
      <w:r w:rsidRPr="00B02693">
        <w:t xml:space="preserve">is presented below. The individual detailed analysis of compliance for each of the defined items in Report </w:t>
      </w:r>
      <w:hyperlink r:id="rId40" w:history="1">
        <w:r w:rsidR="00F947C0" w:rsidRPr="00632FEC">
          <w:rPr>
            <w:rStyle w:val="Hyperlink"/>
            <w:color w:val="auto"/>
            <w:u w:val="none"/>
          </w:rPr>
          <w:t>ITU-R M.2514</w:t>
        </w:r>
      </w:hyperlink>
      <w:r w:rsidRPr="00B02693">
        <w:t xml:space="preserve"> is included in the </w:t>
      </w:r>
      <w:r w:rsidR="00E35CFE" w:rsidRPr="00B02693">
        <w:t xml:space="preserve">Tables </w:t>
      </w:r>
      <w:r w:rsidRPr="00B02693">
        <w:t>in Annex 3 to the present Report.</w:t>
      </w:r>
    </w:p>
    <w:p w14:paraId="76D90A64" w14:textId="77777777" w:rsidR="00196F32" w:rsidRPr="00B02693" w:rsidRDefault="00196F32" w:rsidP="00196F32">
      <w:pPr>
        <w:pStyle w:val="Headingb"/>
        <w:rPr>
          <w:rFonts w:eastAsia="MS Mincho"/>
        </w:rPr>
      </w:pPr>
      <w:r w:rsidRPr="00B02693">
        <w:rPr>
          <w:rFonts w:eastAsia="MS Mincho"/>
        </w:rPr>
        <w:t>Compliance related to services</w:t>
      </w:r>
    </w:p>
    <w:p w14:paraId="7F708640"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hyperlink r:id="rId41" w:history="1">
        <w:r w:rsidRPr="00B02693">
          <w:rPr>
            <w:szCs w:val="24"/>
          </w:rPr>
          <w:t>IMT</w:t>
        </w:r>
        <w:r w:rsidRPr="00B02693">
          <w:rPr>
            <w:szCs w:val="24"/>
          </w:rPr>
          <w:noBreakHyphen/>
          <w:t>2020-SAT/3</w:t>
        </w:r>
      </w:hyperlink>
      <w:r w:rsidRPr="00B02693">
        <w:t>) meets the minimum requirements for services.</w:t>
      </w:r>
    </w:p>
    <w:p w14:paraId="1ADB430F" w14:textId="77777777" w:rsidR="00196F32" w:rsidRPr="00B02693" w:rsidRDefault="00196F32" w:rsidP="00196F32">
      <w:pPr>
        <w:pStyle w:val="Headingb"/>
        <w:rPr>
          <w:rFonts w:eastAsia="MS Mincho"/>
        </w:rPr>
      </w:pPr>
      <w:r w:rsidRPr="00B02693">
        <w:rPr>
          <w:rFonts w:eastAsia="MS Mincho"/>
        </w:rPr>
        <w:t>Compliance related to spectrum</w:t>
      </w:r>
    </w:p>
    <w:p w14:paraId="68A84906"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hyperlink r:id="rId42" w:history="1">
        <w:r w:rsidRPr="00B02693">
          <w:rPr>
            <w:szCs w:val="24"/>
          </w:rPr>
          <w:t>IMT</w:t>
        </w:r>
        <w:r w:rsidRPr="00B02693">
          <w:rPr>
            <w:szCs w:val="24"/>
          </w:rPr>
          <w:noBreakHyphen/>
          <w:t>2020-SAT/3</w:t>
        </w:r>
      </w:hyperlink>
      <w:r w:rsidRPr="00B02693">
        <w:t>) meets the minimum requirements for spectrum.</w:t>
      </w:r>
    </w:p>
    <w:p w14:paraId="1B065C53" w14:textId="77777777" w:rsidR="00196F32" w:rsidRPr="00B02693" w:rsidRDefault="00196F32" w:rsidP="00196F32">
      <w:pPr>
        <w:pStyle w:val="Headingb"/>
        <w:rPr>
          <w:rFonts w:eastAsia="Malgun Gothic"/>
        </w:rPr>
      </w:pPr>
      <w:r w:rsidRPr="00B02693">
        <w:rPr>
          <w:rFonts w:eastAsia="MS Mincho"/>
        </w:rPr>
        <w:t>Compliance related to technical performance</w:t>
      </w:r>
    </w:p>
    <w:p w14:paraId="5E109A44"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hyperlink r:id="rId43" w:history="1">
        <w:r w:rsidRPr="00B02693">
          <w:rPr>
            <w:szCs w:val="24"/>
          </w:rPr>
          <w:t>IMT</w:t>
        </w:r>
        <w:r w:rsidRPr="00B02693">
          <w:rPr>
            <w:szCs w:val="24"/>
          </w:rPr>
          <w:noBreakHyphen/>
          <w:t>2020-SAT/3</w:t>
        </w:r>
      </w:hyperlink>
      <w:r w:rsidRPr="00B02693">
        <w:t>) meets the minimum requirements for technical performance.</w:t>
      </w:r>
    </w:p>
    <w:p w14:paraId="3DFB12CC" w14:textId="77777777" w:rsidR="00196F32" w:rsidRPr="00B02693" w:rsidRDefault="00196F32" w:rsidP="00196F32">
      <w:pPr>
        <w:pStyle w:val="Headingb"/>
        <w:rPr>
          <w:rFonts w:eastAsia="MS Mincho"/>
        </w:rPr>
      </w:pPr>
      <w:r w:rsidRPr="00B02693">
        <w:rPr>
          <w:rFonts w:eastAsia="MS Mincho"/>
        </w:rPr>
        <w:t>Assessment of the candidate technology proposal as a qualifying RIT/SRIT</w:t>
      </w:r>
    </w:p>
    <w:p w14:paraId="640CEBC2" w14:textId="5A7641FE" w:rsidR="00196F32" w:rsidRPr="00B02693" w:rsidRDefault="00196F32" w:rsidP="00196F32">
      <w:bookmarkStart w:id="123" w:name="_Toc269478148"/>
      <w:bookmarkStart w:id="124" w:name="_Toc269478549"/>
      <w:bookmarkStart w:id="125" w:name="_Toc274204300"/>
      <w:bookmarkStart w:id="126" w:name="_Toc274861542"/>
      <w:bookmarkStart w:id="127" w:name="_Toc276718341"/>
      <w:bookmarkStart w:id="128" w:name="_Toc280016869"/>
      <w:bookmarkStart w:id="129" w:name="_Toc355260997"/>
      <w:bookmarkStart w:id="130" w:name="_Toc374520823"/>
      <w:r w:rsidRPr="00B02693">
        <w:t xml:space="preserve">ITU-R confirms that the SRIT of the candidate technology submission in Document </w:t>
      </w:r>
      <w:hyperlink r:id="rId44" w:history="1">
        <w:r w:rsidRPr="00B02693">
          <w:rPr>
            <w:szCs w:val="24"/>
          </w:rPr>
          <w:t>IMT</w:t>
        </w:r>
        <w:r w:rsidRPr="00B02693">
          <w:rPr>
            <w:szCs w:val="24"/>
          </w:rPr>
          <w:noBreakHyphen/>
          <w:t>2020</w:t>
        </w:r>
        <w:r w:rsidR="004E306E">
          <w:rPr>
            <w:szCs w:val="24"/>
          </w:rPr>
          <w:t>‑</w:t>
        </w:r>
        <w:r w:rsidRPr="00B02693">
          <w:rPr>
            <w:szCs w:val="24"/>
          </w:rPr>
          <w:t>SAT/3</w:t>
        </w:r>
      </w:hyperlink>
      <w:r w:rsidRPr="00B02693">
        <w:t xml:space="preserve"> meets the minimum requirements of the Rural-</w:t>
      </w:r>
      <w:proofErr w:type="spellStart"/>
      <w:r w:rsidRPr="00B02693">
        <w:t>eMBB</w:t>
      </w:r>
      <w:proofErr w:type="spellEnd"/>
      <w:r w:rsidRPr="00B02693">
        <w:t>-s test environment.</w:t>
      </w:r>
    </w:p>
    <w:p w14:paraId="5EBD4E89" w14:textId="00082E44" w:rsidR="00196F32" w:rsidRPr="00B02693" w:rsidRDefault="00196F32" w:rsidP="00196F32">
      <w:r w:rsidRPr="00B02693">
        <w:t xml:space="preserve">ITU-R confirms that the SRIT of the candidate technology submission in Document </w:t>
      </w:r>
      <w:hyperlink r:id="rId45" w:history="1">
        <w:r w:rsidRPr="00B02693">
          <w:rPr>
            <w:szCs w:val="24"/>
          </w:rPr>
          <w:t>IMT</w:t>
        </w:r>
        <w:r w:rsidRPr="00B02693">
          <w:rPr>
            <w:szCs w:val="24"/>
          </w:rPr>
          <w:noBreakHyphen/>
          <w:t>2020</w:t>
        </w:r>
        <w:r w:rsidR="004E306E">
          <w:rPr>
            <w:szCs w:val="24"/>
          </w:rPr>
          <w:t>‑</w:t>
        </w:r>
        <w:r w:rsidRPr="00B02693">
          <w:rPr>
            <w:szCs w:val="24"/>
          </w:rPr>
          <w:t>SAT/3</w:t>
        </w:r>
      </w:hyperlink>
      <w:r w:rsidRPr="00B02693">
        <w:t xml:space="preserve"> meets the minimum requirements of the Rural-</w:t>
      </w:r>
      <w:proofErr w:type="spellStart"/>
      <w:r w:rsidRPr="00B02693">
        <w:t>mMTC</w:t>
      </w:r>
      <w:proofErr w:type="spellEnd"/>
      <w:r w:rsidRPr="00B02693">
        <w:t>-s test environment.</w:t>
      </w:r>
    </w:p>
    <w:p w14:paraId="1F7ACE8A" w14:textId="4A9BD2DA" w:rsidR="00196F32" w:rsidRPr="00B02693" w:rsidRDefault="00196F32" w:rsidP="00196F32">
      <w:pPr>
        <w:rPr>
          <w:i/>
        </w:rPr>
      </w:pPr>
      <w:r w:rsidRPr="00B02693">
        <w:t xml:space="preserve">ITU-R confirms that the SRIT of the candidate technology submission in Document </w:t>
      </w:r>
      <w:hyperlink r:id="rId46" w:history="1">
        <w:r w:rsidRPr="00B02693">
          <w:rPr>
            <w:szCs w:val="24"/>
          </w:rPr>
          <w:t>IMT</w:t>
        </w:r>
        <w:r w:rsidRPr="00B02693">
          <w:rPr>
            <w:szCs w:val="24"/>
          </w:rPr>
          <w:noBreakHyphen/>
          <w:t>2020</w:t>
        </w:r>
        <w:r w:rsidR="004E306E">
          <w:rPr>
            <w:szCs w:val="24"/>
          </w:rPr>
          <w:t>‑</w:t>
        </w:r>
        <w:r w:rsidRPr="00B02693">
          <w:rPr>
            <w:szCs w:val="24"/>
          </w:rPr>
          <w:t>SAT/3</w:t>
        </w:r>
      </w:hyperlink>
      <w:r w:rsidRPr="00B02693">
        <w:t xml:space="preserve"> meets the minimum requirements of the Rural-HRC-s test environment.</w:t>
      </w:r>
    </w:p>
    <w:p w14:paraId="455245C5" w14:textId="77777777" w:rsidR="00196F32" w:rsidRPr="0021161E" w:rsidRDefault="00196F32" w:rsidP="0021161E">
      <w:pPr>
        <w:pStyle w:val="Headingb"/>
        <w:rPr>
          <w:rFonts w:eastAsia="MS Mincho"/>
        </w:rPr>
      </w:pPr>
      <w:bookmarkStart w:id="131" w:name="_Hlk40482624"/>
      <w:r w:rsidRPr="0021161E">
        <w:rPr>
          <w:rFonts w:eastAsia="MS Mincho"/>
        </w:rPr>
        <w:lastRenderedPageBreak/>
        <w:t>Step 6 assessment for SRIT proposal (Document IMT</w:t>
      </w:r>
      <w:r w:rsidRPr="0021161E">
        <w:rPr>
          <w:rFonts w:eastAsia="MS Mincho"/>
        </w:rPr>
        <w:noBreakHyphen/>
        <w:t>2020-SAT/3) from 3GPP Proponent</w:t>
      </w:r>
    </w:p>
    <w:p w14:paraId="004B74E8" w14:textId="5417ACC5" w:rsidR="00196F32" w:rsidRPr="005619BD" w:rsidRDefault="00196F32" w:rsidP="00196F32">
      <w:r w:rsidRPr="00B02693">
        <w:t xml:space="preserve">The evaluated candidate SRIT proposal (Document </w:t>
      </w:r>
      <w:hyperlink r:id="rId47" w:history="1">
        <w:r w:rsidRPr="00B02693">
          <w:rPr>
            <w:szCs w:val="24"/>
          </w:rPr>
          <w:t>IMT</w:t>
        </w:r>
        <w:r w:rsidRPr="00B02693">
          <w:rPr>
            <w:szCs w:val="24"/>
          </w:rPr>
          <w:noBreakHyphen/>
          <w:t>2020-SAT/3</w:t>
        </w:r>
      </w:hyperlink>
      <w:r w:rsidRPr="00B02693">
        <w:t xml:space="preserve">) from 3GPP Proponent is assessed by ITU-R </w:t>
      </w:r>
      <w:r w:rsidRPr="00B02693">
        <w:rPr>
          <w:lang w:eastAsia="zh-CN"/>
        </w:rPr>
        <w:t xml:space="preserve">as satisfactorily fulfilling the minimum requirements for the three test environments comprising the three usage scenarios, with </w:t>
      </w:r>
      <w:r w:rsidRPr="00B02693">
        <w:t xml:space="preserve">each component RIT of the SRIT also fulfilling the minimum requirements of at least one test environment. Thus, this 3GPP Proponent SRIT </w:t>
      </w:r>
      <w:r w:rsidRPr="005619BD">
        <w:t>proposal is ‘a qualifying SRIT’ and therefore will go forward for further consideration in Step</w:t>
      </w:r>
      <w:r w:rsidR="00070BD5">
        <w:t> </w:t>
      </w:r>
      <w:r w:rsidRPr="005619BD">
        <w:t>7.</w:t>
      </w:r>
    </w:p>
    <w:bookmarkEnd w:id="131"/>
    <w:p w14:paraId="69D08FB1" w14:textId="77777777" w:rsidR="00196F32" w:rsidRPr="00B02693" w:rsidRDefault="00196F32" w:rsidP="00196F32">
      <w:pPr>
        <w:pStyle w:val="Heading3"/>
      </w:pPr>
      <w:r w:rsidRPr="00B02693">
        <w:t>5.2.2</w:t>
      </w:r>
      <w:r w:rsidRPr="00B02693">
        <w:tab/>
        <w:t xml:space="preserve">Results of assessment in Step 6 for the candidate RIT submission </w:t>
      </w:r>
      <w:bookmarkEnd w:id="123"/>
      <w:bookmarkEnd w:id="124"/>
      <w:bookmarkEnd w:id="125"/>
      <w:bookmarkEnd w:id="126"/>
      <w:bookmarkEnd w:id="127"/>
      <w:bookmarkEnd w:id="128"/>
      <w:r w:rsidRPr="00B02693">
        <w:t>(Doc. IMT</w:t>
      </w:r>
      <w:r w:rsidRPr="00B02693">
        <w:noBreakHyphen/>
        <w:t>2020</w:t>
      </w:r>
      <w:r w:rsidRPr="00B02693">
        <w:rPr>
          <w:lang w:eastAsia="ko-KR"/>
        </w:rPr>
        <w:noBreakHyphen/>
        <w:t>SAT</w:t>
      </w:r>
      <w:r w:rsidRPr="00B02693">
        <w:t>/</w:t>
      </w:r>
      <w:r w:rsidRPr="00B02693">
        <w:rPr>
          <w:lang w:eastAsia="ko-KR"/>
        </w:rPr>
        <w:t>4</w:t>
      </w:r>
      <w:r w:rsidRPr="00B02693">
        <w:t>)</w:t>
      </w:r>
      <w:bookmarkEnd w:id="129"/>
      <w:bookmarkEnd w:id="130"/>
      <w:r w:rsidRPr="00B02693">
        <w:t xml:space="preserve"> from 3GPP Proponent</w:t>
      </w:r>
    </w:p>
    <w:p w14:paraId="012567FA" w14:textId="13231271" w:rsidR="00196F32" w:rsidRPr="00B02693" w:rsidRDefault="00196F32" w:rsidP="00196F32">
      <w:pPr>
        <w:rPr>
          <w:lang w:eastAsia="ko-KR"/>
        </w:rPr>
      </w:pPr>
      <w:r w:rsidRPr="00B02693">
        <w:t xml:space="preserve">The ITU-R summary review of the candidate technology submission from </w:t>
      </w:r>
      <w:r w:rsidRPr="00B02693">
        <w:rPr>
          <w:lang w:eastAsia="ko-KR"/>
        </w:rPr>
        <w:t>3GPP (Doc. IMT</w:t>
      </w:r>
      <w:r w:rsidR="005619BD">
        <w:rPr>
          <w:lang w:eastAsia="ko-KR"/>
        </w:rPr>
        <w:t>‑</w:t>
      </w:r>
      <w:r w:rsidRPr="00B02693">
        <w:rPr>
          <w:lang w:eastAsia="ko-KR"/>
        </w:rPr>
        <w:t>2020</w:t>
      </w:r>
      <w:r w:rsidR="005619BD">
        <w:rPr>
          <w:lang w:eastAsia="ko-KR"/>
        </w:rPr>
        <w:t>‑</w:t>
      </w:r>
      <w:r w:rsidRPr="00B02693">
        <w:rPr>
          <w:lang w:eastAsia="ko-KR"/>
        </w:rPr>
        <w:t xml:space="preserve">SAT/4) </w:t>
      </w:r>
      <w:r w:rsidRPr="00B02693">
        <w:t xml:space="preserve">is presented below. The individual detailed analysis of compliance for each of the defined items in Report </w:t>
      </w:r>
      <w:hyperlink r:id="rId48" w:history="1">
        <w:r w:rsidR="00F947C0" w:rsidRPr="00632FEC">
          <w:rPr>
            <w:rStyle w:val="Hyperlink"/>
            <w:color w:val="auto"/>
            <w:u w:val="none"/>
          </w:rPr>
          <w:t>ITU-R M.2514</w:t>
        </w:r>
      </w:hyperlink>
      <w:r w:rsidRPr="00B02693">
        <w:t xml:space="preserve"> is included in the tables in Annex 3 to the present Report.</w:t>
      </w:r>
    </w:p>
    <w:p w14:paraId="13128830" w14:textId="77777777" w:rsidR="00196F32" w:rsidRPr="00B02693" w:rsidRDefault="00196F32" w:rsidP="00196F32">
      <w:pPr>
        <w:pStyle w:val="Headingb"/>
        <w:rPr>
          <w:rFonts w:eastAsia="MS Mincho"/>
        </w:rPr>
      </w:pPr>
      <w:r w:rsidRPr="00B02693">
        <w:rPr>
          <w:rFonts w:eastAsia="MS Mincho"/>
        </w:rPr>
        <w:t>Compliance related to services</w:t>
      </w:r>
    </w:p>
    <w:p w14:paraId="48FF4CEA"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r w:rsidRPr="00B02693">
        <w:rPr>
          <w:szCs w:val="24"/>
        </w:rPr>
        <w:t>IMT</w:t>
      </w:r>
      <w:r w:rsidRPr="00B02693">
        <w:rPr>
          <w:szCs w:val="24"/>
        </w:rPr>
        <w:noBreakHyphen/>
        <w:t>2020-SAT/4</w:t>
      </w:r>
      <w:r w:rsidRPr="00B02693">
        <w:t>) meets the minimum requirements for services.</w:t>
      </w:r>
    </w:p>
    <w:p w14:paraId="05368A2F" w14:textId="77777777" w:rsidR="00196F32" w:rsidRPr="00B02693" w:rsidRDefault="00196F32" w:rsidP="00196F32">
      <w:pPr>
        <w:pStyle w:val="Headingb"/>
        <w:rPr>
          <w:rFonts w:eastAsia="MS Mincho"/>
        </w:rPr>
      </w:pPr>
      <w:r w:rsidRPr="00B02693">
        <w:rPr>
          <w:rFonts w:eastAsia="MS Mincho"/>
        </w:rPr>
        <w:t>Compliance related to spectrum</w:t>
      </w:r>
    </w:p>
    <w:p w14:paraId="185FEEB7"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r w:rsidRPr="00B02693">
        <w:rPr>
          <w:szCs w:val="24"/>
        </w:rPr>
        <w:t>IMT</w:t>
      </w:r>
      <w:r w:rsidRPr="00B02693">
        <w:rPr>
          <w:szCs w:val="24"/>
        </w:rPr>
        <w:noBreakHyphen/>
        <w:t>2020-SAT/4</w:t>
      </w:r>
      <w:r w:rsidRPr="00B02693">
        <w:t>) meets the minimum requirements for spectrum.</w:t>
      </w:r>
    </w:p>
    <w:p w14:paraId="33559A74" w14:textId="77777777" w:rsidR="00196F32" w:rsidRPr="00B02693" w:rsidRDefault="00196F32" w:rsidP="00196F32">
      <w:pPr>
        <w:pStyle w:val="Headingb"/>
        <w:rPr>
          <w:rFonts w:eastAsia="Malgun Gothic"/>
        </w:rPr>
      </w:pPr>
      <w:r w:rsidRPr="00B02693">
        <w:rPr>
          <w:rFonts w:eastAsia="MS Mincho"/>
        </w:rPr>
        <w:t>Compliance related to technical performance</w:t>
      </w:r>
    </w:p>
    <w:p w14:paraId="761321EA" w14:textId="77777777" w:rsidR="00196F32" w:rsidRPr="00B02693" w:rsidRDefault="00196F32" w:rsidP="00196F32">
      <w:r w:rsidRPr="00B02693">
        <w:t xml:space="preserve">The </w:t>
      </w:r>
      <w:r w:rsidRPr="00B02693">
        <w:rPr>
          <w:lang w:eastAsia="zh-CN"/>
        </w:rPr>
        <w:t>3GPP</w:t>
      </w:r>
      <w:r w:rsidRPr="00B02693">
        <w:t xml:space="preserve"> technology proposed by </w:t>
      </w:r>
      <w:r w:rsidRPr="00B02693">
        <w:rPr>
          <w:lang w:eastAsia="zh-CN"/>
        </w:rPr>
        <w:t xml:space="preserve">3GPP </w:t>
      </w:r>
      <w:r w:rsidRPr="00B02693">
        <w:t xml:space="preserve">(Doc. </w:t>
      </w:r>
      <w:r w:rsidRPr="00B02693">
        <w:rPr>
          <w:szCs w:val="24"/>
        </w:rPr>
        <w:t>IMT</w:t>
      </w:r>
      <w:r w:rsidRPr="00B02693">
        <w:rPr>
          <w:szCs w:val="24"/>
        </w:rPr>
        <w:noBreakHyphen/>
        <w:t>2020-SAT/4</w:t>
      </w:r>
      <w:r w:rsidRPr="00B02693">
        <w:t>) meets the minimum requirements for technical performance.</w:t>
      </w:r>
    </w:p>
    <w:p w14:paraId="5708FCAD" w14:textId="77777777" w:rsidR="00196F32" w:rsidRPr="00B02693" w:rsidRDefault="00196F32" w:rsidP="00196F32">
      <w:pPr>
        <w:pStyle w:val="Headingb"/>
        <w:rPr>
          <w:rFonts w:eastAsia="MS Mincho"/>
        </w:rPr>
      </w:pPr>
      <w:r w:rsidRPr="00B02693">
        <w:rPr>
          <w:rFonts w:eastAsia="MS Mincho"/>
        </w:rPr>
        <w:t>Assessment of the candidate technology proposal as a qualifying RIT/SRIT</w:t>
      </w:r>
    </w:p>
    <w:p w14:paraId="0ED25DA1" w14:textId="77777777" w:rsidR="00196F32" w:rsidRPr="00B02693" w:rsidRDefault="00196F32" w:rsidP="00196F32">
      <w:r w:rsidRPr="005619BD">
        <w:t>ITU-R confirms that the RIT of the candidate technology submission in Document IMT</w:t>
      </w:r>
      <w:r w:rsidRPr="005619BD">
        <w:noBreakHyphen/>
        <w:t>2020-SAT/</w:t>
      </w:r>
      <w:r w:rsidRPr="00B02693">
        <w:rPr>
          <w:szCs w:val="24"/>
        </w:rPr>
        <w:t>4</w:t>
      </w:r>
      <w:r w:rsidRPr="00B02693">
        <w:t xml:space="preserve"> meets the minimum requirements of the Rural-</w:t>
      </w:r>
      <w:proofErr w:type="spellStart"/>
      <w:r w:rsidRPr="00B02693">
        <w:t>eMBB</w:t>
      </w:r>
      <w:proofErr w:type="spellEnd"/>
      <w:r w:rsidRPr="00B02693">
        <w:t>-s test environment.</w:t>
      </w:r>
    </w:p>
    <w:p w14:paraId="375EA8BB" w14:textId="77777777" w:rsidR="00196F32" w:rsidRPr="00B02693" w:rsidRDefault="00196F32" w:rsidP="00196F32">
      <w:r w:rsidRPr="005619BD">
        <w:t>ITU-R confirms that the RIT of the candidate technology submission in Document IMT</w:t>
      </w:r>
      <w:r w:rsidRPr="005619BD">
        <w:noBreakHyphen/>
        <w:t>2020-SAT/4</w:t>
      </w:r>
      <w:r w:rsidRPr="00B02693">
        <w:t xml:space="preserve"> meets the minimum requirements of the Rural-</w:t>
      </w:r>
      <w:proofErr w:type="spellStart"/>
      <w:r w:rsidRPr="00B02693">
        <w:t>mMTC</w:t>
      </w:r>
      <w:proofErr w:type="spellEnd"/>
      <w:r w:rsidRPr="00B02693">
        <w:t>-s test environment.</w:t>
      </w:r>
    </w:p>
    <w:p w14:paraId="457BCD19" w14:textId="77777777" w:rsidR="00196F32" w:rsidRPr="00B02693" w:rsidRDefault="00196F32" w:rsidP="005619BD">
      <w:pPr>
        <w:rPr>
          <w:i/>
        </w:rPr>
      </w:pPr>
      <w:r w:rsidRPr="00B02693">
        <w:t xml:space="preserve">ITU-R confirms that the RIT of the candidate technology submission in Document </w:t>
      </w:r>
      <w:r w:rsidRPr="00B02693">
        <w:rPr>
          <w:szCs w:val="24"/>
        </w:rPr>
        <w:t>IMT</w:t>
      </w:r>
      <w:r w:rsidRPr="00B02693">
        <w:rPr>
          <w:szCs w:val="24"/>
        </w:rPr>
        <w:noBreakHyphen/>
        <w:t>2020-SAT/4</w:t>
      </w:r>
      <w:r w:rsidRPr="00B02693">
        <w:t xml:space="preserve"> meets the minimum requirements of the Rural-HRC-s test environment.</w:t>
      </w:r>
    </w:p>
    <w:p w14:paraId="397816A4" w14:textId="77777777" w:rsidR="00196F32" w:rsidRPr="005619BD" w:rsidRDefault="00196F32" w:rsidP="005619BD">
      <w:pPr>
        <w:pStyle w:val="Headingb"/>
        <w:rPr>
          <w:rFonts w:eastAsia="MS Mincho"/>
        </w:rPr>
      </w:pPr>
      <w:r w:rsidRPr="005619BD">
        <w:rPr>
          <w:rFonts w:eastAsia="MS Mincho"/>
        </w:rPr>
        <w:t>Step 6 assessment for RIT proposal (Document IMT</w:t>
      </w:r>
      <w:r w:rsidRPr="005619BD">
        <w:rPr>
          <w:rFonts w:eastAsia="MS Mincho"/>
        </w:rPr>
        <w:noBreakHyphen/>
        <w:t>2020-SAT/4) from 3GPP Proponent</w:t>
      </w:r>
    </w:p>
    <w:p w14:paraId="4F097442" w14:textId="26F6527B" w:rsidR="00196F32" w:rsidRPr="00CD30F4" w:rsidRDefault="00196F32" w:rsidP="00196F32">
      <w:r w:rsidRPr="00CD30F4">
        <w:t xml:space="preserve">The evaluated candidate RIT proposal (Document </w:t>
      </w:r>
      <w:r w:rsidRPr="00B02693">
        <w:rPr>
          <w:szCs w:val="24"/>
        </w:rPr>
        <w:t>IMT</w:t>
      </w:r>
      <w:r w:rsidRPr="00B02693">
        <w:rPr>
          <w:szCs w:val="24"/>
        </w:rPr>
        <w:noBreakHyphen/>
        <w:t>2020-SAT/4</w:t>
      </w:r>
      <w:r w:rsidRPr="00CD30F4">
        <w:t>) from 3GPP Proponent is assessed by ITU-R as satisfactorily fulfilling the minimum requirements for the three test environments comprising the three usage scenarios. Thus, this 3GPP Proponent RIT proposal is ‘a</w:t>
      </w:r>
      <w:r w:rsidR="00CD30F4">
        <w:t> </w:t>
      </w:r>
      <w:r w:rsidRPr="00CD30F4">
        <w:t>qualifying RIT’ and therefore will go forward for further consideration in Step 7.</w:t>
      </w:r>
    </w:p>
    <w:p w14:paraId="38BDEA49" w14:textId="77777777" w:rsidR="00196F32" w:rsidRPr="00B02693" w:rsidRDefault="00196F32" w:rsidP="00196F32">
      <w:pPr>
        <w:pStyle w:val="Heading2"/>
      </w:pPr>
      <w:bookmarkStart w:id="132" w:name="_Toc254701878"/>
      <w:bookmarkStart w:id="133" w:name="_Toc257375450"/>
      <w:bookmarkStart w:id="134" w:name="_Toc269478153"/>
      <w:bookmarkStart w:id="135" w:name="_Toc269478554"/>
      <w:bookmarkStart w:id="136" w:name="_Toc274204305"/>
      <w:bookmarkStart w:id="137" w:name="_Toc274861547"/>
      <w:bookmarkStart w:id="138" w:name="_Toc276718346"/>
      <w:bookmarkStart w:id="139" w:name="_Toc280016874"/>
      <w:bookmarkStart w:id="140" w:name="_Toc355260998"/>
      <w:bookmarkStart w:id="141" w:name="_Toc374520824"/>
      <w:bookmarkStart w:id="142" w:name="_Toc181174803"/>
      <w:bookmarkStart w:id="143" w:name="_Toc181174986"/>
      <w:bookmarkStart w:id="144" w:name="_Toc182391775"/>
      <w:r w:rsidRPr="00B02693">
        <w:t>5.3</w:t>
      </w:r>
      <w:r w:rsidRPr="00B02693">
        <w:tab/>
        <w:t>Results of Step 7, “Consideration of evaluation results, consensus building and decision”</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68D1B1FB" w14:textId="77777777" w:rsidR="00196F32" w:rsidRPr="00B02693" w:rsidRDefault="00196F32" w:rsidP="00196F32">
      <w:pPr>
        <w:pStyle w:val="Heading3"/>
      </w:pPr>
      <w:bookmarkStart w:id="145" w:name="_Toc274861548"/>
      <w:bookmarkStart w:id="146" w:name="_Toc276718347"/>
      <w:bookmarkStart w:id="147" w:name="_Toc280016875"/>
      <w:bookmarkStart w:id="148" w:name="_Toc355260999"/>
      <w:bookmarkStart w:id="149" w:name="_Toc374520825"/>
      <w:r w:rsidRPr="00B02693">
        <w:t>5.3.1</w:t>
      </w:r>
      <w:r w:rsidRPr="00B02693">
        <w:tab/>
        <w:t>Consideration of evaluation results</w:t>
      </w:r>
      <w:bookmarkEnd w:id="145"/>
      <w:bookmarkEnd w:id="146"/>
      <w:bookmarkEnd w:id="147"/>
      <w:bookmarkEnd w:id="148"/>
      <w:bookmarkEnd w:id="149"/>
    </w:p>
    <w:p w14:paraId="4FA5E49E" w14:textId="7BF313F3" w:rsidR="00196F32" w:rsidRPr="00B02693" w:rsidRDefault="00196F32" w:rsidP="00196F32">
      <w:pPr>
        <w:rPr>
          <w:lang w:eastAsia="zh-CN"/>
        </w:rPr>
      </w:pPr>
      <w:r w:rsidRPr="00B02693">
        <w:t xml:space="preserve">Each of the candidate technology submission proposals that has entered Step 7, as acknowledged and listed below (and their respective SRIT or RITs), has individually satisfied </w:t>
      </w:r>
      <w:r w:rsidRPr="00B02693">
        <w:rPr>
          <w:lang w:eastAsia="zh-CN"/>
        </w:rPr>
        <w:t xml:space="preserve">the requirements of </w:t>
      </w:r>
      <w:r w:rsidR="00897EBA" w:rsidRPr="009A38E7">
        <w:lastRenderedPageBreak/>
        <w:t xml:space="preserve">Resolution </w:t>
      </w:r>
      <w:hyperlink r:id="rId49" w:history="1">
        <w:r w:rsidR="00897EBA" w:rsidRPr="009A38E7">
          <w:rPr>
            <w:rStyle w:val="Hyperlink"/>
            <w:color w:val="auto"/>
            <w:u w:val="none"/>
          </w:rPr>
          <w:t>ITU-R 65</w:t>
        </w:r>
      </w:hyperlink>
      <w:r w:rsidRPr="00B02693">
        <w:rPr>
          <w:lang w:eastAsia="zh-CN"/>
        </w:rPr>
        <w:t xml:space="preserve">, resolves 6 </w:t>
      </w:r>
      <w:r w:rsidRPr="00B02693">
        <w:rPr>
          <w:i/>
          <w:iCs/>
          <w:lang w:eastAsia="zh-CN"/>
        </w:rPr>
        <w:t>e)</w:t>
      </w:r>
      <w:r w:rsidRPr="00B02693">
        <w:rPr>
          <w:lang w:eastAsia="zh-CN"/>
        </w:rPr>
        <w:t xml:space="preserve"> and </w:t>
      </w:r>
      <w:r w:rsidRPr="00B02693">
        <w:rPr>
          <w:i/>
          <w:iCs/>
          <w:lang w:eastAsia="zh-CN"/>
        </w:rPr>
        <w:t>f)</w:t>
      </w:r>
      <w:r w:rsidRPr="00B02693">
        <w:rPr>
          <w:lang w:eastAsia="zh-CN"/>
        </w:rPr>
        <w:t xml:space="preserve"> fulfilling the minimum requirements for the three test environments comprising the three usage scenarios</w:t>
      </w:r>
      <w:r w:rsidRPr="00B02693">
        <w:rPr>
          <w:rStyle w:val="FootnoteReference"/>
          <w:lang w:eastAsia="zh-CN"/>
        </w:rPr>
        <w:footnoteReference w:id="3"/>
      </w:r>
      <w:r w:rsidRPr="00B02693">
        <w:rPr>
          <w:lang w:eastAsia="zh-CN"/>
        </w:rPr>
        <w:t xml:space="preserve">. </w:t>
      </w:r>
    </w:p>
    <w:p w14:paraId="2A405399" w14:textId="77777777" w:rsidR="00196F32" w:rsidRPr="00B02693" w:rsidRDefault="00196F32" w:rsidP="00196F32">
      <w:pPr>
        <w:rPr>
          <w:lang w:eastAsia="zh-CN"/>
        </w:rPr>
      </w:pPr>
      <w:r w:rsidRPr="00B02693">
        <w:t>Therefore, each of these IMT-</w:t>
      </w:r>
      <w:r w:rsidRPr="00B02693">
        <w:rPr>
          <w:lang w:eastAsia="zh-CN"/>
        </w:rPr>
        <w:t>2020 satellite</w:t>
      </w:r>
      <w:r w:rsidRPr="00B02693">
        <w:t xml:space="preserve"> candidate technology submission proposals listed below will be accepted for inclusion in the standardization phase described in Step 8</w:t>
      </w:r>
      <w:r w:rsidRPr="00B02693">
        <w:rPr>
          <w:lang w:eastAsia="zh-CN"/>
        </w:rPr>
        <w:t>.</w:t>
      </w:r>
    </w:p>
    <w:p w14:paraId="00D3D207" w14:textId="77777777" w:rsidR="00196F32" w:rsidRPr="00B02693" w:rsidRDefault="00196F32" w:rsidP="00196F32">
      <w:pPr>
        <w:pStyle w:val="enumlev1"/>
      </w:pPr>
      <w:r w:rsidRPr="00B02693">
        <w:t>–</w:t>
      </w:r>
      <w:r w:rsidRPr="00B02693">
        <w:tab/>
        <w:t xml:space="preserve">Document </w:t>
      </w:r>
      <w:hyperlink r:id="rId50" w:history="1">
        <w:hyperlink r:id="rId51" w:history="1">
          <w:r w:rsidRPr="00B02693">
            <w:rPr>
              <w:szCs w:val="24"/>
            </w:rPr>
            <w:t>IMT</w:t>
          </w:r>
          <w:r w:rsidRPr="00B02693">
            <w:rPr>
              <w:szCs w:val="24"/>
            </w:rPr>
            <w:noBreakHyphen/>
            <w:t>2020-SAT/3</w:t>
          </w:r>
        </w:hyperlink>
      </w:hyperlink>
      <w:r w:rsidRPr="00B02693">
        <w:t xml:space="preserve"> – Acknowledgement of candidate </w:t>
      </w:r>
      <w:r w:rsidRPr="00B02693">
        <w:rPr>
          <w:lang w:eastAsia="zh-CN"/>
        </w:rPr>
        <w:t>SRIT submission from 3GPP proponent under step 3 of the IMT-2020 satellite process.</w:t>
      </w:r>
    </w:p>
    <w:p w14:paraId="592D07EB" w14:textId="77777777" w:rsidR="00196F32" w:rsidRPr="00B02693" w:rsidRDefault="00196F32" w:rsidP="00196F32">
      <w:pPr>
        <w:pStyle w:val="enumlev1"/>
      </w:pPr>
      <w:r w:rsidRPr="00B02693">
        <w:t>–</w:t>
      </w:r>
      <w:r w:rsidRPr="00B02693">
        <w:tab/>
        <w:t xml:space="preserve">Document </w:t>
      </w:r>
      <w:hyperlink r:id="rId52" w:history="1">
        <w:r w:rsidRPr="00B02693">
          <w:rPr>
            <w:szCs w:val="24"/>
          </w:rPr>
          <w:t>IMT-2020-SAT/</w:t>
        </w:r>
      </w:hyperlink>
      <w:r w:rsidRPr="00B02693">
        <w:rPr>
          <w:szCs w:val="24"/>
        </w:rPr>
        <w:t>4</w:t>
      </w:r>
      <w:r w:rsidRPr="00B02693">
        <w:t xml:space="preserve"> – Acknowledgement of candidate </w:t>
      </w:r>
      <w:r w:rsidRPr="00B02693">
        <w:rPr>
          <w:lang w:eastAsia="zh-CN"/>
        </w:rPr>
        <w:t>RIT submission from 3GPP proponent under step 3 of the IMT-2020 satellite process</w:t>
      </w:r>
      <w:r w:rsidRPr="00B02693">
        <w:t>.</w:t>
      </w:r>
    </w:p>
    <w:p w14:paraId="2F95B71D" w14:textId="77777777" w:rsidR="00196F32" w:rsidRPr="00B02693" w:rsidRDefault="00196F32" w:rsidP="00196F32">
      <w:pPr>
        <w:pStyle w:val="Heading3"/>
      </w:pPr>
      <w:bookmarkStart w:id="150" w:name="_Toc274861549"/>
      <w:bookmarkStart w:id="151" w:name="_Toc276718348"/>
      <w:bookmarkStart w:id="152" w:name="_Toc280016876"/>
      <w:bookmarkStart w:id="153" w:name="_Toc355261000"/>
      <w:bookmarkStart w:id="154" w:name="_Toc374520826"/>
      <w:r w:rsidRPr="00B02693">
        <w:t>5.3.2</w:t>
      </w:r>
      <w:r w:rsidRPr="00B02693">
        <w:tab/>
        <w:t>Consensus building and decision</w:t>
      </w:r>
      <w:bookmarkEnd w:id="150"/>
      <w:bookmarkEnd w:id="151"/>
      <w:bookmarkEnd w:id="152"/>
      <w:bookmarkEnd w:id="153"/>
      <w:bookmarkEnd w:id="154"/>
    </w:p>
    <w:p w14:paraId="1D9E9254" w14:textId="77777777" w:rsidR="00196F32" w:rsidRPr="00B02693" w:rsidRDefault="00196F32" w:rsidP="00127578">
      <w:pPr>
        <w:spacing w:after="120"/>
      </w:pPr>
      <w:r w:rsidRPr="00B02693">
        <w:t>Based on the above consensus, the following tables summarize the candidate submissions and the conclusions, including any consensus building.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4253"/>
      </w:tblGrid>
      <w:tr w:rsidR="00196F32" w:rsidRPr="000D581A" w14:paraId="213C8547" w14:textId="77777777" w:rsidTr="00EE08AF">
        <w:trPr>
          <w:jc w:val="center"/>
        </w:trPr>
        <w:tc>
          <w:tcPr>
            <w:tcW w:w="2794" w:type="pct"/>
          </w:tcPr>
          <w:p w14:paraId="67605C3B" w14:textId="77777777" w:rsidR="00196F32" w:rsidRPr="00B02693" w:rsidRDefault="00196F32" w:rsidP="00EE08AF">
            <w:pPr>
              <w:pStyle w:val="Tablehead"/>
            </w:pPr>
            <w:r w:rsidRPr="00B02693">
              <w:t>Radio Inter</w:t>
            </w:r>
            <w:r w:rsidRPr="00B02693">
              <w:rPr>
                <w:lang w:eastAsia="zh-CN"/>
              </w:rPr>
              <w:t>face</w:t>
            </w:r>
            <w:r w:rsidRPr="00B02693">
              <w:t xml:space="preserve"> Technologies</w:t>
            </w:r>
          </w:p>
        </w:tc>
        <w:tc>
          <w:tcPr>
            <w:tcW w:w="2206" w:type="pct"/>
            <w:vAlign w:val="center"/>
          </w:tcPr>
          <w:p w14:paraId="76BF3AB7" w14:textId="77777777" w:rsidR="00196F32" w:rsidRPr="00EA4E2C" w:rsidRDefault="00196F32" w:rsidP="00EE08AF">
            <w:pPr>
              <w:pStyle w:val="Tablehead"/>
              <w:ind w:left="720"/>
              <w:jc w:val="left"/>
              <w:rPr>
                <w:i/>
                <w:iCs/>
                <w:lang w:val="de-CH"/>
              </w:rPr>
            </w:pPr>
            <w:r w:rsidRPr="00EA4E2C">
              <w:rPr>
                <w:lang w:val="de-CH"/>
              </w:rPr>
              <w:t>NAME: (</w:t>
            </w:r>
            <w:r w:rsidRPr="00EA4E2C">
              <w:rPr>
                <w:bCs/>
                <w:lang w:val="de-CH"/>
              </w:rPr>
              <w:t>3GPP 5G NTN:</w:t>
            </w:r>
            <w:r w:rsidRPr="0021161E">
              <w:rPr>
                <w:rStyle w:val="FootnoteReference"/>
                <w:b w:val="0"/>
              </w:rPr>
              <w:footnoteReference w:id="4"/>
            </w:r>
            <w:r w:rsidRPr="00EA4E2C">
              <w:rPr>
                <w:bCs/>
                <w:lang w:val="de-CH"/>
              </w:rPr>
              <w:t xml:space="preserve"> SRIT)</w:t>
            </w:r>
          </w:p>
        </w:tc>
      </w:tr>
      <w:tr w:rsidR="00196F32" w:rsidRPr="007525FB" w14:paraId="6E1368C0" w14:textId="77777777" w:rsidTr="00EE08AF">
        <w:trPr>
          <w:jc w:val="center"/>
        </w:trPr>
        <w:tc>
          <w:tcPr>
            <w:tcW w:w="2794" w:type="pct"/>
            <w:vAlign w:val="center"/>
          </w:tcPr>
          <w:p w14:paraId="29D1C5F1" w14:textId="77777777" w:rsidR="00196F32" w:rsidRPr="00B02693" w:rsidRDefault="00196F32" w:rsidP="00EE08AF">
            <w:pPr>
              <w:pStyle w:val="Tabletext"/>
            </w:pPr>
            <w:r w:rsidRPr="00B02693">
              <w:t>Proponents (submission in):</w:t>
            </w:r>
          </w:p>
        </w:tc>
        <w:tc>
          <w:tcPr>
            <w:tcW w:w="2206" w:type="pct"/>
            <w:vAlign w:val="center"/>
          </w:tcPr>
          <w:p w14:paraId="6FA37D86" w14:textId="77777777" w:rsidR="00196F32" w:rsidRPr="00BF5DBE" w:rsidRDefault="00196F32" w:rsidP="00EE08AF">
            <w:pPr>
              <w:pStyle w:val="Tabletext"/>
              <w:jc w:val="center"/>
              <w:rPr>
                <w:lang w:val="fr-CH" w:eastAsia="zh-CN"/>
              </w:rPr>
            </w:pPr>
            <w:r w:rsidRPr="00BF5DBE">
              <w:rPr>
                <w:lang w:val="fr-CH"/>
              </w:rPr>
              <w:t xml:space="preserve">3GPP </w:t>
            </w:r>
            <w:proofErr w:type="spellStart"/>
            <w:r w:rsidRPr="00BF5DBE">
              <w:rPr>
                <w:lang w:val="fr-CH"/>
              </w:rPr>
              <w:t>Proponent</w:t>
            </w:r>
            <w:proofErr w:type="spellEnd"/>
            <w:r w:rsidRPr="00BF5DBE">
              <w:rPr>
                <w:lang w:val="fr-CH"/>
              </w:rPr>
              <w:t xml:space="preserve"> (Doc. </w:t>
            </w:r>
            <w:hyperlink r:id="rId53" w:history="1">
              <w:r w:rsidRPr="00BF5DBE">
                <w:rPr>
                  <w:szCs w:val="24"/>
                  <w:lang w:val="fr-CH"/>
                </w:rPr>
                <w:t>IMT</w:t>
              </w:r>
              <w:r w:rsidRPr="00BF5DBE">
                <w:rPr>
                  <w:szCs w:val="24"/>
                  <w:lang w:val="fr-CH"/>
                </w:rPr>
                <w:noBreakHyphen/>
                <w:t>2020-SAT/3</w:t>
              </w:r>
            </w:hyperlink>
            <w:r w:rsidRPr="00BF5DBE">
              <w:rPr>
                <w:lang w:val="fr-CH"/>
              </w:rPr>
              <w:t>)</w:t>
            </w:r>
          </w:p>
        </w:tc>
      </w:tr>
      <w:tr w:rsidR="00196F32" w:rsidRPr="00B02693" w14:paraId="5C6631AB" w14:textId="77777777" w:rsidTr="00EE08AF">
        <w:trPr>
          <w:jc w:val="center"/>
        </w:trPr>
        <w:tc>
          <w:tcPr>
            <w:tcW w:w="2794" w:type="pct"/>
            <w:vAlign w:val="center"/>
          </w:tcPr>
          <w:p w14:paraId="79A67D51" w14:textId="18E99C86" w:rsidR="00196F32" w:rsidRPr="00B02693" w:rsidRDefault="00196F32" w:rsidP="00EE08AF">
            <w:pPr>
              <w:pStyle w:val="Tabletext"/>
              <w:rPr>
                <w:lang w:eastAsia="zh-CN"/>
              </w:rPr>
            </w:pPr>
            <w:r w:rsidRPr="00B02693">
              <w:t xml:space="preserve">Determination whether the RIT or SRIT meets the requirements of </w:t>
            </w:r>
            <w:r w:rsidR="00897EBA" w:rsidRPr="009A38E7">
              <w:t xml:space="preserve">Resolution </w:t>
            </w:r>
            <w:hyperlink r:id="rId54" w:history="1">
              <w:r w:rsidR="00897EBA" w:rsidRPr="009A38E7">
                <w:rPr>
                  <w:rStyle w:val="Hyperlink"/>
                  <w:color w:val="auto"/>
                  <w:u w:val="none"/>
                </w:rPr>
                <w:t>ITU-R 65</w:t>
              </w:r>
            </w:hyperlink>
            <w:r w:rsidRPr="00B02693">
              <w:t xml:space="preserve">, </w:t>
            </w:r>
            <w:r w:rsidRPr="00B02693">
              <w:rPr>
                <w:i/>
                <w:iCs/>
              </w:rPr>
              <w:t>resolves</w:t>
            </w:r>
            <w:r w:rsidRPr="00B02693">
              <w:t xml:space="preserve"> 6 </w:t>
            </w:r>
            <w:r w:rsidRPr="00B02693">
              <w:rPr>
                <w:i/>
                <w:iCs/>
              </w:rPr>
              <w:t>e)</w:t>
            </w:r>
            <w:r w:rsidRPr="00B02693">
              <w:t xml:space="preserve"> and </w:t>
            </w:r>
            <w:r w:rsidRPr="00B02693">
              <w:rPr>
                <w:i/>
                <w:iCs/>
              </w:rPr>
              <w:t>f)</w:t>
            </w:r>
            <w:r w:rsidRPr="00B02693">
              <w:t xml:space="preserve">, for </w:t>
            </w:r>
            <w:r w:rsidRPr="00B02693">
              <w:rPr>
                <w:lang w:eastAsia="zh-CN"/>
              </w:rPr>
              <w:t>the three test environments comprising the three usage scenarios</w:t>
            </w:r>
          </w:p>
        </w:tc>
        <w:tc>
          <w:tcPr>
            <w:tcW w:w="2206" w:type="pct"/>
            <w:vAlign w:val="center"/>
          </w:tcPr>
          <w:p w14:paraId="0322781A" w14:textId="77777777" w:rsidR="00196F32" w:rsidRPr="00B02693" w:rsidRDefault="00196F32" w:rsidP="00EE08AF">
            <w:pPr>
              <w:pStyle w:val="Tabletext"/>
              <w:jc w:val="center"/>
            </w:pPr>
            <w:r w:rsidRPr="00B02693">
              <w:t>YES</w:t>
            </w:r>
          </w:p>
        </w:tc>
      </w:tr>
      <w:tr w:rsidR="00196F32" w:rsidRPr="00B02693" w14:paraId="01562A8A" w14:textId="77777777" w:rsidTr="00EE08AF">
        <w:trPr>
          <w:jc w:val="center"/>
        </w:trPr>
        <w:tc>
          <w:tcPr>
            <w:tcW w:w="2794" w:type="pct"/>
            <w:vAlign w:val="center"/>
          </w:tcPr>
          <w:p w14:paraId="578C5E1D" w14:textId="77777777" w:rsidR="00196F32" w:rsidRPr="00B02693" w:rsidRDefault="00196F32" w:rsidP="00EE08AF">
            <w:pPr>
              <w:pStyle w:val="Tabletext"/>
            </w:pPr>
            <w:r w:rsidRPr="00B02693">
              <w:t xml:space="preserve">Inclusion in the standardization phase described in Step 8 </w:t>
            </w:r>
          </w:p>
        </w:tc>
        <w:tc>
          <w:tcPr>
            <w:tcW w:w="2206" w:type="pct"/>
            <w:vAlign w:val="center"/>
          </w:tcPr>
          <w:p w14:paraId="3F036C15" w14:textId="77777777" w:rsidR="00196F32" w:rsidRPr="00B02693" w:rsidRDefault="00196F32" w:rsidP="00EE08AF">
            <w:pPr>
              <w:pStyle w:val="Tabletext"/>
              <w:jc w:val="center"/>
            </w:pPr>
            <w:r w:rsidRPr="00B02693">
              <w:t>YES</w:t>
            </w:r>
          </w:p>
        </w:tc>
      </w:tr>
    </w:tbl>
    <w:p w14:paraId="61AA997E" w14:textId="77777777" w:rsidR="00196F32" w:rsidRDefault="00196F32" w:rsidP="00196F32">
      <w:pPr>
        <w:pStyle w:val="Tablefin"/>
        <w:rPr>
          <w:highlight w:val="cyan"/>
        </w:rPr>
      </w:pPr>
    </w:p>
    <w:p w14:paraId="5A3C902F" w14:textId="77777777" w:rsidR="00070BD5" w:rsidRPr="00070BD5" w:rsidRDefault="00070BD5" w:rsidP="00070BD5">
      <w:pPr>
        <w:rPr>
          <w:highlight w:val="cy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4253"/>
      </w:tblGrid>
      <w:tr w:rsidR="00196F32" w:rsidRPr="00B02693" w14:paraId="4F3B5BAA" w14:textId="77777777" w:rsidTr="00EE08AF">
        <w:trPr>
          <w:jc w:val="center"/>
        </w:trPr>
        <w:tc>
          <w:tcPr>
            <w:tcW w:w="2794" w:type="pct"/>
          </w:tcPr>
          <w:p w14:paraId="75DB6294" w14:textId="77777777" w:rsidR="00196F32" w:rsidRPr="00B02693" w:rsidRDefault="00196F32" w:rsidP="00EE08AF">
            <w:pPr>
              <w:pStyle w:val="Tablehead"/>
              <w:keepLines/>
            </w:pPr>
            <w:r w:rsidRPr="00B02693">
              <w:t>Radio Interf</w:t>
            </w:r>
            <w:r w:rsidRPr="00B02693">
              <w:rPr>
                <w:lang w:eastAsia="zh-CN"/>
              </w:rPr>
              <w:t>ace</w:t>
            </w:r>
            <w:r w:rsidRPr="00B02693">
              <w:t xml:space="preserve"> Technologies</w:t>
            </w:r>
          </w:p>
        </w:tc>
        <w:tc>
          <w:tcPr>
            <w:tcW w:w="2206" w:type="pct"/>
            <w:vAlign w:val="center"/>
          </w:tcPr>
          <w:p w14:paraId="7C61CE7C" w14:textId="77777777" w:rsidR="00196F32" w:rsidRPr="00B02693" w:rsidRDefault="00196F32" w:rsidP="00EE08AF">
            <w:pPr>
              <w:pStyle w:val="Tablehead"/>
              <w:keepLines/>
              <w:rPr>
                <w:i/>
                <w:iCs/>
              </w:rPr>
            </w:pPr>
            <w:r w:rsidRPr="00B02693">
              <w:t>NAME: (</w:t>
            </w:r>
            <w:r w:rsidRPr="00B02693">
              <w:rPr>
                <w:bCs/>
              </w:rPr>
              <w:t>3GPP 5G NTN:</w:t>
            </w:r>
            <w:r w:rsidRPr="0021161E">
              <w:rPr>
                <w:rStyle w:val="FootnoteReference"/>
                <w:b w:val="0"/>
              </w:rPr>
              <w:footnoteReference w:id="5"/>
            </w:r>
            <w:r w:rsidRPr="00B02693">
              <w:rPr>
                <w:bCs/>
              </w:rPr>
              <w:t xml:space="preserve"> RIT)</w:t>
            </w:r>
          </w:p>
        </w:tc>
      </w:tr>
      <w:tr w:rsidR="00196F32" w:rsidRPr="007525FB" w14:paraId="74259390" w14:textId="77777777" w:rsidTr="00EE08AF">
        <w:trPr>
          <w:jc w:val="center"/>
        </w:trPr>
        <w:tc>
          <w:tcPr>
            <w:tcW w:w="2794" w:type="pct"/>
            <w:vAlign w:val="center"/>
          </w:tcPr>
          <w:p w14:paraId="333862E6" w14:textId="77777777" w:rsidR="00196F32" w:rsidRPr="00B02693" w:rsidRDefault="00196F32" w:rsidP="00EE08AF">
            <w:pPr>
              <w:pStyle w:val="Tabletext"/>
              <w:keepNext/>
              <w:keepLines/>
            </w:pPr>
            <w:r w:rsidRPr="00B02693">
              <w:t>Proponents (submission in):</w:t>
            </w:r>
          </w:p>
        </w:tc>
        <w:tc>
          <w:tcPr>
            <w:tcW w:w="2206" w:type="pct"/>
            <w:vAlign w:val="center"/>
          </w:tcPr>
          <w:p w14:paraId="1536D8BD" w14:textId="77777777" w:rsidR="00196F32" w:rsidRPr="00BF5DBE" w:rsidRDefault="00196F32" w:rsidP="00EE08AF">
            <w:pPr>
              <w:pStyle w:val="Tabletext"/>
              <w:keepNext/>
              <w:keepLines/>
              <w:jc w:val="center"/>
              <w:rPr>
                <w:lang w:val="fr-CH" w:eastAsia="zh-CN"/>
              </w:rPr>
            </w:pPr>
            <w:r w:rsidRPr="00BF5DBE">
              <w:rPr>
                <w:lang w:val="fr-CH"/>
              </w:rPr>
              <w:t xml:space="preserve">3GPP </w:t>
            </w:r>
            <w:proofErr w:type="spellStart"/>
            <w:r w:rsidRPr="00BF5DBE">
              <w:rPr>
                <w:lang w:val="fr-CH"/>
              </w:rPr>
              <w:t>Proponent</w:t>
            </w:r>
            <w:proofErr w:type="spellEnd"/>
            <w:r w:rsidRPr="00BF5DBE">
              <w:rPr>
                <w:lang w:val="fr-CH"/>
              </w:rPr>
              <w:t xml:space="preserve"> (Doc. </w:t>
            </w:r>
            <w:r w:rsidRPr="00BF5DBE">
              <w:rPr>
                <w:lang w:val="fr-CH" w:eastAsia="zh-CN"/>
              </w:rPr>
              <w:t>IMT-2020-SAT/4</w:t>
            </w:r>
            <w:r w:rsidRPr="00BF5DBE">
              <w:rPr>
                <w:lang w:val="fr-CH"/>
              </w:rPr>
              <w:t>)</w:t>
            </w:r>
          </w:p>
        </w:tc>
      </w:tr>
      <w:tr w:rsidR="00196F32" w:rsidRPr="00B02693" w14:paraId="2F8EA447" w14:textId="77777777" w:rsidTr="00EE08AF">
        <w:trPr>
          <w:jc w:val="center"/>
        </w:trPr>
        <w:tc>
          <w:tcPr>
            <w:tcW w:w="2794" w:type="pct"/>
            <w:vAlign w:val="center"/>
          </w:tcPr>
          <w:p w14:paraId="609AF166" w14:textId="094292B3" w:rsidR="00196F32" w:rsidRPr="00B02693" w:rsidRDefault="00196F32" w:rsidP="00EE08AF">
            <w:pPr>
              <w:pStyle w:val="Tabletext"/>
              <w:keepNext/>
              <w:keepLines/>
              <w:rPr>
                <w:lang w:eastAsia="zh-CN"/>
              </w:rPr>
            </w:pPr>
            <w:r w:rsidRPr="00B02693">
              <w:t xml:space="preserve">Determination whether the RIT or SRIT meets the requirements of </w:t>
            </w:r>
            <w:r w:rsidR="00897EBA" w:rsidRPr="009A38E7">
              <w:t xml:space="preserve">Resolution </w:t>
            </w:r>
            <w:hyperlink r:id="rId55" w:history="1">
              <w:r w:rsidR="00897EBA" w:rsidRPr="009A38E7">
                <w:rPr>
                  <w:rStyle w:val="Hyperlink"/>
                  <w:color w:val="auto"/>
                  <w:u w:val="none"/>
                </w:rPr>
                <w:t>ITU-R 65</w:t>
              </w:r>
            </w:hyperlink>
            <w:r w:rsidRPr="00B02693">
              <w:t xml:space="preserve">, </w:t>
            </w:r>
            <w:r w:rsidRPr="00B02693">
              <w:rPr>
                <w:i/>
                <w:iCs/>
              </w:rPr>
              <w:t>resolves</w:t>
            </w:r>
            <w:r w:rsidRPr="00B02693">
              <w:t xml:space="preserve"> 6 </w:t>
            </w:r>
            <w:r w:rsidRPr="00B02693">
              <w:rPr>
                <w:i/>
                <w:iCs/>
              </w:rPr>
              <w:t>e)</w:t>
            </w:r>
            <w:r w:rsidRPr="00B02693">
              <w:t xml:space="preserve"> and </w:t>
            </w:r>
            <w:r w:rsidRPr="00B02693">
              <w:rPr>
                <w:i/>
                <w:iCs/>
              </w:rPr>
              <w:t>f)</w:t>
            </w:r>
            <w:r w:rsidRPr="00B02693">
              <w:t xml:space="preserve">, for </w:t>
            </w:r>
            <w:r w:rsidRPr="00B02693">
              <w:rPr>
                <w:lang w:eastAsia="zh-CN"/>
              </w:rPr>
              <w:t>the three test environments comprising the three usage scenarios</w:t>
            </w:r>
          </w:p>
        </w:tc>
        <w:tc>
          <w:tcPr>
            <w:tcW w:w="2206" w:type="pct"/>
            <w:vAlign w:val="center"/>
          </w:tcPr>
          <w:p w14:paraId="332BBA16" w14:textId="77777777" w:rsidR="00196F32" w:rsidRPr="00B02693" w:rsidRDefault="00196F32" w:rsidP="00EE08AF">
            <w:pPr>
              <w:pStyle w:val="Tabletext"/>
              <w:keepNext/>
              <w:keepLines/>
              <w:jc w:val="center"/>
            </w:pPr>
            <w:r w:rsidRPr="00B02693">
              <w:t>YES</w:t>
            </w:r>
          </w:p>
        </w:tc>
      </w:tr>
      <w:tr w:rsidR="00196F32" w:rsidRPr="00B02693" w14:paraId="675675D6" w14:textId="77777777" w:rsidTr="00EE08AF">
        <w:trPr>
          <w:jc w:val="center"/>
        </w:trPr>
        <w:tc>
          <w:tcPr>
            <w:tcW w:w="2794" w:type="pct"/>
            <w:vAlign w:val="center"/>
          </w:tcPr>
          <w:p w14:paraId="0E40F9CF" w14:textId="77777777" w:rsidR="00196F32" w:rsidRPr="00B02693" w:rsidRDefault="00196F32" w:rsidP="00EE08AF">
            <w:pPr>
              <w:pStyle w:val="Tabletext"/>
              <w:keepNext/>
              <w:keepLines/>
            </w:pPr>
            <w:r w:rsidRPr="00B02693">
              <w:t xml:space="preserve">Inclusion in the standardization phase described in Step 8 </w:t>
            </w:r>
          </w:p>
        </w:tc>
        <w:tc>
          <w:tcPr>
            <w:tcW w:w="2206" w:type="pct"/>
            <w:vAlign w:val="center"/>
          </w:tcPr>
          <w:p w14:paraId="6DBC2EA6" w14:textId="77777777" w:rsidR="00196F32" w:rsidRPr="00B02693" w:rsidRDefault="00196F32" w:rsidP="00EE08AF">
            <w:pPr>
              <w:pStyle w:val="Tabletext"/>
              <w:keepNext/>
              <w:keepLines/>
              <w:jc w:val="center"/>
            </w:pPr>
            <w:r w:rsidRPr="00B02693">
              <w:t>YES</w:t>
            </w:r>
          </w:p>
        </w:tc>
      </w:tr>
    </w:tbl>
    <w:p w14:paraId="629D88AC" w14:textId="77777777" w:rsidR="00070BD5" w:rsidRDefault="00070BD5" w:rsidP="00070BD5">
      <w:pPr>
        <w:pStyle w:val="Tablefin"/>
        <w:rPr>
          <w:highlight w:val="cyan"/>
        </w:rPr>
      </w:pPr>
      <w:bookmarkStart w:id="155" w:name="_Toc254701886"/>
      <w:bookmarkStart w:id="156" w:name="_Toc257375451"/>
      <w:bookmarkStart w:id="157" w:name="_Toc269478154"/>
      <w:bookmarkStart w:id="158" w:name="_Toc269478555"/>
      <w:bookmarkStart w:id="159" w:name="_Toc274204306"/>
      <w:bookmarkStart w:id="160" w:name="_Toc274861550"/>
      <w:bookmarkStart w:id="161" w:name="_Toc276718349"/>
      <w:bookmarkStart w:id="162" w:name="_Toc280016877"/>
      <w:bookmarkStart w:id="163" w:name="_Toc355261001"/>
      <w:bookmarkStart w:id="164" w:name="_Toc374520827"/>
      <w:bookmarkStart w:id="165" w:name="_Toc181174804"/>
      <w:bookmarkStart w:id="166" w:name="_Toc181174987"/>
    </w:p>
    <w:p w14:paraId="7AF3835B" w14:textId="77777777" w:rsidR="00196F32" w:rsidRPr="00B02693" w:rsidRDefault="00196F32" w:rsidP="00196F32">
      <w:pPr>
        <w:pStyle w:val="Heading1"/>
      </w:pPr>
      <w:bookmarkStart w:id="167" w:name="_Toc182391776"/>
      <w:r w:rsidRPr="00B02693">
        <w:rPr>
          <w:rFonts w:eastAsia="Malgun Gothic"/>
        </w:rPr>
        <w:t>6</w:t>
      </w:r>
      <w:r w:rsidRPr="00B02693">
        <w:rPr>
          <w:rFonts w:eastAsia="Malgun Gothic"/>
        </w:rPr>
        <w:tab/>
        <w:t xml:space="preserve">Characteristics </w:t>
      </w:r>
      <w:r w:rsidRPr="00B02693">
        <w:t xml:space="preserve">of the </w:t>
      </w:r>
      <w:r w:rsidRPr="00B02693">
        <w:rPr>
          <w:lang w:eastAsia="ko-KR"/>
        </w:rPr>
        <w:t xml:space="preserve">satellite </w:t>
      </w:r>
      <w:r w:rsidRPr="00B02693">
        <w:t>radio interface technologies</w:t>
      </w:r>
      <w:r w:rsidRPr="00B02693">
        <w:rPr>
          <w:lang w:eastAsia="ko-KR"/>
        </w:rPr>
        <w:t xml:space="preserve"> of </w:t>
      </w:r>
      <w:r w:rsidRPr="00B02693">
        <w:t>IMT</w:t>
      </w:r>
      <w:r w:rsidRPr="00B02693">
        <w:noBreakHyphen/>
        <w:t>2020 and basis of the specifications for Step 8</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6B033A7C" w14:textId="77777777" w:rsidR="00196F32" w:rsidRPr="00B02693" w:rsidRDefault="00196F32" w:rsidP="00196F32">
      <w:r w:rsidRPr="00B02693">
        <w:t xml:space="preserve">In Step 8, an IMT-2020 </w:t>
      </w:r>
      <w:r w:rsidRPr="00B02693">
        <w:rPr>
          <w:rFonts w:eastAsia="SimSun"/>
          <w:lang w:eastAsia="zh-CN"/>
        </w:rPr>
        <w:t xml:space="preserve">satellite </w:t>
      </w:r>
      <w:r w:rsidRPr="00B02693">
        <w:t>radio interface Recommendation is developed within the ITU</w:t>
      </w:r>
      <w:r w:rsidRPr="00B02693">
        <w:noBreakHyphen/>
        <w:t>R, on the basis of the results of Step 7, sufficiently detailed to enable worldwide compatibility of operation and equipment, including roaming.</w:t>
      </w:r>
    </w:p>
    <w:p w14:paraId="75E78DC5" w14:textId="77777777" w:rsidR="00196F32" w:rsidRPr="00B02693" w:rsidRDefault="00196F32" w:rsidP="00196F32">
      <w:pPr>
        <w:pStyle w:val="Heading2"/>
      </w:pPr>
      <w:bookmarkStart w:id="168" w:name="_Toc274861551"/>
      <w:bookmarkStart w:id="169" w:name="_Toc276718350"/>
      <w:bookmarkStart w:id="170" w:name="_Toc280016878"/>
      <w:bookmarkStart w:id="171" w:name="_Toc355261002"/>
      <w:bookmarkStart w:id="172" w:name="_Toc374520828"/>
      <w:bookmarkStart w:id="173" w:name="_Toc181174805"/>
      <w:bookmarkStart w:id="174" w:name="_Toc181174988"/>
      <w:bookmarkStart w:id="175" w:name="_Toc182391777"/>
      <w:r w:rsidRPr="00B02693">
        <w:t>6.1</w:t>
      </w:r>
      <w:r w:rsidRPr="00B02693">
        <w:tab/>
        <w:t xml:space="preserve">Characteristics of the </w:t>
      </w:r>
      <w:r w:rsidRPr="00B02693">
        <w:rPr>
          <w:lang w:eastAsia="ko-KR"/>
        </w:rPr>
        <w:t xml:space="preserve">satellite </w:t>
      </w:r>
      <w:r w:rsidRPr="00B02693">
        <w:t>radio interface technologies for IMT-</w:t>
      </w:r>
      <w:bookmarkEnd w:id="168"/>
      <w:bookmarkEnd w:id="169"/>
      <w:bookmarkEnd w:id="170"/>
      <w:bookmarkEnd w:id="171"/>
      <w:bookmarkEnd w:id="172"/>
      <w:r w:rsidRPr="00B02693">
        <w:t>2020</w:t>
      </w:r>
      <w:bookmarkEnd w:id="173"/>
      <w:bookmarkEnd w:id="174"/>
      <w:bookmarkEnd w:id="175"/>
    </w:p>
    <w:p w14:paraId="4F36BFF8" w14:textId="231B18FE" w:rsidR="00196F32" w:rsidRPr="00B02693" w:rsidRDefault="00196F32" w:rsidP="00196F32">
      <w:r w:rsidRPr="00B02693">
        <w:t>Under Step 8 of the IMT-</w:t>
      </w:r>
      <w:r w:rsidRPr="00B02693">
        <w:rPr>
          <w:lang w:eastAsia="ja-JP"/>
        </w:rPr>
        <w:t>2020</w:t>
      </w:r>
      <w:r w:rsidRPr="00B02693">
        <w:t xml:space="preserve"> satellite process, the detailed technical specifications for the </w:t>
      </w:r>
      <w:r w:rsidRPr="00B02693">
        <w:rPr>
          <w:lang w:eastAsia="ja-JP"/>
        </w:rPr>
        <w:t xml:space="preserve">Satellite </w:t>
      </w:r>
      <w:r w:rsidRPr="00B02693">
        <w:t>Radio Interface Technologies in IMT-</w:t>
      </w:r>
      <w:r w:rsidRPr="00B02693">
        <w:rPr>
          <w:lang w:eastAsia="ja-JP"/>
        </w:rPr>
        <w:t>2020</w:t>
      </w:r>
      <w:r w:rsidRPr="00B02693">
        <w:t xml:space="preserve"> will be provided in </w:t>
      </w:r>
      <w:r w:rsidR="000D581A">
        <w:t xml:space="preserve">a future ITU-R </w:t>
      </w:r>
      <w:r w:rsidRPr="00B02693">
        <w:t>Recommendation.</w:t>
      </w:r>
    </w:p>
    <w:p w14:paraId="026F5B3F" w14:textId="581E0B88" w:rsidR="00196F32" w:rsidRPr="00B02693" w:rsidRDefault="00196F32" w:rsidP="00196F32">
      <w:pPr>
        <w:pStyle w:val="Heading3"/>
        <w:rPr>
          <w:color w:val="000000" w:themeColor="text1"/>
          <w:lang w:eastAsia="zh-CN"/>
        </w:rPr>
      </w:pPr>
      <w:r w:rsidRPr="00B02693">
        <w:lastRenderedPageBreak/>
        <w:t>6.1.1</w:t>
      </w:r>
      <w:r w:rsidRPr="00B02693">
        <w:tab/>
        <w:t>Characteristics of satellite radio interface technologies for IMT-</w:t>
      </w:r>
      <w:r w:rsidRPr="00B02693">
        <w:rPr>
          <w:lang w:eastAsia="zh-CN"/>
        </w:rPr>
        <w:t xml:space="preserve">2020 </w:t>
      </w:r>
      <w:r w:rsidRPr="00B02693">
        <w:t xml:space="preserve">in Step 8 for the </w:t>
      </w:r>
      <w:r w:rsidRPr="00B02693">
        <w:rPr>
          <w:color w:val="000000" w:themeColor="text1"/>
          <w:lang w:eastAsia="zh-CN"/>
        </w:rPr>
        <w:t xml:space="preserve">candidate SRIT submission (Document </w:t>
      </w:r>
      <w:hyperlink r:id="rId56" w:history="1">
        <w:r w:rsidRPr="00B02693">
          <w:rPr>
            <w:szCs w:val="24"/>
          </w:rPr>
          <w:t>IMT</w:t>
        </w:r>
        <w:r w:rsidRPr="00B02693">
          <w:rPr>
            <w:szCs w:val="24"/>
          </w:rPr>
          <w:noBreakHyphen/>
          <w:t>2020-SAT/3</w:t>
        </w:r>
      </w:hyperlink>
      <w:r w:rsidRPr="00B02693">
        <w:rPr>
          <w:color w:val="000000" w:themeColor="text1"/>
          <w:lang w:eastAsia="zh-CN"/>
        </w:rPr>
        <w:t>) from 3GPP Proponent</w:t>
      </w:r>
    </w:p>
    <w:p w14:paraId="050C44AD" w14:textId="77777777" w:rsidR="00196F32" w:rsidRPr="00B02693" w:rsidRDefault="00196F32" w:rsidP="00196F32">
      <w:pPr>
        <w:rPr>
          <w:lang w:eastAsia="zh-CN"/>
        </w:rPr>
      </w:pPr>
      <w:r w:rsidRPr="00B02693">
        <w:rPr>
          <w:lang w:eastAsia="zh-CN"/>
        </w:rPr>
        <w:t xml:space="preserve">Based on the consensus views in </w:t>
      </w:r>
      <w:r w:rsidRPr="00B02693">
        <w:t xml:space="preserve">§ 5.3, </w:t>
      </w:r>
      <w:r w:rsidRPr="00B02693">
        <w:rPr>
          <w:lang w:eastAsia="zh-CN"/>
        </w:rPr>
        <w:t xml:space="preserve">(3GPP 5G NTN: SRIT) </w:t>
      </w:r>
      <w:r w:rsidRPr="00B02693">
        <w:t xml:space="preserve">is accepted for Step 8. The basis for specifying the </w:t>
      </w:r>
      <w:r w:rsidRPr="00B02693">
        <w:rPr>
          <w:lang w:eastAsia="zh-CN"/>
        </w:rPr>
        <w:t>(3GPP 5G NTN: SRIT)</w:t>
      </w:r>
      <w:r w:rsidRPr="00B02693">
        <w:t xml:space="preserve"> technology in Step 8 is Document </w:t>
      </w:r>
      <w:hyperlink r:id="rId57" w:history="1">
        <w:r w:rsidRPr="00B02693">
          <w:rPr>
            <w:szCs w:val="24"/>
          </w:rPr>
          <w:t>IMT</w:t>
        </w:r>
        <w:r w:rsidRPr="00B02693">
          <w:rPr>
            <w:szCs w:val="24"/>
          </w:rPr>
          <w:noBreakHyphen/>
          <w:t>2020-SAT/3</w:t>
        </w:r>
      </w:hyperlink>
      <w:r w:rsidRPr="00B02693">
        <w:rPr>
          <w:lang w:eastAsia="zh-CN"/>
        </w:rPr>
        <w:t>.</w:t>
      </w:r>
    </w:p>
    <w:p w14:paraId="42B34A96" w14:textId="24A95FB9" w:rsidR="00196F32" w:rsidRPr="00B02693" w:rsidRDefault="00196F32" w:rsidP="00196F32">
      <w:pPr>
        <w:pStyle w:val="Heading3"/>
        <w:rPr>
          <w:color w:val="000000" w:themeColor="text1"/>
          <w:lang w:eastAsia="zh-CN"/>
        </w:rPr>
      </w:pPr>
      <w:r w:rsidRPr="00B02693">
        <w:t>6.1.2</w:t>
      </w:r>
      <w:r w:rsidRPr="00B02693">
        <w:tab/>
        <w:t>Characteristics of satellite radio interface technologies for IMT-</w:t>
      </w:r>
      <w:r w:rsidRPr="00B02693">
        <w:rPr>
          <w:lang w:eastAsia="zh-CN"/>
        </w:rPr>
        <w:t xml:space="preserve">2020 </w:t>
      </w:r>
      <w:r w:rsidRPr="00B02693">
        <w:t xml:space="preserve">in Step 8 for the </w:t>
      </w:r>
      <w:r w:rsidRPr="00B02693">
        <w:rPr>
          <w:color w:val="000000" w:themeColor="text1"/>
          <w:lang w:eastAsia="zh-CN"/>
        </w:rPr>
        <w:t xml:space="preserve">candidate RIT submission (Document </w:t>
      </w:r>
      <w:r w:rsidRPr="00B02693">
        <w:rPr>
          <w:szCs w:val="24"/>
        </w:rPr>
        <w:t>IMT</w:t>
      </w:r>
      <w:r w:rsidRPr="00B02693">
        <w:rPr>
          <w:szCs w:val="24"/>
        </w:rPr>
        <w:noBreakHyphen/>
        <w:t>2020-SAT/4</w:t>
      </w:r>
      <w:r w:rsidRPr="00B02693">
        <w:rPr>
          <w:color w:val="000000" w:themeColor="text1"/>
          <w:lang w:eastAsia="zh-CN"/>
        </w:rPr>
        <w:t>) from 3GPP Proponent</w:t>
      </w:r>
    </w:p>
    <w:p w14:paraId="73412DA1" w14:textId="77777777" w:rsidR="00196F32" w:rsidRPr="00B02693" w:rsidRDefault="00196F32" w:rsidP="00EE7765">
      <w:pPr>
        <w:rPr>
          <w:lang w:eastAsia="zh-CN"/>
        </w:rPr>
      </w:pPr>
      <w:r w:rsidRPr="00B02693">
        <w:rPr>
          <w:lang w:eastAsia="zh-CN"/>
        </w:rPr>
        <w:t xml:space="preserve">Based on the consensus views in </w:t>
      </w:r>
      <w:r w:rsidRPr="00B02693">
        <w:t xml:space="preserve">§ 5.3, </w:t>
      </w:r>
      <w:r w:rsidRPr="00B02693">
        <w:rPr>
          <w:lang w:eastAsia="zh-CN"/>
        </w:rPr>
        <w:t xml:space="preserve">(3GPP 5G NTN: RIT) </w:t>
      </w:r>
      <w:r w:rsidRPr="00B02693">
        <w:t xml:space="preserve">is accepted for Step 8. The basis for specifying the </w:t>
      </w:r>
      <w:r w:rsidRPr="00B02693">
        <w:rPr>
          <w:lang w:eastAsia="zh-CN"/>
        </w:rPr>
        <w:t>(3GPP 5G NTN: RIT)</w:t>
      </w:r>
      <w:r w:rsidRPr="00B02693">
        <w:t xml:space="preserve"> technology in Step 8 is Document </w:t>
      </w:r>
      <w:r w:rsidRPr="00B02693">
        <w:rPr>
          <w:szCs w:val="24"/>
        </w:rPr>
        <w:t>IMT</w:t>
      </w:r>
      <w:r w:rsidRPr="00B02693">
        <w:rPr>
          <w:szCs w:val="24"/>
        </w:rPr>
        <w:noBreakHyphen/>
        <w:t>2020-SAT/4</w:t>
      </w:r>
      <w:r w:rsidRPr="00B02693">
        <w:rPr>
          <w:lang w:eastAsia="zh-CN"/>
        </w:rPr>
        <w:t>.</w:t>
      </w:r>
    </w:p>
    <w:p w14:paraId="26805F8B" w14:textId="77777777" w:rsidR="00196F32" w:rsidRPr="00B02693" w:rsidRDefault="00196F32" w:rsidP="00C80278"/>
    <w:p w14:paraId="25DE1A42" w14:textId="5EA19B56" w:rsidR="00196F32" w:rsidRPr="00B02693" w:rsidRDefault="00196F32" w:rsidP="00C80278"/>
    <w:p w14:paraId="54A229BF" w14:textId="4880A4E4" w:rsidR="00196F32" w:rsidRPr="00B02693" w:rsidRDefault="00196F32" w:rsidP="00C80278">
      <w:pPr>
        <w:pStyle w:val="AnnexNoTitle"/>
      </w:pPr>
      <w:bookmarkStart w:id="176" w:name="_Toc181174989"/>
      <w:bookmarkStart w:id="177" w:name="_Toc182391778"/>
      <w:bookmarkStart w:id="178" w:name="_Toc254701887"/>
      <w:bookmarkStart w:id="179" w:name="_Toc274861553"/>
      <w:bookmarkStart w:id="180" w:name="_Toc280016882"/>
      <w:bookmarkStart w:id="181" w:name="_Toc374520832"/>
      <w:r w:rsidRPr="00B02693">
        <w:t>Annex 1</w:t>
      </w:r>
      <w:bookmarkEnd w:id="176"/>
      <w:r w:rsidR="00C80278">
        <w:br/>
      </w:r>
      <w:r w:rsidR="00C80278">
        <w:br/>
      </w:r>
      <w:bookmarkStart w:id="182" w:name="_Toc181174990"/>
      <w:r w:rsidR="00C80278" w:rsidRPr="00B02693">
        <w:t>Submission of candidate satellite technologies</w:t>
      </w:r>
      <w:bookmarkEnd w:id="177"/>
      <w:bookmarkEnd w:id="182"/>
    </w:p>
    <w:bookmarkEnd w:id="178"/>
    <w:bookmarkEnd w:id="179"/>
    <w:bookmarkEnd w:id="180"/>
    <w:bookmarkEnd w:id="181"/>
    <w:p w14:paraId="6C286112" w14:textId="4528C7AA" w:rsidR="00196F32" w:rsidRPr="00B02693" w:rsidRDefault="00196F32" w:rsidP="00DD563F"/>
    <w:p w14:paraId="6420E3D3" w14:textId="77777777" w:rsidR="00196F32" w:rsidRPr="00B02693" w:rsidRDefault="00196F32" w:rsidP="00196F32">
      <w:pPr>
        <w:pStyle w:val="Tabletitle"/>
      </w:pPr>
      <w:bookmarkStart w:id="183" w:name="_Toc43276914"/>
      <w:bookmarkStart w:id="184" w:name="_Toc43277092"/>
      <w:bookmarkStart w:id="185" w:name="_Toc43277196"/>
      <w:bookmarkStart w:id="186" w:name="_Toc43277385"/>
      <w:bookmarkStart w:id="187" w:name="_Toc181174806"/>
      <w:bookmarkStart w:id="188" w:name="_Toc254701888"/>
      <w:bookmarkStart w:id="189" w:name="_Toc274861554"/>
      <w:bookmarkStart w:id="190" w:name="_Toc280016883"/>
      <w:bookmarkStart w:id="191" w:name="_Toc374520833"/>
      <w:r w:rsidRPr="00B02693">
        <w:t>Index of IMT-2020-SAT documents for each final submission</w:t>
      </w:r>
      <w:bookmarkEnd w:id="183"/>
      <w:bookmarkEnd w:id="184"/>
      <w:bookmarkEnd w:id="185"/>
      <w:bookmarkEnd w:id="186"/>
      <w:bookmarkEnd w:id="187"/>
    </w:p>
    <w:tbl>
      <w:tblPr>
        <w:tblW w:w="9639" w:type="dxa"/>
        <w:jc w:val="center"/>
        <w:tblLook w:val="04A0" w:firstRow="1" w:lastRow="0" w:firstColumn="1" w:lastColumn="0" w:noHBand="0" w:noVBand="1"/>
      </w:tblPr>
      <w:tblGrid>
        <w:gridCol w:w="1206"/>
        <w:gridCol w:w="1337"/>
        <w:gridCol w:w="2981"/>
        <w:gridCol w:w="1701"/>
        <w:gridCol w:w="2414"/>
      </w:tblGrid>
      <w:tr w:rsidR="00196F32" w:rsidRPr="00B02693" w14:paraId="2887B725" w14:textId="77777777" w:rsidTr="00EE7765">
        <w:trPr>
          <w:cantSplit/>
          <w:trHeight w:val="413"/>
          <w:tblHeader/>
          <w:jc w:val="center"/>
        </w:trPr>
        <w:tc>
          <w:tcPr>
            <w:tcW w:w="1206" w:type="dxa"/>
            <w:tcBorders>
              <w:top w:val="single" w:sz="4" w:space="0" w:color="auto"/>
              <w:left w:val="single" w:sz="4" w:space="0" w:color="auto"/>
              <w:bottom w:val="single" w:sz="4" w:space="0" w:color="auto"/>
              <w:right w:val="single" w:sz="4" w:space="0" w:color="auto"/>
            </w:tcBorders>
            <w:shd w:val="clear" w:color="000000" w:fill="auto"/>
            <w:vAlign w:val="center"/>
          </w:tcPr>
          <w:p w14:paraId="5CD11242" w14:textId="77777777" w:rsidR="00196F32" w:rsidRPr="00B02693" w:rsidRDefault="00196F32" w:rsidP="00EE08AF">
            <w:pPr>
              <w:pStyle w:val="Tablehead"/>
            </w:pPr>
            <w:r w:rsidRPr="00B02693">
              <w:t>RIT/SRIT Proponent</w:t>
            </w:r>
          </w:p>
        </w:tc>
        <w:tc>
          <w:tcPr>
            <w:tcW w:w="4318"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BB64A70" w14:textId="77777777" w:rsidR="00196F32" w:rsidRPr="00B02693" w:rsidRDefault="00196F32" w:rsidP="00EE08AF">
            <w:pPr>
              <w:pStyle w:val="Tablehead"/>
            </w:pPr>
            <w:r w:rsidRPr="00B02693">
              <w:t>Acknowledgement of submission</w:t>
            </w:r>
            <w:r w:rsidRPr="00B02693">
              <w:br/>
              <w:t>(IMT-2020-SAT/YYY)</w:t>
            </w:r>
          </w:p>
        </w:tc>
        <w:tc>
          <w:tcPr>
            <w:tcW w:w="4115"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7B528A11" w14:textId="77777777" w:rsidR="00196F32" w:rsidRPr="00B02693" w:rsidRDefault="00196F32" w:rsidP="00EE08AF">
            <w:pPr>
              <w:pStyle w:val="Tablehead"/>
            </w:pPr>
            <w:r w:rsidRPr="00B02693">
              <w:t>Submission history</w:t>
            </w:r>
          </w:p>
        </w:tc>
      </w:tr>
      <w:tr w:rsidR="00196F32" w:rsidRPr="00B02693" w14:paraId="0A3B5233" w14:textId="77777777" w:rsidTr="00EE7765">
        <w:trPr>
          <w:cantSplit/>
          <w:trHeight w:val="20"/>
          <w:jc w:val="center"/>
        </w:trPr>
        <w:tc>
          <w:tcPr>
            <w:tcW w:w="1206" w:type="dxa"/>
            <w:tcBorders>
              <w:top w:val="single" w:sz="4" w:space="0" w:color="auto"/>
              <w:left w:val="single" w:sz="4" w:space="0" w:color="auto"/>
              <w:bottom w:val="single" w:sz="4" w:space="0" w:color="auto"/>
              <w:right w:val="single" w:sz="4" w:space="0" w:color="auto"/>
            </w:tcBorders>
            <w:shd w:val="clear" w:color="000000" w:fill="auto"/>
            <w:vAlign w:val="center"/>
          </w:tcPr>
          <w:p w14:paraId="7989E1C7" w14:textId="77777777" w:rsidR="00196F32" w:rsidRPr="00B02693" w:rsidRDefault="00196F32" w:rsidP="00EE08AF">
            <w:pPr>
              <w:pStyle w:val="Tabletext"/>
              <w:rPr>
                <w:b/>
              </w:rPr>
            </w:pPr>
            <w:r w:rsidRPr="00B02693">
              <w:rPr>
                <w:b/>
              </w:rPr>
              <w:t>3GPP (SRIT)</w:t>
            </w:r>
          </w:p>
        </w:tc>
        <w:tc>
          <w:tcPr>
            <w:tcW w:w="1337" w:type="dxa"/>
            <w:tcBorders>
              <w:top w:val="single" w:sz="4" w:space="0" w:color="auto"/>
              <w:left w:val="single" w:sz="4" w:space="0" w:color="auto"/>
              <w:bottom w:val="single" w:sz="4" w:space="0" w:color="auto"/>
              <w:right w:val="single" w:sz="4" w:space="0" w:color="auto"/>
            </w:tcBorders>
            <w:shd w:val="clear" w:color="000000" w:fill="auto"/>
            <w:vAlign w:val="center"/>
          </w:tcPr>
          <w:p w14:paraId="39A7793E" w14:textId="77777777" w:rsidR="00196F32" w:rsidRPr="00B02693" w:rsidRDefault="00196F32" w:rsidP="00EE08AF">
            <w:pPr>
              <w:pStyle w:val="Tabletext"/>
              <w:jc w:val="center"/>
            </w:pPr>
            <w:r w:rsidRPr="00B02693">
              <w:t>Document IMT</w:t>
            </w:r>
            <w:r w:rsidRPr="00B02693">
              <w:noBreakHyphen/>
              <w:t>2020-SAT/3</w:t>
            </w:r>
          </w:p>
        </w:tc>
        <w:tc>
          <w:tcPr>
            <w:tcW w:w="2981" w:type="dxa"/>
            <w:tcBorders>
              <w:top w:val="single" w:sz="4" w:space="0" w:color="auto"/>
              <w:left w:val="single" w:sz="4" w:space="0" w:color="auto"/>
              <w:bottom w:val="single" w:sz="4" w:space="0" w:color="auto"/>
              <w:right w:val="single" w:sz="4" w:space="0" w:color="auto"/>
            </w:tcBorders>
            <w:shd w:val="clear" w:color="000000" w:fill="auto"/>
            <w:vAlign w:val="center"/>
          </w:tcPr>
          <w:p w14:paraId="68E3135E" w14:textId="22687742" w:rsidR="00196F32" w:rsidRPr="00B02693" w:rsidRDefault="00196F32" w:rsidP="00EE7765">
            <w:pPr>
              <w:pStyle w:val="Tabletext"/>
              <w:jc w:val="left"/>
            </w:pPr>
            <w:r w:rsidRPr="00B02693">
              <w:t>Acknowledgement of candidate submission from Alliance for Telecommunications Industry Solutions under Step</w:t>
            </w:r>
            <w:r w:rsidR="00EE7765">
              <w:t> </w:t>
            </w:r>
            <w:r w:rsidRPr="00B02693">
              <w:t>3 of the satellite IMT-2020 process (3GPP 5G NTN candidate for inclusion in the satellite component of IMT-2020: submission 1 (SRIT))</w:t>
            </w: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A6AE0CD" w14:textId="563AB16F" w:rsidR="00196F32" w:rsidRPr="00B02693" w:rsidRDefault="00196F32" w:rsidP="00EE08AF">
            <w:pPr>
              <w:pStyle w:val="Tabletext"/>
              <w:jc w:val="center"/>
            </w:pPr>
            <w:r w:rsidRPr="00B02693">
              <w:t xml:space="preserve">Document 4B/4 </w:t>
            </w:r>
            <w:r w:rsidR="00D620D6">
              <w:br/>
            </w:r>
            <w:r w:rsidRPr="00B02693">
              <w:t>(2023-2027 Study Period)</w:t>
            </w:r>
          </w:p>
        </w:tc>
        <w:tc>
          <w:tcPr>
            <w:tcW w:w="2414" w:type="dxa"/>
            <w:tcBorders>
              <w:top w:val="single" w:sz="4" w:space="0" w:color="auto"/>
              <w:left w:val="nil"/>
              <w:bottom w:val="single" w:sz="4" w:space="0" w:color="auto"/>
              <w:right w:val="single" w:sz="4" w:space="0" w:color="auto"/>
            </w:tcBorders>
            <w:shd w:val="clear" w:color="000000" w:fill="auto"/>
            <w:vAlign w:val="center"/>
          </w:tcPr>
          <w:p w14:paraId="213F08A4" w14:textId="77777777" w:rsidR="00196F32" w:rsidRPr="00B02693" w:rsidRDefault="00196F32" w:rsidP="00EE7765">
            <w:pPr>
              <w:pStyle w:val="Tabletext"/>
              <w:jc w:val="left"/>
            </w:pPr>
            <w:r w:rsidRPr="00B02693">
              <w:t>3GPP technology submission of 3GPP 5G NTN solutions for the satellite component of IMT-2020</w:t>
            </w:r>
          </w:p>
        </w:tc>
      </w:tr>
      <w:tr w:rsidR="00196F32" w:rsidRPr="00B02693" w14:paraId="476672F2" w14:textId="77777777" w:rsidTr="00EE7765">
        <w:trPr>
          <w:cantSplit/>
          <w:trHeight w:val="20"/>
          <w:jc w:val="center"/>
        </w:trPr>
        <w:tc>
          <w:tcPr>
            <w:tcW w:w="1206" w:type="dxa"/>
            <w:tcBorders>
              <w:top w:val="single" w:sz="4" w:space="0" w:color="auto"/>
              <w:left w:val="single" w:sz="4" w:space="0" w:color="auto"/>
              <w:bottom w:val="single" w:sz="4" w:space="0" w:color="auto"/>
              <w:right w:val="single" w:sz="4" w:space="0" w:color="auto"/>
            </w:tcBorders>
            <w:shd w:val="clear" w:color="000000" w:fill="auto"/>
            <w:vAlign w:val="center"/>
          </w:tcPr>
          <w:p w14:paraId="20CD211B" w14:textId="77777777" w:rsidR="00196F32" w:rsidRPr="00B02693" w:rsidRDefault="00196F32" w:rsidP="00EE08AF">
            <w:pPr>
              <w:pStyle w:val="Tabletext"/>
              <w:rPr>
                <w:b/>
                <w:lang w:eastAsia="zh-CN"/>
              </w:rPr>
            </w:pPr>
            <w:r w:rsidRPr="00B02693">
              <w:rPr>
                <w:b/>
                <w:lang w:eastAsia="zh-CN"/>
              </w:rPr>
              <w:t>3GPP (RIT)</w:t>
            </w:r>
          </w:p>
        </w:tc>
        <w:tc>
          <w:tcPr>
            <w:tcW w:w="1337" w:type="dxa"/>
            <w:tcBorders>
              <w:top w:val="single" w:sz="4" w:space="0" w:color="auto"/>
              <w:left w:val="single" w:sz="4" w:space="0" w:color="auto"/>
              <w:bottom w:val="single" w:sz="4" w:space="0" w:color="auto"/>
              <w:right w:val="single" w:sz="4" w:space="0" w:color="auto"/>
            </w:tcBorders>
            <w:shd w:val="clear" w:color="000000" w:fill="auto"/>
            <w:vAlign w:val="center"/>
          </w:tcPr>
          <w:p w14:paraId="787BD395" w14:textId="77777777" w:rsidR="00196F32" w:rsidRPr="00B02693" w:rsidRDefault="00196F32" w:rsidP="00EE08AF">
            <w:pPr>
              <w:pStyle w:val="Tabletext"/>
              <w:jc w:val="center"/>
            </w:pPr>
            <w:r w:rsidRPr="00B02693">
              <w:t>Document IMT</w:t>
            </w:r>
            <w:r w:rsidRPr="00B02693">
              <w:noBreakHyphen/>
              <w:t>2020-SAT/4</w:t>
            </w:r>
          </w:p>
        </w:tc>
        <w:tc>
          <w:tcPr>
            <w:tcW w:w="2981" w:type="dxa"/>
            <w:tcBorders>
              <w:top w:val="single" w:sz="4" w:space="0" w:color="auto"/>
              <w:left w:val="single" w:sz="4" w:space="0" w:color="auto"/>
              <w:bottom w:val="single" w:sz="4" w:space="0" w:color="auto"/>
              <w:right w:val="single" w:sz="4" w:space="0" w:color="auto"/>
            </w:tcBorders>
            <w:shd w:val="clear" w:color="000000" w:fill="auto"/>
            <w:vAlign w:val="center"/>
          </w:tcPr>
          <w:p w14:paraId="417105F9" w14:textId="243BAFEF" w:rsidR="00196F32" w:rsidRPr="00B02693" w:rsidRDefault="00196F32" w:rsidP="00EE7765">
            <w:pPr>
              <w:pStyle w:val="Tabletext"/>
              <w:jc w:val="left"/>
            </w:pPr>
            <w:r w:rsidRPr="00B02693">
              <w:t>Acknowledgement of candidate submission from Alliance for Telecommunications Industry Solutions under Step 3 of the satellite IMT-2020 process (3GPP 5G NTN candidate for inclusion in the satellite component of IMT-2020: submission 2 (RIT))</w:t>
            </w:r>
          </w:p>
        </w:tc>
        <w:tc>
          <w:tcPr>
            <w:tcW w:w="170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7FEEB43" w14:textId="329BFE62" w:rsidR="00196F32" w:rsidRPr="00B02693" w:rsidRDefault="00196F32" w:rsidP="00EE08AF">
            <w:pPr>
              <w:pStyle w:val="Tabletext"/>
              <w:jc w:val="center"/>
            </w:pPr>
            <w:r w:rsidRPr="00B02693">
              <w:t xml:space="preserve">Document 4B/4 </w:t>
            </w:r>
            <w:r w:rsidR="00D620D6">
              <w:br/>
            </w:r>
            <w:r w:rsidRPr="00B02693">
              <w:t>(2023-2027 Study Period)</w:t>
            </w:r>
          </w:p>
        </w:tc>
        <w:tc>
          <w:tcPr>
            <w:tcW w:w="2414" w:type="dxa"/>
            <w:tcBorders>
              <w:top w:val="single" w:sz="4" w:space="0" w:color="auto"/>
              <w:left w:val="nil"/>
              <w:bottom w:val="single" w:sz="4" w:space="0" w:color="auto"/>
              <w:right w:val="single" w:sz="4" w:space="0" w:color="auto"/>
            </w:tcBorders>
            <w:shd w:val="clear" w:color="000000" w:fill="auto"/>
            <w:vAlign w:val="center"/>
          </w:tcPr>
          <w:p w14:paraId="79943FF4" w14:textId="77777777" w:rsidR="00196F32" w:rsidRPr="00B02693" w:rsidRDefault="00196F32" w:rsidP="00EE7765">
            <w:pPr>
              <w:pStyle w:val="Tabletext"/>
              <w:jc w:val="left"/>
            </w:pPr>
            <w:r w:rsidRPr="00B02693">
              <w:t>3GPP technology submission of 3GPP 5G NTN solutions for the satellite component of IMT-2020</w:t>
            </w:r>
          </w:p>
        </w:tc>
      </w:tr>
    </w:tbl>
    <w:p w14:paraId="405478C5" w14:textId="77777777" w:rsidR="00196F32" w:rsidRPr="00B02693" w:rsidRDefault="00196F32" w:rsidP="00E6076F">
      <w:pPr>
        <w:pStyle w:val="Tablefin"/>
      </w:pPr>
    </w:p>
    <w:p w14:paraId="03A9E2A8" w14:textId="75337BE5" w:rsidR="00196F32" w:rsidRDefault="00196F32" w:rsidP="00B34AEC"/>
    <w:p w14:paraId="4A73E69B" w14:textId="77777777" w:rsidR="00B34AEC" w:rsidRDefault="00B34AEC" w:rsidP="00B34AEC"/>
    <w:p w14:paraId="7F879451" w14:textId="77777777" w:rsidR="000D581A" w:rsidRDefault="000D581A" w:rsidP="00B34AEC"/>
    <w:p w14:paraId="3F257977" w14:textId="77777777" w:rsidR="000D581A" w:rsidRDefault="000D581A" w:rsidP="00B34AEC"/>
    <w:p w14:paraId="4B56F9E0" w14:textId="77777777" w:rsidR="000D581A" w:rsidRPr="00B02693" w:rsidRDefault="000D581A" w:rsidP="00B34AEC"/>
    <w:p w14:paraId="7E5701D0" w14:textId="36D9D33E" w:rsidR="00196F32" w:rsidRDefault="00DD563F" w:rsidP="00DD563F">
      <w:pPr>
        <w:pStyle w:val="AnnexNoTitle"/>
      </w:pPr>
      <w:bookmarkStart w:id="192" w:name="_Toc181174991"/>
      <w:bookmarkStart w:id="193" w:name="_Toc181174992"/>
      <w:bookmarkStart w:id="194" w:name="_Toc182391779"/>
      <w:r w:rsidRPr="00B02693">
        <w:lastRenderedPageBreak/>
        <w:t>Annex 2</w:t>
      </w:r>
      <w:bookmarkEnd w:id="192"/>
      <w:r>
        <w:br/>
      </w:r>
      <w:r>
        <w:br/>
      </w:r>
      <w:r w:rsidR="00196F32" w:rsidRPr="00B02693">
        <w:t xml:space="preserve">Summary and details of </w:t>
      </w:r>
      <w:r w:rsidR="00890E1D" w:rsidRPr="00B02693">
        <w:t>evaluation re</w:t>
      </w:r>
      <w:r w:rsidR="00196F32" w:rsidRPr="00B02693">
        <w:t>ports</w:t>
      </w:r>
      <w:r w:rsidR="00196F32" w:rsidRPr="00B02693">
        <w:br/>
        <w:t xml:space="preserve">from </w:t>
      </w:r>
      <w:bookmarkEnd w:id="188"/>
      <w:r w:rsidR="00890E1D" w:rsidRPr="00B02693">
        <w:t>independent evaluation gro</w:t>
      </w:r>
      <w:r w:rsidR="00196F32" w:rsidRPr="00B02693">
        <w:t>ups</w:t>
      </w:r>
      <w:bookmarkEnd w:id="189"/>
      <w:bookmarkEnd w:id="190"/>
      <w:bookmarkEnd w:id="191"/>
      <w:bookmarkEnd w:id="193"/>
      <w:bookmarkEnd w:id="194"/>
    </w:p>
    <w:p w14:paraId="0C1F4F17" w14:textId="181FA97B" w:rsidR="00E83E5B" w:rsidRPr="00E83E5B" w:rsidRDefault="00E83E5B" w:rsidP="00E83E5B"/>
    <w:p w14:paraId="6AED8876" w14:textId="77777777" w:rsidR="00196F32" w:rsidRPr="00E83E5B" w:rsidRDefault="00196F32" w:rsidP="00E83E5B">
      <w:pPr>
        <w:pStyle w:val="Headingb"/>
      </w:pPr>
      <w:bookmarkStart w:id="195" w:name="_Toc274861555"/>
      <w:bookmarkStart w:id="196" w:name="_Toc280016884"/>
      <w:bookmarkStart w:id="197" w:name="_Toc374520834"/>
      <w:r w:rsidRPr="00E83E5B">
        <w:t>Document IMT-2020-SAT/10</w:t>
      </w:r>
    </w:p>
    <w:p w14:paraId="35991978" w14:textId="77777777" w:rsidR="00196F32" w:rsidRPr="00B02693" w:rsidRDefault="00196F32" w:rsidP="00A1726F">
      <w:pPr>
        <w:rPr>
          <w:lang w:eastAsia="zh-CN"/>
        </w:rPr>
      </w:pPr>
      <w:r w:rsidRPr="00B02693">
        <w:t xml:space="preserve">Summary results of evaluation by ATIS Evaluation Group of IMT-2020 satellite candidate technology submission </w:t>
      </w:r>
      <w:r w:rsidRPr="00B02693">
        <w:rPr>
          <w:lang w:eastAsia="zh-CN"/>
        </w:rPr>
        <w:t xml:space="preserve">in </w:t>
      </w:r>
      <w:r w:rsidRPr="00B02693">
        <w:t xml:space="preserve">Documents </w:t>
      </w:r>
      <w:hyperlink r:id="rId58" w:history="1">
        <w:r w:rsidRPr="00B02693">
          <w:rPr>
            <w:szCs w:val="24"/>
          </w:rPr>
          <w:t>IMT</w:t>
        </w:r>
        <w:r w:rsidRPr="00B02693">
          <w:rPr>
            <w:szCs w:val="24"/>
          </w:rPr>
          <w:noBreakHyphen/>
          <w:t>2020-SAT/3</w:t>
        </w:r>
      </w:hyperlink>
      <w:r w:rsidRPr="00B02693">
        <w:t xml:space="preserve"> and IMT-2020-SAT/4 (3GPP)</w:t>
      </w:r>
      <w:r w:rsidRPr="00B02693">
        <w:rPr>
          <w:lang w:eastAsia="zh-CN"/>
        </w:rPr>
        <w:t>.</w:t>
      </w:r>
    </w:p>
    <w:p w14:paraId="4D72DB26" w14:textId="77777777" w:rsidR="00196F32" w:rsidRPr="00B02693" w:rsidRDefault="00196F32" w:rsidP="00196F32">
      <w:pPr>
        <w:pStyle w:val="Headingb"/>
      </w:pPr>
      <w:r w:rsidRPr="00B02693">
        <w:t>Document IMT-2020-SAT/11</w:t>
      </w:r>
    </w:p>
    <w:p w14:paraId="4A4E1061" w14:textId="11D2B7C5" w:rsidR="00196F32" w:rsidRPr="00B02693" w:rsidRDefault="00196F32" w:rsidP="00A1726F">
      <w:pPr>
        <w:rPr>
          <w:lang w:eastAsia="zh-CN"/>
        </w:rPr>
      </w:pPr>
      <w:r w:rsidRPr="00B02693">
        <w:t xml:space="preserve">Summary results of evaluation by European Telecommunications Standards Institute (ETSI) Evaluation Group of IMT-2020 satellite candidate technology submission </w:t>
      </w:r>
      <w:r w:rsidRPr="00B02693">
        <w:rPr>
          <w:lang w:eastAsia="zh-CN"/>
        </w:rPr>
        <w:t>in</w:t>
      </w:r>
      <w:r w:rsidRPr="00B02693">
        <w:t xml:space="preserve"> Document IMT</w:t>
      </w:r>
      <w:r w:rsidR="0039798E">
        <w:t>‑</w:t>
      </w:r>
      <w:r w:rsidRPr="00B02693">
        <w:t>2020</w:t>
      </w:r>
      <w:r w:rsidR="0039798E">
        <w:t>‑</w:t>
      </w:r>
      <w:r w:rsidRPr="00B02693">
        <w:t>SAT/4 (3GPP)</w:t>
      </w:r>
      <w:r w:rsidRPr="00B02693">
        <w:rPr>
          <w:lang w:eastAsia="zh-CN"/>
        </w:rPr>
        <w:t>.</w:t>
      </w:r>
    </w:p>
    <w:p w14:paraId="2FD72F55" w14:textId="77777777" w:rsidR="00196F32" w:rsidRPr="00B02693" w:rsidRDefault="00196F32" w:rsidP="00196F32">
      <w:pPr>
        <w:pStyle w:val="Headingb"/>
      </w:pPr>
      <w:r w:rsidRPr="00B02693">
        <w:t>Document IMT-2020-SAT/12</w:t>
      </w:r>
    </w:p>
    <w:p w14:paraId="6D3F9E67" w14:textId="77777777" w:rsidR="00196F32" w:rsidRPr="00A1726F" w:rsidRDefault="00196F32" w:rsidP="00196F32">
      <w:pPr>
        <w:pStyle w:val="enumlev1"/>
        <w:tabs>
          <w:tab w:val="left" w:pos="0"/>
        </w:tabs>
        <w:ind w:left="0" w:firstLine="0"/>
      </w:pPr>
      <w:r w:rsidRPr="00B02693">
        <w:t xml:space="preserve">Summary results of evaluation by 5G India Forum (5G IF) Evaluation Group of IMT-2020 satellite </w:t>
      </w:r>
      <w:r w:rsidRPr="00A1726F">
        <w:t>candidate technology submission in Document IMT-2020-SAT/4 (3GPP).</w:t>
      </w:r>
    </w:p>
    <w:p w14:paraId="3CACBD0B" w14:textId="77777777" w:rsidR="00196F32" w:rsidRPr="00B02693" w:rsidRDefault="00196F32" w:rsidP="00196F32">
      <w:pPr>
        <w:pStyle w:val="Headingb"/>
      </w:pPr>
      <w:r w:rsidRPr="00B02693">
        <w:t>Document IMT-2020-SAT/13</w:t>
      </w:r>
    </w:p>
    <w:p w14:paraId="49DD30ED" w14:textId="77777777" w:rsidR="00196F32" w:rsidRPr="00B02693" w:rsidRDefault="00196F32" w:rsidP="00A1726F">
      <w:pPr>
        <w:rPr>
          <w:lang w:eastAsia="zh-CN"/>
        </w:rPr>
      </w:pPr>
      <w:bookmarkStart w:id="198" w:name="_Hlk181720920"/>
      <w:r w:rsidRPr="00B02693">
        <w:t xml:space="preserve">Summary results of evaluation by </w:t>
      </w:r>
      <w:proofErr w:type="spellStart"/>
      <w:r w:rsidRPr="00B02693">
        <w:t>SatComForum</w:t>
      </w:r>
      <w:proofErr w:type="spellEnd"/>
      <w:r w:rsidRPr="00B02693">
        <w:t xml:space="preserve"> Evaluation Group of IMT-2020 satellite candidate technology submission</w:t>
      </w:r>
      <w:r w:rsidRPr="00B02693">
        <w:rPr>
          <w:lang w:eastAsia="zh-CN"/>
        </w:rPr>
        <w:t xml:space="preserve"> in</w:t>
      </w:r>
      <w:r w:rsidRPr="00B02693">
        <w:t xml:space="preserve"> Document IMT-2020-SAT/4 (3GPP)</w:t>
      </w:r>
      <w:bookmarkEnd w:id="198"/>
      <w:r w:rsidRPr="00B02693">
        <w:rPr>
          <w:lang w:eastAsia="zh-CN"/>
        </w:rPr>
        <w:t>.</w:t>
      </w:r>
    </w:p>
    <w:p w14:paraId="45AADD72" w14:textId="77777777" w:rsidR="00196F32" w:rsidRPr="00B02693" w:rsidRDefault="00196F32" w:rsidP="009B5CA2">
      <w:bookmarkStart w:id="199" w:name="_Toc181174993"/>
    </w:p>
    <w:p w14:paraId="46FE4717" w14:textId="2664E05E" w:rsidR="00196F32" w:rsidRPr="00B02693" w:rsidRDefault="00196F32" w:rsidP="009B5CA2"/>
    <w:p w14:paraId="4AEB9B43" w14:textId="55F3BCDD" w:rsidR="00196F32" w:rsidRPr="00B02693" w:rsidRDefault="009B5CA2" w:rsidP="009B5CA2">
      <w:pPr>
        <w:pStyle w:val="AnnexNoTitle"/>
        <w:rPr>
          <w:rFonts w:eastAsia="Malgun Gothic"/>
        </w:rPr>
      </w:pPr>
      <w:bookmarkStart w:id="200" w:name="_Toc181174994"/>
      <w:bookmarkStart w:id="201" w:name="_Toc182391780"/>
      <w:bookmarkEnd w:id="199"/>
      <w:r w:rsidRPr="00B02693">
        <w:t>Annex 3</w:t>
      </w:r>
      <w:r>
        <w:br/>
      </w:r>
      <w:r>
        <w:br/>
      </w:r>
      <w:r w:rsidR="00196F32" w:rsidRPr="00B02693">
        <w:t>Detailed compliance template summaries</w:t>
      </w:r>
      <w:bookmarkEnd w:id="195"/>
      <w:bookmarkEnd w:id="196"/>
      <w:bookmarkEnd w:id="197"/>
      <w:r w:rsidR="00196F32" w:rsidRPr="00B02693">
        <w:rPr>
          <w:rStyle w:val="FootnoteReference"/>
        </w:rPr>
        <w:footnoteReference w:id="6"/>
      </w:r>
      <w:bookmarkEnd w:id="200"/>
      <w:bookmarkEnd w:id="201"/>
    </w:p>
    <w:p w14:paraId="4BB02504" w14:textId="7C0825E8" w:rsidR="00196F32" w:rsidRPr="00B02693" w:rsidRDefault="00196F32" w:rsidP="00A1726F">
      <w:pPr>
        <w:pStyle w:val="Heading1"/>
      </w:pPr>
      <w:bookmarkStart w:id="202" w:name="_Toc181174807"/>
      <w:bookmarkStart w:id="203" w:name="_Toc181174995"/>
      <w:bookmarkStart w:id="204" w:name="_Toc182391781"/>
      <w:r w:rsidRPr="00B02693">
        <w:t>A</w:t>
      </w:r>
      <w:r w:rsidRPr="00B02693">
        <w:tab/>
        <w:t>Candidate submission from 3GPP Proponent (Doc. IMT-2020-SAT/3)</w:t>
      </w:r>
      <w:bookmarkEnd w:id="202"/>
      <w:bookmarkEnd w:id="203"/>
      <w:bookmarkEnd w:id="204"/>
    </w:p>
    <w:p w14:paraId="3F88F5D3" w14:textId="2FA28F85" w:rsidR="00196F32" w:rsidRPr="00A1726F" w:rsidRDefault="00196F32" w:rsidP="00A1726F">
      <w:pPr>
        <w:pStyle w:val="TableNo"/>
      </w:pPr>
      <w:r w:rsidRPr="00B02693">
        <w:rPr>
          <w:lang w:eastAsia="zh-CN"/>
        </w:rPr>
        <w:t>TABLE A.1</w:t>
      </w:r>
    </w:p>
    <w:p w14:paraId="044B84A9" w14:textId="77777777" w:rsidR="00196F32" w:rsidRPr="00B02693" w:rsidRDefault="00196F32" w:rsidP="00196F32">
      <w:pPr>
        <w:pStyle w:val="Tabletitle"/>
        <w:rPr>
          <w:szCs w:val="24"/>
          <w:lang w:eastAsia="zh-CN"/>
        </w:rPr>
      </w:pPr>
      <w:r w:rsidRPr="00B02693">
        <w:rPr>
          <w:szCs w:val="24"/>
          <w:lang w:eastAsia="zh-CN"/>
        </w:rPr>
        <w:t>Compliance template for services</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5103"/>
        <w:gridCol w:w="3118"/>
      </w:tblGrid>
      <w:tr w:rsidR="00196F32" w:rsidRPr="009A5111" w14:paraId="1A318A8C" w14:textId="77777777" w:rsidTr="00EE08AF">
        <w:trPr>
          <w:jc w:val="center"/>
        </w:trPr>
        <w:tc>
          <w:tcPr>
            <w:tcW w:w="1555" w:type="dxa"/>
          </w:tcPr>
          <w:p w14:paraId="602CF52D" w14:textId="77777777" w:rsidR="00196F32" w:rsidRPr="009A5111" w:rsidRDefault="00196F32" w:rsidP="00EE08AF">
            <w:pPr>
              <w:pStyle w:val="Tablehead"/>
              <w:rPr>
                <w:sz w:val="20"/>
              </w:rPr>
            </w:pPr>
          </w:p>
        </w:tc>
        <w:tc>
          <w:tcPr>
            <w:tcW w:w="5103" w:type="dxa"/>
          </w:tcPr>
          <w:p w14:paraId="37C69883" w14:textId="77777777" w:rsidR="00196F32" w:rsidRPr="009A5111" w:rsidRDefault="00196F32" w:rsidP="00EE08AF">
            <w:pPr>
              <w:pStyle w:val="Tablehead"/>
              <w:rPr>
                <w:sz w:val="20"/>
              </w:rPr>
            </w:pPr>
            <w:r w:rsidRPr="009A5111">
              <w:rPr>
                <w:sz w:val="20"/>
              </w:rPr>
              <w:t>Service-related minimum capabilities within</w:t>
            </w:r>
            <w:r w:rsidRPr="009A5111">
              <w:rPr>
                <w:sz w:val="20"/>
              </w:rPr>
              <w:br/>
              <w:t>the satellite radio interface(s)</w:t>
            </w:r>
          </w:p>
        </w:tc>
        <w:tc>
          <w:tcPr>
            <w:tcW w:w="3118" w:type="dxa"/>
          </w:tcPr>
          <w:p w14:paraId="58D5B946" w14:textId="77777777" w:rsidR="00196F32" w:rsidRPr="009A5111" w:rsidRDefault="00196F32" w:rsidP="00EE08AF">
            <w:pPr>
              <w:pStyle w:val="Tablehead"/>
              <w:rPr>
                <w:sz w:val="20"/>
              </w:rPr>
            </w:pPr>
            <w:r w:rsidRPr="009A5111">
              <w:rPr>
                <w:rFonts w:eastAsia="SimSun"/>
                <w:sz w:val="20"/>
              </w:rPr>
              <w:t>ITU-R confirmation that the requirement is met by the candidate technology proposal</w:t>
            </w:r>
          </w:p>
        </w:tc>
      </w:tr>
      <w:tr w:rsidR="00196F32" w:rsidRPr="009A5111" w14:paraId="503627E9" w14:textId="77777777" w:rsidTr="00EE08AF">
        <w:trPr>
          <w:jc w:val="center"/>
        </w:trPr>
        <w:tc>
          <w:tcPr>
            <w:tcW w:w="1555" w:type="dxa"/>
          </w:tcPr>
          <w:p w14:paraId="799CE7B6" w14:textId="77777777" w:rsidR="00196F32" w:rsidRPr="009A5111" w:rsidRDefault="00196F32" w:rsidP="00EE08AF">
            <w:pPr>
              <w:pStyle w:val="Tabletext"/>
              <w:jc w:val="center"/>
              <w:rPr>
                <w:b/>
                <w:sz w:val="20"/>
                <w:lang w:eastAsia="ko-KR"/>
              </w:rPr>
            </w:pPr>
            <w:r w:rsidRPr="009A5111">
              <w:rPr>
                <w:b/>
                <w:sz w:val="20"/>
                <w:lang w:eastAsia="ko-KR"/>
              </w:rPr>
              <w:t>8.2.6.1</w:t>
            </w:r>
          </w:p>
        </w:tc>
        <w:tc>
          <w:tcPr>
            <w:tcW w:w="5103" w:type="dxa"/>
          </w:tcPr>
          <w:p w14:paraId="13721C91" w14:textId="77777777" w:rsidR="00196F32" w:rsidRPr="009A5111" w:rsidRDefault="00196F32" w:rsidP="00EE08AF">
            <w:pPr>
              <w:pStyle w:val="Tabletext"/>
              <w:rPr>
                <w:b/>
                <w:sz w:val="20"/>
                <w:lang w:eastAsia="ko-KR"/>
              </w:rPr>
            </w:pPr>
            <w:r w:rsidRPr="009A5111">
              <w:rPr>
                <w:b/>
                <w:sz w:val="20"/>
                <w:lang w:eastAsia="ko-KR"/>
              </w:rPr>
              <w:t>Support of a wide range of services</w:t>
            </w:r>
          </w:p>
          <w:p w14:paraId="1BBEAC70" w14:textId="77777777" w:rsidR="00196F32" w:rsidRPr="009A5111" w:rsidRDefault="00196F32" w:rsidP="00EE08AF">
            <w:pPr>
              <w:pStyle w:val="Tabletext"/>
              <w:rPr>
                <w:sz w:val="20"/>
                <w:lang w:eastAsia="ko-KR"/>
              </w:rPr>
            </w:pPr>
            <w:r w:rsidRPr="009A5111">
              <w:rPr>
                <w:sz w:val="20"/>
                <w:lang w:eastAsia="ko-KR"/>
              </w:rPr>
              <w:t>Does the proposal support a wide range of services?</w:t>
            </w:r>
          </w:p>
          <w:p w14:paraId="7CE9FC48" w14:textId="77777777" w:rsidR="00196F32" w:rsidRPr="009A5111" w:rsidRDefault="00196F32" w:rsidP="00EE08AF">
            <w:pPr>
              <w:pStyle w:val="Tabletext"/>
              <w:rPr>
                <w:sz w:val="20"/>
                <w:lang w:eastAsia="ko-KR"/>
              </w:rPr>
            </w:pPr>
            <w:r w:rsidRPr="009A5111">
              <w:rPr>
                <w:sz w:val="20"/>
                <w:lang w:eastAsia="ko-KR"/>
              </w:rPr>
              <w:t>Yes/No</w:t>
            </w:r>
          </w:p>
        </w:tc>
        <w:tc>
          <w:tcPr>
            <w:tcW w:w="3118" w:type="dxa"/>
          </w:tcPr>
          <w:p w14:paraId="37804DD1" w14:textId="77777777" w:rsidR="00196F32" w:rsidRPr="009A5111" w:rsidRDefault="00196F32" w:rsidP="00EE08AF">
            <w:pPr>
              <w:jc w:val="center"/>
              <w:rPr>
                <w:sz w:val="20"/>
                <w:lang w:eastAsia="ko-KR"/>
              </w:rPr>
            </w:pPr>
            <w:r w:rsidRPr="009A5111">
              <w:rPr>
                <w:sz w:val="20"/>
                <w:lang w:eastAsia="ko-KR"/>
              </w:rPr>
              <w:t>Yes</w:t>
            </w:r>
          </w:p>
        </w:tc>
      </w:tr>
    </w:tbl>
    <w:p w14:paraId="48A5FF71" w14:textId="77777777" w:rsidR="00196F32" w:rsidRPr="00B02693" w:rsidRDefault="00196F32" w:rsidP="00196F32">
      <w:pPr>
        <w:pStyle w:val="Tablefin"/>
      </w:pPr>
    </w:p>
    <w:p w14:paraId="23457E2D" w14:textId="77777777" w:rsidR="00196F32" w:rsidRPr="00B02693" w:rsidRDefault="00196F32" w:rsidP="00196F32">
      <w:pPr>
        <w:pStyle w:val="TableNo"/>
        <w:rPr>
          <w:szCs w:val="24"/>
          <w:lang w:eastAsia="zh-CN"/>
        </w:rPr>
      </w:pPr>
      <w:r w:rsidRPr="00B02693">
        <w:rPr>
          <w:szCs w:val="24"/>
          <w:lang w:eastAsia="zh-CN"/>
        </w:rPr>
        <w:lastRenderedPageBreak/>
        <w:t xml:space="preserve">TABLE A.2 </w:t>
      </w:r>
    </w:p>
    <w:p w14:paraId="3C063BF2" w14:textId="77777777" w:rsidR="00196F32" w:rsidRPr="00B02693" w:rsidRDefault="00196F32" w:rsidP="00196F32">
      <w:pPr>
        <w:pStyle w:val="Tabletitle"/>
        <w:rPr>
          <w:szCs w:val="24"/>
          <w:lang w:eastAsia="zh-CN"/>
        </w:rPr>
      </w:pPr>
      <w:r w:rsidRPr="00B02693">
        <w:rPr>
          <w:szCs w:val="24"/>
          <w:lang w:eastAsia="zh-CN"/>
        </w:rPr>
        <w:t>Compliance template for spectrum</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5"/>
        <w:gridCol w:w="5103"/>
        <w:gridCol w:w="3118"/>
      </w:tblGrid>
      <w:tr w:rsidR="00196F32" w:rsidRPr="009A5111" w14:paraId="3A4C0C41" w14:textId="77777777" w:rsidTr="00EE08AF">
        <w:trPr>
          <w:jc w:val="center"/>
        </w:trPr>
        <w:tc>
          <w:tcPr>
            <w:tcW w:w="1555" w:type="dxa"/>
          </w:tcPr>
          <w:p w14:paraId="56368436" w14:textId="77777777" w:rsidR="00196F32" w:rsidRPr="009A5111" w:rsidRDefault="00196F32" w:rsidP="00EE08AF">
            <w:pPr>
              <w:pStyle w:val="Tablehead"/>
              <w:rPr>
                <w:sz w:val="20"/>
              </w:rPr>
            </w:pPr>
          </w:p>
        </w:tc>
        <w:tc>
          <w:tcPr>
            <w:tcW w:w="5103" w:type="dxa"/>
          </w:tcPr>
          <w:p w14:paraId="047AE888" w14:textId="77777777" w:rsidR="00196F32" w:rsidRPr="009A5111" w:rsidRDefault="00196F32" w:rsidP="00EE08AF">
            <w:pPr>
              <w:pStyle w:val="Tablehead"/>
              <w:rPr>
                <w:sz w:val="20"/>
              </w:rPr>
            </w:pPr>
            <w:r w:rsidRPr="009A5111">
              <w:rPr>
                <w:sz w:val="20"/>
                <w:lang w:eastAsia="ko-KR"/>
              </w:rPr>
              <w:t>Spectrum capability requirements</w:t>
            </w:r>
          </w:p>
        </w:tc>
        <w:tc>
          <w:tcPr>
            <w:tcW w:w="3118" w:type="dxa"/>
          </w:tcPr>
          <w:p w14:paraId="7A3765DF" w14:textId="77777777" w:rsidR="00196F32" w:rsidRPr="009A5111" w:rsidRDefault="00196F32" w:rsidP="00EE08AF">
            <w:pPr>
              <w:pStyle w:val="Tablehead"/>
              <w:rPr>
                <w:sz w:val="20"/>
              </w:rPr>
            </w:pPr>
            <w:r w:rsidRPr="009A5111">
              <w:rPr>
                <w:rFonts w:eastAsia="SimSun"/>
                <w:sz w:val="20"/>
              </w:rPr>
              <w:t>ITU-R confirmation that the requirement is met by the candidate technology proposal</w:t>
            </w:r>
          </w:p>
        </w:tc>
      </w:tr>
      <w:tr w:rsidR="00196F32" w:rsidRPr="009A5111" w14:paraId="0B82169C" w14:textId="77777777" w:rsidTr="00EE08AF">
        <w:trPr>
          <w:jc w:val="center"/>
        </w:trPr>
        <w:tc>
          <w:tcPr>
            <w:tcW w:w="1555" w:type="dxa"/>
          </w:tcPr>
          <w:p w14:paraId="127EF75A" w14:textId="77777777" w:rsidR="00196F32" w:rsidRPr="009A5111" w:rsidRDefault="00196F32" w:rsidP="00EE08AF">
            <w:pPr>
              <w:pStyle w:val="Tabletext"/>
              <w:jc w:val="center"/>
              <w:rPr>
                <w:b/>
                <w:sz w:val="20"/>
                <w:lang w:eastAsia="ko-KR"/>
              </w:rPr>
            </w:pPr>
            <w:r w:rsidRPr="009A5111">
              <w:rPr>
                <w:b/>
                <w:sz w:val="20"/>
                <w:lang w:eastAsia="ko-KR"/>
              </w:rPr>
              <w:t>8.2.6.2</w:t>
            </w:r>
          </w:p>
        </w:tc>
        <w:tc>
          <w:tcPr>
            <w:tcW w:w="5103" w:type="dxa"/>
          </w:tcPr>
          <w:p w14:paraId="2BE3F417" w14:textId="77777777" w:rsidR="00196F32" w:rsidRPr="009A5111" w:rsidRDefault="00196F32" w:rsidP="00EE08AF">
            <w:pPr>
              <w:pStyle w:val="Tabletext"/>
              <w:rPr>
                <w:b/>
                <w:sz w:val="20"/>
                <w:lang w:eastAsia="ko-KR"/>
              </w:rPr>
            </w:pPr>
            <w:r w:rsidRPr="009A5111">
              <w:rPr>
                <w:b/>
                <w:sz w:val="20"/>
                <w:lang w:eastAsia="ko-KR"/>
              </w:rPr>
              <w:t>Spectrum bands</w:t>
            </w:r>
          </w:p>
          <w:p w14:paraId="6317D944" w14:textId="77777777" w:rsidR="00196F32" w:rsidRPr="009A5111" w:rsidRDefault="00196F32" w:rsidP="00EE08AF">
            <w:pPr>
              <w:pStyle w:val="Tabletext"/>
              <w:rPr>
                <w:sz w:val="20"/>
                <w:lang w:eastAsia="ko-KR"/>
              </w:rPr>
            </w:pPr>
            <w:r w:rsidRPr="009A5111">
              <w:rPr>
                <w:sz w:val="20"/>
                <w:lang w:eastAsia="ko-KR"/>
              </w:rPr>
              <w:t>Is the proposal able to utilize at least one band identified for IMT?</w:t>
            </w:r>
          </w:p>
          <w:p w14:paraId="24F6E769" w14:textId="77777777" w:rsidR="00196F32" w:rsidRPr="009A5111" w:rsidRDefault="00196F32" w:rsidP="00EE08AF">
            <w:pPr>
              <w:pStyle w:val="Tabletext"/>
              <w:rPr>
                <w:sz w:val="20"/>
                <w:lang w:eastAsia="ko-KR"/>
              </w:rPr>
            </w:pPr>
            <w:r w:rsidRPr="009A5111">
              <w:rPr>
                <w:sz w:val="20"/>
                <w:lang w:eastAsia="ko-KR"/>
              </w:rPr>
              <w:t>Yes/No</w:t>
            </w:r>
          </w:p>
          <w:p w14:paraId="2F187B97" w14:textId="77777777" w:rsidR="00196F32" w:rsidRPr="009A5111" w:rsidRDefault="00196F32" w:rsidP="00EE08AF">
            <w:pPr>
              <w:pStyle w:val="Tabletext"/>
              <w:rPr>
                <w:sz w:val="20"/>
                <w:lang w:eastAsia="ko-KR"/>
              </w:rPr>
            </w:pPr>
            <w:r w:rsidRPr="009A5111">
              <w:rPr>
                <w:sz w:val="20"/>
                <w:lang w:eastAsia="ko-KR"/>
              </w:rPr>
              <w:t>Specify in which band(s) the candidate satellite radio interface(s) can be deployed</w:t>
            </w:r>
          </w:p>
        </w:tc>
        <w:tc>
          <w:tcPr>
            <w:tcW w:w="3118" w:type="dxa"/>
          </w:tcPr>
          <w:p w14:paraId="594A1E87" w14:textId="77777777" w:rsidR="00196F32" w:rsidRPr="009A5111" w:rsidRDefault="00196F32" w:rsidP="00EE08AF">
            <w:pPr>
              <w:jc w:val="center"/>
              <w:rPr>
                <w:sz w:val="20"/>
                <w:lang w:eastAsia="ko-KR"/>
              </w:rPr>
            </w:pPr>
            <w:r w:rsidRPr="009A5111">
              <w:rPr>
                <w:sz w:val="20"/>
                <w:lang w:eastAsia="ko-KR"/>
              </w:rPr>
              <w:t>Yes</w:t>
            </w:r>
          </w:p>
        </w:tc>
      </w:tr>
    </w:tbl>
    <w:p w14:paraId="18AA11ED" w14:textId="77777777" w:rsidR="00196F32" w:rsidRPr="00B02693" w:rsidRDefault="00196F32" w:rsidP="00196F32">
      <w:pPr>
        <w:pStyle w:val="Tablefin"/>
      </w:pPr>
    </w:p>
    <w:p w14:paraId="4F7E6DDD" w14:textId="77777777" w:rsidR="00196F32" w:rsidRPr="00B02693" w:rsidRDefault="00196F32" w:rsidP="00196F32">
      <w:pPr>
        <w:pStyle w:val="TableNo"/>
        <w:rPr>
          <w:szCs w:val="24"/>
          <w:lang w:eastAsia="zh-CN"/>
        </w:rPr>
      </w:pPr>
      <w:r w:rsidRPr="00B02693">
        <w:rPr>
          <w:szCs w:val="24"/>
          <w:lang w:eastAsia="zh-CN"/>
        </w:rPr>
        <w:lastRenderedPageBreak/>
        <w:t>TABLE A.3</w:t>
      </w:r>
    </w:p>
    <w:p w14:paraId="40499D0A" w14:textId="77777777" w:rsidR="00196F32" w:rsidRPr="00B02693" w:rsidRDefault="00196F32" w:rsidP="00196F32">
      <w:pPr>
        <w:pStyle w:val="Tabletitle"/>
        <w:rPr>
          <w:szCs w:val="24"/>
          <w:lang w:eastAsia="zh-CN"/>
        </w:rPr>
      </w:pPr>
      <w:r w:rsidRPr="00B02693">
        <w:rPr>
          <w:szCs w:val="24"/>
          <w:lang w:eastAsia="zh-CN"/>
        </w:rPr>
        <w:t>Compliance template for technical performance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9"/>
        <w:gridCol w:w="1237"/>
        <w:gridCol w:w="1305"/>
        <w:gridCol w:w="1276"/>
        <w:gridCol w:w="1418"/>
        <w:gridCol w:w="2404"/>
      </w:tblGrid>
      <w:tr w:rsidR="00196F32" w:rsidRPr="0036678D" w14:paraId="234E5DC1" w14:textId="77777777" w:rsidTr="009A5111">
        <w:trPr>
          <w:cantSplit/>
          <w:trHeight w:val="243"/>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31A55BB" w14:textId="77777777" w:rsidR="00196F32" w:rsidRPr="0036678D" w:rsidRDefault="00196F32" w:rsidP="00EE08AF">
            <w:pPr>
              <w:pStyle w:val="Tablehead"/>
              <w:keepLines/>
              <w:rPr>
                <w:sz w:val="20"/>
                <w:szCs w:val="18"/>
              </w:rPr>
            </w:pPr>
            <w:r w:rsidRPr="0036678D">
              <w:rPr>
                <w:sz w:val="20"/>
                <w:szCs w:val="18"/>
              </w:rPr>
              <w:t>Minimum technical requirements items (8.2.6.3), and Report ITU-R M.2514-0 section reference</w:t>
            </w:r>
          </w:p>
        </w:tc>
        <w:tc>
          <w:tcPr>
            <w:tcW w:w="3788" w:type="dxa"/>
            <w:gridSpan w:val="3"/>
            <w:tcBorders>
              <w:top w:val="single" w:sz="4" w:space="0" w:color="auto"/>
              <w:left w:val="single" w:sz="4" w:space="0" w:color="auto"/>
              <w:bottom w:val="single" w:sz="4" w:space="0" w:color="auto"/>
              <w:right w:val="single" w:sz="4" w:space="0" w:color="auto"/>
            </w:tcBorders>
            <w:vAlign w:val="center"/>
          </w:tcPr>
          <w:p w14:paraId="0457E39E" w14:textId="77777777" w:rsidR="00196F32" w:rsidRPr="0036678D" w:rsidRDefault="00196F32" w:rsidP="00EE08AF">
            <w:pPr>
              <w:pStyle w:val="Tablehead"/>
              <w:keepLines/>
              <w:rPr>
                <w:sz w:val="20"/>
                <w:szCs w:val="18"/>
              </w:rPr>
            </w:pPr>
            <w:r w:rsidRPr="0036678D">
              <w:rPr>
                <w:sz w:val="20"/>
                <w:szCs w:val="18"/>
              </w:rPr>
              <w:t>Category</w:t>
            </w:r>
          </w:p>
        </w:tc>
        <w:tc>
          <w:tcPr>
            <w:tcW w:w="1418" w:type="dxa"/>
            <w:vMerge w:val="restart"/>
            <w:tcBorders>
              <w:left w:val="single" w:sz="4" w:space="0" w:color="auto"/>
            </w:tcBorders>
            <w:vAlign w:val="center"/>
          </w:tcPr>
          <w:p w14:paraId="3AC3E177" w14:textId="77777777" w:rsidR="00196F32" w:rsidRPr="0036678D" w:rsidRDefault="00196F32" w:rsidP="00EE08AF">
            <w:pPr>
              <w:pStyle w:val="Tablehead"/>
              <w:keepLines/>
              <w:rPr>
                <w:sz w:val="20"/>
                <w:szCs w:val="18"/>
              </w:rPr>
            </w:pPr>
            <w:r w:rsidRPr="0036678D">
              <w:rPr>
                <w:sz w:val="20"/>
                <w:szCs w:val="18"/>
              </w:rPr>
              <w:t>Required value</w:t>
            </w:r>
          </w:p>
        </w:tc>
        <w:tc>
          <w:tcPr>
            <w:tcW w:w="2404" w:type="dxa"/>
            <w:vMerge w:val="restart"/>
            <w:tcMar>
              <w:left w:w="28" w:type="dxa"/>
              <w:right w:w="28" w:type="dxa"/>
            </w:tcMar>
            <w:vAlign w:val="center"/>
          </w:tcPr>
          <w:p w14:paraId="07AD6D7F" w14:textId="77777777" w:rsidR="00196F32" w:rsidRPr="0036678D" w:rsidRDefault="00196F32" w:rsidP="00EE08AF">
            <w:pPr>
              <w:pStyle w:val="Tablehead"/>
              <w:keepLines/>
              <w:rPr>
                <w:sz w:val="20"/>
                <w:szCs w:val="18"/>
              </w:rPr>
            </w:pPr>
            <w:r w:rsidRPr="0036678D">
              <w:rPr>
                <w:rFonts w:eastAsia="SimSun"/>
                <w:sz w:val="20"/>
                <w:szCs w:val="18"/>
              </w:rPr>
              <w:t>ITU-R confirmation that the requirement is met by the candidate technology proposal</w:t>
            </w:r>
          </w:p>
        </w:tc>
      </w:tr>
      <w:tr w:rsidR="00196F32" w:rsidRPr="0036678D" w14:paraId="2471F9FB" w14:textId="77777777" w:rsidTr="009A5111">
        <w:trPr>
          <w:cantSplit/>
          <w:trHeight w:val="395"/>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6F8CEF" w14:textId="77777777" w:rsidR="00196F32" w:rsidRPr="0036678D" w:rsidRDefault="00196F32" w:rsidP="00EE08AF">
            <w:pPr>
              <w:pStyle w:val="Tablehead"/>
              <w:keepLines/>
              <w:jc w:val="left"/>
              <w:rPr>
                <w:sz w:val="20"/>
                <w:szCs w:val="18"/>
                <w:lang w:eastAsia="ko-KR"/>
              </w:rPr>
            </w:pPr>
          </w:p>
        </w:tc>
        <w:tc>
          <w:tcPr>
            <w:tcW w:w="1237" w:type="dxa"/>
            <w:tcBorders>
              <w:top w:val="single" w:sz="4" w:space="0" w:color="auto"/>
              <w:left w:val="single" w:sz="4" w:space="0" w:color="auto"/>
              <w:bottom w:val="single" w:sz="4" w:space="0" w:color="auto"/>
              <w:right w:val="single" w:sz="4" w:space="0" w:color="auto"/>
            </w:tcBorders>
            <w:vAlign w:val="center"/>
          </w:tcPr>
          <w:p w14:paraId="227E5BCE" w14:textId="77777777" w:rsidR="00196F32" w:rsidRPr="0036678D" w:rsidRDefault="00196F32" w:rsidP="00EE08AF">
            <w:pPr>
              <w:pStyle w:val="Tablehead"/>
              <w:keepLines/>
              <w:rPr>
                <w:sz w:val="20"/>
                <w:szCs w:val="18"/>
              </w:rPr>
            </w:pPr>
            <w:r w:rsidRPr="0036678D">
              <w:rPr>
                <w:sz w:val="20"/>
                <w:szCs w:val="18"/>
              </w:rPr>
              <w:t>Usage scenario</w:t>
            </w:r>
          </w:p>
        </w:tc>
        <w:tc>
          <w:tcPr>
            <w:tcW w:w="1275" w:type="dxa"/>
            <w:tcBorders>
              <w:top w:val="single" w:sz="4" w:space="0" w:color="auto"/>
              <w:left w:val="single" w:sz="4" w:space="0" w:color="auto"/>
              <w:bottom w:val="single" w:sz="4" w:space="0" w:color="auto"/>
              <w:right w:val="single" w:sz="4" w:space="0" w:color="auto"/>
            </w:tcBorders>
            <w:vAlign w:val="center"/>
          </w:tcPr>
          <w:p w14:paraId="6494C367" w14:textId="77777777" w:rsidR="00196F32" w:rsidRPr="0036678D" w:rsidRDefault="00196F32" w:rsidP="00EE08AF">
            <w:pPr>
              <w:pStyle w:val="Tablehead"/>
              <w:keepLines/>
              <w:rPr>
                <w:sz w:val="20"/>
                <w:szCs w:val="18"/>
              </w:rPr>
            </w:pPr>
            <w:r w:rsidRPr="0036678D">
              <w:rPr>
                <w:sz w:val="20"/>
                <w:szCs w:val="18"/>
              </w:rPr>
              <w:t>Test environment</w:t>
            </w:r>
          </w:p>
        </w:tc>
        <w:tc>
          <w:tcPr>
            <w:tcW w:w="1276" w:type="dxa"/>
            <w:tcBorders>
              <w:top w:val="single" w:sz="4" w:space="0" w:color="auto"/>
              <w:left w:val="single" w:sz="4" w:space="0" w:color="auto"/>
              <w:bottom w:val="single" w:sz="4" w:space="0" w:color="auto"/>
              <w:right w:val="single" w:sz="4" w:space="0" w:color="auto"/>
            </w:tcBorders>
            <w:vAlign w:val="center"/>
          </w:tcPr>
          <w:p w14:paraId="3A1930E4" w14:textId="77777777" w:rsidR="00196F32" w:rsidRPr="0036678D" w:rsidRDefault="00196F32" w:rsidP="00EE08AF">
            <w:pPr>
              <w:pStyle w:val="Tablehead"/>
              <w:keepLines/>
              <w:rPr>
                <w:sz w:val="20"/>
                <w:szCs w:val="18"/>
              </w:rPr>
            </w:pPr>
            <w:r w:rsidRPr="0036678D">
              <w:rPr>
                <w:sz w:val="20"/>
                <w:szCs w:val="18"/>
              </w:rPr>
              <w:t>Downlink or uplink</w:t>
            </w:r>
          </w:p>
        </w:tc>
        <w:tc>
          <w:tcPr>
            <w:tcW w:w="1418" w:type="dxa"/>
            <w:vMerge/>
            <w:tcBorders>
              <w:left w:val="single" w:sz="4" w:space="0" w:color="auto"/>
            </w:tcBorders>
            <w:vAlign w:val="center"/>
          </w:tcPr>
          <w:p w14:paraId="737578EF" w14:textId="77777777" w:rsidR="00196F32" w:rsidRPr="0036678D" w:rsidRDefault="00196F32" w:rsidP="00EE08AF">
            <w:pPr>
              <w:pStyle w:val="Tablehead"/>
              <w:keepLines/>
              <w:rPr>
                <w:sz w:val="20"/>
                <w:szCs w:val="18"/>
                <w:lang w:eastAsia="ko-KR"/>
              </w:rPr>
            </w:pPr>
          </w:p>
        </w:tc>
        <w:tc>
          <w:tcPr>
            <w:tcW w:w="2404" w:type="dxa"/>
            <w:vMerge/>
            <w:vAlign w:val="center"/>
          </w:tcPr>
          <w:p w14:paraId="7CAD6E6B" w14:textId="77777777" w:rsidR="00196F32" w:rsidRPr="0036678D" w:rsidRDefault="00196F32" w:rsidP="00EE08AF">
            <w:pPr>
              <w:pStyle w:val="Tablehead"/>
              <w:keepLines/>
              <w:rPr>
                <w:sz w:val="20"/>
                <w:szCs w:val="18"/>
                <w:lang w:eastAsia="ko-KR"/>
              </w:rPr>
            </w:pPr>
          </w:p>
        </w:tc>
      </w:tr>
      <w:tr w:rsidR="00196F32" w:rsidRPr="0036678D" w14:paraId="4F2E00FA" w14:textId="77777777" w:rsidTr="009A5111">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14:paraId="0022991A" w14:textId="5F3CF537" w:rsidR="00196F32" w:rsidRPr="0036678D" w:rsidRDefault="00196F32" w:rsidP="009A5111">
            <w:pPr>
              <w:pStyle w:val="Tabletext"/>
              <w:jc w:val="left"/>
              <w:rPr>
                <w:sz w:val="20"/>
                <w:szCs w:val="18"/>
                <w:lang w:eastAsia="ko-KR"/>
              </w:rPr>
            </w:pPr>
            <w:r w:rsidRPr="0036678D">
              <w:rPr>
                <w:sz w:val="20"/>
                <w:szCs w:val="18"/>
                <w:lang w:eastAsia="ko-KR"/>
              </w:rPr>
              <w:t>Peak data rate</w:t>
            </w:r>
            <w:r w:rsidR="009A5111">
              <w:rPr>
                <w:sz w:val="20"/>
                <w:szCs w:val="18"/>
                <w:lang w:eastAsia="ko-KR"/>
              </w:rPr>
              <w:br/>
            </w:r>
            <w:r w:rsidRPr="0036678D">
              <w:rPr>
                <w:sz w:val="20"/>
                <w:szCs w:val="18"/>
                <w:lang w:eastAsia="ko-KR"/>
              </w:rPr>
              <w:t>(7.2.1)</w:t>
            </w:r>
          </w:p>
        </w:tc>
        <w:tc>
          <w:tcPr>
            <w:tcW w:w="1237" w:type="dxa"/>
            <w:vMerge w:val="restart"/>
            <w:tcBorders>
              <w:top w:val="single" w:sz="4" w:space="0" w:color="auto"/>
              <w:left w:val="single" w:sz="4" w:space="0" w:color="auto"/>
              <w:right w:val="single" w:sz="4" w:space="0" w:color="auto"/>
            </w:tcBorders>
            <w:vAlign w:val="center"/>
          </w:tcPr>
          <w:p w14:paraId="4A582B13"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33794D53"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4F982DB6"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1C1E80AD" w14:textId="77777777" w:rsidR="00196F32" w:rsidRPr="0036678D" w:rsidRDefault="00196F32" w:rsidP="00EE08AF">
            <w:pPr>
              <w:pStyle w:val="Tabletext"/>
              <w:jc w:val="center"/>
              <w:rPr>
                <w:sz w:val="20"/>
                <w:szCs w:val="18"/>
                <w:lang w:eastAsia="ko-KR"/>
              </w:rPr>
            </w:pPr>
            <w:r w:rsidRPr="0036678D">
              <w:rPr>
                <w:sz w:val="20"/>
                <w:szCs w:val="18"/>
                <w:lang w:eastAsia="ko-KR"/>
              </w:rPr>
              <w:t>2 Mbit/s</w:t>
            </w:r>
          </w:p>
        </w:tc>
        <w:tc>
          <w:tcPr>
            <w:tcW w:w="2404" w:type="dxa"/>
            <w:vAlign w:val="center"/>
          </w:tcPr>
          <w:p w14:paraId="593B335B"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6587216B" w14:textId="77777777" w:rsidTr="009A5111">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14:paraId="32E84545"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13B648BA"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5310C72F"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5B63815"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7A924794" w14:textId="77777777" w:rsidR="00196F32" w:rsidRPr="0036678D" w:rsidRDefault="00196F32" w:rsidP="00EE08AF">
            <w:pPr>
              <w:pStyle w:val="Tabletext"/>
              <w:jc w:val="center"/>
              <w:rPr>
                <w:sz w:val="20"/>
                <w:szCs w:val="18"/>
                <w:lang w:eastAsia="ko-KR"/>
              </w:rPr>
            </w:pPr>
            <w:r w:rsidRPr="0036678D">
              <w:rPr>
                <w:sz w:val="20"/>
                <w:szCs w:val="18"/>
                <w:lang w:eastAsia="ko-KR"/>
              </w:rPr>
              <w:t>70 Mbit/s</w:t>
            </w:r>
          </w:p>
        </w:tc>
        <w:tc>
          <w:tcPr>
            <w:tcW w:w="2404" w:type="dxa"/>
            <w:vAlign w:val="center"/>
          </w:tcPr>
          <w:p w14:paraId="58D103AE"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7D270937" w14:textId="77777777" w:rsidTr="009A5111">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14:paraId="5D597938" w14:textId="4C390FD7" w:rsidR="00196F32" w:rsidRPr="0036678D" w:rsidRDefault="00196F32" w:rsidP="009A5111">
            <w:pPr>
              <w:pStyle w:val="Tabletext"/>
              <w:jc w:val="left"/>
              <w:rPr>
                <w:sz w:val="20"/>
                <w:szCs w:val="18"/>
                <w:lang w:eastAsia="ko-KR"/>
              </w:rPr>
            </w:pPr>
            <w:r w:rsidRPr="0036678D">
              <w:rPr>
                <w:sz w:val="20"/>
                <w:szCs w:val="18"/>
                <w:lang w:eastAsia="ko-KR"/>
              </w:rPr>
              <w:t>Peak spectral efficiency</w:t>
            </w:r>
            <w:r w:rsidR="009A5111">
              <w:rPr>
                <w:sz w:val="20"/>
                <w:szCs w:val="18"/>
                <w:lang w:eastAsia="ko-KR"/>
              </w:rPr>
              <w:br/>
            </w:r>
            <w:r w:rsidRPr="0036678D">
              <w:rPr>
                <w:sz w:val="20"/>
                <w:szCs w:val="18"/>
                <w:lang w:eastAsia="ko-KR"/>
              </w:rPr>
              <w:t>(7.2.2)</w:t>
            </w:r>
          </w:p>
        </w:tc>
        <w:tc>
          <w:tcPr>
            <w:tcW w:w="1237" w:type="dxa"/>
            <w:vMerge w:val="restart"/>
            <w:tcBorders>
              <w:top w:val="single" w:sz="4" w:space="0" w:color="auto"/>
              <w:left w:val="single" w:sz="4" w:space="0" w:color="auto"/>
              <w:right w:val="single" w:sz="4" w:space="0" w:color="auto"/>
            </w:tcBorders>
            <w:vAlign w:val="center"/>
          </w:tcPr>
          <w:p w14:paraId="4C8C4757"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3C99A0F5"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6CC0B45D"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37D43A10" w14:textId="77777777" w:rsidR="00196F32" w:rsidRPr="0036678D" w:rsidRDefault="00196F32" w:rsidP="00EE08AF">
            <w:pPr>
              <w:pStyle w:val="Tabletext"/>
              <w:jc w:val="center"/>
              <w:rPr>
                <w:sz w:val="20"/>
                <w:szCs w:val="18"/>
                <w:lang w:eastAsia="ko-KR"/>
              </w:rPr>
            </w:pPr>
            <w:r w:rsidRPr="0036678D">
              <w:rPr>
                <w:sz w:val="20"/>
                <w:szCs w:val="18"/>
                <w:lang w:eastAsia="ko-KR"/>
              </w:rPr>
              <w:t>1.5 bit/s/Hz</w:t>
            </w:r>
          </w:p>
        </w:tc>
        <w:tc>
          <w:tcPr>
            <w:tcW w:w="2404" w:type="dxa"/>
            <w:vAlign w:val="center"/>
          </w:tcPr>
          <w:p w14:paraId="63C44F67"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493FC551" w14:textId="77777777" w:rsidTr="009A5111">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14:paraId="5D998B46"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6680E5DA"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79FECBD6"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DEC34F"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02F77D34" w14:textId="77777777" w:rsidR="00196F32" w:rsidRPr="0036678D" w:rsidRDefault="00196F32" w:rsidP="00EE08AF">
            <w:pPr>
              <w:pStyle w:val="Tabletext"/>
              <w:jc w:val="center"/>
              <w:rPr>
                <w:sz w:val="20"/>
                <w:szCs w:val="18"/>
                <w:lang w:eastAsia="ko-KR"/>
              </w:rPr>
            </w:pPr>
            <w:r w:rsidRPr="0036678D">
              <w:rPr>
                <w:sz w:val="20"/>
                <w:szCs w:val="18"/>
                <w:lang w:eastAsia="ko-KR"/>
              </w:rPr>
              <w:t>3 bit/s/Hz</w:t>
            </w:r>
          </w:p>
        </w:tc>
        <w:tc>
          <w:tcPr>
            <w:tcW w:w="2404" w:type="dxa"/>
            <w:vAlign w:val="center"/>
          </w:tcPr>
          <w:p w14:paraId="6B8ADCA6"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0BE044FD" w14:textId="77777777" w:rsidTr="009A5111">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14:paraId="3AF0DBBD" w14:textId="1294BAD0" w:rsidR="00196F32" w:rsidRPr="0036678D" w:rsidRDefault="00196F32" w:rsidP="009A5111">
            <w:pPr>
              <w:pStyle w:val="Tabletext"/>
              <w:jc w:val="left"/>
              <w:rPr>
                <w:sz w:val="20"/>
                <w:szCs w:val="18"/>
                <w:lang w:eastAsia="ko-KR"/>
              </w:rPr>
            </w:pPr>
            <w:r w:rsidRPr="0036678D">
              <w:rPr>
                <w:sz w:val="20"/>
                <w:szCs w:val="18"/>
                <w:lang w:eastAsia="ko-KR"/>
              </w:rPr>
              <w:t>User experienced data rate</w:t>
            </w:r>
            <w:r w:rsidR="009A5111">
              <w:rPr>
                <w:sz w:val="20"/>
                <w:szCs w:val="18"/>
                <w:lang w:eastAsia="ko-KR"/>
              </w:rPr>
              <w:br/>
            </w:r>
            <w:r w:rsidRPr="0036678D">
              <w:rPr>
                <w:sz w:val="20"/>
                <w:szCs w:val="18"/>
                <w:lang w:eastAsia="ko-KR"/>
              </w:rPr>
              <w:t>(7.2.3)</w:t>
            </w:r>
          </w:p>
        </w:tc>
        <w:tc>
          <w:tcPr>
            <w:tcW w:w="1237" w:type="dxa"/>
            <w:vMerge w:val="restart"/>
            <w:tcBorders>
              <w:top w:val="single" w:sz="4" w:space="0" w:color="auto"/>
              <w:left w:val="single" w:sz="4" w:space="0" w:color="auto"/>
              <w:right w:val="single" w:sz="4" w:space="0" w:color="auto"/>
            </w:tcBorders>
            <w:vAlign w:val="center"/>
          </w:tcPr>
          <w:p w14:paraId="452AB31B"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1225FDA9"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5680F09E"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2B9BCE64" w14:textId="77777777" w:rsidR="00196F32" w:rsidRPr="0036678D" w:rsidRDefault="00196F32" w:rsidP="00EE08AF">
            <w:pPr>
              <w:pStyle w:val="Tabletext"/>
              <w:jc w:val="center"/>
              <w:rPr>
                <w:sz w:val="20"/>
                <w:szCs w:val="18"/>
                <w:lang w:eastAsia="ko-KR"/>
              </w:rPr>
            </w:pPr>
            <w:r w:rsidRPr="0036678D">
              <w:rPr>
                <w:sz w:val="20"/>
                <w:szCs w:val="18"/>
                <w:lang w:eastAsia="ko-KR"/>
              </w:rPr>
              <w:t>100 kbit/s</w:t>
            </w:r>
          </w:p>
        </w:tc>
        <w:tc>
          <w:tcPr>
            <w:tcW w:w="2404" w:type="dxa"/>
            <w:vAlign w:val="center"/>
          </w:tcPr>
          <w:p w14:paraId="1349A8E0"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1C124CBD" w14:textId="77777777" w:rsidTr="009A5111">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14:paraId="35C34673"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1F726785"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02FA2692"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1A66CEE"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78ADC1A6" w14:textId="77777777" w:rsidR="00196F32" w:rsidRPr="0036678D" w:rsidRDefault="00196F32" w:rsidP="00EE08AF">
            <w:pPr>
              <w:pStyle w:val="Tabletext"/>
              <w:jc w:val="center"/>
              <w:rPr>
                <w:sz w:val="20"/>
                <w:szCs w:val="18"/>
                <w:lang w:eastAsia="ko-KR"/>
              </w:rPr>
            </w:pPr>
            <w:r w:rsidRPr="0036678D">
              <w:rPr>
                <w:sz w:val="20"/>
                <w:szCs w:val="18"/>
                <w:lang w:eastAsia="ko-KR"/>
              </w:rPr>
              <w:t>1 Mbit/s</w:t>
            </w:r>
          </w:p>
        </w:tc>
        <w:tc>
          <w:tcPr>
            <w:tcW w:w="2404" w:type="dxa"/>
            <w:vAlign w:val="center"/>
          </w:tcPr>
          <w:p w14:paraId="3CEAF052"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6003EF7B" w14:textId="77777777" w:rsidTr="009A5111">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14:paraId="50C70558" w14:textId="039C05F9" w:rsidR="00196F32" w:rsidRPr="0036678D" w:rsidRDefault="00196F32" w:rsidP="009A5111">
            <w:pPr>
              <w:pStyle w:val="Tabletext"/>
              <w:jc w:val="left"/>
              <w:rPr>
                <w:sz w:val="20"/>
                <w:szCs w:val="18"/>
                <w:lang w:eastAsia="ko-KR"/>
              </w:rPr>
            </w:pPr>
            <w:r w:rsidRPr="0036678D">
              <w:rPr>
                <w:sz w:val="20"/>
                <w:szCs w:val="18"/>
                <w:lang w:eastAsia="ko-KR"/>
              </w:rPr>
              <w:t>5</w:t>
            </w:r>
            <w:r w:rsidRPr="0036678D">
              <w:rPr>
                <w:sz w:val="20"/>
                <w:szCs w:val="18"/>
                <w:vertAlign w:val="superscript"/>
                <w:lang w:eastAsia="ko-KR"/>
              </w:rPr>
              <w:t>th</w:t>
            </w:r>
            <w:r w:rsidRPr="0036678D">
              <w:rPr>
                <w:sz w:val="20"/>
                <w:szCs w:val="18"/>
                <w:lang w:eastAsia="ko-KR"/>
              </w:rPr>
              <w:t xml:space="preserve"> percentile user spectral efficiency</w:t>
            </w:r>
            <w:r w:rsidR="009A5111">
              <w:rPr>
                <w:sz w:val="20"/>
                <w:szCs w:val="18"/>
                <w:lang w:eastAsia="ko-KR"/>
              </w:rPr>
              <w:br/>
            </w:r>
            <w:r w:rsidRPr="0036678D">
              <w:rPr>
                <w:sz w:val="20"/>
                <w:szCs w:val="18"/>
                <w:lang w:eastAsia="ko-KR"/>
              </w:rPr>
              <w:t>(7.2.4)</w:t>
            </w:r>
          </w:p>
        </w:tc>
        <w:tc>
          <w:tcPr>
            <w:tcW w:w="1237" w:type="dxa"/>
            <w:vMerge w:val="restart"/>
            <w:tcBorders>
              <w:top w:val="single" w:sz="4" w:space="0" w:color="auto"/>
              <w:left w:val="single" w:sz="4" w:space="0" w:color="auto"/>
              <w:right w:val="single" w:sz="4" w:space="0" w:color="auto"/>
            </w:tcBorders>
            <w:vAlign w:val="center"/>
          </w:tcPr>
          <w:p w14:paraId="7E24D316"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65C2F631"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036B91BE"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50C2D4A1" w14:textId="77777777" w:rsidR="00196F32" w:rsidRPr="0036678D" w:rsidRDefault="00196F32" w:rsidP="00EE08AF">
            <w:pPr>
              <w:pStyle w:val="Tabletext"/>
              <w:jc w:val="center"/>
              <w:rPr>
                <w:sz w:val="20"/>
                <w:szCs w:val="18"/>
                <w:lang w:eastAsia="ko-KR"/>
              </w:rPr>
            </w:pPr>
            <w:r w:rsidRPr="0036678D">
              <w:rPr>
                <w:sz w:val="20"/>
                <w:szCs w:val="18"/>
                <w:lang w:eastAsia="ko-KR"/>
              </w:rPr>
              <w:t>0.003 bit/s/Hz</w:t>
            </w:r>
          </w:p>
        </w:tc>
        <w:tc>
          <w:tcPr>
            <w:tcW w:w="2404" w:type="dxa"/>
            <w:vAlign w:val="center"/>
          </w:tcPr>
          <w:p w14:paraId="5D63FD94"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2C179D47" w14:textId="77777777" w:rsidTr="009A5111">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14:paraId="12071DEC"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3613B137"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2C825396"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CD7BB5"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4C0F9CE7" w14:textId="77777777" w:rsidR="00196F32" w:rsidRPr="0036678D" w:rsidRDefault="00196F32" w:rsidP="00EE08AF">
            <w:pPr>
              <w:pStyle w:val="Tabletext"/>
              <w:jc w:val="center"/>
              <w:rPr>
                <w:sz w:val="20"/>
                <w:szCs w:val="18"/>
                <w:lang w:eastAsia="ko-KR"/>
              </w:rPr>
            </w:pPr>
            <w:r w:rsidRPr="0036678D">
              <w:rPr>
                <w:sz w:val="20"/>
                <w:szCs w:val="18"/>
                <w:lang w:eastAsia="ko-KR"/>
              </w:rPr>
              <w:t>0.03 bit/s/Hz</w:t>
            </w:r>
          </w:p>
        </w:tc>
        <w:tc>
          <w:tcPr>
            <w:tcW w:w="2404" w:type="dxa"/>
            <w:vAlign w:val="center"/>
          </w:tcPr>
          <w:p w14:paraId="0E033512"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4B0D7C39" w14:textId="77777777" w:rsidTr="009A5111">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14:paraId="1AEEDD3B" w14:textId="79763BB5" w:rsidR="00196F32" w:rsidRPr="0036678D" w:rsidRDefault="00196F32" w:rsidP="009A5111">
            <w:pPr>
              <w:pStyle w:val="Tabletext"/>
              <w:jc w:val="left"/>
              <w:rPr>
                <w:sz w:val="20"/>
                <w:szCs w:val="18"/>
                <w:lang w:eastAsia="ko-KR"/>
              </w:rPr>
            </w:pPr>
            <w:r w:rsidRPr="0036678D">
              <w:rPr>
                <w:sz w:val="20"/>
                <w:szCs w:val="18"/>
                <w:lang w:eastAsia="ko-KR"/>
              </w:rPr>
              <w:t>Average spectral efficiency</w:t>
            </w:r>
            <w:r w:rsidR="009A5111">
              <w:rPr>
                <w:sz w:val="20"/>
                <w:szCs w:val="18"/>
                <w:lang w:eastAsia="ko-KR"/>
              </w:rPr>
              <w:br/>
            </w:r>
            <w:r w:rsidRPr="0036678D">
              <w:rPr>
                <w:sz w:val="20"/>
                <w:szCs w:val="18"/>
                <w:lang w:eastAsia="ko-KR"/>
              </w:rPr>
              <w:t>(7.2.5)</w:t>
            </w:r>
          </w:p>
        </w:tc>
        <w:tc>
          <w:tcPr>
            <w:tcW w:w="1237" w:type="dxa"/>
            <w:vMerge w:val="restart"/>
            <w:tcBorders>
              <w:top w:val="single" w:sz="4" w:space="0" w:color="auto"/>
              <w:left w:val="single" w:sz="4" w:space="0" w:color="auto"/>
              <w:right w:val="single" w:sz="4" w:space="0" w:color="auto"/>
            </w:tcBorders>
            <w:vAlign w:val="center"/>
          </w:tcPr>
          <w:p w14:paraId="58A9E451"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08A8E6FF"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52B289DF"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2660038F" w14:textId="77777777" w:rsidR="00196F32" w:rsidRPr="0036678D" w:rsidRDefault="00196F32" w:rsidP="00EE08AF">
            <w:pPr>
              <w:pStyle w:val="Tabletext"/>
              <w:jc w:val="center"/>
              <w:rPr>
                <w:sz w:val="20"/>
                <w:szCs w:val="18"/>
                <w:lang w:eastAsia="ko-KR"/>
              </w:rPr>
            </w:pPr>
            <w:r w:rsidRPr="0036678D">
              <w:rPr>
                <w:sz w:val="20"/>
                <w:szCs w:val="18"/>
                <w:lang w:eastAsia="ko-KR"/>
              </w:rPr>
              <w:t>0.1 bit/s/Hz</w:t>
            </w:r>
          </w:p>
        </w:tc>
        <w:tc>
          <w:tcPr>
            <w:tcW w:w="2404" w:type="dxa"/>
            <w:vAlign w:val="center"/>
          </w:tcPr>
          <w:p w14:paraId="4C754CBB"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069B7C31" w14:textId="77777777" w:rsidTr="009A5111">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14:paraId="5F636BD3"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042C64AF"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361F37AF"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6A8118F"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58B684BF" w14:textId="77777777" w:rsidR="00196F32" w:rsidRPr="0036678D" w:rsidRDefault="00196F32" w:rsidP="00EE08AF">
            <w:pPr>
              <w:pStyle w:val="Tabletext"/>
              <w:jc w:val="center"/>
              <w:rPr>
                <w:sz w:val="20"/>
                <w:szCs w:val="18"/>
                <w:lang w:eastAsia="ko-KR"/>
              </w:rPr>
            </w:pPr>
            <w:r w:rsidRPr="0036678D">
              <w:rPr>
                <w:sz w:val="20"/>
                <w:szCs w:val="18"/>
                <w:lang w:eastAsia="ko-KR"/>
              </w:rPr>
              <w:t>0.5 bit/s/Hz</w:t>
            </w:r>
          </w:p>
        </w:tc>
        <w:tc>
          <w:tcPr>
            <w:tcW w:w="2404" w:type="dxa"/>
            <w:vAlign w:val="center"/>
          </w:tcPr>
          <w:p w14:paraId="6D0F7F81"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621D57D7" w14:textId="77777777" w:rsidTr="009A5111">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14:paraId="685FDEF2" w14:textId="537EBAFB" w:rsidR="00196F32" w:rsidRPr="0036678D" w:rsidRDefault="00196F32" w:rsidP="009A5111">
            <w:pPr>
              <w:pStyle w:val="Tabletext"/>
              <w:jc w:val="left"/>
              <w:rPr>
                <w:sz w:val="20"/>
                <w:szCs w:val="18"/>
                <w:lang w:eastAsia="ko-KR"/>
              </w:rPr>
            </w:pPr>
            <w:r w:rsidRPr="0036678D">
              <w:rPr>
                <w:sz w:val="20"/>
                <w:szCs w:val="18"/>
                <w:lang w:eastAsia="ko-KR"/>
              </w:rPr>
              <w:t>Area traffic capacity</w:t>
            </w:r>
            <w:r w:rsidR="009A5111">
              <w:rPr>
                <w:sz w:val="20"/>
                <w:szCs w:val="18"/>
                <w:lang w:eastAsia="ko-KR"/>
              </w:rPr>
              <w:br/>
            </w:r>
            <w:r w:rsidRPr="0036678D">
              <w:rPr>
                <w:sz w:val="20"/>
                <w:szCs w:val="18"/>
                <w:lang w:eastAsia="ko-KR"/>
              </w:rPr>
              <w:t>(7.2.6)</w:t>
            </w:r>
          </w:p>
        </w:tc>
        <w:tc>
          <w:tcPr>
            <w:tcW w:w="1237" w:type="dxa"/>
            <w:vMerge w:val="restart"/>
            <w:tcBorders>
              <w:top w:val="single" w:sz="4" w:space="0" w:color="auto"/>
              <w:left w:val="single" w:sz="4" w:space="0" w:color="auto"/>
              <w:right w:val="single" w:sz="4" w:space="0" w:color="auto"/>
            </w:tcBorders>
            <w:vAlign w:val="center"/>
          </w:tcPr>
          <w:p w14:paraId="40F8EADE"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vMerge w:val="restart"/>
            <w:tcBorders>
              <w:top w:val="single" w:sz="4" w:space="0" w:color="auto"/>
              <w:left w:val="single" w:sz="4" w:space="0" w:color="auto"/>
              <w:right w:val="single" w:sz="4" w:space="0" w:color="auto"/>
            </w:tcBorders>
            <w:vAlign w:val="center"/>
          </w:tcPr>
          <w:p w14:paraId="28571147"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2F3EA756" w14:textId="77777777" w:rsidR="00196F32" w:rsidRPr="0036678D" w:rsidRDefault="00196F32" w:rsidP="00EE08AF">
            <w:pPr>
              <w:pStyle w:val="Tabletext"/>
              <w:jc w:val="center"/>
              <w:rPr>
                <w:sz w:val="20"/>
                <w:szCs w:val="18"/>
              </w:rPr>
            </w:pPr>
            <w:r w:rsidRPr="0036678D">
              <w:rPr>
                <w:sz w:val="20"/>
                <w:szCs w:val="18"/>
              </w:rPr>
              <w:t>Uplink</w:t>
            </w:r>
          </w:p>
        </w:tc>
        <w:tc>
          <w:tcPr>
            <w:tcW w:w="1418" w:type="dxa"/>
            <w:tcBorders>
              <w:left w:val="single" w:sz="4" w:space="0" w:color="auto"/>
            </w:tcBorders>
            <w:vAlign w:val="center"/>
          </w:tcPr>
          <w:p w14:paraId="11A66038" w14:textId="285596AD" w:rsidR="00196F32" w:rsidRPr="0036678D" w:rsidRDefault="00196F32" w:rsidP="00EE08AF">
            <w:pPr>
              <w:pStyle w:val="Tabletext"/>
              <w:jc w:val="center"/>
              <w:rPr>
                <w:sz w:val="20"/>
                <w:szCs w:val="18"/>
                <w:lang w:eastAsia="ko-KR"/>
              </w:rPr>
            </w:pPr>
            <w:r w:rsidRPr="0036678D">
              <w:rPr>
                <w:sz w:val="20"/>
                <w:szCs w:val="18"/>
                <w:lang w:eastAsia="ko-KR"/>
              </w:rPr>
              <w:t>1.5 kbit/s/km</w:t>
            </w:r>
            <w:r w:rsidR="009A5111" w:rsidRPr="009A5111">
              <w:rPr>
                <w:sz w:val="20"/>
                <w:szCs w:val="18"/>
                <w:vertAlign w:val="superscript"/>
                <w:lang w:eastAsia="ko-KR"/>
              </w:rPr>
              <w:t>2</w:t>
            </w:r>
          </w:p>
        </w:tc>
        <w:tc>
          <w:tcPr>
            <w:tcW w:w="2404" w:type="dxa"/>
            <w:vAlign w:val="center"/>
          </w:tcPr>
          <w:p w14:paraId="36C5ECE1"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1AAEA0E3" w14:textId="77777777" w:rsidTr="009A5111">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14:paraId="1ABFC6B9" w14:textId="77777777" w:rsidR="00196F32" w:rsidRPr="0036678D" w:rsidRDefault="00196F32" w:rsidP="006C594F">
            <w:pPr>
              <w:pStyle w:val="Tabletext"/>
              <w:jc w:val="left"/>
              <w:rPr>
                <w:sz w:val="20"/>
                <w:szCs w:val="18"/>
                <w:lang w:eastAsia="ko-KR"/>
              </w:rPr>
            </w:pPr>
          </w:p>
        </w:tc>
        <w:tc>
          <w:tcPr>
            <w:tcW w:w="1237" w:type="dxa"/>
            <w:vMerge/>
            <w:tcBorders>
              <w:left w:val="single" w:sz="4" w:space="0" w:color="auto"/>
              <w:bottom w:val="single" w:sz="4" w:space="0" w:color="auto"/>
              <w:right w:val="single" w:sz="4" w:space="0" w:color="auto"/>
            </w:tcBorders>
            <w:vAlign w:val="center"/>
          </w:tcPr>
          <w:p w14:paraId="4A376519" w14:textId="77777777" w:rsidR="00196F32" w:rsidRPr="0036678D" w:rsidRDefault="00196F32" w:rsidP="00EE08AF">
            <w:pPr>
              <w:pStyle w:val="Tabletext"/>
              <w:jc w:val="center"/>
              <w:rPr>
                <w:sz w:val="20"/>
                <w:szCs w:val="18"/>
              </w:rPr>
            </w:pPr>
          </w:p>
        </w:tc>
        <w:tc>
          <w:tcPr>
            <w:tcW w:w="1275" w:type="dxa"/>
            <w:vMerge/>
            <w:tcBorders>
              <w:left w:val="single" w:sz="4" w:space="0" w:color="auto"/>
              <w:bottom w:val="single" w:sz="4" w:space="0" w:color="auto"/>
              <w:right w:val="single" w:sz="4" w:space="0" w:color="auto"/>
            </w:tcBorders>
            <w:vAlign w:val="center"/>
          </w:tcPr>
          <w:p w14:paraId="4A2E4B45" w14:textId="77777777" w:rsidR="00196F32" w:rsidRPr="0036678D" w:rsidRDefault="00196F32" w:rsidP="00EE08AF">
            <w:pPr>
              <w:pStyle w:val="Tabletext"/>
              <w:jc w:val="center"/>
              <w:rPr>
                <w:sz w:val="2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D0A7213" w14:textId="77777777" w:rsidR="00196F32" w:rsidRPr="0036678D" w:rsidRDefault="00196F32" w:rsidP="00EE08AF">
            <w:pPr>
              <w:pStyle w:val="Tabletext"/>
              <w:jc w:val="center"/>
              <w:rPr>
                <w:sz w:val="20"/>
                <w:szCs w:val="18"/>
              </w:rPr>
            </w:pPr>
            <w:r w:rsidRPr="0036678D">
              <w:rPr>
                <w:sz w:val="20"/>
                <w:szCs w:val="18"/>
              </w:rPr>
              <w:t>Downlink</w:t>
            </w:r>
          </w:p>
        </w:tc>
        <w:tc>
          <w:tcPr>
            <w:tcW w:w="1418" w:type="dxa"/>
            <w:tcBorders>
              <w:left w:val="single" w:sz="4" w:space="0" w:color="auto"/>
            </w:tcBorders>
            <w:vAlign w:val="center"/>
          </w:tcPr>
          <w:p w14:paraId="44C74534" w14:textId="6934557B" w:rsidR="00196F32" w:rsidRPr="0036678D" w:rsidRDefault="00196F32" w:rsidP="00EE08AF">
            <w:pPr>
              <w:pStyle w:val="Tabletext"/>
              <w:jc w:val="center"/>
              <w:rPr>
                <w:sz w:val="20"/>
                <w:szCs w:val="18"/>
                <w:lang w:eastAsia="ko-KR"/>
              </w:rPr>
            </w:pPr>
            <w:r w:rsidRPr="0036678D">
              <w:rPr>
                <w:sz w:val="20"/>
                <w:szCs w:val="18"/>
                <w:lang w:eastAsia="ko-KR"/>
              </w:rPr>
              <w:t>8 kbit/s/km</w:t>
            </w:r>
            <w:r w:rsidR="009A5111" w:rsidRPr="009A5111">
              <w:rPr>
                <w:sz w:val="20"/>
                <w:szCs w:val="18"/>
                <w:vertAlign w:val="superscript"/>
                <w:lang w:eastAsia="ko-KR"/>
              </w:rPr>
              <w:t>2</w:t>
            </w:r>
          </w:p>
        </w:tc>
        <w:tc>
          <w:tcPr>
            <w:tcW w:w="2404" w:type="dxa"/>
            <w:vAlign w:val="center"/>
          </w:tcPr>
          <w:p w14:paraId="2BB6B0F0"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4991FA8F" w14:textId="77777777" w:rsidTr="009A5111">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28C5D347" w14:textId="28683798" w:rsidR="00196F32" w:rsidRPr="0036678D" w:rsidRDefault="00196F32" w:rsidP="009A5111">
            <w:pPr>
              <w:pStyle w:val="Tabletext"/>
              <w:jc w:val="left"/>
              <w:rPr>
                <w:sz w:val="20"/>
                <w:szCs w:val="18"/>
                <w:lang w:eastAsia="ko-KR"/>
              </w:rPr>
            </w:pPr>
            <w:r w:rsidRPr="0036678D">
              <w:rPr>
                <w:sz w:val="20"/>
                <w:szCs w:val="18"/>
                <w:lang w:eastAsia="ko-KR"/>
              </w:rPr>
              <w:t>User Plane latency</w:t>
            </w:r>
            <w:r w:rsidR="009A5111">
              <w:rPr>
                <w:sz w:val="20"/>
                <w:szCs w:val="18"/>
                <w:lang w:eastAsia="ko-KR"/>
              </w:rPr>
              <w:br/>
            </w:r>
            <w:r w:rsidRPr="0036678D">
              <w:rPr>
                <w:sz w:val="20"/>
                <w:szCs w:val="18"/>
                <w:lang w:eastAsia="ko-KR"/>
              </w:rPr>
              <w:t>(7.2.7.1)</w:t>
            </w:r>
          </w:p>
        </w:tc>
        <w:tc>
          <w:tcPr>
            <w:tcW w:w="1237" w:type="dxa"/>
            <w:tcBorders>
              <w:top w:val="single" w:sz="4" w:space="0" w:color="auto"/>
              <w:left w:val="single" w:sz="4" w:space="0" w:color="auto"/>
              <w:bottom w:val="single" w:sz="4" w:space="0" w:color="auto"/>
              <w:right w:val="single" w:sz="4" w:space="0" w:color="auto"/>
            </w:tcBorders>
            <w:vAlign w:val="center"/>
          </w:tcPr>
          <w:p w14:paraId="484711C0"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6980CD1C"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0D49ADA0"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5E968FAA" w14:textId="77777777" w:rsidR="00196F32" w:rsidRPr="0036678D" w:rsidRDefault="00196F32" w:rsidP="00EE08AF">
            <w:pPr>
              <w:pStyle w:val="Tabletext"/>
              <w:jc w:val="center"/>
              <w:rPr>
                <w:sz w:val="20"/>
                <w:szCs w:val="18"/>
                <w:lang w:eastAsia="ko-KR"/>
              </w:rPr>
            </w:pPr>
            <w:r w:rsidRPr="0036678D">
              <w:rPr>
                <w:sz w:val="20"/>
                <w:szCs w:val="18"/>
                <w:lang w:eastAsia="ko-KR"/>
              </w:rPr>
              <w:t xml:space="preserve">10 </w:t>
            </w:r>
            <w:proofErr w:type="spellStart"/>
            <w:r w:rsidRPr="0036678D">
              <w:rPr>
                <w:sz w:val="20"/>
                <w:szCs w:val="18"/>
                <w:lang w:eastAsia="ko-KR"/>
              </w:rPr>
              <w:t>ms</w:t>
            </w:r>
            <w:proofErr w:type="spellEnd"/>
          </w:p>
        </w:tc>
        <w:tc>
          <w:tcPr>
            <w:tcW w:w="2404" w:type="dxa"/>
            <w:vAlign w:val="center"/>
          </w:tcPr>
          <w:p w14:paraId="511263F8"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0B7B4698" w14:textId="77777777" w:rsidTr="009A5111">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1BA5F413" w14:textId="2E300BD6" w:rsidR="00196F32" w:rsidRPr="0036678D" w:rsidRDefault="00196F32" w:rsidP="009A5111">
            <w:pPr>
              <w:pStyle w:val="Tabletext"/>
              <w:jc w:val="left"/>
              <w:rPr>
                <w:sz w:val="20"/>
                <w:szCs w:val="18"/>
                <w:lang w:eastAsia="ko-KR"/>
              </w:rPr>
            </w:pPr>
            <w:r w:rsidRPr="0036678D">
              <w:rPr>
                <w:sz w:val="20"/>
                <w:szCs w:val="18"/>
                <w:lang w:eastAsia="ko-KR"/>
              </w:rPr>
              <w:t>Control Plane latency</w:t>
            </w:r>
            <w:r w:rsidR="009A5111">
              <w:rPr>
                <w:sz w:val="20"/>
                <w:szCs w:val="18"/>
                <w:lang w:eastAsia="ko-KR"/>
              </w:rPr>
              <w:br/>
            </w:r>
            <w:r w:rsidRPr="0036678D">
              <w:rPr>
                <w:sz w:val="20"/>
                <w:szCs w:val="18"/>
                <w:lang w:eastAsia="ko-KR"/>
              </w:rPr>
              <w:t>(7.2.7.2)</w:t>
            </w:r>
          </w:p>
        </w:tc>
        <w:tc>
          <w:tcPr>
            <w:tcW w:w="1237" w:type="dxa"/>
            <w:tcBorders>
              <w:top w:val="single" w:sz="4" w:space="0" w:color="auto"/>
              <w:left w:val="single" w:sz="4" w:space="0" w:color="auto"/>
              <w:bottom w:val="single" w:sz="4" w:space="0" w:color="auto"/>
              <w:right w:val="single" w:sz="4" w:space="0" w:color="auto"/>
            </w:tcBorders>
            <w:vAlign w:val="center"/>
          </w:tcPr>
          <w:p w14:paraId="48914941"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08B42E5D"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036360E8"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168963D3" w14:textId="77777777" w:rsidR="00196F32" w:rsidRPr="0036678D" w:rsidRDefault="00196F32" w:rsidP="00EE08AF">
            <w:pPr>
              <w:pStyle w:val="Tabletext"/>
              <w:jc w:val="center"/>
              <w:rPr>
                <w:sz w:val="20"/>
                <w:szCs w:val="18"/>
                <w:lang w:eastAsia="ko-KR"/>
              </w:rPr>
            </w:pPr>
            <w:r w:rsidRPr="0036678D">
              <w:rPr>
                <w:sz w:val="20"/>
                <w:szCs w:val="18"/>
                <w:lang w:eastAsia="ko-KR"/>
              </w:rPr>
              <w:t xml:space="preserve">40 </w:t>
            </w:r>
            <w:proofErr w:type="spellStart"/>
            <w:r w:rsidRPr="0036678D">
              <w:rPr>
                <w:sz w:val="20"/>
                <w:szCs w:val="18"/>
                <w:lang w:eastAsia="ko-KR"/>
              </w:rPr>
              <w:t>ms</w:t>
            </w:r>
            <w:proofErr w:type="spellEnd"/>
          </w:p>
        </w:tc>
        <w:tc>
          <w:tcPr>
            <w:tcW w:w="2404" w:type="dxa"/>
            <w:vAlign w:val="center"/>
          </w:tcPr>
          <w:p w14:paraId="2FC74A54"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706140C3" w14:textId="77777777" w:rsidTr="009A5111">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7D2B747C" w14:textId="20C57169" w:rsidR="00196F32" w:rsidRPr="0036678D" w:rsidRDefault="00196F32" w:rsidP="009A5111">
            <w:pPr>
              <w:pStyle w:val="Tabletext"/>
              <w:jc w:val="left"/>
              <w:rPr>
                <w:sz w:val="20"/>
                <w:szCs w:val="18"/>
                <w:lang w:eastAsia="ko-KR"/>
              </w:rPr>
            </w:pPr>
            <w:r w:rsidRPr="0036678D">
              <w:rPr>
                <w:sz w:val="20"/>
                <w:szCs w:val="18"/>
                <w:lang w:eastAsia="ko-KR"/>
              </w:rPr>
              <w:t>Connection density</w:t>
            </w:r>
            <w:r w:rsidR="009A5111">
              <w:rPr>
                <w:sz w:val="20"/>
                <w:szCs w:val="18"/>
                <w:lang w:eastAsia="ko-KR"/>
              </w:rPr>
              <w:br/>
            </w:r>
            <w:r w:rsidRPr="0036678D">
              <w:rPr>
                <w:sz w:val="20"/>
                <w:szCs w:val="18"/>
                <w:lang w:eastAsia="ko-KR"/>
              </w:rPr>
              <w:t>(7.2.8)</w:t>
            </w:r>
          </w:p>
        </w:tc>
        <w:tc>
          <w:tcPr>
            <w:tcW w:w="1237" w:type="dxa"/>
            <w:tcBorders>
              <w:top w:val="single" w:sz="4" w:space="0" w:color="auto"/>
              <w:left w:val="single" w:sz="4" w:space="0" w:color="auto"/>
              <w:bottom w:val="single" w:sz="4" w:space="0" w:color="auto"/>
              <w:right w:val="single" w:sz="4" w:space="0" w:color="auto"/>
            </w:tcBorders>
            <w:vAlign w:val="center"/>
          </w:tcPr>
          <w:p w14:paraId="0720BF8C" w14:textId="77777777" w:rsidR="00196F32" w:rsidRPr="0036678D" w:rsidRDefault="00196F32" w:rsidP="00EE08AF">
            <w:pPr>
              <w:pStyle w:val="Tabletext"/>
              <w:jc w:val="center"/>
              <w:rPr>
                <w:sz w:val="20"/>
                <w:szCs w:val="18"/>
              </w:rPr>
            </w:pPr>
            <w:proofErr w:type="spellStart"/>
            <w:r w:rsidRPr="0036678D">
              <w:rPr>
                <w:sz w:val="20"/>
                <w:szCs w:val="18"/>
              </w:rPr>
              <w:t>mMTC</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0E611323"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3D27DED0"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3D9B94C6" w14:textId="7CE492D1" w:rsidR="00196F32" w:rsidRPr="0036678D" w:rsidRDefault="00196F32" w:rsidP="00EE08AF">
            <w:pPr>
              <w:pStyle w:val="Tabletext"/>
              <w:jc w:val="center"/>
              <w:rPr>
                <w:sz w:val="20"/>
                <w:szCs w:val="18"/>
                <w:lang w:eastAsia="ko-KR"/>
              </w:rPr>
            </w:pPr>
            <w:r w:rsidRPr="0036678D">
              <w:rPr>
                <w:sz w:val="20"/>
                <w:szCs w:val="18"/>
                <w:lang w:eastAsia="ko-KR"/>
              </w:rPr>
              <w:t>500 devices/km</w:t>
            </w:r>
            <w:r w:rsidR="009A5111" w:rsidRPr="009A5111">
              <w:rPr>
                <w:sz w:val="20"/>
                <w:szCs w:val="18"/>
                <w:vertAlign w:val="superscript"/>
                <w:lang w:eastAsia="ko-KR"/>
              </w:rPr>
              <w:t>2</w:t>
            </w:r>
          </w:p>
        </w:tc>
        <w:tc>
          <w:tcPr>
            <w:tcW w:w="2404" w:type="dxa"/>
            <w:vAlign w:val="center"/>
          </w:tcPr>
          <w:p w14:paraId="14A74726"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748097A1" w14:textId="77777777" w:rsidTr="009A5111">
        <w:trPr>
          <w:cantSplit/>
          <w:trHeight w:val="48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05039D81" w14:textId="26E982F1" w:rsidR="00196F32" w:rsidRPr="0036678D" w:rsidRDefault="00196F32" w:rsidP="009A5111">
            <w:pPr>
              <w:pStyle w:val="Tabletext"/>
              <w:jc w:val="left"/>
              <w:rPr>
                <w:sz w:val="20"/>
                <w:szCs w:val="18"/>
                <w:lang w:eastAsia="ko-KR"/>
              </w:rPr>
            </w:pPr>
            <w:r w:rsidRPr="0036678D">
              <w:rPr>
                <w:sz w:val="20"/>
                <w:szCs w:val="18"/>
                <w:lang w:eastAsia="ko-KR"/>
              </w:rPr>
              <w:t>Energy efficiency</w:t>
            </w:r>
            <w:r w:rsidR="009A5111">
              <w:rPr>
                <w:sz w:val="20"/>
                <w:szCs w:val="18"/>
                <w:lang w:eastAsia="ko-KR"/>
              </w:rPr>
              <w:br/>
            </w:r>
            <w:r w:rsidRPr="0036678D">
              <w:rPr>
                <w:sz w:val="20"/>
                <w:szCs w:val="18"/>
                <w:lang w:eastAsia="ko-KR"/>
              </w:rPr>
              <w:t>(7.2.9)</w:t>
            </w:r>
          </w:p>
        </w:tc>
        <w:tc>
          <w:tcPr>
            <w:tcW w:w="1237" w:type="dxa"/>
            <w:tcBorders>
              <w:top w:val="single" w:sz="4" w:space="0" w:color="auto"/>
              <w:left w:val="single" w:sz="4" w:space="0" w:color="auto"/>
              <w:bottom w:val="single" w:sz="4" w:space="0" w:color="auto"/>
              <w:right w:val="single" w:sz="4" w:space="0" w:color="auto"/>
            </w:tcBorders>
            <w:vAlign w:val="center"/>
          </w:tcPr>
          <w:p w14:paraId="76BE195A"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75DF9A70"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1E34A790"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650CEFF0" w14:textId="77777777" w:rsidR="00196F32" w:rsidRPr="0036678D" w:rsidRDefault="00196F32" w:rsidP="00EE08AF">
            <w:pPr>
              <w:pStyle w:val="Tabletext"/>
              <w:jc w:val="center"/>
              <w:rPr>
                <w:sz w:val="20"/>
                <w:szCs w:val="18"/>
                <w:lang w:eastAsia="ko-KR"/>
              </w:rPr>
            </w:pPr>
            <w:r w:rsidRPr="0036678D">
              <w:rPr>
                <w:sz w:val="20"/>
                <w:szCs w:val="18"/>
                <w:lang w:eastAsia="ko-KR"/>
              </w:rPr>
              <w:t>High sleep ratio and long sleep duration</w:t>
            </w:r>
          </w:p>
        </w:tc>
        <w:tc>
          <w:tcPr>
            <w:tcW w:w="2404" w:type="dxa"/>
            <w:vAlign w:val="center"/>
          </w:tcPr>
          <w:p w14:paraId="3C5DC5F8"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4F2F37F7" w14:textId="77777777" w:rsidTr="009A5111">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07F5D3BE" w14:textId="3693FE1C" w:rsidR="00196F32" w:rsidRPr="0036678D" w:rsidRDefault="00196F32" w:rsidP="009A5111">
            <w:pPr>
              <w:pStyle w:val="Tabletext"/>
              <w:jc w:val="left"/>
              <w:rPr>
                <w:sz w:val="20"/>
                <w:szCs w:val="18"/>
                <w:lang w:eastAsia="ko-KR"/>
              </w:rPr>
            </w:pPr>
            <w:r w:rsidRPr="0036678D">
              <w:rPr>
                <w:sz w:val="20"/>
                <w:szCs w:val="18"/>
                <w:lang w:eastAsia="ko-KR"/>
              </w:rPr>
              <w:t>Reliability</w:t>
            </w:r>
            <w:r w:rsidR="009A5111">
              <w:rPr>
                <w:sz w:val="20"/>
                <w:szCs w:val="18"/>
                <w:lang w:eastAsia="ko-KR"/>
              </w:rPr>
              <w:br/>
            </w:r>
            <w:r w:rsidRPr="0036678D">
              <w:rPr>
                <w:sz w:val="20"/>
                <w:szCs w:val="18"/>
                <w:lang w:eastAsia="ko-KR"/>
              </w:rPr>
              <w:t>(7.2.10)</w:t>
            </w:r>
          </w:p>
        </w:tc>
        <w:tc>
          <w:tcPr>
            <w:tcW w:w="1237" w:type="dxa"/>
            <w:tcBorders>
              <w:top w:val="single" w:sz="4" w:space="0" w:color="auto"/>
              <w:left w:val="single" w:sz="4" w:space="0" w:color="auto"/>
              <w:bottom w:val="single" w:sz="4" w:space="0" w:color="auto"/>
              <w:right w:val="single" w:sz="4" w:space="0" w:color="auto"/>
            </w:tcBorders>
            <w:vAlign w:val="center"/>
          </w:tcPr>
          <w:p w14:paraId="7CC8E34E" w14:textId="77777777" w:rsidR="00196F32" w:rsidRPr="0036678D" w:rsidRDefault="00196F32" w:rsidP="00EE08AF">
            <w:pPr>
              <w:pStyle w:val="Tabletext"/>
              <w:jc w:val="center"/>
              <w:rPr>
                <w:sz w:val="20"/>
                <w:szCs w:val="18"/>
              </w:rPr>
            </w:pPr>
            <w:r w:rsidRPr="0036678D">
              <w:rPr>
                <w:sz w:val="20"/>
                <w:szCs w:val="18"/>
              </w:rPr>
              <w:t>HRC-s</w:t>
            </w:r>
          </w:p>
        </w:tc>
        <w:tc>
          <w:tcPr>
            <w:tcW w:w="1275" w:type="dxa"/>
            <w:tcBorders>
              <w:top w:val="single" w:sz="4" w:space="0" w:color="auto"/>
              <w:left w:val="single" w:sz="4" w:space="0" w:color="auto"/>
              <w:bottom w:val="single" w:sz="4" w:space="0" w:color="auto"/>
              <w:right w:val="single" w:sz="4" w:space="0" w:color="auto"/>
            </w:tcBorders>
            <w:vAlign w:val="center"/>
          </w:tcPr>
          <w:p w14:paraId="41C52BE2"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44316361"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35BE57C1" w14:textId="77777777" w:rsidR="00196F32" w:rsidRPr="0036678D" w:rsidRDefault="00196F32" w:rsidP="00EE08AF">
            <w:pPr>
              <w:pStyle w:val="Tabletext"/>
              <w:jc w:val="center"/>
              <w:rPr>
                <w:sz w:val="20"/>
                <w:szCs w:val="18"/>
                <w:lang w:eastAsia="ko-KR"/>
              </w:rPr>
            </w:pPr>
            <w:r w:rsidRPr="0036678D">
              <w:rPr>
                <w:sz w:val="20"/>
                <w:szCs w:val="18"/>
                <w:lang w:eastAsia="ko-KR"/>
              </w:rPr>
              <w:t>1-10</w:t>
            </w:r>
            <w:r w:rsidRPr="0036678D">
              <w:rPr>
                <w:sz w:val="20"/>
                <w:szCs w:val="18"/>
                <w:vertAlign w:val="superscript"/>
                <w:lang w:eastAsia="ko-KR"/>
              </w:rPr>
              <w:t>−3</w:t>
            </w:r>
          </w:p>
        </w:tc>
        <w:tc>
          <w:tcPr>
            <w:tcW w:w="2404" w:type="dxa"/>
            <w:vAlign w:val="center"/>
          </w:tcPr>
          <w:p w14:paraId="623966F2"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29CC996C" w14:textId="77777777" w:rsidTr="009A5111">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75FFD096" w14:textId="793C2D8E" w:rsidR="00196F32" w:rsidRPr="0036678D" w:rsidRDefault="00196F32" w:rsidP="009A5111">
            <w:pPr>
              <w:pStyle w:val="Tabletext"/>
              <w:jc w:val="left"/>
              <w:rPr>
                <w:sz w:val="20"/>
                <w:szCs w:val="18"/>
                <w:lang w:eastAsia="ko-KR"/>
              </w:rPr>
            </w:pPr>
            <w:r w:rsidRPr="0036678D">
              <w:rPr>
                <w:sz w:val="20"/>
                <w:szCs w:val="18"/>
                <w:lang w:eastAsia="ko-KR"/>
              </w:rPr>
              <w:t>Mobility – UE speed</w:t>
            </w:r>
            <w:r w:rsidR="009A5111">
              <w:rPr>
                <w:sz w:val="20"/>
                <w:szCs w:val="18"/>
                <w:lang w:eastAsia="ko-KR"/>
              </w:rPr>
              <w:br/>
            </w:r>
            <w:r w:rsidRPr="0036678D">
              <w:rPr>
                <w:sz w:val="20"/>
                <w:szCs w:val="18"/>
                <w:lang w:eastAsia="ko-KR"/>
              </w:rPr>
              <w:t>(7.2.11)</w:t>
            </w:r>
          </w:p>
        </w:tc>
        <w:tc>
          <w:tcPr>
            <w:tcW w:w="1237" w:type="dxa"/>
            <w:tcBorders>
              <w:top w:val="single" w:sz="4" w:space="0" w:color="auto"/>
              <w:left w:val="single" w:sz="4" w:space="0" w:color="auto"/>
              <w:bottom w:val="single" w:sz="4" w:space="0" w:color="auto"/>
              <w:right w:val="single" w:sz="4" w:space="0" w:color="auto"/>
            </w:tcBorders>
            <w:vAlign w:val="center"/>
          </w:tcPr>
          <w:p w14:paraId="71F1EF6B"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697ACF7C"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2776AC61"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0EBFC109" w14:textId="77777777" w:rsidR="00196F32" w:rsidRPr="0036678D" w:rsidRDefault="00196F32" w:rsidP="00EE08AF">
            <w:pPr>
              <w:pStyle w:val="Tabletext"/>
              <w:jc w:val="center"/>
              <w:rPr>
                <w:sz w:val="20"/>
                <w:szCs w:val="18"/>
                <w:lang w:eastAsia="ko-KR"/>
              </w:rPr>
            </w:pPr>
            <w:r w:rsidRPr="0036678D">
              <w:rPr>
                <w:sz w:val="20"/>
                <w:szCs w:val="18"/>
                <w:lang w:eastAsia="ko-KR"/>
              </w:rPr>
              <w:t>250 km/h</w:t>
            </w:r>
          </w:p>
        </w:tc>
        <w:tc>
          <w:tcPr>
            <w:tcW w:w="2404" w:type="dxa"/>
            <w:vAlign w:val="center"/>
          </w:tcPr>
          <w:p w14:paraId="6D5D27CB"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628D1A51" w14:textId="77777777" w:rsidTr="009A5111">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48491F0F" w14:textId="546DC625" w:rsidR="00196F32" w:rsidRPr="0036678D" w:rsidRDefault="00196F32" w:rsidP="009A5111">
            <w:pPr>
              <w:pStyle w:val="Tabletext"/>
              <w:jc w:val="left"/>
              <w:rPr>
                <w:sz w:val="20"/>
                <w:szCs w:val="18"/>
                <w:lang w:eastAsia="ko-KR"/>
              </w:rPr>
            </w:pPr>
            <w:r w:rsidRPr="0036678D">
              <w:rPr>
                <w:sz w:val="20"/>
                <w:szCs w:val="18"/>
                <w:lang w:eastAsia="ko-KR"/>
              </w:rPr>
              <w:t xml:space="preserve">Mobility </w:t>
            </w:r>
            <w:r w:rsidR="009A5111">
              <w:rPr>
                <w:sz w:val="20"/>
                <w:szCs w:val="18"/>
                <w:lang w:eastAsia="ko-KR"/>
              </w:rPr>
              <w:t>−</w:t>
            </w:r>
            <w:r w:rsidRPr="0036678D">
              <w:rPr>
                <w:sz w:val="20"/>
                <w:szCs w:val="18"/>
                <w:lang w:eastAsia="ko-KR"/>
              </w:rPr>
              <w:t xml:space="preserve"> Traffic channel link data rate</w:t>
            </w:r>
            <w:r w:rsidR="009A5111">
              <w:rPr>
                <w:sz w:val="20"/>
                <w:szCs w:val="18"/>
                <w:lang w:eastAsia="ko-KR"/>
              </w:rPr>
              <w:br/>
            </w:r>
            <w:r w:rsidRPr="0036678D">
              <w:rPr>
                <w:sz w:val="20"/>
                <w:szCs w:val="18"/>
                <w:lang w:eastAsia="ko-KR"/>
              </w:rPr>
              <w:t>(7.2.11)</w:t>
            </w:r>
          </w:p>
        </w:tc>
        <w:tc>
          <w:tcPr>
            <w:tcW w:w="1237" w:type="dxa"/>
            <w:tcBorders>
              <w:top w:val="single" w:sz="4" w:space="0" w:color="auto"/>
              <w:left w:val="single" w:sz="4" w:space="0" w:color="auto"/>
              <w:bottom w:val="single" w:sz="4" w:space="0" w:color="auto"/>
              <w:right w:val="single" w:sz="4" w:space="0" w:color="auto"/>
            </w:tcBorders>
            <w:vAlign w:val="center"/>
          </w:tcPr>
          <w:p w14:paraId="38395D0A"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0BB31344" w14:textId="77777777" w:rsidR="00196F32" w:rsidRPr="0036678D" w:rsidRDefault="00196F32" w:rsidP="00EE08AF">
            <w:pPr>
              <w:pStyle w:val="Tabletext"/>
              <w:jc w:val="center"/>
              <w:rPr>
                <w:sz w:val="20"/>
                <w:szCs w:val="18"/>
              </w:rPr>
            </w:pPr>
            <w:r w:rsidRPr="0036678D">
              <w:rPr>
                <w:sz w:val="20"/>
                <w:szCs w:val="18"/>
              </w:rPr>
              <w:t>Rural</w:t>
            </w:r>
          </w:p>
        </w:tc>
        <w:tc>
          <w:tcPr>
            <w:tcW w:w="1276" w:type="dxa"/>
            <w:tcBorders>
              <w:top w:val="single" w:sz="4" w:space="0" w:color="auto"/>
              <w:left w:val="single" w:sz="4" w:space="0" w:color="auto"/>
              <w:bottom w:val="single" w:sz="4" w:space="0" w:color="auto"/>
              <w:right w:val="single" w:sz="4" w:space="0" w:color="auto"/>
            </w:tcBorders>
            <w:vAlign w:val="center"/>
          </w:tcPr>
          <w:p w14:paraId="6FF6C7E1"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695EFB12" w14:textId="77777777" w:rsidR="00196F32" w:rsidRPr="0036678D" w:rsidRDefault="00196F32" w:rsidP="00EE08AF">
            <w:pPr>
              <w:pStyle w:val="Tabletext"/>
              <w:jc w:val="center"/>
              <w:rPr>
                <w:sz w:val="20"/>
                <w:szCs w:val="18"/>
                <w:lang w:eastAsia="ko-KR"/>
              </w:rPr>
            </w:pPr>
            <w:r w:rsidRPr="0036678D">
              <w:rPr>
                <w:sz w:val="20"/>
                <w:szCs w:val="18"/>
                <w:lang w:eastAsia="ko-KR"/>
              </w:rPr>
              <w:t>0.005 bit/s/Hz</w:t>
            </w:r>
          </w:p>
        </w:tc>
        <w:tc>
          <w:tcPr>
            <w:tcW w:w="2404" w:type="dxa"/>
            <w:vAlign w:val="center"/>
          </w:tcPr>
          <w:p w14:paraId="7BD2D6F3"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1445B3D7" w14:textId="77777777" w:rsidTr="009A5111">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1E5AB6DB" w14:textId="4FBAABD6" w:rsidR="00196F32" w:rsidRPr="0036678D" w:rsidRDefault="00196F32" w:rsidP="009A5111">
            <w:pPr>
              <w:pStyle w:val="Tabletext"/>
              <w:jc w:val="left"/>
              <w:rPr>
                <w:sz w:val="20"/>
                <w:szCs w:val="18"/>
                <w:lang w:eastAsia="ko-KR"/>
              </w:rPr>
            </w:pPr>
            <w:r w:rsidRPr="0036678D">
              <w:rPr>
                <w:sz w:val="20"/>
                <w:szCs w:val="18"/>
                <w:lang w:eastAsia="ko-KR"/>
              </w:rPr>
              <w:t>Mobility interruption time</w:t>
            </w:r>
            <w:r w:rsidR="009A5111">
              <w:rPr>
                <w:sz w:val="20"/>
                <w:szCs w:val="18"/>
                <w:lang w:eastAsia="ko-KR"/>
              </w:rPr>
              <w:br/>
            </w:r>
            <w:r w:rsidRPr="0036678D">
              <w:rPr>
                <w:sz w:val="20"/>
                <w:szCs w:val="18"/>
                <w:lang w:eastAsia="ko-KR"/>
              </w:rPr>
              <w:t>(7.2.12)</w:t>
            </w:r>
          </w:p>
        </w:tc>
        <w:tc>
          <w:tcPr>
            <w:tcW w:w="1237" w:type="dxa"/>
            <w:tcBorders>
              <w:top w:val="single" w:sz="4" w:space="0" w:color="auto"/>
              <w:left w:val="single" w:sz="4" w:space="0" w:color="auto"/>
              <w:bottom w:val="single" w:sz="4" w:space="0" w:color="auto"/>
              <w:right w:val="single" w:sz="4" w:space="0" w:color="auto"/>
            </w:tcBorders>
            <w:vAlign w:val="center"/>
          </w:tcPr>
          <w:p w14:paraId="1925BB77" w14:textId="77777777" w:rsidR="00196F32" w:rsidRPr="0036678D" w:rsidRDefault="00196F32" w:rsidP="00EE08AF">
            <w:pPr>
              <w:pStyle w:val="Tabletext"/>
              <w:jc w:val="center"/>
              <w:rPr>
                <w:sz w:val="20"/>
                <w:szCs w:val="18"/>
              </w:rPr>
            </w:pPr>
            <w:proofErr w:type="spellStart"/>
            <w:r w:rsidRPr="0036678D">
              <w:rPr>
                <w:sz w:val="20"/>
                <w:szCs w:val="18"/>
              </w:rPr>
              <w:t>eMBB</w:t>
            </w:r>
            <w:proofErr w:type="spellEnd"/>
            <w:r w:rsidRPr="0036678D">
              <w:rPr>
                <w:sz w:val="20"/>
                <w:szCs w:val="18"/>
              </w:rPr>
              <w:t>-s</w:t>
            </w:r>
          </w:p>
        </w:tc>
        <w:tc>
          <w:tcPr>
            <w:tcW w:w="1275" w:type="dxa"/>
            <w:tcBorders>
              <w:top w:val="single" w:sz="4" w:space="0" w:color="auto"/>
              <w:left w:val="single" w:sz="4" w:space="0" w:color="auto"/>
              <w:bottom w:val="single" w:sz="4" w:space="0" w:color="auto"/>
              <w:right w:val="single" w:sz="4" w:space="0" w:color="auto"/>
            </w:tcBorders>
            <w:vAlign w:val="center"/>
          </w:tcPr>
          <w:p w14:paraId="579577C8"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1C210C4D"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3AE194E1" w14:textId="77777777" w:rsidR="00196F32" w:rsidRPr="0036678D" w:rsidRDefault="00196F32" w:rsidP="00EE08AF">
            <w:pPr>
              <w:pStyle w:val="Tabletext"/>
              <w:jc w:val="center"/>
              <w:rPr>
                <w:sz w:val="20"/>
                <w:szCs w:val="18"/>
                <w:lang w:eastAsia="ko-KR"/>
              </w:rPr>
            </w:pPr>
            <w:r w:rsidRPr="0036678D">
              <w:rPr>
                <w:sz w:val="20"/>
                <w:szCs w:val="18"/>
                <w:lang w:eastAsia="ko-KR"/>
              </w:rPr>
              <w:t xml:space="preserve">50 </w:t>
            </w:r>
            <w:proofErr w:type="spellStart"/>
            <w:r w:rsidRPr="0036678D">
              <w:rPr>
                <w:sz w:val="20"/>
                <w:szCs w:val="18"/>
                <w:lang w:eastAsia="ko-KR"/>
              </w:rPr>
              <w:t>ms</w:t>
            </w:r>
            <w:proofErr w:type="spellEnd"/>
          </w:p>
        </w:tc>
        <w:tc>
          <w:tcPr>
            <w:tcW w:w="2404" w:type="dxa"/>
            <w:vAlign w:val="center"/>
          </w:tcPr>
          <w:p w14:paraId="7B194A56"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r w:rsidR="00196F32" w:rsidRPr="0036678D" w14:paraId="21DF2EA2" w14:textId="77777777" w:rsidTr="009A5111">
        <w:trPr>
          <w:cantSplit/>
          <w:trHeight w:val="342"/>
          <w:tblHeader/>
          <w:jc w:val="center"/>
        </w:trPr>
        <w:tc>
          <w:tcPr>
            <w:tcW w:w="0" w:type="auto"/>
            <w:tcBorders>
              <w:top w:val="single" w:sz="4" w:space="0" w:color="auto"/>
              <w:left w:val="single" w:sz="4" w:space="0" w:color="auto"/>
              <w:bottom w:val="single" w:sz="4" w:space="0" w:color="auto"/>
              <w:right w:val="single" w:sz="4" w:space="0" w:color="auto"/>
            </w:tcBorders>
            <w:vAlign w:val="center"/>
          </w:tcPr>
          <w:p w14:paraId="12CC8914" w14:textId="3FEA97FA" w:rsidR="00196F32" w:rsidRPr="0036678D" w:rsidRDefault="00196F32" w:rsidP="009A5111">
            <w:pPr>
              <w:pStyle w:val="Tabletext"/>
              <w:jc w:val="left"/>
              <w:rPr>
                <w:sz w:val="20"/>
                <w:szCs w:val="18"/>
                <w:lang w:eastAsia="ko-KR"/>
              </w:rPr>
            </w:pPr>
            <w:r w:rsidRPr="0036678D">
              <w:rPr>
                <w:sz w:val="20"/>
                <w:szCs w:val="18"/>
                <w:lang w:eastAsia="ko-KR"/>
              </w:rPr>
              <w:t>Bandwidth</w:t>
            </w:r>
            <w:r w:rsidR="009A5111">
              <w:rPr>
                <w:sz w:val="20"/>
                <w:szCs w:val="18"/>
                <w:lang w:eastAsia="ko-KR"/>
              </w:rPr>
              <w:br/>
            </w:r>
            <w:r w:rsidRPr="0036678D">
              <w:rPr>
                <w:sz w:val="20"/>
                <w:szCs w:val="18"/>
                <w:lang w:eastAsia="ko-KR"/>
              </w:rPr>
              <w:t>(7.2.13)</w:t>
            </w:r>
          </w:p>
        </w:tc>
        <w:tc>
          <w:tcPr>
            <w:tcW w:w="1237" w:type="dxa"/>
            <w:tcBorders>
              <w:top w:val="single" w:sz="4" w:space="0" w:color="auto"/>
              <w:left w:val="single" w:sz="4" w:space="0" w:color="auto"/>
              <w:bottom w:val="single" w:sz="4" w:space="0" w:color="auto"/>
              <w:right w:val="single" w:sz="4" w:space="0" w:color="auto"/>
            </w:tcBorders>
            <w:vAlign w:val="center"/>
          </w:tcPr>
          <w:p w14:paraId="4BB3872D" w14:textId="77777777" w:rsidR="00196F32" w:rsidRPr="0036678D" w:rsidRDefault="00196F32" w:rsidP="00EE08AF">
            <w:pPr>
              <w:pStyle w:val="Tabletext"/>
              <w:jc w:val="center"/>
              <w:rPr>
                <w:sz w:val="20"/>
                <w:szCs w:val="18"/>
              </w:rPr>
            </w:pPr>
            <w:r w:rsidRPr="0036678D">
              <w:rPr>
                <w:sz w:val="20"/>
                <w:szCs w:val="18"/>
              </w:rPr>
              <w:t>N/A</w:t>
            </w:r>
          </w:p>
        </w:tc>
        <w:tc>
          <w:tcPr>
            <w:tcW w:w="1275" w:type="dxa"/>
            <w:tcBorders>
              <w:top w:val="single" w:sz="4" w:space="0" w:color="auto"/>
              <w:left w:val="single" w:sz="4" w:space="0" w:color="auto"/>
              <w:bottom w:val="single" w:sz="4" w:space="0" w:color="auto"/>
              <w:right w:val="single" w:sz="4" w:space="0" w:color="auto"/>
            </w:tcBorders>
            <w:vAlign w:val="center"/>
          </w:tcPr>
          <w:p w14:paraId="4155AB0E" w14:textId="77777777" w:rsidR="00196F32" w:rsidRPr="0036678D" w:rsidRDefault="00196F32" w:rsidP="00EE08AF">
            <w:pPr>
              <w:pStyle w:val="Tabletext"/>
              <w:jc w:val="center"/>
              <w:rPr>
                <w:sz w:val="20"/>
                <w:szCs w:val="18"/>
              </w:rPr>
            </w:pPr>
            <w:r w:rsidRPr="0036678D">
              <w:rPr>
                <w:sz w:val="20"/>
                <w:szCs w:val="18"/>
              </w:rPr>
              <w:t>N/A</w:t>
            </w:r>
          </w:p>
        </w:tc>
        <w:tc>
          <w:tcPr>
            <w:tcW w:w="1276" w:type="dxa"/>
            <w:tcBorders>
              <w:top w:val="single" w:sz="4" w:space="0" w:color="auto"/>
              <w:left w:val="single" w:sz="4" w:space="0" w:color="auto"/>
              <w:bottom w:val="single" w:sz="4" w:space="0" w:color="auto"/>
              <w:right w:val="single" w:sz="4" w:space="0" w:color="auto"/>
            </w:tcBorders>
            <w:vAlign w:val="center"/>
          </w:tcPr>
          <w:p w14:paraId="0E900C89" w14:textId="77777777" w:rsidR="00196F32" w:rsidRPr="0036678D" w:rsidRDefault="00196F32" w:rsidP="00EE08AF">
            <w:pPr>
              <w:pStyle w:val="Tabletext"/>
              <w:jc w:val="center"/>
              <w:rPr>
                <w:sz w:val="20"/>
                <w:szCs w:val="18"/>
              </w:rPr>
            </w:pPr>
            <w:r w:rsidRPr="0036678D">
              <w:rPr>
                <w:sz w:val="20"/>
                <w:szCs w:val="18"/>
              </w:rPr>
              <w:t>N/A</w:t>
            </w:r>
          </w:p>
        </w:tc>
        <w:tc>
          <w:tcPr>
            <w:tcW w:w="1418" w:type="dxa"/>
            <w:tcBorders>
              <w:left w:val="single" w:sz="4" w:space="0" w:color="auto"/>
            </w:tcBorders>
            <w:vAlign w:val="center"/>
          </w:tcPr>
          <w:p w14:paraId="473D8C15" w14:textId="77777777" w:rsidR="00196F32" w:rsidRPr="0036678D" w:rsidRDefault="00196F32" w:rsidP="00EE08AF">
            <w:pPr>
              <w:pStyle w:val="Tabletext"/>
              <w:jc w:val="center"/>
              <w:rPr>
                <w:sz w:val="20"/>
                <w:szCs w:val="18"/>
                <w:lang w:eastAsia="ko-KR"/>
              </w:rPr>
            </w:pPr>
            <w:r w:rsidRPr="0036678D">
              <w:rPr>
                <w:sz w:val="20"/>
                <w:szCs w:val="18"/>
                <w:lang w:eastAsia="ko-KR"/>
              </w:rPr>
              <w:t>At least up to and including 30 MHz</w:t>
            </w:r>
          </w:p>
        </w:tc>
        <w:tc>
          <w:tcPr>
            <w:tcW w:w="2404" w:type="dxa"/>
            <w:vAlign w:val="center"/>
          </w:tcPr>
          <w:p w14:paraId="1F33D0D5" w14:textId="77777777" w:rsidR="00196F32" w:rsidRPr="0036678D" w:rsidRDefault="00196F32" w:rsidP="00EE08AF">
            <w:pPr>
              <w:pStyle w:val="Tabletext"/>
              <w:jc w:val="center"/>
              <w:rPr>
                <w:sz w:val="20"/>
                <w:szCs w:val="18"/>
                <w:lang w:eastAsia="ko-KR"/>
              </w:rPr>
            </w:pPr>
            <w:r w:rsidRPr="0036678D">
              <w:rPr>
                <w:sz w:val="20"/>
                <w:szCs w:val="18"/>
                <w:lang w:eastAsia="ko-KR"/>
              </w:rPr>
              <w:t>Yes</w:t>
            </w:r>
          </w:p>
        </w:tc>
      </w:tr>
    </w:tbl>
    <w:p w14:paraId="0A0CB99F" w14:textId="77777777" w:rsidR="00196F32" w:rsidRPr="00B02693" w:rsidRDefault="00196F32" w:rsidP="009A5111">
      <w:pPr>
        <w:pStyle w:val="Tablefin"/>
        <w:rPr>
          <w:lang w:eastAsia="zh-CN"/>
        </w:rPr>
      </w:pPr>
    </w:p>
    <w:p w14:paraId="2539C827" w14:textId="77777777" w:rsidR="00196F32" w:rsidRPr="00B02693" w:rsidRDefault="00196F32" w:rsidP="0021161E">
      <w:pPr>
        <w:pStyle w:val="Heading1"/>
      </w:pPr>
      <w:bookmarkStart w:id="205" w:name="_Toc181174808"/>
      <w:bookmarkStart w:id="206" w:name="_Toc181174996"/>
      <w:bookmarkStart w:id="207" w:name="_Toc182391782"/>
      <w:r w:rsidRPr="00B02693">
        <w:lastRenderedPageBreak/>
        <w:t>B</w:t>
      </w:r>
      <w:r w:rsidRPr="00B02693">
        <w:tab/>
        <w:t>Candidate submission from 3GPP Proponent (Doc. IMT-2020-SAT/4)</w:t>
      </w:r>
      <w:bookmarkEnd w:id="205"/>
      <w:bookmarkEnd w:id="206"/>
      <w:bookmarkEnd w:id="207"/>
    </w:p>
    <w:p w14:paraId="34C04D45" w14:textId="2038F0B7" w:rsidR="00196F32" w:rsidRPr="00B02693" w:rsidRDefault="00196F32" w:rsidP="00196F32">
      <w:pPr>
        <w:pStyle w:val="TableNo"/>
        <w:rPr>
          <w:szCs w:val="24"/>
          <w:lang w:eastAsia="zh-CN"/>
        </w:rPr>
      </w:pPr>
      <w:r w:rsidRPr="00B02693">
        <w:rPr>
          <w:szCs w:val="24"/>
          <w:lang w:eastAsia="zh-CN"/>
        </w:rPr>
        <w:t>TABLE B.1</w:t>
      </w:r>
    </w:p>
    <w:p w14:paraId="50612662" w14:textId="77777777" w:rsidR="00196F32" w:rsidRPr="00B02693" w:rsidRDefault="00196F32" w:rsidP="00196F32">
      <w:pPr>
        <w:pStyle w:val="Tabletitle"/>
        <w:rPr>
          <w:szCs w:val="24"/>
          <w:lang w:eastAsia="zh-CN"/>
        </w:rPr>
      </w:pPr>
      <w:r w:rsidRPr="00B02693">
        <w:rPr>
          <w:szCs w:val="24"/>
          <w:lang w:eastAsia="zh-CN"/>
        </w:rPr>
        <w:t>Compliance template for services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6"/>
        <w:gridCol w:w="5029"/>
        <w:gridCol w:w="3074"/>
      </w:tblGrid>
      <w:tr w:rsidR="00196F32" w:rsidRPr="0036678D" w14:paraId="10FC52C4" w14:textId="77777777" w:rsidTr="0021161E">
        <w:trPr>
          <w:jc w:val="center"/>
        </w:trPr>
        <w:tc>
          <w:tcPr>
            <w:tcW w:w="1555" w:type="dxa"/>
          </w:tcPr>
          <w:p w14:paraId="3A0A6108" w14:textId="77777777" w:rsidR="00196F32" w:rsidRPr="0036678D" w:rsidRDefault="00196F32" w:rsidP="00EE08AF">
            <w:pPr>
              <w:pStyle w:val="Tablehead"/>
              <w:rPr>
                <w:sz w:val="20"/>
                <w:szCs w:val="18"/>
              </w:rPr>
            </w:pPr>
          </w:p>
        </w:tc>
        <w:tc>
          <w:tcPr>
            <w:tcW w:w="5103" w:type="dxa"/>
          </w:tcPr>
          <w:p w14:paraId="3B394B2B" w14:textId="77777777" w:rsidR="00196F32" w:rsidRPr="0036678D" w:rsidRDefault="00196F32" w:rsidP="00EE08AF">
            <w:pPr>
              <w:pStyle w:val="Tablehead"/>
              <w:rPr>
                <w:sz w:val="20"/>
                <w:szCs w:val="18"/>
              </w:rPr>
            </w:pPr>
            <w:r w:rsidRPr="0036678D">
              <w:rPr>
                <w:sz w:val="20"/>
                <w:szCs w:val="18"/>
              </w:rPr>
              <w:t>Service-related minimum capabilities within</w:t>
            </w:r>
            <w:r w:rsidRPr="0036678D">
              <w:rPr>
                <w:sz w:val="20"/>
                <w:szCs w:val="18"/>
              </w:rPr>
              <w:br/>
              <w:t>the satellite radio interface(s)</w:t>
            </w:r>
          </w:p>
        </w:tc>
        <w:tc>
          <w:tcPr>
            <w:tcW w:w="3118" w:type="dxa"/>
          </w:tcPr>
          <w:p w14:paraId="2005939B" w14:textId="77777777" w:rsidR="00196F32" w:rsidRPr="0036678D" w:rsidRDefault="00196F32" w:rsidP="00EE08AF">
            <w:pPr>
              <w:pStyle w:val="Tablehead"/>
              <w:rPr>
                <w:sz w:val="20"/>
                <w:szCs w:val="18"/>
              </w:rPr>
            </w:pPr>
            <w:r w:rsidRPr="0036678D">
              <w:rPr>
                <w:rFonts w:eastAsia="SimSun"/>
                <w:sz w:val="20"/>
                <w:szCs w:val="18"/>
              </w:rPr>
              <w:t>ITU-R confirmation that the requirement is met by the candidate technology proposal</w:t>
            </w:r>
          </w:p>
        </w:tc>
      </w:tr>
      <w:tr w:rsidR="00196F32" w:rsidRPr="0036678D" w14:paraId="16975BB5" w14:textId="77777777" w:rsidTr="0021161E">
        <w:trPr>
          <w:jc w:val="center"/>
        </w:trPr>
        <w:tc>
          <w:tcPr>
            <w:tcW w:w="1555" w:type="dxa"/>
          </w:tcPr>
          <w:p w14:paraId="3AFFD82F" w14:textId="77777777" w:rsidR="00196F32" w:rsidRPr="0036678D" w:rsidRDefault="00196F32" w:rsidP="00EE08AF">
            <w:pPr>
              <w:pStyle w:val="Tabletext"/>
              <w:jc w:val="center"/>
              <w:rPr>
                <w:b/>
                <w:sz w:val="20"/>
                <w:szCs w:val="18"/>
                <w:lang w:eastAsia="ko-KR"/>
              </w:rPr>
            </w:pPr>
            <w:r w:rsidRPr="0036678D">
              <w:rPr>
                <w:b/>
                <w:sz w:val="20"/>
                <w:szCs w:val="18"/>
                <w:lang w:eastAsia="ko-KR"/>
              </w:rPr>
              <w:t>8.2.6.1</w:t>
            </w:r>
          </w:p>
        </w:tc>
        <w:tc>
          <w:tcPr>
            <w:tcW w:w="5103" w:type="dxa"/>
          </w:tcPr>
          <w:p w14:paraId="041558A5" w14:textId="77777777" w:rsidR="00196F32" w:rsidRPr="0036678D" w:rsidRDefault="00196F32" w:rsidP="00EE08AF">
            <w:pPr>
              <w:pStyle w:val="Tabletext"/>
              <w:rPr>
                <w:b/>
                <w:sz w:val="20"/>
                <w:szCs w:val="18"/>
                <w:lang w:eastAsia="ko-KR"/>
              </w:rPr>
            </w:pPr>
            <w:r w:rsidRPr="0036678D">
              <w:rPr>
                <w:b/>
                <w:sz w:val="20"/>
                <w:szCs w:val="18"/>
                <w:lang w:eastAsia="ko-KR"/>
              </w:rPr>
              <w:t>Support of a wide range of services</w:t>
            </w:r>
          </w:p>
          <w:p w14:paraId="41F6760D" w14:textId="77777777" w:rsidR="00196F32" w:rsidRPr="0036678D" w:rsidRDefault="00196F32" w:rsidP="00EE08AF">
            <w:pPr>
              <w:pStyle w:val="Tabletext"/>
              <w:rPr>
                <w:sz w:val="20"/>
                <w:szCs w:val="18"/>
                <w:lang w:eastAsia="ko-KR"/>
              </w:rPr>
            </w:pPr>
            <w:r w:rsidRPr="0036678D">
              <w:rPr>
                <w:sz w:val="20"/>
                <w:szCs w:val="18"/>
                <w:lang w:eastAsia="ko-KR"/>
              </w:rPr>
              <w:t>Does the proposal support a wide range of services?</w:t>
            </w:r>
          </w:p>
          <w:p w14:paraId="271BAED6" w14:textId="77777777" w:rsidR="00196F32" w:rsidRPr="0036678D" w:rsidRDefault="00196F32" w:rsidP="00EE08AF">
            <w:pPr>
              <w:pStyle w:val="Tabletext"/>
              <w:rPr>
                <w:sz w:val="20"/>
                <w:szCs w:val="18"/>
                <w:lang w:eastAsia="ko-KR"/>
              </w:rPr>
            </w:pPr>
            <w:r w:rsidRPr="0036678D">
              <w:rPr>
                <w:sz w:val="20"/>
                <w:szCs w:val="18"/>
                <w:lang w:eastAsia="ko-KR"/>
              </w:rPr>
              <w:t>Yes/No</w:t>
            </w:r>
          </w:p>
        </w:tc>
        <w:tc>
          <w:tcPr>
            <w:tcW w:w="3118" w:type="dxa"/>
          </w:tcPr>
          <w:p w14:paraId="6C0F009C" w14:textId="77777777" w:rsidR="00196F32" w:rsidRPr="0036678D" w:rsidRDefault="00196F32" w:rsidP="00EE08AF">
            <w:pPr>
              <w:jc w:val="center"/>
              <w:rPr>
                <w:sz w:val="20"/>
                <w:szCs w:val="18"/>
                <w:lang w:eastAsia="ko-KR"/>
              </w:rPr>
            </w:pPr>
            <w:r w:rsidRPr="0036678D">
              <w:rPr>
                <w:sz w:val="20"/>
                <w:szCs w:val="18"/>
                <w:lang w:eastAsia="ko-KR"/>
              </w:rPr>
              <w:t>Yes</w:t>
            </w:r>
          </w:p>
        </w:tc>
      </w:tr>
    </w:tbl>
    <w:p w14:paraId="47A5EC1F" w14:textId="77777777" w:rsidR="00196F32" w:rsidRPr="00B02693" w:rsidRDefault="00196F32" w:rsidP="00196F32">
      <w:pPr>
        <w:pStyle w:val="Tablefin"/>
      </w:pPr>
    </w:p>
    <w:p w14:paraId="43603209" w14:textId="329808DC" w:rsidR="00196F32" w:rsidRPr="00B02693" w:rsidRDefault="00196F32" w:rsidP="00196F32">
      <w:pPr>
        <w:pStyle w:val="TableNo"/>
        <w:rPr>
          <w:szCs w:val="24"/>
          <w:lang w:eastAsia="zh-CN"/>
        </w:rPr>
      </w:pPr>
      <w:r w:rsidRPr="00B02693">
        <w:rPr>
          <w:szCs w:val="24"/>
          <w:lang w:eastAsia="zh-CN"/>
        </w:rPr>
        <w:t>TABLE B.2</w:t>
      </w:r>
    </w:p>
    <w:p w14:paraId="5C6C55C4" w14:textId="77777777" w:rsidR="00196F32" w:rsidRPr="00B02693" w:rsidRDefault="00196F32" w:rsidP="00196F32">
      <w:pPr>
        <w:pStyle w:val="Tabletitle"/>
        <w:rPr>
          <w:szCs w:val="24"/>
          <w:lang w:eastAsia="zh-CN"/>
        </w:rPr>
      </w:pPr>
      <w:r w:rsidRPr="00B02693">
        <w:rPr>
          <w:szCs w:val="24"/>
          <w:lang w:eastAsia="zh-CN"/>
        </w:rPr>
        <w:t>Compliance template for spectrum</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6"/>
        <w:gridCol w:w="5029"/>
        <w:gridCol w:w="3074"/>
      </w:tblGrid>
      <w:tr w:rsidR="00196F32" w:rsidRPr="0036678D" w14:paraId="76302465" w14:textId="77777777" w:rsidTr="0021161E">
        <w:trPr>
          <w:jc w:val="center"/>
        </w:trPr>
        <w:tc>
          <w:tcPr>
            <w:tcW w:w="1555" w:type="dxa"/>
          </w:tcPr>
          <w:p w14:paraId="43231985" w14:textId="77777777" w:rsidR="00196F32" w:rsidRPr="0036678D" w:rsidRDefault="00196F32" w:rsidP="00EE08AF">
            <w:pPr>
              <w:pStyle w:val="Tablehead"/>
              <w:rPr>
                <w:sz w:val="20"/>
                <w:szCs w:val="18"/>
              </w:rPr>
            </w:pPr>
          </w:p>
        </w:tc>
        <w:tc>
          <w:tcPr>
            <w:tcW w:w="5103" w:type="dxa"/>
          </w:tcPr>
          <w:p w14:paraId="3496CA93" w14:textId="77777777" w:rsidR="00196F32" w:rsidRPr="0036678D" w:rsidRDefault="00196F32" w:rsidP="00EE08AF">
            <w:pPr>
              <w:pStyle w:val="Tablehead"/>
              <w:rPr>
                <w:sz w:val="20"/>
                <w:szCs w:val="18"/>
              </w:rPr>
            </w:pPr>
            <w:r w:rsidRPr="0036678D">
              <w:rPr>
                <w:sz w:val="20"/>
                <w:szCs w:val="18"/>
                <w:lang w:eastAsia="ko-KR"/>
              </w:rPr>
              <w:t>Spectrum capability requirements</w:t>
            </w:r>
          </w:p>
        </w:tc>
        <w:tc>
          <w:tcPr>
            <w:tcW w:w="3118" w:type="dxa"/>
          </w:tcPr>
          <w:p w14:paraId="17E63947" w14:textId="77777777" w:rsidR="00196F32" w:rsidRPr="0036678D" w:rsidRDefault="00196F32" w:rsidP="00EE08AF">
            <w:pPr>
              <w:pStyle w:val="Tablehead"/>
              <w:rPr>
                <w:sz w:val="20"/>
                <w:szCs w:val="18"/>
              </w:rPr>
            </w:pPr>
            <w:r w:rsidRPr="0036678D">
              <w:rPr>
                <w:rFonts w:eastAsia="SimSun"/>
                <w:sz w:val="20"/>
                <w:szCs w:val="18"/>
              </w:rPr>
              <w:t>ITU-R confirmation that the requirement is met by the candidate technology proposal</w:t>
            </w:r>
          </w:p>
        </w:tc>
      </w:tr>
      <w:tr w:rsidR="00196F32" w:rsidRPr="0036678D" w14:paraId="78E1FB61" w14:textId="77777777" w:rsidTr="0021161E">
        <w:trPr>
          <w:jc w:val="center"/>
        </w:trPr>
        <w:tc>
          <w:tcPr>
            <w:tcW w:w="1555" w:type="dxa"/>
          </w:tcPr>
          <w:p w14:paraId="2FF11B19" w14:textId="77777777" w:rsidR="00196F32" w:rsidRPr="0036678D" w:rsidRDefault="00196F32" w:rsidP="00EE08AF">
            <w:pPr>
              <w:pStyle w:val="Tabletext"/>
              <w:jc w:val="center"/>
              <w:rPr>
                <w:b/>
                <w:sz w:val="20"/>
                <w:szCs w:val="18"/>
                <w:lang w:eastAsia="ko-KR"/>
              </w:rPr>
            </w:pPr>
            <w:r w:rsidRPr="0036678D">
              <w:rPr>
                <w:b/>
                <w:sz w:val="20"/>
                <w:szCs w:val="18"/>
                <w:lang w:eastAsia="ko-KR"/>
              </w:rPr>
              <w:t>8.2.6.2</w:t>
            </w:r>
          </w:p>
        </w:tc>
        <w:tc>
          <w:tcPr>
            <w:tcW w:w="5103" w:type="dxa"/>
          </w:tcPr>
          <w:p w14:paraId="4FA950D8" w14:textId="77777777" w:rsidR="00196F32" w:rsidRPr="0036678D" w:rsidRDefault="00196F32" w:rsidP="00EE08AF">
            <w:pPr>
              <w:pStyle w:val="Tabletext"/>
              <w:rPr>
                <w:b/>
                <w:sz w:val="20"/>
                <w:szCs w:val="18"/>
                <w:lang w:eastAsia="ko-KR"/>
              </w:rPr>
            </w:pPr>
            <w:r w:rsidRPr="0036678D">
              <w:rPr>
                <w:b/>
                <w:sz w:val="20"/>
                <w:szCs w:val="18"/>
                <w:lang w:eastAsia="ko-KR"/>
              </w:rPr>
              <w:t>Spectrum bands</w:t>
            </w:r>
          </w:p>
          <w:p w14:paraId="2D8F423D" w14:textId="77777777" w:rsidR="00196F32" w:rsidRPr="0036678D" w:rsidRDefault="00196F32" w:rsidP="00EE08AF">
            <w:pPr>
              <w:pStyle w:val="Tabletext"/>
              <w:rPr>
                <w:sz w:val="20"/>
                <w:szCs w:val="18"/>
                <w:lang w:eastAsia="ko-KR"/>
              </w:rPr>
            </w:pPr>
            <w:r w:rsidRPr="0036678D">
              <w:rPr>
                <w:sz w:val="20"/>
                <w:szCs w:val="18"/>
                <w:lang w:eastAsia="ko-KR"/>
              </w:rPr>
              <w:t>Is the proposal able to utilize at least one band identified for IMT?</w:t>
            </w:r>
          </w:p>
          <w:p w14:paraId="6BECFAD8" w14:textId="77777777" w:rsidR="00196F32" w:rsidRPr="0036678D" w:rsidRDefault="00196F32" w:rsidP="00EE08AF">
            <w:pPr>
              <w:pStyle w:val="Tabletext"/>
              <w:rPr>
                <w:sz w:val="20"/>
                <w:szCs w:val="18"/>
                <w:lang w:eastAsia="ko-KR"/>
              </w:rPr>
            </w:pPr>
            <w:r w:rsidRPr="0036678D">
              <w:rPr>
                <w:sz w:val="20"/>
                <w:szCs w:val="18"/>
                <w:lang w:eastAsia="ko-KR"/>
              </w:rPr>
              <w:t>Yes/No</w:t>
            </w:r>
          </w:p>
          <w:p w14:paraId="7D6024C1" w14:textId="77777777" w:rsidR="00196F32" w:rsidRPr="0036678D" w:rsidRDefault="00196F32" w:rsidP="00EE08AF">
            <w:pPr>
              <w:pStyle w:val="Tabletext"/>
              <w:rPr>
                <w:sz w:val="20"/>
                <w:szCs w:val="18"/>
                <w:lang w:eastAsia="ko-KR"/>
              </w:rPr>
            </w:pPr>
            <w:r w:rsidRPr="0036678D">
              <w:rPr>
                <w:sz w:val="20"/>
                <w:szCs w:val="18"/>
                <w:lang w:eastAsia="ko-KR"/>
              </w:rPr>
              <w:t>Specify in which band(s) the candidate satellite radio interface(s) can be deployed</w:t>
            </w:r>
          </w:p>
        </w:tc>
        <w:tc>
          <w:tcPr>
            <w:tcW w:w="3118" w:type="dxa"/>
          </w:tcPr>
          <w:p w14:paraId="6C6EFCB7" w14:textId="77777777" w:rsidR="00196F32" w:rsidRPr="0036678D" w:rsidRDefault="00196F32" w:rsidP="00EE08AF">
            <w:pPr>
              <w:jc w:val="center"/>
              <w:rPr>
                <w:sz w:val="20"/>
                <w:szCs w:val="18"/>
                <w:lang w:eastAsia="ko-KR"/>
              </w:rPr>
            </w:pPr>
            <w:r w:rsidRPr="0036678D">
              <w:rPr>
                <w:sz w:val="20"/>
                <w:szCs w:val="18"/>
                <w:lang w:eastAsia="ko-KR"/>
              </w:rPr>
              <w:t>Yes</w:t>
            </w:r>
          </w:p>
        </w:tc>
      </w:tr>
    </w:tbl>
    <w:p w14:paraId="10759EAB" w14:textId="77777777" w:rsidR="00196F32" w:rsidRPr="00B02693" w:rsidRDefault="00196F32" w:rsidP="00196F32">
      <w:pPr>
        <w:pStyle w:val="Tablefin"/>
      </w:pPr>
    </w:p>
    <w:p w14:paraId="0B54C54A" w14:textId="77777777" w:rsidR="00196F32" w:rsidRPr="00B02693" w:rsidRDefault="00196F32" w:rsidP="00196F32">
      <w:pPr>
        <w:pStyle w:val="TableNo"/>
        <w:rPr>
          <w:szCs w:val="24"/>
          <w:lang w:eastAsia="zh-CN"/>
        </w:rPr>
      </w:pPr>
      <w:r w:rsidRPr="00B02693">
        <w:rPr>
          <w:szCs w:val="24"/>
          <w:lang w:eastAsia="zh-CN"/>
        </w:rPr>
        <w:lastRenderedPageBreak/>
        <w:t>TABLE B.3</w:t>
      </w:r>
    </w:p>
    <w:p w14:paraId="4E216014" w14:textId="77777777" w:rsidR="00196F32" w:rsidRPr="00B02693" w:rsidRDefault="00196F32" w:rsidP="00196F32">
      <w:pPr>
        <w:pStyle w:val="Tabletitle"/>
        <w:rPr>
          <w:szCs w:val="24"/>
          <w:lang w:eastAsia="zh-CN"/>
        </w:rPr>
      </w:pPr>
      <w:r w:rsidRPr="00B02693">
        <w:rPr>
          <w:szCs w:val="24"/>
          <w:lang w:eastAsia="zh-CN"/>
        </w:rPr>
        <w:t>Compliance template for technical performance</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981"/>
        <w:gridCol w:w="1348"/>
        <w:gridCol w:w="1180"/>
        <w:gridCol w:w="1711"/>
        <w:gridCol w:w="2404"/>
      </w:tblGrid>
      <w:tr w:rsidR="00196F32" w:rsidRPr="0055580E" w14:paraId="77079047" w14:textId="77777777" w:rsidTr="0021161E">
        <w:trPr>
          <w:cantSplit/>
          <w:trHeight w:val="243"/>
          <w:tblHeader/>
          <w:jc w:val="center"/>
        </w:trPr>
        <w:tc>
          <w:tcPr>
            <w:tcW w:w="2015" w:type="dxa"/>
            <w:vMerge w:val="restart"/>
            <w:tcBorders>
              <w:top w:val="single" w:sz="4" w:space="0" w:color="auto"/>
              <w:left w:val="single" w:sz="4" w:space="0" w:color="auto"/>
              <w:bottom w:val="single" w:sz="4" w:space="0" w:color="auto"/>
              <w:right w:val="single" w:sz="4" w:space="0" w:color="auto"/>
            </w:tcBorders>
            <w:vAlign w:val="center"/>
          </w:tcPr>
          <w:p w14:paraId="716FC1F2" w14:textId="1DF73196" w:rsidR="00196F32" w:rsidRPr="0055580E" w:rsidRDefault="00196F32" w:rsidP="00EE08AF">
            <w:pPr>
              <w:pStyle w:val="Tablehead"/>
              <w:keepLines/>
              <w:rPr>
                <w:sz w:val="20"/>
              </w:rPr>
            </w:pPr>
            <w:r w:rsidRPr="0055580E">
              <w:rPr>
                <w:sz w:val="20"/>
              </w:rPr>
              <w:t xml:space="preserve">Minimum technical requirements items (8.2.6.3), and Report </w:t>
            </w:r>
            <w:hyperlink r:id="rId59" w:history="1">
              <w:r w:rsidR="00F947C0" w:rsidRPr="0055580E">
                <w:rPr>
                  <w:rStyle w:val="Hyperlink"/>
                  <w:color w:val="auto"/>
                  <w:sz w:val="20"/>
                  <w:u w:val="none"/>
                </w:rPr>
                <w:t>ITU-R M.2514</w:t>
              </w:r>
            </w:hyperlink>
            <w:r w:rsidRPr="0055580E">
              <w:rPr>
                <w:sz w:val="20"/>
              </w:rPr>
              <w:t xml:space="preserve"> section reference</w:t>
            </w:r>
          </w:p>
        </w:tc>
        <w:tc>
          <w:tcPr>
            <w:tcW w:w="3509" w:type="dxa"/>
            <w:gridSpan w:val="3"/>
            <w:tcBorders>
              <w:top w:val="single" w:sz="4" w:space="0" w:color="auto"/>
              <w:left w:val="single" w:sz="4" w:space="0" w:color="auto"/>
              <w:bottom w:val="single" w:sz="4" w:space="0" w:color="auto"/>
              <w:right w:val="single" w:sz="4" w:space="0" w:color="auto"/>
            </w:tcBorders>
            <w:vAlign w:val="center"/>
          </w:tcPr>
          <w:p w14:paraId="67704338" w14:textId="77777777" w:rsidR="00196F32" w:rsidRPr="0055580E" w:rsidRDefault="00196F32" w:rsidP="00EE08AF">
            <w:pPr>
              <w:pStyle w:val="Tablehead"/>
              <w:keepLines/>
              <w:rPr>
                <w:sz w:val="20"/>
              </w:rPr>
            </w:pPr>
            <w:r w:rsidRPr="0055580E">
              <w:rPr>
                <w:sz w:val="20"/>
              </w:rPr>
              <w:t>Category</w:t>
            </w:r>
          </w:p>
        </w:tc>
        <w:tc>
          <w:tcPr>
            <w:tcW w:w="1711" w:type="dxa"/>
            <w:vMerge w:val="restart"/>
            <w:tcBorders>
              <w:left w:val="single" w:sz="4" w:space="0" w:color="auto"/>
            </w:tcBorders>
            <w:vAlign w:val="center"/>
          </w:tcPr>
          <w:p w14:paraId="58CFA12C" w14:textId="6105493D" w:rsidR="00196F32" w:rsidRPr="0055580E" w:rsidRDefault="00196F32" w:rsidP="00EE08AF">
            <w:pPr>
              <w:pStyle w:val="Tablehead"/>
              <w:keepLines/>
              <w:rPr>
                <w:sz w:val="20"/>
              </w:rPr>
            </w:pPr>
            <w:r w:rsidRPr="0055580E">
              <w:rPr>
                <w:sz w:val="20"/>
              </w:rPr>
              <w:t xml:space="preserve">Required </w:t>
            </w:r>
            <w:r w:rsidR="0021161E">
              <w:rPr>
                <w:sz w:val="20"/>
              </w:rPr>
              <w:br/>
            </w:r>
            <w:r w:rsidRPr="0055580E">
              <w:rPr>
                <w:sz w:val="20"/>
              </w:rPr>
              <w:t>value</w:t>
            </w:r>
          </w:p>
        </w:tc>
        <w:tc>
          <w:tcPr>
            <w:tcW w:w="2404" w:type="dxa"/>
            <w:vMerge w:val="restart"/>
            <w:tcMar>
              <w:left w:w="28" w:type="dxa"/>
              <w:right w:w="28" w:type="dxa"/>
            </w:tcMar>
            <w:vAlign w:val="center"/>
          </w:tcPr>
          <w:p w14:paraId="3066E90E" w14:textId="77777777" w:rsidR="00196F32" w:rsidRPr="0055580E" w:rsidRDefault="00196F32" w:rsidP="00EE08AF">
            <w:pPr>
              <w:pStyle w:val="Tablehead"/>
              <w:keepLines/>
              <w:rPr>
                <w:sz w:val="20"/>
              </w:rPr>
            </w:pPr>
            <w:r w:rsidRPr="0055580E">
              <w:rPr>
                <w:rFonts w:eastAsia="SimSun"/>
                <w:sz w:val="20"/>
              </w:rPr>
              <w:t>ITU-R confirmation that the requirement is met by the candidate technology proposal</w:t>
            </w:r>
          </w:p>
        </w:tc>
      </w:tr>
      <w:tr w:rsidR="00196F32" w:rsidRPr="0055580E" w14:paraId="02A00844" w14:textId="77777777" w:rsidTr="0021161E">
        <w:trPr>
          <w:cantSplit/>
          <w:trHeight w:val="395"/>
          <w:tblHeader/>
          <w:jc w:val="center"/>
        </w:trPr>
        <w:tc>
          <w:tcPr>
            <w:tcW w:w="2015" w:type="dxa"/>
            <w:vMerge/>
            <w:tcBorders>
              <w:top w:val="single" w:sz="4" w:space="0" w:color="auto"/>
              <w:left w:val="single" w:sz="4" w:space="0" w:color="auto"/>
              <w:bottom w:val="single" w:sz="4" w:space="0" w:color="auto"/>
              <w:right w:val="single" w:sz="4" w:space="0" w:color="auto"/>
            </w:tcBorders>
            <w:vAlign w:val="center"/>
          </w:tcPr>
          <w:p w14:paraId="7836FDF5" w14:textId="77777777" w:rsidR="00196F32" w:rsidRPr="0055580E" w:rsidRDefault="00196F32" w:rsidP="00EE08AF">
            <w:pPr>
              <w:pStyle w:val="Tablehead"/>
              <w:keepLines/>
              <w:jc w:val="left"/>
              <w:rPr>
                <w:sz w:val="20"/>
                <w:lang w:eastAsia="ko-KR"/>
              </w:rPr>
            </w:pPr>
          </w:p>
        </w:tc>
        <w:tc>
          <w:tcPr>
            <w:tcW w:w="981" w:type="dxa"/>
            <w:tcBorders>
              <w:top w:val="single" w:sz="4" w:space="0" w:color="auto"/>
              <w:left w:val="single" w:sz="4" w:space="0" w:color="auto"/>
              <w:bottom w:val="single" w:sz="4" w:space="0" w:color="auto"/>
              <w:right w:val="single" w:sz="4" w:space="0" w:color="auto"/>
            </w:tcBorders>
            <w:vAlign w:val="center"/>
          </w:tcPr>
          <w:p w14:paraId="70B99E1B" w14:textId="77777777" w:rsidR="00196F32" w:rsidRPr="0055580E" w:rsidRDefault="00196F32" w:rsidP="00EE08AF">
            <w:pPr>
              <w:pStyle w:val="Tablehead"/>
              <w:keepLines/>
              <w:rPr>
                <w:sz w:val="20"/>
              </w:rPr>
            </w:pPr>
            <w:r w:rsidRPr="0055580E">
              <w:rPr>
                <w:sz w:val="20"/>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14:paraId="1BF366A0" w14:textId="77777777" w:rsidR="00196F32" w:rsidRPr="0055580E" w:rsidRDefault="00196F32" w:rsidP="00EE08AF">
            <w:pPr>
              <w:pStyle w:val="Tablehead"/>
              <w:keepLines/>
              <w:rPr>
                <w:sz w:val="20"/>
              </w:rPr>
            </w:pPr>
            <w:r w:rsidRPr="0055580E">
              <w:rPr>
                <w:sz w:val="20"/>
              </w:rPr>
              <w:t>Test environment</w:t>
            </w:r>
          </w:p>
        </w:tc>
        <w:tc>
          <w:tcPr>
            <w:tcW w:w="1180" w:type="dxa"/>
            <w:tcBorders>
              <w:top w:val="single" w:sz="4" w:space="0" w:color="auto"/>
              <w:left w:val="single" w:sz="4" w:space="0" w:color="auto"/>
              <w:bottom w:val="single" w:sz="4" w:space="0" w:color="auto"/>
              <w:right w:val="single" w:sz="4" w:space="0" w:color="auto"/>
            </w:tcBorders>
            <w:vAlign w:val="center"/>
          </w:tcPr>
          <w:p w14:paraId="63B4C27E" w14:textId="77777777" w:rsidR="00196F32" w:rsidRPr="0055580E" w:rsidRDefault="00196F32" w:rsidP="00EE08AF">
            <w:pPr>
              <w:pStyle w:val="Tablehead"/>
              <w:keepLines/>
              <w:rPr>
                <w:sz w:val="20"/>
              </w:rPr>
            </w:pPr>
            <w:r w:rsidRPr="0055580E">
              <w:rPr>
                <w:sz w:val="20"/>
              </w:rPr>
              <w:t>Downlink or uplink</w:t>
            </w:r>
          </w:p>
        </w:tc>
        <w:tc>
          <w:tcPr>
            <w:tcW w:w="1711" w:type="dxa"/>
            <w:vMerge/>
            <w:tcBorders>
              <w:left w:val="single" w:sz="4" w:space="0" w:color="auto"/>
            </w:tcBorders>
            <w:vAlign w:val="center"/>
          </w:tcPr>
          <w:p w14:paraId="289648B9" w14:textId="77777777" w:rsidR="00196F32" w:rsidRPr="0055580E" w:rsidRDefault="00196F32" w:rsidP="00EE08AF">
            <w:pPr>
              <w:pStyle w:val="Tablehead"/>
              <w:keepLines/>
              <w:rPr>
                <w:sz w:val="20"/>
                <w:lang w:eastAsia="ko-KR"/>
              </w:rPr>
            </w:pPr>
          </w:p>
        </w:tc>
        <w:tc>
          <w:tcPr>
            <w:tcW w:w="2404" w:type="dxa"/>
            <w:vMerge/>
            <w:vAlign w:val="center"/>
          </w:tcPr>
          <w:p w14:paraId="287098BB" w14:textId="77777777" w:rsidR="00196F32" w:rsidRPr="0055580E" w:rsidRDefault="00196F32" w:rsidP="00EE08AF">
            <w:pPr>
              <w:pStyle w:val="Tablehead"/>
              <w:keepLines/>
              <w:rPr>
                <w:sz w:val="20"/>
                <w:lang w:eastAsia="ko-KR"/>
              </w:rPr>
            </w:pPr>
          </w:p>
        </w:tc>
      </w:tr>
      <w:tr w:rsidR="00196F32" w:rsidRPr="0055580E" w14:paraId="062613F3" w14:textId="77777777" w:rsidTr="0021161E">
        <w:trPr>
          <w:cantSplit/>
          <w:trHeight w:val="197"/>
          <w:tblHeader/>
          <w:jc w:val="center"/>
        </w:trPr>
        <w:tc>
          <w:tcPr>
            <w:tcW w:w="2015" w:type="dxa"/>
            <w:vMerge w:val="restart"/>
            <w:tcBorders>
              <w:top w:val="single" w:sz="4" w:space="0" w:color="auto"/>
              <w:left w:val="single" w:sz="4" w:space="0" w:color="auto"/>
              <w:right w:val="single" w:sz="4" w:space="0" w:color="auto"/>
            </w:tcBorders>
            <w:vAlign w:val="center"/>
          </w:tcPr>
          <w:p w14:paraId="06DEC5F9" w14:textId="3D06526D" w:rsidR="00196F32" w:rsidRPr="0055580E" w:rsidRDefault="00196F32" w:rsidP="009A5111">
            <w:pPr>
              <w:pStyle w:val="Tabletext"/>
              <w:jc w:val="left"/>
              <w:rPr>
                <w:sz w:val="20"/>
                <w:lang w:eastAsia="ko-KR"/>
              </w:rPr>
            </w:pPr>
            <w:r w:rsidRPr="0055580E">
              <w:rPr>
                <w:sz w:val="20"/>
                <w:lang w:eastAsia="ko-KR"/>
              </w:rPr>
              <w:t>Peak data rate</w:t>
            </w:r>
            <w:r w:rsidR="009A5111">
              <w:rPr>
                <w:sz w:val="20"/>
                <w:lang w:eastAsia="ko-KR"/>
              </w:rPr>
              <w:br/>
            </w:r>
            <w:r w:rsidRPr="0055580E">
              <w:rPr>
                <w:sz w:val="20"/>
                <w:lang w:eastAsia="ko-KR"/>
              </w:rPr>
              <w:t>(7.2.1)</w:t>
            </w:r>
          </w:p>
        </w:tc>
        <w:tc>
          <w:tcPr>
            <w:tcW w:w="981" w:type="dxa"/>
            <w:vMerge w:val="restart"/>
            <w:tcBorders>
              <w:top w:val="single" w:sz="4" w:space="0" w:color="auto"/>
              <w:left w:val="single" w:sz="4" w:space="0" w:color="auto"/>
              <w:right w:val="single" w:sz="4" w:space="0" w:color="auto"/>
            </w:tcBorders>
            <w:vAlign w:val="center"/>
          </w:tcPr>
          <w:p w14:paraId="2B5D9F80"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41BCB443"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7F5C421B"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116108DD" w14:textId="77777777" w:rsidR="00196F32" w:rsidRPr="0055580E" w:rsidRDefault="00196F32" w:rsidP="00EE08AF">
            <w:pPr>
              <w:pStyle w:val="Tabletext"/>
              <w:jc w:val="center"/>
              <w:rPr>
                <w:sz w:val="20"/>
                <w:lang w:eastAsia="ko-KR"/>
              </w:rPr>
            </w:pPr>
            <w:r w:rsidRPr="0055580E">
              <w:rPr>
                <w:sz w:val="20"/>
                <w:lang w:eastAsia="ko-KR"/>
              </w:rPr>
              <w:t>2 Mbit/s</w:t>
            </w:r>
          </w:p>
        </w:tc>
        <w:tc>
          <w:tcPr>
            <w:tcW w:w="2404" w:type="dxa"/>
            <w:vAlign w:val="center"/>
          </w:tcPr>
          <w:p w14:paraId="529DADEC"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2DAFFABE" w14:textId="77777777" w:rsidTr="0021161E">
        <w:trPr>
          <w:cantSplit/>
          <w:trHeight w:val="197"/>
          <w:tblHeader/>
          <w:jc w:val="center"/>
        </w:trPr>
        <w:tc>
          <w:tcPr>
            <w:tcW w:w="2015" w:type="dxa"/>
            <w:vMerge/>
            <w:tcBorders>
              <w:left w:val="single" w:sz="4" w:space="0" w:color="auto"/>
              <w:bottom w:val="single" w:sz="4" w:space="0" w:color="auto"/>
              <w:right w:val="single" w:sz="4" w:space="0" w:color="auto"/>
            </w:tcBorders>
            <w:vAlign w:val="center"/>
          </w:tcPr>
          <w:p w14:paraId="7DD80340"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6301B45F"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53717FBF"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443E970E"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3035D7AB" w14:textId="77777777" w:rsidR="00196F32" w:rsidRPr="0055580E" w:rsidRDefault="00196F32" w:rsidP="00EE08AF">
            <w:pPr>
              <w:pStyle w:val="Tabletext"/>
              <w:jc w:val="center"/>
              <w:rPr>
                <w:sz w:val="20"/>
                <w:lang w:eastAsia="ko-KR"/>
              </w:rPr>
            </w:pPr>
            <w:r w:rsidRPr="0055580E">
              <w:rPr>
                <w:sz w:val="20"/>
                <w:lang w:eastAsia="ko-KR"/>
              </w:rPr>
              <w:t>70 Mbit/s</w:t>
            </w:r>
          </w:p>
        </w:tc>
        <w:tc>
          <w:tcPr>
            <w:tcW w:w="2404" w:type="dxa"/>
            <w:vAlign w:val="center"/>
          </w:tcPr>
          <w:p w14:paraId="1C9F7DF6"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29879E7F" w14:textId="77777777" w:rsidTr="0021161E">
        <w:trPr>
          <w:cantSplit/>
          <w:trHeight w:val="197"/>
          <w:tblHeader/>
          <w:jc w:val="center"/>
        </w:trPr>
        <w:tc>
          <w:tcPr>
            <w:tcW w:w="2015" w:type="dxa"/>
            <w:vMerge w:val="restart"/>
            <w:tcBorders>
              <w:top w:val="single" w:sz="4" w:space="0" w:color="auto"/>
              <w:left w:val="single" w:sz="4" w:space="0" w:color="auto"/>
              <w:right w:val="single" w:sz="4" w:space="0" w:color="auto"/>
            </w:tcBorders>
            <w:vAlign w:val="center"/>
          </w:tcPr>
          <w:p w14:paraId="6BE92627" w14:textId="3178E150" w:rsidR="00196F32" w:rsidRPr="0055580E" w:rsidRDefault="00196F32" w:rsidP="009A5111">
            <w:pPr>
              <w:pStyle w:val="Tabletext"/>
              <w:jc w:val="left"/>
              <w:rPr>
                <w:sz w:val="20"/>
                <w:lang w:eastAsia="ko-KR"/>
              </w:rPr>
            </w:pPr>
            <w:r w:rsidRPr="0055580E">
              <w:rPr>
                <w:sz w:val="20"/>
                <w:lang w:eastAsia="ko-KR"/>
              </w:rPr>
              <w:t>Peak spectral efficiency</w:t>
            </w:r>
            <w:r w:rsidR="009A5111">
              <w:rPr>
                <w:sz w:val="20"/>
                <w:lang w:eastAsia="ko-KR"/>
              </w:rPr>
              <w:br/>
            </w:r>
            <w:r w:rsidRPr="0055580E">
              <w:rPr>
                <w:sz w:val="20"/>
                <w:lang w:eastAsia="ko-KR"/>
              </w:rPr>
              <w:t>(7.2.2)</w:t>
            </w:r>
          </w:p>
        </w:tc>
        <w:tc>
          <w:tcPr>
            <w:tcW w:w="981" w:type="dxa"/>
            <w:vMerge w:val="restart"/>
            <w:tcBorders>
              <w:top w:val="single" w:sz="4" w:space="0" w:color="auto"/>
              <w:left w:val="single" w:sz="4" w:space="0" w:color="auto"/>
              <w:right w:val="single" w:sz="4" w:space="0" w:color="auto"/>
            </w:tcBorders>
            <w:vAlign w:val="center"/>
          </w:tcPr>
          <w:p w14:paraId="6A699F40"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710F4878"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725C04D9"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4F32F058" w14:textId="77777777" w:rsidR="00196F32" w:rsidRPr="0055580E" w:rsidRDefault="00196F32" w:rsidP="00EE08AF">
            <w:pPr>
              <w:pStyle w:val="Tabletext"/>
              <w:jc w:val="center"/>
              <w:rPr>
                <w:sz w:val="20"/>
                <w:lang w:eastAsia="ko-KR"/>
              </w:rPr>
            </w:pPr>
            <w:r w:rsidRPr="0055580E">
              <w:rPr>
                <w:sz w:val="20"/>
                <w:lang w:eastAsia="ko-KR"/>
              </w:rPr>
              <w:t>1.5 bit/s/Hz</w:t>
            </w:r>
          </w:p>
        </w:tc>
        <w:tc>
          <w:tcPr>
            <w:tcW w:w="2404" w:type="dxa"/>
            <w:vAlign w:val="center"/>
          </w:tcPr>
          <w:p w14:paraId="703B2F04"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67F00507" w14:textId="77777777" w:rsidTr="0021161E">
        <w:trPr>
          <w:cantSplit/>
          <w:trHeight w:val="197"/>
          <w:tblHeader/>
          <w:jc w:val="center"/>
        </w:trPr>
        <w:tc>
          <w:tcPr>
            <w:tcW w:w="2015" w:type="dxa"/>
            <w:vMerge/>
            <w:tcBorders>
              <w:left w:val="single" w:sz="4" w:space="0" w:color="auto"/>
              <w:bottom w:val="single" w:sz="4" w:space="0" w:color="auto"/>
              <w:right w:val="single" w:sz="4" w:space="0" w:color="auto"/>
            </w:tcBorders>
            <w:vAlign w:val="center"/>
          </w:tcPr>
          <w:p w14:paraId="52D8334B"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4B34B730"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40647857"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69697B84"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0EB475F6" w14:textId="77777777" w:rsidR="00196F32" w:rsidRPr="0055580E" w:rsidRDefault="00196F32" w:rsidP="00EE08AF">
            <w:pPr>
              <w:pStyle w:val="Tabletext"/>
              <w:jc w:val="center"/>
              <w:rPr>
                <w:sz w:val="20"/>
                <w:lang w:eastAsia="ko-KR"/>
              </w:rPr>
            </w:pPr>
            <w:r w:rsidRPr="0055580E">
              <w:rPr>
                <w:sz w:val="20"/>
                <w:lang w:eastAsia="ko-KR"/>
              </w:rPr>
              <w:t>3 bit/s/Hz</w:t>
            </w:r>
          </w:p>
        </w:tc>
        <w:tc>
          <w:tcPr>
            <w:tcW w:w="2404" w:type="dxa"/>
            <w:vAlign w:val="center"/>
          </w:tcPr>
          <w:p w14:paraId="3C1E0D46"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5EB3D50D" w14:textId="77777777" w:rsidTr="0021161E">
        <w:trPr>
          <w:cantSplit/>
          <w:trHeight w:val="188"/>
          <w:tblHeader/>
          <w:jc w:val="center"/>
        </w:trPr>
        <w:tc>
          <w:tcPr>
            <w:tcW w:w="2015" w:type="dxa"/>
            <w:vMerge w:val="restart"/>
            <w:tcBorders>
              <w:top w:val="single" w:sz="4" w:space="0" w:color="auto"/>
              <w:left w:val="single" w:sz="4" w:space="0" w:color="auto"/>
              <w:right w:val="single" w:sz="4" w:space="0" w:color="auto"/>
            </w:tcBorders>
            <w:vAlign w:val="center"/>
          </w:tcPr>
          <w:p w14:paraId="0C8D3874" w14:textId="1A353A32" w:rsidR="00196F32" w:rsidRPr="0055580E" w:rsidRDefault="00196F32" w:rsidP="009A5111">
            <w:pPr>
              <w:pStyle w:val="Tabletext"/>
              <w:jc w:val="left"/>
              <w:rPr>
                <w:sz w:val="20"/>
                <w:lang w:eastAsia="ko-KR"/>
              </w:rPr>
            </w:pPr>
            <w:r w:rsidRPr="0055580E">
              <w:rPr>
                <w:sz w:val="20"/>
                <w:lang w:eastAsia="ko-KR"/>
              </w:rPr>
              <w:t>User experienced data</w:t>
            </w:r>
            <w:r w:rsidR="009A5111">
              <w:rPr>
                <w:sz w:val="20"/>
                <w:lang w:eastAsia="ko-KR"/>
              </w:rPr>
              <w:t> </w:t>
            </w:r>
            <w:r w:rsidRPr="0055580E">
              <w:rPr>
                <w:sz w:val="20"/>
                <w:lang w:eastAsia="ko-KR"/>
              </w:rPr>
              <w:t>rate</w:t>
            </w:r>
            <w:r w:rsidR="009A5111">
              <w:rPr>
                <w:sz w:val="20"/>
                <w:lang w:eastAsia="ko-KR"/>
              </w:rPr>
              <w:br/>
            </w:r>
            <w:r w:rsidRPr="0055580E">
              <w:rPr>
                <w:sz w:val="20"/>
                <w:lang w:eastAsia="ko-KR"/>
              </w:rPr>
              <w:t>(7.2.3)</w:t>
            </w:r>
          </w:p>
        </w:tc>
        <w:tc>
          <w:tcPr>
            <w:tcW w:w="981" w:type="dxa"/>
            <w:vMerge w:val="restart"/>
            <w:tcBorders>
              <w:top w:val="single" w:sz="4" w:space="0" w:color="auto"/>
              <w:left w:val="single" w:sz="4" w:space="0" w:color="auto"/>
              <w:right w:val="single" w:sz="4" w:space="0" w:color="auto"/>
            </w:tcBorders>
            <w:vAlign w:val="center"/>
          </w:tcPr>
          <w:p w14:paraId="20BB769C"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52C2088D"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78CEE6CE"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34796805" w14:textId="77777777" w:rsidR="00196F32" w:rsidRPr="0055580E" w:rsidRDefault="00196F32" w:rsidP="00EE08AF">
            <w:pPr>
              <w:pStyle w:val="Tabletext"/>
              <w:jc w:val="center"/>
              <w:rPr>
                <w:sz w:val="20"/>
                <w:lang w:eastAsia="ko-KR"/>
              </w:rPr>
            </w:pPr>
            <w:r w:rsidRPr="0055580E">
              <w:rPr>
                <w:sz w:val="20"/>
                <w:lang w:eastAsia="ko-KR"/>
              </w:rPr>
              <w:t>100 kbit/s</w:t>
            </w:r>
          </w:p>
        </w:tc>
        <w:tc>
          <w:tcPr>
            <w:tcW w:w="2404" w:type="dxa"/>
            <w:vAlign w:val="center"/>
          </w:tcPr>
          <w:p w14:paraId="309852F9"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348DFEB5" w14:textId="77777777" w:rsidTr="0021161E">
        <w:trPr>
          <w:cantSplit/>
          <w:trHeight w:val="207"/>
          <w:tblHeader/>
          <w:jc w:val="center"/>
        </w:trPr>
        <w:tc>
          <w:tcPr>
            <w:tcW w:w="2015" w:type="dxa"/>
            <w:vMerge/>
            <w:tcBorders>
              <w:left w:val="single" w:sz="4" w:space="0" w:color="auto"/>
              <w:bottom w:val="single" w:sz="4" w:space="0" w:color="auto"/>
              <w:right w:val="single" w:sz="4" w:space="0" w:color="auto"/>
            </w:tcBorders>
            <w:vAlign w:val="center"/>
          </w:tcPr>
          <w:p w14:paraId="34012F36"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2C7CFC24"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51E1BC88"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5C0A83DF"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1A71F361" w14:textId="77777777" w:rsidR="00196F32" w:rsidRPr="0055580E" w:rsidRDefault="00196F32" w:rsidP="00EE08AF">
            <w:pPr>
              <w:pStyle w:val="Tabletext"/>
              <w:jc w:val="center"/>
              <w:rPr>
                <w:sz w:val="20"/>
                <w:lang w:eastAsia="ko-KR"/>
              </w:rPr>
            </w:pPr>
            <w:r w:rsidRPr="0055580E">
              <w:rPr>
                <w:sz w:val="20"/>
                <w:lang w:eastAsia="ko-KR"/>
              </w:rPr>
              <w:t>1 Mbit/s</w:t>
            </w:r>
          </w:p>
        </w:tc>
        <w:tc>
          <w:tcPr>
            <w:tcW w:w="2404" w:type="dxa"/>
            <w:vAlign w:val="center"/>
          </w:tcPr>
          <w:p w14:paraId="2092A343"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740CFB5B" w14:textId="77777777" w:rsidTr="0021161E">
        <w:trPr>
          <w:cantSplit/>
          <w:trHeight w:val="188"/>
          <w:tblHeader/>
          <w:jc w:val="center"/>
        </w:trPr>
        <w:tc>
          <w:tcPr>
            <w:tcW w:w="2015" w:type="dxa"/>
            <w:vMerge w:val="restart"/>
            <w:tcBorders>
              <w:top w:val="single" w:sz="4" w:space="0" w:color="auto"/>
              <w:left w:val="single" w:sz="4" w:space="0" w:color="auto"/>
              <w:right w:val="single" w:sz="4" w:space="0" w:color="auto"/>
            </w:tcBorders>
            <w:vAlign w:val="center"/>
          </w:tcPr>
          <w:p w14:paraId="0045AB8B" w14:textId="0AFD8AB2" w:rsidR="00196F32" w:rsidRPr="0055580E" w:rsidRDefault="00196F32" w:rsidP="009A5111">
            <w:pPr>
              <w:pStyle w:val="Tabletext"/>
              <w:jc w:val="left"/>
              <w:rPr>
                <w:sz w:val="20"/>
                <w:lang w:eastAsia="ko-KR"/>
              </w:rPr>
            </w:pPr>
            <w:r w:rsidRPr="0055580E">
              <w:rPr>
                <w:sz w:val="20"/>
                <w:lang w:eastAsia="ko-KR"/>
              </w:rPr>
              <w:t>5</w:t>
            </w:r>
            <w:r w:rsidRPr="0055580E">
              <w:rPr>
                <w:sz w:val="20"/>
                <w:vertAlign w:val="superscript"/>
                <w:lang w:eastAsia="ko-KR"/>
              </w:rPr>
              <w:t>th</w:t>
            </w:r>
            <w:r w:rsidRPr="0055580E">
              <w:rPr>
                <w:sz w:val="20"/>
                <w:lang w:eastAsia="ko-KR"/>
              </w:rPr>
              <w:t xml:space="preserve"> percentile user spectral efficiency</w:t>
            </w:r>
            <w:r w:rsidR="009A5111">
              <w:rPr>
                <w:sz w:val="20"/>
                <w:lang w:eastAsia="ko-KR"/>
              </w:rPr>
              <w:br/>
            </w:r>
            <w:r w:rsidRPr="0055580E">
              <w:rPr>
                <w:sz w:val="20"/>
                <w:lang w:eastAsia="ko-KR"/>
              </w:rPr>
              <w:t>(7.2.4)</w:t>
            </w:r>
          </w:p>
        </w:tc>
        <w:tc>
          <w:tcPr>
            <w:tcW w:w="981" w:type="dxa"/>
            <w:vMerge w:val="restart"/>
            <w:tcBorders>
              <w:top w:val="single" w:sz="4" w:space="0" w:color="auto"/>
              <w:left w:val="single" w:sz="4" w:space="0" w:color="auto"/>
              <w:right w:val="single" w:sz="4" w:space="0" w:color="auto"/>
            </w:tcBorders>
            <w:vAlign w:val="center"/>
          </w:tcPr>
          <w:p w14:paraId="0BD2A673"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2B48510A"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1059A486"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5A09603D" w14:textId="77777777" w:rsidR="00196F32" w:rsidRPr="0055580E" w:rsidRDefault="00196F32" w:rsidP="00EE08AF">
            <w:pPr>
              <w:pStyle w:val="Tabletext"/>
              <w:jc w:val="center"/>
              <w:rPr>
                <w:sz w:val="20"/>
                <w:lang w:eastAsia="ko-KR"/>
              </w:rPr>
            </w:pPr>
            <w:r w:rsidRPr="0055580E">
              <w:rPr>
                <w:sz w:val="20"/>
                <w:lang w:eastAsia="ko-KR"/>
              </w:rPr>
              <w:t>0.003 bit/s/Hz</w:t>
            </w:r>
          </w:p>
        </w:tc>
        <w:tc>
          <w:tcPr>
            <w:tcW w:w="2404" w:type="dxa"/>
            <w:vAlign w:val="center"/>
          </w:tcPr>
          <w:p w14:paraId="34BDE528"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3F59358F" w14:textId="77777777" w:rsidTr="0021161E">
        <w:trPr>
          <w:cantSplit/>
          <w:trHeight w:val="207"/>
          <w:tblHeader/>
          <w:jc w:val="center"/>
        </w:trPr>
        <w:tc>
          <w:tcPr>
            <w:tcW w:w="2015" w:type="dxa"/>
            <w:vMerge/>
            <w:tcBorders>
              <w:left w:val="single" w:sz="4" w:space="0" w:color="auto"/>
              <w:bottom w:val="single" w:sz="4" w:space="0" w:color="auto"/>
              <w:right w:val="single" w:sz="4" w:space="0" w:color="auto"/>
            </w:tcBorders>
            <w:vAlign w:val="center"/>
          </w:tcPr>
          <w:p w14:paraId="3113CB5E"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5F6DB1FC"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0E51EC6A"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77E74624"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7E7AD6A6" w14:textId="77777777" w:rsidR="00196F32" w:rsidRPr="0055580E" w:rsidRDefault="00196F32" w:rsidP="00EE08AF">
            <w:pPr>
              <w:pStyle w:val="Tabletext"/>
              <w:jc w:val="center"/>
              <w:rPr>
                <w:sz w:val="20"/>
                <w:lang w:eastAsia="ko-KR"/>
              </w:rPr>
            </w:pPr>
            <w:r w:rsidRPr="0055580E">
              <w:rPr>
                <w:sz w:val="20"/>
                <w:lang w:eastAsia="ko-KR"/>
              </w:rPr>
              <w:t>0.03 bit/s/Hz</w:t>
            </w:r>
          </w:p>
        </w:tc>
        <w:tc>
          <w:tcPr>
            <w:tcW w:w="2404" w:type="dxa"/>
            <w:vAlign w:val="center"/>
          </w:tcPr>
          <w:p w14:paraId="49899D02"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3AB4D671" w14:textId="77777777" w:rsidTr="0021161E">
        <w:trPr>
          <w:cantSplit/>
          <w:trHeight w:val="188"/>
          <w:tblHeader/>
          <w:jc w:val="center"/>
        </w:trPr>
        <w:tc>
          <w:tcPr>
            <w:tcW w:w="2015" w:type="dxa"/>
            <w:vMerge w:val="restart"/>
            <w:tcBorders>
              <w:top w:val="single" w:sz="4" w:space="0" w:color="auto"/>
              <w:left w:val="single" w:sz="4" w:space="0" w:color="auto"/>
              <w:right w:val="single" w:sz="4" w:space="0" w:color="auto"/>
            </w:tcBorders>
            <w:vAlign w:val="center"/>
          </w:tcPr>
          <w:p w14:paraId="332909FA" w14:textId="17474427" w:rsidR="00196F32" w:rsidRPr="0055580E" w:rsidRDefault="00196F32" w:rsidP="009A5111">
            <w:pPr>
              <w:pStyle w:val="Tabletext"/>
              <w:jc w:val="left"/>
              <w:rPr>
                <w:sz w:val="20"/>
                <w:lang w:eastAsia="ko-KR"/>
              </w:rPr>
            </w:pPr>
            <w:r w:rsidRPr="0055580E">
              <w:rPr>
                <w:sz w:val="20"/>
                <w:lang w:eastAsia="ko-KR"/>
              </w:rPr>
              <w:t>Average spectral efficiency</w:t>
            </w:r>
            <w:r w:rsidR="009A5111">
              <w:rPr>
                <w:sz w:val="20"/>
                <w:lang w:eastAsia="ko-KR"/>
              </w:rPr>
              <w:br/>
            </w:r>
            <w:r w:rsidRPr="0055580E">
              <w:rPr>
                <w:sz w:val="20"/>
                <w:lang w:eastAsia="ko-KR"/>
              </w:rPr>
              <w:t>(7.2.5)</w:t>
            </w:r>
          </w:p>
        </w:tc>
        <w:tc>
          <w:tcPr>
            <w:tcW w:w="981" w:type="dxa"/>
            <w:vMerge w:val="restart"/>
            <w:tcBorders>
              <w:top w:val="single" w:sz="4" w:space="0" w:color="auto"/>
              <w:left w:val="single" w:sz="4" w:space="0" w:color="auto"/>
              <w:right w:val="single" w:sz="4" w:space="0" w:color="auto"/>
            </w:tcBorders>
            <w:vAlign w:val="center"/>
          </w:tcPr>
          <w:p w14:paraId="487081A7"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1F2AC899"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475E62C2"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0AFF89C4" w14:textId="77777777" w:rsidR="00196F32" w:rsidRPr="0055580E" w:rsidRDefault="00196F32" w:rsidP="00EE08AF">
            <w:pPr>
              <w:pStyle w:val="Tabletext"/>
              <w:jc w:val="center"/>
              <w:rPr>
                <w:sz w:val="20"/>
                <w:lang w:eastAsia="ko-KR"/>
              </w:rPr>
            </w:pPr>
            <w:r w:rsidRPr="0055580E">
              <w:rPr>
                <w:sz w:val="20"/>
                <w:lang w:eastAsia="ko-KR"/>
              </w:rPr>
              <w:t>0.1 bit/s/Hz</w:t>
            </w:r>
          </w:p>
        </w:tc>
        <w:tc>
          <w:tcPr>
            <w:tcW w:w="2404" w:type="dxa"/>
            <w:vAlign w:val="center"/>
          </w:tcPr>
          <w:p w14:paraId="0854DD27"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415CC019" w14:textId="77777777" w:rsidTr="0021161E">
        <w:trPr>
          <w:cantSplit/>
          <w:trHeight w:val="207"/>
          <w:tblHeader/>
          <w:jc w:val="center"/>
        </w:trPr>
        <w:tc>
          <w:tcPr>
            <w:tcW w:w="2015" w:type="dxa"/>
            <w:vMerge/>
            <w:tcBorders>
              <w:left w:val="single" w:sz="4" w:space="0" w:color="auto"/>
              <w:bottom w:val="single" w:sz="4" w:space="0" w:color="auto"/>
              <w:right w:val="single" w:sz="4" w:space="0" w:color="auto"/>
            </w:tcBorders>
            <w:vAlign w:val="center"/>
          </w:tcPr>
          <w:p w14:paraId="46938C82"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258240CD"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10FCCFB1"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4DB87D43"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39AA4384" w14:textId="77777777" w:rsidR="00196F32" w:rsidRPr="0055580E" w:rsidRDefault="00196F32" w:rsidP="00EE08AF">
            <w:pPr>
              <w:pStyle w:val="Tabletext"/>
              <w:jc w:val="center"/>
              <w:rPr>
                <w:sz w:val="20"/>
                <w:lang w:eastAsia="ko-KR"/>
              </w:rPr>
            </w:pPr>
            <w:r w:rsidRPr="0055580E">
              <w:rPr>
                <w:sz w:val="20"/>
                <w:lang w:eastAsia="ko-KR"/>
              </w:rPr>
              <w:t>0.5 bit/s/Hz</w:t>
            </w:r>
          </w:p>
        </w:tc>
        <w:tc>
          <w:tcPr>
            <w:tcW w:w="2404" w:type="dxa"/>
            <w:vAlign w:val="center"/>
          </w:tcPr>
          <w:p w14:paraId="53ECE011"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291CEA8F" w14:textId="77777777" w:rsidTr="0021161E">
        <w:trPr>
          <w:cantSplit/>
          <w:trHeight w:val="188"/>
          <w:tblHeader/>
          <w:jc w:val="center"/>
        </w:trPr>
        <w:tc>
          <w:tcPr>
            <w:tcW w:w="2015" w:type="dxa"/>
            <w:vMerge w:val="restart"/>
            <w:tcBorders>
              <w:top w:val="single" w:sz="4" w:space="0" w:color="auto"/>
              <w:left w:val="single" w:sz="4" w:space="0" w:color="auto"/>
              <w:right w:val="single" w:sz="4" w:space="0" w:color="auto"/>
            </w:tcBorders>
            <w:vAlign w:val="center"/>
          </w:tcPr>
          <w:p w14:paraId="6F1E4CA6" w14:textId="0195689E" w:rsidR="00196F32" w:rsidRPr="0055580E" w:rsidRDefault="00196F32" w:rsidP="009A5111">
            <w:pPr>
              <w:pStyle w:val="Tabletext"/>
              <w:jc w:val="left"/>
              <w:rPr>
                <w:sz w:val="20"/>
                <w:lang w:eastAsia="ko-KR"/>
              </w:rPr>
            </w:pPr>
            <w:r w:rsidRPr="0055580E">
              <w:rPr>
                <w:sz w:val="20"/>
                <w:lang w:eastAsia="ko-KR"/>
              </w:rPr>
              <w:t>Area traffic capacity</w:t>
            </w:r>
            <w:r w:rsidR="009A5111">
              <w:rPr>
                <w:sz w:val="20"/>
                <w:lang w:eastAsia="ko-KR"/>
              </w:rPr>
              <w:br/>
            </w:r>
            <w:r w:rsidRPr="0055580E">
              <w:rPr>
                <w:sz w:val="20"/>
                <w:lang w:eastAsia="ko-KR"/>
              </w:rPr>
              <w:t>(7.2.6)</w:t>
            </w:r>
          </w:p>
        </w:tc>
        <w:tc>
          <w:tcPr>
            <w:tcW w:w="981" w:type="dxa"/>
            <w:vMerge w:val="restart"/>
            <w:tcBorders>
              <w:top w:val="single" w:sz="4" w:space="0" w:color="auto"/>
              <w:left w:val="single" w:sz="4" w:space="0" w:color="auto"/>
              <w:right w:val="single" w:sz="4" w:space="0" w:color="auto"/>
            </w:tcBorders>
            <w:vAlign w:val="center"/>
          </w:tcPr>
          <w:p w14:paraId="786F79A8"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vMerge w:val="restart"/>
            <w:tcBorders>
              <w:top w:val="single" w:sz="4" w:space="0" w:color="auto"/>
              <w:left w:val="single" w:sz="4" w:space="0" w:color="auto"/>
              <w:right w:val="single" w:sz="4" w:space="0" w:color="auto"/>
            </w:tcBorders>
            <w:vAlign w:val="center"/>
          </w:tcPr>
          <w:p w14:paraId="679B1DE3"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44D6710B" w14:textId="77777777" w:rsidR="00196F32" w:rsidRPr="0055580E" w:rsidRDefault="00196F32" w:rsidP="00EE08AF">
            <w:pPr>
              <w:pStyle w:val="Tabletext"/>
              <w:jc w:val="center"/>
              <w:rPr>
                <w:sz w:val="20"/>
              </w:rPr>
            </w:pPr>
            <w:r w:rsidRPr="0055580E">
              <w:rPr>
                <w:sz w:val="20"/>
              </w:rPr>
              <w:t>Uplink</w:t>
            </w:r>
          </w:p>
        </w:tc>
        <w:tc>
          <w:tcPr>
            <w:tcW w:w="1711" w:type="dxa"/>
            <w:tcBorders>
              <w:left w:val="single" w:sz="4" w:space="0" w:color="auto"/>
            </w:tcBorders>
            <w:vAlign w:val="center"/>
          </w:tcPr>
          <w:p w14:paraId="71BB9C31" w14:textId="5BB61340" w:rsidR="00196F32" w:rsidRPr="0055580E" w:rsidRDefault="00196F32" w:rsidP="00EE08AF">
            <w:pPr>
              <w:pStyle w:val="Tabletext"/>
              <w:jc w:val="center"/>
              <w:rPr>
                <w:sz w:val="20"/>
                <w:lang w:eastAsia="ko-KR"/>
              </w:rPr>
            </w:pPr>
            <w:r w:rsidRPr="0055580E">
              <w:rPr>
                <w:sz w:val="20"/>
                <w:lang w:eastAsia="ko-KR"/>
              </w:rPr>
              <w:t>1.5 kbit/s/km</w:t>
            </w:r>
            <w:r w:rsidR="009A5111" w:rsidRPr="009A5111">
              <w:rPr>
                <w:sz w:val="20"/>
                <w:vertAlign w:val="superscript"/>
                <w:lang w:eastAsia="ko-KR"/>
              </w:rPr>
              <w:t>2</w:t>
            </w:r>
          </w:p>
        </w:tc>
        <w:tc>
          <w:tcPr>
            <w:tcW w:w="2404" w:type="dxa"/>
            <w:vAlign w:val="center"/>
          </w:tcPr>
          <w:p w14:paraId="456404E7"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565EDD4F" w14:textId="77777777" w:rsidTr="0021161E">
        <w:trPr>
          <w:cantSplit/>
          <w:trHeight w:val="207"/>
          <w:tblHeader/>
          <w:jc w:val="center"/>
        </w:trPr>
        <w:tc>
          <w:tcPr>
            <w:tcW w:w="2015" w:type="dxa"/>
            <w:vMerge/>
            <w:tcBorders>
              <w:left w:val="single" w:sz="4" w:space="0" w:color="auto"/>
              <w:bottom w:val="single" w:sz="4" w:space="0" w:color="auto"/>
              <w:right w:val="single" w:sz="4" w:space="0" w:color="auto"/>
            </w:tcBorders>
            <w:vAlign w:val="center"/>
          </w:tcPr>
          <w:p w14:paraId="555F4537" w14:textId="77777777" w:rsidR="00196F32" w:rsidRPr="0055580E" w:rsidRDefault="00196F32" w:rsidP="0055580E">
            <w:pPr>
              <w:pStyle w:val="Tabletext"/>
              <w:jc w:val="left"/>
              <w:rPr>
                <w:sz w:val="20"/>
                <w:lang w:eastAsia="ko-KR"/>
              </w:rPr>
            </w:pPr>
          </w:p>
        </w:tc>
        <w:tc>
          <w:tcPr>
            <w:tcW w:w="981" w:type="dxa"/>
            <w:vMerge/>
            <w:tcBorders>
              <w:left w:val="single" w:sz="4" w:space="0" w:color="auto"/>
              <w:bottom w:val="single" w:sz="4" w:space="0" w:color="auto"/>
              <w:right w:val="single" w:sz="4" w:space="0" w:color="auto"/>
            </w:tcBorders>
            <w:vAlign w:val="center"/>
          </w:tcPr>
          <w:p w14:paraId="42EF43F2" w14:textId="77777777" w:rsidR="00196F32" w:rsidRPr="0055580E" w:rsidRDefault="00196F32" w:rsidP="00EE08AF">
            <w:pPr>
              <w:pStyle w:val="Tabletext"/>
              <w:jc w:val="center"/>
              <w:rPr>
                <w:sz w:val="20"/>
              </w:rPr>
            </w:pPr>
          </w:p>
        </w:tc>
        <w:tc>
          <w:tcPr>
            <w:tcW w:w="0" w:type="auto"/>
            <w:vMerge/>
            <w:tcBorders>
              <w:left w:val="single" w:sz="4" w:space="0" w:color="auto"/>
              <w:bottom w:val="single" w:sz="4" w:space="0" w:color="auto"/>
              <w:right w:val="single" w:sz="4" w:space="0" w:color="auto"/>
            </w:tcBorders>
            <w:vAlign w:val="center"/>
          </w:tcPr>
          <w:p w14:paraId="700E6324" w14:textId="77777777" w:rsidR="00196F32" w:rsidRPr="0055580E" w:rsidRDefault="00196F32" w:rsidP="00EE08AF">
            <w:pPr>
              <w:pStyle w:val="Tabletext"/>
              <w:jc w:val="center"/>
              <w:rPr>
                <w:sz w:val="20"/>
              </w:rPr>
            </w:pPr>
          </w:p>
        </w:tc>
        <w:tc>
          <w:tcPr>
            <w:tcW w:w="1180" w:type="dxa"/>
            <w:tcBorders>
              <w:top w:val="single" w:sz="4" w:space="0" w:color="auto"/>
              <w:left w:val="single" w:sz="4" w:space="0" w:color="auto"/>
              <w:bottom w:val="single" w:sz="4" w:space="0" w:color="auto"/>
              <w:right w:val="single" w:sz="4" w:space="0" w:color="auto"/>
            </w:tcBorders>
            <w:vAlign w:val="center"/>
          </w:tcPr>
          <w:p w14:paraId="72FE602D" w14:textId="77777777" w:rsidR="00196F32" w:rsidRPr="0055580E" w:rsidRDefault="00196F32" w:rsidP="00EE08AF">
            <w:pPr>
              <w:pStyle w:val="Tabletext"/>
              <w:jc w:val="center"/>
              <w:rPr>
                <w:sz w:val="20"/>
              </w:rPr>
            </w:pPr>
            <w:r w:rsidRPr="0055580E">
              <w:rPr>
                <w:sz w:val="20"/>
              </w:rPr>
              <w:t>Downlink</w:t>
            </w:r>
          </w:p>
        </w:tc>
        <w:tc>
          <w:tcPr>
            <w:tcW w:w="1711" w:type="dxa"/>
            <w:tcBorders>
              <w:left w:val="single" w:sz="4" w:space="0" w:color="auto"/>
            </w:tcBorders>
            <w:vAlign w:val="center"/>
          </w:tcPr>
          <w:p w14:paraId="23BC812E" w14:textId="2EE1063C" w:rsidR="00196F32" w:rsidRPr="0055580E" w:rsidRDefault="00196F32" w:rsidP="00EE08AF">
            <w:pPr>
              <w:pStyle w:val="Tabletext"/>
              <w:jc w:val="center"/>
              <w:rPr>
                <w:sz w:val="20"/>
                <w:lang w:eastAsia="ko-KR"/>
              </w:rPr>
            </w:pPr>
            <w:r w:rsidRPr="0055580E">
              <w:rPr>
                <w:sz w:val="20"/>
                <w:lang w:eastAsia="ko-KR"/>
              </w:rPr>
              <w:t>8 kbit/s/km</w:t>
            </w:r>
            <w:r w:rsidR="009A5111" w:rsidRPr="009A5111">
              <w:rPr>
                <w:sz w:val="20"/>
                <w:vertAlign w:val="superscript"/>
                <w:lang w:eastAsia="ko-KR"/>
              </w:rPr>
              <w:t>2</w:t>
            </w:r>
          </w:p>
        </w:tc>
        <w:tc>
          <w:tcPr>
            <w:tcW w:w="2404" w:type="dxa"/>
            <w:vAlign w:val="center"/>
          </w:tcPr>
          <w:p w14:paraId="11B48BAB"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09BA15A1" w14:textId="77777777" w:rsidTr="0021161E">
        <w:trPr>
          <w:cantSplit/>
          <w:trHeight w:val="188"/>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5E3F025E" w14:textId="7A21DDC9" w:rsidR="00196F32" w:rsidRPr="0055580E" w:rsidRDefault="00196F32" w:rsidP="00B83592">
            <w:pPr>
              <w:pStyle w:val="Tabletext"/>
              <w:jc w:val="left"/>
              <w:rPr>
                <w:sz w:val="20"/>
                <w:lang w:eastAsia="ko-KR"/>
              </w:rPr>
            </w:pPr>
            <w:r w:rsidRPr="0055580E">
              <w:rPr>
                <w:sz w:val="20"/>
                <w:lang w:eastAsia="ko-KR"/>
              </w:rPr>
              <w:t>User Plane latency</w:t>
            </w:r>
            <w:r w:rsidR="00B83592">
              <w:rPr>
                <w:sz w:val="20"/>
                <w:lang w:eastAsia="ko-KR"/>
              </w:rPr>
              <w:br/>
            </w:r>
            <w:r w:rsidRPr="0055580E">
              <w:rPr>
                <w:sz w:val="20"/>
                <w:lang w:eastAsia="ko-KR"/>
              </w:rPr>
              <w:t>(7.2.7.1)</w:t>
            </w:r>
          </w:p>
        </w:tc>
        <w:tc>
          <w:tcPr>
            <w:tcW w:w="981" w:type="dxa"/>
            <w:tcBorders>
              <w:top w:val="single" w:sz="4" w:space="0" w:color="auto"/>
              <w:left w:val="single" w:sz="4" w:space="0" w:color="auto"/>
              <w:bottom w:val="single" w:sz="4" w:space="0" w:color="auto"/>
              <w:right w:val="single" w:sz="4" w:space="0" w:color="auto"/>
            </w:tcBorders>
            <w:vAlign w:val="center"/>
          </w:tcPr>
          <w:p w14:paraId="324AAD96"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75F21A5F"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63EAA845"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3C463F5A" w14:textId="77777777" w:rsidR="00196F32" w:rsidRPr="0055580E" w:rsidRDefault="00196F32" w:rsidP="00EE08AF">
            <w:pPr>
              <w:pStyle w:val="Tabletext"/>
              <w:jc w:val="center"/>
              <w:rPr>
                <w:sz w:val="20"/>
                <w:lang w:eastAsia="ko-KR"/>
              </w:rPr>
            </w:pPr>
            <w:r w:rsidRPr="0055580E">
              <w:rPr>
                <w:sz w:val="20"/>
                <w:lang w:eastAsia="ko-KR"/>
              </w:rPr>
              <w:t xml:space="preserve">10 </w:t>
            </w:r>
            <w:proofErr w:type="spellStart"/>
            <w:r w:rsidRPr="0055580E">
              <w:rPr>
                <w:sz w:val="20"/>
                <w:lang w:eastAsia="ko-KR"/>
              </w:rPr>
              <w:t>ms</w:t>
            </w:r>
            <w:proofErr w:type="spellEnd"/>
          </w:p>
        </w:tc>
        <w:tc>
          <w:tcPr>
            <w:tcW w:w="2404" w:type="dxa"/>
            <w:vAlign w:val="center"/>
          </w:tcPr>
          <w:p w14:paraId="6DF922D4"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55846D85" w14:textId="77777777" w:rsidTr="0021161E">
        <w:trPr>
          <w:cantSplit/>
          <w:trHeight w:val="197"/>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219955B6" w14:textId="20FA4CE3" w:rsidR="00196F32" w:rsidRPr="0055580E" w:rsidRDefault="00196F32" w:rsidP="00B83592">
            <w:pPr>
              <w:pStyle w:val="Tabletext"/>
              <w:jc w:val="left"/>
              <w:rPr>
                <w:sz w:val="20"/>
                <w:lang w:eastAsia="ko-KR"/>
              </w:rPr>
            </w:pPr>
            <w:r w:rsidRPr="0055580E">
              <w:rPr>
                <w:sz w:val="20"/>
                <w:lang w:eastAsia="ko-KR"/>
              </w:rPr>
              <w:t>Control Plane latency</w:t>
            </w:r>
            <w:r w:rsidR="00B83592">
              <w:rPr>
                <w:sz w:val="20"/>
                <w:lang w:eastAsia="ko-KR"/>
              </w:rPr>
              <w:br/>
            </w:r>
            <w:r w:rsidRPr="0055580E">
              <w:rPr>
                <w:sz w:val="20"/>
                <w:lang w:eastAsia="ko-KR"/>
              </w:rPr>
              <w:t>(7.2.7.2)</w:t>
            </w:r>
          </w:p>
        </w:tc>
        <w:tc>
          <w:tcPr>
            <w:tcW w:w="981" w:type="dxa"/>
            <w:tcBorders>
              <w:top w:val="single" w:sz="4" w:space="0" w:color="auto"/>
              <w:left w:val="single" w:sz="4" w:space="0" w:color="auto"/>
              <w:bottom w:val="single" w:sz="4" w:space="0" w:color="auto"/>
              <w:right w:val="single" w:sz="4" w:space="0" w:color="auto"/>
            </w:tcBorders>
            <w:vAlign w:val="center"/>
          </w:tcPr>
          <w:p w14:paraId="1279E7A2"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69B7F463"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51275F31"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6E7BC3D9" w14:textId="77777777" w:rsidR="00196F32" w:rsidRPr="0055580E" w:rsidRDefault="00196F32" w:rsidP="00EE08AF">
            <w:pPr>
              <w:pStyle w:val="Tabletext"/>
              <w:jc w:val="center"/>
              <w:rPr>
                <w:sz w:val="20"/>
                <w:lang w:eastAsia="ko-KR"/>
              </w:rPr>
            </w:pPr>
            <w:r w:rsidRPr="0055580E">
              <w:rPr>
                <w:sz w:val="20"/>
                <w:lang w:eastAsia="ko-KR"/>
              </w:rPr>
              <w:t xml:space="preserve">40 </w:t>
            </w:r>
            <w:proofErr w:type="spellStart"/>
            <w:r w:rsidRPr="0055580E">
              <w:rPr>
                <w:sz w:val="20"/>
                <w:lang w:eastAsia="ko-KR"/>
              </w:rPr>
              <w:t>ms</w:t>
            </w:r>
            <w:proofErr w:type="spellEnd"/>
          </w:p>
        </w:tc>
        <w:tc>
          <w:tcPr>
            <w:tcW w:w="2404" w:type="dxa"/>
            <w:vAlign w:val="center"/>
          </w:tcPr>
          <w:p w14:paraId="1D154F00"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454F6804" w14:textId="77777777" w:rsidTr="0021161E">
        <w:trPr>
          <w:cantSplit/>
          <w:trHeight w:val="188"/>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0F51F663" w14:textId="74B53FA9" w:rsidR="00196F32" w:rsidRPr="0055580E" w:rsidRDefault="00196F32" w:rsidP="00B83592">
            <w:pPr>
              <w:pStyle w:val="Tabletext"/>
              <w:jc w:val="left"/>
              <w:rPr>
                <w:sz w:val="20"/>
                <w:lang w:eastAsia="ko-KR"/>
              </w:rPr>
            </w:pPr>
            <w:r w:rsidRPr="0055580E">
              <w:rPr>
                <w:sz w:val="20"/>
                <w:lang w:eastAsia="ko-KR"/>
              </w:rPr>
              <w:t>Connection density</w:t>
            </w:r>
            <w:r w:rsidR="00B83592">
              <w:rPr>
                <w:sz w:val="20"/>
                <w:lang w:eastAsia="ko-KR"/>
              </w:rPr>
              <w:br/>
            </w:r>
            <w:r w:rsidRPr="0055580E">
              <w:rPr>
                <w:sz w:val="20"/>
                <w:lang w:eastAsia="ko-KR"/>
              </w:rPr>
              <w:t>(7.2.8)</w:t>
            </w:r>
          </w:p>
        </w:tc>
        <w:tc>
          <w:tcPr>
            <w:tcW w:w="981" w:type="dxa"/>
            <w:tcBorders>
              <w:top w:val="single" w:sz="4" w:space="0" w:color="auto"/>
              <w:left w:val="single" w:sz="4" w:space="0" w:color="auto"/>
              <w:bottom w:val="single" w:sz="4" w:space="0" w:color="auto"/>
              <w:right w:val="single" w:sz="4" w:space="0" w:color="auto"/>
            </w:tcBorders>
            <w:vAlign w:val="center"/>
          </w:tcPr>
          <w:p w14:paraId="5665FF0B" w14:textId="77777777" w:rsidR="00196F32" w:rsidRPr="0055580E" w:rsidRDefault="00196F32" w:rsidP="00EE08AF">
            <w:pPr>
              <w:pStyle w:val="Tabletext"/>
              <w:jc w:val="center"/>
              <w:rPr>
                <w:sz w:val="20"/>
              </w:rPr>
            </w:pPr>
            <w:proofErr w:type="spellStart"/>
            <w:r w:rsidRPr="0055580E">
              <w:rPr>
                <w:sz w:val="20"/>
              </w:rPr>
              <w:t>mMTC</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21F622FD"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7AA8FD27"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4004B8AE" w14:textId="1BF25210" w:rsidR="00196F32" w:rsidRPr="0055580E" w:rsidRDefault="00196F32" w:rsidP="00EE08AF">
            <w:pPr>
              <w:pStyle w:val="Tabletext"/>
              <w:jc w:val="center"/>
              <w:rPr>
                <w:sz w:val="20"/>
                <w:lang w:eastAsia="ko-KR"/>
              </w:rPr>
            </w:pPr>
            <w:r w:rsidRPr="0055580E">
              <w:rPr>
                <w:sz w:val="20"/>
                <w:lang w:eastAsia="ko-KR"/>
              </w:rPr>
              <w:t>500 devices/km</w:t>
            </w:r>
            <w:r w:rsidR="009A5111" w:rsidRPr="009A5111">
              <w:rPr>
                <w:sz w:val="20"/>
                <w:vertAlign w:val="superscript"/>
                <w:lang w:eastAsia="ko-KR"/>
              </w:rPr>
              <w:t>2</w:t>
            </w:r>
          </w:p>
        </w:tc>
        <w:tc>
          <w:tcPr>
            <w:tcW w:w="2404" w:type="dxa"/>
            <w:vAlign w:val="center"/>
          </w:tcPr>
          <w:p w14:paraId="102DBA43"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2A6C8954" w14:textId="77777777" w:rsidTr="0021161E">
        <w:trPr>
          <w:cantSplit/>
          <w:trHeight w:val="487"/>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13CE1FA9" w14:textId="35E6346F" w:rsidR="00196F32" w:rsidRPr="0055580E" w:rsidRDefault="00196F32" w:rsidP="00B83592">
            <w:pPr>
              <w:pStyle w:val="Tabletext"/>
              <w:jc w:val="left"/>
              <w:rPr>
                <w:sz w:val="20"/>
                <w:lang w:eastAsia="ko-KR"/>
              </w:rPr>
            </w:pPr>
            <w:r w:rsidRPr="0055580E">
              <w:rPr>
                <w:sz w:val="20"/>
                <w:lang w:eastAsia="ko-KR"/>
              </w:rPr>
              <w:t>Energy efficiency</w:t>
            </w:r>
            <w:r w:rsidR="00B83592">
              <w:rPr>
                <w:sz w:val="20"/>
                <w:lang w:eastAsia="ko-KR"/>
              </w:rPr>
              <w:br/>
            </w:r>
            <w:r w:rsidRPr="0055580E">
              <w:rPr>
                <w:sz w:val="20"/>
                <w:lang w:eastAsia="ko-KR"/>
              </w:rPr>
              <w:t>(7.2.9)</w:t>
            </w:r>
          </w:p>
        </w:tc>
        <w:tc>
          <w:tcPr>
            <w:tcW w:w="981" w:type="dxa"/>
            <w:tcBorders>
              <w:top w:val="single" w:sz="4" w:space="0" w:color="auto"/>
              <w:left w:val="single" w:sz="4" w:space="0" w:color="auto"/>
              <w:bottom w:val="single" w:sz="4" w:space="0" w:color="auto"/>
              <w:right w:val="single" w:sz="4" w:space="0" w:color="auto"/>
            </w:tcBorders>
            <w:vAlign w:val="center"/>
          </w:tcPr>
          <w:p w14:paraId="65A1442C"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76C14B82"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707AC045"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302F159F" w14:textId="77777777" w:rsidR="00196F32" w:rsidRPr="0055580E" w:rsidRDefault="00196F32" w:rsidP="00EE08AF">
            <w:pPr>
              <w:pStyle w:val="Tabletext"/>
              <w:jc w:val="center"/>
              <w:rPr>
                <w:sz w:val="20"/>
                <w:lang w:eastAsia="ko-KR"/>
              </w:rPr>
            </w:pPr>
            <w:r w:rsidRPr="0055580E">
              <w:rPr>
                <w:sz w:val="20"/>
                <w:lang w:eastAsia="ko-KR"/>
              </w:rPr>
              <w:t>High sleep ratio and long sleep duration</w:t>
            </w:r>
          </w:p>
        </w:tc>
        <w:tc>
          <w:tcPr>
            <w:tcW w:w="2404" w:type="dxa"/>
            <w:vAlign w:val="center"/>
          </w:tcPr>
          <w:p w14:paraId="195D46A9"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2ABAE55F" w14:textId="77777777" w:rsidTr="0021161E">
        <w:trPr>
          <w:cantSplit/>
          <w:trHeight w:val="188"/>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5DBCDF1D" w14:textId="24DA8BE0" w:rsidR="00196F32" w:rsidRPr="0055580E" w:rsidRDefault="00196F32" w:rsidP="00B83592">
            <w:pPr>
              <w:pStyle w:val="Tabletext"/>
              <w:jc w:val="left"/>
              <w:rPr>
                <w:sz w:val="20"/>
                <w:lang w:eastAsia="ko-KR"/>
              </w:rPr>
            </w:pPr>
            <w:r w:rsidRPr="0055580E">
              <w:rPr>
                <w:sz w:val="20"/>
                <w:lang w:eastAsia="ko-KR"/>
              </w:rPr>
              <w:t>Reliability</w:t>
            </w:r>
            <w:r w:rsidR="00B83592">
              <w:rPr>
                <w:sz w:val="20"/>
                <w:lang w:eastAsia="ko-KR"/>
              </w:rPr>
              <w:br/>
            </w:r>
            <w:r w:rsidRPr="0055580E">
              <w:rPr>
                <w:sz w:val="20"/>
                <w:lang w:eastAsia="ko-KR"/>
              </w:rPr>
              <w:t>(7.2.10)</w:t>
            </w:r>
          </w:p>
        </w:tc>
        <w:tc>
          <w:tcPr>
            <w:tcW w:w="981" w:type="dxa"/>
            <w:tcBorders>
              <w:top w:val="single" w:sz="4" w:space="0" w:color="auto"/>
              <w:left w:val="single" w:sz="4" w:space="0" w:color="auto"/>
              <w:bottom w:val="single" w:sz="4" w:space="0" w:color="auto"/>
              <w:right w:val="single" w:sz="4" w:space="0" w:color="auto"/>
            </w:tcBorders>
            <w:vAlign w:val="center"/>
          </w:tcPr>
          <w:p w14:paraId="31C84350" w14:textId="77777777" w:rsidR="00196F32" w:rsidRPr="0055580E" w:rsidRDefault="00196F32" w:rsidP="00EE08AF">
            <w:pPr>
              <w:pStyle w:val="Tabletext"/>
              <w:jc w:val="center"/>
              <w:rPr>
                <w:sz w:val="20"/>
              </w:rPr>
            </w:pPr>
            <w:r w:rsidRPr="0055580E">
              <w:rPr>
                <w:sz w:val="20"/>
              </w:rPr>
              <w:t>HRC-s</w:t>
            </w:r>
          </w:p>
        </w:tc>
        <w:tc>
          <w:tcPr>
            <w:tcW w:w="0" w:type="auto"/>
            <w:tcBorders>
              <w:top w:val="single" w:sz="4" w:space="0" w:color="auto"/>
              <w:left w:val="single" w:sz="4" w:space="0" w:color="auto"/>
              <w:bottom w:val="single" w:sz="4" w:space="0" w:color="auto"/>
              <w:right w:val="single" w:sz="4" w:space="0" w:color="auto"/>
            </w:tcBorders>
            <w:vAlign w:val="center"/>
          </w:tcPr>
          <w:p w14:paraId="6ACB1D7D"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0D3744EA"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1C5B8C44" w14:textId="77777777" w:rsidR="00196F32" w:rsidRPr="0055580E" w:rsidRDefault="00196F32" w:rsidP="00EE08AF">
            <w:pPr>
              <w:pStyle w:val="Tabletext"/>
              <w:jc w:val="center"/>
              <w:rPr>
                <w:sz w:val="20"/>
                <w:lang w:eastAsia="ko-KR"/>
              </w:rPr>
            </w:pPr>
            <w:r w:rsidRPr="0055580E">
              <w:rPr>
                <w:sz w:val="20"/>
                <w:lang w:eastAsia="ko-KR"/>
              </w:rPr>
              <w:t>1-10</w:t>
            </w:r>
            <w:r w:rsidRPr="0055580E">
              <w:rPr>
                <w:sz w:val="20"/>
                <w:vertAlign w:val="superscript"/>
                <w:lang w:eastAsia="ko-KR"/>
              </w:rPr>
              <w:t>−3</w:t>
            </w:r>
          </w:p>
        </w:tc>
        <w:tc>
          <w:tcPr>
            <w:tcW w:w="2404" w:type="dxa"/>
            <w:vAlign w:val="center"/>
          </w:tcPr>
          <w:p w14:paraId="7F20DC93"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3728E03E" w14:textId="77777777" w:rsidTr="0021161E">
        <w:trPr>
          <w:cantSplit/>
          <w:trHeight w:val="197"/>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57DC8937" w14:textId="2CF0309B" w:rsidR="00196F32" w:rsidRPr="0055580E" w:rsidRDefault="00196F32" w:rsidP="00B83592">
            <w:pPr>
              <w:pStyle w:val="Tabletext"/>
              <w:jc w:val="left"/>
              <w:rPr>
                <w:sz w:val="20"/>
                <w:lang w:eastAsia="ko-KR"/>
              </w:rPr>
            </w:pPr>
            <w:r w:rsidRPr="0055580E">
              <w:rPr>
                <w:sz w:val="20"/>
                <w:lang w:eastAsia="ko-KR"/>
              </w:rPr>
              <w:t>Mobility – UE speed</w:t>
            </w:r>
            <w:r w:rsidR="00B83592">
              <w:rPr>
                <w:sz w:val="20"/>
                <w:lang w:eastAsia="ko-KR"/>
              </w:rPr>
              <w:br/>
            </w:r>
            <w:r w:rsidRPr="0055580E">
              <w:rPr>
                <w:sz w:val="20"/>
                <w:lang w:eastAsia="ko-KR"/>
              </w:rPr>
              <w:t>(7.2.11)</w:t>
            </w:r>
          </w:p>
        </w:tc>
        <w:tc>
          <w:tcPr>
            <w:tcW w:w="981" w:type="dxa"/>
            <w:tcBorders>
              <w:top w:val="single" w:sz="4" w:space="0" w:color="auto"/>
              <w:left w:val="single" w:sz="4" w:space="0" w:color="auto"/>
              <w:bottom w:val="single" w:sz="4" w:space="0" w:color="auto"/>
              <w:right w:val="single" w:sz="4" w:space="0" w:color="auto"/>
            </w:tcBorders>
            <w:vAlign w:val="center"/>
          </w:tcPr>
          <w:p w14:paraId="4288F8FE"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1BC50556"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706A7EA5"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408967F1" w14:textId="77777777" w:rsidR="00196F32" w:rsidRPr="0055580E" w:rsidRDefault="00196F32" w:rsidP="00EE08AF">
            <w:pPr>
              <w:pStyle w:val="Tabletext"/>
              <w:jc w:val="center"/>
              <w:rPr>
                <w:sz w:val="20"/>
                <w:lang w:eastAsia="ko-KR"/>
              </w:rPr>
            </w:pPr>
            <w:r w:rsidRPr="0055580E">
              <w:rPr>
                <w:sz w:val="20"/>
                <w:lang w:eastAsia="ko-KR"/>
              </w:rPr>
              <w:t>250 km/h</w:t>
            </w:r>
          </w:p>
        </w:tc>
        <w:tc>
          <w:tcPr>
            <w:tcW w:w="2404" w:type="dxa"/>
            <w:vAlign w:val="center"/>
          </w:tcPr>
          <w:p w14:paraId="726566E2"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71434FA2" w14:textId="77777777" w:rsidTr="0021161E">
        <w:trPr>
          <w:cantSplit/>
          <w:trHeight w:val="334"/>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555AD376" w14:textId="58ADBC16" w:rsidR="00196F32" w:rsidRPr="0055580E" w:rsidRDefault="00196F32" w:rsidP="00B83592">
            <w:pPr>
              <w:pStyle w:val="Tabletext"/>
              <w:jc w:val="left"/>
              <w:rPr>
                <w:sz w:val="20"/>
                <w:lang w:eastAsia="ko-KR"/>
              </w:rPr>
            </w:pPr>
            <w:r w:rsidRPr="0055580E">
              <w:rPr>
                <w:sz w:val="20"/>
                <w:lang w:eastAsia="ko-KR"/>
              </w:rPr>
              <w:t xml:space="preserve">Mobility </w:t>
            </w:r>
            <w:r w:rsidR="00B83592" w:rsidRPr="00B83592">
              <w:rPr>
                <w:sz w:val="20"/>
                <w:lang w:eastAsia="ko-KR"/>
              </w:rPr>
              <w:t>–</w:t>
            </w:r>
            <w:r w:rsidRPr="0055580E">
              <w:rPr>
                <w:sz w:val="20"/>
                <w:lang w:eastAsia="ko-KR"/>
              </w:rPr>
              <w:t xml:space="preserve"> Traffic channel link data rate</w:t>
            </w:r>
            <w:r w:rsidR="00B83592">
              <w:rPr>
                <w:sz w:val="20"/>
                <w:lang w:eastAsia="ko-KR"/>
              </w:rPr>
              <w:br/>
            </w:r>
            <w:r w:rsidRPr="0055580E">
              <w:rPr>
                <w:sz w:val="20"/>
                <w:lang w:eastAsia="ko-KR"/>
              </w:rPr>
              <w:t>(7.2.11)</w:t>
            </w:r>
          </w:p>
        </w:tc>
        <w:tc>
          <w:tcPr>
            <w:tcW w:w="981" w:type="dxa"/>
            <w:tcBorders>
              <w:top w:val="single" w:sz="4" w:space="0" w:color="auto"/>
              <w:left w:val="single" w:sz="4" w:space="0" w:color="auto"/>
              <w:bottom w:val="single" w:sz="4" w:space="0" w:color="auto"/>
              <w:right w:val="single" w:sz="4" w:space="0" w:color="auto"/>
            </w:tcBorders>
            <w:vAlign w:val="center"/>
          </w:tcPr>
          <w:p w14:paraId="186F2C43"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7C01CA5F" w14:textId="77777777" w:rsidR="00196F32" w:rsidRPr="0055580E" w:rsidRDefault="00196F32" w:rsidP="00EE08AF">
            <w:pPr>
              <w:pStyle w:val="Tabletext"/>
              <w:jc w:val="center"/>
              <w:rPr>
                <w:sz w:val="20"/>
              </w:rPr>
            </w:pPr>
            <w:r w:rsidRPr="0055580E">
              <w:rPr>
                <w:sz w:val="20"/>
              </w:rPr>
              <w:t>Rural</w:t>
            </w:r>
          </w:p>
        </w:tc>
        <w:tc>
          <w:tcPr>
            <w:tcW w:w="1180" w:type="dxa"/>
            <w:tcBorders>
              <w:top w:val="single" w:sz="4" w:space="0" w:color="auto"/>
              <w:left w:val="single" w:sz="4" w:space="0" w:color="auto"/>
              <w:bottom w:val="single" w:sz="4" w:space="0" w:color="auto"/>
              <w:right w:val="single" w:sz="4" w:space="0" w:color="auto"/>
            </w:tcBorders>
            <w:vAlign w:val="center"/>
          </w:tcPr>
          <w:p w14:paraId="6BBD9C04"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641728E2" w14:textId="77777777" w:rsidR="00196F32" w:rsidRPr="0055580E" w:rsidRDefault="00196F32" w:rsidP="00EE08AF">
            <w:pPr>
              <w:pStyle w:val="Tabletext"/>
              <w:jc w:val="center"/>
              <w:rPr>
                <w:sz w:val="20"/>
                <w:lang w:eastAsia="ko-KR"/>
              </w:rPr>
            </w:pPr>
            <w:r w:rsidRPr="0055580E">
              <w:rPr>
                <w:sz w:val="20"/>
                <w:lang w:eastAsia="ko-KR"/>
              </w:rPr>
              <w:t>0.005 bit/s/Hz</w:t>
            </w:r>
          </w:p>
        </w:tc>
        <w:tc>
          <w:tcPr>
            <w:tcW w:w="2404" w:type="dxa"/>
            <w:vAlign w:val="center"/>
          </w:tcPr>
          <w:p w14:paraId="67884170"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4A6AD750" w14:textId="77777777" w:rsidTr="0021161E">
        <w:trPr>
          <w:cantSplit/>
          <w:trHeight w:val="334"/>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0F640771" w14:textId="36408840" w:rsidR="00196F32" w:rsidRPr="0055580E" w:rsidRDefault="00196F32" w:rsidP="00B83592">
            <w:pPr>
              <w:pStyle w:val="Tabletext"/>
              <w:jc w:val="left"/>
              <w:rPr>
                <w:sz w:val="20"/>
                <w:lang w:eastAsia="ko-KR"/>
              </w:rPr>
            </w:pPr>
            <w:r w:rsidRPr="0055580E">
              <w:rPr>
                <w:sz w:val="20"/>
                <w:lang w:eastAsia="ko-KR"/>
              </w:rPr>
              <w:t>Mobility interruption time</w:t>
            </w:r>
            <w:r w:rsidR="00B83592">
              <w:rPr>
                <w:sz w:val="20"/>
                <w:lang w:eastAsia="ko-KR"/>
              </w:rPr>
              <w:br/>
            </w:r>
            <w:r w:rsidRPr="0055580E">
              <w:rPr>
                <w:sz w:val="20"/>
                <w:lang w:eastAsia="ko-KR"/>
              </w:rPr>
              <w:t>(7.2.12)</w:t>
            </w:r>
          </w:p>
        </w:tc>
        <w:tc>
          <w:tcPr>
            <w:tcW w:w="981" w:type="dxa"/>
            <w:tcBorders>
              <w:top w:val="single" w:sz="4" w:space="0" w:color="auto"/>
              <w:left w:val="single" w:sz="4" w:space="0" w:color="auto"/>
              <w:bottom w:val="single" w:sz="4" w:space="0" w:color="auto"/>
              <w:right w:val="single" w:sz="4" w:space="0" w:color="auto"/>
            </w:tcBorders>
            <w:vAlign w:val="center"/>
          </w:tcPr>
          <w:p w14:paraId="0B7E2CB5" w14:textId="77777777" w:rsidR="00196F32" w:rsidRPr="0055580E" w:rsidRDefault="00196F32" w:rsidP="00EE08AF">
            <w:pPr>
              <w:pStyle w:val="Tabletext"/>
              <w:jc w:val="center"/>
              <w:rPr>
                <w:sz w:val="20"/>
              </w:rPr>
            </w:pPr>
            <w:proofErr w:type="spellStart"/>
            <w:r w:rsidRPr="0055580E">
              <w:rPr>
                <w:sz w:val="20"/>
              </w:rPr>
              <w:t>eMBB</w:t>
            </w:r>
            <w:proofErr w:type="spellEnd"/>
            <w:r w:rsidRPr="0055580E">
              <w:rPr>
                <w:sz w:val="20"/>
              </w:rPr>
              <w:t>-s</w:t>
            </w:r>
          </w:p>
        </w:tc>
        <w:tc>
          <w:tcPr>
            <w:tcW w:w="0" w:type="auto"/>
            <w:tcBorders>
              <w:top w:val="single" w:sz="4" w:space="0" w:color="auto"/>
              <w:left w:val="single" w:sz="4" w:space="0" w:color="auto"/>
              <w:bottom w:val="single" w:sz="4" w:space="0" w:color="auto"/>
              <w:right w:val="single" w:sz="4" w:space="0" w:color="auto"/>
            </w:tcBorders>
            <w:vAlign w:val="center"/>
          </w:tcPr>
          <w:p w14:paraId="0285C724"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61356A12"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59332502" w14:textId="77777777" w:rsidR="00196F32" w:rsidRPr="0055580E" w:rsidRDefault="00196F32" w:rsidP="00EE08AF">
            <w:pPr>
              <w:pStyle w:val="Tabletext"/>
              <w:jc w:val="center"/>
              <w:rPr>
                <w:sz w:val="20"/>
                <w:lang w:eastAsia="ko-KR"/>
              </w:rPr>
            </w:pPr>
            <w:r w:rsidRPr="0055580E">
              <w:rPr>
                <w:sz w:val="20"/>
                <w:lang w:eastAsia="ko-KR"/>
              </w:rPr>
              <w:t xml:space="preserve">50 </w:t>
            </w:r>
            <w:proofErr w:type="spellStart"/>
            <w:r w:rsidRPr="0055580E">
              <w:rPr>
                <w:sz w:val="20"/>
                <w:lang w:eastAsia="ko-KR"/>
              </w:rPr>
              <w:t>ms</w:t>
            </w:r>
            <w:proofErr w:type="spellEnd"/>
          </w:p>
        </w:tc>
        <w:tc>
          <w:tcPr>
            <w:tcW w:w="2404" w:type="dxa"/>
            <w:vAlign w:val="center"/>
          </w:tcPr>
          <w:p w14:paraId="1A1FA0DC" w14:textId="77777777" w:rsidR="00196F32" w:rsidRPr="0055580E" w:rsidRDefault="00196F32" w:rsidP="00EE08AF">
            <w:pPr>
              <w:pStyle w:val="Tabletext"/>
              <w:jc w:val="center"/>
              <w:rPr>
                <w:sz w:val="20"/>
                <w:lang w:eastAsia="ko-KR"/>
              </w:rPr>
            </w:pPr>
            <w:r w:rsidRPr="0055580E">
              <w:rPr>
                <w:sz w:val="20"/>
                <w:lang w:eastAsia="ko-KR"/>
              </w:rPr>
              <w:t>Yes</w:t>
            </w:r>
          </w:p>
        </w:tc>
      </w:tr>
      <w:tr w:rsidR="00196F32" w:rsidRPr="0055580E" w14:paraId="08FB796E" w14:textId="77777777" w:rsidTr="0021161E">
        <w:trPr>
          <w:cantSplit/>
          <w:trHeight w:val="342"/>
          <w:tblHeader/>
          <w:jc w:val="center"/>
        </w:trPr>
        <w:tc>
          <w:tcPr>
            <w:tcW w:w="2015" w:type="dxa"/>
            <w:tcBorders>
              <w:top w:val="single" w:sz="4" w:space="0" w:color="auto"/>
              <w:left w:val="single" w:sz="4" w:space="0" w:color="auto"/>
              <w:bottom w:val="single" w:sz="4" w:space="0" w:color="auto"/>
              <w:right w:val="single" w:sz="4" w:space="0" w:color="auto"/>
            </w:tcBorders>
            <w:vAlign w:val="center"/>
          </w:tcPr>
          <w:p w14:paraId="58AE5293" w14:textId="617878D4" w:rsidR="00196F32" w:rsidRPr="0055580E" w:rsidRDefault="00196F32" w:rsidP="00B83592">
            <w:pPr>
              <w:pStyle w:val="Tabletext"/>
              <w:jc w:val="left"/>
              <w:rPr>
                <w:sz w:val="20"/>
                <w:lang w:eastAsia="ko-KR"/>
              </w:rPr>
            </w:pPr>
            <w:r w:rsidRPr="0055580E">
              <w:rPr>
                <w:sz w:val="20"/>
                <w:lang w:eastAsia="ko-KR"/>
              </w:rPr>
              <w:t>Bandwidth</w:t>
            </w:r>
            <w:r w:rsidR="00B83592">
              <w:rPr>
                <w:sz w:val="20"/>
                <w:lang w:eastAsia="ko-KR"/>
              </w:rPr>
              <w:br/>
            </w:r>
            <w:r w:rsidRPr="0055580E">
              <w:rPr>
                <w:sz w:val="20"/>
                <w:lang w:eastAsia="ko-KR"/>
              </w:rPr>
              <w:t>(7.2.13)</w:t>
            </w:r>
          </w:p>
        </w:tc>
        <w:tc>
          <w:tcPr>
            <w:tcW w:w="981" w:type="dxa"/>
            <w:tcBorders>
              <w:top w:val="single" w:sz="4" w:space="0" w:color="auto"/>
              <w:left w:val="single" w:sz="4" w:space="0" w:color="auto"/>
              <w:bottom w:val="single" w:sz="4" w:space="0" w:color="auto"/>
              <w:right w:val="single" w:sz="4" w:space="0" w:color="auto"/>
            </w:tcBorders>
            <w:vAlign w:val="center"/>
          </w:tcPr>
          <w:p w14:paraId="32A2B4D5" w14:textId="77777777" w:rsidR="00196F32" w:rsidRPr="0055580E" w:rsidRDefault="00196F32" w:rsidP="00EE08AF">
            <w:pPr>
              <w:pStyle w:val="Tabletext"/>
              <w:jc w:val="center"/>
              <w:rPr>
                <w:sz w:val="20"/>
              </w:rPr>
            </w:pPr>
            <w:r w:rsidRPr="0055580E">
              <w:rPr>
                <w:sz w:val="20"/>
              </w:rPr>
              <w:t>N/A</w:t>
            </w:r>
          </w:p>
        </w:tc>
        <w:tc>
          <w:tcPr>
            <w:tcW w:w="0" w:type="auto"/>
            <w:tcBorders>
              <w:top w:val="single" w:sz="4" w:space="0" w:color="auto"/>
              <w:left w:val="single" w:sz="4" w:space="0" w:color="auto"/>
              <w:bottom w:val="single" w:sz="4" w:space="0" w:color="auto"/>
              <w:right w:val="single" w:sz="4" w:space="0" w:color="auto"/>
            </w:tcBorders>
            <w:vAlign w:val="center"/>
          </w:tcPr>
          <w:p w14:paraId="27002AA5" w14:textId="77777777" w:rsidR="00196F32" w:rsidRPr="0055580E" w:rsidRDefault="00196F32" w:rsidP="00EE08AF">
            <w:pPr>
              <w:pStyle w:val="Tabletext"/>
              <w:jc w:val="center"/>
              <w:rPr>
                <w:sz w:val="20"/>
              </w:rPr>
            </w:pPr>
            <w:r w:rsidRPr="0055580E">
              <w:rPr>
                <w:sz w:val="20"/>
              </w:rPr>
              <w:t>N/A</w:t>
            </w:r>
          </w:p>
        </w:tc>
        <w:tc>
          <w:tcPr>
            <w:tcW w:w="1180" w:type="dxa"/>
            <w:tcBorders>
              <w:top w:val="single" w:sz="4" w:space="0" w:color="auto"/>
              <w:left w:val="single" w:sz="4" w:space="0" w:color="auto"/>
              <w:bottom w:val="single" w:sz="4" w:space="0" w:color="auto"/>
              <w:right w:val="single" w:sz="4" w:space="0" w:color="auto"/>
            </w:tcBorders>
            <w:vAlign w:val="center"/>
          </w:tcPr>
          <w:p w14:paraId="4C70B88F" w14:textId="77777777" w:rsidR="00196F32" w:rsidRPr="0055580E" w:rsidRDefault="00196F32" w:rsidP="00EE08AF">
            <w:pPr>
              <w:pStyle w:val="Tabletext"/>
              <w:jc w:val="center"/>
              <w:rPr>
                <w:sz w:val="20"/>
              </w:rPr>
            </w:pPr>
            <w:r w:rsidRPr="0055580E">
              <w:rPr>
                <w:sz w:val="20"/>
              </w:rPr>
              <w:t>N/A</w:t>
            </w:r>
          </w:p>
        </w:tc>
        <w:tc>
          <w:tcPr>
            <w:tcW w:w="1711" w:type="dxa"/>
            <w:tcBorders>
              <w:left w:val="single" w:sz="4" w:space="0" w:color="auto"/>
            </w:tcBorders>
            <w:vAlign w:val="center"/>
          </w:tcPr>
          <w:p w14:paraId="1B651DC5" w14:textId="77777777" w:rsidR="00196F32" w:rsidRPr="0055580E" w:rsidRDefault="00196F32" w:rsidP="00EE08AF">
            <w:pPr>
              <w:pStyle w:val="Tabletext"/>
              <w:jc w:val="center"/>
              <w:rPr>
                <w:sz w:val="20"/>
                <w:lang w:eastAsia="ko-KR"/>
              </w:rPr>
            </w:pPr>
            <w:r w:rsidRPr="0055580E">
              <w:rPr>
                <w:sz w:val="20"/>
                <w:lang w:eastAsia="ko-KR"/>
              </w:rPr>
              <w:t>At least up to and including 30 MHz</w:t>
            </w:r>
          </w:p>
        </w:tc>
        <w:tc>
          <w:tcPr>
            <w:tcW w:w="2404" w:type="dxa"/>
            <w:vAlign w:val="center"/>
          </w:tcPr>
          <w:p w14:paraId="1133BD8D" w14:textId="77777777" w:rsidR="00196F32" w:rsidRPr="0055580E" w:rsidRDefault="00196F32" w:rsidP="00EE08AF">
            <w:pPr>
              <w:pStyle w:val="Tabletext"/>
              <w:jc w:val="center"/>
              <w:rPr>
                <w:sz w:val="20"/>
                <w:lang w:eastAsia="ko-KR"/>
              </w:rPr>
            </w:pPr>
            <w:r w:rsidRPr="0055580E">
              <w:rPr>
                <w:sz w:val="20"/>
                <w:lang w:eastAsia="ko-KR"/>
              </w:rPr>
              <w:t>Yes</w:t>
            </w:r>
          </w:p>
        </w:tc>
      </w:tr>
    </w:tbl>
    <w:p w14:paraId="326E3512" w14:textId="77777777" w:rsidR="00196F32" w:rsidRPr="00B02693" w:rsidRDefault="00196F32" w:rsidP="0021161E">
      <w:pPr>
        <w:pStyle w:val="Tablefin"/>
        <w:rPr>
          <w:lang w:eastAsia="zh-CN"/>
        </w:rPr>
      </w:pPr>
    </w:p>
    <w:p w14:paraId="1539E53B" w14:textId="77777777" w:rsidR="00B874C6" w:rsidRPr="00B02693" w:rsidRDefault="00B874C6" w:rsidP="00B874C6"/>
    <w:p w14:paraId="691BB923" w14:textId="77777777" w:rsidR="00B874C6" w:rsidRPr="00707EB8" w:rsidRDefault="00B874C6" w:rsidP="00707EB8">
      <w:pPr>
        <w:pStyle w:val="Line"/>
      </w:pPr>
    </w:p>
    <w:sectPr w:rsidR="00B874C6" w:rsidRPr="00707EB8" w:rsidSect="007565CC">
      <w:footerReference w:type="default" r:id="rId60"/>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B2E6" w14:textId="77777777" w:rsidR="009D738B" w:rsidRDefault="009D738B">
      <w:r>
        <w:separator/>
      </w:r>
    </w:p>
  </w:endnote>
  <w:endnote w:type="continuationSeparator" w:id="0">
    <w:p w14:paraId="6AAA16E4" w14:textId="77777777" w:rsidR="009D738B" w:rsidRDefault="009D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Next LT Pro Regular">
    <w:panose1 w:val="020B0504020202020204"/>
    <w:charset w:val="00"/>
    <w:family w:val="swiss"/>
    <w:notTrueType/>
    <w:pitch w:val="variable"/>
    <w:sig w:usb0="800000AF" w:usb1="5000204A" w:usb2="00000000" w:usb3="00000000" w:csb0="00000093" w:csb1="00000000"/>
  </w:font>
  <w:font w:name="AvenirNext LT Pro Medium">
    <w:panose1 w:val="020B0604020202020204"/>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1295" w14:textId="77777777" w:rsidR="00301DB3" w:rsidRDefault="00301DB3">
    <w:pPr>
      <w:pStyle w:val="Footer"/>
    </w:pPr>
    <w:r>
      <w:drawing>
        <wp:anchor distT="0" distB="0" distL="0" distR="0" simplePos="0" relativeHeight="251656192" behindDoc="0" locked="0" layoutInCell="1" allowOverlap="1" wp14:anchorId="484451C8" wp14:editId="00023F5A">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DFE36"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9837" w14:textId="77777777" w:rsidR="009D738B" w:rsidRDefault="009D738B">
      <w:r>
        <w:separator/>
      </w:r>
    </w:p>
  </w:footnote>
  <w:footnote w:type="continuationSeparator" w:id="0">
    <w:p w14:paraId="2AE9B6AF" w14:textId="77777777" w:rsidR="009D738B" w:rsidRDefault="009D738B">
      <w:r>
        <w:continuationSeparator/>
      </w:r>
    </w:p>
  </w:footnote>
  <w:footnote w:id="1">
    <w:p w14:paraId="0348FECE" w14:textId="77777777" w:rsidR="00196F32" w:rsidRPr="00980FDC" w:rsidRDefault="00196F32" w:rsidP="009077EC">
      <w:pPr>
        <w:pStyle w:val="FootnoteText"/>
      </w:pPr>
      <w:r w:rsidRPr="009077EC">
        <w:rPr>
          <w:rStyle w:val="FootnoteReference"/>
        </w:rPr>
        <w:footnoteRef/>
      </w:r>
      <w:r w:rsidRPr="00980FDC">
        <w:rPr>
          <w:sz w:val="20"/>
        </w:rPr>
        <w:t xml:space="preserve"> </w:t>
      </w:r>
      <w:r>
        <w:rPr>
          <w:sz w:val="20"/>
        </w:rPr>
        <w:tab/>
      </w:r>
      <w:r w:rsidRPr="00980FDC">
        <w:t>Integration means that the satellite and terrestrial components of the network are able to work together seamlessly to provide coverage continuity to end users.</w:t>
      </w:r>
      <w:r w:rsidRPr="00980FDC">
        <w:rPr>
          <w:sz w:val="20"/>
        </w:rPr>
        <w:t xml:space="preserve"> </w:t>
      </w:r>
    </w:p>
  </w:footnote>
  <w:footnote w:id="2">
    <w:p w14:paraId="1CD6E138" w14:textId="0F8FD3DB" w:rsidR="0033097D" w:rsidRPr="00D21A33" w:rsidRDefault="0033097D">
      <w:pPr>
        <w:pStyle w:val="FootnoteText"/>
        <w:rPr>
          <w:lang w:val="en-US"/>
        </w:rPr>
      </w:pPr>
      <w:r>
        <w:rPr>
          <w:rStyle w:val="FootnoteReference"/>
        </w:rPr>
        <w:footnoteRef/>
      </w:r>
      <w:r>
        <w:t xml:space="preserve"> </w:t>
      </w:r>
      <w:r>
        <w:tab/>
      </w:r>
      <w:r w:rsidRPr="0033097D">
        <w:t>Once the Recommendation</w:t>
      </w:r>
      <w:r>
        <w:t xml:space="preserve"> h</w:t>
      </w:r>
      <w:r w:rsidRPr="0033097D">
        <w:t>as been approved, the exact reference to the Recommendation will be added as an editorial action</w:t>
      </w:r>
      <w:r w:rsidRPr="0033097D">
        <w:rPr>
          <w:lang w:val="en-US"/>
        </w:rPr>
        <w:t>.</w:t>
      </w:r>
    </w:p>
  </w:footnote>
  <w:footnote w:id="3">
    <w:p w14:paraId="6CE3F5EC" w14:textId="77777777" w:rsidR="00196F32" w:rsidRPr="00B34FCB" w:rsidRDefault="00196F32" w:rsidP="00907579">
      <w:pPr>
        <w:pStyle w:val="FootnoteText"/>
        <w:rPr>
          <w:lang w:val="en-US"/>
        </w:rPr>
      </w:pPr>
      <w:r>
        <w:rPr>
          <w:rStyle w:val="FootnoteReference"/>
        </w:rPr>
        <w:footnoteRef/>
      </w:r>
      <w:r>
        <w:rPr>
          <w:lang w:val="en-US"/>
        </w:rPr>
        <w:tab/>
      </w:r>
      <w:proofErr w:type="gramStart"/>
      <w:r w:rsidRPr="00A239AC">
        <w:rPr>
          <w:lang w:val="en-US"/>
        </w:rPr>
        <w:t>In order to</w:t>
      </w:r>
      <w:proofErr w:type="gramEnd"/>
      <w:r w:rsidRPr="00A239AC">
        <w:rPr>
          <w:lang w:val="en-US"/>
        </w:rPr>
        <w:t xml:space="preserve"> reach Step 7, </w:t>
      </w:r>
      <w:r w:rsidRPr="00CD6809">
        <w:t xml:space="preserve">each component RIT of the SRIT needed to still fulfil the minimum requirements of at least </w:t>
      </w:r>
      <w:r>
        <w:t>one</w:t>
      </w:r>
      <w:r w:rsidRPr="00CD6809">
        <w:t xml:space="preserve"> test environment to be assessed as a ‘qualifying SRIT’ in Step 6.</w:t>
      </w:r>
    </w:p>
  </w:footnote>
  <w:footnote w:id="4">
    <w:p w14:paraId="005E507B" w14:textId="77777777" w:rsidR="00196F32" w:rsidRPr="00CD6809" w:rsidRDefault="00196F32" w:rsidP="007319DB">
      <w:pPr>
        <w:pStyle w:val="FootnoteText"/>
      </w:pPr>
      <w:r>
        <w:rPr>
          <w:rStyle w:val="FootnoteReference"/>
        </w:rPr>
        <w:footnoteRef/>
      </w:r>
      <w:r w:rsidRPr="00CD6809">
        <w:tab/>
        <w:t>Dev</w:t>
      </w:r>
      <w:r>
        <w:t>eloped by 3GPP as 5G, Release 17 and beyond</w:t>
      </w:r>
      <w:r w:rsidRPr="00CD6809">
        <w:t>.</w:t>
      </w:r>
    </w:p>
  </w:footnote>
  <w:footnote w:id="5">
    <w:p w14:paraId="3D4227F8" w14:textId="77777777" w:rsidR="00196F32" w:rsidRPr="00647A95" w:rsidRDefault="00196F32" w:rsidP="007319DB">
      <w:pPr>
        <w:pStyle w:val="FootnoteText"/>
        <w:rPr>
          <w:lang w:val="en-US"/>
        </w:rPr>
      </w:pPr>
      <w:r>
        <w:rPr>
          <w:rStyle w:val="FootnoteReference"/>
        </w:rPr>
        <w:footnoteRef/>
      </w:r>
      <w:r w:rsidRPr="00CD6809">
        <w:tab/>
        <w:t>Dev</w:t>
      </w:r>
      <w:r>
        <w:t>eloped by 3GPP as 5G, Release 17 and beyond.</w:t>
      </w:r>
    </w:p>
  </w:footnote>
  <w:footnote w:id="6">
    <w:p w14:paraId="2E043228" w14:textId="2E8D3AA7" w:rsidR="00196F32" w:rsidRPr="00CD623D" w:rsidRDefault="00196F32" w:rsidP="00A1726F">
      <w:pPr>
        <w:pStyle w:val="FootnoteText"/>
        <w:rPr>
          <w:lang w:val="en-US"/>
        </w:rPr>
      </w:pPr>
      <w:r w:rsidRPr="00A1726F">
        <w:rPr>
          <w:rStyle w:val="FootnoteReference"/>
        </w:rPr>
        <w:footnoteRef/>
      </w:r>
      <w:r w:rsidR="00A1726F">
        <w:tab/>
      </w:r>
      <w:r w:rsidRPr="00CD623D">
        <w:rPr>
          <w:lang w:val="en-US"/>
        </w:rPr>
        <w:t xml:space="preserve">See </w:t>
      </w:r>
      <w:r>
        <w:rPr>
          <w:lang w:val="en-US"/>
        </w:rPr>
        <w:t xml:space="preserve">References in </w:t>
      </w:r>
      <w:r w:rsidRPr="00CD623D">
        <w:rPr>
          <w:lang w:val="en-US"/>
        </w:rPr>
        <w:t xml:space="preserve">Report </w:t>
      </w:r>
      <w:hyperlink r:id="rId1" w:history="1">
        <w:r w:rsidR="00B90B65" w:rsidRPr="00632FEC">
          <w:rPr>
            <w:rStyle w:val="Hyperlink"/>
            <w:color w:val="auto"/>
            <w:u w:val="none"/>
          </w:rPr>
          <w:t>ITU-R M.2514</w:t>
        </w:r>
      </w:hyperlink>
      <w:r>
        <w:rPr>
          <w:lang w:val="en-US"/>
        </w:rPr>
        <w:t xml:space="preserve"> (§ 8.2.6)</w:t>
      </w:r>
      <w:r w:rsidR="00A1726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1C8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397" w:type="dxa"/>
      <w:tblLook w:val="04A0" w:firstRow="1" w:lastRow="0" w:firstColumn="1" w:lastColumn="0" w:noHBand="0" w:noVBand="1"/>
    </w:tblPr>
    <w:tblGrid>
      <w:gridCol w:w="4554"/>
      <w:gridCol w:w="5936"/>
    </w:tblGrid>
    <w:tr w:rsidR="005B0371" w:rsidRPr="00A239D1" w14:paraId="6D8E22F5" w14:textId="77777777" w:rsidTr="0019307B">
      <w:tc>
        <w:tcPr>
          <w:tcW w:w="4634" w:type="dxa"/>
          <w:vAlign w:val="center"/>
        </w:tcPr>
        <w:p w14:paraId="6B422A4B"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45D6239"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5B0371" w:rsidRPr="00A239D1" w14:paraId="0914D6E2" w14:textId="77777777" w:rsidTr="0019307B">
      <w:tc>
        <w:tcPr>
          <w:tcW w:w="4634" w:type="dxa"/>
          <w:vAlign w:val="center"/>
        </w:tcPr>
        <w:p w14:paraId="00E013AF" w14:textId="77777777" w:rsidR="00EE47C4" w:rsidRPr="00260B24" w:rsidRDefault="00EE47C4" w:rsidP="00744F8B">
          <w:pPr>
            <w:pStyle w:val="Header"/>
            <w:jc w:val="left"/>
            <w:rPr>
              <w:rFonts w:asciiTheme="minorBidi" w:hAnsiTheme="minorBidi"/>
              <w:spacing w:val="4"/>
              <w:sz w:val="21"/>
              <w:szCs w:val="21"/>
            </w:rPr>
          </w:pPr>
        </w:p>
      </w:tc>
      <w:tc>
        <w:tcPr>
          <w:tcW w:w="5998" w:type="dxa"/>
          <w:vAlign w:val="center"/>
        </w:tcPr>
        <w:p w14:paraId="2F5FCBA9"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Sector</w:t>
          </w:r>
        </w:p>
      </w:tc>
    </w:tr>
  </w:tbl>
  <w:p w14:paraId="7F845BD3"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687ABFD4" wp14:editId="481E0DD8">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405EB8A" wp14:editId="3229DF5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44C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3C3AD4C" w14:textId="77777777" w:rsidR="004A6FEB" w:rsidRDefault="00E97A57"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B697D53" wp14:editId="68F98A87">
              <wp:simplePos x="0" y="0"/>
              <wp:positionH relativeFrom="page">
                <wp:posOffset>0</wp:posOffset>
              </wp:positionH>
              <wp:positionV relativeFrom="page">
                <wp:posOffset>1196340</wp:posOffset>
              </wp:positionV>
              <wp:extent cx="7560310" cy="236220"/>
              <wp:effectExtent l="0" t="0" r="0" b="0"/>
              <wp:wrapNone/>
              <wp:docPr id="7" name="Group 7" descr="Header separation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4"/>
                      <wps:cNvSpPr>
                        <a:spLocks noChangeArrowheads="1"/>
                      </wps:cNvSpPr>
                      <wps:spPr bwMode="auto">
                        <a:xfrm>
                          <a:off x="0" y="1944"/>
                          <a:ext cx="11906" cy="312"/>
                        </a:xfrm>
                        <a:prstGeom prst="rect">
                          <a:avLst/>
                        </a:prstGeom>
                        <a:solidFill>
                          <a:srgbClr val="52BA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5" descr="Header separation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90B7B" id="Group 7" o:spid="_x0000_s1026" alt="Header separation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">
              <v:rect id="docshape4" o:spid="_x0000_s1027"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" fillcolor="#52ba6c" stroked="f"/>
              <v:shape id="docshape5" o:spid="_x0000_s1028" alt="Header separation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" path="m627,l,,314,313,627,xe" stroked="f">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3453" w14:textId="0496FD15"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sidR="00AE09E7">
      <w:rPr>
        <w:b/>
        <w:bCs/>
        <w:lang w:val="en-US"/>
      </w:rPr>
      <w:fldChar w:fldCharType="begin"/>
    </w:r>
    <w:r w:rsidR="00AE09E7">
      <w:rPr>
        <w:b/>
        <w:bCs/>
        <w:lang w:val="en-US"/>
      </w:rPr>
      <w:instrText xml:space="preserve"> DOCPROPERTY  "Header 2"  \* MERGEFORMAT </w:instrText>
    </w:r>
    <w:r w:rsidR="00AE09E7">
      <w:rPr>
        <w:b/>
        <w:bCs/>
        <w:lang w:val="en-US"/>
      </w:rPr>
      <w:fldChar w:fldCharType="separate"/>
    </w:r>
    <w:r w:rsidR="002C64E1">
      <w:rPr>
        <w:b/>
        <w:bCs/>
        <w:lang w:val="en-US"/>
      </w:rPr>
      <w:t xml:space="preserve">Rep. </w:t>
    </w:r>
    <w:r w:rsidR="00AE09E7">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7525FB">
      <w:rPr>
        <w:b/>
        <w:bCs/>
        <w:noProof/>
        <w:lang w:val="en-US"/>
      </w:rPr>
      <w:t>ITU-R  M.2543-0</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72ED" w14:textId="1D7E7897" w:rsidR="001B164E" w:rsidRDefault="001B164E">
    <w:pPr>
      <w:pStyle w:val="Header"/>
    </w:pPr>
    <w:r>
      <w:tab/>
    </w:r>
    <w:r w:rsidR="00AE09E7">
      <w:rPr>
        <w:b/>
        <w:bCs/>
      </w:rPr>
      <w:fldChar w:fldCharType="begin"/>
    </w:r>
    <w:r w:rsidR="00AE09E7">
      <w:rPr>
        <w:b/>
        <w:bCs/>
      </w:rPr>
      <w:instrText xml:space="preserve"> DOCPROPERTY  "Header 2"  \* MERGEFORMAT </w:instrText>
    </w:r>
    <w:r w:rsidR="00AE09E7">
      <w:rPr>
        <w:b/>
        <w:bCs/>
      </w:rPr>
      <w:fldChar w:fldCharType="separate"/>
    </w:r>
    <w:r w:rsidR="002C64E1">
      <w:rPr>
        <w:b/>
        <w:bCs/>
      </w:rPr>
      <w:t xml:space="preserve">Rep. </w:t>
    </w:r>
    <w:r w:rsidR="00AE09E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7525FB">
      <w:rPr>
        <w:b/>
        <w:bCs/>
        <w:noProof/>
      </w:rPr>
      <w:t>ITU-R  M.2543-0</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2DFD"/>
    <w:multiLevelType w:val="hybridMultilevel"/>
    <w:tmpl w:val="1018CDD8"/>
    <w:lvl w:ilvl="0" w:tplc="14D47836">
      <w:start w:val="1"/>
      <w:numFmt w:val="bullet"/>
      <w:lvlText w:val=""/>
      <w:lvlJc w:val="left"/>
      <w:pPr>
        <w:ind w:left="1287" w:hanging="360"/>
      </w:pPr>
      <w:rPr>
        <w:rFonts w:ascii="Wingdings" w:hAnsi="Wingdings"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D32DA8"/>
    <w:multiLevelType w:val="singleLevel"/>
    <w:tmpl w:val="5838B1CA"/>
    <w:lvl w:ilvl="0">
      <w:start w:val="1"/>
      <w:numFmt w:val="upperRoman"/>
      <w:lvlText w:val="TABLE %1. "/>
      <w:lvlJc w:val="left"/>
      <w:pPr>
        <w:tabs>
          <w:tab w:val="num" w:pos="1080"/>
        </w:tabs>
      </w:pPr>
      <w:rPr>
        <w:rFonts w:ascii="Times New Roman" w:hAnsi="Times New Roman" w:cs="Times New Roman" w:hint="default"/>
        <w:b w:val="0"/>
        <w:bCs w:val="0"/>
        <w:i w:val="0"/>
        <w:iCs w:val="0"/>
        <w:sz w:val="20"/>
        <w:szCs w:val="20"/>
      </w:rPr>
    </w:lvl>
  </w:abstractNum>
  <w:num w:numId="1" w16cid:durableId="1352299020">
    <w:abstractNumId w:val="3"/>
  </w:num>
  <w:num w:numId="2" w16cid:durableId="959919313">
    <w:abstractNumId w:val="2"/>
  </w:num>
  <w:num w:numId="3" w16cid:durableId="1886139296">
    <w:abstractNumId w:val="0"/>
  </w:num>
  <w:num w:numId="4" w16cid:durableId="9066950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02"/>
    <w:rsid w:val="00007D90"/>
    <w:rsid w:val="000106E0"/>
    <w:rsid w:val="00013002"/>
    <w:rsid w:val="00017082"/>
    <w:rsid w:val="00032798"/>
    <w:rsid w:val="0003616D"/>
    <w:rsid w:val="00036EE3"/>
    <w:rsid w:val="00045C30"/>
    <w:rsid w:val="00060913"/>
    <w:rsid w:val="00064B3E"/>
    <w:rsid w:val="00070BD5"/>
    <w:rsid w:val="00072484"/>
    <w:rsid w:val="00073870"/>
    <w:rsid w:val="00084EE9"/>
    <w:rsid w:val="00095530"/>
    <w:rsid w:val="00096612"/>
    <w:rsid w:val="00097CE5"/>
    <w:rsid w:val="000A1B6A"/>
    <w:rsid w:val="000A4BC2"/>
    <w:rsid w:val="000A6914"/>
    <w:rsid w:val="000B1B2B"/>
    <w:rsid w:val="000B7683"/>
    <w:rsid w:val="000C0798"/>
    <w:rsid w:val="000D0677"/>
    <w:rsid w:val="000D074A"/>
    <w:rsid w:val="000D109D"/>
    <w:rsid w:val="000D581A"/>
    <w:rsid w:val="000E0548"/>
    <w:rsid w:val="000E6A6E"/>
    <w:rsid w:val="000F2B5A"/>
    <w:rsid w:val="000F7C0D"/>
    <w:rsid w:val="00102934"/>
    <w:rsid w:val="00107FD6"/>
    <w:rsid w:val="00117E9F"/>
    <w:rsid w:val="00122BB8"/>
    <w:rsid w:val="00127578"/>
    <w:rsid w:val="001334C9"/>
    <w:rsid w:val="001400EB"/>
    <w:rsid w:val="00147110"/>
    <w:rsid w:val="001511A6"/>
    <w:rsid w:val="00157679"/>
    <w:rsid w:val="00160763"/>
    <w:rsid w:val="00162099"/>
    <w:rsid w:val="00171C4D"/>
    <w:rsid w:val="0017562F"/>
    <w:rsid w:val="0018550A"/>
    <w:rsid w:val="00192490"/>
    <w:rsid w:val="0019307B"/>
    <w:rsid w:val="00196F32"/>
    <w:rsid w:val="001A3F88"/>
    <w:rsid w:val="001A43C6"/>
    <w:rsid w:val="001A70B1"/>
    <w:rsid w:val="001B0927"/>
    <w:rsid w:val="001B0E5D"/>
    <w:rsid w:val="001B164E"/>
    <w:rsid w:val="001B7886"/>
    <w:rsid w:val="001C30B1"/>
    <w:rsid w:val="001D07F4"/>
    <w:rsid w:val="001E3A7E"/>
    <w:rsid w:val="001E4A54"/>
    <w:rsid w:val="001E56F3"/>
    <w:rsid w:val="001F38BB"/>
    <w:rsid w:val="00202833"/>
    <w:rsid w:val="002058CE"/>
    <w:rsid w:val="002063F1"/>
    <w:rsid w:val="0021161E"/>
    <w:rsid w:val="00212683"/>
    <w:rsid w:val="002165F1"/>
    <w:rsid w:val="00232FD5"/>
    <w:rsid w:val="00233211"/>
    <w:rsid w:val="00234274"/>
    <w:rsid w:val="002572C9"/>
    <w:rsid w:val="00257D40"/>
    <w:rsid w:val="00260B24"/>
    <w:rsid w:val="00264347"/>
    <w:rsid w:val="00270F2A"/>
    <w:rsid w:val="00272872"/>
    <w:rsid w:val="0027411A"/>
    <w:rsid w:val="00275626"/>
    <w:rsid w:val="00276D21"/>
    <w:rsid w:val="0028544E"/>
    <w:rsid w:val="00295A4E"/>
    <w:rsid w:val="00296D7F"/>
    <w:rsid w:val="002A087F"/>
    <w:rsid w:val="002A5D45"/>
    <w:rsid w:val="002B0F61"/>
    <w:rsid w:val="002B397F"/>
    <w:rsid w:val="002B3CF6"/>
    <w:rsid w:val="002B3E59"/>
    <w:rsid w:val="002C64E1"/>
    <w:rsid w:val="002C768A"/>
    <w:rsid w:val="002D05B4"/>
    <w:rsid w:val="002D0BD7"/>
    <w:rsid w:val="002D76C4"/>
    <w:rsid w:val="002D7845"/>
    <w:rsid w:val="002E747E"/>
    <w:rsid w:val="002F5199"/>
    <w:rsid w:val="002F5909"/>
    <w:rsid w:val="002F74B7"/>
    <w:rsid w:val="00301DB3"/>
    <w:rsid w:val="00303C49"/>
    <w:rsid w:val="00305119"/>
    <w:rsid w:val="003157F1"/>
    <w:rsid w:val="00323A7A"/>
    <w:rsid w:val="00325F9E"/>
    <w:rsid w:val="0033097D"/>
    <w:rsid w:val="00356B5D"/>
    <w:rsid w:val="00357707"/>
    <w:rsid w:val="0036627C"/>
    <w:rsid w:val="0036678D"/>
    <w:rsid w:val="0039798E"/>
    <w:rsid w:val="003A2DAE"/>
    <w:rsid w:val="003C5677"/>
    <w:rsid w:val="003E3A4B"/>
    <w:rsid w:val="003E3FCF"/>
    <w:rsid w:val="003E4DB8"/>
    <w:rsid w:val="003E5516"/>
    <w:rsid w:val="003F4B75"/>
    <w:rsid w:val="004012C2"/>
    <w:rsid w:val="00420DFD"/>
    <w:rsid w:val="00425BC7"/>
    <w:rsid w:val="00437A76"/>
    <w:rsid w:val="004604B2"/>
    <w:rsid w:val="00463412"/>
    <w:rsid w:val="00470E28"/>
    <w:rsid w:val="0047379B"/>
    <w:rsid w:val="00473CF1"/>
    <w:rsid w:val="00474009"/>
    <w:rsid w:val="0047407B"/>
    <w:rsid w:val="004842E2"/>
    <w:rsid w:val="00486EB3"/>
    <w:rsid w:val="00491A64"/>
    <w:rsid w:val="004934C5"/>
    <w:rsid w:val="004941AC"/>
    <w:rsid w:val="004A211F"/>
    <w:rsid w:val="004A6FEB"/>
    <w:rsid w:val="004C7F14"/>
    <w:rsid w:val="004E306E"/>
    <w:rsid w:val="004E359C"/>
    <w:rsid w:val="004E61FF"/>
    <w:rsid w:val="00517536"/>
    <w:rsid w:val="00532178"/>
    <w:rsid w:val="005373E0"/>
    <w:rsid w:val="00542ADD"/>
    <w:rsid w:val="00542EC2"/>
    <w:rsid w:val="00545B99"/>
    <w:rsid w:val="0055580E"/>
    <w:rsid w:val="00556548"/>
    <w:rsid w:val="005619BD"/>
    <w:rsid w:val="00566F8C"/>
    <w:rsid w:val="00571B1C"/>
    <w:rsid w:val="005745F2"/>
    <w:rsid w:val="00576D47"/>
    <w:rsid w:val="00586EF8"/>
    <w:rsid w:val="00595F8A"/>
    <w:rsid w:val="005A519D"/>
    <w:rsid w:val="005B0371"/>
    <w:rsid w:val="005B49AB"/>
    <w:rsid w:val="005B50E7"/>
    <w:rsid w:val="005C241A"/>
    <w:rsid w:val="005C4BAB"/>
    <w:rsid w:val="005C5557"/>
    <w:rsid w:val="005D0FBC"/>
    <w:rsid w:val="005D34BB"/>
    <w:rsid w:val="005D568D"/>
    <w:rsid w:val="005E12A5"/>
    <w:rsid w:val="005E69F0"/>
    <w:rsid w:val="005E7B4F"/>
    <w:rsid w:val="005F003B"/>
    <w:rsid w:val="005F4251"/>
    <w:rsid w:val="005F727B"/>
    <w:rsid w:val="00601882"/>
    <w:rsid w:val="00607D68"/>
    <w:rsid w:val="00613212"/>
    <w:rsid w:val="006149B1"/>
    <w:rsid w:val="00616EA2"/>
    <w:rsid w:val="0061756E"/>
    <w:rsid w:val="00632FEC"/>
    <w:rsid w:val="00634CA1"/>
    <w:rsid w:val="00640332"/>
    <w:rsid w:val="006405DD"/>
    <w:rsid w:val="006535BE"/>
    <w:rsid w:val="00656B10"/>
    <w:rsid w:val="00677622"/>
    <w:rsid w:val="00680D2B"/>
    <w:rsid w:val="00681B32"/>
    <w:rsid w:val="00683866"/>
    <w:rsid w:val="00697887"/>
    <w:rsid w:val="006A54B6"/>
    <w:rsid w:val="006B1D2B"/>
    <w:rsid w:val="006B56A3"/>
    <w:rsid w:val="006C37D5"/>
    <w:rsid w:val="006C594F"/>
    <w:rsid w:val="006C6D49"/>
    <w:rsid w:val="006D3353"/>
    <w:rsid w:val="006E1131"/>
    <w:rsid w:val="006E1BE4"/>
    <w:rsid w:val="006E2037"/>
    <w:rsid w:val="006E6199"/>
    <w:rsid w:val="006F003F"/>
    <w:rsid w:val="006F08CE"/>
    <w:rsid w:val="006F0BAC"/>
    <w:rsid w:val="006F22C1"/>
    <w:rsid w:val="00703C98"/>
    <w:rsid w:val="00707EB8"/>
    <w:rsid w:val="00712870"/>
    <w:rsid w:val="00714AC0"/>
    <w:rsid w:val="007174F8"/>
    <w:rsid w:val="007319DB"/>
    <w:rsid w:val="0074147D"/>
    <w:rsid w:val="007431A1"/>
    <w:rsid w:val="00743D85"/>
    <w:rsid w:val="0074489E"/>
    <w:rsid w:val="00744F8B"/>
    <w:rsid w:val="00751227"/>
    <w:rsid w:val="007525FB"/>
    <w:rsid w:val="00753CF4"/>
    <w:rsid w:val="007565CC"/>
    <w:rsid w:val="00763B9A"/>
    <w:rsid w:val="00767181"/>
    <w:rsid w:val="00773CA8"/>
    <w:rsid w:val="00773E88"/>
    <w:rsid w:val="0077619D"/>
    <w:rsid w:val="00777AC0"/>
    <w:rsid w:val="00780AE4"/>
    <w:rsid w:val="0079744B"/>
    <w:rsid w:val="007A6A56"/>
    <w:rsid w:val="007A6AA8"/>
    <w:rsid w:val="007B1357"/>
    <w:rsid w:val="007B2DC6"/>
    <w:rsid w:val="007B3343"/>
    <w:rsid w:val="007E4C1E"/>
    <w:rsid w:val="007E6023"/>
    <w:rsid w:val="007E7FB8"/>
    <w:rsid w:val="007F4F1F"/>
    <w:rsid w:val="00800B5F"/>
    <w:rsid w:val="00815356"/>
    <w:rsid w:val="008310C9"/>
    <w:rsid w:val="008335F0"/>
    <w:rsid w:val="00834306"/>
    <w:rsid w:val="00850711"/>
    <w:rsid w:val="008509C6"/>
    <w:rsid w:val="00853CC5"/>
    <w:rsid w:val="00855470"/>
    <w:rsid w:val="00855ECD"/>
    <w:rsid w:val="0086043F"/>
    <w:rsid w:val="0087621D"/>
    <w:rsid w:val="00877E6E"/>
    <w:rsid w:val="00883ECC"/>
    <w:rsid w:val="00890E1D"/>
    <w:rsid w:val="00892092"/>
    <w:rsid w:val="00897EBA"/>
    <w:rsid w:val="008A2B56"/>
    <w:rsid w:val="008A515D"/>
    <w:rsid w:val="008A6B12"/>
    <w:rsid w:val="008B083A"/>
    <w:rsid w:val="008B1E91"/>
    <w:rsid w:val="008B32FE"/>
    <w:rsid w:val="008B78D5"/>
    <w:rsid w:val="008C7848"/>
    <w:rsid w:val="008E180D"/>
    <w:rsid w:val="008E20EF"/>
    <w:rsid w:val="008E357B"/>
    <w:rsid w:val="008E477F"/>
    <w:rsid w:val="008F4A0A"/>
    <w:rsid w:val="00903BE6"/>
    <w:rsid w:val="00906589"/>
    <w:rsid w:val="00906AD6"/>
    <w:rsid w:val="00907579"/>
    <w:rsid w:val="009077EC"/>
    <w:rsid w:val="00917AF2"/>
    <w:rsid w:val="0092418A"/>
    <w:rsid w:val="009317AE"/>
    <w:rsid w:val="00934ED7"/>
    <w:rsid w:val="00937602"/>
    <w:rsid w:val="00940D16"/>
    <w:rsid w:val="00941909"/>
    <w:rsid w:val="009507A2"/>
    <w:rsid w:val="009543C3"/>
    <w:rsid w:val="00966E1B"/>
    <w:rsid w:val="00972F51"/>
    <w:rsid w:val="00984A02"/>
    <w:rsid w:val="00987E1E"/>
    <w:rsid w:val="009947C0"/>
    <w:rsid w:val="009A38E7"/>
    <w:rsid w:val="009A4039"/>
    <w:rsid w:val="009A41F9"/>
    <w:rsid w:val="009A5111"/>
    <w:rsid w:val="009B249E"/>
    <w:rsid w:val="009B5C5C"/>
    <w:rsid w:val="009B5CA2"/>
    <w:rsid w:val="009D6FB5"/>
    <w:rsid w:val="009D738B"/>
    <w:rsid w:val="009F0D46"/>
    <w:rsid w:val="009F2D2C"/>
    <w:rsid w:val="009F5580"/>
    <w:rsid w:val="00A012B1"/>
    <w:rsid w:val="00A03C0E"/>
    <w:rsid w:val="00A06D82"/>
    <w:rsid w:val="00A1243B"/>
    <w:rsid w:val="00A15F85"/>
    <w:rsid w:val="00A1726F"/>
    <w:rsid w:val="00A239D1"/>
    <w:rsid w:val="00A31928"/>
    <w:rsid w:val="00A35B27"/>
    <w:rsid w:val="00A507D4"/>
    <w:rsid w:val="00A508F0"/>
    <w:rsid w:val="00A52C65"/>
    <w:rsid w:val="00A62A14"/>
    <w:rsid w:val="00A6617B"/>
    <w:rsid w:val="00A71FE5"/>
    <w:rsid w:val="00A7534B"/>
    <w:rsid w:val="00A76007"/>
    <w:rsid w:val="00A84328"/>
    <w:rsid w:val="00A86DD2"/>
    <w:rsid w:val="00A936CB"/>
    <w:rsid w:val="00A971A1"/>
    <w:rsid w:val="00AA3AD8"/>
    <w:rsid w:val="00AA7FC4"/>
    <w:rsid w:val="00AB0DC8"/>
    <w:rsid w:val="00AB405C"/>
    <w:rsid w:val="00AC015D"/>
    <w:rsid w:val="00AC222F"/>
    <w:rsid w:val="00AD7F28"/>
    <w:rsid w:val="00AE09E7"/>
    <w:rsid w:val="00AE698D"/>
    <w:rsid w:val="00AE6DA1"/>
    <w:rsid w:val="00AF0286"/>
    <w:rsid w:val="00AF0311"/>
    <w:rsid w:val="00AF5326"/>
    <w:rsid w:val="00B019A2"/>
    <w:rsid w:val="00B02693"/>
    <w:rsid w:val="00B0286E"/>
    <w:rsid w:val="00B033C8"/>
    <w:rsid w:val="00B1009C"/>
    <w:rsid w:val="00B13C7E"/>
    <w:rsid w:val="00B21CE4"/>
    <w:rsid w:val="00B228DF"/>
    <w:rsid w:val="00B22D82"/>
    <w:rsid w:val="00B26A56"/>
    <w:rsid w:val="00B33425"/>
    <w:rsid w:val="00B34AEC"/>
    <w:rsid w:val="00B37AD4"/>
    <w:rsid w:val="00B42334"/>
    <w:rsid w:val="00B44E24"/>
    <w:rsid w:val="00B46904"/>
    <w:rsid w:val="00B52475"/>
    <w:rsid w:val="00B54ECC"/>
    <w:rsid w:val="00B60AC0"/>
    <w:rsid w:val="00B61D01"/>
    <w:rsid w:val="00B714F3"/>
    <w:rsid w:val="00B75A52"/>
    <w:rsid w:val="00B83592"/>
    <w:rsid w:val="00B85BC2"/>
    <w:rsid w:val="00B874C6"/>
    <w:rsid w:val="00B87B6B"/>
    <w:rsid w:val="00B90B65"/>
    <w:rsid w:val="00B9169E"/>
    <w:rsid w:val="00B975C4"/>
    <w:rsid w:val="00BA295F"/>
    <w:rsid w:val="00BC115F"/>
    <w:rsid w:val="00BC5D77"/>
    <w:rsid w:val="00BD3887"/>
    <w:rsid w:val="00BD4283"/>
    <w:rsid w:val="00BE33BE"/>
    <w:rsid w:val="00BF31CC"/>
    <w:rsid w:val="00BF487A"/>
    <w:rsid w:val="00BF5544"/>
    <w:rsid w:val="00BF5DBE"/>
    <w:rsid w:val="00C0325B"/>
    <w:rsid w:val="00C0721E"/>
    <w:rsid w:val="00C0736F"/>
    <w:rsid w:val="00C15F3E"/>
    <w:rsid w:val="00C2028D"/>
    <w:rsid w:val="00C41EEB"/>
    <w:rsid w:val="00C44C19"/>
    <w:rsid w:val="00C46BD9"/>
    <w:rsid w:val="00C55258"/>
    <w:rsid w:val="00C6139C"/>
    <w:rsid w:val="00C67C66"/>
    <w:rsid w:val="00C73560"/>
    <w:rsid w:val="00C80278"/>
    <w:rsid w:val="00C84DB7"/>
    <w:rsid w:val="00C87A35"/>
    <w:rsid w:val="00CA5BAC"/>
    <w:rsid w:val="00CB0F14"/>
    <w:rsid w:val="00CB52D4"/>
    <w:rsid w:val="00CB59BF"/>
    <w:rsid w:val="00CC1957"/>
    <w:rsid w:val="00CC7C3B"/>
    <w:rsid w:val="00CD0C0D"/>
    <w:rsid w:val="00CD30F4"/>
    <w:rsid w:val="00CD659B"/>
    <w:rsid w:val="00CE0A43"/>
    <w:rsid w:val="00CF2012"/>
    <w:rsid w:val="00CF2EF8"/>
    <w:rsid w:val="00D00118"/>
    <w:rsid w:val="00D01CF2"/>
    <w:rsid w:val="00D130F4"/>
    <w:rsid w:val="00D153A5"/>
    <w:rsid w:val="00D16749"/>
    <w:rsid w:val="00D21A33"/>
    <w:rsid w:val="00D41362"/>
    <w:rsid w:val="00D44F58"/>
    <w:rsid w:val="00D5024B"/>
    <w:rsid w:val="00D54286"/>
    <w:rsid w:val="00D606E1"/>
    <w:rsid w:val="00D61962"/>
    <w:rsid w:val="00D620D6"/>
    <w:rsid w:val="00D72623"/>
    <w:rsid w:val="00D83556"/>
    <w:rsid w:val="00D8466D"/>
    <w:rsid w:val="00D85C64"/>
    <w:rsid w:val="00DC1210"/>
    <w:rsid w:val="00DD5352"/>
    <w:rsid w:val="00DD563F"/>
    <w:rsid w:val="00DE164F"/>
    <w:rsid w:val="00DE5556"/>
    <w:rsid w:val="00DF21D5"/>
    <w:rsid w:val="00DF4176"/>
    <w:rsid w:val="00E0095C"/>
    <w:rsid w:val="00E115FD"/>
    <w:rsid w:val="00E17240"/>
    <w:rsid w:val="00E32872"/>
    <w:rsid w:val="00E35CFE"/>
    <w:rsid w:val="00E40D77"/>
    <w:rsid w:val="00E45DAF"/>
    <w:rsid w:val="00E52BEE"/>
    <w:rsid w:val="00E6076F"/>
    <w:rsid w:val="00E6541A"/>
    <w:rsid w:val="00E70951"/>
    <w:rsid w:val="00E722EE"/>
    <w:rsid w:val="00E72358"/>
    <w:rsid w:val="00E74595"/>
    <w:rsid w:val="00E77485"/>
    <w:rsid w:val="00E809CD"/>
    <w:rsid w:val="00E83E5B"/>
    <w:rsid w:val="00E97A57"/>
    <w:rsid w:val="00EA3D45"/>
    <w:rsid w:val="00EA4E2C"/>
    <w:rsid w:val="00EB1CB6"/>
    <w:rsid w:val="00EB7C57"/>
    <w:rsid w:val="00EC2474"/>
    <w:rsid w:val="00ED2621"/>
    <w:rsid w:val="00ED2695"/>
    <w:rsid w:val="00ED5EBE"/>
    <w:rsid w:val="00ED6A1C"/>
    <w:rsid w:val="00ED7D52"/>
    <w:rsid w:val="00EE04BA"/>
    <w:rsid w:val="00EE47C4"/>
    <w:rsid w:val="00EE7765"/>
    <w:rsid w:val="00EF2D52"/>
    <w:rsid w:val="00EF51D5"/>
    <w:rsid w:val="00F06F93"/>
    <w:rsid w:val="00F150A2"/>
    <w:rsid w:val="00F2093D"/>
    <w:rsid w:val="00F30C9B"/>
    <w:rsid w:val="00F354B1"/>
    <w:rsid w:val="00F354D7"/>
    <w:rsid w:val="00F53668"/>
    <w:rsid w:val="00F6343F"/>
    <w:rsid w:val="00F64E4C"/>
    <w:rsid w:val="00F65208"/>
    <w:rsid w:val="00F67A0C"/>
    <w:rsid w:val="00F72776"/>
    <w:rsid w:val="00F808E1"/>
    <w:rsid w:val="00F9261E"/>
    <w:rsid w:val="00F92A40"/>
    <w:rsid w:val="00F947C0"/>
    <w:rsid w:val="00FA3E9C"/>
    <w:rsid w:val="00FB0E4E"/>
    <w:rsid w:val="00FC68F0"/>
    <w:rsid w:val="00FD1C53"/>
    <w:rsid w:val="00FD2B3C"/>
    <w:rsid w:val="00FE1361"/>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EAD56CE"/>
  <w15:docId w15:val="{5140AD4D-3567-4357-B78E-EA02380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7EC"/>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815356"/>
    <w:pPr>
      <w:keepNext/>
      <w:keepLines/>
      <w:spacing w:before="480"/>
      <w:ind w:left="794" w:hanging="794"/>
      <w:outlineLvl w:val="0"/>
    </w:pPr>
    <w:rPr>
      <w:b/>
    </w:rPr>
  </w:style>
  <w:style w:type="paragraph" w:styleId="Heading2">
    <w:name w:val="heading 2"/>
    <w:basedOn w:val="Heading1"/>
    <w:next w:val="Normal"/>
    <w:link w:val="Heading2Char"/>
    <w:qFormat/>
    <w:rsid w:val="00815356"/>
    <w:pPr>
      <w:spacing w:before="320"/>
      <w:outlineLvl w:val="1"/>
    </w:pPr>
  </w:style>
  <w:style w:type="paragraph" w:styleId="Heading3">
    <w:name w:val="heading 3"/>
    <w:basedOn w:val="Heading1"/>
    <w:next w:val="Normal"/>
    <w:link w:val="Heading3Char"/>
    <w:qFormat/>
    <w:rsid w:val="00815356"/>
    <w:pPr>
      <w:spacing w:before="200"/>
      <w:outlineLvl w:val="2"/>
    </w:pPr>
  </w:style>
  <w:style w:type="paragraph" w:styleId="Heading4">
    <w:name w:val="heading 4"/>
    <w:basedOn w:val="Heading3"/>
    <w:next w:val="Normal"/>
    <w:link w:val="Heading4Char"/>
    <w:qFormat/>
    <w:rsid w:val="00815356"/>
    <w:pPr>
      <w:tabs>
        <w:tab w:val="clear" w:pos="794"/>
        <w:tab w:val="left" w:pos="992"/>
      </w:tabs>
      <w:ind w:left="992" w:hanging="992"/>
      <w:outlineLvl w:val="3"/>
    </w:pPr>
  </w:style>
  <w:style w:type="paragraph" w:styleId="Heading5">
    <w:name w:val="heading 5"/>
    <w:basedOn w:val="Heading4"/>
    <w:next w:val="Normal"/>
    <w:link w:val="Heading5Char"/>
    <w:qFormat/>
    <w:rsid w:val="00815356"/>
    <w:pPr>
      <w:outlineLvl w:val="4"/>
    </w:pPr>
  </w:style>
  <w:style w:type="paragraph" w:styleId="Heading6">
    <w:name w:val="heading 6"/>
    <w:basedOn w:val="Heading4"/>
    <w:next w:val="Normal"/>
    <w:link w:val="Heading6Char"/>
    <w:qFormat/>
    <w:rsid w:val="00815356"/>
    <w:pPr>
      <w:tabs>
        <w:tab w:val="clear" w:pos="992"/>
        <w:tab w:val="clear" w:pos="1191"/>
      </w:tabs>
      <w:ind w:left="1588" w:hanging="1588"/>
      <w:outlineLvl w:val="5"/>
    </w:pPr>
  </w:style>
  <w:style w:type="paragraph" w:styleId="Heading7">
    <w:name w:val="heading 7"/>
    <w:basedOn w:val="Heading6"/>
    <w:next w:val="Normal"/>
    <w:link w:val="Heading7Char"/>
    <w:qFormat/>
    <w:rsid w:val="00815356"/>
    <w:pPr>
      <w:outlineLvl w:val="6"/>
    </w:pPr>
  </w:style>
  <w:style w:type="paragraph" w:styleId="Heading8">
    <w:name w:val="heading 8"/>
    <w:basedOn w:val="Heading6"/>
    <w:next w:val="Normal"/>
    <w:link w:val="Heading8Char"/>
    <w:qFormat/>
    <w:rsid w:val="00815356"/>
    <w:pPr>
      <w:outlineLvl w:val="7"/>
    </w:pPr>
  </w:style>
  <w:style w:type="paragraph" w:styleId="Heading9">
    <w:name w:val="heading 9"/>
    <w:basedOn w:val="Heading6"/>
    <w:next w:val="Normal"/>
    <w:link w:val="Heading9Char"/>
    <w:qFormat/>
    <w:rsid w:val="00815356"/>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356"/>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815356"/>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815356"/>
  </w:style>
  <w:style w:type="paragraph" w:customStyle="1" w:styleId="Headingb">
    <w:name w:val="Heading_b"/>
    <w:basedOn w:val="Heading3"/>
    <w:next w:val="Normal"/>
    <w:link w:val="HeadingbChar"/>
    <w:rsid w:val="00815356"/>
    <w:pPr>
      <w:spacing w:before="160"/>
      <w:ind w:left="0" w:firstLine="0"/>
      <w:outlineLvl w:val="9"/>
    </w:pPr>
  </w:style>
  <w:style w:type="paragraph" w:customStyle="1" w:styleId="Headingi">
    <w:name w:val="Heading_i"/>
    <w:basedOn w:val="Heading3"/>
    <w:next w:val="Normal"/>
    <w:link w:val="HeadingiChar"/>
    <w:rsid w:val="00815356"/>
    <w:pPr>
      <w:spacing w:before="160"/>
      <w:ind w:left="0" w:firstLine="0"/>
    </w:pPr>
    <w:rPr>
      <w:b w:val="0"/>
      <w:i/>
    </w:rPr>
  </w:style>
  <w:style w:type="character" w:customStyle="1" w:styleId="href">
    <w:name w:val="href"/>
    <w:basedOn w:val="DefaultParagraphFont"/>
    <w:rsid w:val="00815356"/>
  </w:style>
  <w:style w:type="paragraph" w:customStyle="1" w:styleId="AnnexNoTitle">
    <w:name w:val="Annex_NoTitle"/>
    <w:basedOn w:val="Normal"/>
    <w:next w:val="Normalaftertitle"/>
    <w:link w:val="AnnexNoTitleChar1"/>
    <w:rsid w:val="00BE33BE"/>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815356"/>
    <w:pPr>
      <w:spacing w:before="320"/>
    </w:pPr>
  </w:style>
  <w:style w:type="paragraph" w:customStyle="1" w:styleId="enumlev2">
    <w:name w:val="enumlev2"/>
    <w:basedOn w:val="enumlev1"/>
    <w:rsid w:val="00815356"/>
    <w:pPr>
      <w:ind w:left="1191" w:hanging="397"/>
    </w:pPr>
  </w:style>
  <w:style w:type="paragraph" w:customStyle="1" w:styleId="enumlev1">
    <w:name w:val="enumlev1"/>
    <w:basedOn w:val="Normal"/>
    <w:link w:val="enumlev1Char"/>
    <w:rsid w:val="00815356"/>
    <w:pPr>
      <w:spacing w:before="80"/>
      <w:ind w:left="794" w:hanging="794"/>
    </w:pPr>
  </w:style>
  <w:style w:type="paragraph" w:customStyle="1" w:styleId="enumlev3">
    <w:name w:val="enumlev3"/>
    <w:basedOn w:val="enumlev2"/>
    <w:rsid w:val="00815356"/>
    <w:pPr>
      <w:ind w:left="1588"/>
    </w:pPr>
  </w:style>
  <w:style w:type="paragraph" w:customStyle="1" w:styleId="Note">
    <w:name w:val="Note"/>
    <w:basedOn w:val="Normal"/>
    <w:link w:val="NoteChar"/>
    <w:rsid w:val="00815356"/>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815356"/>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815356"/>
    <w:pPr>
      <w:keepNext/>
      <w:keepLines/>
      <w:spacing w:before="240"/>
      <w:jc w:val="center"/>
    </w:pPr>
    <w:rPr>
      <w:b/>
      <w:sz w:val="28"/>
    </w:rPr>
  </w:style>
  <w:style w:type="paragraph" w:customStyle="1" w:styleId="Recref">
    <w:name w:val="Rec_ref"/>
    <w:basedOn w:val="Normal"/>
    <w:next w:val="Recdate"/>
    <w:rsid w:val="00815356"/>
    <w:pPr>
      <w:jc w:val="center"/>
    </w:pPr>
  </w:style>
  <w:style w:type="paragraph" w:customStyle="1" w:styleId="Recdate">
    <w:name w:val="Rec_date"/>
    <w:basedOn w:val="Recref"/>
    <w:next w:val="Normalaftertitle"/>
    <w:rsid w:val="00815356"/>
    <w:pPr>
      <w:jc w:val="right"/>
    </w:pPr>
  </w:style>
  <w:style w:type="paragraph" w:customStyle="1" w:styleId="HeadingSum">
    <w:name w:val="Heading_Sum"/>
    <w:basedOn w:val="Headingb"/>
    <w:next w:val="Normal"/>
    <w:autoRedefine/>
    <w:rsid w:val="00815356"/>
    <w:pPr>
      <w:spacing w:before="240"/>
    </w:pPr>
    <w:rPr>
      <w:lang w:val="es-ES_tradnl"/>
    </w:rPr>
  </w:style>
  <w:style w:type="paragraph" w:customStyle="1" w:styleId="AppendixNoTitle">
    <w:name w:val="Appendix_NoTitle"/>
    <w:basedOn w:val="AnnexNoTitle"/>
    <w:next w:val="Normal"/>
    <w:rsid w:val="00815356"/>
  </w:style>
  <w:style w:type="paragraph" w:customStyle="1" w:styleId="Tablefin">
    <w:name w:val="Table_fin"/>
    <w:basedOn w:val="Normal"/>
    <w:next w:val="Normal"/>
    <w:rsid w:val="00815356"/>
    <w:pPr>
      <w:spacing w:before="0"/>
    </w:pPr>
    <w:rPr>
      <w:sz w:val="20"/>
    </w:rPr>
  </w:style>
  <w:style w:type="paragraph" w:customStyle="1" w:styleId="Tablehead">
    <w:name w:val="Table_head"/>
    <w:basedOn w:val="Normal"/>
    <w:next w:val="Normal"/>
    <w:link w:val="TableheadChar"/>
    <w:rsid w:val="008153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815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815356"/>
    <w:pPr>
      <w:keepNext/>
      <w:spacing w:before="360" w:after="120"/>
      <w:jc w:val="center"/>
    </w:pPr>
  </w:style>
  <w:style w:type="paragraph" w:customStyle="1" w:styleId="Tabletext">
    <w:name w:val="Table_text"/>
    <w:basedOn w:val="Normal"/>
    <w:link w:val="TabletextChar"/>
    <w:rsid w:val="0081535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815356"/>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815356"/>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815356"/>
    <w:pPr>
      <w:ind w:left="794"/>
    </w:pPr>
  </w:style>
  <w:style w:type="paragraph" w:customStyle="1" w:styleId="Figurelegend">
    <w:name w:val="Figure_legend"/>
    <w:basedOn w:val="Normal"/>
    <w:rsid w:val="0081535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815356"/>
    <w:pPr>
      <w:keepNext/>
      <w:keepLines/>
      <w:spacing w:before="480" w:after="80"/>
      <w:jc w:val="center"/>
    </w:pPr>
    <w:rPr>
      <w:caps/>
      <w:sz w:val="18"/>
    </w:rPr>
  </w:style>
  <w:style w:type="paragraph" w:customStyle="1" w:styleId="Figuretitle">
    <w:name w:val="Figure_title"/>
    <w:basedOn w:val="Normal"/>
    <w:next w:val="Figure"/>
    <w:link w:val="FiguretitleChar"/>
    <w:rsid w:val="00815356"/>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815356"/>
    <w:pPr>
      <w:keepNext w:val="0"/>
      <w:spacing w:before="0" w:after="240"/>
    </w:pPr>
  </w:style>
  <w:style w:type="paragraph" w:customStyle="1" w:styleId="tocpart">
    <w:name w:val="tocpart"/>
    <w:basedOn w:val="Normal"/>
    <w:rsid w:val="00815356"/>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815356"/>
    <w:pPr>
      <w:keepNext/>
      <w:keepLines/>
      <w:spacing w:before="480"/>
      <w:jc w:val="center"/>
    </w:pPr>
    <w:rPr>
      <w:sz w:val="28"/>
    </w:rPr>
  </w:style>
  <w:style w:type="paragraph" w:customStyle="1" w:styleId="Arttitle">
    <w:name w:val="Art_title"/>
    <w:basedOn w:val="Normal"/>
    <w:next w:val="Normalaftertitle"/>
    <w:link w:val="ArttitleChar"/>
    <w:rsid w:val="00815356"/>
    <w:pPr>
      <w:keepNext/>
      <w:keepLines/>
      <w:spacing w:before="240"/>
      <w:jc w:val="center"/>
    </w:pPr>
    <w:rPr>
      <w:b/>
      <w:sz w:val="28"/>
    </w:rPr>
  </w:style>
  <w:style w:type="paragraph" w:customStyle="1" w:styleId="Blanc">
    <w:name w:val="Blanc"/>
    <w:basedOn w:val="Normal"/>
    <w:next w:val="Tabletext"/>
    <w:rsid w:val="00815356"/>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81535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815356"/>
    <w:pPr>
      <w:keepNext/>
      <w:keepLines/>
      <w:spacing w:before="160"/>
      <w:ind w:left="794"/>
    </w:pPr>
    <w:rPr>
      <w:i/>
    </w:rPr>
  </w:style>
  <w:style w:type="paragraph" w:customStyle="1" w:styleId="ChapNo">
    <w:name w:val="Chap_No"/>
    <w:basedOn w:val="ArtNo"/>
    <w:next w:val="Chaptitle"/>
    <w:rsid w:val="00815356"/>
    <w:rPr>
      <w:b/>
    </w:rPr>
  </w:style>
  <w:style w:type="paragraph" w:customStyle="1" w:styleId="Chaptitle">
    <w:name w:val="Chap_title"/>
    <w:basedOn w:val="Arttitle"/>
    <w:next w:val="Normalaftertitle"/>
    <w:rsid w:val="00815356"/>
  </w:style>
  <w:style w:type="character" w:styleId="FootnoteReference">
    <w:name w:val="footnote reference"/>
    <w:basedOn w:val="DefaultParagraphFont"/>
    <w:rsid w:val="00815356"/>
    <w:rPr>
      <w:position w:val="6"/>
      <w:sz w:val="18"/>
    </w:rPr>
  </w:style>
  <w:style w:type="paragraph" w:customStyle="1" w:styleId="CoverDate">
    <w:name w:val="Cover Date"/>
    <w:basedOn w:val="Normal"/>
    <w:qFormat/>
    <w:rsid w:val="00815356"/>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styleId="Index1">
    <w:name w:val="index 1"/>
    <w:basedOn w:val="Normal"/>
    <w:next w:val="Normal"/>
    <w:rsid w:val="00815356"/>
  </w:style>
  <w:style w:type="paragraph" w:styleId="Index2">
    <w:name w:val="index 2"/>
    <w:basedOn w:val="Normal"/>
    <w:next w:val="Normal"/>
    <w:rsid w:val="00815356"/>
    <w:pPr>
      <w:ind w:left="283"/>
    </w:pPr>
  </w:style>
  <w:style w:type="paragraph" w:styleId="Index3">
    <w:name w:val="index 3"/>
    <w:basedOn w:val="Normal"/>
    <w:next w:val="Normal"/>
    <w:rsid w:val="00815356"/>
    <w:pPr>
      <w:ind w:left="566"/>
    </w:pPr>
  </w:style>
  <w:style w:type="paragraph" w:styleId="IndexHeading">
    <w:name w:val="index heading"/>
    <w:basedOn w:val="Normal"/>
    <w:next w:val="Index1"/>
    <w:rsid w:val="00815356"/>
  </w:style>
  <w:style w:type="paragraph" w:customStyle="1" w:styleId="Line">
    <w:name w:val="Line"/>
    <w:basedOn w:val="Normal"/>
    <w:next w:val="Normal"/>
    <w:rsid w:val="00815356"/>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815356"/>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815356"/>
  </w:style>
  <w:style w:type="paragraph" w:customStyle="1" w:styleId="Partref">
    <w:name w:val="Part_ref"/>
    <w:basedOn w:val="Normal"/>
    <w:next w:val="Normal"/>
    <w:rsid w:val="00815356"/>
    <w:pPr>
      <w:keepNext/>
      <w:keepLines/>
      <w:spacing w:after="280"/>
      <w:jc w:val="center"/>
    </w:pPr>
  </w:style>
  <w:style w:type="paragraph" w:customStyle="1" w:styleId="Parttitle">
    <w:name w:val="Part_title"/>
    <w:basedOn w:val="Normal"/>
    <w:next w:val="Normalaftertitle"/>
    <w:rsid w:val="00815356"/>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815356"/>
  </w:style>
  <w:style w:type="paragraph" w:customStyle="1" w:styleId="QuestionNo">
    <w:name w:val="Question_No"/>
    <w:basedOn w:val="RecNo"/>
    <w:next w:val="Normal"/>
    <w:rsid w:val="00815356"/>
  </w:style>
  <w:style w:type="paragraph" w:customStyle="1" w:styleId="Questionref">
    <w:name w:val="Question_ref"/>
    <w:basedOn w:val="Recref"/>
    <w:next w:val="Questiondate"/>
    <w:rsid w:val="00815356"/>
  </w:style>
  <w:style w:type="paragraph" w:customStyle="1" w:styleId="Questiontitle">
    <w:name w:val="Question_title"/>
    <w:basedOn w:val="Normal"/>
    <w:next w:val="Questionref"/>
    <w:rsid w:val="00815356"/>
  </w:style>
  <w:style w:type="paragraph" w:customStyle="1" w:styleId="Reftext">
    <w:name w:val="Ref_text"/>
    <w:basedOn w:val="Normal"/>
    <w:rsid w:val="00815356"/>
    <w:pPr>
      <w:ind w:left="794" w:hanging="794"/>
    </w:pPr>
    <w:rPr>
      <w:sz w:val="22"/>
    </w:rPr>
  </w:style>
  <w:style w:type="paragraph" w:customStyle="1" w:styleId="Reftitle">
    <w:name w:val="Ref_title"/>
    <w:basedOn w:val="Normal"/>
    <w:next w:val="Reftext"/>
    <w:rsid w:val="00815356"/>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815356"/>
  </w:style>
  <w:style w:type="paragraph" w:customStyle="1" w:styleId="RepNo">
    <w:name w:val="Rep_No"/>
    <w:basedOn w:val="RecNo"/>
    <w:next w:val="Reptitle"/>
    <w:link w:val="RepNoChar"/>
    <w:rsid w:val="00815356"/>
  </w:style>
  <w:style w:type="paragraph" w:customStyle="1" w:styleId="Reptitle">
    <w:name w:val="Rep_title"/>
    <w:basedOn w:val="Rectitle"/>
    <w:next w:val="Repref"/>
    <w:link w:val="ReptitleChar"/>
    <w:rsid w:val="00815356"/>
  </w:style>
  <w:style w:type="paragraph" w:customStyle="1" w:styleId="Repref">
    <w:name w:val="Rep_ref"/>
    <w:basedOn w:val="Recref"/>
    <w:next w:val="Repdate"/>
    <w:rsid w:val="00815356"/>
  </w:style>
  <w:style w:type="paragraph" w:customStyle="1" w:styleId="Resdate">
    <w:name w:val="Res_date"/>
    <w:basedOn w:val="Recdate"/>
    <w:next w:val="Normalaftertitle"/>
    <w:rsid w:val="00815356"/>
  </w:style>
  <w:style w:type="paragraph" w:customStyle="1" w:styleId="ResNo">
    <w:name w:val="Res_No"/>
    <w:basedOn w:val="RecNo"/>
    <w:next w:val="Restitle"/>
    <w:link w:val="ResNoChar"/>
    <w:rsid w:val="00815356"/>
  </w:style>
  <w:style w:type="paragraph" w:customStyle="1" w:styleId="Restitle">
    <w:name w:val="Res_title"/>
    <w:basedOn w:val="Normal"/>
    <w:next w:val="Resref"/>
    <w:link w:val="RestitleChar"/>
    <w:rsid w:val="00815356"/>
    <w:pPr>
      <w:spacing w:before="240"/>
      <w:jc w:val="center"/>
    </w:pPr>
    <w:rPr>
      <w:b/>
      <w:sz w:val="28"/>
    </w:rPr>
  </w:style>
  <w:style w:type="paragraph" w:customStyle="1" w:styleId="Resref">
    <w:name w:val="Res_ref"/>
    <w:basedOn w:val="Recref"/>
    <w:next w:val="Resdate"/>
    <w:rsid w:val="00815356"/>
  </w:style>
  <w:style w:type="paragraph" w:customStyle="1" w:styleId="SectionNo">
    <w:name w:val="Section_No"/>
    <w:basedOn w:val="Normal"/>
    <w:next w:val="Normal"/>
    <w:rsid w:val="00815356"/>
  </w:style>
  <w:style w:type="paragraph" w:customStyle="1" w:styleId="Sectiontitle">
    <w:name w:val="Section_title"/>
    <w:basedOn w:val="Normal"/>
    <w:next w:val="Normalaftertitle"/>
    <w:rsid w:val="00815356"/>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815356"/>
    <w:pPr>
      <w:tabs>
        <w:tab w:val="clear" w:pos="794"/>
        <w:tab w:val="clear" w:pos="1191"/>
        <w:tab w:val="clear" w:pos="1588"/>
        <w:tab w:val="clear" w:pos="1985"/>
        <w:tab w:val="right" w:pos="9611"/>
      </w:tabs>
    </w:pPr>
    <w:rPr>
      <w:i/>
    </w:rPr>
  </w:style>
  <w:style w:type="paragraph" w:styleId="TOC1">
    <w:name w:val="toc 1"/>
    <w:basedOn w:val="Normal"/>
    <w:link w:val="TOC1Char"/>
    <w:uiPriority w:val="39"/>
    <w:rsid w:val="00815356"/>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815356"/>
    <w:pPr>
      <w:tabs>
        <w:tab w:val="clear" w:pos="567"/>
        <w:tab w:val="left" w:pos="1276"/>
      </w:tabs>
      <w:spacing w:before="160"/>
      <w:ind w:left="1276" w:hanging="709"/>
    </w:pPr>
  </w:style>
  <w:style w:type="paragraph" w:styleId="TOC3">
    <w:name w:val="toc 3"/>
    <w:basedOn w:val="TOC2"/>
    <w:rsid w:val="00815356"/>
    <w:pPr>
      <w:tabs>
        <w:tab w:val="clear" w:pos="1276"/>
        <w:tab w:val="left" w:pos="2155"/>
      </w:tabs>
      <w:ind w:left="2155" w:hanging="879"/>
    </w:pPr>
  </w:style>
  <w:style w:type="paragraph" w:styleId="TOC4">
    <w:name w:val="toc 4"/>
    <w:basedOn w:val="TOC3"/>
    <w:rsid w:val="00815356"/>
    <w:pPr>
      <w:tabs>
        <w:tab w:val="left" w:pos="3261"/>
      </w:tabs>
      <w:spacing w:before="80"/>
      <w:ind w:left="3261" w:hanging="993"/>
    </w:pPr>
  </w:style>
  <w:style w:type="paragraph" w:styleId="TOC5">
    <w:name w:val="toc 5"/>
    <w:basedOn w:val="TOC4"/>
    <w:rsid w:val="00815356"/>
  </w:style>
  <w:style w:type="paragraph" w:styleId="TOC6">
    <w:name w:val="toc 6"/>
    <w:basedOn w:val="TOC4"/>
    <w:rsid w:val="00815356"/>
  </w:style>
  <w:style w:type="paragraph" w:styleId="TOC7">
    <w:name w:val="toc 7"/>
    <w:basedOn w:val="TOC4"/>
    <w:rsid w:val="00815356"/>
  </w:style>
  <w:style w:type="paragraph" w:styleId="TOC8">
    <w:name w:val="toc 8"/>
    <w:basedOn w:val="TOC4"/>
    <w:rsid w:val="00815356"/>
  </w:style>
  <w:style w:type="paragraph" w:customStyle="1" w:styleId="Annexref">
    <w:name w:val="Annex_ref"/>
    <w:basedOn w:val="Normal"/>
    <w:next w:val="Normalaftertitle"/>
    <w:rsid w:val="00815356"/>
    <w:pPr>
      <w:keepNext/>
      <w:keepLines/>
      <w:spacing w:after="280"/>
      <w:jc w:val="center"/>
    </w:pPr>
  </w:style>
  <w:style w:type="paragraph" w:customStyle="1" w:styleId="Appendixref">
    <w:name w:val="Appendix_ref"/>
    <w:basedOn w:val="Annexref"/>
    <w:next w:val="Normalaftertitle"/>
    <w:rsid w:val="00815356"/>
  </w:style>
  <w:style w:type="paragraph" w:customStyle="1" w:styleId="Tabletitle">
    <w:name w:val="Table_title"/>
    <w:basedOn w:val="Normal"/>
    <w:next w:val="Tablehead"/>
    <w:link w:val="TabletitleChar"/>
    <w:rsid w:val="00815356"/>
    <w:pPr>
      <w:keepNext/>
      <w:spacing w:before="0" w:after="120"/>
      <w:jc w:val="center"/>
    </w:pPr>
    <w:rPr>
      <w:b/>
    </w:rPr>
  </w:style>
  <w:style w:type="paragraph" w:customStyle="1" w:styleId="Summary">
    <w:name w:val="Summary"/>
    <w:basedOn w:val="Normal"/>
    <w:next w:val="Normalaftertitle"/>
    <w:autoRedefine/>
    <w:rsid w:val="00815356"/>
    <w:pPr>
      <w:spacing w:after="480"/>
    </w:pPr>
    <w:rPr>
      <w:lang w:val="es-ES_tradnl"/>
    </w:rPr>
  </w:style>
  <w:style w:type="character" w:styleId="Hyperlink">
    <w:name w:val="Hyperlink"/>
    <w:basedOn w:val="DefaultParagraphFont"/>
    <w:uiPriority w:val="99"/>
    <w:rsid w:val="00815356"/>
    <w:rPr>
      <w:color w:val="0000FF"/>
      <w:u w:val="single"/>
    </w:rPr>
  </w:style>
  <w:style w:type="paragraph" w:customStyle="1" w:styleId="TableLegendNote">
    <w:name w:val="Table_Legend_Note"/>
    <w:basedOn w:val="Tablelegend"/>
    <w:next w:val="Tablelegend"/>
    <w:rsid w:val="00815356"/>
    <w:pPr>
      <w:ind w:left="-85" w:firstLine="0"/>
    </w:pPr>
    <w:rPr>
      <w:lang w:val="en-US"/>
    </w:rPr>
  </w:style>
  <w:style w:type="character" w:customStyle="1" w:styleId="HeaderChar">
    <w:name w:val="Header Char"/>
    <w:basedOn w:val="DefaultParagraphFont"/>
    <w:link w:val="Header"/>
    <w:uiPriority w:val="99"/>
    <w:rsid w:val="00815356"/>
    <w:rPr>
      <w:sz w:val="24"/>
      <w:lang w:val="en-GB" w:eastAsia="en-US"/>
    </w:rPr>
  </w:style>
  <w:style w:type="paragraph" w:styleId="FootnoteText">
    <w:name w:val="footnote text"/>
    <w:basedOn w:val="Normal"/>
    <w:link w:val="FootnoteTextChar"/>
    <w:semiHidden/>
    <w:rsid w:val="00815356"/>
    <w:pPr>
      <w:keepLines/>
      <w:tabs>
        <w:tab w:val="left" w:pos="255"/>
      </w:tabs>
      <w:ind w:left="255" w:hanging="255"/>
    </w:pPr>
    <w:rPr>
      <w:sz w:val="22"/>
    </w:rPr>
  </w:style>
  <w:style w:type="character" w:customStyle="1" w:styleId="FootnoteTextChar">
    <w:name w:val="Footnote Text Char"/>
    <w:basedOn w:val="DefaultParagraphFont"/>
    <w:link w:val="FootnoteText"/>
    <w:semiHidden/>
    <w:rsid w:val="00815356"/>
    <w:rPr>
      <w:sz w:val="22"/>
      <w:lang w:val="en-GB" w:eastAsia="en-US"/>
    </w:rPr>
  </w:style>
  <w:style w:type="paragraph" w:customStyle="1" w:styleId="CoverNumber">
    <w:name w:val="Cover Number"/>
    <w:basedOn w:val="Normal"/>
    <w:qFormat/>
    <w:rsid w:val="00815356"/>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table" w:styleId="TableGrid">
    <w:name w:val="Table Grid"/>
    <w:basedOn w:val="TableNormal"/>
    <w:uiPriority w:val="39"/>
    <w:rsid w:val="008153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eries">
    <w:name w:val="Cover Series"/>
    <w:basedOn w:val="Normal"/>
    <w:qFormat/>
    <w:rsid w:val="00815356"/>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815356"/>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Title3">
    <w:name w:val="Title 3"/>
    <w:basedOn w:val="Normal"/>
    <w:next w:val="Normal"/>
    <w:rsid w:val="0081535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character" w:customStyle="1" w:styleId="FooterChar">
    <w:name w:val="Footer Char"/>
    <w:basedOn w:val="DefaultParagraphFont"/>
    <w:link w:val="Footer"/>
    <w:rsid w:val="001C30B1"/>
    <w:rPr>
      <w:noProof/>
      <w:sz w:val="18"/>
      <w:lang w:val="en-GB" w:eastAsia="en-US"/>
    </w:rPr>
  </w:style>
  <w:style w:type="paragraph" w:customStyle="1" w:styleId="EditorsNote">
    <w:name w:val="EditorsNote"/>
    <w:basedOn w:val="Normal"/>
    <w:rsid w:val="001C30B1"/>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qFormat/>
    <w:rsid w:val="001C30B1"/>
    <w:rPr>
      <w:rFonts w:ascii="Times New Roman Bold" w:hAnsi="Times New Roman Bold"/>
      <w:b/>
      <w:sz w:val="18"/>
      <w:lang w:val="en-GB" w:eastAsia="en-US"/>
    </w:rPr>
  </w:style>
  <w:style w:type="character" w:customStyle="1" w:styleId="Heading1Char">
    <w:name w:val="Heading 1 Char"/>
    <w:basedOn w:val="DefaultParagraphFont"/>
    <w:link w:val="Heading1"/>
    <w:qFormat/>
    <w:rsid w:val="001C30B1"/>
    <w:rPr>
      <w:b/>
      <w:sz w:val="24"/>
      <w:lang w:val="en-GB" w:eastAsia="en-US"/>
    </w:rPr>
  </w:style>
  <w:style w:type="character" w:customStyle="1" w:styleId="Heading2Char">
    <w:name w:val="Heading 2 Char"/>
    <w:basedOn w:val="DefaultParagraphFont"/>
    <w:link w:val="Heading2"/>
    <w:qFormat/>
    <w:rsid w:val="001C30B1"/>
    <w:rPr>
      <w:b/>
      <w:sz w:val="24"/>
      <w:lang w:val="en-GB" w:eastAsia="en-US"/>
    </w:rPr>
  </w:style>
  <w:style w:type="character" w:customStyle="1" w:styleId="Heading3Char">
    <w:name w:val="Heading 3 Char"/>
    <w:basedOn w:val="DefaultParagraphFont"/>
    <w:link w:val="Heading3"/>
    <w:qFormat/>
    <w:rsid w:val="001C30B1"/>
    <w:rPr>
      <w:b/>
      <w:sz w:val="24"/>
      <w:lang w:val="en-GB" w:eastAsia="en-US"/>
    </w:rPr>
  </w:style>
  <w:style w:type="character" w:customStyle="1" w:styleId="Heading4Char">
    <w:name w:val="Heading 4 Char"/>
    <w:basedOn w:val="DefaultParagraphFont"/>
    <w:link w:val="Heading4"/>
    <w:qFormat/>
    <w:rsid w:val="001C30B1"/>
    <w:rPr>
      <w:b/>
      <w:sz w:val="24"/>
      <w:lang w:val="en-GB" w:eastAsia="en-US"/>
    </w:rPr>
  </w:style>
  <w:style w:type="character" w:customStyle="1" w:styleId="enumlev1Char">
    <w:name w:val="enumlev1 Char"/>
    <w:link w:val="enumlev1"/>
    <w:qFormat/>
    <w:locked/>
    <w:rsid w:val="001C30B1"/>
    <w:rPr>
      <w:sz w:val="24"/>
      <w:lang w:val="en-GB" w:eastAsia="en-US"/>
    </w:rPr>
  </w:style>
  <w:style w:type="paragraph" w:styleId="Revision">
    <w:name w:val="Revision"/>
    <w:hidden/>
    <w:uiPriority w:val="99"/>
    <w:semiHidden/>
    <w:rsid w:val="001C30B1"/>
    <w:rPr>
      <w:rFonts w:eastAsiaTheme="minorEastAsia"/>
      <w:sz w:val="24"/>
      <w:lang w:val="en-GB" w:eastAsia="en-US"/>
    </w:rPr>
  </w:style>
  <w:style w:type="character" w:customStyle="1" w:styleId="EquationeqChar">
    <w:name w:val="Equation.eq Char"/>
    <w:basedOn w:val="DefaultParagraphFont"/>
    <w:link w:val="Equation"/>
    <w:locked/>
    <w:rsid w:val="001C30B1"/>
    <w:rPr>
      <w:sz w:val="24"/>
      <w:lang w:val="en-GB" w:eastAsia="en-US"/>
    </w:rPr>
  </w:style>
  <w:style w:type="character" w:customStyle="1" w:styleId="FigureNoChar">
    <w:name w:val="Figure_No Char"/>
    <w:link w:val="FigureNo"/>
    <w:qFormat/>
    <w:rsid w:val="001C30B1"/>
    <w:rPr>
      <w:caps/>
      <w:sz w:val="18"/>
      <w:lang w:val="en-GB" w:eastAsia="en-US"/>
    </w:rPr>
  </w:style>
  <w:style w:type="character" w:customStyle="1" w:styleId="TableNoChar">
    <w:name w:val="Table_No Char"/>
    <w:basedOn w:val="DefaultParagraphFont"/>
    <w:link w:val="TableNo"/>
    <w:qFormat/>
    <w:locked/>
    <w:rsid w:val="001C30B1"/>
    <w:rPr>
      <w:sz w:val="24"/>
      <w:lang w:val="en-GB" w:eastAsia="en-US"/>
    </w:rPr>
  </w:style>
  <w:style w:type="character" w:customStyle="1" w:styleId="TabletitleChar">
    <w:name w:val="Table_title Char"/>
    <w:basedOn w:val="DefaultParagraphFont"/>
    <w:link w:val="Tabletitle"/>
    <w:qFormat/>
    <w:locked/>
    <w:rsid w:val="001C30B1"/>
    <w:rPr>
      <w:b/>
      <w:sz w:val="24"/>
      <w:lang w:val="en-GB" w:eastAsia="en-US"/>
    </w:rPr>
  </w:style>
  <w:style w:type="character" w:customStyle="1" w:styleId="HeadingbChar">
    <w:name w:val="Heading_b Char"/>
    <w:basedOn w:val="DefaultParagraphFont"/>
    <w:link w:val="Headingb"/>
    <w:locked/>
    <w:rsid w:val="001C30B1"/>
    <w:rPr>
      <w:b/>
      <w:sz w:val="24"/>
      <w:lang w:val="en-GB" w:eastAsia="en-US"/>
    </w:rPr>
  </w:style>
  <w:style w:type="character" w:customStyle="1" w:styleId="FigureChar">
    <w:name w:val="Figure Char"/>
    <w:aliases w:val="fig Char"/>
    <w:basedOn w:val="DefaultParagraphFont"/>
    <w:link w:val="Figure"/>
    <w:qFormat/>
    <w:locked/>
    <w:rsid w:val="001C30B1"/>
    <w:rPr>
      <w:caps/>
      <w:sz w:val="18"/>
      <w:lang w:val="en-GB" w:eastAsia="en-US"/>
    </w:rPr>
  </w:style>
  <w:style w:type="character" w:customStyle="1" w:styleId="TOC1Char">
    <w:name w:val="TOC 1 Char"/>
    <w:basedOn w:val="DefaultParagraphFont"/>
    <w:link w:val="TOC1"/>
    <w:rsid w:val="001C30B1"/>
    <w:rPr>
      <w:sz w:val="24"/>
      <w:lang w:eastAsia="en-US"/>
    </w:rPr>
  </w:style>
  <w:style w:type="character" w:customStyle="1" w:styleId="AnnexNoTitleChar1">
    <w:name w:val="Annex_NoTitle Char1"/>
    <w:basedOn w:val="DefaultParagraphFont"/>
    <w:link w:val="AnnexNoTitle"/>
    <w:rsid w:val="00BE33BE"/>
    <w:rPr>
      <w:b/>
      <w:sz w:val="28"/>
      <w:lang w:val="en-GB" w:eastAsia="en-US"/>
    </w:rPr>
  </w:style>
  <w:style w:type="character" w:customStyle="1" w:styleId="ArttitleChar">
    <w:name w:val="Art_title Char"/>
    <w:basedOn w:val="DefaultParagraphFont"/>
    <w:link w:val="Arttitle"/>
    <w:rsid w:val="0061756E"/>
    <w:rPr>
      <w:b/>
      <w:sz w:val="28"/>
      <w:lang w:val="en-GB" w:eastAsia="en-US"/>
    </w:rPr>
  </w:style>
  <w:style w:type="character" w:customStyle="1" w:styleId="CallChar">
    <w:name w:val="Call Char"/>
    <w:basedOn w:val="DefaultParagraphFont"/>
    <w:link w:val="Call"/>
    <w:rsid w:val="0061756E"/>
    <w:rPr>
      <w:i/>
      <w:sz w:val="24"/>
      <w:lang w:val="en-GB" w:eastAsia="en-US"/>
    </w:rPr>
  </w:style>
  <w:style w:type="character" w:customStyle="1" w:styleId="EquationlegendChar">
    <w:name w:val="Equation_legend Char"/>
    <w:basedOn w:val="DefaultParagraphFont"/>
    <w:link w:val="Equationlegend"/>
    <w:locked/>
    <w:rsid w:val="0061756E"/>
    <w:rPr>
      <w:sz w:val="24"/>
      <w:lang w:eastAsia="en-US"/>
    </w:rPr>
  </w:style>
  <w:style w:type="character" w:customStyle="1" w:styleId="Heading5Char">
    <w:name w:val="Heading 5 Char"/>
    <w:basedOn w:val="DefaultParagraphFont"/>
    <w:link w:val="Heading5"/>
    <w:rsid w:val="0061756E"/>
    <w:rPr>
      <w:b/>
      <w:sz w:val="24"/>
      <w:lang w:val="en-GB" w:eastAsia="en-US"/>
    </w:rPr>
  </w:style>
  <w:style w:type="character" w:customStyle="1" w:styleId="Heading6Char">
    <w:name w:val="Heading 6 Char"/>
    <w:basedOn w:val="DefaultParagraphFont"/>
    <w:link w:val="Heading6"/>
    <w:rsid w:val="0061756E"/>
    <w:rPr>
      <w:b/>
      <w:sz w:val="24"/>
      <w:lang w:val="en-GB" w:eastAsia="en-US"/>
    </w:rPr>
  </w:style>
  <w:style w:type="character" w:customStyle="1" w:styleId="Heading7Char">
    <w:name w:val="Heading 7 Char"/>
    <w:basedOn w:val="DefaultParagraphFont"/>
    <w:link w:val="Heading7"/>
    <w:rsid w:val="0061756E"/>
    <w:rPr>
      <w:b/>
      <w:sz w:val="24"/>
      <w:lang w:val="en-GB" w:eastAsia="en-US"/>
    </w:rPr>
  </w:style>
  <w:style w:type="character" w:customStyle="1" w:styleId="Heading8Char">
    <w:name w:val="Heading 8 Char"/>
    <w:basedOn w:val="DefaultParagraphFont"/>
    <w:link w:val="Heading8"/>
    <w:rsid w:val="0061756E"/>
    <w:rPr>
      <w:b/>
      <w:sz w:val="24"/>
      <w:lang w:val="en-GB" w:eastAsia="en-US"/>
    </w:rPr>
  </w:style>
  <w:style w:type="character" w:customStyle="1" w:styleId="Heading9Char">
    <w:name w:val="Heading 9 Char"/>
    <w:basedOn w:val="DefaultParagraphFont"/>
    <w:link w:val="Heading9"/>
    <w:rsid w:val="0061756E"/>
    <w:rPr>
      <w:b/>
      <w:sz w:val="24"/>
      <w:lang w:val="en-GB" w:eastAsia="en-US"/>
    </w:rPr>
  </w:style>
  <w:style w:type="character" w:customStyle="1" w:styleId="HeadingiChar">
    <w:name w:val="Heading_i Char"/>
    <w:basedOn w:val="DefaultParagraphFont"/>
    <w:link w:val="Headingi"/>
    <w:rsid w:val="0061756E"/>
    <w:rPr>
      <w:i/>
      <w:sz w:val="24"/>
      <w:lang w:val="en-GB" w:eastAsia="en-US"/>
    </w:rPr>
  </w:style>
  <w:style w:type="character" w:customStyle="1" w:styleId="NormalaftertitleChar">
    <w:name w:val="Normal_after_title Char"/>
    <w:basedOn w:val="DefaultParagraphFont"/>
    <w:link w:val="Normalaftertitle"/>
    <w:qFormat/>
    <w:rsid w:val="0061756E"/>
    <w:rPr>
      <w:sz w:val="24"/>
      <w:lang w:val="en-GB" w:eastAsia="en-US"/>
    </w:rPr>
  </w:style>
  <w:style w:type="character" w:customStyle="1" w:styleId="NoteChar">
    <w:name w:val="Note Char"/>
    <w:basedOn w:val="DefaultParagraphFont"/>
    <w:link w:val="Note"/>
    <w:locked/>
    <w:rsid w:val="0061756E"/>
    <w:rPr>
      <w:sz w:val="22"/>
      <w:lang w:val="en-GB" w:eastAsia="en-US"/>
    </w:rPr>
  </w:style>
  <w:style w:type="character" w:customStyle="1" w:styleId="RecNoChar">
    <w:name w:val="Rec_No Char"/>
    <w:basedOn w:val="DefaultParagraphFont"/>
    <w:link w:val="RecNo"/>
    <w:locked/>
    <w:rsid w:val="0061756E"/>
    <w:rPr>
      <w:sz w:val="28"/>
      <w:lang w:val="en-GB" w:eastAsia="en-US"/>
    </w:rPr>
  </w:style>
  <w:style w:type="character" w:customStyle="1" w:styleId="RectitleChar">
    <w:name w:val="Rec_title Char"/>
    <w:basedOn w:val="DefaultParagraphFont"/>
    <w:link w:val="Rectitle"/>
    <w:rsid w:val="0061756E"/>
    <w:rPr>
      <w:b/>
      <w:sz w:val="28"/>
      <w:lang w:val="en-GB" w:eastAsia="en-US"/>
    </w:rPr>
  </w:style>
  <w:style w:type="character" w:customStyle="1" w:styleId="RepNoChar">
    <w:name w:val="Rep_No Char"/>
    <w:basedOn w:val="RecNoChar"/>
    <w:link w:val="RepNo"/>
    <w:locked/>
    <w:rsid w:val="0061756E"/>
    <w:rPr>
      <w:sz w:val="28"/>
      <w:lang w:val="en-GB" w:eastAsia="en-US"/>
    </w:rPr>
  </w:style>
  <w:style w:type="character" w:customStyle="1" w:styleId="ReptitleChar">
    <w:name w:val="Rep_title Char"/>
    <w:basedOn w:val="DefaultParagraphFont"/>
    <w:link w:val="Reptitle"/>
    <w:locked/>
    <w:rsid w:val="0061756E"/>
    <w:rPr>
      <w:b/>
      <w:sz w:val="28"/>
      <w:lang w:val="en-GB" w:eastAsia="en-US"/>
    </w:rPr>
  </w:style>
  <w:style w:type="character" w:customStyle="1" w:styleId="ResNoChar">
    <w:name w:val="Res_No Char"/>
    <w:basedOn w:val="DefaultParagraphFont"/>
    <w:link w:val="ResNo"/>
    <w:locked/>
    <w:rsid w:val="0061756E"/>
    <w:rPr>
      <w:sz w:val="28"/>
      <w:lang w:val="en-GB" w:eastAsia="en-US"/>
    </w:rPr>
  </w:style>
  <w:style w:type="character" w:customStyle="1" w:styleId="RestitleChar">
    <w:name w:val="Res_title Char"/>
    <w:basedOn w:val="DefaultParagraphFont"/>
    <w:link w:val="Restitle"/>
    <w:locked/>
    <w:rsid w:val="0061756E"/>
    <w:rPr>
      <w:b/>
      <w:sz w:val="28"/>
      <w:lang w:val="en-GB" w:eastAsia="en-US"/>
    </w:rPr>
  </w:style>
  <w:style w:type="character" w:customStyle="1" w:styleId="TableheadChar">
    <w:name w:val="Table_head Char"/>
    <w:basedOn w:val="DefaultParagraphFont"/>
    <w:link w:val="Tablehead"/>
    <w:qFormat/>
    <w:locked/>
    <w:rsid w:val="0061756E"/>
    <w:rPr>
      <w:b/>
      <w:sz w:val="22"/>
      <w:lang w:val="en-GB" w:eastAsia="en-US"/>
    </w:rPr>
  </w:style>
  <w:style w:type="character" w:customStyle="1" w:styleId="TablelegendChar">
    <w:name w:val="Table_legend Char"/>
    <w:basedOn w:val="DefaultParagraphFont"/>
    <w:link w:val="Tablelegend"/>
    <w:locked/>
    <w:rsid w:val="0061756E"/>
    <w:rPr>
      <w:sz w:val="22"/>
      <w:lang w:val="en-GB" w:eastAsia="en-US"/>
    </w:rPr>
  </w:style>
  <w:style w:type="character" w:customStyle="1" w:styleId="TabletextChar">
    <w:name w:val="Table_text Char"/>
    <w:basedOn w:val="DefaultParagraphFont"/>
    <w:link w:val="Tabletext"/>
    <w:qFormat/>
    <w:locked/>
    <w:rsid w:val="0061756E"/>
    <w:rPr>
      <w:sz w:val="22"/>
      <w:lang w:val="en-GB" w:eastAsia="en-US"/>
    </w:rPr>
  </w:style>
  <w:style w:type="character" w:styleId="UnresolvedMention">
    <w:name w:val="Unresolved Mention"/>
    <w:basedOn w:val="DefaultParagraphFont"/>
    <w:uiPriority w:val="99"/>
    <w:semiHidden/>
    <w:unhideWhenUsed/>
    <w:rsid w:val="0075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598896">
      <w:bodyDiv w:val="1"/>
      <w:marLeft w:val="0"/>
      <w:marRight w:val="0"/>
      <w:marTop w:val="0"/>
      <w:marBottom w:val="0"/>
      <w:divBdr>
        <w:top w:val="none" w:sz="0" w:space="0" w:color="auto"/>
        <w:left w:val="none" w:sz="0" w:space="0" w:color="auto"/>
        <w:bottom w:val="none" w:sz="0" w:space="0" w:color="auto"/>
        <w:right w:val="none" w:sz="0" w:space="0" w:color="auto"/>
      </w:divBdr>
    </w:div>
    <w:div w:id="872225708">
      <w:bodyDiv w:val="1"/>
      <w:marLeft w:val="0"/>
      <w:marRight w:val="0"/>
      <w:marTop w:val="0"/>
      <w:marBottom w:val="0"/>
      <w:divBdr>
        <w:top w:val="none" w:sz="0" w:space="0" w:color="auto"/>
        <w:left w:val="none" w:sz="0" w:space="0" w:color="auto"/>
        <w:bottom w:val="none" w:sz="0" w:space="0" w:color="auto"/>
        <w:right w:val="none" w:sz="0" w:space="0" w:color="auto"/>
      </w:divBdr>
    </w:div>
    <w:div w:id="1063065150">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8354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en/ITU-R/study-groups/rsg4/Pages/imt-2020-sat-submission-eval.aspx" TargetMode="External"/><Relationship Id="rId26" Type="http://schemas.openxmlformats.org/officeDocument/2006/relationships/hyperlink" Target="https://www.itu.int/rec/R-REC-M.1822/en" TargetMode="External"/><Relationship Id="rId39" Type="http://schemas.openxmlformats.org/officeDocument/2006/relationships/hyperlink" Target="https://www.itu.int/pub/R-REP-M.2514" TargetMode="External"/><Relationship Id="rId21" Type="http://schemas.openxmlformats.org/officeDocument/2006/relationships/image" Target="media/image3.png"/><Relationship Id="rId34" Type="http://schemas.openxmlformats.org/officeDocument/2006/relationships/hyperlink" Target="https://www.itu.int/pub/R-REP-M.2514" TargetMode="External"/><Relationship Id="rId42" Type="http://schemas.openxmlformats.org/officeDocument/2006/relationships/hyperlink" Target="https://www.itu.int/md/R15-IMT.2020-C-0013/en" TargetMode="External"/><Relationship Id="rId47" Type="http://schemas.openxmlformats.org/officeDocument/2006/relationships/hyperlink" Target="https://www.itu.int/md/R15-IMT.2020-C-0013/en" TargetMode="External"/><Relationship Id="rId50" Type="http://schemas.openxmlformats.org/officeDocument/2006/relationships/hyperlink" Target="https://www.itu.int/md/R15-IMT.2020-C-0013/en" TargetMode="External"/><Relationship Id="rId55" Type="http://schemas.openxmlformats.org/officeDocument/2006/relationships/hyperlink" Target="https://www.itu.int/pub/R-RES-R.6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REP-M.2514-2022" TargetMode="External"/><Relationship Id="rId29" Type="http://schemas.openxmlformats.org/officeDocument/2006/relationships/hyperlink" Target="https://www.itu.int/rec/R-REC-M.2083/en" TargetMode="External"/><Relationship Id="rId11" Type="http://schemas.openxmlformats.org/officeDocument/2006/relationships/hyperlink" Target="https://www.itu.int/ITU-R/go/patents/en" TargetMode="External"/><Relationship Id="rId24" Type="http://schemas.openxmlformats.org/officeDocument/2006/relationships/hyperlink" Target="https://www.itu.int/rec/R-REC-M.1224/en" TargetMode="External"/><Relationship Id="rId32" Type="http://schemas.openxmlformats.org/officeDocument/2006/relationships/hyperlink" Target="https://www.itu.int/pub/R-REP-M.2514" TargetMode="External"/><Relationship Id="rId37" Type="http://schemas.openxmlformats.org/officeDocument/2006/relationships/hyperlink" Target="https://www.itu.int/md/R15-IMT.2020-C-0013/en" TargetMode="External"/><Relationship Id="rId40" Type="http://schemas.openxmlformats.org/officeDocument/2006/relationships/hyperlink" Target="https://www.itu.int/pub/R-REP-M.2514" TargetMode="External"/><Relationship Id="rId45" Type="http://schemas.openxmlformats.org/officeDocument/2006/relationships/hyperlink" Target="https://www.itu.int/md/R15-IMT.2020-C-0013/en" TargetMode="External"/><Relationship Id="rId53" Type="http://schemas.openxmlformats.org/officeDocument/2006/relationships/hyperlink" Target="https://www.itu.int/md/R15-IMT.2020-C-0013/en" TargetMode="External"/><Relationship Id="rId58" Type="http://schemas.openxmlformats.org/officeDocument/2006/relationships/hyperlink" Target="https://www.itu.int/md/R15-IMT.2020-C-0013/en"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pub/R-REP-M.2514" TargetMode="External"/><Relationship Id="rId14" Type="http://schemas.openxmlformats.org/officeDocument/2006/relationships/header" Target="header4.xml"/><Relationship Id="rId22" Type="http://schemas.openxmlformats.org/officeDocument/2006/relationships/hyperlink" Target="https://www.itu.int/pub/R-RES-R.56" TargetMode="External"/><Relationship Id="rId27" Type="http://schemas.openxmlformats.org/officeDocument/2006/relationships/hyperlink" Target="https://www.itu.int/rec/R-REC-M.1850/en" TargetMode="External"/><Relationship Id="rId30" Type="http://schemas.openxmlformats.org/officeDocument/2006/relationships/hyperlink" Target="https://www.itu.int/pub/R-REP-M.2514" TargetMode="External"/><Relationship Id="rId35" Type="http://schemas.openxmlformats.org/officeDocument/2006/relationships/hyperlink" Target="https://www.itu.int/pub/R-REP-M.2514" TargetMode="External"/><Relationship Id="rId43" Type="http://schemas.openxmlformats.org/officeDocument/2006/relationships/hyperlink" Target="https://www.itu.int/md/R15-IMT.2020-C-0013/en" TargetMode="External"/><Relationship Id="rId48" Type="http://schemas.openxmlformats.org/officeDocument/2006/relationships/hyperlink" Target="https://www.itu.int/pub/R-REP-M.2514" TargetMode="External"/><Relationship Id="rId56" Type="http://schemas.openxmlformats.org/officeDocument/2006/relationships/hyperlink" Target="https://www.itu.int/md/R15-IMT.2020-C-0013/en" TargetMode="External"/><Relationship Id="rId8" Type="http://schemas.openxmlformats.org/officeDocument/2006/relationships/header" Target="header1.xml"/><Relationship Id="rId51" Type="http://schemas.openxmlformats.org/officeDocument/2006/relationships/hyperlink" Target="https://www.itu.int/md/R15-IMT.2020-C-0013/en" TargetMode="External"/><Relationship Id="rId3" Type="http://schemas.openxmlformats.org/officeDocument/2006/relationships/styles" Target="styles.xml"/><Relationship Id="rId12" Type="http://schemas.openxmlformats.org/officeDocument/2006/relationships/hyperlink" Target="https://www.itu.int/publ/R-REP/en" TargetMode="External"/><Relationship Id="rId17" Type="http://schemas.openxmlformats.org/officeDocument/2006/relationships/hyperlink" Target="https://www.itu.int/rec/R-REC-M.2083/en" TargetMode="External"/><Relationship Id="rId25" Type="http://schemas.openxmlformats.org/officeDocument/2006/relationships/hyperlink" Target="https://www.itu.int/rec/R-REC-M.1645/en" TargetMode="External"/><Relationship Id="rId33" Type="http://schemas.openxmlformats.org/officeDocument/2006/relationships/hyperlink" Target="https://www.itu.int/pub/R-REP-M.2514" TargetMode="External"/><Relationship Id="rId38" Type="http://schemas.openxmlformats.org/officeDocument/2006/relationships/hyperlink" Target="https://www.itu.int/pub/R-REP-M.2514" TargetMode="External"/><Relationship Id="rId46" Type="http://schemas.openxmlformats.org/officeDocument/2006/relationships/hyperlink" Target="https://www.itu.int/md/R15-IMT.2020-C-0013/en" TargetMode="External"/><Relationship Id="rId59" Type="http://schemas.openxmlformats.org/officeDocument/2006/relationships/hyperlink" Target="https://www.itu.int/pub/R-REP-M.2514" TargetMode="External"/><Relationship Id="rId20" Type="http://schemas.openxmlformats.org/officeDocument/2006/relationships/hyperlink" Target="https://www.itu.int/pub/R-REP-M.2514" TargetMode="External"/><Relationship Id="rId41" Type="http://schemas.openxmlformats.org/officeDocument/2006/relationships/hyperlink" Target="https://www.itu.int/md/R15-IMT.2020-C-0013/en" TargetMode="External"/><Relationship Id="rId54" Type="http://schemas.openxmlformats.org/officeDocument/2006/relationships/hyperlink" Target="https://www.itu.int/pub/R-RES-R.6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R-RES-R.56" TargetMode="External"/><Relationship Id="rId23" Type="http://schemas.openxmlformats.org/officeDocument/2006/relationships/hyperlink" Target="https://www.itu.int/pub/R-RES-R.65" TargetMode="External"/><Relationship Id="rId28" Type="http://schemas.openxmlformats.org/officeDocument/2006/relationships/hyperlink" Target="https://www.itu.int/rec/R-REC-M.2047/en" TargetMode="External"/><Relationship Id="rId36" Type="http://schemas.openxmlformats.org/officeDocument/2006/relationships/hyperlink" Target="https://www.itu.int/md/R15-IMT.2020-C-0013/en" TargetMode="External"/><Relationship Id="rId49" Type="http://schemas.openxmlformats.org/officeDocument/2006/relationships/hyperlink" Target="https://www.itu.int/pub/R-RES-R.65" TargetMode="External"/><Relationship Id="rId57" Type="http://schemas.openxmlformats.org/officeDocument/2006/relationships/hyperlink" Target="https://www.itu.int/md/R15-IMT.2020-C-0013/en" TargetMode="External"/><Relationship Id="rId10" Type="http://schemas.openxmlformats.org/officeDocument/2006/relationships/footer" Target="footer1.xml"/><Relationship Id="rId31" Type="http://schemas.openxmlformats.org/officeDocument/2006/relationships/hyperlink" Target="https://www.itu.int/pub/R-HDB-65" TargetMode="External"/><Relationship Id="rId44" Type="http://schemas.openxmlformats.org/officeDocument/2006/relationships/hyperlink" Target="https://www.itu.int/md/R15-IMT.2020-C-0013/en" TargetMode="External"/><Relationship Id="rId52" Type="http://schemas.openxmlformats.org/officeDocument/2006/relationships/hyperlink" Target="https://www.itu.int/md/R15-IMT.2020-C-0014/en"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M.25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CFA8-FB53-458B-959B-23A08E1E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TotalTime>
  <Pages>17</Pages>
  <Words>4173</Words>
  <Characters>29229</Characters>
  <Application>Microsoft Office Word</Application>
  <DocSecurity>0</DocSecurity>
  <Lines>749</Lines>
  <Paragraphs>585</Paragraphs>
  <ScaleCrop>false</ScaleCrop>
  <HeadingPairs>
    <vt:vector size="2" baseType="variant">
      <vt:variant>
        <vt:lpstr>Title</vt:lpstr>
      </vt:variant>
      <vt:variant>
        <vt:i4>1</vt:i4>
      </vt:variant>
    </vt:vector>
  </HeadingPairs>
  <TitlesOfParts>
    <vt:vector size="1" baseType="lpstr">
      <vt:lpstr>REPORT  ITU-R  M.2543-0 - Outcome of the evaluation, consensus building and decision of the IMT-2020 satellite process (Steps 4 to 7), including characteristics of  IMT-2020 satellite radio interfaces</vt:lpstr>
    </vt:vector>
  </TitlesOfParts>
  <Manager/>
  <Company>ITU</Company>
  <LinksUpToDate>false</LinksUpToDate>
  <CharactersWithSpaces>32817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ITU-R  M.2543-0 - Outcome of the evaluation, consensus building and decision of the IMT-2020 satellite process (Steps 4 to 7), including characteristics of  IMT-2020 satellite radio interfaces</dc:title>
  <dc:subject>M Series = Mobile, radiodetermination, amateur and related satellite services</dc:subject>
  <dc:creator>ITU Radiocommunication Bureau (BR)</dc:creator>
  <cp:keywords>M,2543-0</cp:keywords>
  <dc:description/>
  <cp:lastModifiedBy>Gachet, Christelle</cp:lastModifiedBy>
  <cp:revision>4</cp:revision>
  <cp:lastPrinted>2024-11-20T15:53:00Z</cp:lastPrinted>
  <dcterms:created xsi:type="dcterms:W3CDTF">2024-12-13T12:41:00Z</dcterms:created>
  <dcterms:modified xsi:type="dcterms:W3CDTF">2025-01-21T11:44:00Z</dcterms:modified>
  <cp:category>ITU-R 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Berdyeva</vt:lpwstr>
  </property>
  <property fmtid="{D5CDD505-2E9C-101B-9397-08002B2CF9AE}" pid="11" name="Date completed">
    <vt:lpwstr>Wednesday, November 13, 2024</vt:lpwstr>
  </property>
  <property fmtid="{D5CDD505-2E9C-101B-9397-08002B2CF9AE}" pid="12" name="GrammarlyDocumentId">
    <vt:lpwstr>01a5ee076251f8425c3edd01ab66133d7e502715aa9b4f8080efc238cc8a4469</vt:lpwstr>
  </property>
</Properties>
</file>