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4E65" w14:textId="77777777" w:rsidR="001D5EB0" w:rsidRPr="003C2B67" w:rsidRDefault="001D5EB0" w:rsidP="001D5EB0"/>
    <w:p w14:paraId="35335621" w14:textId="77777777" w:rsidR="001D5EB0" w:rsidRPr="003C2B67" w:rsidRDefault="001D5EB0" w:rsidP="001D5EB0">
      <w:pPr>
        <w:tabs>
          <w:tab w:val="clear" w:pos="794"/>
          <w:tab w:val="clear" w:pos="1191"/>
          <w:tab w:val="clear" w:pos="1588"/>
          <w:tab w:val="clear" w:pos="1985"/>
        </w:tabs>
      </w:pPr>
    </w:p>
    <w:p w14:paraId="0D7BF6E0" w14:textId="76052C3B" w:rsidR="001D5EB0" w:rsidRPr="003C2B67" w:rsidRDefault="001D5EB0" w:rsidP="001D5EB0">
      <w:pPr>
        <w:pStyle w:val="CoverNumber"/>
        <w:rPr>
          <w:lang w:val="en-GB"/>
        </w:rPr>
      </w:pPr>
      <w:r w:rsidRPr="003C2B67">
        <w:rPr>
          <w:lang w:val="en-GB"/>
        </w:rPr>
        <w:t>Report ITU-R M.</w:t>
      </w:r>
      <w:r w:rsidR="0022028D" w:rsidRPr="003C2B67">
        <w:rPr>
          <w:lang w:val="en-GB"/>
        </w:rPr>
        <w:t>2532-0</w:t>
      </w:r>
    </w:p>
    <w:p w14:paraId="67BA9C68" w14:textId="43195182" w:rsidR="001D5EB0" w:rsidRPr="003C2B67" w:rsidRDefault="001D5EB0" w:rsidP="001D5EB0">
      <w:pPr>
        <w:pStyle w:val="CoverDate"/>
        <w:rPr>
          <w:lang w:val="en-GB"/>
        </w:rPr>
      </w:pPr>
      <w:r w:rsidRPr="003C2B67">
        <w:rPr>
          <w:lang w:val="en-GB"/>
        </w:rPr>
        <w:t>(</w:t>
      </w:r>
      <w:r w:rsidR="0022028D" w:rsidRPr="003C2B67">
        <w:rPr>
          <w:lang w:val="en-GB"/>
        </w:rPr>
        <w:t>09</w:t>
      </w:r>
      <w:r w:rsidRPr="003C2B67">
        <w:rPr>
          <w:lang w:val="en-GB"/>
        </w:rPr>
        <w:t>/</w:t>
      </w:r>
      <w:r w:rsidR="0022028D" w:rsidRPr="003C2B67">
        <w:rPr>
          <w:lang w:val="en-GB"/>
        </w:rPr>
        <w:t>2023</w:t>
      </w:r>
      <w:r w:rsidRPr="003C2B67">
        <w:rPr>
          <w:lang w:val="en-GB"/>
        </w:rPr>
        <w:t>)</w:t>
      </w:r>
    </w:p>
    <w:p w14:paraId="7D0F21FC" w14:textId="77777777" w:rsidR="001D5EB0" w:rsidRPr="003C2B67" w:rsidRDefault="001D5EB0" w:rsidP="001D5EB0">
      <w:pPr>
        <w:pStyle w:val="CoverSeries"/>
        <w:rPr>
          <w:lang w:val="en-GB"/>
        </w:rPr>
      </w:pPr>
      <w:r w:rsidRPr="003C2B67">
        <w:rPr>
          <w:lang w:val="en-GB"/>
        </w:rPr>
        <w:t xml:space="preserve">M Series: </w:t>
      </w:r>
      <w:r w:rsidRPr="003C2B67">
        <w:rPr>
          <w:bCs w:val="0"/>
          <w:iCs/>
          <w:lang w:val="en-GB"/>
        </w:rPr>
        <w:t>Mobile, radiodetermination, amateur</w:t>
      </w:r>
      <w:r w:rsidRPr="003C2B67">
        <w:rPr>
          <w:bCs w:val="0"/>
          <w:iCs/>
          <w:lang w:val="en-GB"/>
        </w:rPr>
        <w:br/>
        <w:t>and related satellite services</w:t>
      </w:r>
    </w:p>
    <w:p w14:paraId="4897C971" w14:textId="0F70E31C" w:rsidR="001D5EB0" w:rsidRPr="003C2B67" w:rsidRDefault="0022028D" w:rsidP="001D5EB0">
      <w:pPr>
        <w:pStyle w:val="CoverTitle"/>
        <w:rPr>
          <w:lang w:val="en-GB"/>
        </w:rPr>
      </w:pPr>
      <w:r w:rsidRPr="003C2B67">
        <w:rPr>
          <w:lang w:val="en-GB"/>
        </w:rPr>
        <w:t>Amateur and amateur-satellite services characteristics and usage in the 1 240</w:t>
      </w:r>
      <w:r w:rsidRPr="003C2B67">
        <w:rPr>
          <w:lang w:val="en-GB"/>
        </w:rPr>
        <w:noBreakHyphen/>
        <w:t>1 300 MHz frequency band</w:t>
      </w:r>
    </w:p>
    <w:p w14:paraId="0217C880" w14:textId="77777777" w:rsidR="001D5EB0" w:rsidRPr="003C2B67" w:rsidRDefault="001D5EB0" w:rsidP="001D5EB0"/>
    <w:p w14:paraId="65737ECF" w14:textId="77777777" w:rsidR="001D5EB0" w:rsidRPr="003C2B67" w:rsidRDefault="001D5EB0" w:rsidP="001D5EB0"/>
    <w:p w14:paraId="1AD4C0C4" w14:textId="77777777" w:rsidR="001D5EB0" w:rsidRPr="003C2B67" w:rsidRDefault="001D5EB0" w:rsidP="001D5EB0">
      <w:pPr>
        <w:sectPr w:rsidR="001D5EB0" w:rsidRPr="003C2B67"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6EF3E974" w14:textId="77777777" w:rsidR="001D5EB0" w:rsidRPr="003C2B67" w:rsidRDefault="001D5EB0" w:rsidP="001D5EB0">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rPr>
      </w:pPr>
      <w:bookmarkStart w:id="0" w:name="c2tope"/>
      <w:bookmarkEnd w:id="0"/>
      <w:r w:rsidRPr="003C2B67">
        <w:rPr>
          <w:bCs/>
          <w:sz w:val="24"/>
          <w:szCs w:val="24"/>
        </w:rPr>
        <w:lastRenderedPageBreak/>
        <w:t>Foreword</w:t>
      </w:r>
    </w:p>
    <w:p w14:paraId="1E500792" w14:textId="77777777" w:rsidR="001D5EB0" w:rsidRPr="003C2B67" w:rsidRDefault="001D5EB0" w:rsidP="001D5EB0">
      <w:pPr>
        <w:spacing w:before="240"/>
        <w:rPr>
          <w:sz w:val="20"/>
        </w:rPr>
      </w:pPr>
      <w:r w:rsidRPr="003C2B67">
        <w:rPr>
          <w:sz w:val="20"/>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7F3F2C66" w14:textId="77777777" w:rsidR="001D5EB0" w:rsidRPr="003C2B67" w:rsidRDefault="001D5EB0" w:rsidP="001D5EB0">
      <w:pPr>
        <w:rPr>
          <w:sz w:val="20"/>
        </w:rPr>
      </w:pPr>
      <w:r w:rsidRPr="003C2B67">
        <w:rPr>
          <w:sz w:val="20"/>
        </w:rPr>
        <w:t>The regulatory and policy functions of the Radiocommunication Sector are performed by World and Regional Radiocommunication Conferences and Radiocommunication Assemblies supported by Study Groups.</w:t>
      </w:r>
    </w:p>
    <w:p w14:paraId="35974662" w14:textId="77777777" w:rsidR="001D5EB0" w:rsidRPr="003C2B67" w:rsidRDefault="001D5EB0" w:rsidP="001D5EB0">
      <w:pPr>
        <w:pStyle w:val="Heading1"/>
        <w:spacing w:before="400"/>
        <w:jc w:val="center"/>
        <w:rPr>
          <w:szCs w:val="24"/>
        </w:rPr>
      </w:pPr>
    </w:p>
    <w:p w14:paraId="0773E4DD" w14:textId="77777777" w:rsidR="001D5EB0" w:rsidRPr="003C2B67" w:rsidRDefault="001D5EB0" w:rsidP="001D5EB0">
      <w:pPr>
        <w:pStyle w:val="Heading1"/>
        <w:spacing w:before="540"/>
        <w:jc w:val="center"/>
        <w:rPr>
          <w:szCs w:val="24"/>
        </w:rPr>
      </w:pPr>
      <w:r w:rsidRPr="003C2B67">
        <w:rPr>
          <w:szCs w:val="24"/>
        </w:rPr>
        <w:t>Policy on Intellectual Property Right (IPR)</w:t>
      </w:r>
    </w:p>
    <w:p w14:paraId="041F9BCD" w14:textId="77777777" w:rsidR="001D5EB0" w:rsidRPr="003C2B67" w:rsidRDefault="001D5EB0" w:rsidP="001D5EB0">
      <w:pPr>
        <w:tabs>
          <w:tab w:val="left" w:pos="720"/>
        </w:tabs>
        <w:spacing w:before="240"/>
        <w:rPr>
          <w:sz w:val="20"/>
        </w:rPr>
      </w:pPr>
      <w:r w:rsidRPr="003C2B67">
        <w:rPr>
          <w:sz w:val="20"/>
        </w:rPr>
        <w:t>ITU-R policy on IPR is described in the Common Patent Policy for ITU-T/ITU-R/ISO/IEC referenced in Resolution ITU</w:t>
      </w:r>
      <w:r w:rsidRPr="003C2B67">
        <w:rPr>
          <w:sz w:val="20"/>
        </w:rPr>
        <w:noBreakHyphen/>
        <w:t xml:space="preserve">R 1. Forms to be used for the submission of patent statements and licensing declarations by patent holders are available from </w:t>
      </w:r>
      <w:hyperlink r:id="rId10" w:history="1">
        <w:r w:rsidRPr="003C2B67">
          <w:rPr>
            <w:rStyle w:val="Hyperlink"/>
            <w:sz w:val="20"/>
          </w:rPr>
          <w:t>http://www.itu.int/ITU-R/go/patents/en</w:t>
        </w:r>
      </w:hyperlink>
      <w:r w:rsidRPr="003C2B67">
        <w:rPr>
          <w:sz w:val="20"/>
        </w:rPr>
        <w:t xml:space="preserve"> where the Guidelines for Implementation of the Common Patent Policy for ITU</w:t>
      </w:r>
      <w:r w:rsidRPr="003C2B67">
        <w:rPr>
          <w:sz w:val="20"/>
        </w:rPr>
        <w:noBreakHyphen/>
        <w:t>T/ITU</w:t>
      </w:r>
      <w:r w:rsidRPr="003C2B67">
        <w:rPr>
          <w:sz w:val="20"/>
        </w:rPr>
        <w:noBreakHyphen/>
        <w:t xml:space="preserve">R/ISO/IEC and the ITU-R patent information database can also be found. </w:t>
      </w:r>
    </w:p>
    <w:p w14:paraId="4BA8ACB6" w14:textId="77777777" w:rsidR="001D5EB0" w:rsidRPr="003C2B67" w:rsidRDefault="001D5EB0" w:rsidP="001D5EB0">
      <w:pPr>
        <w:jc w:val="center"/>
        <w:rPr>
          <w:sz w:val="22"/>
        </w:rPr>
      </w:pPr>
    </w:p>
    <w:p w14:paraId="20F6A686" w14:textId="77777777" w:rsidR="001D5EB0" w:rsidRPr="003C2B67" w:rsidRDefault="001D5EB0" w:rsidP="001D5EB0">
      <w:pPr>
        <w:jc w:val="center"/>
        <w:rPr>
          <w:sz w:val="22"/>
        </w:rPr>
      </w:pPr>
    </w:p>
    <w:p w14:paraId="315F2571" w14:textId="77777777" w:rsidR="001D5EB0" w:rsidRPr="003C2B67" w:rsidRDefault="001D5EB0" w:rsidP="001D5EB0">
      <w:pPr>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1D5EB0" w:rsidRPr="003C2B67" w14:paraId="5A1FD3BF" w14:textId="77777777" w:rsidTr="00994B8B">
        <w:tc>
          <w:tcPr>
            <w:tcW w:w="9360" w:type="dxa"/>
            <w:gridSpan w:val="2"/>
            <w:tcBorders>
              <w:top w:val="single" w:sz="12" w:space="0" w:color="000080"/>
              <w:left w:val="single" w:sz="12" w:space="0" w:color="000080"/>
              <w:bottom w:val="nil"/>
              <w:right w:val="single" w:sz="12" w:space="0" w:color="000080"/>
            </w:tcBorders>
          </w:tcPr>
          <w:p w14:paraId="2A2C33D3" w14:textId="77777777" w:rsidR="001D5EB0" w:rsidRPr="003C2B67" w:rsidRDefault="001D5EB0" w:rsidP="00994B8B">
            <w:pPr>
              <w:pStyle w:val="ChapNo"/>
              <w:spacing w:before="240"/>
              <w:rPr>
                <w:sz w:val="22"/>
                <w:szCs w:val="22"/>
              </w:rPr>
            </w:pPr>
            <w:r w:rsidRPr="003C2B67">
              <w:rPr>
                <w:sz w:val="22"/>
                <w:szCs w:val="22"/>
              </w:rPr>
              <w:t xml:space="preserve">Series of ITU-R Reports </w:t>
            </w:r>
          </w:p>
          <w:p w14:paraId="7CCCDBF9" w14:textId="77777777" w:rsidR="001D5EB0" w:rsidRPr="003C2B67" w:rsidRDefault="001D5EB0" w:rsidP="00994B8B">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rPr>
            </w:pPr>
            <w:r w:rsidRPr="003C2B67">
              <w:rPr>
                <w:b w:val="0"/>
                <w:sz w:val="18"/>
                <w:szCs w:val="18"/>
              </w:rPr>
              <w:t xml:space="preserve">(Also available online at </w:t>
            </w:r>
            <w:hyperlink r:id="rId11" w:history="1">
              <w:r w:rsidRPr="003C2B67">
                <w:rPr>
                  <w:rStyle w:val="Hyperlink"/>
                  <w:b w:val="0"/>
                  <w:bCs/>
                  <w:sz w:val="18"/>
                  <w:szCs w:val="18"/>
                </w:rPr>
                <w:t>https://www.itu.int/publ/R-REP/en</w:t>
              </w:r>
            </w:hyperlink>
            <w:r w:rsidRPr="003C2B67">
              <w:rPr>
                <w:b w:val="0"/>
                <w:sz w:val="18"/>
                <w:szCs w:val="18"/>
              </w:rPr>
              <w:t>)</w:t>
            </w:r>
          </w:p>
        </w:tc>
      </w:tr>
      <w:tr w:rsidR="001D5EB0" w:rsidRPr="003C2B67" w14:paraId="376DD1A9" w14:textId="77777777" w:rsidTr="00994B8B">
        <w:tc>
          <w:tcPr>
            <w:tcW w:w="1140" w:type="dxa"/>
            <w:tcBorders>
              <w:top w:val="nil"/>
              <w:left w:val="single" w:sz="12" w:space="0" w:color="000080"/>
              <w:bottom w:val="nil"/>
              <w:right w:val="nil"/>
            </w:tcBorders>
            <w:vAlign w:val="bottom"/>
          </w:tcPr>
          <w:p w14:paraId="120B1CA2" w14:textId="77777777" w:rsidR="001D5EB0" w:rsidRPr="003C2B67" w:rsidRDefault="001D5EB0" w:rsidP="00994B8B">
            <w:pPr>
              <w:spacing w:before="200" w:after="100"/>
              <w:ind w:left="57"/>
              <w:jc w:val="left"/>
              <w:rPr>
                <w:b/>
                <w:bCs/>
                <w:sz w:val="20"/>
              </w:rPr>
            </w:pPr>
            <w:r w:rsidRPr="003C2B67">
              <w:rPr>
                <w:b/>
                <w:bCs/>
                <w:sz w:val="20"/>
              </w:rPr>
              <w:t>Series</w:t>
            </w:r>
          </w:p>
        </w:tc>
        <w:tc>
          <w:tcPr>
            <w:tcW w:w="8220" w:type="dxa"/>
            <w:tcBorders>
              <w:top w:val="nil"/>
              <w:left w:val="nil"/>
              <w:bottom w:val="nil"/>
              <w:right w:val="single" w:sz="12" w:space="0" w:color="000080"/>
            </w:tcBorders>
            <w:vAlign w:val="bottom"/>
          </w:tcPr>
          <w:p w14:paraId="4F5628F3" w14:textId="77777777" w:rsidR="001D5EB0" w:rsidRPr="003C2B67" w:rsidRDefault="001D5EB0" w:rsidP="00994B8B">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rPr>
            </w:pPr>
            <w:r w:rsidRPr="003C2B67">
              <w:rPr>
                <w:bCs/>
                <w:sz w:val="20"/>
              </w:rPr>
              <w:t>Title</w:t>
            </w:r>
          </w:p>
        </w:tc>
      </w:tr>
      <w:tr w:rsidR="001D5EB0" w:rsidRPr="003C2B67" w14:paraId="4B92D731" w14:textId="77777777" w:rsidTr="00994B8B">
        <w:tc>
          <w:tcPr>
            <w:tcW w:w="1140" w:type="dxa"/>
            <w:tcBorders>
              <w:top w:val="nil"/>
              <w:left w:val="single" w:sz="12" w:space="0" w:color="000080"/>
              <w:bottom w:val="nil"/>
              <w:right w:val="nil"/>
            </w:tcBorders>
            <w:shd w:val="clear" w:color="auto" w:fill="F2F2F2" w:themeFill="background1" w:themeFillShade="F2"/>
          </w:tcPr>
          <w:p w14:paraId="0B112301" w14:textId="77777777" w:rsidR="001D5EB0" w:rsidRPr="003C2B67" w:rsidRDefault="001D5EB0" w:rsidP="00994B8B">
            <w:pPr>
              <w:spacing w:before="30" w:after="30"/>
              <w:ind w:left="57"/>
              <w:jc w:val="left"/>
              <w:rPr>
                <w:rFonts w:ascii="Times New Roman Bold" w:hAnsi="Times New Roman Bold" w:cs="Times New Roman Bold"/>
                <w:b/>
                <w:bCs/>
                <w:sz w:val="20"/>
              </w:rPr>
            </w:pPr>
            <w:r w:rsidRPr="003C2B67">
              <w:rPr>
                <w:rFonts w:ascii="Times New Roman Bold" w:hAnsi="Times New Roman Bold" w:cs="Times New Roman Bold"/>
                <w:b/>
                <w:bCs/>
                <w:sz w:val="20"/>
              </w:rPr>
              <w:t>BO</w:t>
            </w:r>
          </w:p>
        </w:tc>
        <w:tc>
          <w:tcPr>
            <w:tcW w:w="8220" w:type="dxa"/>
            <w:tcBorders>
              <w:top w:val="nil"/>
              <w:left w:val="nil"/>
              <w:bottom w:val="nil"/>
              <w:right w:val="single" w:sz="12" w:space="0" w:color="000080"/>
            </w:tcBorders>
            <w:shd w:val="clear" w:color="auto" w:fill="F2F2F2" w:themeFill="background1" w:themeFillShade="F2"/>
          </w:tcPr>
          <w:p w14:paraId="2B789257" w14:textId="77777777" w:rsidR="001D5EB0" w:rsidRPr="003C2B67" w:rsidRDefault="001D5EB0" w:rsidP="00994B8B">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rPr>
            </w:pPr>
            <w:r w:rsidRPr="003C2B67">
              <w:rPr>
                <w:b w:val="0"/>
                <w:sz w:val="20"/>
              </w:rPr>
              <w:t>Satellite delivery</w:t>
            </w:r>
          </w:p>
        </w:tc>
      </w:tr>
      <w:tr w:rsidR="001D5EB0" w:rsidRPr="003C2B67" w14:paraId="52F9E29B" w14:textId="77777777" w:rsidTr="00994B8B">
        <w:tc>
          <w:tcPr>
            <w:tcW w:w="1140" w:type="dxa"/>
            <w:tcBorders>
              <w:top w:val="nil"/>
              <w:left w:val="single" w:sz="12" w:space="0" w:color="000080"/>
              <w:bottom w:val="nil"/>
              <w:right w:val="nil"/>
            </w:tcBorders>
            <w:shd w:val="clear" w:color="auto" w:fill="FFFFFF" w:themeFill="background1"/>
          </w:tcPr>
          <w:p w14:paraId="5B56467F" w14:textId="77777777" w:rsidR="001D5EB0" w:rsidRPr="003C2B67" w:rsidRDefault="001D5EB0" w:rsidP="00994B8B">
            <w:pPr>
              <w:spacing w:before="30" w:after="30"/>
              <w:ind w:left="57"/>
              <w:jc w:val="left"/>
              <w:rPr>
                <w:b/>
                <w:bCs/>
                <w:color w:val="000080"/>
                <w:sz w:val="20"/>
              </w:rPr>
            </w:pPr>
            <w:r w:rsidRPr="003C2B67">
              <w:rPr>
                <w:rFonts w:ascii="Times New Roman Bold" w:hAnsi="Times New Roman Bold" w:cs="Times New Roman Bold"/>
                <w:b/>
                <w:bCs/>
                <w:sz w:val="20"/>
              </w:rPr>
              <w:t>BR</w:t>
            </w:r>
          </w:p>
        </w:tc>
        <w:tc>
          <w:tcPr>
            <w:tcW w:w="8220" w:type="dxa"/>
            <w:tcBorders>
              <w:top w:val="nil"/>
              <w:left w:val="nil"/>
              <w:bottom w:val="nil"/>
              <w:right w:val="single" w:sz="12" w:space="0" w:color="000080"/>
            </w:tcBorders>
            <w:shd w:val="clear" w:color="auto" w:fill="FFFFFF" w:themeFill="background1"/>
          </w:tcPr>
          <w:p w14:paraId="17DB4BDC" w14:textId="77777777" w:rsidR="001D5EB0" w:rsidRPr="003C2B67" w:rsidRDefault="001D5EB0" w:rsidP="00994B8B">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color w:val="000080"/>
                <w:sz w:val="20"/>
              </w:rPr>
            </w:pPr>
            <w:r w:rsidRPr="003C2B67">
              <w:rPr>
                <w:b w:val="0"/>
                <w:sz w:val="20"/>
              </w:rPr>
              <w:t>Recording for production, archival and play-out; film for television</w:t>
            </w:r>
          </w:p>
        </w:tc>
      </w:tr>
      <w:tr w:rsidR="001D5EB0" w:rsidRPr="003C2B67" w14:paraId="573FEA81" w14:textId="77777777" w:rsidTr="00994B8B">
        <w:tc>
          <w:tcPr>
            <w:tcW w:w="1140" w:type="dxa"/>
            <w:tcBorders>
              <w:top w:val="nil"/>
              <w:left w:val="single" w:sz="12" w:space="0" w:color="000080"/>
              <w:bottom w:val="nil"/>
              <w:right w:val="nil"/>
            </w:tcBorders>
            <w:shd w:val="clear" w:color="auto" w:fill="FFFFFF" w:themeFill="background1"/>
          </w:tcPr>
          <w:p w14:paraId="57772A2D" w14:textId="77777777" w:rsidR="001D5EB0" w:rsidRPr="003C2B67" w:rsidRDefault="001D5EB0" w:rsidP="00994B8B">
            <w:pPr>
              <w:spacing w:before="30" w:after="30"/>
              <w:ind w:left="57"/>
              <w:jc w:val="left"/>
              <w:rPr>
                <w:rFonts w:ascii="Times New Roman Bold" w:hAnsi="Times New Roman Bold" w:cs="Times New Roman Bold"/>
                <w:b/>
                <w:bCs/>
                <w:sz w:val="20"/>
              </w:rPr>
            </w:pPr>
            <w:r w:rsidRPr="003C2B67">
              <w:rPr>
                <w:rFonts w:ascii="Times New Roman Bold" w:hAnsi="Times New Roman Bold" w:cs="Times New Roman Bold"/>
                <w:b/>
                <w:bCs/>
                <w:sz w:val="20"/>
              </w:rPr>
              <w:t>BS</w:t>
            </w:r>
          </w:p>
        </w:tc>
        <w:tc>
          <w:tcPr>
            <w:tcW w:w="8220" w:type="dxa"/>
            <w:tcBorders>
              <w:top w:val="nil"/>
              <w:left w:val="nil"/>
              <w:bottom w:val="nil"/>
              <w:right w:val="single" w:sz="12" w:space="0" w:color="000080"/>
            </w:tcBorders>
            <w:shd w:val="clear" w:color="auto" w:fill="FFFFFF" w:themeFill="background1"/>
          </w:tcPr>
          <w:p w14:paraId="1199E055" w14:textId="77777777" w:rsidR="001D5EB0" w:rsidRPr="003C2B67" w:rsidRDefault="001D5EB0" w:rsidP="00994B8B">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bCs/>
                <w:color w:val="000080"/>
                <w:sz w:val="20"/>
              </w:rPr>
            </w:pPr>
            <w:r w:rsidRPr="003C2B67">
              <w:rPr>
                <w:sz w:val="20"/>
              </w:rPr>
              <w:t>Broadcasting service (sound)</w:t>
            </w:r>
          </w:p>
        </w:tc>
      </w:tr>
      <w:tr w:rsidR="001D5EB0" w:rsidRPr="003C2B67" w14:paraId="633DBC24" w14:textId="77777777" w:rsidTr="00994B8B">
        <w:tc>
          <w:tcPr>
            <w:tcW w:w="1140" w:type="dxa"/>
            <w:tcBorders>
              <w:top w:val="nil"/>
              <w:left w:val="single" w:sz="12" w:space="0" w:color="000080"/>
              <w:bottom w:val="nil"/>
              <w:right w:val="nil"/>
            </w:tcBorders>
            <w:shd w:val="clear" w:color="auto" w:fill="FFFFFF" w:themeFill="background1"/>
          </w:tcPr>
          <w:p w14:paraId="4A143798" w14:textId="77777777" w:rsidR="001D5EB0" w:rsidRPr="003C2B67" w:rsidRDefault="001D5EB0" w:rsidP="00994B8B">
            <w:pPr>
              <w:spacing w:before="30" w:after="30"/>
              <w:ind w:left="57"/>
              <w:jc w:val="left"/>
              <w:rPr>
                <w:sz w:val="20"/>
              </w:rPr>
            </w:pPr>
            <w:r w:rsidRPr="003C2B67">
              <w:rPr>
                <w:rFonts w:ascii="Times New Roman Bold" w:hAnsi="Times New Roman Bold" w:cs="Times New Roman Bold"/>
                <w:b/>
                <w:bCs/>
                <w:sz w:val="20"/>
              </w:rPr>
              <w:t>BT</w:t>
            </w:r>
          </w:p>
        </w:tc>
        <w:tc>
          <w:tcPr>
            <w:tcW w:w="8220" w:type="dxa"/>
            <w:tcBorders>
              <w:top w:val="nil"/>
              <w:left w:val="nil"/>
              <w:bottom w:val="nil"/>
              <w:right w:val="single" w:sz="12" w:space="0" w:color="000080"/>
            </w:tcBorders>
            <w:shd w:val="clear" w:color="auto" w:fill="FFFFFF" w:themeFill="background1"/>
          </w:tcPr>
          <w:p w14:paraId="04A5AF2B" w14:textId="77777777" w:rsidR="001D5EB0" w:rsidRPr="003C2B67" w:rsidRDefault="001D5EB0" w:rsidP="00994B8B">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rPr>
            </w:pPr>
            <w:r w:rsidRPr="003C2B67">
              <w:rPr>
                <w:sz w:val="20"/>
              </w:rPr>
              <w:t>Broadcasting service (television)</w:t>
            </w:r>
          </w:p>
        </w:tc>
      </w:tr>
      <w:tr w:rsidR="001D5EB0" w:rsidRPr="003C2B67" w14:paraId="18E9470A" w14:textId="77777777" w:rsidTr="00994B8B">
        <w:tc>
          <w:tcPr>
            <w:tcW w:w="1140" w:type="dxa"/>
            <w:tcBorders>
              <w:top w:val="nil"/>
              <w:left w:val="single" w:sz="12" w:space="0" w:color="000080"/>
              <w:bottom w:val="nil"/>
              <w:right w:val="nil"/>
            </w:tcBorders>
            <w:shd w:val="clear" w:color="auto" w:fill="FFFFFF" w:themeFill="background1"/>
          </w:tcPr>
          <w:p w14:paraId="5267A1C5" w14:textId="77777777" w:rsidR="001D5EB0" w:rsidRPr="003C2B67" w:rsidRDefault="001D5EB0" w:rsidP="00994B8B">
            <w:pPr>
              <w:spacing w:before="30" w:after="30"/>
              <w:ind w:left="57"/>
              <w:jc w:val="left"/>
              <w:rPr>
                <w:b/>
                <w:bCs/>
                <w:sz w:val="20"/>
              </w:rPr>
            </w:pPr>
            <w:r w:rsidRPr="003C2B67">
              <w:rPr>
                <w:b/>
                <w:bCs/>
                <w:sz w:val="20"/>
              </w:rPr>
              <w:t>F</w:t>
            </w:r>
          </w:p>
        </w:tc>
        <w:tc>
          <w:tcPr>
            <w:tcW w:w="8220" w:type="dxa"/>
            <w:tcBorders>
              <w:top w:val="nil"/>
              <w:left w:val="nil"/>
              <w:bottom w:val="nil"/>
              <w:right w:val="single" w:sz="12" w:space="0" w:color="000080"/>
            </w:tcBorders>
            <w:shd w:val="clear" w:color="auto" w:fill="FFFFFF" w:themeFill="background1"/>
          </w:tcPr>
          <w:p w14:paraId="6CB5E399" w14:textId="77777777" w:rsidR="001D5EB0" w:rsidRPr="003C2B67" w:rsidRDefault="001D5EB0" w:rsidP="00994B8B">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rPr>
            </w:pPr>
            <w:r w:rsidRPr="003C2B67">
              <w:rPr>
                <w:sz w:val="20"/>
              </w:rPr>
              <w:t>Fixed service</w:t>
            </w:r>
          </w:p>
        </w:tc>
      </w:tr>
      <w:tr w:rsidR="001D5EB0" w:rsidRPr="003C2B67" w14:paraId="6658AECF" w14:textId="77777777" w:rsidTr="00994B8B">
        <w:tc>
          <w:tcPr>
            <w:tcW w:w="1140" w:type="dxa"/>
            <w:tcBorders>
              <w:top w:val="nil"/>
              <w:left w:val="single" w:sz="12" w:space="0" w:color="000080"/>
              <w:bottom w:val="nil"/>
              <w:right w:val="nil"/>
            </w:tcBorders>
            <w:shd w:val="clear" w:color="auto" w:fill="D9D9D9" w:themeFill="background1" w:themeFillShade="D9"/>
          </w:tcPr>
          <w:p w14:paraId="4857182F" w14:textId="77777777" w:rsidR="001D5EB0" w:rsidRPr="003C2B67" w:rsidRDefault="001D5EB0" w:rsidP="00994B8B">
            <w:pPr>
              <w:spacing w:before="30" w:after="30"/>
              <w:ind w:left="57"/>
              <w:jc w:val="left"/>
              <w:rPr>
                <w:b/>
                <w:bCs/>
                <w:sz w:val="20"/>
              </w:rPr>
            </w:pPr>
            <w:r w:rsidRPr="003C2B67">
              <w:rPr>
                <w:b/>
                <w:bCs/>
                <w:color w:val="000080"/>
                <w:sz w:val="20"/>
              </w:rPr>
              <w:t>M</w:t>
            </w:r>
          </w:p>
        </w:tc>
        <w:tc>
          <w:tcPr>
            <w:tcW w:w="8220" w:type="dxa"/>
            <w:tcBorders>
              <w:top w:val="nil"/>
              <w:left w:val="nil"/>
              <w:bottom w:val="nil"/>
              <w:right w:val="single" w:sz="12" w:space="0" w:color="000080"/>
            </w:tcBorders>
            <w:shd w:val="clear" w:color="auto" w:fill="D9D9D9" w:themeFill="background1" w:themeFillShade="D9"/>
          </w:tcPr>
          <w:p w14:paraId="50479CD6" w14:textId="77777777" w:rsidR="001D5EB0" w:rsidRPr="003C2B67" w:rsidRDefault="001D5EB0" w:rsidP="00994B8B">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sz w:val="20"/>
              </w:rPr>
            </w:pPr>
            <w:r w:rsidRPr="003C2B67">
              <w:rPr>
                <w:b/>
                <w:bCs/>
                <w:color w:val="000080"/>
                <w:sz w:val="20"/>
              </w:rPr>
              <w:t>Mobile, radiodetermination, amateur and related satellite services</w:t>
            </w:r>
          </w:p>
        </w:tc>
      </w:tr>
      <w:tr w:rsidR="001D5EB0" w:rsidRPr="003C2B67" w14:paraId="768CB871" w14:textId="77777777" w:rsidTr="00994B8B">
        <w:tc>
          <w:tcPr>
            <w:tcW w:w="1140" w:type="dxa"/>
            <w:tcBorders>
              <w:top w:val="nil"/>
              <w:left w:val="single" w:sz="12" w:space="0" w:color="000080"/>
              <w:bottom w:val="nil"/>
              <w:right w:val="nil"/>
            </w:tcBorders>
            <w:shd w:val="clear" w:color="auto" w:fill="auto"/>
          </w:tcPr>
          <w:p w14:paraId="733718B5" w14:textId="77777777" w:rsidR="001D5EB0" w:rsidRPr="003C2B67" w:rsidRDefault="001D5EB0" w:rsidP="00994B8B">
            <w:pPr>
              <w:spacing w:before="30" w:after="30"/>
              <w:ind w:left="57"/>
              <w:jc w:val="left"/>
              <w:rPr>
                <w:rFonts w:ascii="Times New Roman Bold" w:hAnsi="Times New Roman Bold" w:cs="Times New Roman Bold"/>
                <w:b/>
                <w:bCs/>
                <w:sz w:val="20"/>
              </w:rPr>
            </w:pPr>
            <w:r w:rsidRPr="003C2B67">
              <w:rPr>
                <w:rFonts w:ascii="Times New Roman Bold" w:hAnsi="Times New Roman Bold" w:cs="Times New Roman Bold"/>
                <w:b/>
                <w:bCs/>
                <w:sz w:val="20"/>
              </w:rPr>
              <w:t>P</w:t>
            </w:r>
          </w:p>
        </w:tc>
        <w:tc>
          <w:tcPr>
            <w:tcW w:w="8220" w:type="dxa"/>
            <w:tcBorders>
              <w:top w:val="nil"/>
              <w:left w:val="nil"/>
              <w:bottom w:val="nil"/>
              <w:right w:val="single" w:sz="12" w:space="0" w:color="000080"/>
            </w:tcBorders>
            <w:shd w:val="clear" w:color="auto" w:fill="auto"/>
          </w:tcPr>
          <w:p w14:paraId="23BBCBF8" w14:textId="77777777" w:rsidR="001D5EB0" w:rsidRPr="003C2B67" w:rsidRDefault="001D5EB0" w:rsidP="00994B8B">
            <w:pPr>
              <w:spacing w:before="30" w:after="30"/>
              <w:jc w:val="left"/>
              <w:rPr>
                <w:sz w:val="20"/>
              </w:rPr>
            </w:pPr>
            <w:proofErr w:type="spellStart"/>
            <w:r w:rsidRPr="003C2B67">
              <w:rPr>
                <w:sz w:val="20"/>
              </w:rPr>
              <w:t>Radiowave</w:t>
            </w:r>
            <w:proofErr w:type="spellEnd"/>
            <w:r w:rsidRPr="003C2B67">
              <w:rPr>
                <w:sz w:val="20"/>
              </w:rPr>
              <w:t xml:space="preserve"> propagation</w:t>
            </w:r>
          </w:p>
        </w:tc>
      </w:tr>
      <w:tr w:rsidR="001D5EB0" w:rsidRPr="003C2B67" w14:paraId="307EA5A0" w14:textId="77777777" w:rsidTr="00994B8B">
        <w:tc>
          <w:tcPr>
            <w:tcW w:w="1140" w:type="dxa"/>
            <w:tcBorders>
              <w:top w:val="nil"/>
              <w:left w:val="single" w:sz="12" w:space="0" w:color="000080"/>
              <w:bottom w:val="nil"/>
              <w:right w:val="nil"/>
            </w:tcBorders>
            <w:shd w:val="clear" w:color="auto" w:fill="auto"/>
          </w:tcPr>
          <w:p w14:paraId="0F8CAE9B" w14:textId="77777777" w:rsidR="001D5EB0" w:rsidRPr="003C2B67" w:rsidRDefault="001D5EB0" w:rsidP="00994B8B">
            <w:pPr>
              <w:spacing w:before="30" w:after="30"/>
              <w:ind w:left="57"/>
              <w:jc w:val="left"/>
              <w:rPr>
                <w:rFonts w:ascii="Times New Roman Bold" w:hAnsi="Times New Roman Bold" w:cs="Times New Roman Bold"/>
                <w:b/>
                <w:bCs/>
                <w:sz w:val="20"/>
              </w:rPr>
            </w:pPr>
            <w:r w:rsidRPr="003C2B67">
              <w:rPr>
                <w:rFonts w:ascii="Times New Roman Bold" w:hAnsi="Times New Roman Bold" w:cs="Times New Roman Bold"/>
                <w:b/>
                <w:bCs/>
                <w:sz w:val="20"/>
              </w:rPr>
              <w:t>RA</w:t>
            </w:r>
          </w:p>
        </w:tc>
        <w:tc>
          <w:tcPr>
            <w:tcW w:w="8220" w:type="dxa"/>
            <w:tcBorders>
              <w:top w:val="nil"/>
              <w:left w:val="nil"/>
              <w:bottom w:val="nil"/>
              <w:right w:val="single" w:sz="12" w:space="0" w:color="000080"/>
            </w:tcBorders>
            <w:shd w:val="clear" w:color="auto" w:fill="auto"/>
          </w:tcPr>
          <w:p w14:paraId="231324FC" w14:textId="77777777" w:rsidR="001D5EB0" w:rsidRPr="003C2B67" w:rsidRDefault="001D5EB0" w:rsidP="00994B8B">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rPr>
            </w:pPr>
            <w:r w:rsidRPr="003C2B67">
              <w:rPr>
                <w:sz w:val="20"/>
              </w:rPr>
              <w:t>Radio astronomy</w:t>
            </w:r>
          </w:p>
        </w:tc>
      </w:tr>
      <w:tr w:rsidR="001D5EB0" w:rsidRPr="003C2B67" w14:paraId="1607DAB4" w14:textId="77777777" w:rsidTr="00994B8B">
        <w:tc>
          <w:tcPr>
            <w:tcW w:w="1140" w:type="dxa"/>
            <w:tcBorders>
              <w:top w:val="nil"/>
              <w:left w:val="single" w:sz="12" w:space="0" w:color="000080"/>
              <w:bottom w:val="nil"/>
              <w:right w:val="nil"/>
            </w:tcBorders>
            <w:shd w:val="clear" w:color="auto" w:fill="FFFFFF" w:themeFill="background1"/>
          </w:tcPr>
          <w:p w14:paraId="05A4A8F2" w14:textId="77777777" w:rsidR="001D5EB0" w:rsidRPr="003C2B67" w:rsidRDefault="001D5EB0" w:rsidP="00994B8B">
            <w:pPr>
              <w:spacing w:before="30" w:after="30"/>
              <w:ind w:left="57"/>
              <w:jc w:val="left"/>
              <w:rPr>
                <w:rFonts w:ascii="Times New Roman Bold" w:hAnsi="Times New Roman Bold" w:cs="Times New Roman Bold"/>
                <w:b/>
                <w:bCs/>
                <w:sz w:val="20"/>
              </w:rPr>
            </w:pPr>
            <w:r w:rsidRPr="003C2B67">
              <w:rPr>
                <w:rFonts w:ascii="Times New Roman Bold" w:hAnsi="Times New Roman Bold" w:cs="Times New Roman Bold"/>
                <w:b/>
                <w:bCs/>
                <w:sz w:val="20"/>
              </w:rPr>
              <w:t>RS</w:t>
            </w:r>
          </w:p>
        </w:tc>
        <w:tc>
          <w:tcPr>
            <w:tcW w:w="8220" w:type="dxa"/>
            <w:tcBorders>
              <w:top w:val="nil"/>
              <w:left w:val="nil"/>
              <w:bottom w:val="nil"/>
              <w:right w:val="single" w:sz="12" w:space="0" w:color="000080"/>
            </w:tcBorders>
            <w:shd w:val="clear" w:color="auto" w:fill="FFFFFF" w:themeFill="background1"/>
          </w:tcPr>
          <w:p w14:paraId="18F1F9C6" w14:textId="77777777" w:rsidR="001D5EB0" w:rsidRPr="003C2B67" w:rsidRDefault="001D5EB0" w:rsidP="00994B8B">
            <w:pPr>
              <w:spacing w:before="30" w:after="30"/>
              <w:jc w:val="left"/>
              <w:rPr>
                <w:sz w:val="20"/>
              </w:rPr>
            </w:pPr>
            <w:r w:rsidRPr="003C2B67">
              <w:rPr>
                <w:sz w:val="20"/>
              </w:rPr>
              <w:t>Remote sensing systems</w:t>
            </w:r>
          </w:p>
        </w:tc>
      </w:tr>
      <w:tr w:rsidR="001D5EB0" w:rsidRPr="003C2B67" w14:paraId="6907F2A9" w14:textId="77777777" w:rsidTr="00994B8B">
        <w:tc>
          <w:tcPr>
            <w:tcW w:w="1140" w:type="dxa"/>
            <w:tcBorders>
              <w:top w:val="nil"/>
              <w:left w:val="single" w:sz="12" w:space="0" w:color="000080"/>
              <w:bottom w:val="nil"/>
              <w:right w:val="nil"/>
            </w:tcBorders>
          </w:tcPr>
          <w:p w14:paraId="465DE097" w14:textId="77777777" w:rsidR="001D5EB0" w:rsidRPr="003C2B67" w:rsidRDefault="001D5EB0" w:rsidP="00994B8B">
            <w:pPr>
              <w:spacing w:before="30" w:after="30"/>
              <w:ind w:left="57"/>
              <w:jc w:val="left"/>
              <w:rPr>
                <w:b/>
                <w:bCs/>
                <w:sz w:val="20"/>
              </w:rPr>
            </w:pPr>
            <w:r w:rsidRPr="003C2B67">
              <w:rPr>
                <w:b/>
                <w:bCs/>
                <w:sz w:val="20"/>
              </w:rPr>
              <w:t>S</w:t>
            </w:r>
          </w:p>
        </w:tc>
        <w:tc>
          <w:tcPr>
            <w:tcW w:w="8220" w:type="dxa"/>
            <w:tcBorders>
              <w:top w:val="nil"/>
              <w:left w:val="nil"/>
              <w:bottom w:val="nil"/>
              <w:right w:val="single" w:sz="12" w:space="0" w:color="000080"/>
            </w:tcBorders>
          </w:tcPr>
          <w:p w14:paraId="1A7DD959" w14:textId="77777777" w:rsidR="001D5EB0" w:rsidRPr="003C2B67" w:rsidRDefault="001D5EB0" w:rsidP="00994B8B">
            <w:pPr>
              <w:spacing w:before="30" w:after="30"/>
              <w:jc w:val="left"/>
              <w:rPr>
                <w:sz w:val="20"/>
              </w:rPr>
            </w:pPr>
            <w:r w:rsidRPr="003C2B67">
              <w:rPr>
                <w:sz w:val="20"/>
              </w:rPr>
              <w:t>Fixed-satellite service</w:t>
            </w:r>
          </w:p>
        </w:tc>
      </w:tr>
      <w:tr w:rsidR="001D5EB0" w:rsidRPr="003C2B67" w14:paraId="4C025387" w14:textId="77777777" w:rsidTr="00994B8B">
        <w:tc>
          <w:tcPr>
            <w:tcW w:w="1140" w:type="dxa"/>
            <w:tcBorders>
              <w:top w:val="nil"/>
              <w:left w:val="single" w:sz="12" w:space="0" w:color="000080"/>
              <w:bottom w:val="nil"/>
              <w:right w:val="nil"/>
            </w:tcBorders>
          </w:tcPr>
          <w:p w14:paraId="70F53A99" w14:textId="77777777" w:rsidR="001D5EB0" w:rsidRPr="003C2B67" w:rsidRDefault="001D5EB0" w:rsidP="00994B8B">
            <w:pPr>
              <w:spacing w:before="30" w:after="30"/>
              <w:ind w:left="57"/>
              <w:jc w:val="left"/>
              <w:rPr>
                <w:b/>
                <w:bCs/>
                <w:sz w:val="20"/>
              </w:rPr>
            </w:pPr>
            <w:r w:rsidRPr="003C2B67">
              <w:rPr>
                <w:b/>
                <w:bCs/>
                <w:sz w:val="20"/>
              </w:rPr>
              <w:t>SA</w:t>
            </w:r>
          </w:p>
        </w:tc>
        <w:tc>
          <w:tcPr>
            <w:tcW w:w="8220" w:type="dxa"/>
            <w:tcBorders>
              <w:top w:val="nil"/>
              <w:left w:val="nil"/>
              <w:bottom w:val="nil"/>
              <w:right w:val="single" w:sz="12" w:space="0" w:color="000080"/>
            </w:tcBorders>
          </w:tcPr>
          <w:p w14:paraId="0AD5ED6E" w14:textId="77777777" w:rsidR="001D5EB0" w:rsidRPr="003C2B67" w:rsidRDefault="001D5EB0" w:rsidP="00994B8B">
            <w:pPr>
              <w:spacing w:before="30" w:after="30"/>
              <w:jc w:val="left"/>
              <w:rPr>
                <w:sz w:val="20"/>
              </w:rPr>
            </w:pPr>
            <w:r w:rsidRPr="003C2B67">
              <w:rPr>
                <w:sz w:val="20"/>
              </w:rPr>
              <w:t>Space applications and meteorology</w:t>
            </w:r>
          </w:p>
        </w:tc>
      </w:tr>
      <w:tr w:rsidR="001D5EB0" w:rsidRPr="003C2B67" w14:paraId="773E83CB" w14:textId="77777777" w:rsidTr="00994B8B">
        <w:tc>
          <w:tcPr>
            <w:tcW w:w="1140" w:type="dxa"/>
            <w:tcBorders>
              <w:top w:val="nil"/>
              <w:left w:val="single" w:sz="12" w:space="0" w:color="000080"/>
              <w:bottom w:val="nil"/>
              <w:right w:val="nil"/>
            </w:tcBorders>
          </w:tcPr>
          <w:p w14:paraId="104B2F39" w14:textId="77777777" w:rsidR="001D5EB0" w:rsidRPr="003C2B67" w:rsidRDefault="001D5EB0" w:rsidP="00994B8B">
            <w:pPr>
              <w:spacing w:before="30" w:after="30"/>
              <w:ind w:left="57"/>
              <w:jc w:val="left"/>
              <w:rPr>
                <w:b/>
                <w:bCs/>
                <w:sz w:val="20"/>
              </w:rPr>
            </w:pPr>
            <w:r w:rsidRPr="003C2B67">
              <w:rPr>
                <w:b/>
                <w:bCs/>
                <w:sz w:val="20"/>
              </w:rPr>
              <w:t>SF</w:t>
            </w:r>
          </w:p>
        </w:tc>
        <w:tc>
          <w:tcPr>
            <w:tcW w:w="8220" w:type="dxa"/>
            <w:tcBorders>
              <w:top w:val="nil"/>
              <w:left w:val="nil"/>
              <w:bottom w:val="nil"/>
              <w:right w:val="single" w:sz="12" w:space="0" w:color="000080"/>
            </w:tcBorders>
          </w:tcPr>
          <w:p w14:paraId="2F5F54A1" w14:textId="77777777" w:rsidR="001D5EB0" w:rsidRPr="003C2B67" w:rsidRDefault="001D5EB0" w:rsidP="00994B8B">
            <w:pPr>
              <w:spacing w:before="30" w:after="30"/>
              <w:jc w:val="left"/>
              <w:rPr>
                <w:sz w:val="20"/>
              </w:rPr>
            </w:pPr>
            <w:r w:rsidRPr="003C2B67">
              <w:rPr>
                <w:sz w:val="20"/>
              </w:rPr>
              <w:t>Frequency sharing and coordination between fixed-satellite and fixed service systems</w:t>
            </w:r>
          </w:p>
        </w:tc>
      </w:tr>
      <w:tr w:rsidR="001D5EB0" w:rsidRPr="003C2B67" w14:paraId="7D1911E9" w14:textId="77777777" w:rsidTr="00994B8B">
        <w:tc>
          <w:tcPr>
            <w:tcW w:w="1140" w:type="dxa"/>
            <w:tcBorders>
              <w:top w:val="nil"/>
              <w:left w:val="single" w:sz="12" w:space="0" w:color="000080"/>
              <w:bottom w:val="nil"/>
              <w:right w:val="nil"/>
            </w:tcBorders>
          </w:tcPr>
          <w:p w14:paraId="345304BF" w14:textId="77777777" w:rsidR="001D5EB0" w:rsidRPr="003C2B67" w:rsidRDefault="001D5EB0" w:rsidP="00994B8B">
            <w:pPr>
              <w:spacing w:before="30" w:after="30"/>
              <w:ind w:left="57"/>
              <w:jc w:val="left"/>
              <w:rPr>
                <w:b/>
                <w:bCs/>
                <w:sz w:val="20"/>
              </w:rPr>
            </w:pPr>
            <w:r w:rsidRPr="003C2B67">
              <w:rPr>
                <w:b/>
                <w:bCs/>
                <w:sz w:val="20"/>
              </w:rPr>
              <w:t>SM</w:t>
            </w:r>
          </w:p>
        </w:tc>
        <w:tc>
          <w:tcPr>
            <w:tcW w:w="8220" w:type="dxa"/>
            <w:tcBorders>
              <w:top w:val="nil"/>
              <w:left w:val="nil"/>
              <w:bottom w:val="nil"/>
              <w:right w:val="single" w:sz="12" w:space="0" w:color="000080"/>
            </w:tcBorders>
          </w:tcPr>
          <w:p w14:paraId="6FE9F2EB" w14:textId="77777777" w:rsidR="001D5EB0" w:rsidRPr="003C2B67" w:rsidRDefault="001D5EB0" w:rsidP="00994B8B">
            <w:pPr>
              <w:spacing w:before="30" w:after="30"/>
              <w:jc w:val="left"/>
              <w:rPr>
                <w:sz w:val="20"/>
              </w:rPr>
            </w:pPr>
            <w:r w:rsidRPr="003C2B67">
              <w:rPr>
                <w:sz w:val="20"/>
              </w:rPr>
              <w:t>Spectrum management</w:t>
            </w:r>
          </w:p>
        </w:tc>
      </w:tr>
      <w:tr w:rsidR="001D5EB0" w:rsidRPr="003C2B67" w14:paraId="2550F4BF" w14:textId="77777777" w:rsidTr="00994B8B">
        <w:tc>
          <w:tcPr>
            <w:tcW w:w="1140" w:type="dxa"/>
            <w:tcBorders>
              <w:top w:val="nil"/>
              <w:left w:val="single" w:sz="12" w:space="0" w:color="000080"/>
              <w:bottom w:val="single" w:sz="12" w:space="0" w:color="000080"/>
              <w:right w:val="nil"/>
            </w:tcBorders>
          </w:tcPr>
          <w:p w14:paraId="45D11141" w14:textId="77777777" w:rsidR="001D5EB0" w:rsidRPr="003C2B67" w:rsidRDefault="001D5EB0" w:rsidP="00994B8B">
            <w:pPr>
              <w:spacing w:before="30" w:after="30"/>
              <w:ind w:left="57"/>
              <w:jc w:val="left"/>
              <w:rPr>
                <w:b/>
                <w:bCs/>
                <w:sz w:val="20"/>
              </w:rPr>
            </w:pPr>
            <w:r w:rsidRPr="003C2B67">
              <w:rPr>
                <w:b/>
                <w:bCs/>
                <w:sz w:val="20"/>
              </w:rPr>
              <w:t>TF</w:t>
            </w:r>
          </w:p>
        </w:tc>
        <w:tc>
          <w:tcPr>
            <w:tcW w:w="8220" w:type="dxa"/>
            <w:tcBorders>
              <w:top w:val="nil"/>
              <w:left w:val="nil"/>
              <w:bottom w:val="single" w:sz="12" w:space="0" w:color="000080"/>
              <w:right w:val="single" w:sz="12" w:space="0" w:color="000080"/>
            </w:tcBorders>
          </w:tcPr>
          <w:p w14:paraId="008FBCF7" w14:textId="77777777" w:rsidR="001D5EB0" w:rsidRPr="003C2B67" w:rsidRDefault="001D5EB0" w:rsidP="00994B8B">
            <w:pPr>
              <w:spacing w:before="30" w:after="180"/>
              <w:jc w:val="left"/>
              <w:rPr>
                <w:sz w:val="20"/>
              </w:rPr>
            </w:pPr>
            <w:r w:rsidRPr="003C2B67">
              <w:rPr>
                <w:sz w:val="20"/>
              </w:rPr>
              <w:t>Time signals and frequency standards emissions</w:t>
            </w:r>
          </w:p>
        </w:tc>
      </w:tr>
    </w:tbl>
    <w:p w14:paraId="2DCA12E3" w14:textId="77777777" w:rsidR="001D5EB0" w:rsidRPr="003C2B67" w:rsidRDefault="001D5EB0" w:rsidP="001D5EB0">
      <w:pPr>
        <w:spacing w:before="30" w:after="30"/>
        <w:jc w:val="center"/>
        <w:rPr>
          <w:sz w:val="20"/>
        </w:rPr>
      </w:pPr>
    </w:p>
    <w:tbl>
      <w:tblPr>
        <w:tblpPr w:leftFromText="180" w:rightFromText="180" w:vertAnchor="text" w:tblpX="-5771" w:tblpY="-4031"/>
        <w:tblW w:w="0" w:type="auto"/>
        <w:tblLook w:val="0000" w:firstRow="0" w:lastRow="0" w:firstColumn="0" w:lastColumn="0" w:noHBand="0" w:noVBand="0"/>
      </w:tblPr>
      <w:tblGrid>
        <w:gridCol w:w="720"/>
      </w:tblGrid>
      <w:tr w:rsidR="001D5EB0" w:rsidRPr="003C2B67" w14:paraId="012378A7" w14:textId="77777777" w:rsidTr="00994B8B">
        <w:tc>
          <w:tcPr>
            <w:tcW w:w="720" w:type="dxa"/>
          </w:tcPr>
          <w:p w14:paraId="3C436917" w14:textId="77777777" w:rsidR="001D5EB0" w:rsidRPr="003C2B67" w:rsidRDefault="001D5EB0" w:rsidP="00994B8B">
            <w:pPr>
              <w:jc w:val="center"/>
              <w:rPr>
                <w:sz w:val="22"/>
              </w:rPr>
            </w:pPr>
          </w:p>
        </w:tc>
      </w:tr>
    </w:tbl>
    <w:p w14:paraId="48D86001" w14:textId="77777777" w:rsidR="001D5EB0" w:rsidRPr="003C2B67" w:rsidRDefault="001D5EB0" w:rsidP="001D5EB0">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609"/>
      </w:tblGrid>
      <w:tr w:rsidR="001D5EB0" w:rsidRPr="003C2B67" w14:paraId="6FCFEE29" w14:textId="77777777" w:rsidTr="00994B8B">
        <w:tc>
          <w:tcPr>
            <w:tcW w:w="9360" w:type="dxa"/>
            <w:tcBorders>
              <w:top w:val="single" w:sz="12" w:space="0" w:color="000080"/>
              <w:left w:val="single" w:sz="12" w:space="0" w:color="000080"/>
              <w:bottom w:val="single" w:sz="12" w:space="0" w:color="000080"/>
              <w:right w:val="single" w:sz="12" w:space="0" w:color="000080"/>
            </w:tcBorders>
          </w:tcPr>
          <w:p w14:paraId="2FE7EF31" w14:textId="77777777" w:rsidR="001D5EB0" w:rsidRPr="003C2B67" w:rsidRDefault="001D5EB0" w:rsidP="00994B8B">
            <w:pPr>
              <w:spacing w:after="120"/>
              <w:rPr>
                <w:b/>
                <w:bCs/>
                <w:sz w:val="20"/>
              </w:rPr>
            </w:pPr>
            <w:r w:rsidRPr="003C2B67">
              <w:rPr>
                <w:b/>
                <w:bCs/>
                <w:i/>
                <w:iCs/>
                <w:sz w:val="20"/>
              </w:rPr>
              <w:t>Note</w:t>
            </w:r>
            <w:r w:rsidRPr="003C2B67">
              <w:rPr>
                <w:i/>
                <w:iCs/>
                <w:sz w:val="20"/>
              </w:rPr>
              <w:t>: This ITU-R Report was approved in English by the Study Group under the procedure detailed in Resolution ITU</w:t>
            </w:r>
            <w:r w:rsidRPr="003C2B67">
              <w:rPr>
                <w:i/>
                <w:iCs/>
                <w:sz w:val="20"/>
              </w:rPr>
              <w:noBreakHyphen/>
              <w:t>R 1.</w:t>
            </w:r>
          </w:p>
        </w:tc>
      </w:tr>
    </w:tbl>
    <w:p w14:paraId="16F0800D" w14:textId="77777777" w:rsidR="001D5EB0" w:rsidRPr="003C2B67" w:rsidRDefault="001D5EB0" w:rsidP="001D5EB0">
      <w:pPr>
        <w:spacing w:before="0"/>
        <w:jc w:val="center"/>
        <w:rPr>
          <w:sz w:val="22"/>
        </w:rPr>
      </w:pPr>
    </w:p>
    <w:p w14:paraId="236D2E98" w14:textId="77777777" w:rsidR="001D5EB0" w:rsidRPr="003C2B67" w:rsidRDefault="001D5EB0" w:rsidP="001D5EB0">
      <w:pPr>
        <w:spacing w:before="0"/>
        <w:jc w:val="right"/>
        <w:rPr>
          <w:i/>
          <w:iCs/>
          <w:sz w:val="20"/>
        </w:rPr>
      </w:pPr>
      <w:r w:rsidRPr="003C2B67">
        <w:rPr>
          <w:i/>
          <w:iCs/>
          <w:sz w:val="20"/>
        </w:rPr>
        <w:t>Electronic Publication</w:t>
      </w:r>
    </w:p>
    <w:p w14:paraId="2EA135B7" w14:textId="77777777" w:rsidR="001D5EB0" w:rsidRPr="003C2B67" w:rsidRDefault="001D5EB0" w:rsidP="001D5EB0">
      <w:pPr>
        <w:spacing w:before="0"/>
        <w:jc w:val="right"/>
        <w:rPr>
          <w:sz w:val="20"/>
        </w:rPr>
      </w:pPr>
      <w:r w:rsidRPr="003C2B67">
        <w:rPr>
          <w:sz w:val="20"/>
        </w:rPr>
        <w:t>Geneva, 2023</w:t>
      </w:r>
    </w:p>
    <w:p w14:paraId="799685AB" w14:textId="77777777" w:rsidR="001D5EB0" w:rsidRPr="003C2B67" w:rsidRDefault="001D5EB0" w:rsidP="001D5EB0">
      <w:pPr>
        <w:jc w:val="center"/>
        <w:rPr>
          <w:sz w:val="20"/>
        </w:rPr>
      </w:pPr>
      <w:r w:rsidRPr="003C2B67">
        <w:rPr>
          <w:sz w:val="20"/>
        </w:rPr>
        <w:sym w:font="Symbol" w:char="00E3"/>
      </w:r>
      <w:r w:rsidRPr="003C2B67">
        <w:rPr>
          <w:sz w:val="20"/>
        </w:rPr>
        <w:t xml:space="preserve"> ITU </w:t>
      </w:r>
      <w:bookmarkStart w:id="1" w:name="iiannee"/>
      <w:bookmarkEnd w:id="1"/>
      <w:r w:rsidRPr="003C2B67">
        <w:rPr>
          <w:sz w:val="20"/>
        </w:rPr>
        <w:t>2023</w:t>
      </w:r>
    </w:p>
    <w:p w14:paraId="1E92E94F" w14:textId="77777777" w:rsidR="001D5EB0" w:rsidRPr="003C2B67" w:rsidRDefault="001D5EB0" w:rsidP="001D5EB0">
      <w:pPr>
        <w:rPr>
          <w:sz w:val="18"/>
          <w:szCs w:val="18"/>
        </w:rPr>
      </w:pPr>
      <w:r w:rsidRPr="003C2B67">
        <w:rPr>
          <w:sz w:val="18"/>
          <w:szCs w:val="18"/>
        </w:rPr>
        <w:t>All rights reserved. No part of this publication may be reproduced, by any means whatsoever, without written permission of ITU.</w:t>
      </w:r>
    </w:p>
    <w:p w14:paraId="050D3CAA" w14:textId="77777777" w:rsidR="001D5EB0" w:rsidRPr="003C2B67" w:rsidRDefault="001D5EB0" w:rsidP="001D5EB0">
      <w:pPr>
        <w:spacing w:before="160"/>
        <w:rPr>
          <w:i/>
          <w:sz w:val="20"/>
        </w:rPr>
        <w:sectPr w:rsidR="001D5EB0" w:rsidRPr="003C2B67"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67DD0BBD" w14:textId="3CC2CEE6" w:rsidR="001D5EB0" w:rsidRPr="003C2B67" w:rsidRDefault="001D5EB0" w:rsidP="0022028D">
      <w:pPr>
        <w:pStyle w:val="RepNo"/>
      </w:pPr>
      <w:bookmarkStart w:id="2" w:name="irecnoe"/>
      <w:bookmarkEnd w:id="2"/>
      <w:proofErr w:type="gramStart"/>
      <w:r w:rsidRPr="003C2B67">
        <w:lastRenderedPageBreak/>
        <w:t xml:space="preserve">REPORT  </w:t>
      </w:r>
      <w:r w:rsidRPr="003C2B67">
        <w:rPr>
          <w:rStyle w:val="href"/>
        </w:rPr>
        <w:t>ITU</w:t>
      </w:r>
      <w:proofErr w:type="gramEnd"/>
      <w:r w:rsidRPr="003C2B67">
        <w:rPr>
          <w:rStyle w:val="href"/>
        </w:rPr>
        <w:t>-R  M.</w:t>
      </w:r>
      <w:r w:rsidR="0022028D" w:rsidRPr="003C2B67">
        <w:rPr>
          <w:rStyle w:val="href"/>
        </w:rPr>
        <w:t>2532-0</w:t>
      </w:r>
    </w:p>
    <w:p w14:paraId="058FC97B" w14:textId="77777777" w:rsidR="0022028D" w:rsidRPr="003C2B67" w:rsidRDefault="0022028D" w:rsidP="0022028D">
      <w:pPr>
        <w:pStyle w:val="Reptitle"/>
      </w:pPr>
      <w:r w:rsidRPr="003C2B67">
        <w:t xml:space="preserve">Amateur and amateur-satellite services characteristics and usage </w:t>
      </w:r>
      <w:r w:rsidRPr="003C2B67">
        <w:br/>
        <w:t>in the 1 240-1 300 MHz frequency band</w:t>
      </w:r>
    </w:p>
    <w:p w14:paraId="783135FE" w14:textId="77777777" w:rsidR="0022028D" w:rsidRPr="003C2B67" w:rsidRDefault="0022028D" w:rsidP="0022028D">
      <w:pPr>
        <w:pStyle w:val="Repdate"/>
      </w:pPr>
      <w:r w:rsidRPr="003C2B67">
        <w:t>(2023)</w:t>
      </w:r>
    </w:p>
    <w:p w14:paraId="12F147F7" w14:textId="77777777" w:rsidR="0022028D" w:rsidRPr="003C2B67" w:rsidRDefault="0022028D" w:rsidP="0022028D">
      <w:pPr>
        <w:spacing w:before="240"/>
        <w:jc w:val="center"/>
        <w:rPr>
          <w:lang w:eastAsia="ja-JP"/>
        </w:rPr>
      </w:pPr>
      <w:r w:rsidRPr="003C2B67">
        <w:rPr>
          <w:lang w:eastAsia="ja-JP"/>
        </w:rPr>
        <w:t>TABLE OF CONTENTS</w:t>
      </w:r>
    </w:p>
    <w:p w14:paraId="4D62776B" w14:textId="77777777" w:rsidR="0022028D" w:rsidRPr="003C2B67" w:rsidRDefault="0022028D" w:rsidP="0022028D">
      <w:pPr>
        <w:pStyle w:val="toc0"/>
      </w:pPr>
      <w:r w:rsidRPr="003C2B67">
        <w:tab/>
        <w:t>Page</w:t>
      </w:r>
    </w:p>
    <w:p w14:paraId="558C0F8C" w14:textId="3F5BA8CE" w:rsidR="0022028D" w:rsidRPr="003C2B67" w:rsidRDefault="0022028D" w:rsidP="0022028D">
      <w:pPr>
        <w:pStyle w:val="TOC1"/>
        <w:spacing w:before="200"/>
        <w:rPr>
          <w:rFonts w:asciiTheme="minorHAnsi" w:eastAsiaTheme="minorEastAsia" w:hAnsiTheme="minorHAnsi" w:cstheme="minorBidi"/>
          <w:noProof/>
          <w:sz w:val="22"/>
          <w:szCs w:val="22"/>
          <w:lang w:val="en-GB" w:eastAsia="zh-CN"/>
        </w:rPr>
      </w:pPr>
      <w:r w:rsidRPr="003C2B67">
        <w:rPr>
          <w:lang w:val="en-GB"/>
        </w:rPr>
        <w:fldChar w:fldCharType="begin"/>
      </w:r>
      <w:r w:rsidRPr="003C2B67">
        <w:rPr>
          <w:lang w:val="en-GB"/>
        </w:rPr>
        <w:instrText xml:space="preserve"> TOC \o "1-2" \h \z </w:instrText>
      </w:r>
      <w:r w:rsidRPr="003C2B67">
        <w:rPr>
          <w:lang w:val="en-GB"/>
        </w:rPr>
        <w:fldChar w:fldCharType="separate"/>
      </w:r>
      <w:hyperlink w:anchor="_Toc146277885" w:history="1">
        <w:r w:rsidRPr="003C2B67">
          <w:rPr>
            <w:rStyle w:val="Hyperlink"/>
            <w:noProof/>
            <w:lang w:val="en-GB"/>
          </w:rPr>
          <w:t>1</w:t>
        </w:r>
        <w:r w:rsidRPr="003C2B67">
          <w:rPr>
            <w:rFonts w:asciiTheme="minorHAnsi" w:eastAsiaTheme="minorEastAsia" w:hAnsiTheme="minorHAnsi" w:cstheme="minorBidi"/>
            <w:noProof/>
            <w:sz w:val="22"/>
            <w:szCs w:val="22"/>
            <w:lang w:val="en-GB" w:eastAsia="zh-CN"/>
          </w:rPr>
          <w:tab/>
        </w:r>
        <w:r w:rsidRPr="003C2B67">
          <w:rPr>
            <w:rStyle w:val="Hyperlink"/>
            <w:noProof/>
            <w:lang w:val="en-GB"/>
          </w:rPr>
          <w:t>Introduction</w:t>
        </w:r>
        <w:r w:rsidRPr="003C2B67">
          <w:rPr>
            <w:noProof/>
            <w:webHidden/>
            <w:lang w:val="en-GB"/>
          </w:rPr>
          <w:tab/>
        </w:r>
        <w:r w:rsidRPr="003C2B67">
          <w:rPr>
            <w:noProof/>
            <w:webHidden/>
            <w:lang w:val="en-GB"/>
          </w:rPr>
          <w:tab/>
        </w:r>
        <w:r w:rsidRPr="003C2B67">
          <w:rPr>
            <w:noProof/>
            <w:webHidden/>
            <w:lang w:val="en-GB"/>
          </w:rPr>
          <w:fldChar w:fldCharType="begin"/>
        </w:r>
        <w:r w:rsidRPr="003C2B67">
          <w:rPr>
            <w:noProof/>
            <w:webHidden/>
            <w:lang w:val="en-GB"/>
          </w:rPr>
          <w:instrText xml:space="preserve"> PAGEREF _Toc146277885 \h </w:instrText>
        </w:r>
        <w:r w:rsidRPr="003C2B67">
          <w:rPr>
            <w:noProof/>
            <w:webHidden/>
            <w:lang w:val="en-GB"/>
          </w:rPr>
        </w:r>
        <w:r w:rsidRPr="003C2B67">
          <w:rPr>
            <w:noProof/>
            <w:webHidden/>
            <w:lang w:val="en-GB"/>
          </w:rPr>
          <w:fldChar w:fldCharType="separate"/>
        </w:r>
        <w:r w:rsidR="004528AD">
          <w:rPr>
            <w:noProof/>
            <w:webHidden/>
            <w:lang w:val="en-GB"/>
          </w:rPr>
          <w:t>2</w:t>
        </w:r>
        <w:r w:rsidRPr="003C2B67">
          <w:rPr>
            <w:noProof/>
            <w:webHidden/>
            <w:lang w:val="en-GB"/>
          </w:rPr>
          <w:fldChar w:fldCharType="end"/>
        </w:r>
      </w:hyperlink>
    </w:p>
    <w:p w14:paraId="793D593A" w14:textId="5A30152C" w:rsidR="0022028D" w:rsidRPr="003C2B67" w:rsidRDefault="004528AD" w:rsidP="0022028D">
      <w:pPr>
        <w:pStyle w:val="TOC1"/>
        <w:spacing w:before="200"/>
        <w:rPr>
          <w:rFonts w:asciiTheme="minorHAnsi" w:eastAsiaTheme="minorEastAsia" w:hAnsiTheme="minorHAnsi" w:cstheme="minorBidi"/>
          <w:noProof/>
          <w:sz w:val="22"/>
          <w:szCs w:val="22"/>
          <w:lang w:val="en-GB" w:eastAsia="zh-CN"/>
        </w:rPr>
      </w:pPr>
      <w:hyperlink w:anchor="_Toc146277886" w:history="1">
        <w:r w:rsidR="0022028D" w:rsidRPr="003C2B67">
          <w:rPr>
            <w:rStyle w:val="Hyperlink"/>
            <w:noProof/>
            <w:lang w:val="en-GB"/>
          </w:rPr>
          <w:t>2</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Abbreviations and definitions</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_Toc146277886 \h </w:instrText>
        </w:r>
        <w:r w:rsidR="0022028D" w:rsidRPr="003C2B67">
          <w:rPr>
            <w:noProof/>
            <w:webHidden/>
            <w:lang w:val="en-GB"/>
          </w:rPr>
        </w:r>
        <w:r w:rsidR="0022028D" w:rsidRPr="003C2B67">
          <w:rPr>
            <w:noProof/>
            <w:webHidden/>
            <w:lang w:val="en-GB"/>
          </w:rPr>
          <w:fldChar w:fldCharType="separate"/>
        </w:r>
        <w:r>
          <w:rPr>
            <w:noProof/>
            <w:webHidden/>
            <w:lang w:val="en-GB"/>
          </w:rPr>
          <w:t>2</w:t>
        </w:r>
        <w:r w:rsidR="0022028D" w:rsidRPr="003C2B67">
          <w:rPr>
            <w:noProof/>
            <w:webHidden/>
            <w:lang w:val="en-GB"/>
          </w:rPr>
          <w:fldChar w:fldCharType="end"/>
        </w:r>
      </w:hyperlink>
    </w:p>
    <w:p w14:paraId="41951170" w14:textId="4F74AC9D" w:rsidR="0022028D" w:rsidRPr="003C2B67" w:rsidRDefault="004528AD" w:rsidP="0022028D">
      <w:pPr>
        <w:pStyle w:val="TOC1"/>
        <w:spacing w:before="200"/>
        <w:rPr>
          <w:rFonts w:asciiTheme="minorHAnsi" w:eastAsiaTheme="minorEastAsia" w:hAnsiTheme="minorHAnsi" w:cstheme="minorBidi"/>
          <w:noProof/>
          <w:sz w:val="22"/>
          <w:szCs w:val="22"/>
          <w:lang w:val="en-GB" w:eastAsia="zh-CN"/>
        </w:rPr>
      </w:pPr>
      <w:hyperlink w:anchor="_Toc146277887" w:history="1">
        <w:r w:rsidR="0022028D" w:rsidRPr="003C2B67">
          <w:rPr>
            <w:rStyle w:val="Hyperlink"/>
            <w:noProof/>
            <w:lang w:val="en-GB" w:eastAsia="ja-JP"/>
          </w:rPr>
          <w:t>3</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Relevant publications (ITU Recommendations and Reports and others)</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_Toc146277887 \h </w:instrText>
        </w:r>
        <w:r w:rsidR="0022028D" w:rsidRPr="003C2B67">
          <w:rPr>
            <w:noProof/>
            <w:webHidden/>
            <w:lang w:val="en-GB"/>
          </w:rPr>
        </w:r>
        <w:r w:rsidR="0022028D" w:rsidRPr="003C2B67">
          <w:rPr>
            <w:noProof/>
            <w:webHidden/>
            <w:lang w:val="en-GB"/>
          </w:rPr>
          <w:fldChar w:fldCharType="separate"/>
        </w:r>
        <w:r>
          <w:rPr>
            <w:noProof/>
            <w:webHidden/>
            <w:lang w:val="en-GB"/>
          </w:rPr>
          <w:t>2</w:t>
        </w:r>
        <w:r w:rsidR="0022028D" w:rsidRPr="003C2B67">
          <w:rPr>
            <w:noProof/>
            <w:webHidden/>
            <w:lang w:val="en-GB"/>
          </w:rPr>
          <w:fldChar w:fldCharType="end"/>
        </w:r>
      </w:hyperlink>
    </w:p>
    <w:p w14:paraId="0ECAC9D6" w14:textId="3AB1B2AE" w:rsidR="0022028D" w:rsidRPr="003C2B67" w:rsidRDefault="004528AD" w:rsidP="0022028D">
      <w:pPr>
        <w:pStyle w:val="TOC1"/>
        <w:spacing w:before="200"/>
        <w:rPr>
          <w:rFonts w:asciiTheme="minorHAnsi" w:eastAsiaTheme="minorEastAsia" w:hAnsiTheme="minorHAnsi" w:cstheme="minorBidi"/>
          <w:noProof/>
          <w:sz w:val="22"/>
          <w:szCs w:val="22"/>
          <w:lang w:val="en-GB" w:eastAsia="zh-CN"/>
        </w:rPr>
      </w:pPr>
      <w:hyperlink w:anchor="_Toc146277888" w:history="1">
        <w:r w:rsidR="0022028D" w:rsidRPr="003C2B67">
          <w:rPr>
            <w:rStyle w:val="Hyperlink"/>
            <w:noProof/>
            <w:lang w:val="en-GB"/>
          </w:rPr>
          <w:t>4</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Amateur and amateur-satellite service band plans in the 1 240</w:t>
        </w:r>
        <w:r w:rsidR="0022028D" w:rsidRPr="003C2B67">
          <w:rPr>
            <w:rStyle w:val="Hyperlink"/>
            <w:noProof/>
            <w:lang w:val="en-GB"/>
          </w:rPr>
          <w:noBreakHyphen/>
          <w:t xml:space="preserve">1 300 MHz </w:t>
        </w:r>
        <w:r w:rsidR="0022028D" w:rsidRPr="003C2B67">
          <w:rPr>
            <w:rStyle w:val="Hyperlink"/>
            <w:noProof/>
            <w:lang w:val="en-GB"/>
          </w:rPr>
          <w:br/>
          <w:t>frequency band</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_Toc146277888 \h </w:instrText>
        </w:r>
        <w:r w:rsidR="0022028D" w:rsidRPr="003C2B67">
          <w:rPr>
            <w:noProof/>
            <w:webHidden/>
            <w:lang w:val="en-GB"/>
          </w:rPr>
        </w:r>
        <w:r w:rsidR="0022028D" w:rsidRPr="003C2B67">
          <w:rPr>
            <w:noProof/>
            <w:webHidden/>
            <w:lang w:val="en-GB"/>
          </w:rPr>
          <w:fldChar w:fldCharType="separate"/>
        </w:r>
        <w:r>
          <w:rPr>
            <w:noProof/>
            <w:webHidden/>
            <w:lang w:val="en-GB"/>
          </w:rPr>
          <w:t>3</w:t>
        </w:r>
        <w:r w:rsidR="0022028D" w:rsidRPr="003C2B67">
          <w:rPr>
            <w:noProof/>
            <w:webHidden/>
            <w:lang w:val="en-GB"/>
          </w:rPr>
          <w:fldChar w:fldCharType="end"/>
        </w:r>
      </w:hyperlink>
    </w:p>
    <w:p w14:paraId="14ADC98C" w14:textId="518C53B3" w:rsidR="0022028D" w:rsidRPr="003C2B67" w:rsidRDefault="004528AD" w:rsidP="0022028D">
      <w:pPr>
        <w:pStyle w:val="TOC1"/>
        <w:spacing w:before="200"/>
        <w:rPr>
          <w:rFonts w:asciiTheme="minorHAnsi" w:eastAsiaTheme="minorEastAsia" w:hAnsiTheme="minorHAnsi" w:cstheme="minorBidi"/>
          <w:noProof/>
          <w:sz w:val="22"/>
          <w:szCs w:val="22"/>
          <w:lang w:val="en-GB" w:eastAsia="zh-CN"/>
        </w:rPr>
      </w:pPr>
      <w:hyperlink w:anchor="_Toc146277889" w:history="1">
        <w:r w:rsidR="0022028D" w:rsidRPr="003C2B67">
          <w:rPr>
            <w:rStyle w:val="Hyperlink"/>
            <w:noProof/>
            <w:lang w:val="en-GB"/>
          </w:rPr>
          <w:t>5</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 xml:space="preserve">Applications and typical operational characteristics of the amateur and </w:t>
        </w:r>
        <w:r w:rsidR="0022028D" w:rsidRPr="003C2B67">
          <w:rPr>
            <w:rStyle w:val="Hyperlink"/>
            <w:noProof/>
            <w:lang w:val="en-GB"/>
          </w:rPr>
          <w:br/>
          <w:t>amateur-satellite services operating in the frequency band 1 240</w:t>
        </w:r>
        <w:r w:rsidR="0022028D" w:rsidRPr="003C2B67">
          <w:rPr>
            <w:rStyle w:val="Hyperlink"/>
            <w:noProof/>
            <w:lang w:val="en-GB"/>
          </w:rPr>
          <w:noBreakHyphen/>
          <w:t>1 300 MHz</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_Toc146277889 \h </w:instrText>
        </w:r>
        <w:r w:rsidR="0022028D" w:rsidRPr="003C2B67">
          <w:rPr>
            <w:noProof/>
            <w:webHidden/>
            <w:lang w:val="en-GB"/>
          </w:rPr>
        </w:r>
        <w:r w:rsidR="0022028D" w:rsidRPr="003C2B67">
          <w:rPr>
            <w:noProof/>
            <w:webHidden/>
            <w:lang w:val="en-GB"/>
          </w:rPr>
          <w:fldChar w:fldCharType="separate"/>
        </w:r>
        <w:r>
          <w:rPr>
            <w:noProof/>
            <w:webHidden/>
            <w:lang w:val="en-GB"/>
          </w:rPr>
          <w:t>4</w:t>
        </w:r>
        <w:r w:rsidR="0022028D" w:rsidRPr="003C2B67">
          <w:rPr>
            <w:noProof/>
            <w:webHidden/>
            <w:lang w:val="en-GB"/>
          </w:rPr>
          <w:fldChar w:fldCharType="end"/>
        </w:r>
      </w:hyperlink>
    </w:p>
    <w:p w14:paraId="6A19B92D" w14:textId="68BC2704"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0" w:history="1">
        <w:r w:rsidR="0022028D" w:rsidRPr="003C2B67">
          <w:rPr>
            <w:rStyle w:val="Hyperlink"/>
            <w:noProof/>
            <w:lang w:val="en-GB"/>
          </w:rPr>
          <w:t>5.1</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Amateur and amateur-satellite applications and station categories</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_Toc146277890 \h </w:instrText>
        </w:r>
        <w:r w:rsidR="0022028D" w:rsidRPr="003C2B67">
          <w:rPr>
            <w:noProof/>
            <w:webHidden/>
            <w:lang w:val="en-GB"/>
          </w:rPr>
        </w:r>
        <w:r w:rsidR="0022028D" w:rsidRPr="003C2B67">
          <w:rPr>
            <w:noProof/>
            <w:webHidden/>
            <w:lang w:val="en-GB"/>
          </w:rPr>
          <w:fldChar w:fldCharType="separate"/>
        </w:r>
        <w:r>
          <w:rPr>
            <w:noProof/>
            <w:webHidden/>
            <w:lang w:val="en-GB"/>
          </w:rPr>
          <w:t>4</w:t>
        </w:r>
        <w:r w:rsidR="0022028D" w:rsidRPr="003C2B67">
          <w:rPr>
            <w:noProof/>
            <w:webHidden/>
            <w:lang w:val="en-GB"/>
          </w:rPr>
          <w:fldChar w:fldCharType="end"/>
        </w:r>
      </w:hyperlink>
    </w:p>
    <w:p w14:paraId="77E1F1D3" w14:textId="31944FBB"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1" w:history="1">
        <w:r w:rsidR="0022028D" w:rsidRPr="003C2B67">
          <w:rPr>
            <w:rStyle w:val="Hyperlink"/>
            <w:noProof/>
            <w:lang w:val="en-GB"/>
          </w:rPr>
          <w:t>5.2</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Typical amateur station antenna characteristics in the 1 240</w:t>
        </w:r>
        <w:r w:rsidR="0022028D" w:rsidRPr="003C2B67">
          <w:rPr>
            <w:rStyle w:val="Hyperlink"/>
            <w:noProof/>
            <w:lang w:val="en-GB"/>
          </w:rPr>
          <w:noBreakHyphen/>
          <w:t>1 300 MHz band</w:t>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_Toc146277891 \h </w:instrText>
        </w:r>
        <w:r w:rsidR="0022028D" w:rsidRPr="003C2B67">
          <w:rPr>
            <w:noProof/>
            <w:webHidden/>
            <w:lang w:val="en-GB"/>
          </w:rPr>
        </w:r>
        <w:r w:rsidR="0022028D" w:rsidRPr="003C2B67">
          <w:rPr>
            <w:noProof/>
            <w:webHidden/>
            <w:lang w:val="en-GB"/>
          </w:rPr>
          <w:fldChar w:fldCharType="separate"/>
        </w:r>
        <w:r>
          <w:rPr>
            <w:noProof/>
            <w:webHidden/>
            <w:lang w:val="en-GB"/>
          </w:rPr>
          <w:t>7</w:t>
        </w:r>
        <w:r w:rsidR="0022028D" w:rsidRPr="003C2B67">
          <w:rPr>
            <w:noProof/>
            <w:webHidden/>
            <w:lang w:val="en-GB"/>
          </w:rPr>
          <w:fldChar w:fldCharType="end"/>
        </w:r>
      </w:hyperlink>
    </w:p>
    <w:p w14:paraId="32071CDF" w14:textId="641C878B"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2" w:history="1">
        <w:r w:rsidR="0022028D" w:rsidRPr="003C2B67">
          <w:rPr>
            <w:rStyle w:val="Hyperlink"/>
            <w:noProof/>
            <w:lang w:val="en-GB"/>
          </w:rPr>
          <w:t>5.3</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Typical amateur station power level distribution in the 1 240</w:t>
        </w:r>
        <w:r w:rsidR="0022028D" w:rsidRPr="003C2B67">
          <w:rPr>
            <w:rStyle w:val="Hyperlink"/>
            <w:noProof/>
            <w:lang w:val="en-GB"/>
          </w:rPr>
          <w:noBreakHyphen/>
          <w:t>1 300 MHz band</w:t>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_Toc146277892 \h </w:instrText>
        </w:r>
        <w:r w:rsidR="0022028D" w:rsidRPr="003C2B67">
          <w:rPr>
            <w:noProof/>
            <w:webHidden/>
            <w:lang w:val="en-GB"/>
          </w:rPr>
        </w:r>
        <w:r w:rsidR="0022028D" w:rsidRPr="003C2B67">
          <w:rPr>
            <w:noProof/>
            <w:webHidden/>
            <w:lang w:val="en-GB"/>
          </w:rPr>
          <w:fldChar w:fldCharType="separate"/>
        </w:r>
        <w:r>
          <w:rPr>
            <w:noProof/>
            <w:webHidden/>
            <w:lang w:val="en-GB"/>
          </w:rPr>
          <w:t>8</w:t>
        </w:r>
        <w:r w:rsidR="0022028D" w:rsidRPr="003C2B67">
          <w:rPr>
            <w:noProof/>
            <w:webHidden/>
            <w:lang w:val="en-GB"/>
          </w:rPr>
          <w:fldChar w:fldCharType="end"/>
        </w:r>
      </w:hyperlink>
    </w:p>
    <w:p w14:paraId="55EB5C2B" w14:textId="5C3A6762"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3" w:history="1">
        <w:r w:rsidR="0022028D" w:rsidRPr="003C2B67">
          <w:rPr>
            <w:rStyle w:val="Hyperlink"/>
            <w:noProof/>
            <w:lang w:val="en-GB"/>
          </w:rPr>
          <w:t>5.4</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Representative antenna heights</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_Toc146277893 \h </w:instrText>
        </w:r>
        <w:r w:rsidR="0022028D" w:rsidRPr="003C2B67">
          <w:rPr>
            <w:noProof/>
            <w:webHidden/>
            <w:lang w:val="en-GB"/>
          </w:rPr>
        </w:r>
        <w:r w:rsidR="0022028D" w:rsidRPr="003C2B67">
          <w:rPr>
            <w:noProof/>
            <w:webHidden/>
            <w:lang w:val="en-GB"/>
          </w:rPr>
          <w:fldChar w:fldCharType="separate"/>
        </w:r>
        <w:r>
          <w:rPr>
            <w:noProof/>
            <w:webHidden/>
            <w:lang w:val="en-GB"/>
          </w:rPr>
          <w:t>9</w:t>
        </w:r>
        <w:r w:rsidR="0022028D" w:rsidRPr="003C2B67">
          <w:rPr>
            <w:noProof/>
            <w:webHidden/>
            <w:lang w:val="en-GB"/>
          </w:rPr>
          <w:fldChar w:fldCharType="end"/>
        </w:r>
      </w:hyperlink>
    </w:p>
    <w:p w14:paraId="413BD090" w14:textId="6D1DB06B"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4" w:history="1">
        <w:r w:rsidR="0022028D" w:rsidRPr="003C2B67">
          <w:rPr>
            <w:rStyle w:val="Hyperlink"/>
            <w:noProof/>
            <w:lang w:val="en-GB"/>
          </w:rPr>
          <w:t>5.5</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Amateur station 1 240-1 300 MHz band usage patterns</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_Toc146277894 \h </w:instrText>
        </w:r>
        <w:r w:rsidR="0022028D" w:rsidRPr="003C2B67">
          <w:rPr>
            <w:noProof/>
            <w:webHidden/>
            <w:lang w:val="en-GB"/>
          </w:rPr>
        </w:r>
        <w:r w:rsidR="0022028D" w:rsidRPr="003C2B67">
          <w:rPr>
            <w:noProof/>
            <w:webHidden/>
            <w:lang w:val="en-GB"/>
          </w:rPr>
          <w:fldChar w:fldCharType="separate"/>
        </w:r>
        <w:r>
          <w:rPr>
            <w:noProof/>
            <w:webHidden/>
            <w:lang w:val="en-GB"/>
          </w:rPr>
          <w:t>9</w:t>
        </w:r>
        <w:r w:rsidR="0022028D" w:rsidRPr="003C2B67">
          <w:rPr>
            <w:noProof/>
            <w:webHidden/>
            <w:lang w:val="en-GB"/>
          </w:rPr>
          <w:fldChar w:fldCharType="end"/>
        </w:r>
      </w:hyperlink>
    </w:p>
    <w:p w14:paraId="2EBCF037" w14:textId="262679CB"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5" w:history="1">
        <w:r w:rsidR="0022028D" w:rsidRPr="003C2B67">
          <w:rPr>
            <w:rStyle w:val="Hyperlink"/>
            <w:noProof/>
            <w:lang w:val="en-GB"/>
          </w:rPr>
          <w:t>5.6</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Activity factors of amateur transmitting stations in the 1 240</w:t>
        </w:r>
        <w:r w:rsidR="0022028D" w:rsidRPr="003C2B67">
          <w:rPr>
            <w:rStyle w:val="Hyperlink"/>
            <w:noProof/>
            <w:lang w:val="en-GB"/>
          </w:rPr>
          <w:noBreakHyphen/>
          <w:t>1 300 MHz band</w:t>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_Toc146277895 \h </w:instrText>
        </w:r>
        <w:r w:rsidR="0022028D" w:rsidRPr="003C2B67">
          <w:rPr>
            <w:noProof/>
            <w:webHidden/>
            <w:lang w:val="en-GB"/>
          </w:rPr>
        </w:r>
        <w:r w:rsidR="0022028D" w:rsidRPr="003C2B67">
          <w:rPr>
            <w:noProof/>
            <w:webHidden/>
            <w:lang w:val="en-GB"/>
          </w:rPr>
          <w:fldChar w:fldCharType="separate"/>
        </w:r>
        <w:r>
          <w:rPr>
            <w:noProof/>
            <w:webHidden/>
            <w:lang w:val="en-GB"/>
          </w:rPr>
          <w:t>11</w:t>
        </w:r>
        <w:r w:rsidR="0022028D" w:rsidRPr="003C2B67">
          <w:rPr>
            <w:noProof/>
            <w:webHidden/>
            <w:lang w:val="en-GB"/>
          </w:rPr>
          <w:fldChar w:fldCharType="end"/>
        </w:r>
      </w:hyperlink>
    </w:p>
    <w:p w14:paraId="215847E6" w14:textId="063F19B7"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6" w:history="1">
        <w:r w:rsidR="0022028D" w:rsidRPr="003C2B67">
          <w:rPr>
            <w:rStyle w:val="Hyperlink"/>
            <w:noProof/>
            <w:lang w:val="en-GB"/>
          </w:rPr>
          <w:t>5.7</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User density of amateur transmitting stations in the 1 240-1 300 MHz band</w:t>
        </w:r>
        <w:r w:rsidR="0022028D" w:rsidRPr="003C2B67">
          <w:rPr>
            <w:noProof/>
            <w:webHidden/>
            <w:lang w:val="en-GB"/>
          </w:rPr>
          <w:tab/>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_Toc146277896 \h </w:instrText>
        </w:r>
        <w:r w:rsidR="0022028D" w:rsidRPr="003C2B67">
          <w:rPr>
            <w:noProof/>
            <w:webHidden/>
            <w:lang w:val="en-GB"/>
          </w:rPr>
        </w:r>
        <w:r w:rsidR="0022028D" w:rsidRPr="003C2B67">
          <w:rPr>
            <w:noProof/>
            <w:webHidden/>
            <w:lang w:val="en-GB"/>
          </w:rPr>
          <w:fldChar w:fldCharType="separate"/>
        </w:r>
        <w:r>
          <w:rPr>
            <w:noProof/>
            <w:webHidden/>
            <w:lang w:val="en-GB"/>
          </w:rPr>
          <w:t>11</w:t>
        </w:r>
        <w:r w:rsidR="0022028D" w:rsidRPr="003C2B67">
          <w:rPr>
            <w:noProof/>
            <w:webHidden/>
            <w:lang w:val="en-GB"/>
          </w:rPr>
          <w:fldChar w:fldCharType="end"/>
        </w:r>
      </w:hyperlink>
    </w:p>
    <w:p w14:paraId="52CAF4D5" w14:textId="109DD558"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7" w:history="1">
        <w:r w:rsidR="0022028D" w:rsidRPr="003C2B67">
          <w:rPr>
            <w:rStyle w:val="Hyperlink"/>
            <w:noProof/>
            <w:lang w:val="en-GB"/>
          </w:rPr>
          <w:t>5.8</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 xml:space="preserve">Table of transmitter characteristics and parameters </w:t>
        </w:r>
        <w:r w:rsidR="0022028D" w:rsidRPr="003C2B67">
          <w:rPr>
            <w:rStyle w:val="Hyperlink"/>
            <w:noProof/>
            <w:lang w:val="en-GB"/>
          </w:rPr>
          <w:tab/>
        </w:r>
        <w:r w:rsidR="0022028D" w:rsidRPr="003C2B67">
          <w:rPr>
            <w:rStyle w:val="Hyperlink"/>
            <w:noProof/>
            <w:lang w:val="en-GB"/>
          </w:rPr>
          <w:br/>
          <w:t>(extracted from Recommendation ITU-R M.1732)</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_Toc146277897 \h </w:instrText>
        </w:r>
        <w:r w:rsidR="0022028D" w:rsidRPr="003C2B67">
          <w:rPr>
            <w:noProof/>
            <w:webHidden/>
            <w:lang w:val="en-GB"/>
          </w:rPr>
        </w:r>
        <w:r w:rsidR="0022028D" w:rsidRPr="003C2B67">
          <w:rPr>
            <w:noProof/>
            <w:webHidden/>
            <w:lang w:val="en-GB"/>
          </w:rPr>
          <w:fldChar w:fldCharType="separate"/>
        </w:r>
        <w:r>
          <w:rPr>
            <w:noProof/>
            <w:webHidden/>
            <w:lang w:val="en-GB"/>
          </w:rPr>
          <w:t>12</w:t>
        </w:r>
        <w:r w:rsidR="0022028D" w:rsidRPr="003C2B67">
          <w:rPr>
            <w:noProof/>
            <w:webHidden/>
            <w:lang w:val="en-GB"/>
          </w:rPr>
          <w:fldChar w:fldCharType="end"/>
        </w:r>
      </w:hyperlink>
    </w:p>
    <w:p w14:paraId="4F1F64A6" w14:textId="4975AECD"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8" w:history="1">
        <w:r w:rsidR="0022028D" w:rsidRPr="003C2B67">
          <w:rPr>
            <w:rStyle w:val="Hyperlink"/>
            <w:noProof/>
            <w:lang w:val="en-GB"/>
          </w:rPr>
          <w:t>5.9</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Band plan(s)</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_Toc146277898 \h </w:instrText>
        </w:r>
        <w:r w:rsidR="0022028D" w:rsidRPr="003C2B67">
          <w:rPr>
            <w:noProof/>
            <w:webHidden/>
            <w:lang w:val="en-GB"/>
          </w:rPr>
        </w:r>
        <w:r w:rsidR="0022028D" w:rsidRPr="003C2B67">
          <w:rPr>
            <w:noProof/>
            <w:webHidden/>
            <w:lang w:val="en-GB"/>
          </w:rPr>
          <w:fldChar w:fldCharType="separate"/>
        </w:r>
        <w:r>
          <w:rPr>
            <w:noProof/>
            <w:webHidden/>
            <w:lang w:val="en-GB"/>
          </w:rPr>
          <w:t>13</w:t>
        </w:r>
        <w:r w:rsidR="0022028D" w:rsidRPr="003C2B67">
          <w:rPr>
            <w:noProof/>
            <w:webHidden/>
            <w:lang w:val="en-GB"/>
          </w:rPr>
          <w:fldChar w:fldCharType="end"/>
        </w:r>
      </w:hyperlink>
    </w:p>
    <w:p w14:paraId="026502E9" w14:textId="51356517" w:rsidR="0022028D" w:rsidRPr="003C2B67" w:rsidRDefault="004528AD" w:rsidP="0022028D">
      <w:pPr>
        <w:pStyle w:val="TOC2"/>
        <w:ind w:left="1134"/>
        <w:rPr>
          <w:rFonts w:asciiTheme="minorHAnsi" w:eastAsiaTheme="minorEastAsia" w:hAnsiTheme="minorHAnsi" w:cstheme="minorBidi"/>
          <w:noProof/>
          <w:sz w:val="22"/>
          <w:szCs w:val="22"/>
          <w:lang w:val="en-GB" w:eastAsia="zh-CN"/>
        </w:rPr>
      </w:pPr>
      <w:hyperlink w:anchor="_Toc146277899" w:history="1">
        <w:r w:rsidR="0022028D" w:rsidRPr="003C2B67">
          <w:rPr>
            <w:rStyle w:val="Hyperlink"/>
            <w:noProof/>
            <w:lang w:val="en-GB"/>
          </w:rPr>
          <w:t>5.10</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IARU-R1 band plan for the frequency band 1 240-1 300 MHz</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_Toc146277899 \h </w:instrText>
        </w:r>
        <w:r w:rsidR="0022028D" w:rsidRPr="003C2B67">
          <w:rPr>
            <w:noProof/>
            <w:webHidden/>
            <w:lang w:val="en-GB"/>
          </w:rPr>
        </w:r>
        <w:r w:rsidR="0022028D" w:rsidRPr="003C2B67">
          <w:rPr>
            <w:noProof/>
            <w:webHidden/>
            <w:lang w:val="en-GB"/>
          </w:rPr>
          <w:fldChar w:fldCharType="separate"/>
        </w:r>
        <w:r>
          <w:rPr>
            <w:noProof/>
            <w:webHidden/>
            <w:lang w:val="en-GB"/>
          </w:rPr>
          <w:t>14</w:t>
        </w:r>
        <w:r w:rsidR="0022028D" w:rsidRPr="003C2B67">
          <w:rPr>
            <w:noProof/>
            <w:webHidden/>
            <w:lang w:val="en-GB"/>
          </w:rPr>
          <w:fldChar w:fldCharType="end"/>
        </w:r>
      </w:hyperlink>
    </w:p>
    <w:p w14:paraId="782D4682" w14:textId="6443DEA7" w:rsidR="0022028D" w:rsidRPr="003C2B67" w:rsidRDefault="004528AD" w:rsidP="0022028D">
      <w:pPr>
        <w:pStyle w:val="TOC1"/>
        <w:spacing w:before="200"/>
        <w:rPr>
          <w:rFonts w:asciiTheme="minorHAnsi" w:eastAsiaTheme="minorEastAsia" w:hAnsiTheme="minorHAnsi" w:cstheme="minorBidi"/>
          <w:noProof/>
          <w:sz w:val="22"/>
          <w:szCs w:val="22"/>
          <w:lang w:val="en-GB" w:eastAsia="zh-CN"/>
        </w:rPr>
      </w:pPr>
      <w:hyperlink w:anchor="_Toc146277900" w:history="1">
        <w:r w:rsidR="0022028D" w:rsidRPr="003C2B67">
          <w:rPr>
            <w:rStyle w:val="Hyperlink"/>
            <w:noProof/>
            <w:lang w:val="en-GB"/>
          </w:rPr>
          <w:t>6</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Relationship between RNSS system frequencies in 1 240-1 300 MHz and</w:t>
        </w:r>
        <w:r w:rsidR="0022028D" w:rsidRPr="003C2B67">
          <w:rPr>
            <w:rStyle w:val="Hyperlink"/>
            <w:noProof/>
            <w:lang w:val="en-GB"/>
          </w:rPr>
          <w:br/>
          <w:t>amateur service application band plans</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_Toc146277900 \h </w:instrText>
        </w:r>
        <w:r w:rsidR="0022028D" w:rsidRPr="003C2B67">
          <w:rPr>
            <w:noProof/>
            <w:webHidden/>
            <w:lang w:val="en-GB"/>
          </w:rPr>
        </w:r>
        <w:r w:rsidR="0022028D" w:rsidRPr="003C2B67">
          <w:rPr>
            <w:noProof/>
            <w:webHidden/>
            <w:lang w:val="en-GB"/>
          </w:rPr>
          <w:fldChar w:fldCharType="separate"/>
        </w:r>
        <w:r>
          <w:rPr>
            <w:noProof/>
            <w:webHidden/>
            <w:lang w:val="en-GB"/>
          </w:rPr>
          <w:t>16</w:t>
        </w:r>
        <w:r w:rsidR="0022028D" w:rsidRPr="003C2B67">
          <w:rPr>
            <w:noProof/>
            <w:webHidden/>
            <w:lang w:val="en-GB"/>
          </w:rPr>
          <w:fldChar w:fldCharType="end"/>
        </w:r>
      </w:hyperlink>
    </w:p>
    <w:p w14:paraId="7BF6ED53" w14:textId="120C2475" w:rsidR="0022028D" w:rsidRPr="003C2B67" w:rsidRDefault="004528AD" w:rsidP="0022028D">
      <w:pPr>
        <w:pStyle w:val="TOC1"/>
        <w:spacing w:before="200"/>
        <w:rPr>
          <w:rFonts w:asciiTheme="minorHAnsi" w:eastAsiaTheme="minorEastAsia" w:hAnsiTheme="minorHAnsi" w:cstheme="minorBidi"/>
          <w:noProof/>
          <w:sz w:val="22"/>
          <w:szCs w:val="22"/>
          <w:lang w:val="en-GB" w:eastAsia="zh-CN"/>
        </w:rPr>
      </w:pPr>
      <w:hyperlink w:anchor="_Toc146277901" w:history="1">
        <w:r w:rsidR="0022028D" w:rsidRPr="003C2B67">
          <w:rPr>
            <w:rStyle w:val="Hyperlink"/>
            <w:noProof/>
            <w:lang w:val="en-GB"/>
          </w:rPr>
          <w:t>7</w:t>
        </w:r>
        <w:r w:rsidR="0022028D" w:rsidRPr="003C2B67">
          <w:rPr>
            <w:rFonts w:asciiTheme="minorHAnsi" w:eastAsiaTheme="minorEastAsia" w:hAnsiTheme="minorHAnsi" w:cstheme="minorBidi"/>
            <w:noProof/>
            <w:sz w:val="22"/>
            <w:szCs w:val="22"/>
            <w:lang w:val="en-GB" w:eastAsia="zh-CN"/>
          </w:rPr>
          <w:tab/>
        </w:r>
        <w:r w:rsidR="0022028D" w:rsidRPr="003C2B67">
          <w:rPr>
            <w:rStyle w:val="Hyperlink"/>
            <w:noProof/>
            <w:lang w:val="en-GB"/>
          </w:rPr>
          <w:t>Summary</w:t>
        </w:r>
        <w:r w:rsidR="0022028D" w:rsidRPr="003C2B67">
          <w:rPr>
            <w:noProof/>
            <w:webHidden/>
            <w:lang w:val="en-GB"/>
          </w:rPr>
          <w:tab/>
        </w:r>
        <w:r w:rsidR="0022028D" w:rsidRPr="003C2B67">
          <w:rPr>
            <w:noProof/>
            <w:webHidden/>
            <w:lang w:val="en-GB"/>
          </w:rPr>
          <w:tab/>
        </w:r>
        <w:r w:rsidR="0022028D" w:rsidRPr="003C2B67">
          <w:rPr>
            <w:noProof/>
            <w:webHidden/>
            <w:lang w:val="en-GB"/>
          </w:rPr>
          <w:fldChar w:fldCharType="begin"/>
        </w:r>
        <w:r w:rsidR="0022028D" w:rsidRPr="003C2B67">
          <w:rPr>
            <w:noProof/>
            <w:webHidden/>
            <w:lang w:val="en-GB"/>
          </w:rPr>
          <w:instrText xml:space="preserve"> PAGEREF _Toc146277901 \h </w:instrText>
        </w:r>
        <w:r w:rsidR="0022028D" w:rsidRPr="003C2B67">
          <w:rPr>
            <w:noProof/>
            <w:webHidden/>
            <w:lang w:val="en-GB"/>
          </w:rPr>
        </w:r>
        <w:r w:rsidR="0022028D" w:rsidRPr="003C2B67">
          <w:rPr>
            <w:noProof/>
            <w:webHidden/>
            <w:lang w:val="en-GB"/>
          </w:rPr>
          <w:fldChar w:fldCharType="separate"/>
        </w:r>
        <w:r>
          <w:rPr>
            <w:noProof/>
            <w:webHidden/>
            <w:lang w:val="en-GB"/>
          </w:rPr>
          <w:t>17</w:t>
        </w:r>
        <w:r w:rsidR="0022028D" w:rsidRPr="003C2B67">
          <w:rPr>
            <w:noProof/>
            <w:webHidden/>
            <w:lang w:val="en-GB"/>
          </w:rPr>
          <w:fldChar w:fldCharType="end"/>
        </w:r>
      </w:hyperlink>
    </w:p>
    <w:p w14:paraId="4AFB82E9" w14:textId="77777777" w:rsidR="0022028D" w:rsidRPr="003C2B67" w:rsidRDefault="0022028D" w:rsidP="0022028D">
      <w:pPr>
        <w:pStyle w:val="TOC1"/>
        <w:spacing w:before="0"/>
        <w:rPr>
          <w:sz w:val="10"/>
          <w:szCs w:val="10"/>
          <w:lang w:val="en-GB" w:eastAsia="ja-JP"/>
        </w:rPr>
      </w:pPr>
      <w:r w:rsidRPr="003C2B67">
        <w:rPr>
          <w:lang w:val="en-GB"/>
        </w:rPr>
        <w:fldChar w:fldCharType="end"/>
      </w:r>
    </w:p>
    <w:p w14:paraId="0A905602" w14:textId="77777777" w:rsidR="0022028D" w:rsidRPr="003C2B67" w:rsidRDefault="0022028D" w:rsidP="0022028D">
      <w:pPr>
        <w:pStyle w:val="Heading1"/>
      </w:pPr>
      <w:bookmarkStart w:id="3" w:name="_Toc146277885"/>
      <w:r w:rsidRPr="003C2B67">
        <w:br w:type="page"/>
      </w:r>
    </w:p>
    <w:p w14:paraId="2DDA04EE" w14:textId="5AA86DFC" w:rsidR="0022028D" w:rsidRPr="003C2B67" w:rsidRDefault="0022028D" w:rsidP="0022028D">
      <w:pPr>
        <w:pStyle w:val="Heading1"/>
      </w:pPr>
      <w:r w:rsidRPr="003C2B67">
        <w:lastRenderedPageBreak/>
        <w:t>1</w:t>
      </w:r>
      <w:r w:rsidRPr="003C2B67">
        <w:tab/>
        <w:t>Introduction</w:t>
      </w:r>
      <w:bookmarkEnd w:id="3"/>
    </w:p>
    <w:p w14:paraId="1FFBE199" w14:textId="77777777" w:rsidR="0022028D" w:rsidRPr="003C2B67" w:rsidRDefault="0022028D" w:rsidP="0022028D">
      <w:pPr>
        <w:rPr>
          <w:lang w:eastAsia="ja-JP"/>
        </w:rPr>
      </w:pPr>
      <w:r w:rsidRPr="003C2B67">
        <w:rPr>
          <w:lang w:eastAsia="ja-JP"/>
        </w:rPr>
        <w:t xml:space="preserve">The frequency band </w:t>
      </w:r>
      <w:r w:rsidRPr="003C2B67">
        <w:t>1 </w:t>
      </w:r>
      <w:r w:rsidRPr="003C2B67">
        <w:rPr>
          <w:lang w:eastAsia="ja-JP"/>
        </w:rPr>
        <w:t>240</w:t>
      </w:r>
      <w:r w:rsidRPr="003C2B67">
        <w:t>-</w:t>
      </w:r>
      <w:r w:rsidRPr="003C2B67">
        <w:rPr>
          <w:lang w:eastAsia="ja-JP"/>
        </w:rPr>
        <w:t>1</w:t>
      </w:r>
      <w:r w:rsidRPr="003C2B67">
        <w:t> </w:t>
      </w:r>
      <w:r w:rsidRPr="003C2B67">
        <w:rPr>
          <w:lang w:eastAsia="ja-JP"/>
        </w:rPr>
        <w:t>300</w:t>
      </w:r>
      <w:r w:rsidRPr="003C2B67">
        <w:t> MHz</w:t>
      </w:r>
      <w:r w:rsidRPr="003C2B67">
        <w:rPr>
          <w:lang w:eastAsia="ja-JP"/>
        </w:rPr>
        <w:t xml:space="preserve"> is allocated worldwide to the amateur service on a secondary basis and is used for a range of applications. The amateur-satellite service (Earth</w:t>
      </w:r>
      <w:r w:rsidRPr="003C2B67">
        <w:rPr>
          <w:lang w:eastAsia="ja-JP"/>
        </w:rPr>
        <w:noBreakHyphen/>
        <w:t xml:space="preserve">to-space) may operate in the frequency band </w:t>
      </w:r>
      <w:r w:rsidRPr="003C2B67">
        <w:t>1 </w:t>
      </w:r>
      <w:r w:rsidRPr="003C2B67">
        <w:rPr>
          <w:lang w:eastAsia="ja-JP"/>
        </w:rPr>
        <w:t>260</w:t>
      </w:r>
      <w:r w:rsidRPr="003C2B67">
        <w:t>-</w:t>
      </w:r>
      <w:r w:rsidRPr="003C2B67">
        <w:rPr>
          <w:lang w:eastAsia="ja-JP"/>
        </w:rPr>
        <w:t>1</w:t>
      </w:r>
      <w:r w:rsidRPr="003C2B67">
        <w:t> </w:t>
      </w:r>
      <w:r w:rsidRPr="003C2B67">
        <w:rPr>
          <w:lang w:eastAsia="ja-JP"/>
        </w:rPr>
        <w:t>270</w:t>
      </w:r>
      <w:r w:rsidRPr="003C2B67">
        <w:t> MHz</w:t>
      </w:r>
      <w:r w:rsidRPr="003C2B67">
        <w:rPr>
          <w:lang w:eastAsia="ja-JP"/>
        </w:rPr>
        <w:t xml:space="preserve"> under No. </w:t>
      </w:r>
      <w:r w:rsidRPr="003C2B67">
        <w:rPr>
          <w:b/>
          <w:lang w:eastAsia="ja-JP"/>
        </w:rPr>
        <w:t>5.282</w:t>
      </w:r>
      <w:r w:rsidRPr="003C2B67">
        <w:rPr>
          <w:lang w:eastAsia="ja-JP"/>
        </w:rPr>
        <w:t xml:space="preserve"> of the Radio Regulations (RR).</w:t>
      </w:r>
    </w:p>
    <w:p w14:paraId="1D0A7AD5" w14:textId="77777777" w:rsidR="0022028D" w:rsidRPr="003C2B67" w:rsidRDefault="0022028D" w:rsidP="0022028D">
      <w:pPr>
        <w:rPr>
          <w:lang w:eastAsia="ja-JP"/>
        </w:rPr>
      </w:pPr>
      <w:r w:rsidRPr="003C2B67">
        <w:rPr>
          <w:lang w:eastAsia="ja-JP"/>
        </w:rPr>
        <w:t xml:space="preserve">The frequency band </w:t>
      </w:r>
      <w:r w:rsidRPr="003C2B67">
        <w:t>1 </w:t>
      </w:r>
      <w:r w:rsidRPr="003C2B67">
        <w:rPr>
          <w:lang w:eastAsia="ja-JP"/>
        </w:rPr>
        <w:t>240</w:t>
      </w:r>
      <w:r w:rsidRPr="003C2B67">
        <w:t>-</w:t>
      </w:r>
      <w:r w:rsidRPr="003C2B67">
        <w:rPr>
          <w:lang w:eastAsia="ja-JP"/>
        </w:rPr>
        <w:t>1</w:t>
      </w:r>
      <w:r w:rsidRPr="003C2B67">
        <w:t> </w:t>
      </w:r>
      <w:r w:rsidRPr="003C2B67">
        <w:rPr>
          <w:lang w:eastAsia="ja-JP"/>
        </w:rPr>
        <w:t>300</w:t>
      </w:r>
      <w:r w:rsidRPr="003C2B67">
        <w:t> MHz</w:t>
      </w:r>
      <w:r w:rsidRPr="003C2B67">
        <w:rPr>
          <w:lang w:eastAsia="ja-JP"/>
        </w:rPr>
        <w:t xml:space="preserve"> is also allocated worldwide to the radionavigation-satellite service (RNSS) in the space-to-Earth and space-to-space direction on a primary basis. Many RNSS systems are operational, and various types of RNSS receivers are being used. Report </w:t>
      </w:r>
      <w:hyperlink r:id="rId14" w:history="1">
        <w:r w:rsidRPr="003C2B67">
          <w:rPr>
            <w:rStyle w:val="Hyperlink"/>
            <w:color w:val="auto"/>
            <w:u w:val="none"/>
            <w:lang w:eastAsia="ja-JP"/>
          </w:rPr>
          <w:t>ITU-R M.2458</w:t>
        </w:r>
      </w:hyperlink>
      <w:r w:rsidRPr="003C2B67">
        <w:rPr>
          <w:lang w:eastAsia="ja-JP"/>
        </w:rPr>
        <w:t xml:space="preserve"> summarizes the RNSS applications in this frequency band, and Recommendation </w:t>
      </w:r>
      <w:hyperlink r:id="rId15" w:history="1">
        <w:r w:rsidRPr="003C2B67">
          <w:rPr>
            <w:rStyle w:val="Hyperlink"/>
            <w:color w:val="auto"/>
            <w:u w:val="none"/>
            <w:lang w:eastAsia="ja-JP"/>
          </w:rPr>
          <w:t>ITU-R M.1902</w:t>
        </w:r>
      </w:hyperlink>
      <w:r w:rsidRPr="003C2B67">
        <w:rPr>
          <w:lang w:eastAsia="ja-JP"/>
        </w:rPr>
        <w:t xml:space="preserve"> gives the technical characteristics and protection criteria of the RNSS (space-to-Earth) receivers in the frequency band 1 240-1 300 </w:t>
      </w:r>
      <w:proofErr w:type="spellStart"/>
      <w:r w:rsidRPr="003C2B67">
        <w:rPr>
          <w:lang w:eastAsia="ja-JP"/>
        </w:rPr>
        <w:t>MHz.</w:t>
      </w:r>
      <w:proofErr w:type="spellEnd"/>
    </w:p>
    <w:p w14:paraId="36170576" w14:textId="77777777" w:rsidR="0022028D" w:rsidRPr="003C2B67" w:rsidRDefault="0022028D" w:rsidP="0022028D">
      <w:pPr>
        <w:rPr>
          <w:lang w:eastAsia="ja-JP"/>
        </w:rPr>
      </w:pPr>
      <w:r w:rsidRPr="003C2B67">
        <w:rPr>
          <w:lang w:eastAsia="ja-JP"/>
        </w:rPr>
        <w:t>The number of RNSS receivers in the frequency band will increase significantly with the ubiquitous deployment of receivers used in many applications.</w:t>
      </w:r>
    </w:p>
    <w:p w14:paraId="2C394FAB" w14:textId="77777777" w:rsidR="0022028D" w:rsidRPr="003C2B67" w:rsidRDefault="0022028D" w:rsidP="0022028D">
      <w:pPr>
        <w:rPr>
          <w:lang w:eastAsia="ja-JP"/>
        </w:rPr>
      </w:pPr>
      <w:r w:rsidRPr="003C2B67">
        <w:t xml:space="preserve">Resolution </w:t>
      </w:r>
      <w:r w:rsidRPr="003C2B67">
        <w:rPr>
          <w:b/>
          <w:bCs/>
          <w:lang w:eastAsia="ja-JP"/>
        </w:rPr>
        <w:t>774</w:t>
      </w:r>
      <w:r w:rsidRPr="003C2B67">
        <w:rPr>
          <w:b/>
          <w:bCs/>
        </w:rPr>
        <w:t xml:space="preserve"> (WRC-1</w:t>
      </w:r>
      <w:r w:rsidRPr="003C2B67">
        <w:rPr>
          <w:b/>
          <w:bCs/>
          <w:lang w:eastAsia="ja-JP"/>
        </w:rPr>
        <w:t>9</w:t>
      </w:r>
      <w:r w:rsidRPr="003C2B67">
        <w:rPr>
          <w:b/>
          <w:bCs/>
        </w:rPr>
        <w:t>)</w:t>
      </w:r>
      <w:r w:rsidRPr="003C2B67">
        <w:t xml:space="preserve"> invited ITU-R to study possible technical and operational measures to ensure </w:t>
      </w:r>
      <w:r w:rsidRPr="003C2B67">
        <w:rPr>
          <w:lang w:eastAsia="ja-JP"/>
        </w:rPr>
        <w:t xml:space="preserve">the protection of RNSS (space-to-Earth) receivers from the amateur and amateur-satellite services in the </w:t>
      </w:r>
      <w:r w:rsidRPr="003C2B67">
        <w:t>frequency band 1 </w:t>
      </w:r>
      <w:r w:rsidRPr="003C2B67">
        <w:rPr>
          <w:lang w:eastAsia="ja-JP"/>
        </w:rPr>
        <w:t>240</w:t>
      </w:r>
      <w:r w:rsidRPr="003C2B67">
        <w:t>-</w:t>
      </w:r>
      <w:r w:rsidRPr="003C2B67">
        <w:rPr>
          <w:lang w:eastAsia="ja-JP"/>
        </w:rPr>
        <w:t>1</w:t>
      </w:r>
      <w:r w:rsidRPr="003C2B67">
        <w:t> </w:t>
      </w:r>
      <w:r w:rsidRPr="003C2B67">
        <w:rPr>
          <w:lang w:eastAsia="ja-JP"/>
        </w:rPr>
        <w:t>30</w:t>
      </w:r>
      <w:r w:rsidRPr="003C2B67">
        <w:t>0 MHz</w:t>
      </w:r>
      <w:r w:rsidRPr="003C2B67">
        <w:rPr>
          <w:lang w:eastAsia="ja-JP"/>
        </w:rPr>
        <w:t xml:space="preserve">, without considering the removal of these amateur and amateur-satellite service allocations. </w:t>
      </w:r>
    </w:p>
    <w:p w14:paraId="2DB217C2" w14:textId="77777777" w:rsidR="0022028D" w:rsidRPr="003C2B67" w:rsidRDefault="0022028D" w:rsidP="0022028D">
      <w:pPr>
        <w:rPr>
          <w:lang w:eastAsia="ja-JP"/>
        </w:rPr>
      </w:pPr>
      <w:r w:rsidRPr="003C2B67">
        <w:rPr>
          <w:lang w:eastAsia="ja-JP"/>
        </w:rPr>
        <w:t xml:space="preserve">This Report was developed in response to </w:t>
      </w:r>
      <w:r w:rsidRPr="003C2B67">
        <w:rPr>
          <w:i/>
          <w:iCs/>
        </w:rPr>
        <w:t xml:space="preserve">resolves </w:t>
      </w:r>
      <w:r w:rsidRPr="003C2B67">
        <w:t xml:space="preserve">1 of Resolution </w:t>
      </w:r>
      <w:r w:rsidRPr="003C2B67">
        <w:rPr>
          <w:b/>
          <w:bCs/>
        </w:rPr>
        <w:t>774 (WRC-19</w:t>
      </w:r>
      <w:r w:rsidRPr="003C2B67">
        <w:t xml:space="preserve">) to perform a detailed review of the different systems and applications used in the amateur service and amateur-satellite service allocations in the frequency band 1 240-1 300 </w:t>
      </w:r>
      <w:proofErr w:type="spellStart"/>
      <w:r w:rsidRPr="003C2B67">
        <w:t>MHz.</w:t>
      </w:r>
      <w:proofErr w:type="spellEnd"/>
    </w:p>
    <w:p w14:paraId="24462FA4" w14:textId="77777777" w:rsidR="0022028D" w:rsidRPr="003C2B67" w:rsidRDefault="0022028D" w:rsidP="0022028D">
      <w:pPr>
        <w:pStyle w:val="Heading1"/>
        <w:spacing w:after="120"/>
        <w:ind w:left="0" w:firstLine="0"/>
      </w:pPr>
      <w:bookmarkStart w:id="4" w:name="_Toc51847657"/>
      <w:bookmarkStart w:id="5" w:name="_Toc54350019"/>
      <w:bookmarkStart w:id="6" w:name="_Toc63689070"/>
      <w:bookmarkStart w:id="7" w:name="_Toc83815634"/>
      <w:bookmarkStart w:id="8" w:name="_Toc65134892"/>
      <w:bookmarkStart w:id="9" w:name="_Toc85661555"/>
      <w:bookmarkStart w:id="10" w:name="_Toc89080112"/>
      <w:bookmarkStart w:id="11" w:name="_Toc146277886"/>
      <w:bookmarkStart w:id="12" w:name="_Toc42678841"/>
      <w:r w:rsidRPr="003C2B67">
        <w:t>2</w:t>
      </w:r>
      <w:r w:rsidRPr="003C2B67">
        <w:tab/>
        <w:t>Abbreviations and definitions</w:t>
      </w:r>
      <w:bookmarkEnd w:id="4"/>
      <w:bookmarkEnd w:id="5"/>
      <w:bookmarkEnd w:id="6"/>
      <w:bookmarkEnd w:id="7"/>
      <w:bookmarkEnd w:id="8"/>
      <w:bookmarkEnd w:id="9"/>
      <w:bookmarkEnd w:id="10"/>
      <w:bookmarkEnd w:id="11"/>
      <w:r w:rsidRPr="003C2B67">
        <w:t xml:space="preserve"> </w:t>
      </w:r>
    </w:p>
    <w:p w14:paraId="78282E18" w14:textId="77777777" w:rsidR="00B005C3" w:rsidRPr="003C2B67" w:rsidRDefault="00B005C3" w:rsidP="00B005C3">
      <w:pPr>
        <w:tabs>
          <w:tab w:val="clear" w:pos="794"/>
        </w:tabs>
        <w:ind w:left="1191" w:hanging="1191"/>
      </w:pPr>
      <w:r w:rsidRPr="003C2B67">
        <w:t>ATV</w:t>
      </w:r>
      <w:r w:rsidRPr="003C2B67">
        <w:tab/>
        <w:t>Amateur television, digital or analogue</w:t>
      </w:r>
    </w:p>
    <w:p w14:paraId="387D4A47" w14:textId="77777777" w:rsidR="00B005C3" w:rsidRPr="003C2B67" w:rsidRDefault="00B005C3" w:rsidP="00B005C3">
      <w:pPr>
        <w:tabs>
          <w:tab w:val="clear" w:pos="794"/>
        </w:tabs>
        <w:ind w:left="1191" w:hanging="1191"/>
      </w:pPr>
      <w:r w:rsidRPr="003C2B67">
        <w:t>AFSK</w:t>
      </w:r>
      <w:r w:rsidRPr="003C2B67">
        <w:tab/>
        <w:t>Audio frequency shift keying</w:t>
      </w:r>
    </w:p>
    <w:p w14:paraId="39974D80" w14:textId="77777777" w:rsidR="00B005C3" w:rsidRPr="003C2B67" w:rsidRDefault="00B005C3" w:rsidP="00B005C3">
      <w:pPr>
        <w:tabs>
          <w:tab w:val="clear" w:pos="794"/>
        </w:tabs>
        <w:ind w:left="1191" w:hanging="1191"/>
      </w:pPr>
      <w:r w:rsidRPr="003C2B67">
        <w:t>D-STAR</w:t>
      </w:r>
      <w:r w:rsidRPr="003C2B67">
        <w:tab/>
        <w:t xml:space="preserve">Digital Smart Technology for Amateur Radio (Proprietary standard for digital voice and data communication </w:t>
      </w:r>
    </w:p>
    <w:p w14:paraId="7C84FAD1" w14:textId="77777777" w:rsidR="00B005C3" w:rsidRPr="003C2B67" w:rsidRDefault="00B005C3" w:rsidP="00B005C3">
      <w:pPr>
        <w:tabs>
          <w:tab w:val="clear" w:pos="794"/>
        </w:tabs>
        <w:ind w:left="1191" w:hanging="1191"/>
      </w:pPr>
      <w:proofErr w:type="spellStart"/>
      <w:r w:rsidRPr="003C2B67">
        <w:t>e.i.r.p</w:t>
      </w:r>
      <w:proofErr w:type="spellEnd"/>
      <w:r w:rsidRPr="003C2B67">
        <w:t>.</w:t>
      </w:r>
      <w:r w:rsidRPr="003C2B67">
        <w:tab/>
        <w:t>Effective isotropic radiated power</w:t>
      </w:r>
    </w:p>
    <w:p w14:paraId="14972388" w14:textId="77777777" w:rsidR="00B005C3" w:rsidRPr="003C2B67" w:rsidRDefault="00B005C3" w:rsidP="00B005C3">
      <w:pPr>
        <w:tabs>
          <w:tab w:val="clear" w:pos="794"/>
        </w:tabs>
        <w:ind w:left="1191" w:hanging="1191"/>
      </w:pPr>
      <w:r w:rsidRPr="003C2B67">
        <w:t>FM-TV</w:t>
      </w:r>
      <w:r w:rsidRPr="003C2B67">
        <w:tab/>
        <w:t>Analogue (FM) Amateur TV</w:t>
      </w:r>
    </w:p>
    <w:p w14:paraId="053AD8C6" w14:textId="77777777" w:rsidR="00B005C3" w:rsidRPr="003C2B67" w:rsidRDefault="00B005C3" w:rsidP="00B005C3">
      <w:pPr>
        <w:tabs>
          <w:tab w:val="clear" w:pos="794"/>
        </w:tabs>
        <w:ind w:left="1191" w:hanging="1191"/>
      </w:pPr>
      <w:r w:rsidRPr="003C2B67">
        <w:t>FSK</w:t>
      </w:r>
      <w:r w:rsidRPr="003C2B67">
        <w:tab/>
        <w:t>Frequency shift keying</w:t>
      </w:r>
    </w:p>
    <w:p w14:paraId="3D9AD888" w14:textId="77777777" w:rsidR="00B005C3" w:rsidRPr="003C2B67" w:rsidRDefault="00B005C3" w:rsidP="00B005C3">
      <w:pPr>
        <w:tabs>
          <w:tab w:val="clear" w:pos="794"/>
        </w:tabs>
        <w:ind w:left="1191" w:hanging="1191"/>
        <w:rPr>
          <w:rStyle w:val="Hyperlink"/>
          <w:color w:val="auto"/>
          <w:szCs w:val="24"/>
        </w:rPr>
      </w:pPr>
      <w:r w:rsidRPr="003C2B67">
        <w:t>IARU</w:t>
      </w:r>
      <w:r w:rsidRPr="003C2B67">
        <w:tab/>
      </w:r>
      <w:hyperlink r:id="rId16" w:history="1">
        <w:r w:rsidRPr="003C2B67">
          <w:t>International Amateur Radio Union</w:t>
        </w:r>
      </w:hyperlink>
      <w:r w:rsidRPr="003C2B67">
        <w:rPr>
          <w:rStyle w:val="Hyperlink"/>
          <w:color w:val="auto"/>
          <w:szCs w:val="24"/>
        </w:rPr>
        <w:t xml:space="preserve"> </w:t>
      </w:r>
    </w:p>
    <w:p w14:paraId="7871A083" w14:textId="77777777" w:rsidR="00B005C3" w:rsidRPr="003C2B67" w:rsidRDefault="00B005C3" w:rsidP="00B005C3">
      <w:pPr>
        <w:tabs>
          <w:tab w:val="clear" w:pos="794"/>
        </w:tabs>
        <w:ind w:left="1191" w:hanging="1191"/>
      </w:pPr>
      <w:r w:rsidRPr="003C2B67">
        <w:t>ITU-R</w:t>
      </w:r>
      <w:r w:rsidRPr="003C2B67">
        <w:tab/>
        <w:t>International Telecommunication Union, Radiocommunications Sector</w:t>
      </w:r>
    </w:p>
    <w:p w14:paraId="3A27A9E4" w14:textId="77777777" w:rsidR="00B005C3" w:rsidRPr="003C2B67" w:rsidRDefault="00B005C3" w:rsidP="00B005C3">
      <w:pPr>
        <w:tabs>
          <w:tab w:val="clear" w:pos="794"/>
        </w:tabs>
        <w:ind w:left="1191" w:hanging="1191"/>
      </w:pPr>
      <w:r w:rsidRPr="003C2B67">
        <w:t>MGM</w:t>
      </w:r>
      <w:r w:rsidRPr="003C2B67">
        <w:tab/>
        <w:t>Machine generated modes</w:t>
      </w:r>
    </w:p>
    <w:p w14:paraId="1EAD63AD" w14:textId="6DDA0D49" w:rsidR="00B005C3" w:rsidRPr="003C2B67" w:rsidRDefault="00B005C3" w:rsidP="00B005C3">
      <w:pPr>
        <w:tabs>
          <w:tab w:val="clear" w:pos="794"/>
        </w:tabs>
        <w:ind w:left="1191" w:hanging="1191"/>
      </w:pPr>
      <w:r w:rsidRPr="003C2B67">
        <w:t>PSK31</w:t>
      </w:r>
      <w:r w:rsidRPr="003C2B67">
        <w:tab/>
        <w:t>Phase Shift Keying Mode (31 Hz)</w:t>
      </w:r>
    </w:p>
    <w:p w14:paraId="7CD5A123" w14:textId="77777777" w:rsidR="00B005C3" w:rsidRPr="003C2B67" w:rsidRDefault="00B005C3" w:rsidP="00B005C3">
      <w:pPr>
        <w:tabs>
          <w:tab w:val="clear" w:pos="794"/>
        </w:tabs>
        <w:ind w:left="1191" w:hanging="1191"/>
      </w:pPr>
      <w:r w:rsidRPr="003C2B67">
        <w:t>RNSS</w:t>
      </w:r>
      <w:r w:rsidRPr="003C2B67">
        <w:tab/>
        <w:t>Radionavigation-satellite service</w:t>
      </w:r>
    </w:p>
    <w:p w14:paraId="2A93ABE2" w14:textId="77777777" w:rsidR="00B005C3" w:rsidRPr="003C2B67" w:rsidRDefault="00B005C3" w:rsidP="00B005C3">
      <w:pPr>
        <w:tabs>
          <w:tab w:val="clear" w:pos="794"/>
        </w:tabs>
        <w:ind w:left="1191" w:hanging="1191"/>
      </w:pPr>
      <w:r w:rsidRPr="003C2B67">
        <w:t>RTTY</w:t>
      </w:r>
      <w:r w:rsidRPr="003C2B67">
        <w:tab/>
        <w:t>Radio teletype</w:t>
      </w:r>
    </w:p>
    <w:p w14:paraId="7E35D3CA" w14:textId="77777777" w:rsidR="00B005C3" w:rsidRPr="003C2B67" w:rsidRDefault="00B005C3" w:rsidP="00B005C3">
      <w:pPr>
        <w:tabs>
          <w:tab w:val="clear" w:pos="794"/>
        </w:tabs>
        <w:ind w:left="1191" w:hanging="1191"/>
      </w:pPr>
      <w:r w:rsidRPr="003C2B67">
        <w:t>SSTV</w:t>
      </w:r>
      <w:r w:rsidRPr="003C2B67">
        <w:tab/>
        <w:t>Slow scan TV</w:t>
      </w:r>
    </w:p>
    <w:p w14:paraId="720AF2A7" w14:textId="77777777" w:rsidR="00B005C3" w:rsidRPr="003C2B67" w:rsidRDefault="00B005C3" w:rsidP="00B005C3">
      <w:pPr>
        <w:tabs>
          <w:tab w:val="clear" w:pos="794"/>
        </w:tabs>
        <w:ind w:left="1191" w:hanging="1191"/>
      </w:pPr>
      <w:r w:rsidRPr="003C2B67">
        <w:t>WSJT</w:t>
      </w:r>
      <w:r w:rsidRPr="003C2B67">
        <w:tab/>
        <w:t>Weak Signal Joe Taylor – Weak signal applications named after their inventor Dr Joe Taylor</w:t>
      </w:r>
    </w:p>
    <w:p w14:paraId="48417A83" w14:textId="77777777" w:rsidR="0022028D" w:rsidRPr="003C2B67" w:rsidRDefault="0022028D" w:rsidP="0022028D">
      <w:pPr>
        <w:pStyle w:val="Heading1"/>
      </w:pPr>
      <w:bookmarkStart w:id="13" w:name="_Toc89080113"/>
      <w:bookmarkStart w:id="14" w:name="_Toc146277887"/>
      <w:r w:rsidRPr="003C2B67">
        <w:rPr>
          <w:lang w:eastAsia="ja-JP"/>
        </w:rPr>
        <w:t>3</w:t>
      </w:r>
      <w:r w:rsidRPr="003C2B67">
        <w:tab/>
      </w:r>
      <w:bookmarkStart w:id="15" w:name="_Toc51847656"/>
      <w:r w:rsidRPr="003C2B67">
        <w:t>ITU relevant publications</w:t>
      </w:r>
      <w:bookmarkEnd w:id="13"/>
      <w:bookmarkEnd w:id="14"/>
      <w:bookmarkEnd w:id="15"/>
    </w:p>
    <w:p w14:paraId="1305D17A" w14:textId="77777777" w:rsidR="0022028D" w:rsidRPr="003C2B67" w:rsidRDefault="0022028D" w:rsidP="00B005C3">
      <w:pPr>
        <w:pStyle w:val="Reftext"/>
        <w:rPr>
          <w:sz w:val="24"/>
          <w:szCs w:val="22"/>
          <w:lang w:eastAsia="ja-JP"/>
        </w:rPr>
      </w:pPr>
      <w:r w:rsidRPr="003C2B67">
        <w:rPr>
          <w:sz w:val="24"/>
          <w:szCs w:val="22"/>
          <w:lang w:eastAsia="ja-JP"/>
        </w:rPr>
        <w:t xml:space="preserve">Recommendation </w:t>
      </w:r>
      <w:hyperlink r:id="rId17" w:history="1">
        <w:r w:rsidRPr="003C2B67">
          <w:rPr>
            <w:rStyle w:val="Hyperlink"/>
            <w:color w:val="auto"/>
            <w:sz w:val="24"/>
            <w:szCs w:val="22"/>
            <w:u w:val="none"/>
          </w:rPr>
          <w:t>ITU-R M.1732</w:t>
        </w:r>
      </w:hyperlink>
      <w:r w:rsidRPr="003C2B67">
        <w:rPr>
          <w:sz w:val="24"/>
          <w:szCs w:val="22"/>
          <w:lang w:eastAsia="ja-JP"/>
        </w:rPr>
        <w:t xml:space="preserve"> – Characteristics of systems operating in the amateur and amateur-satellite services for use in sharing studies</w:t>
      </w:r>
    </w:p>
    <w:p w14:paraId="6141FFA6" w14:textId="2786E5E7" w:rsidR="0022028D" w:rsidRPr="003C2B67" w:rsidRDefault="0022028D" w:rsidP="00B005C3">
      <w:pPr>
        <w:pStyle w:val="Reftext"/>
        <w:rPr>
          <w:sz w:val="24"/>
          <w:szCs w:val="22"/>
        </w:rPr>
      </w:pPr>
      <w:r w:rsidRPr="003C2B67">
        <w:rPr>
          <w:sz w:val="24"/>
          <w:szCs w:val="22"/>
        </w:rPr>
        <w:lastRenderedPageBreak/>
        <w:t xml:space="preserve">Recommendation </w:t>
      </w:r>
      <w:hyperlink r:id="rId18" w:history="1">
        <w:r w:rsidRPr="003C2B67">
          <w:rPr>
            <w:rStyle w:val="Hyperlink"/>
            <w:color w:val="auto"/>
            <w:spacing w:val="-2"/>
            <w:sz w:val="24"/>
            <w:szCs w:val="22"/>
            <w:u w:val="none"/>
          </w:rPr>
          <w:t>ITU-R M.2034</w:t>
        </w:r>
      </w:hyperlink>
      <w:r w:rsidRPr="003C2B67">
        <w:rPr>
          <w:sz w:val="24"/>
          <w:szCs w:val="22"/>
        </w:rPr>
        <w:t xml:space="preserve"> – Telegraphic alphabet for data communication by phase shift keying at 31</w:t>
      </w:r>
      <w:r w:rsidR="00B005C3" w:rsidRPr="003C2B67">
        <w:rPr>
          <w:sz w:val="24"/>
          <w:szCs w:val="22"/>
        </w:rPr>
        <w:t> </w:t>
      </w:r>
      <w:r w:rsidRPr="003C2B67">
        <w:rPr>
          <w:sz w:val="24"/>
          <w:szCs w:val="22"/>
        </w:rPr>
        <w:t>baud in the amateur and amateur-satellite services</w:t>
      </w:r>
    </w:p>
    <w:p w14:paraId="3BF96456" w14:textId="291CEE35" w:rsidR="0022028D" w:rsidRPr="003C2B67" w:rsidRDefault="0022028D" w:rsidP="00B005C3">
      <w:pPr>
        <w:pStyle w:val="Reftext"/>
        <w:rPr>
          <w:sz w:val="24"/>
          <w:szCs w:val="22"/>
          <w:lang w:eastAsia="ja-JP"/>
        </w:rPr>
      </w:pPr>
      <w:r w:rsidRPr="003C2B67">
        <w:rPr>
          <w:sz w:val="24"/>
          <w:szCs w:val="22"/>
          <w:lang w:eastAsia="ja-JP"/>
        </w:rPr>
        <w:t xml:space="preserve">Report </w:t>
      </w:r>
      <w:hyperlink r:id="rId19" w:history="1">
        <w:r w:rsidRPr="003C2B67">
          <w:rPr>
            <w:rStyle w:val="Hyperlink"/>
            <w:color w:val="auto"/>
            <w:sz w:val="24"/>
            <w:szCs w:val="22"/>
            <w:u w:val="none"/>
            <w:lang w:eastAsia="ja-JP"/>
          </w:rPr>
          <w:t>ITU-R M.2458</w:t>
        </w:r>
      </w:hyperlink>
      <w:r w:rsidRPr="003C2B67">
        <w:rPr>
          <w:sz w:val="24"/>
          <w:szCs w:val="22"/>
          <w:lang w:eastAsia="ja-JP"/>
        </w:rPr>
        <w:t xml:space="preserve"> – Radionavigation-satellite service applications in the 1 164-1 215 MHz, 1 215</w:t>
      </w:r>
      <w:r w:rsidR="00B005C3" w:rsidRPr="003C2B67">
        <w:rPr>
          <w:sz w:val="24"/>
          <w:szCs w:val="22"/>
          <w:lang w:eastAsia="ja-JP"/>
        </w:rPr>
        <w:noBreakHyphen/>
      </w:r>
      <w:r w:rsidRPr="003C2B67">
        <w:rPr>
          <w:sz w:val="24"/>
          <w:szCs w:val="22"/>
          <w:lang w:eastAsia="ja-JP"/>
        </w:rPr>
        <w:t>1</w:t>
      </w:r>
      <w:r w:rsidR="00B005C3" w:rsidRPr="003C2B67">
        <w:rPr>
          <w:sz w:val="24"/>
          <w:szCs w:val="22"/>
          <w:lang w:eastAsia="ja-JP"/>
        </w:rPr>
        <w:t> </w:t>
      </w:r>
      <w:r w:rsidRPr="003C2B67">
        <w:rPr>
          <w:sz w:val="24"/>
          <w:szCs w:val="22"/>
          <w:lang w:eastAsia="ja-JP"/>
        </w:rPr>
        <w:t>300</w:t>
      </w:r>
      <w:r w:rsidR="00B005C3" w:rsidRPr="003C2B67">
        <w:rPr>
          <w:sz w:val="24"/>
          <w:szCs w:val="22"/>
          <w:lang w:eastAsia="ja-JP"/>
        </w:rPr>
        <w:t> </w:t>
      </w:r>
      <w:r w:rsidRPr="003C2B67">
        <w:rPr>
          <w:sz w:val="24"/>
          <w:szCs w:val="22"/>
          <w:lang w:eastAsia="ja-JP"/>
        </w:rPr>
        <w:t>MHz and 1 559-1 610 MHz frequency bands</w:t>
      </w:r>
    </w:p>
    <w:p w14:paraId="698B19B2" w14:textId="60212F33" w:rsidR="0022028D" w:rsidRPr="003C2B67" w:rsidRDefault="004528AD" w:rsidP="00B005C3">
      <w:pPr>
        <w:pStyle w:val="Reftext"/>
        <w:rPr>
          <w:sz w:val="24"/>
          <w:szCs w:val="22"/>
          <w:lang w:eastAsia="ja-JP"/>
        </w:rPr>
      </w:pPr>
      <w:hyperlink r:id="rId20" w:history="1">
        <w:r w:rsidR="0022028D" w:rsidRPr="003C2B67">
          <w:rPr>
            <w:rStyle w:val="Hyperlink"/>
            <w:color w:val="auto"/>
            <w:sz w:val="24"/>
            <w:szCs w:val="22"/>
            <w:u w:val="none"/>
          </w:rPr>
          <w:t>Report ITU-R M.2513</w:t>
        </w:r>
      </w:hyperlink>
      <w:r w:rsidR="0022028D" w:rsidRPr="003C2B67">
        <w:rPr>
          <w:rStyle w:val="Hyperlink"/>
          <w:color w:val="auto"/>
          <w:sz w:val="24"/>
          <w:szCs w:val="22"/>
          <w:u w:val="none"/>
        </w:rPr>
        <w:t xml:space="preserve"> </w:t>
      </w:r>
      <w:r w:rsidR="0022028D" w:rsidRPr="003C2B67">
        <w:rPr>
          <w:sz w:val="24"/>
          <w:szCs w:val="22"/>
          <w:lang w:eastAsia="ja-JP"/>
        </w:rPr>
        <w:t>– Studies regarding the protection of the primary radionavigation-satellite service (space-to-Earth) by the secondary amateur and amateur-satellite services in the frequency band 1</w:t>
      </w:r>
      <w:r w:rsidR="00B005C3" w:rsidRPr="003C2B67">
        <w:rPr>
          <w:sz w:val="24"/>
          <w:szCs w:val="22"/>
          <w:lang w:eastAsia="ja-JP"/>
        </w:rPr>
        <w:t> </w:t>
      </w:r>
      <w:r w:rsidR="0022028D" w:rsidRPr="003C2B67">
        <w:rPr>
          <w:sz w:val="24"/>
          <w:szCs w:val="22"/>
          <w:lang w:eastAsia="ja-JP"/>
        </w:rPr>
        <w:t>240</w:t>
      </w:r>
      <w:r w:rsidR="00B005C3" w:rsidRPr="003C2B67">
        <w:rPr>
          <w:sz w:val="24"/>
          <w:szCs w:val="22"/>
          <w:lang w:eastAsia="ja-JP"/>
        </w:rPr>
        <w:noBreakHyphen/>
      </w:r>
      <w:r w:rsidR="0022028D" w:rsidRPr="003C2B67">
        <w:rPr>
          <w:sz w:val="24"/>
          <w:szCs w:val="22"/>
          <w:lang w:eastAsia="ja-JP"/>
        </w:rPr>
        <w:t>1 300 MHz</w:t>
      </w:r>
    </w:p>
    <w:p w14:paraId="1865B56E" w14:textId="77777777" w:rsidR="0022028D" w:rsidRPr="003C2B67" w:rsidRDefault="0022028D" w:rsidP="00B005C3">
      <w:pPr>
        <w:pStyle w:val="Reftext"/>
        <w:rPr>
          <w:sz w:val="24"/>
          <w:szCs w:val="22"/>
          <w:lang w:eastAsia="ja-JP"/>
        </w:rPr>
      </w:pPr>
      <w:r w:rsidRPr="003C2B67">
        <w:rPr>
          <w:sz w:val="24"/>
          <w:szCs w:val="22"/>
          <w:lang w:eastAsia="ja-JP"/>
        </w:rPr>
        <w:t xml:space="preserve">Question </w:t>
      </w:r>
      <w:r w:rsidRPr="003C2B67">
        <w:rPr>
          <w:rStyle w:val="Hyperlink"/>
          <w:color w:val="auto"/>
          <w:sz w:val="24"/>
          <w:szCs w:val="22"/>
          <w:u w:val="none"/>
        </w:rPr>
        <w:t xml:space="preserve">ITU-R </w:t>
      </w:r>
      <w:hyperlink r:id="rId21" w:history="1">
        <w:r w:rsidRPr="003C2B67">
          <w:rPr>
            <w:rStyle w:val="Hyperlink"/>
            <w:color w:val="auto"/>
            <w:sz w:val="24"/>
            <w:szCs w:val="22"/>
            <w:u w:val="none"/>
          </w:rPr>
          <w:t>48-7/5</w:t>
        </w:r>
      </w:hyperlink>
      <w:r w:rsidRPr="003C2B67">
        <w:rPr>
          <w:sz w:val="24"/>
          <w:szCs w:val="22"/>
          <w:lang w:eastAsia="ja-JP"/>
        </w:rPr>
        <w:t xml:space="preserve"> – Related results of ITU-R work on the Study Question on techniques and frequency usage in the amateur service and amateur-satellite service</w:t>
      </w:r>
    </w:p>
    <w:p w14:paraId="10EE08CB" w14:textId="77777777" w:rsidR="0022028D" w:rsidRPr="003C2B67" w:rsidRDefault="0022028D" w:rsidP="00B005C3">
      <w:pPr>
        <w:pStyle w:val="Reftext"/>
        <w:rPr>
          <w:sz w:val="24"/>
          <w:szCs w:val="22"/>
          <w:lang w:eastAsia="ja-JP"/>
        </w:rPr>
      </w:pPr>
      <w:r w:rsidRPr="003C2B67">
        <w:rPr>
          <w:sz w:val="24"/>
          <w:szCs w:val="22"/>
          <w:lang w:eastAsia="ja-JP"/>
        </w:rPr>
        <w:t xml:space="preserve">Handbook– </w:t>
      </w:r>
      <w:hyperlink r:id="rId22" w:history="1">
        <w:r w:rsidRPr="003C2B67">
          <w:rPr>
            <w:rStyle w:val="Hyperlink"/>
            <w:color w:val="auto"/>
            <w:sz w:val="24"/>
            <w:szCs w:val="22"/>
            <w:u w:val="none"/>
            <w:lang w:eastAsia="ja-JP"/>
          </w:rPr>
          <w:t>Amateur and amateur-satellite services</w:t>
        </w:r>
      </w:hyperlink>
    </w:p>
    <w:p w14:paraId="16D40055" w14:textId="77777777" w:rsidR="0022028D" w:rsidRPr="003C2B67" w:rsidRDefault="0022028D" w:rsidP="0022028D">
      <w:pPr>
        <w:pStyle w:val="Heading1"/>
      </w:pPr>
      <w:bookmarkStart w:id="16" w:name="_Toc89080114"/>
      <w:bookmarkStart w:id="17" w:name="_Toc146277888"/>
      <w:r w:rsidRPr="003C2B67">
        <w:t>4</w:t>
      </w:r>
      <w:r w:rsidRPr="003C2B67">
        <w:tab/>
        <w:t>Amateur and amateur-satellite service band plans in the frequency band 1 240</w:t>
      </w:r>
      <w:r w:rsidRPr="003C2B67">
        <w:noBreakHyphen/>
        <w:t xml:space="preserve">1 300 MHz </w:t>
      </w:r>
      <w:bookmarkEnd w:id="16"/>
      <w:bookmarkEnd w:id="17"/>
    </w:p>
    <w:p w14:paraId="5E1D7346" w14:textId="77777777" w:rsidR="0022028D" w:rsidRPr="003C2B67" w:rsidRDefault="0022028D" w:rsidP="0022028D">
      <w:r w:rsidRPr="003C2B67">
        <w:t>Before going into the details of the individual amateur and amateur-satellite services applications in the frequency band 1 240-1 300 MHz, it is necessary to understand the general way in which amateur and amateur-satellite services activities are organised to maximise usage of the various frequency bands and minimise interference between incompatible amateur service applications. This is achieved through the use of band plans which recommend where particular applications are used within each amateur and amateur-satellite service allocations. The International Amateur Radio Union</w:t>
      </w:r>
      <w:r w:rsidRPr="003C2B67">
        <w:rPr>
          <w:rStyle w:val="FootnoteReference"/>
        </w:rPr>
        <w:footnoteReference w:id="1"/>
      </w:r>
      <w:r w:rsidRPr="003C2B67">
        <w:t xml:space="preserve"> (IARU) develops such band plans on behalf of all amateur services.</w:t>
      </w:r>
    </w:p>
    <w:p w14:paraId="2ADC3FB0" w14:textId="77777777" w:rsidR="0022028D" w:rsidRPr="003C2B67" w:rsidRDefault="0022028D" w:rsidP="0022028D">
      <w:r w:rsidRPr="003C2B67">
        <w:t xml:space="preserve">Amateur and amateur-satellite services band planning is achieved on a regional basis in order to take into account the regional differences with the frequency allocations. The current IARU recommended band plans for the frequency range 1 240-1 300 MHz across the three regions are summarized in </w:t>
      </w:r>
      <w:r w:rsidRPr="003C2B67">
        <w:rPr>
          <w:bCs/>
        </w:rPr>
        <w:t>Table 1.</w:t>
      </w:r>
    </w:p>
    <w:p w14:paraId="5E84150F" w14:textId="77777777" w:rsidR="0022028D" w:rsidRPr="003C2B67" w:rsidRDefault="0022028D" w:rsidP="0022028D">
      <w:r w:rsidRPr="003C2B67">
        <w:t xml:space="preserve">The usage of the frequency range by the amateur and amateur-satellite services is driven by the varied operational and experimental interests of the users themselves. To support this, each regional band plan is developed to maintain order, avoid conflict and interference between amateur service applications, provide understanding of the most suitable frequencies for specific activities and form a basis for intra and inter-service coordination when required. </w:t>
      </w:r>
    </w:p>
    <w:p w14:paraId="0C28BD4A" w14:textId="77777777" w:rsidR="0022028D" w:rsidRPr="003C2B67" w:rsidRDefault="0022028D" w:rsidP="0022028D">
      <w:r w:rsidRPr="003C2B67">
        <w:t xml:space="preserve">The band plans are not mandatory in regional regulations but are strongly recommended for adoption and in general are followed by the individual national societies. In some cases, the regional IARU band plan may be adopted to some extent in national regulations, and it may need to be adjusted on a national basis to facilitate national coordination and sharing with other services in the band. </w:t>
      </w:r>
    </w:p>
    <w:p w14:paraId="11F27562" w14:textId="77777777" w:rsidR="0022028D" w:rsidRPr="003C2B67" w:rsidRDefault="0022028D" w:rsidP="0022028D">
      <w:r w:rsidRPr="003C2B67">
        <w:t>Respecting the band plan is common practice in the amateur service and is necessary to facilitate successful radio contacts especially between countries and for inter-regional communications.</w:t>
      </w:r>
    </w:p>
    <w:p w14:paraId="1D8DFE9B" w14:textId="77777777" w:rsidR="0022028D" w:rsidRPr="003C2B67" w:rsidRDefault="0022028D" w:rsidP="0022028D">
      <w:r w:rsidRPr="003C2B67">
        <w:t xml:space="preserve">The band plan is reviewed periodically and may be adjusted to reflect new technologies and evolving applications in the amateur services. External influences driven by the requirements to share with other services can also be taken into account. The regional band plans are maintained, published and approved by the IARU regional bodies. </w:t>
      </w:r>
    </w:p>
    <w:p w14:paraId="6B6D3727" w14:textId="77777777" w:rsidR="0022028D" w:rsidRPr="003C2B67" w:rsidRDefault="0022028D" w:rsidP="0022028D">
      <w:pPr>
        <w:rPr>
          <w:spacing w:val="-4"/>
        </w:rPr>
      </w:pPr>
      <w:r w:rsidRPr="003C2B67">
        <w:lastRenderedPageBreak/>
        <w:t xml:space="preserve">The published band plans for each of the three regions may differ and may not be fully harmonised at the detailed level for every amateur service application. However, it is necessary to harmonise parts of the band for specific applications where these could involve inter-regional communications. </w:t>
      </w:r>
      <w:r w:rsidRPr="003C2B67">
        <w:rPr>
          <w:spacing w:val="-4"/>
        </w:rPr>
        <w:t xml:space="preserve">This applies particularly to parts of the band recommended for </w:t>
      </w:r>
      <w:r w:rsidRPr="003C2B67">
        <w:rPr>
          <w:spacing w:val="-4"/>
          <w:szCs w:val="24"/>
        </w:rPr>
        <w:t>narrowband weak signal applications</w:t>
      </w:r>
      <w:r w:rsidRPr="003C2B67">
        <w:rPr>
          <w:spacing w:val="-4"/>
        </w:rPr>
        <w:t xml:space="preserve">. </w:t>
      </w:r>
    </w:p>
    <w:p w14:paraId="57E9D1DF" w14:textId="77777777" w:rsidR="0022028D" w:rsidRPr="003C2B67" w:rsidRDefault="0022028D" w:rsidP="0022028D">
      <w:r w:rsidRPr="003C2B67">
        <w:t>Furthermore, the blocks identified for ATV use can accommodate a number of systems depending on the bandwidth occupied by the technology in use. The actual assignments are planned on a national basis.</w:t>
      </w:r>
    </w:p>
    <w:p w14:paraId="402537D8" w14:textId="77777777" w:rsidR="0022028D" w:rsidRPr="003C2B67" w:rsidRDefault="0022028D" w:rsidP="0022028D">
      <w:pPr>
        <w:pStyle w:val="TableNo"/>
      </w:pPr>
      <w:r w:rsidRPr="003C2B67">
        <w:t>Table 1</w:t>
      </w:r>
    </w:p>
    <w:p w14:paraId="6EDC3F85" w14:textId="77777777" w:rsidR="0022028D" w:rsidRPr="003C2B67" w:rsidRDefault="0022028D" w:rsidP="0022028D">
      <w:pPr>
        <w:pStyle w:val="Tabletitle"/>
      </w:pPr>
      <w:r w:rsidRPr="003C2B67">
        <w:t>Global summary of amateur service and amateur-satellite-service IARU band plans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402"/>
        <w:gridCol w:w="4677"/>
      </w:tblGrid>
      <w:tr w:rsidR="0022028D" w:rsidRPr="003C2B67" w14:paraId="5ACE863B" w14:textId="77777777" w:rsidTr="003C2B67">
        <w:trPr>
          <w:tblHead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7DBA4B" w14:textId="77777777" w:rsidR="0022028D" w:rsidRPr="003C2B67" w:rsidRDefault="0022028D" w:rsidP="00994B8B">
            <w:pPr>
              <w:pStyle w:val="Tablehead"/>
            </w:pPr>
            <w:r w:rsidRPr="003C2B67">
              <w:t xml:space="preserve">Frequency range </w:t>
            </w:r>
            <w:r w:rsidRPr="003C2B67">
              <w:br/>
              <w:t>(MHz)</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609527" w14:textId="77777777" w:rsidR="0022028D" w:rsidRPr="003C2B67" w:rsidRDefault="0022028D" w:rsidP="00994B8B">
            <w:pPr>
              <w:pStyle w:val="Tablehead"/>
            </w:pPr>
            <w:r w:rsidRPr="003C2B67">
              <w:t>Applications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046E511" w14:textId="77777777" w:rsidR="0022028D" w:rsidRPr="003C2B67" w:rsidRDefault="0022028D" w:rsidP="00994B8B">
            <w:pPr>
              <w:pStyle w:val="Tablehead"/>
            </w:pPr>
            <w:r w:rsidRPr="003C2B67">
              <w:t>Comments</w:t>
            </w:r>
          </w:p>
        </w:tc>
      </w:tr>
      <w:tr w:rsidR="0022028D" w:rsidRPr="003C2B67" w14:paraId="05C57E0A" w14:textId="77777777" w:rsidTr="003C2B67">
        <w:tc>
          <w:tcPr>
            <w:tcW w:w="1555" w:type="dxa"/>
            <w:tcBorders>
              <w:top w:val="single" w:sz="4" w:space="0" w:color="auto"/>
              <w:left w:val="single" w:sz="4" w:space="0" w:color="auto"/>
              <w:bottom w:val="single" w:sz="4" w:space="0" w:color="auto"/>
              <w:right w:val="single" w:sz="4" w:space="0" w:color="auto"/>
            </w:tcBorders>
            <w:shd w:val="clear" w:color="auto" w:fill="auto"/>
          </w:tcPr>
          <w:p w14:paraId="40006318" w14:textId="77777777" w:rsidR="0022028D" w:rsidRPr="003C2B67" w:rsidRDefault="0022028D" w:rsidP="00994B8B">
            <w:pPr>
              <w:pStyle w:val="Tabletext"/>
            </w:pPr>
            <w:r w:rsidRPr="003C2B67">
              <w:t>1 240-1 260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E66B81" w14:textId="77777777" w:rsidR="0022028D" w:rsidRPr="003C2B67" w:rsidRDefault="0022028D" w:rsidP="00994B8B">
            <w:pPr>
              <w:pStyle w:val="Tabletext"/>
            </w:pPr>
            <w:r w:rsidRPr="003C2B67">
              <w:t>Low bandwidth telegraphy, voice and data modes up to around 20 Hz.</w:t>
            </w:r>
          </w:p>
          <w:p w14:paraId="47B72142" w14:textId="5FF3193F" w:rsidR="0022028D" w:rsidRPr="003C2B67" w:rsidRDefault="0022028D" w:rsidP="00994B8B">
            <w:pPr>
              <w:pStyle w:val="Tabletext"/>
            </w:pPr>
            <w:r w:rsidRPr="003C2B67">
              <w:t xml:space="preserve">Amateur TV (ATV using </w:t>
            </w:r>
            <w:r w:rsidR="003C2B67" w:rsidRPr="003C2B67">
              <w:t xml:space="preserve">analogue or digital </w:t>
            </w:r>
            <w:r w:rsidRPr="003C2B67">
              <w:t xml:space="preserve">technologies).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783C24F" w14:textId="77777777" w:rsidR="0022028D" w:rsidRPr="003C2B67" w:rsidRDefault="0022028D" w:rsidP="00994B8B">
            <w:pPr>
              <w:pStyle w:val="Tabletext"/>
            </w:pPr>
            <w:r w:rsidRPr="003C2B67">
              <w:t>Organised into channelized groups for voice and data applications in some regions.</w:t>
            </w:r>
          </w:p>
          <w:p w14:paraId="74C228AA" w14:textId="77777777" w:rsidR="0022028D" w:rsidRPr="003C2B67" w:rsidRDefault="0022028D" w:rsidP="00994B8B">
            <w:pPr>
              <w:pStyle w:val="Tabletext"/>
            </w:pPr>
            <w:r w:rsidRPr="003C2B67">
              <w:t>One 16.75 MHz block is identified for ATV in this range in Region 1.</w:t>
            </w:r>
          </w:p>
          <w:p w14:paraId="579EE509" w14:textId="77777777" w:rsidR="0022028D" w:rsidRPr="003C2B67" w:rsidRDefault="0022028D" w:rsidP="00994B8B">
            <w:pPr>
              <w:pStyle w:val="Tabletext"/>
            </w:pPr>
            <w:r w:rsidRPr="003C2B67">
              <w:t>Two 6 MHz blocks are identified for ATV in Region 2.</w:t>
            </w:r>
          </w:p>
        </w:tc>
      </w:tr>
      <w:tr w:rsidR="0022028D" w:rsidRPr="003C2B67" w14:paraId="68A5633A" w14:textId="77777777" w:rsidTr="003C2B67">
        <w:tc>
          <w:tcPr>
            <w:tcW w:w="1555" w:type="dxa"/>
            <w:tcBorders>
              <w:top w:val="single" w:sz="4" w:space="0" w:color="auto"/>
              <w:left w:val="single" w:sz="4" w:space="0" w:color="auto"/>
              <w:bottom w:val="single" w:sz="4" w:space="0" w:color="auto"/>
              <w:right w:val="single" w:sz="4" w:space="0" w:color="auto"/>
            </w:tcBorders>
            <w:shd w:val="clear" w:color="auto" w:fill="auto"/>
          </w:tcPr>
          <w:p w14:paraId="0480EB1A" w14:textId="77777777" w:rsidR="0022028D" w:rsidRPr="003C2B67" w:rsidRDefault="0022028D" w:rsidP="00994B8B">
            <w:pPr>
              <w:pStyle w:val="Tabletext"/>
            </w:pPr>
            <w:r w:rsidRPr="003C2B67">
              <w:t>1 260-1 270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C7F107" w14:textId="77777777" w:rsidR="0022028D" w:rsidRPr="003C2B67" w:rsidRDefault="0022028D" w:rsidP="00994B8B">
            <w:pPr>
              <w:pStyle w:val="Tabletext"/>
            </w:pPr>
            <w:r w:rsidRPr="003C2B67">
              <w:t>Satellite uplink band.</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176764D" w14:textId="77777777" w:rsidR="0022028D" w:rsidRPr="003C2B67" w:rsidRDefault="0022028D" w:rsidP="00994B8B">
            <w:pPr>
              <w:pStyle w:val="Tabletext"/>
            </w:pPr>
            <w:r w:rsidRPr="003C2B67">
              <w:t>In Region 2 simplex ATV is also identified for experimental use in this range.</w:t>
            </w:r>
          </w:p>
        </w:tc>
      </w:tr>
      <w:tr w:rsidR="0022028D" w:rsidRPr="003C2B67" w14:paraId="6731C753" w14:textId="77777777" w:rsidTr="003C2B67">
        <w:tc>
          <w:tcPr>
            <w:tcW w:w="1555" w:type="dxa"/>
            <w:tcBorders>
              <w:top w:val="single" w:sz="4" w:space="0" w:color="auto"/>
              <w:left w:val="single" w:sz="4" w:space="0" w:color="auto"/>
              <w:bottom w:val="single" w:sz="4" w:space="0" w:color="auto"/>
              <w:right w:val="single" w:sz="4" w:space="0" w:color="auto"/>
            </w:tcBorders>
            <w:shd w:val="clear" w:color="auto" w:fill="auto"/>
          </w:tcPr>
          <w:p w14:paraId="2BDCA0A2" w14:textId="77777777" w:rsidR="0022028D" w:rsidRPr="003C2B67" w:rsidRDefault="0022028D" w:rsidP="00994B8B">
            <w:pPr>
              <w:pStyle w:val="Tabletext"/>
            </w:pPr>
            <w:r w:rsidRPr="003C2B67">
              <w:t>1 270-1 296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0B244B" w14:textId="77777777" w:rsidR="0022028D" w:rsidRPr="003C2B67" w:rsidRDefault="0022028D" w:rsidP="00994B8B">
            <w:pPr>
              <w:pStyle w:val="Tabletext"/>
            </w:pPr>
            <w:r w:rsidRPr="003C2B67">
              <w:t>Low bandwidth telegraphy, voice and data modes up to around 20 kHz.</w:t>
            </w:r>
          </w:p>
          <w:p w14:paraId="287C28FD" w14:textId="7B14BDD7" w:rsidR="0022028D" w:rsidRPr="003C2B67" w:rsidRDefault="0022028D" w:rsidP="00994B8B">
            <w:pPr>
              <w:pStyle w:val="Tabletext"/>
            </w:pPr>
            <w:r w:rsidRPr="003C2B67">
              <w:t xml:space="preserve">Amateur TV (ATV using </w:t>
            </w:r>
            <w:r w:rsidR="003C2B67" w:rsidRPr="003C2B67">
              <w:t xml:space="preserve">analogue or digital </w:t>
            </w:r>
            <w:r w:rsidRPr="003C2B67">
              <w:t xml:space="preserve">technologies).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E3D4049" w14:textId="77777777" w:rsidR="0022028D" w:rsidRPr="003C2B67" w:rsidRDefault="0022028D" w:rsidP="00994B8B">
            <w:pPr>
              <w:pStyle w:val="Tabletext"/>
            </w:pPr>
            <w:r w:rsidRPr="003C2B67">
              <w:t>Organised into channelized groups for voice and data applications in some regions.</w:t>
            </w:r>
          </w:p>
          <w:p w14:paraId="4ED80A35" w14:textId="77777777" w:rsidR="0022028D" w:rsidRPr="003C2B67" w:rsidRDefault="0022028D" w:rsidP="00994B8B">
            <w:pPr>
              <w:pStyle w:val="Tabletext"/>
            </w:pPr>
            <w:r w:rsidRPr="003C2B67">
              <w:t>One 18.994 MHz block is identified for ATV in this range in Region 1.</w:t>
            </w:r>
          </w:p>
          <w:p w14:paraId="510C7D5A" w14:textId="77777777" w:rsidR="0022028D" w:rsidRPr="003C2B67" w:rsidRDefault="0022028D" w:rsidP="00994B8B">
            <w:pPr>
              <w:pStyle w:val="Tabletext"/>
            </w:pPr>
            <w:r w:rsidRPr="003C2B67">
              <w:t>Two 6 MHz blocks are identified for ATV in Region 2.</w:t>
            </w:r>
          </w:p>
        </w:tc>
      </w:tr>
      <w:tr w:rsidR="0022028D" w:rsidRPr="003C2B67" w14:paraId="22FC2ADE" w14:textId="77777777" w:rsidTr="003C2B67">
        <w:tc>
          <w:tcPr>
            <w:tcW w:w="1555" w:type="dxa"/>
            <w:tcBorders>
              <w:top w:val="single" w:sz="4" w:space="0" w:color="auto"/>
              <w:left w:val="single" w:sz="4" w:space="0" w:color="auto"/>
              <w:bottom w:val="single" w:sz="4" w:space="0" w:color="auto"/>
              <w:right w:val="single" w:sz="4" w:space="0" w:color="auto"/>
            </w:tcBorders>
            <w:shd w:val="clear" w:color="auto" w:fill="auto"/>
          </w:tcPr>
          <w:p w14:paraId="7BB8AEFD" w14:textId="77777777" w:rsidR="0022028D" w:rsidRPr="003C2B67" w:rsidRDefault="0022028D" w:rsidP="00994B8B">
            <w:pPr>
              <w:pStyle w:val="Tabletext"/>
            </w:pPr>
            <w:r w:rsidRPr="003C2B67">
              <w:t>1 296-1 297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1E1911" w14:textId="77777777" w:rsidR="0022028D" w:rsidRPr="003C2B67" w:rsidRDefault="0022028D" w:rsidP="00994B8B">
            <w:pPr>
              <w:pStyle w:val="Tabletext"/>
            </w:pPr>
            <w:r w:rsidRPr="003C2B67">
              <w:t>Low bandwidth telegraphy, voice and data modes up to 3 kHz.</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8B49670" w14:textId="77777777" w:rsidR="0022028D" w:rsidRPr="003C2B67" w:rsidRDefault="0022028D" w:rsidP="00994B8B">
            <w:pPr>
              <w:pStyle w:val="Tabletext"/>
            </w:pPr>
            <w:r w:rsidRPr="003C2B67">
              <w:t>Focused on narrowband weak signal applications in all three regions including beacons. No channelization.</w:t>
            </w:r>
          </w:p>
        </w:tc>
      </w:tr>
      <w:tr w:rsidR="0022028D" w:rsidRPr="003C2B67" w14:paraId="305546D6" w14:textId="77777777" w:rsidTr="003C2B67">
        <w:tc>
          <w:tcPr>
            <w:tcW w:w="1555" w:type="dxa"/>
            <w:tcBorders>
              <w:top w:val="single" w:sz="4" w:space="0" w:color="auto"/>
              <w:left w:val="single" w:sz="4" w:space="0" w:color="auto"/>
              <w:bottom w:val="single" w:sz="4" w:space="0" w:color="auto"/>
              <w:right w:val="single" w:sz="4" w:space="0" w:color="auto"/>
            </w:tcBorders>
            <w:shd w:val="clear" w:color="auto" w:fill="auto"/>
          </w:tcPr>
          <w:p w14:paraId="3F055ADE" w14:textId="77777777" w:rsidR="0022028D" w:rsidRPr="003C2B67" w:rsidRDefault="0022028D" w:rsidP="00994B8B">
            <w:pPr>
              <w:pStyle w:val="Tabletext"/>
            </w:pPr>
            <w:r w:rsidRPr="003C2B67">
              <w:t>1 297-1 300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7BD6C8" w14:textId="77777777" w:rsidR="0022028D" w:rsidRPr="003C2B67" w:rsidRDefault="0022028D" w:rsidP="00994B8B">
            <w:pPr>
              <w:pStyle w:val="Tabletext"/>
            </w:pPr>
            <w:r w:rsidRPr="003C2B67">
              <w:t>Low bandwidth voice and data modes up to around 20 kHz. Medium bandwidth data up to 150 kHz bandwidth.</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8EB9237" w14:textId="77777777" w:rsidR="0022028D" w:rsidRPr="003C2B67" w:rsidRDefault="0022028D" w:rsidP="00994B8B">
            <w:pPr>
              <w:pStyle w:val="Tabletext"/>
            </w:pPr>
            <w:r w:rsidRPr="003C2B67">
              <w:t>Organized into channelized groups for voice and data applications in some regions.</w:t>
            </w:r>
          </w:p>
        </w:tc>
      </w:tr>
    </w:tbl>
    <w:p w14:paraId="528B4713" w14:textId="77777777" w:rsidR="0022028D" w:rsidRPr="003C2B67" w:rsidRDefault="0022028D" w:rsidP="0022028D">
      <w:pPr>
        <w:pStyle w:val="Tablefin"/>
      </w:pPr>
      <w:bookmarkStart w:id="18" w:name="_Toc89080115"/>
    </w:p>
    <w:p w14:paraId="44327ABF" w14:textId="77777777" w:rsidR="0022028D" w:rsidRPr="003C2B67" w:rsidRDefault="0022028D" w:rsidP="0022028D">
      <w:pPr>
        <w:pStyle w:val="Heading1"/>
      </w:pPr>
      <w:bookmarkStart w:id="19" w:name="_Toc146277889"/>
      <w:r w:rsidRPr="003C2B67">
        <w:t>5</w:t>
      </w:r>
      <w:r w:rsidRPr="003C2B67">
        <w:tab/>
        <w:t>Applications and typical operational characteristics of the amateur and amateur-satellite services operating in the frequency band 1 240</w:t>
      </w:r>
      <w:r w:rsidRPr="003C2B67">
        <w:noBreakHyphen/>
        <w:t>1 300 MHz</w:t>
      </w:r>
      <w:bookmarkEnd w:id="18"/>
      <w:bookmarkEnd w:id="19"/>
    </w:p>
    <w:p w14:paraId="5F9BB8DE" w14:textId="77777777" w:rsidR="0022028D" w:rsidRPr="003C2B67" w:rsidRDefault="0022028D" w:rsidP="0022028D">
      <w:pPr>
        <w:pStyle w:val="Heading2"/>
      </w:pPr>
      <w:bookmarkStart w:id="20" w:name="_Toc89080116"/>
      <w:bookmarkStart w:id="21" w:name="_Toc146277890"/>
      <w:r w:rsidRPr="003C2B67">
        <w:t>5.1</w:t>
      </w:r>
      <w:r w:rsidRPr="003C2B67">
        <w:tab/>
        <w:t>Amateur and amateur-satellite applications and station categories</w:t>
      </w:r>
      <w:bookmarkEnd w:id="20"/>
      <w:bookmarkEnd w:id="21"/>
    </w:p>
    <w:p w14:paraId="7410016D" w14:textId="77777777" w:rsidR="0022028D" w:rsidRPr="003C2B67" w:rsidRDefault="0022028D" w:rsidP="0022028D">
      <w:r w:rsidRPr="003C2B67">
        <w:t>The detailed list of amateur and the amateur-satellite services applications in the band 1 240</w:t>
      </w:r>
      <w:r w:rsidRPr="003C2B67">
        <w:noBreakHyphen/>
        <w:t>1 300 MHz can be divided into three categories:</w:t>
      </w:r>
    </w:p>
    <w:p w14:paraId="25139834" w14:textId="77777777" w:rsidR="0022028D" w:rsidRPr="003C2B67" w:rsidRDefault="0022028D" w:rsidP="0022028D">
      <w:pPr>
        <w:pStyle w:val="Headingb"/>
      </w:pPr>
      <w:r w:rsidRPr="003C2B67">
        <w:t>Home station</w:t>
      </w:r>
    </w:p>
    <w:p w14:paraId="7BC2C20D" w14:textId="77777777" w:rsidR="0022028D" w:rsidRPr="003C2B67" w:rsidRDefault="0022028D" w:rsidP="0022028D">
      <w:r w:rsidRPr="003C2B67">
        <w:t xml:space="preserve">This refers to equipment located at the station licence holder’s home address. </w:t>
      </w:r>
    </w:p>
    <w:p w14:paraId="799B71A4" w14:textId="77777777" w:rsidR="0022028D" w:rsidRPr="003C2B67" w:rsidRDefault="0022028D" w:rsidP="0022028D">
      <w:pPr>
        <w:pStyle w:val="Headingb"/>
      </w:pPr>
      <w:r w:rsidRPr="003C2B67">
        <w:lastRenderedPageBreak/>
        <w:t>Temporary “portable” station</w:t>
      </w:r>
    </w:p>
    <w:p w14:paraId="5B63A9C5" w14:textId="77777777" w:rsidR="0022028D" w:rsidRPr="003C2B67" w:rsidRDefault="0022028D" w:rsidP="0022028D">
      <w:r w:rsidRPr="003C2B67">
        <w:t xml:space="preserve">A temporarily sited station is usually located in an advantageous position (usually high ground) away from a home station location and operational for a short period </w:t>
      </w:r>
      <w:proofErr w:type="spellStart"/>
      <w:r w:rsidRPr="003C2B67">
        <w:t>radiosport</w:t>
      </w:r>
      <w:proofErr w:type="spellEnd"/>
      <w:r w:rsidRPr="003C2B67">
        <w:t xml:space="preserve"> contest, an experimental long-distance communication test or a time-limited special activity event. </w:t>
      </w:r>
    </w:p>
    <w:p w14:paraId="1974DAE3" w14:textId="77777777" w:rsidR="0022028D" w:rsidRPr="003C2B67" w:rsidRDefault="0022028D" w:rsidP="0022028D">
      <w:pPr>
        <w:pStyle w:val="Headingb"/>
      </w:pPr>
      <w:r w:rsidRPr="003C2B67">
        <w:t>Permanent installation (sometimes referred to as “automatic” or “unmanned” stations)</w:t>
      </w:r>
    </w:p>
    <w:p w14:paraId="32FDF4A8" w14:textId="77777777" w:rsidR="0022028D" w:rsidRPr="003C2B67" w:rsidRDefault="0022028D" w:rsidP="0022028D">
      <w:r w:rsidRPr="003C2B67">
        <w:t>Permanent installations refer to stations installed away from a home station. They operate as propagation</w:t>
      </w:r>
      <w:r w:rsidRPr="003C2B67">
        <w:rPr>
          <w:color w:val="000000" w:themeColor="text1"/>
        </w:rPr>
        <w:t xml:space="preserve"> beacons, voice, amateur television (ATV) or data repeaters. </w:t>
      </w:r>
      <w:r w:rsidRPr="003C2B67">
        <w:t>As permanently installed stations, these are licensed by the national authority in their own right for their designated location, operating frequency and output power. The licence and responsibility of the station operation are usually associated with an already licensed radio amateur operator known as the “keeper” of the installation.</w:t>
      </w:r>
    </w:p>
    <w:p w14:paraId="539FA1BA" w14:textId="77777777" w:rsidR="0022028D" w:rsidRPr="003C2B67" w:rsidRDefault="0022028D" w:rsidP="0022028D">
      <w:r w:rsidRPr="003C2B67">
        <w:t>Propagation beacons are usually intended to operate continuously and are required to transmit a short repeating message using on/off keying or a narrow-band FSK signal with call sign ID and location information.</w:t>
      </w:r>
    </w:p>
    <w:p w14:paraId="2E0C4E76" w14:textId="77777777" w:rsidR="0022028D" w:rsidRPr="003C2B67" w:rsidRDefault="0022028D" w:rsidP="0022028D">
      <w:r w:rsidRPr="003C2B67">
        <w:t>Voice repeaters usually re-transmit narrow-band analogue and digital voice traffic when activated with a signal on the input frequency and are mostly associated with extending geographic coverage area. Data and ATV repeater stations transmit wider bandwidth amateur signals and ATV repeater stations may transmit test signals when not being accessed by a user station on the input channel. All repeater stations are required by national regulations to transmit identification information.</w:t>
      </w:r>
    </w:p>
    <w:p w14:paraId="292AE24E" w14:textId="77777777" w:rsidR="0022028D" w:rsidRPr="003C2B67" w:rsidRDefault="0022028D" w:rsidP="0022028D">
      <w:r w:rsidRPr="003C2B67">
        <w:t xml:space="preserve">Satellite communications (1 260-1 270 MHz, Earth-to-space only; see </w:t>
      </w:r>
      <w:r w:rsidRPr="003C2B67">
        <w:rPr>
          <w:bCs/>
        </w:rPr>
        <w:t>RR</w:t>
      </w:r>
      <w:r w:rsidRPr="003C2B67">
        <w:t xml:space="preserve"> No. </w:t>
      </w:r>
      <w:r w:rsidRPr="003C2B67">
        <w:rPr>
          <w:b/>
          <w:bCs/>
        </w:rPr>
        <w:t>5.282</w:t>
      </w:r>
      <w:r w:rsidRPr="003C2B67">
        <w:t>) and mobile stations are possible, but these are rare in this frequency band. Tables 2 and 3 provide a matrix of the amateur and amateur-satellite applications versus station categories:</w:t>
      </w:r>
    </w:p>
    <w:p w14:paraId="6D389137" w14:textId="77777777" w:rsidR="0022028D" w:rsidRPr="003C2B67" w:rsidRDefault="0022028D" w:rsidP="0022028D">
      <w:pPr>
        <w:pStyle w:val="TableNo"/>
      </w:pPr>
      <w:r w:rsidRPr="003C2B67">
        <w:t>Table 2</w:t>
      </w:r>
    </w:p>
    <w:p w14:paraId="2E27E4BE" w14:textId="77777777" w:rsidR="0022028D" w:rsidRPr="003C2B67" w:rsidRDefault="0022028D" w:rsidP="0022028D">
      <w:pPr>
        <w:pStyle w:val="Tabletitle"/>
      </w:pPr>
      <w:r w:rsidRPr="003C2B67">
        <w:t>Narrow-band amateur and amateur satellite applications against the station category</w:t>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1980"/>
        <w:gridCol w:w="709"/>
        <w:gridCol w:w="1134"/>
        <w:gridCol w:w="932"/>
        <w:gridCol w:w="840"/>
        <w:gridCol w:w="1630"/>
        <w:gridCol w:w="2414"/>
      </w:tblGrid>
      <w:tr w:rsidR="0022028D" w:rsidRPr="003C2B67" w14:paraId="663F90EE" w14:textId="77777777" w:rsidTr="00470EDD">
        <w:trPr>
          <w:cantSplit/>
          <w:jc w:val="center"/>
        </w:trPr>
        <w:tc>
          <w:tcPr>
            <w:tcW w:w="1980" w:type="dxa"/>
            <w:vMerge w:val="restart"/>
            <w:vAlign w:val="center"/>
          </w:tcPr>
          <w:p w14:paraId="4B7F06F1" w14:textId="77777777" w:rsidR="0022028D" w:rsidRPr="003C2B67" w:rsidRDefault="0022028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Application</w:t>
            </w:r>
          </w:p>
        </w:tc>
        <w:tc>
          <w:tcPr>
            <w:tcW w:w="3615" w:type="dxa"/>
            <w:gridSpan w:val="4"/>
            <w:vAlign w:val="center"/>
          </w:tcPr>
          <w:p w14:paraId="633A350C" w14:textId="77777777" w:rsidR="0022028D" w:rsidRPr="003C2B67" w:rsidRDefault="0022028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Station type</w:t>
            </w:r>
          </w:p>
        </w:tc>
        <w:tc>
          <w:tcPr>
            <w:tcW w:w="1630" w:type="dxa"/>
            <w:vMerge w:val="restart"/>
            <w:vAlign w:val="center"/>
          </w:tcPr>
          <w:p w14:paraId="4B1203F8" w14:textId="77777777" w:rsidR="0022028D" w:rsidRPr="003C2B67" w:rsidRDefault="0022028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Max. bandwidth</w:t>
            </w:r>
          </w:p>
        </w:tc>
        <w:tc>
          <w:tcPr>
            <w:tcW w:w="2414" w:type="dxa"/>
            <w:vMerge w:val="restart"/>
            <w:vAlign w:val="center"/>
          </w:tcPr>
          <w:p w14:paraId="0D2F2F8B" w14:textId="77777777" w:rsidR="0022028D" w:rsidRPr="003C2B67" w:rsidRDefault="0022028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Comments</w:t>
            </w:r>
          </w:p>
        </w:tc>
      </w:tr>
      <w:tr w:rsidR="0022028D" w:rsidRPr="003C2B67" w14:paraId="71463722" w14:textId="77777777" w:rsidTr="00470EDD">
        <w:trPr>
          <w:cantSplit/>
          <w:jc w:val="center"/>
        </w:trPr>
        <w:tc>
          <w:tcPr>
            <w:tcW w:w="1980" w:type="dxa"/>
            <w:vMerge/>
            <w:vAlign w:val="center"/>
          </w:tcPr>
          <w:p w14:paraId="2FA7E576" w14:textId="77777777" w:rsidR="0022028D" w:rsidRPr="003C2B67" w:rsidRDefault="0022028D" w:rsidP="00994B8B">
            <w:pPr>
              <w:pStyle w:val="Tablehead"/>
              <w:rPr>
                <w:rFonts w:ascii="Times New Roman" w:hAnsi="Times New Roman" w:cs="Times New Roman"/>
                <w:sz w:val="20"/>
                <w:szCs w:val="20"/>
              </w:rPr>
            </w:pPr>
          </w:p>
        </w:tc>
        <w:tc>
          <w:tcPr>
            <w:tcW w:w="709" w:type="dxa"/>
            <w:vMerge w:val="restart"/>
            <w:vAlign w:val="center"/>
          </w:tcPr>
          <w:p w14:paraId="571AA207"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Home</w:t>
            </w:r>
          </w:p>
        </w:tc>
        <w:tc>
          <w:tcPr>
            <w:tcW w:w="1134" w:type="dxa"/>
            <w:vMerge w:val="restart"/>
            <w:vAlign w:val="center"/>
          </w:tcPr>
          <w:p w14:paraId="33C6CF4B"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Temporary</w:t>
            </w:r>
          </w:p>
        </w:tc>
        <w:tc>
          <w:tcPr>
            <w:tcW w:w="1772" w:type="dxa"/>
            <w:gridSpan w:val="2"/>
            <w:vAlign w:val="center"/>
          </w:tcPr>
          <w:p w14:paraId="6D0B4789"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Installation</w:t>
            </w:r>
          </w:p>
        </w:tc>
        <w:tc>
          <w:tcPr>
            <w:tcW w:w="1630" w:type="dxa"/>
            <w:vMerge/>
            <w:vAlign w:val="center"/>
          </w:tcPr>
          <w:p w14:paraId="64C4440F" w14:textId="77777777" w:rsidR="0022028D" w:rsidRPr="003C2B67" w:rsidRDefault="0022028D" w:rsidP="00994B8B">
            <w:pPr>
              <w:pStyle w:val="Tablehead"/>
              <w:rPr>
                <w:rFonts w:ascii="Times New Roman" w:hAnsi="Times New Roman" w:cs="Times New Roman"/>
                <w:sz w:val="20"/>
                <w:szCs w:val="20"/>
              </w:rPr>
            </w:pPr>
          </w:p>
        </w:tc>
        <w:tc>
          <w:tcPr>
            <w:tcW w:w="2414" w:type="dxa"/>
            <w:vMerge/>
            <w:vAlign w:val="center"/>
          </w:tcPr>
          <w:p w14:paraId="5873E5DD" w14:textId="77777777" w:rsidR="0022028D" w:rsidRPr="003C2B67" w:rsidRDefault="0022028D" w:rsidP="00994B8B">
            <w:pPr>
              <w:pStyle w:val="Tablehead"/>
              <w:rPr>
                <w:rFonts w:ascii="Times New Roman" w:hAnsi="Times New Roman" w:cs="Times New Roman"/>
                <w:sz w:val="20"/>
                <w:szCs w:val="20"/>
              </w:rPr>
            </w:pPr>
          </w:p>
        </w:tc>
      </w:tr>
      <w:tr w:rsidR="0022028D" w:rsidRPr="003C2B67" w14:paraId="50EE3DE6" w14:textId="77777777" w:rsidTr="00470EDD">
        <w:trPr>
          <w:cantSplit/>
          <w:jc w:val="center"/>
        </w:trPr>
        <w:tc>
          <w:tcPr>
            <w:tcW w:w="1980" w:type="dxa"/>
            <w:vMerge/>
            <w:vAlign w:val="center"/>
          </w:tcPr>
          <w:p w14:paraId="2DBE0A1D" w14:textId="77777777" w:rsidR="0022028D" w:rsidRPr="003C2B67" w:rsidRDefault="0022028D" w:rsidP="00994B8B">
            <w:pPr>
              <w:pStyle w:val="Tablehead"/>
              <w:rPr>
                <w:rFonts w:ascii="Times New Roman" w:hAnsi="Times New Roman" w:cs="Times New Roman"/>
                <w:sz w:val="20"/>
                <w:szCs w:val="20"/>
              </w:rPr>
            </w:pPr>
          </w:p>
        </w:tc>
        <w:tc>
          <w:tcPr>
            <w:tcW w:w="709" w:type="dxa"/>
            <w:vMerge/>
            <w:vAlign w:val="center"/>
          </w:tcPr>
          <w:p w14:paraId="6E96D0A0" w14:textId="77777777" w:rsidR="0022028D" w:rsidRPr="003C2B67" w:rsidRDefault="0022028D" w:rsidP="00994B8B">
            <w:pPr>
              <w:pStyle w:val="Tablehead"/>
              <w:rPr>
                <w:rStyle w:val="ECCHLbold"/>
                <w:rFonts w:ascii="Times New Roman" w:hAnsi="Times New Roman" w:cs="Times New Roman"/>
                <w:b/>
                <w:sz w:val="20"/>
                <w:szCs w:val="20"/>
              </w:rPr>
            </w:pPr>
          </w:p>
        </w:tc>
        <w:tc>
          <w:tcPr>
            <w:tcW w:w="1134" w:type="dxa"/>
            <w:vMerge/>
            <w:vAlign w:val="center"/>
          </w:tcPr>
          <w:p w14:paraId="2ACE7F04" w14:textId="77777777" w:rsidR="0022028D" w:rsidRPr="003C2B67" w:rsidRDefault="0022028D" w:rsidP="00994B8B">
            <w:pPr>
              <w:pStyle w:val="Tablehead"/>
              <w:rPr>
                <w:rStyle w:val="ECCHLbold"/>
                <w:rFonts w:ascii="Times New Roman" w:hAnsi="Times New Roman" w:cs="Times New Roman"/>
                <w:b/>
                <w:sz w:val="20"/>
                <w:szCs w:val="20"/>
              </w:rPr>
            </w:pPr>
          </w:p>
        </w:tc>
        <w:tc>
          <w:tcPr>
            <w:tcW w:w="932" w:type="dxa"/>
            <w:vAlign w:val="center"/>
          </w:tcPr>
          <w:p w14:paraId="4EEB7DB7"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Repeater</w:t>
            </w:r>
          </w:p>
        </w:tc>
        <w:tc>
          <w:tcPr>
            <w:tcW w:w="840" w:type="dxa"/>
            <w:vAlign w:val="center"/>
          </w:tcPr>
          <w:p w14:paraId="3B42B756"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Beacon</w:t>
            </w:r>
          </w:p>
        </w:tc>
        <w:tc>
          <w:tcPr>
            <w:tcW w:w="1630" w:type="dxa"/>
            <w:vMerge/>
            <w:vAlign w:val="center"/>
          </w:tcPr>
          <w:p w14:paraId="098040A0" w14:textId="77777777" w:rsidR="0022028D" w:rsidRPr="003C2B67" w:rsidRDefault="0022028D" w:rsidP="00994B8B">
            <w:pPr>
              <w:pStyle w:val="Tablehead"/>
              <w:rPr>
                <w:rFonts w:ascii="Times New Roman" w:hAnsi="Times New Roman" w:cs="Times New Roman"/>
                <w:sz w:val="20"/>
                <w:szCs w:val="20"/>
              </w:rPr>
            </w:pPr>
          </w:p>
        </w:tc>
        <w:tc>
          <w:tcPr>
            <w:tcW w:w="2414" w:type="dxa"/>
            <w:vMerge/>
            <w:vAlign w:val="center"/>
          </w:tcPr>
          <w:p w14:paraId="183C008F" w14:textId="77777777" w:rsidR="0022028D" w:rsidRPr="003C2B67" w:rsidRDefault="0022028D" w:rsidP="00994B8B">
            <w:pPr>
              <w:pStyle w:val="Tablehead"/>
              <w:rPr>
                <w:rFonts w:ascii="Times New Roman" w:hAnsi="Times New Roman" w:cs="Times New Roman"/>
                <w:sz w:val="20"/>
                <w:szCs w:val="20"/>
              </w:rPr>
            </w:pPr>
          </w:p>
        </w:tc>
      </w:tr>
      <w:tr w:rsidR="0022028D" w:rsidRPr="003C2B67" w14:paraId="68834379" w14:textId="77777777" w:rsidTr="00470EDD">
        <w:trPr>
          <w:cantSplit/>
          <w:jc w:val="center"/>
        </w:trPr>
        <w:tc>
          <w:tcPr>
            <w:tcW w:w="1980" w:type="dxa"/>
            <w:vAlign w:val="center"/>
          </w:tcPr>
          <w:p w14:paraId="5EC97320"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 xml:space="preserve">Voice </w:t>
            </w:r>
            <w:r w:rsidRPr="003C2B67">
              <w:rPr>
                <w:rFonts w:ascii="Times New Roman" w:hAnsi="Times New Roman" w:cs="Times New Roman"/>
                <w:sz w:val="20"/>
                <w:szCs w:val="20"/>
              </w:rPr>
              <w:br/>
              <w:t xml:space="preserve">(Analogue SSB) </w:t>
            </w:r>
          </w:p>
        </w:tc>
        <w:tc>
          <w:tcPr>
            <w:tcW w:w="709" w:type="dxa"/>
            <w:vAlign w:val="center"/>
          </w:tcPr>
          <w:p w14:paraId="715272E8"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134" w:type="dxa"/>
            <w:vAlign w:val="center"/>
          </w:tcPr>
          <w:p w14:paraId="030F17C9"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932" w:type="dxa"/>
            <w:vAlign w:val="center"/>
          </w:tcPr>
          <w:p w14:paraId="751023E7" w14:textId="77777777" w:rsidR="0022028D" w:rsidRPr="003C2B67" w:rsidRDefault="0022028D" w:rsidP="00994B8B">
            <w:pPr>
              <w:pStyle w:val="Tabletext"/>
              <w:jc w:val="center"/>
              <w:rPr>
                <w:rFonts w:ascii="Times New Roman" w:hAnsi="Times New Roman" w:cs="Times New Roman"/>
                <w:sz w:val="20"/>
                <w:szCs w:val="20"/>
              </w:rPr>
            </w:pPr>
          </w:p>
        </w:tc>
        <w:tc>
          <w:tcPr>
            <w:tcW w:w="840" w:type="dxa"/>
            <w:vAlign w:val="center"/>
          </w:tcPr>
          <w:p w14:paraId="073E435E" w14:textId="77777777" w:rsidR="0022028D" w:rsidRPr="003C2B67" w:rsidRDefault="0022028D" w:rsidP="00994B8B">
            <w:pPr>
              <w:pStyle w:val="Tabletext"/>
              <w:jc w:val="center"/>
              <w:rPr>
                <w:rFonts w:ascii="Times New Roman" w:hAnsi="Times New Roman" w:cs="Times New Roman"/>
                <w:sz w:val="20"/>
                <w:szCs w:val="20"/>
              </w:rPr>
            </w:pPr>
          </w:p>
        </w:tc>
        <w:tc>
          <w:tcPr>
            <w:tcW w:w="1630" w:type="dxa"/>
            <w:vAlign w:val="center"/>
          </w:tcPr>
          <w:p w14:paraId="7AAB2DA9"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2 700</w:t>
            </w:r>
            <w:r w:rsidRPr="003C2B67">
              <w:rPr>
                <w:rFonts w:ascii="Times New Roman" w:hAnsi="Times New Roman" w:cs="Times New Roman"/>
                <w:color w:val="000000" w:themeColor="text1"/>
                <w:sz w:val="20"/>
                <w:szCs w:val="20"/>
              </w:rPr>
              <w:t xml:space="preserve"> Hz</w:t>
            </w:r>
          </w:p>
        </w:tc>
        <w:tc>
          <w:tcPr>
            <w:tcW w:w="2414" w:type="dxa"/>
            <w:vAlign w:val="center"/>
          </w:tcPr>
          <w:p w14:paraId="1403954C"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 xml:space="preserve">Long distance tropospheric weak signal communications. </w:t>
            </w:r>
            <w:proofErr w:type="spellStart"/>
            <w:r w:rsidRPr="003C2B67">
              <w:rPr>
                <w:rFonts w:ascii="Times New Roman" w:hAnsi="Times New Roman" w:cs="Times New Roman"/>
                <w:sz w:val="20"/>
                <w:szCs w:val="20"/>
              </w:rPr>
              <w:t>Radiosport</w:t>
            </w:r>
            <w:proofErr w:type="spellEnd"/>
            <w:r w:rsidRPr="003C2B67">
              <w:rPr>
                <w:rFonts w:ascii="Times New Roman" w:hAnsi="Times New Roman" w:cs="Times New Roman"/>
                <w:sz w:val="20"/>
                <w:szCs w:val="20"/>
              </w:rPr>
              <w:t xml:space="preserve"> operation (</w:t>
            </w:r>
            <w:proofErr w:type="spellStart"/>
            <w:r w:rsidRPr="003C2B67">
              <w:rPr>
                <w:rFonts w:ascii="Times New Roman" w:hAnsi="Times New Roman" w:cs="Times New Roman"/>
                <w:sz w:val="20"/>
                <w:szCs w:val="20"/>
              </w:rPr>
              <w:t>incl.EME</w:t>
            </w:r>
            <w:proofErr w:type="spellEnd"/>
            <w:r w:rsidRPr="003C2B67">
              <w:rPr>
                <w:rFonts w:ascii="Times New Roman" w:hAnsi="Times New Roman" w:cs="Times New Roman"/>
                <w:sz w:val="20"/>
                <w:szCs w:val="20"/>
              </w:rPr>
              <w:t>).</w:t>
            </w:r>
          </w:p>
        </w:tc>
      </w:tr>
      <w:tr w:rsidR="0022028D" w:rsidRPr="003C2B67" w14:paraId="49712FAE" w14:textId="77777777" w:rsidTr="00470EDD">
        <w:trPr>
          <w:cantSplit/>
          <w:jc w:val="center"/>
        </w:trPr>
        <w:tc>
          <w:tcPr>
            <w:tcW w:w="1980" w:type="dxa"/>
            <w:vAlign w:val="center"/>
          </w:tcPr>
          <w:p w14:paraId="0EC06203"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 xml:space="preserve">Voice </w:t>
            </w:r>
            <w:r w:rsidRPr="003C2B67">
              <w:rPr>
                <w:rFonts w:ascii="Times New Roman" w:hAnsi="Times New Roman" w:cs="Times New Roman"/>
                <w:sz w:val="20"/>
                <w:szCs w:val="20"/>
              </w:rPr>
              <w:br/>
              <w:t>(Analogue NBFM)</w:t>
            </w:r>
          </w:p>
        </w:tc>
        <w:tc>
          <w:tcPr>
            <w:tcW w:w="709" w:type="dxa"/>
            <w:vAlign w:val="center"/>
          </w:tcPr>
          <w:p w14:paraId="057CB388"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134" w:type="dxa"/>
            <w:vAlign w:val="center"/>
          </w:tcPr>
          <w:p w14:paraId="1C0022DA"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932" w:type="dxa"/>
            <w:vAlign w:val="center"/>
          </w:tcPr>
          <w:p w14:paraId="4C45D2BF"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840" w:type="dxa"/>
            <w:vAlign w:val="center"/>
          </w:tcPr>
          <w:p w14:paraId="2DB2C327" w14:textId="77777777" w:rsidR="0022028D" w:rsidRPr="003C2B67" w:rsidRDefault="0022028D" w:rsidP="00994B8B">
            <w:pPr>
              <w:pStyle w:val="Tabletext"/>
              <w:jc w:val="center"/>
              <w:rPr>
                <w:rFonts w:ascii="Times New Roman" w:hAnsi="Times New Roman" w:cs="Times New Roman"/>
                <w:sz w:val="20"/>
                <w:szCs w:val="20"/>
              </w:rPr>
            </w:pPr>
          </w:p>
        </w:tc>
        <w:tc>
          <w:tcPr>
            <w:tcW w:w="1630" w:type="dxa"/>
            <w:vAlign w:val="center"/>
          </w:tcPr>
          <w:p w14:paraId="3DF579DF"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12 500 and 25 000</w:t>
            </w:r>
            <w:r w:rsidRPr="003C2B67">
              <w:rPr>
                <w:rFonts w:ascii="Times New Roman" w:hAnsi="Times New Roman" w:cs="Times New Roman"/>
                <w:color w:val="000000" w:themeColor="text1"/>
                <w:sz w:val="20"/>
                <w:szCs w:val="20"/>
              </w:rPr>
              <w:t xml:space="preserve"> Hz</w:t>
            </w:r>
            <w:r w:rsidRPr="003C2B67">
              <w:rPr>
                <w:rFonts w:ascii="Times New Roman" w:hAnsi="Times New Roman" w:cs="Times New Roman"/>
                <w:sz w:val="20"/>
                <w:szCs w:val="20"/>
              </w:rPr>
              <w:t xml:space="preserve"> (channel width dependent)</w:t>
            </w:r>
          </w:p>
        </w:tc>
        <w:tc>
          <w:tcPr>
            <w:tcW w:w="2414" w:type="dxa"/>
            <w:vAlign w:val="center"/>
          </w:tcPr>
          <w:p w14:paraId="0D513D87"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Local neighbourhood communications.</w:t>
            </w:r>
          </w:p>
          <w:p w14:paraId="00B20B89"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Satellite communications.</w:t>
            </w:r>
          </w:p>
        </w:tc>
      </w:tr>
      <w:tr w:rsidR="0022028D" w:rsidRPr="003C2B67" w14:paraId="2C88D42F" w14:textId="77777777" w:rsidTr="00470EDD">
        <w:trPr>
          <w:cantSplit/>
          <w:jc w:val="center"/>
        </w:trPr>
        <w:tc>
          <w:tcPr>
            <w:tcW w:w="1980" w:type="dxa"/>
            <w:vAlign w:val="center"/>
          </w:tcPr>
          <w:p w14:paraId="163F06CC"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 xml:space="preserve">Voice </w:t>
            </w:r>
            <w:r w:rsidRPr="003C2B67">
              <w:rPr>
                <w:rFonts w:ascii="Times New Roman" w:hAnsi="Times New Roman" w:cs="Times New Roman"/>
                <w:sz w:val="20"/>
                <w:szCs w:val="20"/>
              </w:rPr>
              <w:br/>
              <w:t>(Digital)</w:t>
            </w:r>
          </w:p>
        </w:tc>
        <w:tc>
          <w:tcPr>
            <w:tcW w:w="709" w:type="dxa"/>
            <w:vAlign w:val="center"/>
          </w:tcPr>
          <w:p w14:paraId="0AF48439"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134" w:type="dxa"/>
            <w:vAlign w:val="center"/>
          </w:tcPr>
          <w:p w14:paraId="61813674" w14:textId="77777777" w:rsidR="0022028D" w:rsidRPr="003C2B67" w:rsidRDefault="0022028D" w:rsidP="00994B8B">
            <w:pPr>
              <w:pStyle w:val="Tabletext"/>
              <w:jc w:val="center"/>
              <w:rPr>
                <w:rFonts w:ascii="Times New Roman" w:hAnsi="Times New Roman" w:cs="Times New Roman"/>
                <w:sz w:val="20"/>
                <w:szCs w:val="20"/>
              </w:rPr>
            </w:pPr>
          </w:p>
        </w:tc>
        <w:tc>
          <w:tcPr>
            <w:tcW w:w="932" w:type="dxa"/>
            <w:vAlign w:val="center"/>
          </w:tcPr>
          <w:p w14:paraId="3512DF60"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840" w:type="dxa"/>
            <w:vAlign w:val="center"/>
          </w:tcPr>
          <w:p w14:paraId="30103A8C" w14:textId="77777777" w:rsidR="0022028D" w:rsidRPr="003C2B67" w:rsidRDefault="0022028D" w:rsidP="00994B8B">
            <w:pPr>
              <w:pStyle w:val="Tabletext"/>
              <w:jc w:val="center"/>
              <w:rPr>
                <w:rFonts w:ascii="Times New Roman" w:hAnsi="Times New Roman" w:cs="Times New Roman"/>
                <w:sz w:val="20"/>
                <w:szCs w:val="20"/>
              </w:rPr>
            </w:pPr>
          </w:p>
        </w:tc>
        <w:tc>
          <w:tcPr>
            <w:tcW w:w="1630" w:type="dxa"/>
            <w:vAlign w:val="center"/>
          </w:tcPr>
          <w:p w14:paraId="79A2CA13"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12 500</w:t>
            </w:r>
            <w:r w:rsidRPr="003C2B67">
              <w:rPr>
                <w:rFonts w:ascii="Times New Roman" w:hAnsi="Times New Roman" w:cs="Times New Roman"/>
                <w:color w:val="000000" w:themeColor="text1"/>
                <w:sz w:val="20"/>
                <w:szCs w:val="20"/>
              </w:rPr>
              <w:t xml:space="preserve"> Hz</w:t>
            </w:r>
          </w:p>
        </w:tc>
        <w:tc>
          <w:tcPr>
            <w:tcW w:w="2414" w:type="dxa"/>
            <w:vAlign w:val="center"/>
          </w:tcPr>
          <w:p w14:paraId="752F2419"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Local neighbourhood communications</w:t>
            </w:r>
          </w:p>
        </w:tc>
      </w:tr>
      <w:tr w:rsidR="0022028D" w:rsidRPr="003C2B67" w14:paraId="1D28AFD5" w14:textId="77777777" w:rsidTr="00470EDD">
        <w:trPr>
          <w:cantSplit/>
          <w:jc w:val="center"/>
        </w:trPr>
        <w:tc>
          <w:tcPr>
            <w:tcW w:w="1980" w:type="dxa"/>
            <w:vAlign w:val="center"/>
          </w:tcPr>
          <w:p w14:paraId="1840E7B8"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 xml:space="preserve">Telegraphy </w:t>
            </w:r>
            <w:r w:rsidRPr="003C2B67">
              <w:rPr>
                <w:rFonts w:ascii="Times New Roman" w:hAnsi="Times New Roman" w:cs="Times New Roman"/>
                <w:sz w:val="20"/>
                <w:szCs w:val="20"/>
              </w:rPr>
              <w:br/>
              <w:t>(Morse code On/Off keying)</w:t>
            </w:r>
          </w:p>
        </w:tc>
        <w:tc>
          <w:tcPr>
            <w:tcW w:w="709" w:type="dxa"/>
            <w:vAlign w:val="center"/>
          </w:tcPr>
          <w:p w14:paraId="0D062CC1"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134" w:type="dxa"/>
            <w:vAlign w:val="center"/>
          </w:tcPr>
          <w:p w14:paraId="40EF905A"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932" w:type="dxa"/>
            <w:vAlign w:val="center"/>
          </w:tcPr>
          <w:p w14:paraId="418194ED" w14:textId="77777777" w:rsidR="0022028D" w:rsidRPr="003C2B67" w:rsidRDefault="0022028D" w:rsidP="00994B8B">
            <w:pPr>
              <w:pStyle w:val="Tabletext"/>
              <w:jc w:val="center"/>
              <w:rPr>
                <w:rFonts w:ascii="Times New Roman" w:hAnsi="Times New Roman" w:cs="Times New Roman"/>
                <w:sz w:val="20"/>
                <w:szCs w:val="20"/>
              </w:rPr>
            </w:pPr>
          </w:p>
        </w:tc>
        <w:tc>
          <w:tcPr>
            <w:tcW w:w="840" w:type="dxa"/>
            <w:vAlign w:val="center"/>
          </w:tcPr>
          <w:p w14:paraId="233B25D6"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630" w:type="dxa"/>
            <w:vAlign w:val="center"/>
          </w:tcPr>
          <w:p w14:paraId="2F273F23"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500</w:t>
            </w:r>
            <w:r w:rsidRPr="003C2B67">
              <w:rPr>
                <w:rFonts w:ascii="Times New Roman" w:hAnsi="Times New Roman" w:cs="Times New Roman"/>
                <w:color w:val="000000" w:themeColor="text1"/>
                <w:sz w:val="20"/>
                <w:szCs w:val="20"/>
              </w:rPr>
              <w:t xml:space="preserve"> Hz</w:t>
            </w:r>
          </w:p>
        </w:tc>
        <w:tc>
          <w:tcPr>
            <w:tcW w:w="2414" w:type="dxa"/>
            <w:vAlign w:val="center"/>
          </w:tcPr>
          <w:p w14:paraId="0FADE4A1"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 xml:space="preserve">Long distance tropospheric weak signal communications. </w:t>
            </w:r>
            <w:proofErr w:type="spellStart"/>
            <w:r w:rsidRPr="003C2B67">
              <w:rPr>
                <w:rFonts w:ascii="Times New Roman" w:hAnsi="Times New Roman" w:cs="Times New Roman"/>
                <w:sz w:val="20"/>
                <w:szCs w:val="20"/>
              </w:rPr>
              <w:t>Radiosport</w:t>
            </w:r>
            <w:proofErr w:type="spellEnd"/>
            <w:r w:rsidRPr="003C2B67">
              <w:rPr>
                <w:rStyle w:val="FootnoteReference"/>
                <w:rFonts w:ascii="Times New Roman" w:hAnsi="Times New Roman" w:cs="Times New Roman"/>
                <w:sz w:val="20"/>
                <w:szCs w:val="20"/>
              </w:rPr>
              <w:footnoteReference w:id="2"/>
            </w:r>
            <w:r w:rsidRPr="003C2B67">
              <w:rPr>
                <w:rFonts w:ascii="Times New Roman" w:hAnsi="Times New Roman" w:cs="Times New Roman"/>
                <w:sz w:val="20"/>
                <w:szCs w:val="20"/>
              </w:rPr>
              <w:t xml:space="preserve"> operation (incl. EME).</w:t>
            </w:r>
          </w:p>
        </w:tc>
      </w:tr>
    </w:tbl>
    <w:p w14:paraId="116C792C" w14:textId="77777777" w:rsidR="00470EDD" w:rsidRPr="003C2B67" w:rsidRDefault="00470EDD">
      <w:r w:rsidRPr="003C2B67">
        <w:br w:type="page"/>
      </w:r>
    </w:p>
    <w:p w14:paraId="49D47ED9" w14:textId="557C3879" w:rsidR="00470EDD" w:rsidRPr="003C2B67" w:rsidRDefault="00470EDD" w:rsidP="00470EDD">
      <w:pPr>
        <w:pStyle w:val="TableNo"/>
      </w:pPr>
      <w:r w:rsidRPr="003C2B67">
        <w:lastRenderedPageBreak/>
        <w:t>Table 2 (</w:t>
      </w:r>
      <w:r w:rsidRPr="003C2B67">
        <w:rPr>
          <w:i/>
          <w:iCs/>
          <w:caps w:val="0"/>
        </w:rPr>
        <w:t>end</w:t>
      </w:r>
      <w:r w:rsidRPr="003C2B67">
        <w:t>)</w:t>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1980"/>
        <w:gridCol w:w="709"/>
        <w:gridCol w:w="1134"/>
        <w:gridCol w:w="932"/>
        <w:gridCol w:w="840"/>
        <w:gridCol w:w="1630"/>
        <w:gridCol w:w="2414"/>
      </w:tblGrid>
      <w:tr w:rsidR="00470EDD" w:rsidRPr="003C2B67" w14:paraId="2627040B" w14:textId="77777777" w:rsidTr="00994B8B">
        <w:trPr>
          <w:cantSplit/>
          <w:jc w:val="center"/>
        </w:trPr>
        <w:tc>
          <w:tcPr>
            <w:tcW w:w="1980" w:type="dxa"/>
            <w:vMerge w:val="restart"/>
            <w:vAlign w:val="center"/>
          </w:tcPr>
          <w:p w14:paraId="10C0742D" w14:textId="77777777" w:rsidR="00470EDD" w:rsidRPr="003C2B67" w:rsidRDefault="00470ED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Application</w:t>
            </w:r>
          </w:p>
        </w:tc>
        <w:tc>
          <w:tcPr>
            <w:tcW w:w="3615" w:type="dxa"/>
            <w:gridSpan w:val="4"/>
            <w:vAlign w:val="center"/>
          </w:tcPr>
          <w:p w14:paraId="4235AEB3" w14:textId="77777777" w:rsidR="00470EDD" w:rsidRPr="003C2B67" w:rsidRDefault="00470ED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Station type</w:t>
            </w:r>
          </w:p>
        </w:tc>
        <w:tc>
          <w:tcPr>
            <w:tcW w:w="1630" w:type="dxa"/>
            <w:vMerge w:val="restart"/>
            <w:vAlign w:val="center"/>
          </w:tcPr>
          <w:p w14:paraId="207BE664" w14:textId="77777777" w:rsidR="00470EDD" w:rsidRPr="003C2B67" w:rsidRDefault="00470ED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Max. bandwidth</w:t>
            </w:r>
          </w:p>
        </w:tc>
        <w:tc>
          <w:tcPr>
            <w:tcW w:w="2414" w:type="dxa"/>
            <w:vMerge w:val="restart"/>
            <w:vAlign w:val="center"/>
          </w:tcPr>
          <w:p w14:paraId="4C424A3E" w14:textId="77777777" w:rsidR="00470EDD" w:rsidRPr="003C2B67" w:rsidRDefault="00470ED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Comments</w:t>
            </w:r>
          </w:p>
        </w:tc>
      </w:tr>
      <w:tr w:rsidR="00470EDD" w:rsidRPr="003C2B67" w14:paraId="02B4756C" w14:textId="77777777" w:rsidTr="00994B8B">
        <w:trPr>
          <w:cantSplit/>
          <w:jc w:val="center"/>
        </w:trPr>
        <w:tc>
          <w:tcPr>
            <w:tcW w:w="1980" w:type="dxa"/>
            <w:vMerge/>
            <w:vAlign w:val="center"/>
          </w:tcPr>
          <w:p w14:paraId="41D2D377" w14:textId="77777777" w:rsidR="00470EDD" w:rsidRPr="003C2B67" w:rsidRDefault="00470EDD" w:rsidP="00994B8B">
            <w:pPr>
              <w:pStyle w:val="Tablehead"/>
              <w:rPr>
                <w:rFonts w:ascii="Times New Roman" w:hAnsi="Times New Roman" w:cs="Times New Roman"/>
                <w:sz w:val="20"/>
                <w:szCs w:val="20"/>
              </w:rPr>
            </w:pPr>
          </w:p>
        </w:tc>
        <w:tc>
          <w:tcPr>
            <w:tcW w:w="709" w:type="dxa"/>
            <w:vMerge w:val="restart"/>
            <w:vAlign w:val="center"/>
          </w:tcPr>
          <w:p w14:paraId="50076248" w14:textId="77777777" w:rsidR="00470EDD" w:rsidRPr="003C2B67" w:rsidRDefault="00470ED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Home</w:t>
            </w:r>
          </w:p>
        </w:tc>
        <w:tc>
          <w:tcPr>
            <w:tcW w:w="1134" w:type="dxa"/>
            <w:vMerge w:val="restart"/>
            <w:vAlign w:val="center"/>
          </w:tcPr>
          <w:p w14:paraId="46524D21" w14:textId="77777777" w:rsidR="00470EDD" w:rsidRPr="003C2B67" w:rsidRDefault="00470ED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Temporary</w:t>
            </w:r>
          </w:p>
        </w:tc>
        <w:tc>
          <w:tcPr>
            <w:tcW w:w="1772" w:type="dxa"/>
            <w:gridSpan w:val="2"/>
            <w:vAlign w:val="center"/>
          </w:tcPr>
          <w:p w14:paraId="5E65D72F" w14:textId="77777777" w:rsidR="00470EDD" w:rsidRPr="003C2B67" w:rsidRDefault="00470ED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Installation</w:t>
            </w:r>
          </w:p>
        </w:tc>
        <w:tc>
          <w:tcPr>
            <w:tcW w:w="1630" w:type="dxa"/>
            <w:vMerge/>
            <w:vAlign w:val="center"/>
          </w:tcPr>
          <w:p w14:paraId="03FD0B02" w14:textId="77777777" w:rsidR="00470EDD" w:rsidRPr="003C2B67" w:rsidRDefault="00470EDD" w:rsidP="00994B8B">
            <w:pPr>
              <w:pStyle w:val="Tablehead"/>
              <w:rPr>
                <w:rFonts w:ascii="Times New Roman" w:hAnsi="Times New Roman" w:cs="Times New Roman"/>
                <w:sz w:val="20"/>
                <w:szCs w:val="20"/>
              </w:rPr>
            </w:pPr>
          </w:p>
        </w:tc>
        <w:tc>
          <w:tcPr>
            <w:tcW w:w="2414" w:type="dxa"/>
            <w:vMerge/>
            <w:vAlign w:val="center"/>
          </w:tcPr>
          <w:p w14:paraId="1D9BF28B" w14:textId="77777777" w:rsidR="00470EDD" w:rsidRPr="003C2B67" w:rsidRDefault="00470EDD" w:rsidP="00994B8B">
            <w:pPr>
              <w:pStyle w:val="Tablehead"/>
              <w:rPr>
                <w:rFonts w:ascii="Times New Roman" w:hAnsi="Times New Roman" w:cs="Times New Roman"/>
                <w:sz w:val="20"/>
                <w:szCs w:val="20"/>
              </w:rPr>
            </w:pPr>
          </w:p>
        </w:tc>
      </w:tr>
      <w:tr w:rsidR="00470EDD" w:rsidRPr="003C2B67" w14:paraId="5B9510FF" w14:textId="77777777" w:rsidTr="00994B8B">
        <w:trPr>
          <w:cantSplit/>
          <w:jc w:val="center"/>
        </w:trPr>
        <w:tc>
          <w:tcPr>
            <w:tcW w:w="1980" w:type="dxa"/>
            <w:vMerge/>
            <w:vAlign w:val="center"/>
          </w:tcPr>
          <w:p w14:paraId="6009692E" w14:textId="77777777" w:rsidR="00470EDD" w:rsidRPr="003C2B67" w:rsidRDefault="00470EDD" w:rsidP="00994B8B">
            <w:pPr>
              <w:pStyle w:val="Tablehead"/>
              <w:rPr>
                <w:rFonts w:ascii="Times New Roman" w:hAnsi="Times New Roman" w:cs="Times New Roman"/>
                <w:sz w:val="20"/>
                <w:szCs w:val="20"/>
              </w:rPr>
            </w:pPr>
          </w:p>
        </w:tc>
        <w:tc>
          <w:tcPr>
            <w:tcW w:w="709" w:type="dxa"/>
            <w:vMerge/>
            <w:vAlign w:val="center"/>
          </w:tcPr>
          <w:p w14:paraId="6414E559" w14:textId="77777777" w:rsidR="00470EDD" w:rsidRPr="003C2B67" w:rsidRDefault="00470EDD" w:rsidP="00994B8B">
            <w:pPr>
              <w:pStyle w:val="Tablehead"/>
              <w:rPr>
                <w:rStyle w:val="ECCHLbold"/>
                <w:rFonts w:ascii="Times New Roman" w:hAnsi="Times New Roman" w:cs="Times New Roman"/>
                <w:b/>
                <w:sz w:val="20"/>
                <w:szCs w:val="20"/>
              </w:rPr>
            </w:pPr>
          </w:p>
        </w:tc>
        <w:tc>
          <w:tcPr>
            <w:tcW w:w="1134" w:type="dxa"/>
            <w:vMerge/>
            <w:vAlign w:val="center"/>
          </w:tcPr>
          <w:p w14:paraId="10AF7DCC" w14:textId="77777777" w:rsidR="00470EDD" w:rsidRPr="003C2B67" w:rsidRDefault="00470EDD" w:rsidP="00994B8B">
            <w:pPr>
              <w:pStyle w:val="Tablehead"/>
              <w:rPr>
                <w:rStyle w:val="ECCHLbold"/>
                <w:rFonts w:ascii="Times New Roman" w:hAnsi="Times New Roman" w:cs="Times New Roman"/>
                <w:b/>
                <w:sz w:val="20"/>
                <w:szCs w:val="20"/>
              </w:rPr>
            </w:pPr>
          </w:p>
        </w:tc>
        <w:tc>
          <w:tcPr>
            <w:tcW w:w="932" w:type="dxa"/>
            <w:vAlign w:val="center"/>
          </w:tcPr>
          <w:p w14:paraId="3779B541" w14:textId="77777777" w:rsidR="00470EDD" w:rsidRPr="003C2B67" w:rsidRDefault="00470ED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Repeater</w:t>
            </w:r>
          </w:p>
        </w:tc>
        <w:tc>
          <w:tcPr>
            <w:tcW w:w="840" w:type="dxa"/>
            <w:vAlign w:val="center"/>
          </w:tcPr>
          <w:p w14:paraId="532B56A7" w14:textId="77777777" w:rsidR="00470EDD" w:rsidRPr="003C2B67" w:rsidRDefault="00470ED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Beacon</w:t>
            </w:r>
          </w:p>
        </w:tc>
        <w:tc>
          <w:tcPr>
            <w:tcW w:w="1630" w:type="dxa"/>
            <w:vMerge/>
            <w:vAlign w:val="center"/>
          </w:tcPr>
          <w:p w14:paraId="40A82EEB" w14:textId="77777777" w:rsidR="00470EDD" w:rsidRPr="003C2B67" w:rsidRDefault="00470EDD" w:rsidP="00994B8B">
            <w:pPr>
              <w:pStyle w:val="Tablehead"/>
              <w:rPr>
                <w:rFonts w:ascii="Times New Roman" w:hAnsi="Times New Roman" w:cs="Times New Roman"/>
                <w:sz w:val="20"/>
                <w:szCs w:val="20"/>
              </w:rPr>
            </w:pPr>
          </w:p>
        </w:tc>
        <w:tc>
          <w:tcPr>
            <w:tcW w:w="2414" w:type="dxa"/>
            <w:vMerge/>
            <w:vAlign w:val="center"/>
          </w:tcPr>
          <w:p w14:paraId="0F1CB694" w14:textId="77777777" w:rsidR="00470EDD" w:rsidRPr="003C2B67" w:rsidRDefault="00470EDD" w:rsidP="00994B8B">
            <w:pPr>
              <w:pStyle w:val="Tablehead"/>
              <w:rPr>
                <w:rFonts w:ascii="Times New Roman" w:hAnsi="Times New Roman" w:cs="Times New Roman"/>
                <w:sz w:val="20"/>
                <w:szCs w:val="20"/>
              </w:rPr>
            </w:pPr>
          </w:p>
        </w:tc>
      </w:tr>
      <w:tr w:rsidR="0022028D" w:rsidRPr="003C2B67" w14:paraId="73B6DE32" w14:textId="77777777" w:rsidTr="00470EDD">
        <w:trPr>
          <w:cantSplit/>
          <w:jc w:val="center"/>
        </w:trPr>
        <w:tc>
          <w:tcPr>
            <w:tcW w:w="1980" w:type="dxa"/>
            <w:vAlign w:val="center"/>
          </w:tcPr>
          <w:p w14:paraId="3CEE52D3" w14:textId="0009C237" w:rsidR="0022028D" w:rsidRPr="003C2B67" w:rsidRDefault="0022028D" w:rsidP="00994B8B">
            <w:pPr>
              <w:pStyle w:val="Tabletext"/>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Machine Generated Modes e.g. RTTY, SSTV</w:t>
            </w:r>
            <w:r w:rsidRPr="003C2B67">
              <w:rPr>
                <w:rStyle w:val="FootnoteReference"/>
                <w:rFonts w:ascii="Times New Roman" w:hAnsi="Times New Roman" w:cs="Times New Roman"/>
                <w:color w:val="000000" w:themeColor="text1"/>
                <w:sz w:val="20"/>
                <w:szCs w:val="20"/>
              </w:rPr>
              <w:footnoteReference w:id="3"/>
            </w:r>
            <w:r w:rsidRPr="003C2B67">
              <w:rPr>
                <w:rFonts w:ascii="Times New Roman" w:hAnsi="Times New Roman" w:cs="Times New Roman"/>
                <w:color w:val="000000" w:themeColor="text1"/>
                <w:sz w:val="20"/>
                <w:szCs w:val="20"/>
              </w:rPr>
              <w:t>, PSK31</w:t>
            </w:r>
            <w:r w:rsidRPr="003C2B67">
              <w:rPr>
                <w:rStyle w:val="FootnoteReference"/>
                <w:rFonts w:ascii="Times New Roman" w:hAnsi="Times New Roman" w:cs="Times New Roman"/>
                <w:color w:val="000000" w:themeColor="text1"/>
                <w:sz w:val="20"/>
                <w:szCs w:val="20"/>
              </w:rPr>
              <w:footnoteReference w:id="4"/>
            </w:r>
            <w:r w:rsidRPr="003C2B67">
              <w:rPr>
                <w:rFonts w:ascii="Times New Roman" w:hAnsi="Times New Roman" w:cs="Times New Roman"/>
                <w:color w:val="000000" w:themeColor="text1"/>
                <w:sz w:val="20"/>
                <w:szCs w:val="20"/>
              </w:rPr>
              <w:t>, WSJT</w:t>
            </w:r>
            <w:r w:rsidRPr="003C2B67">
              <w:rPr>
                <w:rStyle w:val="FootnoteReference"/>
                <w:rFonts w:ascii="Times New Roman" w:hAnsi="Times New Roman" w:cs="Times New Roman"/>
                <w:color w:val="000000" w:themeColor="text1"/>
                <w:sz w:val="20"/>
                <w:szCs w:val="20"/>
              </w:rPr>
              <w:footnoteReference w:id="5"/>
            </w:r>
            <w:r w:rsidRPr="003C2B67">
              <w:rPr>
                <w:rFonts w:ascii="Times New Roman" w:hAnsi="Times New Roman" w:cs="Times New Roman"/>
                <w:color w:val="000000" w:themeColor="text1"/>
                <w:sz w:val="20"/>
                <w:szCs w:val="20"/>
              </w:rPr>
              <w:t xml:space="preserve"> </w:t>
            </w:r>
          </w:p>
        </w:tc>
        <w:tc>
          <w:tcPr>
            <w:tcW w:w="709" w:type="dxa"/>
            <w:vAlign w:val="center"/>
          </w:tcPr>
          <w:p w14:paraId="1DEC3754" w14:textId="77777777" w:rsidR="0022028D" w:rsidRPr="003C2B67" w:rsidRDefault="0022028D" w:rsidP="00994B8B">
            <w:pPr>
              <w:pStyle w:val="Tabletext"/>
              <w:jc w:val="center"/>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Yes</w:t>
            </w:r>
          </w:p>
        </w:tc>
        <w:tc>
          <w:tcPr>
            <w:tcW w:w="1134" w:type="dxa"/>
            <w:vAlign w:val="center"/>
          </w:tcPr>
          <w:p w14:paraId="0A1360B8" w14:textId="77777777" w:rsidR="0022028D" w:rsidRPr="003C2B67" w:rsidRDefault="0022028D" w:rsidP="00994B8B">
            <w:pPr>
              <w:pStyle w:val="Tabletext"/>
              <w:jc w:val="center"/>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Yes</w:t>
            </w:r>
          </w:p>
        </w:tc>
        <w:tc>
          <w:tcPr>
            <w:tcW w:w="932" w:type="dxa"/>
            <w:vAlign w:val="center"/>
          </w:tcPr>
          <w:p w14:paraId="24722619" w14:textId="77777777" w:rsidR="0022028D" w:rsidRPr="003C2B67" w:rsidRDefault="0022028D" w:rsidP="00994B8B">
            <w:pPr>
              <w:pStyle w:val="Tabletext"/>
              <w:jc w:val="center"/>
              <w:rPr>
                <w:rFonts w:ascii="Times New Roman" w:hAnsi="Times New Roman" w:cs="Times New Roman"/>
                <w:color w:val="000000" w:themeColor="text1"/>
                <w:sz w:val="20"/>
                <w:szCs w:val="20"/>
              </w:rPr>
            </w:pPr>
          </w:p>
        </w:tc>
        <w:tc>
          <w:tcPr>
            <w:tcW w:w="840" w:type="dxa"/>
            <w:vAlign w:val="center"/>
          </w:tcPr>
          <w:p w14:paraId="4A2C49D9" w14:textId="77777777" w:rsidR="0022028D" w:rsidRPr="003C2B67" w:rsidRDefault="0022028D" w:rsidP="00994B8B">
            <w:pPr>
              <w:pStyle w:val="Tabletext"/>
              <w:jc w:val="center"/>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Yes</w:t>
            </w:r>
          </w:p>
        </w:tc>
        <w:tc>
          <w:tcPr>
            <w:tcW w:w="1630" w:type="dxa"/>
            <w:vAlign w:val="center"/>
          </w:tcPr>
          <w:p w14:paraId="2019EF96" w14:textId="77777777" w:rsidR="0022028D" w:rsidRPr="003C2B67" w:rsidRDefault="0022028D" w:rsidP="00994B8B">
            <w:pPr>
              <w:pStyle w:val="Tabletext"/>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6 to 2 700 Hz</w:t>
            </w:r>
          </w:p>
          <w:p w14:paraId="1E091A99" w14:textId="77777777" w:rsidR="0022028D" w:rsidRPr="003C2B67" w:rsidRDefault="0022028D" w:rsidP="00994B8B">
            <w:pPr>
              <w:pStyle w:val="Tabletext"/>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Mode dependent</w:t>
            </w:r>
          </w:p>
        </w:tc>
        <w:tc>
          <w:tcPr>
            <w:tcW w:w="2414" w:type="dxa"/>
            <w:vAlign w:val="center"/>
          </w:tcPr>
          <w:p w14:paraId="5E4E0F89" w14:textId="77777777" w:rsidR="0022028D" w:rsidRPr="003C2B67" w:rsidRDefault="0022028D" w:rsidP="00994B8B">
            <w:pPr>
              <w:pStyle w:val="Tabletext"/>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Local and long distance tropospheric weak signal communications. (incl. EME). Imaging</w:t>
            </w:r>
          </w:p>
        </w:tc>
      </w:tr>
      <w:tr w:rsidR="0022028D" w:rsidRPr="003C2B67" w14:paraId="2526E15C" w14:textId="77777777" w:rsidTr="00470EDD">
        <w:trPr>
          <w:cantSplit/>
          <w:jc w:val="center"/>
        </w:trPr>
        <w:tc>
          <w:tcPr>
            <w:tcW w:w="1980" w:type="dxa"/>
            <w:vAlign w:val="center"/>
          </w:tcPr>
          <w:p w14:paraId="497725CA" w14:textId="77777777" w:rsidR="0022028D" w:rsidRPr="003C2B67" w:rsidRDefault="0022028D" w:rsidP="00994B8B">
            <w:pPr>
              <w:pStyle w:val="Tabletext"/>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Data e.g. AFSK 1k2, FSK 9k6, D</w:t>
            </w:r>
            <w:r w:rsidRPr="003C2B67">
              <w:rPr>
                <w:rFonts w:ascii="Times New Roman" w:hAnsi="Times New Roman" w:cs="Times New Roman"/>
                <w:color w:val="000000" w:themeColor="text1"/>
                <w:sz w:val="20"/>
                <w:szCs w:val="20"/>
              </w:rPr>
              <w:noBreakHyphen/>
              <w:t>STAR</w:t>
            </w:r>
            <w:r w:rsidRPr="003C2B67">
              <w:rPr>
                <w:rStyle w:val="FootnoteReference"/>
                <w:rFonts w:ascii="Times New Roman" w:hAnsi="Times New Roman" w:cs="Times New Roman"/>
                <w:color w:val="000000" w:themeColor="text1"/>
                <w:sz w:val="20"/>
                <w:szCs w:val="20"/>
              </w:rPr>
              <w:footnoteReference w:id="6"/>
            </w:r>
            <w:r w:rsidRPr="003C2B67">
              <w:rPr>
                <w:rFonts w:ascii="Times New Roman" w:hAnsi="Times New Roman" w:cs="Times New Roman"/>
                <w:color w:val="000000" w:themeColor="text1"/>
                <w:sz w:val="20"/>
                <w:szCs w:val="20"/>
              </w:rPr>
              <w:t>, Digital Data 128 kbit/s</w:t>
            </w:r>
          </w:p>
        </w:tc>
        <w:tc>
          <w:tcPr>
            <w:tcW w:w="709" w:type="dxa"/>
            <w:vAlign w:val="center"/>
          </w:tcPr>
          <w:p w14:paraId="7AF19982" w14:textId="77777777" w:rsidR="0022028D" w:rsidRPr="003C2B67" w:rsidRDefault="0022028D" w:rsidP="00994B8B">
            <w:pPr>
              <w:pStyle w:val="Tabletext"/>
              <w:jc w:val="center"/>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Yes</w:t>
            </w:r>
          </w:p>
        </w:tc>
        <w:tc>
          <w:tcPr>
            <w:tcW w:w="1134" w:type="dxa"/>
            <w:vAlign w:val="center"/>
          </w:tcPr>
          <w:p w14:paraId="219B1C58" w14:textId="77777777" w:rsidR="0022028D" w:rsidRPr="003C2B67" w:rsidRDefault="0022028D" w:rsidP="00994B8B">
            <w:pPr>
              <w:pStyle w:val="Tabletext"/>
              <w:jc w:val="center"/>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Yes (Mobile)</w:t>
            </w:r>
          </w:p>
        </w:tc>
        <w:tc>
          <w:tcPr>
            <w:tcW w:w="932" w:type="dxa"/>
            <w:vAlign w:val="center"/>
          </w:tcPr>
          <w:p w14:paraId="569B2938" w14:textId="77777777" w:rsidR="0022028D" w:rsidRPr="003C2B67" w:rsidRDefault="0022028D" w:rsidP="00994B8B">
            <w:pPr>
              <w:pStyle w:val="Tabletext"/>
              <w:jc w:val="center"/>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Yes</w:t>
            </w:r>
          </w:p>
        </w:tc>
        <w:tc>
          <w:tcPr>
            <w:tcW w:w="840" w:type="dxa"/>
            <w:vAlign w:val="center"/>
          </w:tcPr>
          <w:p w14:paraId="19892D9A" w14:textId="77777777" w:rsidR="0022028D" w:rsidRPr="003C2B67" w:rsidRDefault="0022028D" w:rsidP="00994B8B">
            <w:pPr>
              <w:pStyle w:val="Tabletext"/>
              <w:jc w:val="center"/>
              <w:rPr>
                <w:rFonts w:ascii="Times New Roman" w:hAnsi="Times New Roman" w:cs="Times New Roman"/>
                <w:color w:val="000000" w:themeColor="text1"/>
                <w:sz w:val="20"/>
                <w:szCs w:val="20"/>
              </w:rPr>
            </w:pPr>
          </w:p>
        </w:tc>
        <w:tc>
          <w:tcPr>
            <w:tcW w:w="1630" w:type="dxa"/>
            <w:vAlign w:val="center"/>
          </w:tcPr>
          <w:p w14:paraId="3EA721C5" w14:textId="77777777" w:rsidR="0022028D" w:rsidRPr="003C2B67" w:rsidRDefault="0022028D" w:rsidP="00994B8B">
            <w:pPr>
              <w:pStyle w:val="Tabletext"/>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12.5 to 150 kHz</w:t>
            </w:r>
          </w:p>
          <w:p w14:paraId="2CC75E94" w14:textId="77777777" w:rsidR="0022028D" w:rsidRPr="003C2B67" w:rsidRDefault="0022028D" w:rsidP="00994B8B">
            <w:pPr>
              <w:pStyle w:val="Tabletext"/>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Mode dependent</w:t>
            </w:r>
          </w:p>
        </w:tc>
        <w:tc>
          <w:tcPr>
            <w:tcW w:w="2414" w:type="dxa"/>
            <w:vAlign w:val="center"/>
          </w:tcPr>
          <w:p w14:paraId="77842FB3" w14:textId="77777777" w:rsidR="0022028D" w:rsidRPr="003C2B67" w:rsidRDefault="0022028D" w:rsidP="00994B8B">
            <w:pPr>
              <w:pStyle w:val="Tabletext"/>
              <w:rPr>
                <w:rFonts w:ascii="Times New Roman" w:hAnsi="Times New Roman" w:cs="Times New Roman"/>
                <w:color w:val="000000" w:themeColor="text1"/>
                <w:sz w:val="20"/>
                <w:szCs w:val="20"/>
              </w:rPr>
            </w:pPr>
            <w:r w:rsidRPr="003C2B67">
              <w:rPr>
                <w:rFonts w:ascii="Times New Roman" w:hAnsi="Times New Roman" w:cs="Times New Roman"/>
                <w:color w:val="000000" w:themeColor="text1"/>
                <w:sz w:val="20"/>
                <w:szCs w:val="20"/>
              </w:rPr>
              <w:t>Local neighbourhood communication links.</w:t>
            </w:r>
          </w:p>
        </w:tc>
      </w:tr>
    </w:tbl>
    <w:p w14:paraId="5FA05FA9" w14:textId="77777777" w:rsidR="0022028D" w:rsidRPr="003C2B67" w:rsidRDefault="0022028D" w:rsidP="0022028D">
      <w:pPr>
        <w:pStyle w:val="Tablefin"/>
      </w:pPr>
    </w:p>
    <w:p w14:paraId="2682BD0C" w14:textId="77777777" w:rsidR="0022028D" w:rsidRPr="003C2B67" w:rsidRDefault="0022028D" w:rsidP="0022028D">
      <w:pPr>
        <w:pStyle w:val="TableNo"/>
      </w:pPr>
      <w:r w:rsidRPr="003C2B67">
        <w:t>Table 3</w:t>
      </w:r>
    </w:p>
    <w:p w14:paraId="009B495C" w14:textId="77777777" w:rsidR="0022028D" w:rsidRPr="003C2B67" w:rsidRDefault="0022028D" w:rsidP="0022028D">
      <w:pPr>
        <w:pStyle w:val="Tabletitle"/>
      </w:pPr>
      <w:r w:rsidRPr="003C2B67">
        <w:t>Wide band amateur applications against the station category</w:t>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1555"/>
        <w:gridCol w:w="850"/>
        <w:gridCol w:w="1134"/>
        <w:gridCol w:w="983"/>
        <w:gridCol w:w="1002"/>
        <w:gridCol w:w="1701"/>
        <w:gridCol w:w="2414"/>
      </w:tblGrid>
      <w:tr w:rsidR="0022028D" w:rsidRPr="003C2B67" w14:paraId="1BE781A9" w14:textId="77777777" w:rsidTr="00994B8B">
        <w:trPr>
          <w:cantSplit/>
          <w:jc w:val="center"/>
        </w:trPr>
        <w:tc>
          <w:tcPr>
            <w:tcW w:w="1555" w:type="dxa"/>
            <w:vMerge w:val="restart"/>
            <w:vAlign w:val="center"/>
          </w:tcPr>
          <w:p w14:paraId="6059F349" w14:textId="77777777" w:rsidR="0022028D" w:rsidRPr="003C2B67" w:rsidRDefault="0022028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Application</w:t>
            </w:r>
          </w:p>
        </w:tc>
        <w:tc>
          <w:tcPr>
            <w:tcW w:w="3969" w:type="dxa"/>
            <w:gridSpan w:val="4"/>
            <w:vAlign w:val="center"/>
          </w:tcPr>
          <w:p w14:paraId="75D71F71" w14:textId="77777777" w:rsidR="0022028D" w:rsidRPr="003C2B67" w:rsidRDefault="0022028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Station type</w:t>
            </w:r>
          </w:p>
        </w:tc>
        <w:tc>
          <w:tcPr>
            <w:tcW w:w="1701" w:type="dxa"/>
            <w:vMerge w:val="restart"/>
            <w:vAlign w:val="center"/>
          </w:tcPr>
          <w:p w14:paraId="58DE3B3E" w14:textId="77777777" w:rsidR="0022028D" w:rsidRPr="003C2B67" w:rsidRDefault="0022028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Max. bandwidth</w:t>
            </w:r>
          </w:p>
        </w:tc>
        <w:tc>
          <w:tcPr>
            <w:tcW w:w="2414" w:type="dxa"/>
            <w:vMerge w:val="restart"/>
            <w:vAlign w:val="center"/>
          </w:tcPr>
          <w:p w14:paraId="6093A9D7" w14:textId="77777777" w:rsidR="0022028D" w:rsidRPr="003C2B67" w:rsidRDefault="0022028D" w:rsidP="00994B8B">
            <w:pPr>
              <w:pStyle w:val="Tablehead"/>
              <w:rPr>
                <w:rFonts w:ascii="Times New Roman" w:hAnsi="Times New Roman" w:cs="Times New Roman"/>
                <w:sz w:val="20"/>
                <w:szCs w:val="20"/>
              </w:rPr>
            </w:pPr>
            <w:r w:rsidRPr="003C2B67">
              <w:rPr>
                <w:rFonts w:ascii="Times New Roman" w:hAnsi="Times New Roman" w:cs="Times New Roman"/>
                <w:sz w:val="20"/>
                <w:szCs w:val="20"/>
              </w:rPr>
              <w:t>Comments</w:t>
            </w:r>
          </w:p>
        </w:tc>
      </w:tr>
      <w:tr w:rsidR="0022028D" w:rsidRPr="003C2B67" w14:paraId="16F0090C" w14:textId="77777777" w:rsidTr="00994B8B">
        <w:trPr>
          <w:cantSplit/>
          <w:jc w:val="center"/>
        </w:trPr>
        <w:tc>
          <w:tcPr>
            <w:tcW w:w="1555" w:type="dxa"/>
            <w:vMerge/>
            <w:vAlign w:val="center"/>
          </w:tcPr>
          <w:p w14:paraId="1B660118" w14:textId="77777777" w:rsidR="0022028D" w:rsidRPr="003C2B67" w:rsidRDefault="0022028D" w:rsidP="00994B8B">
            <w:pPr>
              <w:pStyle w:val="Tablehead"/>
              <w:rPr>
                <w:rFonts w:ascii="Times New Roman" w:hAnsi="Times New Roman" w:cs="Times New Roman"/>
                <w:sz w:val="20"/>
                <w:szCs w:val="20"/>
              </w:rPr>
            </w:pPr>
          </w:p>
        </w:tc>
        <w:tc>
          <w:tcPr>
            <w:tcW w:w="850" w:type="dxa"/>
            <w:vMerge w:val="restart"/>
            <w:vAlign w:val="center"/>
          </w:tcPr>
          <w:p w14:paraId="3344C13F"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Home</w:t>
            </w:r>
          </w:p>
        </w:tc>
        <w:tc>
          <w:tcPr>
            <w:tcW w:w="1134" w:type="dxa"/>
            <w:vMerge w:val="restart"/>
            <w:vAlign w:val="center"/>
          </w:tcPr>
          <w:p w14:paraId="6FB66B52"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Temporary</w:t>
            </w:r>
          </w:p>
        </w:tc>
        <w:tc>
          <w:tcPr>
            <w:tcW w:w="1985" w:type="dxa"/>
            <w:gridSpan w:val="2"/>
            <w:vAlign w:val="center"/>
          </w:tcPr>
          <w:p w14:paraId="44401609"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Installation</w:t>
            </w:r>
          </w:p>
        </w:tc>
        <w:tc>
          <w:tcPr>
            <w:tcW w:w="1701" w:type="dxa"/>
            <w:vMerge/>
            <w:vAlign w:val="center"/>
          </w:tcPr>
          <w:p w14:paraId="699A2AD0" w14:textId="77777777" w:rsidR="0022028D" w:rsidRPr="003C2B67" w:rsidRDefault="0022028D" w:rsidP="00994B8B">
            <w:pPr>
              <w:pStyle w:val="Tablehead"/>
              <w:rPr>
                <w:rFonts w:ascii="Times New Roman" w:hAnsi="Times New Roman" w:cs="Times New Roman"/>
                <w:sz w:val="20"/>
                <w:szCs w:val="20"/>
              </w:rPr>
            </w:pPr>
          </w:p>
        </w:tc>
        <w:tc>
          <w:tcPr>
            <w:tcW w:w="2414" w:type="dxa"/>
            <w:vMerge/>
            <w:vAlign w:val="center"/>
          </w:tcPr>
          <w:p w14:paraId="5A695BB5" w14:textId="77777777" w:rsidR="0022028D" w:rsidRPr="003C2B67" w:rsidRDefault="0022028D" w:rsidP="00994B8B">
            <w:pPr>
              <w:pStyle w:val="Tablehead"/>
              <w:rPr>
                <w:rFonts w:ascii="Times New Roman" w:hAnsi="Times New Roman" w:cs="Times New Roman"/>
                <w:sz w:val="20"/>
                <w:szCs w:val="20"/>
              </w:rPr>
            </w:pPr>
          </w:p>
        </w:tc>
      </w:tr>
      <w:tr w:rsidR="0022028D" w:rsidRPr="003C2B67" w14:paraId="5945DA45" w14:textId="77777777" w:rsidTr="00994B8B">
        <w:trPr>
          <w:cantSplit/>
          <w:jc w:val="center"/>
        </w:trPr>
        <w:tc>
          <w:tcPr>
            <w:tcW w:w="1555" w:type="dxa"/>
            <w:vMerge/>
            <w:vAlign w:val="center"/>
          </w:tcPr>
          <w:p w14:paraId="1197C01E" w14:textId="77777777" w:rsidR="0022028D" w:rsidRPr="003C2B67" w:rsidRDefault="0022028D" w:rsidP="00994B8B">
            <w:pPr>
              <w:pStyle w:val="Tablehead"/>
              <w:rPr>
                <w:rFonts w:ascii="Times New Roman" w:hAnsi="Times New Roman" w:cs="Times New Roman"/>
                <w:sz w:val="20"/>
                <w:szCs w:val="20"/>
              </w:rPr>
            </w:pPr>
          </w:p>
        </w:tc>
        <w:tc>
          <w:tcPr>
            <w:tcW w:w="850" w:type="dxa"/>
            <w:vMerge/>
            <w:vAlign w:val="center"/>
          </w:tcPr>
          <w:p w14:paraId="05B1FF91" w14:textId="77777777" w:rsidR="0022028D" w:rsidRPr="003C2B67" w:rsidRDefault="0022028D" w:rsidP="00994B8B">
            <w:pPr>
              <w:pStyle w:val="Tablehead"/>
              <w:rPr>
                <w:rStyle w:val="ECCHLbold"/>
                <w:rFonts w:ascii="Times New Roman" w:hAnsi="Times New Roman" w:cs="Times New Roman"/>
                <w:b/>
                <w:sz w:val="20"/>
                <w:szCs w:val="20"/>
              </w:rPr>
            </w:pPr>
          </w:p>
        </w:tc>
        <w:tc>
          <w:tcPr>
            <w:tcW w:w="1134" w:type="dxa"/>
            <w:vMerge/>
            <w:vAlign w:val="center"/>
          </w:tcPr>
          <w:p w14:paraId="18A607CA" w14:textId="77777777" w:rsidR="0022028D" w:rsidRPr="003C2B67" w:rsidRDefault="0022028D" w:rsidP="00994B8B">
            <w:pPr>
              <w:pStyle w:val="Tablehead"/>
              <w:rPr>
                <w:rStyle w:val="ECCHLbold"/>
                <w:rFonts w:ascii="Times New Roman" w:hAnsi="Times New Roman" w:cs="Times New Roman"/>
                <w:b/>
                <w:sz w:val="20"/>
                <w:szCs w:val="20"/>
              </w:rPr>
            </w:pPr>
          </w:p>
        </w:tc>
        <w:tc>
          <w:tcPr>
            <w:tcW w:w="983" w:type="dxa"/>
            <w:vAlign w:val="center"/>
          </w:tcPr>
          <w:p w14:paraId="34858702" w14:textId="77777777" w:rsidR="0022028D" w:rsidRPr="003C2B67" w:rsidRDefault="0022028D" w:rsidP="00994B8B">
            <w:pPr>
              <w:pStyle w:val="Tablehead"/>
              <w:ind w:right="-138"/>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Repeater</w:t>
            </w:r>
          </w:p>
        </w:tc>
        <w:tc>
          <w:tcPr>
            <w:tcW w:w="1002" w:type="dxa"/>
            <w:vAlign w:val="center"/>
          </w:tcPr>
          <w:p w14:paraId="01991B2B" w14:textId="77777777" w:rsidR="0022028D" w:rsidRPr="003C2B67" w:rsidRDefault="0022028D" w:rsidP="00994B8B">
            <w:pPr>
              <w:pStyle w:val="Tablehead"/>
              <w:rPr>
                <w:rStyle w:val="ECCHLbold"/>
                <w:rFonts w:ascii="Times New Roman" w:hAnsi="Times New Roman" w:cs="Times New Roman"/>
                <w:b/>
                <w:sz w:val="20"/>
                <w:szCs w:val="20"/>
              </w:rPr>
            </w:pPr>
            <w:r w:rsidRPr="003C2B67">
              <w:rPr>
                <w:rStyle w:val="ECCHLbold"/>
                <w:rFonts w:ascii="Times New Roman" w:hAnsi="Times New Roman" w:cs="Times New Roman"/>
                <w:b/>
                <w:sz w:val="20"/>
                <w:szCs w:val="20"/>
              </w:rPr>
              <w:t>Beacon</w:t>
            </w:r>
          </w:p>
        </w:tc>
        <w:tc>
          <w:tcPr>
            <w:tcW w:w="1701" w:type="dxa"/>
            <w:vMerge/>
            <w:vAlign w:val="center"/>
          </w:tcPr>
          <w:p w14:paraId="69B3E004" w14:textId="77777777" w:rsidR="0022028D" w:rsidRPr="003C2B67" w:rsidRDefault="0022028D" w:rsidP="00994B8B">
            <w:pPr>
              <w:pStyle w:val="Tablehead"/>
              <w:rPr>
                <w:rFonts w:ascii="Times New Roman" w:hAnsi="Times New Roman" w:cs="Times New Roman"/>
                <w:sz w:val="20"/>
                <w:szCs w:val="20"/>
              </w:rPr>
            </w:pPr>
          </w:p>
        </w:tc>
        <w:tc>
          <w:tcPr>
            <w:tcW w:w="2414" w:type="dxa"/>
            <w:vMerge/>
            <w:vAlign w:val="center"/>
          </w:tcPr>
          <w:p w14:paraId="34A5D76A" w14:textId="77777777" w:rsidR="0022028D" w:rsidRPr="003C2B67" w:rsidRDefault="0022028D" w:rsidP="00994B8B">
            <w:pPr>
              <w:pStyle w:val="Tablehead"/>
              <w:rPr>
                <w:rFonts w:ascii="Times New Roman" w:hAnsi="Times New Roman" w:cs="Times New Roman"/>
                <w:sz w:val="20"/>
                <w:szCs w:val="20"/>
              </w:rPr>
            </w:pPr>
          </w:p>
        </w:tc>
      </w:tr>
      <w:tr w:rsidR="0022028D" w:rsidRPr="003C2B67" w14:paraId="5BC24D83" w14:textId="77777777" w:rsidTr="00994B8B">
        <w:trPr>
          <w:cantSplit/>
          <w:jc w:val="center"/>
        </w:trPr>
        <w:tc>
          <w:tcPr>
            <w:tcW w:w="1555" w:type="dxa"/>
            <w:vAlign w:val="center"/>
          </w:tcPr>
          <w:p w14:paraId="67D35DF5"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Analogue ATV (FM-TV)</w:t>
            </w:r>
          </w:p>
        </w:tc>
        <w:tc>
          <w:tcPr>
            <w:tcW w:w="850" w:type="dxa"/>
            <w:vAlign w:val="center"/>
          </w:tcPr>
          <w:p w14:paraId="32C8787D"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134" w:type="dxa"/>
            <w:vAlign w:val="center"/>
          </w:tcPr>
          <w:p w14:paraId="4FC3303F"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983" w:type="dxa"/>
            <w:vAlign w:val="center"/>
          </w:tcPr>
          <w:p w14:paraId="0E1EBCC1"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002" w:type="dxa"/>
            <w:vAlign w:val="center"/>
          </w:tcPr>
          <w:p w14:paraId="4C3BDFC0" w14:textId="77777777" w:rsidR="0022028D" w:rsidRPr="003C2B67" w:rsidRDefault="0022028D" w:rsidP="00994B8B">
            <w:pPr>
              <w:pStyle w:val="Tabletext"/>
              <w:jc w:val="center"/>
              <w:rPr>
                <w:rFonts w:ascii="Times New Roman" w:hAnsi="Times New Roman" w:cs="Times New Roman"/>
                <w:sz w:val="20"/>
                <w:szCs w:val="20"/>
              </w:rPr>
            </w:pPr>
          </w:p>
        </w:tc>
        <w:tc>
          <w:tcPr>
            <w:tcW w:w="1701" w:type="dxa"/>
            <w:vAlign w:val="center"/>
          </w:tcPr>
          <w:p w14:paraId="3003A5F6"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20 MHz</w:t>
            </w:r>
          </w:p>
        </w:tc>
        <w:tc>
          <w:tcPr>
            <w:tcW w:w="2414" w:type="dxa"/>
            <w:vAlign w:val="center"/>
          </w:tcPr>
          <w:p w14:paraId="1702A6B6"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Legacy technology, deployments decreasing.</w:t>
            </w:r>
          </w:p>
        </w:tc>
      </w:tr>
      <w:tr w:rsidR="0022028D" w:rsidRPr="003C2B67" w14:paraId="04D9A375" w14:textId="77777777" w:rsidTr="00994B8B">
        <w:trPr>
          <w:cantSplit/>
          <w:jc w:val="center"/>
        </w:trPr>
        <w:tc>
          <w:tcPr>
            <w:tcW w:w="1555" w:type="dxa"/>
            <w:vAlign w:val="center"/>
          </w:tcPr>
          <w:p w14:paraId="482479AC"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Digital ATV</w:t>
            </w:r>
            <w:r w:rsidRPr="003C2B67">
              <w:rPr>
                <w:rFonts w:ascii="Times New Roman" w:hAnsi="Times New Roman" w:cs="Times New Roman"/>
                <w:sz w:val="20"/>
                <w:szCs w:val="20"/>
              </w:rPr>
              <w:br/>
              <w:t>(DVB Standards)</w:t>
            </w:r>
          </w:p>
        </w:tc>
        <w:tc>
          <w:tcPr>
            <w:tcW w:w="850" w:type="dxa"/>
            <w:vAlign w:val="center"/>
          </w:tcPr>
          <w:p w14:paraId="3A5CA895"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134" w:type="dxa"/>
            <w:vAlign w:val="center"/>
          </w:tcPr>
          <w:p w14:paraId="0FBC2197"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983" w:type="dxa"/>
            <w:vAlign w:val="center"/>
          </w:tcPr>
          <w:p w14:paraId="3F615FF1"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Yes</w:t>
            </w:r>
          </w:p>
        </w:tc>
        <w:tc>
          <w:tcPr>
            <w:tcW w:w="1002" w:type="dxa"/>
            <w:vAlign w:val="center"/>
          </w:tcPr>
          <w:p w14:paraId="15AA8256" w14:textId="77777777" w:rsidR="0022028D" w:rsidRPr="003C2B67" w:rsidRDefault="0022028D" w:rsidP="00994B8B">
            <w:pPr>
              <w:pStyle w:val="Tabletext"/>
              <w:jc w:val="center"/>
              <w:rPr>
                <w:rFonts w:ascii="Times New Roman" w:hAnsi="Times New Roman" w:cs="Times New Roman"/>
                <w:sz w:val="20"/>
                <w:szCs w:val="20"/>
              </w:rPr>
            </w:pPr>
          </w:p>
        </w:tc>
        <w:tc>
          <w:tcPr>
            <w:tcW w:w="1701" w:type="dxa"/>
            <w:vAlign w:val="center"/>
          </w:tcPr>
          <w:p w14:paraId="4956D24B"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 xml:space="preserve">1-8 MHz </w:t>
            </w:r>
          </w:p>
          <w:p w14:paraId="22CE51CD" w14:textId="77777777" w:rsidR="0022028D" w:rsidRPr="003C2B67" w:rsidRDefault="0022028D" w:rsidP="00994B8B">
            <w:pPr>
              <w:pStyle w:val="Tabletext"/>
              <w:jc w:val="center"/>
              <w:rPr>
                <w:rFonts w:ascii="Times New Roman" w:hAnsi="Times New Roman" w:cs="Times New Roman"/>
                <w:sz w:val="20"/>
                <w:szCs w:val="20"/>
              </w:rPr>
            </w:pPr>
            <w:r w:rsidRPr="003C2B67">
              <w:rPr>
                <w:rFonts w:ascii="Times New Roman" w:hAnsi="Times New Roman" w:cs="Times New Roman"/>
                <w:sz w:val="20"/>
                <w:szCs w:val="20"/>
              </w:rPr>
              <w:t>Symbol rate dependent</w:t>
            </w:r>
          </w:p>
        </w:tc>
        <w:tc>
          <w:tcPr>
            <w:tcW w:w="2414" w:type="dxa"/>
            <w:vAlign w:val="center"/>
          </w:tcPr>
          <w:p w14:paraId="6024F50B" w14:textId="77777777" w:rsidR="0022028D" w:rsidRPr="003C2B67" w:rsidRDefault="0022028D" w:rsidP="00994B8B">
            <w:pPr>
              <w:pStyle w:val="Tabletext"/>
              <w:rPr>
                <w:rFonts w:ascii="Times New Roman" w:hAnsi="Times New Roman" w:cs="Times New Roman"/>
                <w:sz w:val="20"/>
                <w:szCs w:val="20"/>
              </w:rPr>
            </w:pPr>
            <w:r w:rsidRPr="003C2B67">
              <w:rPr>
                <w:rFonts w:ascii="Times New Roman" w:hAnsi="Times New Roman" w:cs="Times New Roman"/>
                <w:sz w:val="20"/>
                <w:szCs w:val="20"/>
              </w:rPr>
              <w:t>State of the art technology, deployments increasing</w:t>
            </w:r>
          </w:p>
        </w:tc>
      </w:tr>
    </w:tbl>
    <w:p w14:paraId="2C6067AB" w14:textId="77777777" w:rsidR="0022028D" w:rsidRPr="003C2B67" w:rsidRDefault="0022028D" w:rsidP="0022028D">
      <w:pPr>
        <w:pStyle w:val="Tablefin"/>
      </w:pPr>
    </w:p>
    <w:p w14:paraId="0975CC63" w14:textId="7A5A1BD8" w:rsidR="0022028D" w:rsidRPr="003C2B67" w:rsidRDefault="0022028D" w:rsidP="0022028D">
      <w:r w:rsidRPr="003C2B67">
        <w:t>Modern ATV installations employ spectrally efficient digital TV transmitters based on DVB</w:t>
      </w:r>
      <w:r w:rsidR="00470EDD" w:rsidRPr="003C2B67">
        <w:noBreakHyphen/>
      </w:r>
      <w:r w:rsidRPr="003C2B67">
        <w:t xml:space="preserve">S/MPEG-2 signals. Symbol rates of 2 </w:t>
      </w:r>
      <w:proofErr w:type="spellStart"/>
      <w:r w:rsidRPr="003C2B67">
        <w:t>MBd</w:t>
      </w:r>
      <w:proofErr w:type="spellEnd"/>
      <w:r w:rsidRPr="003C2B67">
        <w:t xml:space="preserve"> or 4 </w:t>
      </w:r>
      <w:proofErr w:type="spellStart"/>
      <w:r w:rsidRPr="003C2B67">
        <w:t>MBd</w:t>
      </w:r>
      <w:proofErr w:type="spellEnd"/>
      <w:r w:rsidRPr="003C2B67">
        <w:t xml:space="preserve"> operate in lower bandwidth channels and further experimentation continues to increase the spectrum efficiency of amateur TV signals. It has been shown possible to transmit HD MPEG-4 signals with symbol rates less than 333 </w:t>
      </w:r>
      <w:proofErr w:type="spellStart"/>
      <w:r w:rsidRPr="003C2B67">
        <w:t>kBd</w:t>
      </w:r>
      <w:proofErr w:type="spellEnd"/>
      <w:r w:rsidRPr="003C2B67">
        <w:t xml:space="preserve"> in a bandwidth as little as 500 kHz.</w:t>
      </w:r>
    </w:p>
    <w:p w14:paraId="072EAD76" w14:textId="77777777" w:rsidR="0022028D" w:rsidRPr="003C2B67" w:rsidRDefault="0022028D" w:rsidP="0022028D">
      <w:pPr>
        <w:pStyle w:val="Heading2"/>
      </w:pPr>
      <w:bookmarkStart w:id="22" w:name="_Toc43751166"/>
      <w:bookmarkStart w:id="23" w:name="_Toc89080117"/>
      <w:bookmarkStart w:id="24" w:name="_Toc146277891"/>
      <w:r w:rsidRPr="003C2B67">
        <w:lastRenderedPageBreak/>
        <w:t>5.2</w:t>
      </w:r>
      <w:r w:rsidRPr="003C2B67">
        <w:tab/>
        <w:t xml:space="preserve">Typical amateur station antenna </w:t>
      </w:r>
      <w:bookmarkEnd w:id="22"/>
      <w:r w:rsidRPr="003C2B67">
        <w:t>characteristics in the 1 240</w:t>
      </w:r>
      <w:r w:rsidRPr="003C2B67">
        <w:noBreakHyphen/>
        <w:t>1 300 MHz band</w:t>
      </w:r>
      <w:bookmarkEnd w:id="23"/>
      <w:bookmarkEnd w:id="24"/>
    </w:p>
    <w:p w14:paraId="24C143E3" w14:textId="77777777" w:rsidR="0022028D" w:rsidRPr="003C2B67" w:rsidRDefault="0022028D" w:rsidP="0022028D">
      <w:r w:rsidRPr="003C2B67">
        <w:t xml:space="preserve">There is no standard amateur station and in most cases the antenna installation at any individual amateur station is constrained or influenced by the physical location and town planning restrictions. The following antenna types are typical and based on deployments detailed in published information relating to activity periods and reports from </w:t>
      </w:r>
      <w:proofErr w:type="spellStart"/>
      <w:r w:rsidRPr="003C2B67">
        <w:t>radiosport</w:t>
      </w:r>
      <w:proofErr w:type="spellEnd"/>
      <w:r w:rsidRPr="003C2B67">
        <w:t xml:space="preserve"> contests. In general home and temporary stations use highly directional, narrow beam width antennas in this frequency range.</w:t>
      </w:r>
    </w:p>
    <w:p w14:paraId="255621E6" w14:textId="77777777" w:rsidR="0022028D" w:rsidRPr="003C2B67" w:rsidRDefault="0022028D" w:rsidP="0022028D">
      <w:pPr>
        <w:pStyle w:val="Headingb"/>
      </w:pPr>
      <w:r w:rsidRPr="003C2B67">
        <w:t>Home station and temporary “portable” station antennas</w:t>
      </w:r>
    </w:p>
    <w:p w14:paraId="745F4480" w14:textId="77777777" w:rsidR="0022028D" w:rsidRPr="003C2B67" w:rsidRDefault="0022028D" w:rsidP="0022028D">
      <w:r w:rsidRPr="003C2B67">
        <w:t>Home stations generally use a single directional antenna; however, in a few cases multiple antennas are combined to increase the array gain. This is more usual for Earth-Moon-Earth (EME)</w:t>
      </w:r>
      <w:r w:rsidRPr="003C2B67">
        <w:rPr>
          <w:vertAlign w:val="superscript"/>
        </w:rPr>
        <w:footnoteReference w:id="7"/>
      </w:r>
      <w:r w:rsidRPr="003C2B67">
        <w:t xml:space="preserve"> operators for whom high antenna gain is essential for overcoming the high path and reflection loss. A higher performance EME station might use instead a medium size dish antenna. Table 4 contains the antenna details:</w:t>
      </w:r>
    </w:p>
    <w:p w14:paraId="05D3DB70" w14:textId="77777777" w:rsidR="0022028D" w:rsidRPr="003C2B67" w:rsidRDefault="0022028D" w:rsidP="0022028D">
      <w:pPr>
        <w:pStyle w:val="TableNo"/>
      </w:pPr>
      <w:r w:rsidRPr="003C2B67">
        <w:t>Table 4</w:t>
      </w:r>
    </w:p>
    <w:p w14:paraId="2B9611C2" w14:textId="77777777" w:rsidR="0022028D" w:rsidRPr="003C2B67" w:rsidRDefault="0022028D" w:rsidP="0022028D">
      <w:pPr>
        <w:pStyle w:val="Tabletitle"/>
      </w:pPr>
      <w:r w:rsidRPr="003C2B67">
        <w:rPr>
          <w:szCs w:val="24"/>
        </w:rPr>
        <w:t xml:space="preserve">Typical </w:t>
      </w:r>
      <w:r w:rsidRPr="003C2B67">
        <w:t>home station and temporary “portable” station antennas</w:t>
      </w:r>
    </w:p>
    <w:tbl>
      <w:tblPr>
        <w:tblStyle w:val="TableGrid"/>
        <w:tblW w:w="0" w:type="auto"/>
        <w:jc w:val="center"/>
        <w:tblLook w:val="04A0" w:firstRow="1" w:lastRow="0" w:firstColumn="1" w:lastColumn="0" w:noHBand="0" w:noVBand="1"/>
      </w:tblPr>
      <w:tblGrid>
        <w:gridCol w:w="3539"/>
        <w:gridCol w:w="3260"/>
        <w:gridCol w:w="2830"/>
      </w:tblGrid>
      <w:tr w:rsidR="0022028D" w:rsidRPr="003C2B67" w14:paraId="45DB5A75" w14:textId="77777777" w:rsidTr="00994B8B">
        <w:trPr>
          <w:jc w:val="center"/>
        </w:trPr>
        <w:tc>
          <w:tcPr>
            <w:tcW w:w="3539" w:type="dxa"/>
          </w:tcPr>
          <w:p w14:paraId="3734108D"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Antenna type</w:t>
            </w:r>
          </w:p>
        </w:tc>
        <w:tc>
          <w:tcPr>
            <w:tcW w:w="3260" w:type="dxa"/>
          </w:tcPr>
          <w:p w14:paraId="636BB93A"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Gain</w:t>
            </w:r>
            <w:r w:rsidRPr="003C2B67">
              <w:rPr>
                <w:rFonts w:ascii="Times New Roman" w:hAnsi="Times New Roman" w:cs="Times New Roman"/>
              </w:rPr>
              <w:br/>
              <w:t>(</w:t>
            </w:r>
            <w:proofErr w:type="spellStart"/>
            <w:r w:rsidRPr="003C2B67">
              <w:rPr>
                <w:rFonts w:ascii="Times New Roman" w:hAnsi="Times New Roman" w:cs="Times New Roman"/>
              </w:rPr>
              <w:t>dBi</w:t>
            </w:r>
            <w:proofErr w:type="spellEnd"/>
            <w:r w:rsidRPr="003C2B67">
              <w:rPr>
                <w:rFonts w:ascii="Times New Roman" w:hAnsi="Times New Roman" w:cs="Times New Roman"/>
              </w:rPr>
              <w:t>)</w:t>
            </w:r>
          </w:p>
        </w:tc>
        <w:tc>
          <w:tcPr>
            <w:tcW w:w="2830" w:type="dxa"/>
          </w:tcPr>
          <w:p w14:paraId="36ADD544"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3 dB beam width</w:t>
            </w:r>
            <w:r w:rsidRPr="003C2B67">
              <w:rPr>
                <w:rFonts w:ascii="Times New Roman" w:hAnsi="Times New Roman" w:cs="Times New Roman"/>
              </w:rPr>
              <w:br/>
              <w:t>(degrees)</w:t>
            </w:r>
          </w:p>
        </w:tc>
      </w:tr>
      <w:tr w:rsidR="0022028D" w:rsidRPr="003C2B67" w14:paraId="485C380C" w14:textId="77777777" w:rsidTr="00994B8B">
        <w:trPr>
          <w:jc w:val="center"/>
        </w:trPr>
        <w:tc>
          <w:tcPr>
            <w:tcW w:w="3539" w:type="dxa"/>
          </w:tcPr>
          <w:p w14:paraId="0B2A22A8"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Single Yagi beam (23 to 55 element)</w:t>
            </w:r>
          </w:p>
        </w:tc>
        <w:tc>
          <w:tcPr>
            <w:tcW w:w="3260" w:type="dxa"/>
          </w:tcPr>
          <w:p w14:paraId="6A804CF0"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18 to 21</w:t>
            </w:r>
          </w:p>
        </w:tc>
        <w:tc>
          <w:tcPr>
            <w:tcW w:w="2830" w:type="dxa"/>
          </w:tcPr>
          <w:p w14:paraId="57147F15"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18 to 10</w:t>
            </w:r>
          </w:p>
        </w:tc>
      </w:tr>
      <w:tr w:rsidR="0022028D" w:rsidRPr="003C2B67" w14:paraId="0C0AFCFF" w14:textId="77777777" w:rsidTr="00994B8B">
        <w:trPr>
          <w:jc w:val="center"/>
        </w:trPr>
        <w:tc>
          <w:tcPr>
            <w:tcW w:w="3539" w:type="dxa"/>
          </w:tcPr>
          <w:p w14:paraId="14DF0206"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Multiple Yagi beams (for EME)</w:t>
            </w:r>
          </w:p>
          <w:p w14:paraId="4A5D559A"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Dish antenna (for EME)</w:t>
            </w:r>
          </w:p>
        </w:tc>
        <w:tc>
          <w:tcPr>
            <w:tcW w:w="3260" w:type="dxa"/>
          </w:tcPr>
          <w:p w14:paraId="79A9E256"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21</w:t>
            </w:r>
          </w:p>
          <w:p w14:paraId="055D04F1"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32 (4 m diameter)</w:t>
            </w:r>
          </w:p>
        </w:tc>
        <w:tc>
          <w:tcPr>
            <w:tcW w:w="2830" w:type="dxa"/>
          </w:tcPr>
          <w:p w14:paraId="5C93433A"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10</w:t>
            </w:r>
          </w:p>
          <w:p w14:paraId="1886F252"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4</w:t>
            </w:r>
          </w:p>
        </w:tc>
      </w:tr>
    </w:tbl>
    <w:p w14:paraId="1C9887DF" w14:textId="77777777" w:rsidR="0022028D" w:rsidRPr="003C2B67" w:rsidRDefault="0022028D" w:rsidP="0022028D">
      <w:pPr>
        <w:pStyle w:val="Tablefin"/>
      </w:pPr>
    </w:p>
    <w:p w14:paraId="22A1498F" w14:textId="77777777" w:rsidR="0022028D" w:rsidRPr="003C2B67" w:rsidRDefault="0022028D" w:rsidP="0022028D">
      <w:pPr>
        <w:pStyle w:val="Headingb"/>
      </w:pPr>
      <w:r w:rsidRPr="003C2B67">
        <w:t>Permanent installation antennas</w:t>
      </w:r>
    </w:p>
    <w:p w14:paraId="208FBABC" w14:textId="77777777" w:rsidR="0022028D" w:rsidRPr="003C2B67" w:rsidRDefault="0022028D" w:rsidP="0022028D">
      <w:r w:rsidRPr="003C2B67">
        <w:t>Permanent installations operate for different applications using a variety of antenna types characterized by different gain and directivity figures. However, most permanent installations antennas are less directional and (in the case of repeaters) are generally intended to provide coverage over a local area. It should be noted that the antenna type used depends not only on the application but also on the local topography</w:t>
      </w:r>
      <w:r w:rsidRPr="003C2B67">
        <w:rPr>
          <w:rStyle w:val="FootnoteReference"/>
        </w:rPr>
        <w:footnoteReference w:id="8"/>
      </w:r>
      <w:r w:rsidRPr="003C2B67">
        <w:t>. Table 5 summarizes antenna characteristics with indications of minimum, median and maximum parameter values of a typical installation.</w:t>
      </w:r>
    </w:p>
    <w:p w14:paraId="44FB7239" w14:textId="77777777" w:rsidR="0022028D" w:rsidRPr="003C2B67" w:rsidRDefault="0022028D" w:rsidP="0022028D">
      <w:pPr>
        <w:pStyle w:val="TableNo"/>
      </w:pPr>
      <w:r w:rsidRPr="003C2B67">
        <w:lastRenderedPageBreak/>
        <w:t>Table 5</w:t>
      </w:r>
    </w:p>
    <w:p w14:paraId="7D59C9D2" w14:textId="77777777" w:rsidR="0022028D" w:rsidRPr="003C2B67" w:rsidRDefault="0022028D" w:rsidP="0022028D">
      <w:pPr>
        <w:pStyle w:val="Tabletitle"/>
      </w:pPr>
      <w:r w:rsidRPr="003C2B67">
        <w:rPr>
          <w:color w:val="000000" w:themeColor="text1"/>
        </w:rPr>
        <w:t xml:space="preserve">Antenna characteristic of a typical </w:t>
      </w:r>
      <w:r w:rsidRPr="003C2B67">
        <w:t xml:space="preserve">permanent installation </w:t>
      </w:r>
    </w:p>
    <w:tbl>
      <w:tblPr>
        <w:tblStyle w:val="TableGrid"/>
        <w:tblW w:w="0" w:type="auto"/>
        <w:jc w:val="center"/>
        <w:tblLook w:val="04A0" w:firstRow="1" w:lastRow="0" w:firstColumn="1" w:lastColumn="0" w:noHBand="0" w:noVBand="1"/>
      </w:tblPr>
      <w:tblGrid>
        <w:gridCol w:w="3209"/>
        <w:gridCol w:w="3210"/>
        <w:gridCol w:w="3210"/>
      </w:tblGrid>
      <w:tr w:rsidR="0022028D" w:rsidRPr="003C2B67" w14:paraId="1CF48C83" w14:textId="77777777" w:rsidTr="00994B8B">
        <w:trPr>
          <w:jc w:val="center"/>
        </w:trPr>
        <w:tc>
          <w:tcPr>
            <w:tcW w:w="3209" w:type="dxa"/>
          </w:tcPr>
          <w:p w14:paraId="78A08AAD"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Antenna types</w:t>
            </w:r>
          </w:p>
        </w:tc>
        <w:tc>
          <w:tcPr>
            <w:tcW w:w="3210" w:type="dxa"/>
          </w:tcPr>
          <w:p w14:paraId="41F505C2"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Gain</w:t>
            </w:r>
            <w:r w:rsidRPr="003C2B67">
              <w:rPr>
                <w:rStyle w:val="FootnoteReference"/>
                <w:rFonts w:ascii="Times New Roman" w:hAnsi="Times New Roman" w:cs="Times New Roman"/>
                <w:sz w:val="14"/>
                <w:szCs w:val="14"/>
              </w:rPr>
              <w:footnoteReference w:id="9"/>
            </w:r>
          </w:p>
        </w:tc>
        <w:tc>
          <w:tcPr>
            <w:tcW w:w="3210" w:type="dxa"/>
          </w:tcPr>
          <w:p w14:paraId="6FEAC781"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Beamwidth in the azimuth plane</w:t>
            </w:r>
          </w:p>
        </w:tc>
      </w:tr>
      <w:tr w:rsidR="0022028D" w:rsidRPr="003C2B67" w14:paraId="78A2C01E" w14:textId="77777777" w:rsidTr="00994B8B">
        <w:trPr>
          <w:jc w:val="center"/>
        </w:trPr>
        <w:tc>
          <w:tcPr>
            <w:tcW w:w="3209" w:type="dxa"/>
            <w:vAlign w:val="center"/>
          </w:tcPr>
          <w:p w14:paraId="6CBF3FC0"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Various (e.g. linear slot, co-linear array, horn, flat panel etc.)</w:t>
            </w:r>
          </w:p>
        </w:tc>
        <w:tc>
          <w:tcPr>
            <w:tcW w:w="3210" w:type="dxa"/>
            <w:vAlign w:val="center"/>
          </w:tcPr>
          <w:p w14:paraId="7FFD917F"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Minimum = 2.15 </w:t>
            </w:r>
            <w:proofErr w:type="spellStart"/>
            <w:r w:rsidRPr="003C2B67">
              <w:rPr>
                <w:rFonts w:ascii="Times New Roman" w:hAnsi="Times New Roman" w:cs="Times New Roman"/>
              </w:rPr>
              <w:t>dBi</w:t>
            </w:r>
            <w:proofErr w:type="spellEnd"/>
          </w:p>
          <w:p w14:paraId="3DC3B2F1"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Median = 13 </w:t>
            </w:r>
            <w:proofErr w:type="spellStart"/>
            <w:r w:rsidRPr="003C2B67">
              <w:rPr>
                <w:rFonts w:ascii="Times New Roman" w:hAnsi="Times New Roman" w:cs="Times New Roman"/>
              </w:rPr>
              <w:t>dBi</w:t>
            </w:r>
            <w:proofErr w:type="spellEnd"/>
          </w:p>
          <w:p w14:paraId="17B4A07E"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Maximum: refer to footnote 7 for information</w:t>
            </w:r>
          </w:p>
        </w:tc>
        <w:tc>
          <w:tcPr>
            <w:tcW w:w="3210" w:type="dxa"/>
            <w:vAlign w:val="center"/>
          </w:tcPr>
          <w:p w14:paraId="077DCC8E"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Median = 60° (−3 dB)</w:t>
            </w:r>
          </w:p>
          <w:p w14:paraId="001D21B5"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Maximum = Omnidirectional </w:t>
            </w:r>
          </w:p>
        </w:tc>
      </w:tr>
    </w:tbl>
    <w:p w14:paraId="16B134EA" w14:textId="77777777" w:rsidR="0022028D" w:rsidRPr="003C2B67" w:rsidRDefault="0022028D" w:rsidP="0022028D">
      <w:pPr>
        <w:pStyle w:val="Tablefin"/>
      </w:pPr>
    </w:p>
    <w:p w14:paraId="2747BA2B" w14:textId="77777777" w:rsidR="0022028D" w:rsidRPr="003C2B67" w:rsidRDefault="0022028D" w:rsidP="0022028D">
      <w:pPr>
        <w:rPr>
          <w:rFonts w:cs="Arial"/>
          <w:bCs/>
        </w:rPr>
      </w:pPr>
      <w:r w:rsidRPr="003C2B67">
        <w:rPr>
          <w:rFonts w:cs="Arial"/>
          <w:bCs/>
        </w:rPr>
        <w:t xml:space="preserve">Antennas with linear polarization are mainly used, but occasionally circular polarization can also be found. </w:t>
      </w:r>
    </w:p>
    <w:p w14:paraId="05BDD034" w14:textId="77777777" w:rsidR="0022028D" w:rsidRPr="003C2B67" w:rsidRDefault="0022028D" w:rsidP="0022028D">
      <w:pPr>
        <w:pStyle w:val="Heading2"/>
      </w:pPr>
      <w:bookmarkStart w:id="25" w:name="_Toc89080118"/>
      <w:bookmarkStart w:id="26" w:name="_Toc146277892"/>
      <w:r w:rsidRPr="003C2B67">
        <w:t>5.3</w:t>
      </w:r>
      <w:r w:rsidRPr="003C2B67">
        <w:tab/>
        <w:t>Typical amateur station power level distribution in the 1 240</w:t>
      </w:r>
      <w:r w:rsidRPr="003C2B67">
        <w:noBreakHyphen/>
        <w:t>1 300 MHz band</w:t>
      </w:r>
      <w:bookmarkEnd w:id="25"/>
      <w:bookmarkEnd w:id="26"/>
    </w:p>
    <w:p w14:paraId="5DE9006E" w14:textId="77777777" w:rsidR="0022028D" w:rsidRPr="003C2B67" w:rsidRDefault="0022028D" w:rsidP="0022028D">
      <w:r w:rsidRPr="003C2B67">
        <w:t xml:space="preserve">Typical power level distribution can be derived from published information about the stations that submit information resulting from national activity periods and reports from </w:t>
      </w:r>
      <w:proofErr w:type="spellStart"/>
      <w:r w:rsidRPr="003C2B67">
        <w:t>radiosport</w:t>
      </w:r>
      <w:proofErr w:type="spellEnd"/>
      <w:r w:rsidRPr="003C2B67">
        <w:t xml:space="preserve"> contests. </w:t>
      </w:r>
    </w:p>
    <w:p w14:paraId="4EC255E0" w14:textId="77777777" w:rsidR="0022028D" w:rsidRPr="003C2B67" w:rsidRDefault="0022028D" w:rsidP="0022028D">
      <w:pPr>
        <w:pStyle w:val="Note"/>
      </w:pPr>
      <w:r w:rsidRPr="003C2B67">
        <w:t>NOTE – In the following Tables, the power is specified differently because of the different sources of information.</w:t>
      </w:r>
    </w:p>
    <w:p w14:paraId="10654B05" w14:textId="77777777" w:rsidR="0022028D" w:rsidRPr="003C2B67" w:rsidRDefault="0022028D" w:rsidP="0022028D">
      <w:pPr>
        <w:pStyle w:val="Headingb"/>
      </w:pPr>
      <w:r w:rsidRPr="003C2B67">
        <w:t>Home station and temporary “portable” station</w:t>
      </w:r>
    </w:p>
    <w:p w14:paraId="18FBADB9" w14:textId="77777777" w:rsidR="0022028D" w:rsidRPr="003C2B67" w:rsidRDefault="0022028D" w:rsidP="0022028D">
      <w:pPr>
        <w:pStyle w:val="TableNo"/>
        <w:keepLines/>
      </w:pPr>
      <w:r w:rsidRPr="003C2B67">
        <w:t>Table 6</w:t>
      </w:r>
    </w:p>
    <w:p w14:paraId="0A4460CF" w14:textId="77777777" w:rsidR="0022028D" w:rsidRPr="003C2B67" w:rsidRDefault="0022028D" w:rsidP="0022028D">
      <w:pPr>
        <w:pStyle w:val="Tabletitle"/>
      </w:pPr>
      <w:r w:rsidRPr="003C2B67">
        <w:t>Transmitter power ranges in use</w:t>
      </w:r>
    </w:p>
    <w:tbl>
      <w:tblPr>
        <w:tblStyle w:val="TableGrid"/>
        <w:tblW w:w="0" w:type="auto"/>
        <w:jc w:val="center"/>
        <w:tblLook w:val="04A0" w:firstRow="1" w:lastRow="0" w:firstColumn="1" w:lastColumn="0" w:noHBand="0" w:noVBand="1"/>
      </w:tblPr>
      <w:tblGrid>
        <w:gridCol w:w="2709"/>
        <w:gridCol w:w="2596"/>
        <w:gridCol w:w="2841"/>
      </w:tblGrid>
      <w:tr w:rsidR="0022028D" w:rsidRPr="003C2B67" w14:paraId="4EEE0704" w14:textId="77777777" w:rsidTr="00994B8B">
        <w:trPr>
          <w:jc w:val="center"/>
        </w:trPr>
        <w:tc>
          <w:tcPr>
            <w:tcW w:w="2709" w:type="dxa"/>
          </w:tcPr>
          <w:p w14:paraId="7C42AD6D" w14:textId="77777777" w:rsidR="0022028D" w:rsidRPr="003C2B67" w:rsidRDefault="0022028D" w:rsidP="00994B8B">
            <w:pPr>
              <w:pStyle w:val="Tablehead"/>
              <w:keepLines/>
              <w:rPr>
                <w:rFonts w:ascii="Times New Roman" w:hAnsi="Times New Roman" w:cs="Times New Roman"/>
              </w:rPr>
            </w:pPr>
            <w:r w:rsidRPr="003C2B67">
              <w:rPr>
                <w:rFonts w:ascii="Times New Roman" w:hAnsi="Times New Roman" w:cs="Times New Roman"/>
              </w:rPr>
              <w:t xml:space="preserve">Transmitter power </w:t>
            </w:r>
            <w:r w:rsidRPr="003C2B67">
              <w:rPr>
                <w:rFonts w:ascii="Times New Roman" w:hAnsi="Times New Roman" w:cs="Times New Roman"/>
              </w:rPr>
              <w:br/>
              <w:t>(W)</w:t>
            </w:r>
          </w:p>
        </w:tc>
        <w:tc>
          <w:tcPr>
            <w:tcW w:w="2596" w:type="dxa"/>
          </w:tcPr>
          <w:p w14:paraId="250432B3" w14:textId="77777777" w:rsidR="0022028D" w:rsidRPr="003C2B67" w:rsidRDefault="0022028D" w:rsidP="00994B8B">
            <w:pPr>
              <w:pStyle w:val="Tablehead"/>
              <w:keepLines/>
              <w:rPr>
                <w:rFonts w:ascii="Times New Roman" w:hAnsi="Times New Roman" w:cs="Times New Roman"/>
              </w:rPr>
            </w:pPr>
            <w:r w:rsidRPr="003C2B67">
              <w:rPr>
                <w:rFonts w:ascii="Times New Roman" w:hAnsi="Times New Roman" w:cs="Times New Roman"/>
              </w:rPr>
              <w:t xml:space="preserve">Percentage </w:t>
            </w:r>
            <w:r w:rsidRPr="003C2B67">
              <w:rPr>
                <w:rFonts w:ascii="Times New Roman" w:hAnsi="Times New Roman" w:cs="Times New Roman"/>
              </w:rPr>
              <w:br/>
              <w:t>home stations</w:t>
            </w:r>
            <w:r w:rsidRPr="003C2B67">
              <w:rPr>
                <w:rFonts w:ascii="Times New Roman" w:hAnsi="Times New Roman" w:cs="Times New Roman"/>
              </w:rPr>
              <w:br/>
              <w:t>(%)</w:t>
            </w:r>
          </w:p>
        </w:tc>
        <w:tc>
          <w:tcPr>
            <w:tcW w:w="2841" w:type="dxa"/>
          </w:tcPr>
          <w:p w14:paraId="2D19B97F" w14:textId="77777777" w:rsidR="0022028D" w:rsidRPr="003C2B67" w:rsidRDefault="0022028D" w:rsidP="00994B8B">
            <w:pPr>
              <w:pStyle w:val="Tablehead"/>
              <w:keepLines/>
              <w:rPr>
                <w:rFonts w:ascii="Times New Roman" w:hAnsi="Times New Roman" w:cs="Times New Roman"/>
              </w:rPr>
            </w:pPr>
            <w:r w:rsidRPr="003C2B67">
              <w:rPr>
                <w:rFonts w:ascii="Times New Roman" w:hAnsi="Times New Roman" w:cs="Times New Roman"/>
              </w:rPr>
              <w:t xml:space="preserve">Percentage </w:t>
            </w:r>
            <w:r w:rsidRPr="003C2B67">
              <w:rPr>
                <w:rFonts w:ascii="Times New Roman" w:hAnsi="Times New Roman" w:cs="Times New Roman"/>
              </w:rPr>
              <w:br/>
              <w:t>temporary stations</w:t>
            </w:r>
            <w:r w:rsidRPr="003C2B67">
              <w:rPr>
                <w:rFonts w:ascii="Times New Roman" w:hAnsi="Times New Roman" w:cs="Times New Roman"/>
              </w:rPr>
              <w:br/>
              <w:t>(%)</w:t>
            </w:r>
          </w:p>
        </w:tc>
      </w:tr>
      <w:tr w:rsidR="0022028D" w:rsidRPr="003C2B67" w14:paraId="24607535" w14:textId="77777777" w:rsidTr="00994B8B">
        <w:trPr>
          <w:jc w:val="center"/>
        </w:trPr>
        <w:tc>
          <w:tcPr>
            <w:tcW w:w="2709" w:type="dxa"/>
          </w:tcPr>
          <w:p w14:paraId="1C90020B"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Up to 10</w:t>
            </w:r>
          </w:p>
        </w:tc>
        <w:tc>
          <w:tcPr>
            <w:tcW w:w="2596" w:type="dxa"/>
          </w:tcPr>
          <w:p w14:paraId="5BAB0E73"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47</w:t>
            </w:r>
          </w:p>
        </w:tc>
        <w:tc>
          <w:tcPr>
            <w:tcW w:w="2841" w:type="dxa"/>
          </w:tcPr>
          <w:p w14:paraId="4C56434B"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61.5</w:t>
            </w:r>
          </w:p>
        </w:tc>
      </w:tr>
      <w:tr w:rsidR="0022028D" w:rsidRPr="003C2B67" w14:paraId="72C8F4B6" w14:textId="77777777" w:rsidTr="00994B8B">
        <w:trPr>
          <w:jc w:val="center"/>
        </w:trPr>
        <w:tc>
          <w:tcPr>
            <w:tcW w:w="2709" w:type="dxa"/>
          </w:tcPr>
          <w:p w14:paraId="237D2761"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11 – 25</w:t>
            </w:r>
          </w:p>
        </w:tc>
        <w:tc>
          <w:tcPr>
            <w:tcW w:w="2596" w:type="dxa"/>
          </w:tcPr>
          <w:p w14:paraId="135C85C3"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9</w:t>
            </w:r>
          </w:p>
        </w:tc>
        <w:tc>
          <w:tcPr>
            <w:tcW w:w="2841" w:type="dxa"/>
          </w:tcPr>
          <w:p w14:paraId="5F84554B"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7.5</w:t>
            </w:r>
          </w:p>
        </w:tc>
      </w:tr>
      <w:tr w:rsidR="0022028D" w:rsidRPr="003C2B67" w14:paraId="13F840F3" w14:textId="77777777" w:rsidTr="00994B8B">
        <w:trPr>
          <w:jc w:val="center"/>
        </w:trPr>
        <w:tc>
          <w:tcPr>
            <w:tcW w:w="2709" w:type="dxa"/>
          </w:tcPr>
          <w:p w14:paraId="2260DB7C"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26 – 100</w:t>
            </w:r>
          </w:p>
        </w:tc>
        <w:tc>
          <w:tcPr>
            <w:tcW w:w="2596" w:type="dxa"/>
          </w:tcPr>
          <w:p w14:paraId="78D0F724"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26</w:t>
            </w:r>
          </w:p>
        </w:tc>
        <w:tc>
          <w:tcPr>
            <w:tcW w:w="2841" w:type="dxa"/>
          </w:tcPr>
          <w:p w14:paraId="03A60AC8" w14:textId="77777777" w:rsidR="0022028D" w:rsidRPr="003C2B67" w:rsidRDefault="0022028D" w:rsidP="00994B8B">
            <w:pPr>
              <w:pStyle w:val="Tabletext"/>
              <w:keepNext/>
              <w:keepLines/>
              <w:jc w:val="center"/>
              <w:rPr>
                <w:rFonts w:ascii="Times New Roman" w:hAnsi="Times New Roman" w:cs="Times New Roman"/>
              </w:rPr>
            </w:pPr>
            <w:r w:rsidRPr="003C2B67">
              <w:rPr>
                <w:rFonts w:ascii="Times New Roman" w:hAnsi="Times New Roman" w:cs="Times New Roman"/>
              </w:rPr>
              <w:t>7.5</w:t>
            </w:r>
          </w:p>
        </w:tc>
      </w:tr>
      <w:tr w:rsidR="0022028D" w:rsidRPr="003C2B67" w14:paraId="4C27B583" w14:textId="77777777" w:rsidTr="00994B8B">
        <w:trPr>
          <w:jc w:val="center"/>
        </w:trPr>
        <w:tc>
          <w:tcPr>
            <w:tcW w:w="2709" w:type="dxa"/>
          </w:tcPr>
          <w:p w14:paraId="35E056C9"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101 – 300</w:t>
            </w:r>
          </w:p>
        </w:tc>
        <w:tc>
          <w:tcPr>
            <w:tcW w:w="2596" w:type="dxa"/>
          </w:tcPr>
          <w:p w14:paraId="7A6E32CF"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12</w:t>
            </w:r>
          </w:p>
        </w:tc>
        <w:tc>
          <w:tcPr>
            <w:tcW w:w="2841" w:type="dxa"/>
          </w:tcPr>
          <w:p w14:paraId="70A02E93"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15</w:t>
            </w:r>
          </w:p>
        </w:tc>
      </w:tr>
      <w:tr w:rsidR="0022028D" w:rsidRPr="003C2B67" w14:paraId="0A60EBAC" w14:textId="77777777" w:rsidTr="00994B8B">
        <w:trPr>
          <w:jc w:val="center"/>
        </w:trPr>
        <w:tc>
          <w:tcPr>
            <w:tcW w:w="2709" w:type="dxa"/>
          </w:tcPr>
          <w:p w14:paraId="2A6B4306"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Over 300</w:t>
            </w:r>
          </w:p>
        </w:tc>
        <w:tc>
          <w:tcPr>
            <w:tcW w:w="2596" w:type="dxa"/>
          </w:tcPr>
          <w:p w14:paraId="6FF70E40"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6</w:t>
            </w:r>
          </w:p>
        </w:tc>
        <w:tc>
          <w:tcPr>
            <w:tcW w:w="2841" w:type="dxa"/>
          </w:tcPr>
          <w:p w14:paraId="73EA9B9E"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7.5</w:t>
            </w:r>
          </w:p>
        </w:tc>
      </w:tr>
    </w:tbl>
    <w:p w14:paraId="433DCEEB" w14:textId="77777777" w:rsidR="0022028D" w:rsidRPr="003C2B67" w:rsidRDefault="0022028D" w:rsidP="0022028D">
      <w:pPr>
        <w:pStyle w:val="Tablefin"/>
      </w:pPr>
    </w:p>
    <w:p w14:paraId="3537F85F" w14:textId="77777777" w:rsidR="0022028D" w:rsidRPr="003C2B67" w:rsidRDefault="0022028D" w:rsidP="0022028D">
      <w:pPr>
        <w:pStyle w:val="Headingb"/>
      </w:pPr>
      <w:r w:rsidRPr="003C2B67">
        <w:t>Permanent installation</w:t>
      </w:r>
    </w:p>
    <w:p w14:paraId="3F4016AC" w14:textId="77777777" w:rsidR="0022028D" w:rsidRPr="003C2B67" w:rsidRDefault="0022028D" w:rsidP="0022028D">
      <w:r w:rsidRPr="003C2B67">
        <w:t>Propagation beacon and repeater station directories can be consulted to gather information on the permanent stations deployed within a territory. They are usually licensed to operate at a specific ERP. Table 7 summarises information on stations in current use extracted from published information from a number of countries:</w:t>
      </w:r>
    </w:p>
    <w:p w14:paraId="18B2AD3D" w14:textId="77777777" w:rsidR="0022028D" w:rsidRPr="003C2B67" w:rsidRDefault="0022028D" w:rsidP="0022028D">
      <w:pPr>
        <w:pStyle w:val="TableNo"/>
      </w:pPr>
      <w:r w:rsidRPr="003C2B67">
        <w:lastRenderedPageBreak/>
        <w:t>Table 7</w:t>
      </w:r>
    </w:p>
    <w:p w14:paraId="19ACAE17" w14:textId="77777777" w:rsidR="0022028D" w:rsidRPr="003C2B67" w:rsidRDefault="0022028D" w:rsidP="0022028D">
      <w:pPr>
        <w:pStyle w:val="Tabletitle"/>
      </w:pPr>
      <w:r w:rsidRPr="003C2B67">
        <w:t>Transmitter radiated power ranges in use</w:t>
      </w:r>
    </w:p>
    <w:tbl>
      <w:tblPr>
        <w:tblStyle w:val="TableGrid"/>
        <w:tblW w:w="0" w:type="auto"/>
        <w:jc w:val="center"/>
        <w:tblLook w:val="04A0" w:firstRow="1" w:lastRow="0" w:firstColumn="1" w:lastColumn="0" w:noHBand="0" w:noVBand="1"/>
      </w:tblPr>
      <w:tblGrid>
        <w:gridCol w:w="2693"/>
        <w:gridCol w:w="2880"/>
        <w:gridCol w:w="2507"/>
      </w:tblGrid>
      <w:tr w:rsidR="0022028D" w:rsidRPr="003C2B67" w14:paraId="5DE57E3A" w14:textId="77777777" w:rsidTr="00994B8B">
        <w:trPr>
          <w:tblHeader/>
          <w:jc w:val="center"/>
        </w:trPr>
        <w:tc>
          <w:tcPr>
            <w:tcW w:w="2693" w:type="dxa"/>
          </w:tcPr>
          <w:p w14:paraId="109F7349"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 xml:space="preserve">ERP </w:t>
            </w:r>
            <w:r w:rsidRPr="003C2B67">
              <w:rPr>
                <w:rFonts w:ascii="Times New Roman" w:hAnsi="Times New Roman" w:cs="Times New Roman"/>
              </w:rPr>
              <w:br/>
              <w:t>(W)</w:t>
            </w:r>
          </w:p>
        </w:tc>
        <w:tc>
          <w:tcPr>
            <w:tcW w:w="2880" w:type="dxa"/>
          </w:tcPr>
          <w:p w14:paraId="50168392"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 xml:space="preserve">Percentage </w:t>
            </w:r>
            <w:r w:rsidRPr="003C2B67">
              <w:rPr>
                <w:rFonts w:ascii="Times New Roman" w:hAnsi="Times New Roman" w:cs="Times New Roman"/>
              </w:rPr>
              <w:br/>
              <w:t>propagation beacons</w:t>
            </w:r>
            <w:r w:rsidRPr="003C2B67">
              <w:rPr>
                <w:rFonts w:ascii="Times New Roman" w:hAnsi="Times New Roman" w:cs="Times New Roman"/>
              </w:rPr>
              <w:br/>
              <w:t>(%)</w:t>
            </w:r>
          </w:p>
        </w:tc>
        <w:tc>
          <w:tcPr>
            <w:tcW w:w="2507" w:type="dxa"/>
          </w:tcPr>
          <w:p w14:paraId="0AC25FE5"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 xml:space="preserve">Percentage </w:t>
            </w:r>
            <w:r w:rsidRPr="003C2B67">
              <w:rPr>
                <w:rFonts w:ascii="Times New Roman" w:hAnsi="Times New Roman" w:cs="Times New Roman"/>
              </w:rPr>
              <w:br/>
              <w:t>repeaters</w:t>
            </w:r>
            <w:r w:rsidRPr="003C2B67">
              <w:rPr>
                <w:rFonts w:ascii="Times New Roman" w:hAnsi="Times New Roman" w:cs="Times New Roman"/>
              </w:rPr>
              <w:br/>
              <w:t>(%)</w:t>
            </w:r>
          </w:p>
        </w:tc>
      </w:tr>
      <w:tr w:rsidR="0022028D" w:rsidRPr="003C2B67" w14:paraId="3203DDD0" w14:textId="77777777" w:rsidTr="00994B8B">
        <w:trPr>
          <w:jc w:val="center"/>
        </w:trPr>
        <w:tc>
          <w:tcPr>
            <w:tcW w:w="2693" w:type="dxa"/>
          </w:tcPr>
          <w:p w14:paraId="48284D16"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Up to 10</w:t>
            </w:r>
          </w:p>
        </w:tc>
        <w:tc>
          <w:tcPr>
            <w:tcW w:w="2880" w:type="dxa"/>
          </w:tcPr>
          <w:p w14:paraId="4D2232E9"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69</w:t>
            </w:r>
          </w:p>
        </w:tc>
        <w:tc>
          <w:tcPr>
            <w:tcW w:w="2507" w:type="dxa"/>
          </w:tcPr>
          <w:p w14:paraId="34080064"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16</w:t>
            </w:r>
          </w:p>
        </w:tc>
      </w:tr>
      <w:tr w:rsidR="0022028D" w:rsidRPr="003C2B67" w14:paraId="07974472" w14:textId="77777777" w:rsidTr="00994B8B">
        <w:trPr>
          <w:jc w:val="center"/>
        </w:trPr>
        <w:tc>
          <w:tcPr>
            <w:tcW w:w="2693" w:type="dxa"/>
          </w:tcPr>
          <w:p w14:paraId="5961341A"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11 – 25</w:t>
            </w:r>
          </w:p>
        </w:tc>
        <w:tc>
          <w:tcPr>
            <w:tcW w:w="2880" w:type="dxa"/>
          </w:tcPr>
          <w:p w14:paraId="0118A47D"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8</w:t>
            </w:r>
          </w:p>
        </w:tc>
        <w:tc>
          <w:tcPr>
            <w:tcW w:w="2507" w:type="dxa"/>
          </w:tcPr>
          <w:p w14:paraId="296AF720"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76</w:t>
            </w:r>
          </w:p>
        </w:tc>
      </w:tr>
      <w:tr w:rsidR="0022028D" w:rsidRPr="003C2B67" w14:paraId="3862D3E8" w14:textId="77777777" w:rsidTr="00994B8B">
        <w:trPr>
          <w:jc w:val="center"/>
        </w:trPr>
        <w:tc>
          <w:tcPr>
            <w:tcW w:w="2693" w:type="dxa"/>
          </w:tcPr>
          <w:p w14:paraId="512982C5"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26 – 100</w:t>
            </w:r>
          </w:p>
        </w:tc>
        <w:tc>
          <w:tcPr>
            <w:tcW w:w="2880" w:type="dxa"/>
          </w:tcPr>
          <w:p w14:paraId="408AAE59"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20</w:t>
            </w:r>
          </w:p>
        </w:tc>
        <w:tc>
          <w:tcPr>
            <w:tcW w:w="2507" w:type="dxa"/>
          </w:tcPr>
          <w:p w14:paraId="234F6859"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8</w:t>
            </w:r>
          </w:p>
        </w:tc>
      </w:tr>
      <w:tr w:rsidR="0022028D" w:rsidRPr="003C2B67" w14:paraId="2E637007" w14:textId="77777777" w:rsidTr="00994B8B">
        <w:trPr>
          <w:jc w:val="center"/>
        </w:trPr>
        <w:tc>
          <w:tcPr>
            <w:tcW w:w="2693" w:type="dxa"/>
          </w:tcPr>
          <w:p w14:paraId="42684040"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101 – 300</w:t>
            </w:r>
          </w:p>
        </w:tc>
        <w:tc>
          <w:tcPr>
            <w:tcW w:w="2880" w:type="dxa"/>
          </w:tcPr>
          <w:p w14:paraId="3475B057"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w:t>
            </w:r>
          </w:p>
        </w:tc>
        <w:tc>
          <w:tcPr>
            <w:tcW w:w="2507" w:type="dxa"/>
          </w:tcPr>
          <w:p w14:paraId="21FAD253"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0</w:t>
            </w:r>
          </w:p>
        </w:tc>
      </w:tr>
      <w:tr w:rsidR="0022028D" w:rsidRPr="003C2B67" w14:paraId="715781F2" w14:textId="77777777" w:rsidTr="00994B8B">
        <w:trPr>
          <w:jc w:val="center"/>
        </w:trPr>
        <w:tc>
          <w:tcPr>
            <w:tcW w:w="2693" w:type="dxa"/>
          </w:tcPr>
          <w:p w14:paraId="37CD8706"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Over 300</w:t>
            </w:r>
          </w:p>
        </w:tc>
        <w:tc>
          <w:tcPr>
            <w:tcW w:w="2880" w:type="dxa"/>
          </w:tcPr>
          <w:p w14:paraId="62C1B9C9"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1</w:t>
            </w:r>
          </w:p>
        </w:tc>
        <w:tc>
          <w:tcPr>
            <w:tcW w:w="2507" w:type="dxa"/>
          </w:tcPr>
          <w:p w14:paraId="3D012E3C" w14:textId="77777777" w:rsidR="0022028D" w:rsidRPr="003C2B67" w:rsidRDefault="0022028D" w:rsidP="00994B8B">
            <w:pPr>
              <w:pStyle w:val="Tabletext"/>
              <w:jc w:val="center"/>
              <w:rPr>
                <w:rFonts w:ascii="Times New Roman" w:hAnsi="Times New Roman" w:cs="Times New Roman"/>
              </w:rPr>
            </w:pPr>
            <w:r w:rsidRPr="003C2B67">
              <w:rPr>
                <w:rFonts w:ascii="Times New Roman" w:hAnsi="Times New Roman" w:cs="Times New Roman"/>
              </w:rPr>
              <w:t>0</w:t>
            </w:r>
          </w:p>
        </w:tc>
      </w:tr>
    </w:tbl>
    <w:p w14:paraId="45210C10" w14:textId="77777777" w:rsidR="0022028D" w:rsidRPr="003C2B67" w:rsidRDefault="0022028D" w:rsidP="0022028D">
      <w:pPr>
        <w:pStyle w:val="Tablefin"/>
      </w:pPr>
    </w:p>
    <w:p w14:paraId="1FD89210" w14:textId="77777777" w:rsidR="0022028D" w:rsidRPr="003C2B67" w:rsidRDefault="0022028D" w:rsidP="0022028D">
      <w:pPr>
        <w:rPr>
          <w:szCs w:val="24"/>
          <w:lang w:eastAsia="de-CH"/>
        </w:rPr>
      </w:pPr>
      <w:r w:rsidRPr="003C2B67">
        <w:rPr>
          <w:iCs/>
        </w:rPr>
        <w:t>According to the information in Table 7, no repeater is currently in use with an ERP of more than 100 W. However, based on t</w:t>
      </w:r>
      <w:r w:rsidRPr="003C2B67">
        <w:t>he extract from the license database of one administration on unmanned amateur radio stations parameters, it is indicated that some repeater / relay – stations are licensed to operate with a radiated power up to 380 W ERP</w:t>
      </w:r>
      <w:r w:rsidRPr="003C2B67">
        <w:rPr>
          <w:rStyle w:val="FootnoteReference"/>
        </w:rPr>
        <w:footnoteReference w:id="10"/>
      </w:r>
      <w:r w:rsidRPr="003C2B67">
        <w:t xml:space="preserve">, but the operational status of these stations is unknown. Note that </w:t>
      </w:r>
      <w:r w:rsidRPr="003C2B67">
        <w:rPr>
          <w:iCs/>
        </w:rPr>
        <w:t>there is a limit on the radiated power of unmanned stations given by national regulation and licensing conditions.</w:t>
      </w:r>
      <w:r w:rsidRPr="003C2B67">
        <w:rPr>
          <w:szCs w:val="24"/>
          <w:lang w:eastAsia="de-CH"/>
        </w:rPr>
        <w:t xml:space="preserve"> </w:t>
      </w:r>
    </w:p>
    <w:p w14:paraId="526837E5" w14:textId="77777777" w:rsidR="0022028D" w:rsidRPr="003C2B67" w:rsidRDefault="0022028D" w:rsidP="0022028D">
      <w:pPr>
        <w:pStyle w:val="Heading2"/>
      </w:pPr>
      <w:bookmarkStart w:id="27" w:name="_Toc89080119"/>
      <w:bookmarkStart w:id="28" w:name="_Toc146277893"/>
      <w:r w:rsidRPr="003C2B67">
        <w:t>5.4</w:t>
      </w:r>
      <w:r w:rsidRPr="003C2B67">
        <w:tab/>
        <w:t>Representative antenna heights</w:t>
      </w:r>
      <w:bookmarkEnd w:id="27"/>
      <w:bookmarkEnd w:id="28"/>
      <w:r w:rsidRPr="003C2B67">
        <w:t xml:space="preserve"> </w:t>
      </w:r>
    </w:p>
    <w:p w14:paraId="03351BFE" w14:textId="77777777" w:rsidR="0022028D" w:rsidRPr="003C2B67" w:rsidRDefault="0022028D" w:rsidP="0022028D">
      <w:r w:rsidRPr="003C2B67">
        <w:t>The following antenna heights are representative of typical amateur station installations:</w:t>
      </w:r>
    </w:p>
    <w:p w14:paraId="277FA3E9" w14:textId="77777777" w:rsidR="0022028D" w:rsidRPr="003C2B67" w:rsidRDefault="0022028D" w:rsidP="0022028D">
      <w:pPr>
        <w:pStyle w:val="enumlev1"/>
      </w:pPr>
      <w:r w:rsidRPr="003C2B67">
        <w:t>–</w:t>
      </w:r>
      <w:r w:rsidRPr="003C2B67">
        <w:tab/>
        <w:t>Typical antenna height for a home station; 12 m above ground level.</w:t>
      </w:r>
    </w:p>
    <w:p w14:paraId="66BFE3CE" w14:textId="77777777" w:rsidR="0022028D" w:rsidRPr="003C2B67" w:rsidRDefault="0022028D" w:rsidP="0022028D">
      <w:pPr>
        <w:pStyle w:val="enumlev1"/>
      </w:pPr>
      <w:r w:rsidRPr="003C2B67">
        <w:t>–</w:t>
      </w:r>
      <w:r w:rsidRPr="003C2B67">
        <w:tab/>
        <w:t>Typical antenna height for a temporary station; 3 m to 15 m above ground level.</w:t>
      </w:r>
    </w:p>
    <w:p w14:paraId="6A935596" w14:textId="77777777" w:rsidR="0022028D" w:rsidRPr="003C2B67" w:rsidRDefault="0022028D" w:rsidP="0022028D">
      <w:pPr>
        <w:pStyle w:val="enumlev1"/>
      </w:pPr>
      <w:r w:rsidRPr="003C2B67">
        <w:t>–</w:t>
      </w:r>
      <w:r w:rsidRPr="003C2B67">
        <w:tab/>
        <w:t>Typical height for a permanent installation station; 25 m above ground level.</w:t>
      </w:r>
    </w:p>
    <w:p w14:paraId="31475015" w14:textId="77777777" w:rsidR="0022028D" w:rsidRPr="003C2B67" w:rsidRDefault="0022028D" w:rsidP="0022028D">
      <w:r w:rsidRPr="003C2B67">
        <w:t xml:space="preserve">Permanent installation stations are often installed at an advantageous location so as to take advantage of elevated local terrain or tall structures in order to increase the effective antenna height. </w:t>
      </w:r>
    </w:p>
    <w:p w14:paraId="17D80162" w14:textId="77777777" w:rsidR="0022028D" w:rsidRPr="003C2B67" w:rsidRDefault="0022028D" w:rsidP="0022028D">
      <w:pPr>
        <w:pStyle w:val="Heading2"/>
      </w:pPr>
      <w:bookmarkStart w:id="29" w:name="_Toc89080120"/>
      <w:bookmarkStart w:id="30" w:name="_Toc146277894"/>
      <w:r w:rsidRPr="003C2B67">
        <w:t>5.5</w:t>
      </w:r>
      <w:r w:rsidRPr="003C2B67">
        <w:tab/>
        <w:t>Amateur station 1 240-1 300 MHz band usage patterns</w:t>
      </w:r>
      <w:bookmarkEnd w:id="29"/>
      <w:bookmarkEnd w:id="30"/>
    </w:p>
    <w:p w14:paraId="54B9D894" w14:textId="77777777" w:rsidR="0022028D" w:rsidRPr="003C2B67" w:rsidRDefault="0022028D" w:rsidP="0022028D">
      <w:r w:rsidRPr="003C2B67">
        <w:t xml:space="preserve">For all home and temporary “portable” station applications, narrow-band or wideband, the highest number of actively transmitting amateur stations can be found during the scheduled operating and </w:t>
      </w:r>
      <w:proofErr w:type="spellStart"/>
      <w:r w:rsidRPr="003C2B67">
        <w:t>radiosport</w:t>
      </w:r>
      <w:proofErr w:type="spellEnd"/>
      <w:r w:rsidRPr="003C2B67">
        <w:t xml:space="preserve"> contest periods. Table 8 summarises the total scheduled operating and contest periods scheduled in one region for a typical year. As these activities are usually formalised in the amateur operator calendars, the published national results</w:t>
      </w:r>
      <w:r w:rsidRPr="003C2B67">
        <w:rPr>
          <w:rStyle w:val="FootnoteReference"/>
        </w:rPr>
        <w:footnoteReference w:id="11"/>
      </w:r>
      <w:r w:rsidRPr="003C2B67">
        <w:t xml:space="preserve"> can be consulted to determine the number of transmitting stations that were active during any one activity or contest period. </w:t>
      </w:r>
    </w:p>
    <w:p w14:paraId="78B686A5" w14:textId="77777777" w:rsidR="0022028D" w:rsidRPr="003C2B67" w:rsidRDefault="0022028D" w:rsidP="0022028D">
      <w:pPr>
        <w:pStyle w:val="TableNo"/>
      </w:pPr>
      <w:r w:rsidRPr="003C2B67">
        <w:lastRenderedPageBreak/>
        <w:t>Table 8</w:t>
      </w:r>
    </w:p>
    <w:p w14:paraId="0D5862D4" w14:textId="77777777" w:rsidR="0022028D" w:rsidRPr="003C2B67" w:rsidRDefault="0022028D" w:rsidP="0022028D">
      <w:pPr>
        <w:pStyle w:val="Tabletitle"/>
      </w:pPr>
      <w:r w:rsidRPr="003C2B67">
        <w:t xml:space="preserve">Scheduled operating periods and active operating station numbers </w:t>
      </w:r>
    </w:p>
    <w:tbl>
      <w:tblPr>
        <w:tblStyle w:val="TableGrid"/>
        <w:tblW w:w="9639" w:type="dxa"/>
        <w:jc w:val="center"/>
        <w:tblLayout w:type="fixed"/>
        <w:tblCellMar>
          <w:left w:w="57" w:type="dxa"/>
          <w:right w:w="57" w:type="dxa"/>
        </w:tblCellMar>
        <w:tblLook w:val="0000" w:firstRow="0" w:lastRow="0" w:firstColumn="0" w:lastColumn="0" w:noHBand="0" w:noVBand="0"/>
      </w:tblPr>
      <w:tblGrid>
        <w:gridCol w:w="1861"/>
        <w:gridCol w:w="1962"/>
        <w:gridCol w:w="3686"/>
        <w:gridCol w:w="2130"/>
      </w:tblGrid>
      <w:tr w:rsidR="0022028D" w:rsidRPr="003C2B67" w14:paraId="3E7BDCC6" w14:textId="77777777" w:rsidTr="00994B8B">
        <w:trPr>
          <w:cantSplit/>
          <w:tblHeader/>
          <w:jc w:val="center"/>
        </w:trPr>
        <w:tc>
          <w:tcPr>
            <w:tcW w:w="965" w:type="pct"/>
            <w:vAlign w:val="center"/>
          </w:tcPr>
          <w:p w14:paraId="12D40E4C"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Usage type</w:t>
            </w:r>
          </w:p>
        </w:tc>
        <w:tc>
          <w:tcPr>
            <w:tcW w:w="1017" w:type="pct"/>
            <w:vAlign w:val="center"/>
          </w:tcPr>
          <w:p w14:paraId="6C3544AF"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Annual scheduled operating periods</w:t>
            </w:r>
          </w:p>
        </w:tc>
        <w:tc>
          <w:tcPr>
            <w:tcW w:w="1912" w:type="pct"/>
            <w:vAlign w:val="center"/>
          </w:tcPr>
          <w:p w14:paraId="5298EDED"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Total active stations per scheduled operating period</w:t>
            </w:r>
          </w:p>
        </w:tc>
        <w:tc>
          <w:tcPr>
            <w:tcW w:w="1105" w:type="pct"/>
            <w:vAlign w:val="center"/>
          </w:tcPr>
          <w:p w14:paraId="4FEC7CC8" w14:textId="77777777" w:rsidR="0022028D" w:rsidRPr="003C2B67" w:rsidRDefault="0022028D" w:rsidP="00994B8B">
            <w:pPr>
              <w:pStyle w:val="Tablehead"/>
              <w:rPr>
                <w:rFonts w:ascii="Times New Roman" w:hAnsi="Times New Roman" w:cs="Times New Roman"/>
              </w:rPr>
            </w:pPr>
            <w:r w:rsidRPr="003C2B67">
              <w:rPr>
                <w:rFonts w:ascii="Times New Roman" w:hAnsi="Times New Roman" w:cs="Times New Roman"/>
              </w:rPr>
              <w:t>Active temporary stations per scheduled operating period</w:t>
            </w:r>
          </w:p>
        </w:tc>
      </w:tr>
      <w:tr w:rsidR="0022028D" w:rsidRPr="003C2B67" w14:paraId="2593119A" w14:textId="77777777" w:rsidTr="00994B8B">
        <w:trPr>
          <w:cantSplit/>
          <w:jc w:val="center"/>
        </w:trPr>
        <w:tc>
          <w:tcPr>
            <w:tcW w:w="965" w:type="pct"/>
          </w:tcPr>
          <w:p w14:paraId="30D162C9"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Narrow-band activity period and </w:t>
            </w:r>
            <w:proofErr w:type="spellStart"/>
            <w:r w:rsidRPr="003C2B67">
              <w:rPr>
                <w:rFonts w:ascii="Times New Roman" w:hAnsi="Times New Roman" w:cs="Times New Roman"/>
              </w:rPr>
              <w:t>radiosport</w:t>
            </w:r>
            <w:proofErr w:type="spellEnd"/>
            <w:r w:rsidRPr="003C2B67">
              <w:rPr>
                <w:rFonts w:ascii="Times New Roman" w:hAnsi="Times New Roman" w:cs="Times New Roman"/>
              </w:rPr>
              <w:t xml:space="preserve"> (in the 1 296-1 297 MHz portion)</w:t>
            </w:r>
          </w:p>
        </w:tc>
        <w:tc>
          <w:tcPr>
            <w:tcW w:w="1017" w:type="pct"/>
          </w:tcPr>
          <w:p w14:paraId="6BC77E1A"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Total, on average 108 hours over a year</w:t>
            </w:r>
          </w:p>
        </w:tc>
        <w:tc>
          <w:tcPr>
            <w:tcW w:w="1912" w:type="pct"/>
          </w:tcPr>
          <w:p w14:paraId="5F3D976A"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From 9 to 140 maximum depending on the country reviewed. </w:t>
            </w:r>
          </w:p>
        </w:tc>
        <w:tc>
          <w:tcPr>
            <w:tcW w:w="1105" w:type="pct"/>
          </w:tcPr>
          <w:p w14:paraId="58E6B3F8"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15 to 20 </w:t>
            </w:r>
            <w:proofErr w:type="gramStart"/>
            <w:r w:rsidRPr="003C2B67">
              <w:rPr>
                <w:rFonts w:ascii="Times New Roman" w:hAnsi="Times New Roman" w:cs="Times New Roman"/>
              </w:rPr>
              <w:t>maximum</w:t>
            </w:r>
            <w:proofErr w:type="gramEnd"/>
            <w:r w:rsidRPr="003C2B67">
              <w:rPr>
                <w:rFonts w:ascii="Times New Roman" w:hAnsi="Times New Roman" w:cs="Times New Roman"/>
              </w:rPr>
              <w:t xml:space="preserve"> depending on the country reviewed.</w:t>
            </w:r>
          </w:p>
        </w:tc>
      </w:tr>
      <w:tr w:rsidR="0022028D" w:rsidRPr="003C2B67" w14:paraId="3C731756" w14:textId="77777777" w:rsidTr="00994B8B">
        <w:trPr>
          <w:cantSplit/>
          <w:jc w:val="center"/>
        </w:trPr>
        <w:tc>
          <w:tcPr>
            <w:tcW w:w="965" w:type="pct"/>
          </w:tcPr>
          <w:p w14:paraId="161718FD"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EME activity (in the 1 296-1 297 MHz portion)</w:t>
            </w:r>
          </w:p>
        </w:tc>
        <w:tc>
          <w:tcPr>
            <w:tcW w:w="1017" w:type="pct"/>
          </w:tcPr>
          <w:p w14:paraId="0F2665CC"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5 × 24-hour contest periods</w:t>
            </w:r>
          </w:p>
        </w:tc>
        <w:tc>
          <w:tcPr>
            <w:tcW w:w="1912" w:type="pct"/>
          </w:tcPr>
          <w:p w14:paraId="4F1C0C50"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Up to 10 </w:t>
            </w:r>
            <w:proofErr w:type="gramStart"/>
            <w:r w:rsidRPr="003C2B67">
              <w:rPr>
                <w:rFonts w:ascii="Times New Roman" w:hAnsi="Times New Roman" w:cs="Times New Roman"/>
              </w:rPr>
              <w:t>maximum</w:t>
            </w:r>
            <w:proofErr w:type="gramEnd"/>
            <w:r w:rsidRPr="003C2B67">
              <w:rPr>
                <w:rFonts w:ascii="Times New Roman" w:hAnsi="Times New Roman" w:cs="Times New Roman"/>
              </w:rPr>
              <w:t xml:space="preserve"> depending on the country reviewed.</w:t>
            </w:r>
          </w:p>
          <w:p w14:paraId="021144AA"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(Maximum &lt; 70 across the European area)</w:t>
            </w:r>
          </w:p>
        </w:tc>
        <w:tc>
          <w:tcPr>
            <w:tcW w:w="1105" w:type="pct"/>
          </w:tcPr>
          <w:p w14:paraId="6B83DAF0"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None</w:t>
            </w:r>
          </w:p>
        </w:tc>
      </w:tr>
      <w:tr w:rsidR="0022028D" w:rsidRPr="003C2B67" w14:paraId="1226ECF9" w14:textId="77777777" w:rsidTr="00994B8B">
        <w:trPr>
          <w:cantSplit/>
          <w:jc w:val="center"/>
        </w:trPr>
        <w:tc>
          <w:tcPr>
            <w:tcW w:w="965" w:type="pct"/>
          </w:tcPr>
          <w:p w14:paraId="2653093F"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Wideband (typically ATV) activity period and </w:t>
            </w:r>
            <w:proofErr w:type="spellStart"/>
            <w:r w:rsidRPr="003C2B67">
              <w:rPr>
                <w:rFonts w:ascii="Times New Roman" w:hAnsi="Times New Roman" w:cs="Times New Roman"/>
              </w:rPr>
              <w:t>radiosport</w:t>
            </w:r>
            <w:proofErr w:type="spellEnd"/>
            <w:r w:rsidRPr="003C2B67">
              <w:rPr>
                <w:rFonts w:ascii="Times New Roman" w:hAnsi="Times New Roman" w:cs="Times New Roman"/>
              </w:rPr>
              <w:t xml:space="preserve"> (in any portion identified for ATV applications)</w:t>
            </w:r>
          </w:p>
        </w:tc>
        <w:tc>
          <w:tcPr>
            <w:tcW w:w="1017" w:type="pct"/>
          </w:tcPr>
          <w:p w14:paraId="5A9688E8"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Total, on average 120 hours over a year</w:t>
            </w:r>
          </w:p>
        </w:tc>
        <w:tc>
          <w:tcPr>
            <w:tcW w:w="1912" w:type="pct"/>
          </w:tcPr>
          <w:p w14:paraId="5C0F1002"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From 1 to 24 maximum depending on the country reviewed.</w:t>
            </w:r>
          </w:p>
          <w:p w14:paraId="48E613DD"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(Maximum &lt; 100 across the European area)</w:t>
            </w:r>
          </w:p>
        </w:tc>
        <w:tc>
          <w:tcPr>
            <w:tcW w:w="1105" w:type="pct"/>
          </w:tcPr>
          <w:p w14:paraId="3D94D7C8"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10 </w:t>
            </w:r>
            <w:proofErr w:type="gramStart"/>
            <w:r w:rsidRPr="003C2B67">
              <w:rPr>
                <w:rFonts w:ascii="Times New Roman" w:hAnsi="Times New Roman" w:cs="Times New Roman"/>
              </w:rPr>
              <w:t>maximum</w:t>
            </w:r>
            <w:proofErr w:type="gramEnd"/>
            <w:r w:rsidRPr="003C2B67">
              <w:rPr>
                <w:rFonts w:ascii="Times New Roman" w:hAnsi="Times New Roman" w:cs="Times New Roman"/>
              </w:rPr>
              <w:t xml:space="preserve"> depending on the country reviewed.</w:t>
            </w:r>
          </w:p>
        </w:tc>
      </w:tr>
    </w:tbl>
    <w:p w14:paraId="7A5DD3B6" w14:textId="77777777" w:rsidR="0022028D" w:rsidRPr="003C2B67" w:rsidRDefault="0022028D" w:rsidP="0022028D">
      <w:pPr>
        <w:pStyle w:val="Tablefin"/>
      </w:pPr>
    </w:p>
    <w:p w14:paraId="7C8FE35A" w14:textId="77777777" w:rsidR="0022028D" w:rsidRPr="003C2B67" w:rsidRDefault="0022028D" w:rsidP="0022028D">
      <w:r w:rsidRPr="003C2B67">
        <w:t>The figures presented in Table 8 can be used to estimate the amount of time over a one year period when certain parts of the band (depending on the activity) are at their busiest with the highest number of actively transmitting amateur stations. For those activities concentrated in the 1 296-1 297 MHz portion of the band and assuming the moon is visible for 24 hours (an over estimation) then the following can be deduced:</w:t>
      </w:r>
    </w:p>
    <w:p w14:paraId="3711E5D0" w14:textId="77777777" w:rsidR="0022028D" w:rsidRPr="003C2B67" w:rsidRDefault="0022028D" w:rsidP="0022028D">
      <w:r w:rsidRPr="003C2B67">
        <w:t xml:space="preserve">Total narrowband ‘busy hour’ activity period = 108 hours (1.2% of a year). </w:t>
      </w:r>
    </w:p>
    <w:p w14:paraId="44AA289D" w14:textId="77777777" w:rsidR="0022028D" w:rsidRPr="003C2B67" w:rsidRDefault="0022028D" w:rsidP="0022028D">
      <w:r w:rsidRPr="003C2B67">
        <w:t>Total EME ‘busy hour’ activity period = 120 hours (1.4% of a year).</w:t>
      </w:r>
    </w:p>
    <w:p w14:paraId="4EE4F6E3" w14:textId="77777777" w:rsidR="0022028D" w:rsidRPr="003C2B67" w:rsidRDefault="0022028D" w:rsidP="0022028D">
      <w:r w:rsidRPr="003C2B67">
        <w:t>For the wideband activities taking place in the identified parts of the band plan, the following can be deduced:</w:t>
      </w:r>
    </w:p>
    <w:p w14:paraId="40E032DD" w14:textId="77777777" w:rsidR="0022028D" w:rsidRPr="003C2B67" w:rsidRDefault="0022028D" w:rsidP="0022028D">
      <w:pPr>
        <w:pStyle w:val="enumlev1"/>
      </w:pPr>
      <w:r w:rsidRPr="003C2B67">
        <w:t>–</w:t>
      </w:r>
      <w:r w:rsidRPr="003C2B67">
        <w:tab/>
        <w:t xml:space="preserve">Total wideband ‘busy hour’ activity period = 120 hours (1.4% of a year). </w:t>
      </w:r>
    </w:p>
    <w:p w14:paraId="740C1E4D" w14:textId="77777777" w:rsidR="0022028D" w:rsidRPr="003C2B67" w:rsidRDefault="0022028D" w:rsidP="0022028D">
      <w:r w:rsidRPr="003C2B67">
        <w:t xml:space="preserve">Table 8 also shows that the number of active stations involved in the </w:t>
      </w:r>
      <w:proofErr w:type="gramStart"/>
      <w:r w:rsidRPr="003C2B67">
        <w:t>EME</w:t>
      </w:r>
      <w:proofErr w:type="gramEnd"/>
      <w:r w:rsidRPr="003C2B67">
        <w:t xml:space="preserve"> and wideband activities is considerably lower than those active in the narrow band activities.</w:t>
      </w:r>
    </w:p>
    <w:p w14:paraId="0FF35DE5" w14:textId="77777777" w:rsidR="0022028D" w:rsidRPr="003C2B67" w:rsidRDefault="0022028D" w:rsidP="0022028D">
      <w:r w:rsidRPr="003C2B67">
        <w:t xml:space="preserve">Permanent installation stations present a different scenario when considering the operational time. </w:t>
      </w:r>
      <w:r w:rsidRPr="003C2B67">
        <w:rPr>
          <w:rFonts w:cs="Arial"/>
          <w:bCs/>
        </w:rPr>
        <w:t xml:space="preserve">Unmanned amateur radio stations are more or less in continuous operation, while manned stations only transmit intermittently. </w:t>
      </w:r>
      <w:r w:rsidRPr="003C2B67">
        <w:t xml:space="preserve">Propagation beacon and repeater station directories from a representative region can be consulted to develop the summary presented in Table 9. </w:t>
      </w:r>
    </w:p>
    <w:p w14:paraId="0665DFA7" w14:textId="77777777" w:rsidR="0022028D" w:rsidRPr="003C2B67" w:rsidRDefault="0022028D" w:rsidP="009C1318">
      <w:pPr>
        <w:pStyle w:val="TableNo"/>
        <w:keepLines/>
      </w:pPr>
      <w:r w:rsidRPr="003C2B67">
        <w:lastRenderedPageBreak/>
        <w:t>Table 9</w:t>
      </w:r>
    </w:p>
    <w:p w14:paraId="0D41CBC2" w14:textId="77777777" w:rsidR="0022028D" w:rsidRPr="003C2B67" w:rsidRDefault="0022028D" w:rsidP="009C1318">
      <w:pPr>
        <w:pStyle w:val="Tabletitle"/>
        <w:keepLines/>
      </w:pPr>
      <w:r w:rsidRPr="003C2B67">
        <w:t>Permanent installation station operating periods in a typical year</w:t>
      </w:r>
    </w:p>
    <w:tbl>
      <w:tblPr>
        <w:tblStyle w:val="TableGrid"/>
        <w:tblW w:w="9639" w:type="dxa"/>
        <w:jc w:val="center"/>
        <w:tblLayout w:type="fixed"/>
        <w:tblCellMar>
          <w:left w:w="57" w:type="dxa"/>
          <w:right w:w="57" w:type="dxa"/>
        </w:tblCellMar>
        <w:tblLook w:val="0000" w:firstRow="0" w:lastRow="0" w:firstColumn="0" w:lastColumn="0" w:noHBand="0" w:noVBand="0"/>
      </w:tblPr>
      <w:tblGrid>
        <w:gridCol w:w="2408"/>
        <w:gridCol w:w="3973"/>
        <w:gridCol w:w="3258"/>
      </w:tblGrid>
      <w:tr w:rsidR="0022028D" w:rsidRPr="003C2B67" w14:paraId="21BDA9DC" w14:textId="77777777" w:rsidTr="009C1318">
        <w:trPr>
          <w:cantSplit/>
          <w:tblHeader/>
          <w:jc w:val="center"/>
        </w:trPr>
        <w:tc>
          <w:tcPr>
            <w:tcW w:w="1249" w:type="pct"/>
          </w:tcPr>
          <w:p w14:paraId="30328CE5" w14:textId="77777777" w:rsidR="0022028D" w:rsidRPr="003C2B67" w:rsidRDefault="0022028D" w:rsidP="009C1318">
            <w:pPr>
              <w:pStyle w:val="Tablehead"/>
              <w:keepLines/>
              <w:rPr>
                <w:rFonts w:ascii="Times New Roman" w:hAnsi="Times New Roman" w:cs="Times New Roman"/>
              </w:rPr>
            </w:pPr>
            <w:r w:rsidRPr="003C2B67">
              <w:rPr>
                <w:rFonts w:ascii="Times New Roman" w:hAnsi="Times New Roman" w:cs="Times New Roman"/>
              </w:rPr>
              <w:t>Usage type</w:t>
            </w:r>
          </w:p>
        </w:tc>
        <w:tc>
          <w:tcPr>
            <w:tcW w:w="2061" w:type="pct"/>
          </w:tcPr>
          <w:p w14:paraId="1E54089B" w14:textId="77777777" w:rsidR="0022028D" w:rsidRPr="003C2B67" w:rsidRDefault="0022028D" w:rsidP="009C1318">
            <w:pPr>
              <w:pStyle w:val="Tablehead"/>
              <w:keepLines/>
              <w:rPr>
                <w:rFonts w:ascii="Times New Roman" w:hAnsi="Times New Roman" w:cs="Times New Roman"/>
              </w:rPr>
            </w:pPr>
            <w:r w:rsidRPr="003C2B67">
              <w:rPr>
                <w:rFonts w:ascii="Times New Roman" w:hAnsi="Times New Roman" w:cs="Times New Roman"/>
              </w:rPr>
              <w:t>Annual operation</w:t>
            </w:r>
          </w:p>
        </w:tc>
        <w:tc>
          <w:tcPr>
            <w:tcW w:w="1690" w:type="pct"/>
          </w:tcPr>
          <w:p w14:paraId="18DAECDD" w14:textId="77777777" w:rsidR="0022028D" w:rsidRPr="003C2B67" w:rsidRDefault="0022028D" w:rsidP="009C1318">
            <w:pPr>
              <w:pStyle w:val="Tablehead"/>
              <w:keepLines/>
              <w:rPr>
                <w:rFonts w:ascii="Times New Roman" w:hAnsi="Times New Roman" w:cs="Times New Roman"/>
              </w:rPr>
            </w:pPr>
            <w:r w:rsidRPr="003C2B67">
              <w:rPr>
                <w:rFonts w:ascii="Times New Roman" w:hAnsi="Times New Roman" w:cs="Times New Roman"/>
              </w:rPr>
              <w:t>Active installations</w:t>
            </w:r>
          </w:p>
        </w:tc>
      </w:tr>
      <w:tr w:rsidR="0022028D" w:rsidRPr="003C2B67" w14:paraId="39496873" w14:textId="77777777" w:rsidTr="009C1318">
        <w:trPr>
          <w:cantSplit/>
          <w:jc w:val="center"/>
        </w:trPr>
        <w:tc>
          <w:tcPr>
            <w:tcW w:w="1249" w:type="pct"/>
          </w:tcPr>
          <w:p w14:paraId="042A3305" w14:textId="77777777" w:rsidR="0022028D" w:rsidRPr="003C2B67" w:rsidRDefault="0022028D" w:rsidP="009C1318">
            <w:pPr>
              <w:pStyle w:val="Tabletext"/>
              <w:keepNext/>
              <w:keepLines/>
              <w:rPr>
                <w:rFonts w:ascii="Times New Roman" w:hAnsi="Times New Roman" w:cs="Times New Roman"/>
              </w:rPr>
            </w:pPr>
            <w:r w:rsidRPr="003C2B67">
              <w:rPr>
                <w:rFonts w:ascii="Times New Roman" w:hAnsi="Times New Roman" w:cs="Times New Roman"/>
              </w:rPr>
              <w:t>Narrow-band propagation beacons</w:t>
            </w:r>
          </w:p>
        </w:tc>
        <w:tc>
          <w:tcPr>
            <w:tcW w:w="2061" w:type="pct"/>
          </w:tcPr>
          <w:p w14:paraId="61F3EEFA" w14:textId="77777777" w:rsidR="0022028D" w:rsidRPr="003C2B67" w:rsidRDefault="0022028D" w:rsidP="009C1318">
            <w:pPr>
              <w:pStyle w:val="Tabletext"/>
              <w:keepNext/>
              <w:keepLines/>
              <w:rPr>
                <w:rFonts w:ascii="Times New Roman" w:hAnsi="Times New Roman" w:cs="Times New Roman"/>
              </w:rPr>
            </w:pPr>
            <w:r w:rsidRPr="003C2B67">
              <w:rPr>
                <w:rFonts w:ascii="Times New Roman" w:hAnsi="Times New Roman" w:cs="Times New Roman"/>
              </w:rPr>
              <w:t>Transmitting continuously usually.</w:t>
            </w:r>
          </w:p>
        </w:tc>
        <w:tc>
          <w:tcPr>
            <w:tcW w:w="1690" w:type="pct"/>
          </w:tcPr>
          <w:p w14:paraId="6623D472" w14:textId="77777777" w:rsidR="0022028D" w:rsidRPr="003C2B67" w:rsidRDefault="0022028D" w:rsidP="009C1318">
            <w:pPr>
              <w:pStyle w:val="Tabletext"/>
              <w:keepNext/>
              <w:keepLines/>
              <w:rPr>
                <w:rFonts w:ascii="Times New Roman" w:hAnsi="Times New Roman" w:cs="Times New Roman"/>
              </w:rPr>
            </w:pPr>
            <w:r w:rsidRPr="003C2B67">
              <w:rPr>
                <w:rFonts w:ascii="Times New Roman" w:hAnsi="Times New Roman" w:cs="Times New Roman"/>
              </w:rPr>
              <w:t xml:space="preserve">From 4 to 20 depending on the country reviewed. </w:t>
            </w:r>
          </w:p>
          <w:p w14:paraId="0799FB46" w14:textId="77777777" w:rsidR="0022028D" w:rsidRPr="003C2B67" w:rsidRDefault="0022028D" w:rsidP="009C1318">
            <w:pPr>
              <w:pStyle w:val="Tabletext"/>
              <w:keepNext/>
              <w:keepLines/>
              <w:rPr>
                <w:rFonts w:ascii="Times New Roman" w:hAnsi="Times New Roman" w:cs="Times New Roman"/>
              </w:rPr>
            </w:pPr>
            <w:r w:rsidRPr="003C2B67">
              <w:rPr>
                <w:rFonts w:ascii="Times New Roman" w:hAnsi="Times New Roman" w:cs="Times New Roman"/>
              </w:rPr>
              <w:t>Region 1 = 88 in total.</w:t>
            </w:r>
          </w:p>
        </w:tc>
      </w:tr>
      <w:tr w:rsidR="0022028D" w:rsidRPr="003C2B67" w14:paraId="1DF1EA1F" w14:textId="77777777" w:rsidTr="009C1318">
        <w:trPr>
          <w:cantSplit/>
          <w:jc w:val="center"/>
        </w:trPr>
        <w:tc>
          <w:tcPr>
            <w:tcW w:w="1249" w:type="pct"/>
          </w:tcPr>
          <w:p w14:paraId="5038CA36" w14:textId="77777777" w:rsidR="0022028D" w:rsidRPr="003C2B67" w:rsidRDefault="0022028D" w:rsidP="009C1318">
            <w:pPr>
              <w:pStyle w:val="Tabletext"/>
              <w:keepNext/>
              <w:keepLines/>
              <w:rPr>
                <w:rFonts w:ascii="Times New Roman" w:hAnsi="Times New Roman" w:cs="Times New Roman"/>
              </w:rPr>
            </w:pPr>
            <w:r w:rsidRPr="003C2B67">
              <w:rPr>
                <w:rFonts w:ascii="Times New Roman" w:hAnsi="Times New Roman" w:cs="Times New Roman"/>
              </w:rPr>
              <w:t>Narrow-band repeaters</w:t>
            </w:r>
          </w:p>
        </w:tc>
        <w:tc>
          <w:tcPr>
            <w:tcW w:w="2061" w:type="pct"/>
          </w:tcPr>
          <w:p w14:paraId="2DB24991" w14:textId="77777777" w:rsidR="0022028D" w:rsidRPr="003C2B67" w:rsidRDefault="0022028D" w:rsidP="009C1318">
            <w:pPr>
              <w:pStyle w:val="Tabletext"/>
              <w:keepNext/>
              <w:keepLines/>
              <w:rPr>
                <w:rFonts w:ascii="Times New Roman" w:hAnsi="Times New Roman" w:cs="Times New Roman"/>
              </w:rPr>
            </w:pPr>
            <w:r w:rsidRPr="003C2B67">
              <w:rPr>
                <w:rFonts w:ascii="Times New Roman" w:hAnsi="Times New Roman" w:cs="Times New Roman"/>
              </w:rPr>
              <w:t>Low and only when activated on the input frequency by a user station.</w:t>
            </w:r>
          </w:p>
          <w:p w14:paraId="2BBD1240" w14:textId="77777777" w:rsidR="0022028D" w:rsidRPr="003C2B67" w:rsidRDefault="0022028D" w:rsidP="009C1318">
            <w:pPr>
              <w:pStyle w:val="Tabletext"/>
              <w:keepNext/>
              <w:keepLines/>
              <w:rPr>
                <w:rFonts w:ascii="Times New Roman" w:hAnsi="Times New Roman" w:cs="Times New Roman"/>
              </w:rPr>
            </w:pPr>
            <w:r w:rsidRPr="003C2B67">
              <w:rPr>
                <w:rFonts w:ascii="Times New Roman" w:hAnsi="Times New Roman" w:cs="Times New Roman"/>
              </w:rPr>
              <w:t>May transmit more regularly if a beacon mode is present.</w:t>
            </w:r>
          </w:p>
        </w:tc>
        <w:tc>
          <w:tcPr>
            <w:tcW w:w="1690" w:type="pct"/>
          </w:tcPr>
          <w:p w14:paraId="0F71DB2C" w14:textId="77777777" w:rsidR="0022028D" w:rsidRPr="003C2B67" w:rsidRDefault="0022028D" w:rsidP="009C1318">
            <w:pPr>
              <w:pStyle w:val="Tabletext"/>
              <w:keepNext/>
              <w:keepLines/>
              <w:rPr>
                <w:rFonts w:ascii="Times New Roman" w:hAnsi="Times New Roman" w:cs="Times New Roman"/>
              </w:rPr>
            </w:pPr>
            <w:r w:rsidRPr="003C2B67">
              <w:rPr>
                <w:rFonts w:ascii="Times New Roman" w:hAnsi="Times New Roman" w:cs="Times New Roman"/>
              </w:rPr>
              <w:t>From 9 to 19 depending on the country reviewed.</w:t>
            </w:r>
          </w:p>
        </w:tc>
      </w:tr>
      <w:tr w:rsidR="0022028D" w:rsidRPr="003C2B67" w14:paraId="1D301E0E" w14:textId="77777777" w:rsidTr="009C1318">
        <w:trPr>
          <w:cantSplit/>
          <w:jc w:val="center"/>
        </w:trPr>
        <w:tc>
          <w:tcPr>
            <w:tcW w:w="1249" w:type="pct"/>
          </w:tcPr>
          <w:p w14:paraId="64AF7782"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ATV repeaters (the users are usually home stations)</w:t>
            </w:r>
          </w:p>
        </w:tc>
        <w:tc>
          <w:tcPr>
            <w:tcW w:w="2061" w:type="pct"/>
          </w:tcPr>
          <w:p w14:paraId="3A88A4AC"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Low and only when activated on the input frequency by a user station in a random and sporadic manner.</w:t>
            </w:r>
          </w:p>
          <w:p w14:paraId="27222A49"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May transmit more regularly if a beacon mode is present.</w:t>
            </w:r>
          </w:p>
        </w:tc>
        <w:tc>
          <w:tcPr>
            <w:tcW w:w="1690" w:type="pct"/>
          </w:tcPr>
          <w:p w14:paraId="64BCF727"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 xml:space="preserve">From 10 to 18 depending on the country reviewed. </w:t>
            </w:r>
          </w:p>
          <w:p w14:paraId="40627BB1" w14:textId="77777777" w:rsidR="0022028D" w:rsidRPr="003C2B67" w:rsidRDefault="0022028D" w:rsidP="00994B8B">
            <w:pPr>
              <w:pStyle w:val="Tabletext"/>
              <w:rPr>
                <w:rFonts w:ascii="Times New Roman" w:hAnsi="Times New Roman" w:cs="Times New Roman"/>
              </w:rPr>
            </w:pPr>
            <w:r w:rsidRPr="003C2B67">
              <w:rPr>
                <w:rFonts w:ascii="Times New Roman" w:hAnsi="Times New Roman" w:cs="Times New Roman"/>
              </w:rPr>
              <w:t>5 to 10 users within the local coverage area transmitting one at a time.</w:t>
            </w:r>
          </w:p>
        </w:tc>
      </w:tr>
    </w:tbl>
    <w:p w14:paraId="59FDB003" w14:textId="77777777" w:rsidR="0022028D" w:rsidRPr="003C2B67" w:rsidRDefault="0022028D" w:rsidP="0022028D">
      <w:pPr>
        <w:pStyle w:val="Tablefin"/>
      </w:pPr>
    </w:p>
    <w:p w14:paraId="74565461" w14:textId="77777777" w:rsidR="0022028D" w:rsidRPr="003C2B67" w:rsidRDefault="0022028D" w:rsidP="0022028D">
      <w:pPr>
        <w:pStyle w:val="Heading2"/>
      </w:pPr>
      <w:bookmarkStart w:id="31" w:name="_Toc89080121"/>
      <w:bookmarkStart w:id="32" w:name="_Toc146277895"/>
      <w:r w:rsidRPr="003C2B67">
        <w:t>5.6</w:t>
      </w:r>
      <w:r w:rsidRPr="003C2B67">
        <w:tab/>
        <w:t>Activity factors of amateur transmitting stations in the 1 240</w:t>
      </w:r>
      <w:r w:rsidRPr="003C2B67">
        <w:noBreakHyphen/>
        <w:t>1 300 MHz band</w:t>
      </w:r>
      <w:bookmarkEnd w:id="31"/>
      <w:bookmarkEnd w:id="32"/>
    </w:p>
    <w:p w14:paraId="2EEFFFA8" w14:textId="77777777" w:rsidR="0022028D" w:rsidRPr="003C2B67" w:rsidRDefault="0022028D" w:rsidP="0022028D">
      <w:r w:rsidRPr="003C2B67">
        <w:t>Activity factor considers the amount of time that any particular station is transmitting during any operational period of activity. All applications involve two-way communication requiring periods of reception as well as transmission. It is usual practice for any home station or temporary portable station to spend more time receiving than transmitting.</w:t>
      </w:r>
    </w:p>
    <w:p w14:paraId="482F9198" w14:textId="77777777" w:rsidR="0022028D" w:rsidRPr="003C2B67" w:rsidRDefault="0022028D" w:rsidP="0022028D">
      <w:pPr>
        <w:rPr>
          <w:spacing w:val="-4"/>
        </w:rPr>
      </w:pPr>
      <w:r w:rsidRPr="003C2B67">
        <w:rPr>
          <w:spacing w:val="-4"/>
        </w:rPr>
        <w:t>Maximum Activity Factor for home station and temporary “portable” stations = 50% and typically less.</w:t>
      </w:r>
    </w:p>
    <w:p w14:paraId="63F14B95" w14:textId="77777777" w:rsidR="0022028D" w:rsidRPr="003C2B67" w:rsidRDefault="0022028D" w:rsidP="0022028D">
      <w:r w:rsidRPr="003C2B67">
        <w:t>Any permanent installation station operating in a beacon mode will exhibit a 100% activity factor.</w:t>
      </w:r>
    </w:p>
    <w:p w14:paraId="3AED8B64" w14:textId="77777777" w:rsidR="0022028D" w:rsidRPr="003C2B67" w:rsidRDefault="0022028D" w:rsidP="0022028D">
      <w:pPr>
        <w:pStyle w:val="Heading2"/>
      </w:pPr>
      <w:bookmarkStart w:id="33" w:name="_Toc89080122"/>
      <w:bookmarkStart w:id="34" w:name="_Toc146277896"/>
      <w:r w:rsidRPr="003C2B67">
        <w:t>5.7</w:t>
      </w:r>
      <w:r w:rsidRPr="003C2B67">
        <w:tab/>
        <w:t>User density of amateur transmitting stations in the 1 240-1 300 MHz band</w:t>
      </w:r>
      <w:bookmarkEnd w:id="33"/>
      <w:bookmarkEnd w:id="34"/>
    </w:p>
    <w:p w14:paraId="46094342" w14:textId="77777777" w:rsidR="0022028D" w:rsidRPr="003C2B67" w:rsidRDefault="0022028D" w:rsidP="0022028D">
      <w:pPr>
        <w:pStyle w:val="Headingb"/>
      </w:pPr>
      <w:r w:rsidRPr="003C2B67">
        <w:t xml:space="preserve">Home station and temporary “portable” station </w:t>
      </w:r>
    </w:p>
    <w:p w14:paraId="6C662333" w14:textId="77777777" w:rsidR="0022028D" w:rsidRPr="003C2B67" w:rsidRDefault="0022028D" w:rsidP="0022028D">
      <w:pPr>
        <w:pStyle w:val="enumlev1"/>
      </w:pPr>
      <w:r w:rsidRPr="003C2B67">
        <w:t>–</w:t>
      </w:r>
      <w:r w:rsidRPr="003C2B67">
        <w:tab/>
        <w:t>For narrowband activity periods the maximum density of transmitting stations = 0.0002 stations/km</w:t>
      </w:r>
      <w:r w:rsidRPr="003C2B67">
        <w:rPr>
          <w:vertAlign w:val="superscript"/>
        </w:rPr>
        <w:t>2</w:t>
      </w:r>
      <w:r w:rsidRPr="003C2B67">
        <w:t>.</w:t>
      </w:r>
    </w:p>
    <w:p w14:paraId="25614EC5" w14:textId="77777777" w:rsidR="0022028D" w:rsidRPr="003C2B67" w:rsidRDefault="0022028D" w:rsidP="0022028D">
      <w:pPr>
        <w:pStyle w:val="enumlev1"/>
      </w:pPr>
      <w:r w:rsidRPr="003C2B67">
        <w:t>–</w:t>
      </w:r>
      <w:r w:rsidRPr="003C2B67">
        <w:tab/>
        <w:t>For wideband activity periods the maximum density of transmitting stations = 0.0001 stations/km</w:t>
      </w:r>
      <w:r w:rsidRPr="003C2B67">
        <w:rPr>
          <w:vertAlign w:val="superscript"/>
        </w:rPr>
        <w:t>2</w:t>
      </w:r>
      <w:r w:rsidRPr="003C2B67">
        <w:t xml:space="preserve">. </w:t>
      </w:r>
    </w:p>
    <w:p w14:paraId="21179D22" w14:textId="77777777" w:rsidR="0022028D" w:rsidRPr="003C2B67" w:rsidRDefault="0022028D" w:rsidP="0022028D">
      <w:pPr>
        <w:pStyle w:val="enumlev1"/>
      </w:pPr>
      <w:r w:rsidRPr="003C2B67">
        <w:t>–</w:t>
      </w:r>
      <w:r w:rsidRPr="003C2B67">
        <w:tab/>
        <w:t>For EME operations the maximum density of transmitting stations = 0.000013 stations/km</w:t>
      </w:r>
      <w:r w:rsidRPr="003C2B67">
        <w:rPr>
          <w:vertAlign w:val="superscript"/>
        </w:rPr>
        <w:t>2</w:t>
      </w:r>
      <w:r w:rsidRPr="003C2B67">
        <w:t xml:space="preserve">. </w:t>
      </w:r>
    </w:p>
    <w:p w14:paraId="21F3D25B" w14:textId="77777777" w:rsidR="0022028D" w:rsidRPr="003C2B67" w:rsidRDefault="0022028D" w:rsidP="0022028D">
      <w:r w:rsidRPr="003C2B67">
        <w:t>Recognising that not all active stations may submit a record of their activities, a 33% increase has been added to the total active stations per scheduled operating period from Table 8.</w:t>
      </w:r>
    </w:p>
    <w:p w14:paraId="21D9BEF5" w14:textId="77777777" w:rsidR="0022028D" w:rsidRPr="003C2B67" w:rsidRDefault="0022028D" w:rsidP="0022028D">
      <w:pPr>
        <w:pStyle w:val="Headingb"/>
      </w:pPr>
      <w:r w:rsidRPr="003C2B67">
        <w:t>Permanent installation</w:t>
      </w:r>
    </w:p>
    <w:p w14:paraId="397F84F0" w14:textId="70A115E6" w:rsidR="0022028D" w:rsidRPr="003C2B67" w:rsidRDefault="0022028D" w:rsidP="0022028D">
      <w:pPr>
        <w:pStyle w:val="enumlev1"/>
      </w:pPr>
      <w:r w:rsidRPr="003C2B67">
        <w:t>–</w:t>
      </w:r>
      <w:r w:rsidRPr="003C2B67">
        <w:tab/>
        <w:t>For narrowband data and voice repeaters the average density of transmitting stations = 0.0003</w:t>
      </w:r>
      <w:r w:rsidR="009C1318" w:rsidRPr="003C2B67">
        <w:t> </w:t>
      </w:r>
      <w:r w:rsidRPr="003C2B67">
        <w:t>stations/km</w:t>
      </w:r>
      <w:r w:rsidRPr="003C2B67">
        <w:rPr>
          <w:vertAlign w:val="superscript"/>
        </w:rPr>
        <w:t>2</w:t>
      </w:r>
      <w:r w:rsidRPr="003C2B67">
        <w:t xml:space="preserve">. </w:t>
      </w:r>
    </w:p>
    <w:p w14:paraId="6C1BAD0C" w14:textId="77777777" w:rsidR="0022028D" w:rsidRPr="003C2B67" w:rsidRDefault="0022028D" w:rsidP="0022028D">
      <w:pPr>
        <w:pStyle w:val="enumlev1"/>
      </w:pPr>
      <w:r w:rsidRPr="003C2B67">
        <w:t>–</w:t>
      </w:r>
      <w:r w:rsidRPr="003C2B67">
        <w:tab/>
        <w:t>For wideband ATV repeaters, the average density of transmitting stations = 0.0001 stations/km</w:t>
      </w:r>
      <w:r w:rsidRPr="003C2B67">
        <w:rPr>
          <w:vertAlign w:val="superscript"/>
        </w:rPr>
        <w:t>2</w:t>
      </w:r>
      <w:r w:rsidRPr="003C2B67">
        <w:t xml:space="preserve">. </w:t>
      </w:r>
    </w:p>
    <w:p w14:paraId="7CCA9899" w14:textId="1BBC5DC6" w:rsidR="0022028D" w:rsidRPr="003C2B67" w:rsidRDefault="0022028D" w:rsidP="0022028D">
      <w:pPr>
        <w:pStyle w:val="enumlev1"/>
      </w:pPr>
      <w:r w:rsidRPr="003C2B67">
        <w:t>–</w:t>
      </w:r>
      <w:r w:rsidRPr="003C2B67">
        <w:tab/>
        <w:t>For propagation radio beacon stations, the average density of transmitting stations = 0.0001</w:t>
      </w:r>
      <w:r w:rsidR="009C1318" w:rsidRPr="003C2B67">
        <w:t> </w:t>
      </w:r>
      <w:r w:rsidRPr="003C2B67">
        <w:t>stations/km</w:t>
      </w:r>
      <w:r w:rsidRPr="003C2B67">
        <w:rPr>
          <w:vertAlign w:val="superscript"/>
        </w:rPr>
        <w:t>2</w:t>
      </w:r>
      <w:r w:rsidRPr="003C2B67">
        <w:t xml:space="preserve">. </w:t>
      </w:r>
    </w:p>
    <w:p w14:paraId="034D0D83" w14:textId="77777777" w:rsidR="0022028D" w:rsidRPr="003C2B67" w:rsidRDefault="0022028D" w:rsidP="0022028D">
      <w:r w:rsidRPr="003C2B67">
        <w:t xml:space="preserve">In addition, it is noted that there is a tendency for more stations to be active in areas of higher population density. Therefore, a range of density values may be considered appropriate to </w:t>
      </w:r>
      <w:proofErr w:type="gramStart"/>
      <w:r w:rsidRPr="003C2B67">
        <w:t xml:space="preserve">more </w:t>
      </w:r>
      <w:r w:rsidRPr="003C2B67">
        <w:lastRenderedPageBreak/>
        <w:t>accurately reflect the pattern of activity</w:t>
      </w:r>
      <w:proofErr w:type="gramEnd"/>
      <w:r w:rsidRPr="003C2B67">
        <w:t xml:space="preserve"> across a country. Based on a more detailed analysis the following active station density can be observed:</w:t>
      </w:r>
    </w:p>
    <w:p w14:paraId="3E0C0BAB" w14:textId="77777777" w:rsidR="0022028D" w:rsidRPr="003C2B67" w:rsidRDefault="0022028D" w:rsidP="0022028D">
      <w:pPr>
        <w:pStyle w:val="Headingb"/>
      </w:pPr>
      <w:r w:rsidRPr="003C2B67">
        <w:t xml:space="preserve">Home station and temporary “portable” station </w:t>
      </w:r>
    </w:p>
    <w:p w14:paraId="6F2877FC" w14:textId="77777777" w:rsidR="0022028D" w:rsidRPr="003C2B67" w:rsidRDefault="0022028D" w:rsidP="0022028D">
      <w:pPr>
        <w:pStyle w:val="enumlev1"/>
      </w:pPr>
      <w:r w:rsidRPr="003C2B67">
        <w:t>–</w:t>
      </w:r>
      <w:r w:rsidRPr="003C2B67">
        <w:tab/>
        <w:t>For narrow-band activity periods the maximum density of transmitting stations can range from 0.00006 to 0.0016 stations/km</w:t>
      </w:r>
      <w:r w:rsidRPr="003C2B67">
        <w:rPr>
          <w:rStyle w:val="ECCHLsuperscript"/>
        </w:rPr>
        <w:t>2.</w:t>
      </w:r>
    </w:p>
    <w:p w14:paraId="7E8FFFB8" w14:textId="77777777" w:rsidR="0022028D" w:rsidRPr="003C2B67" w:rsidRDefault="0022028D" w:rsidP="0022028D">
      <w:pPr>
        <w:pStyle w:val="Heading2"/>
      </w:pPr>
      <w:bookmarkStart w:id="35" w:name="_Toc51847670"/>
      <w:bookmarkStart w:id="36" w:name="_Toc54350030"/>
      <w:bookmarkStart w:id="37" w:name="_Toc83815650"/>
      <w:bookmarkStart w:id="38" w:name="_Toc65134909"/>
      <w:bookmarkStart w:id="39" w:name="_Toc85661571"/>
      <w:bookmarkStart w:id="40" w:name="_Toc89080123"/>
      <w:bookmarkStart w:id="41" w:name="_Toc146277897"/>
      <w:r w:rsidRPr="003C2B67">
        <w:t>5.8</w:t>
      </w:r>
      <w:r w:rsidRPr="003C2B67">
        <w:tab/>
        <w:t>Table of transmitter characteristics and parameters</w:t>
      </w:r>
      <w:bookmarkEnd w:id="35"/>
      <w:bookmarkEnd w:id="36"/>
      <w:r w:rsidRPr="003C2B67">
        <w:t xml:space="preserve"> (extracted from Recommendation </w:t>
      </w:r>
      <w:hyperlink r:id="rId23" w:history="1">
        <w:r w:rsidRPr="003C2B67">
          <w:rPr>
            <w:rStyle w:val="Hyperlink"/>
            <w:color w:val="auto"/>
            <w:u w:val="none"/>
          </w:rPr>
          <w:t>ITU-R M.1732</w:t>
        </w:r>
      </w:hyperlink>
      <w:r w:rsidRPr="003C2B67">
        <w:t>)</w:t>
      </w:r>
      <w:bookmarkEnd w:id="37"/>
      <w:bookmarkEnd w:id="38"/>
      <w:bookmarkEnd w:id="39"/>
      <w:bookmarkEnd w:id="40"/>
      <w:bookmarkEnd w:id="41"/>
    </w:p>
    <w:p w14:paraId="75523BBD" w14:textId="77777777" w:rsidR="0022028D" w:rsidRPr="003C2B67" w:rsidRDefault="0022028D" w:rsidP="009C1318">
      <w:pPr>
        <w:pStyle w:val="TableNo"/>
        <w:rPr>
          <w:lang w:eastAsia="ja-JP"/>
        </w:rPr>
      </w:pPr>
      <w:r w:rsidRPr="003C2B67">
        <w:t>TABLE 10</w:t>
      </w:r>
    </w:p>
    <w:p w14:paraId="6ECAB246" w14:textId="77777777" w:rsidR="0022028D" w:rsidRPr="003C2B67" w:rsidRDefault="0022028D" w:rsidP="009C1318">
      <w:pPr>
        <w:pStyle w:val="Tabletitle"/>
      </w:pPr>
      <w:r w:rsidRPr="003C2B67">
        <w:t xml:space="preserve">Characteristics of amateur systems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2057"/>
        <w:gridCol w:w="1988"/>
        <w:gridCol w:w="1982"/>
      </w:tblGrid>
      <w:tr w:rsidR="0022028D" w:rsidRPr="003C2B67" w14:paraId="4D06CC94" w14:textId="77777777" w:rsidTr="009C1318">
        <w:trPr>
          <w:tblHeader/>
          <w:jc w:val="center"/>
        </w:trPr>
        <w:tc>
          <w:tcPr>
            <w:tcW w:w="1874" w:type="pct"/>
            <w:tcBorders>
              <w:top w:val="single" w:sz="4" w:space="0" w:color="auto"/>
              <w:left w:val="single" w:sz="4" w:space="0" w:color="auto"/>
              <w:bottom w:val="single" w:sz="4" w:space="0" w:color="auto"/>
              <w:right w:val="single" w:sz="4" w:space="0" w:color="auto"/>
            </w:tcBorders>
            <w:hideMark/>
          </w:tcPr>
          <w:p w14:paraId="712627EE" w14:textId="77777777" w:rsidR="0022028D" w:rsidRPr="003C2B67" w:rsidRDefault="0022028D" w:rsidP="009C1318">
            <w:pPr>
              <w:pStyle w:val="Tablehead"/>
            </w:pPr>
            <w:r w:rsidRPr="003C2B67">
              <w:t>Parameter</w:t>
            </w:r>
          </w:p>
        </w:tc>
        <w:tc>
          <w:tcPr>
            <w:tcW w:w="3126" w:type="pct"/>
            <w:gridSpan w:val="3"/>
            <w:tcBorders>
              <w:top w:val="single" w:sz="4" w:space="0" w:color="auto"/>
              <w:left w:val="single" w:sz="4" w:space="0" w:color="auto"/>
              <w:bottom w:val="single" w:sz="4" w:space="0" w:color="auto"/>
              <w:right w:val="single" w:sz="4" w:space="0" w:color="auto"/>
            </w:tcBorders>
            <w:hideMark/>
          </w:tcPr>
          <w:p w14:paraId="5FD6C314" w14:textId="77777777" w:rsidR="0022028D" w:rsidRPr="003C2B67" w:rsidRDefault="0022028D" w:rsidP="009C1318">
            <w:pPr>
              <w:pStyle w:val="Tablehead"/>
            </w:pPr>
            <w:r w:rsidRPr="003C2B67">
              <w:t>Value</w:t>
            </w:r>
          </w:p>
        </w:tc>
      </w:tr>
      <w:tr w:rsidR="0022028D" w:rsidRPr="003C2B67" w14:paraId="1B062273" w14:textId="77777777" w:rsidTr="009C1318">
        <w:trPr>
          <w:trHeight w:val="463"/>
          <w:jc w:val="center"/>
        </w:trPr>
        <w:tc>
          <w:tcPr>
            <w:tcW w:w="1874" w:type="pct"/>
            <w:tcBorders>
              <w:top w:val="single" w:sz="4" w:space="0" w:color="auto"/>
              <w:left w:val="single" w:sz="4" w:space="0" w:color="auto"/>
              <w:bottom w:val="single" w:sz="4" w:space="0" w:color="auto"/>
              <w:right w:val="single" w:sz="4" w:space="0" w:color="auto"/>
            </w:tcBorders>
            <w:hideMark/>
          </w:tcPr>
          <w:p w14:paraId="18E31C57" w14:textId="77777777" w:rsidR="0022028D" w:rsidRPr="003C2B67" w:rsidRDefault="0022028D" w:rsidP="00994B8B">
            <w:pPr>
              <w:pStyle w:val="Tabletext"/>
              <w:rPr>
                <w:snapToGrid w:val="0"/>
                <w:lang w:eastAsia="ja-JP"/>
              </w:rPr>
            </w:pPr>
            <w:r w:rsidRPr="003C2B67">
              <w:rPr>
                <w:snapToGrid w:val="0"/>
                <w:lang w:eastAsia="ja-JP"/>
              </w:rPr>
              <w:t>Applications</w:t>
            </w:r>
          </w:p>
        </w:tc>
        <w:tc>
          <w:tcPr>
            <w:tcW w:w="1067" w:type="pct"/>
            <w:tcBorders>
              <w:top w:val="single" w:sz="4" w:space="0" w:color="auto"/>
              <w:left w:val="single" w:sz="4" w:space="0" w:color="auto"/>
              <w:bottom w:val="single" w:sz="4" w:space="0" w:color="auto"/>
              <w:right w:val="single" w:sz="4" w:space="0" w:color="auto"/>
            </w:tcBorders>
            <w:hideMark/>
          </w:tcPr>
          <w:p w14:paraId="5BC2EF86" w14:textId="77777777" w:rsidR="0022028D" w:rsidRPr="003C2B67" w:rsidRDefault="0022028D" w:rsidP="00994B8B">
            <w:pPr>
              <w:pStyle w:val="Tabletext"/>
              <w:jc w:val="center"/>
              <w:rPr>
                <w:snapToGrid w:val="0"/>
                <w:lang w:eastAsia="ja-JP"/>
              </w:rPr>
            </w:pPr>
            <w:r w:rsidRPr="003C2B67">
              <w:rPr>
                <w:snapToGrid w:val="0"/>
                <w:lang w:eastAsia="ja-JP"/>
              </w:rPr>
              <w:t>Morse on-off keying, PSK31, NBDP</w:t>
            </w:r>
          </w:p>
        </w:tc>
        <w:tc>
          <w:tcPr>
            <w:tcW w:w="1031" w:type="pct"/>
            <w:tcBorders>
              <w:top w:val="single" w:sz="4" w:space="0" w:color="auto"/>
              <w:left w:val="single" w:sz="4" w:space="0" w:color="auto"/>
              <w:bottom w:val="single" w:sz="4" w:space="0" w:color="auto"/>
              <w:right w:val="single" w:sz="4" w:space="0" w:color="auto"/>
            </w:tcBorders>
            <w:hideMark/>
          </w:tcPr>
          <w:p w14:paraId="606BD12D" w14:textId="77777777" w:rsidR="0022028D" w:rsidRPr="003C2B67" w:rsidRDefault="0022028D" w:rsidP="00994B8B">
            <w:pPr>
              <w:pStyle w:val="Tabletext"/>
              <w:jc w:val="center"/>
              <w:rPr>
                <w:snapToGrid w:val="0"/>
                <w:lang w:eastAsia="ja-JP"/>
              </w:rPr>
            </w:pPr>
            <w:r w:rsidRPr="003C2B67">
              <w:rPr>
                <w:snapToGrid w:val="0"/>
                <w:lang w:eastAsia="ja-JP"/>
              </w:rPr>
              <w:t>Analogue voice systems</w:t>
            </w:r>
          </w:p>
        </w:tc>
        <w:tc>
          <w:tcPr>
            <w:tcW w:w="1028" w:type="pct"/>
            <w:tcBorders>
              <w:top w:val="single" w:sz="4" w:space="0" w:color="auto"/>
              <w:left w:val="single" w:sz="4" w:space="0" w:color="auto"/>
              <w:bottom w:val="single" w:sz="4" w:space="0" w:color="auto"/>
              <w:right w:val="single" w:sz="4" w:space="0" w:color="auto"/>
            </w:tcBorders>
            <w:hideMark/>
          </w:tcPr>
          <w:p w14:paraId="2344A1F6" w14:textId="77777777" w:rsidR="0022028D" w:rsidRPr="003C2B67" w:rsidRDefault="0022028D" w:rsidP="00994B8B">
            <w:pPr>
              <w:pStyle w:val="Tabletext"/>
              <w:jc w:val="center"/>
              <w:rPr>
                <w:snapToGrid w:val="0"/>
              </w:rPr>
            </w:pPr>
            <w:r w:rsidRPr="003C2B67">
              <w:rPr>
                <w:snapToGrid w:val="0"/>
                <w:lang w:eastAsia="ja-JP"/>
              </w:rPr>
              <w:t>Data, digital voice and multimedia systems</w:t>
            </w:r>
          </w:p>
        </w:tc>
      </w:tr>
      <w:tr w:rsidR="0022028D" w:rsidRPr="003C2B67" w14:paraId="5ACB453E" w14:textId="77777777" w:rsidTr="009C1318">
        <w:trPr>
          <w:jc w:val="center"/>
        </w:trPr>
        <w:tc>
          <w:tcPr>
            <w:tcW w:w="1874" w:type="pct"/>
            <w:tcBorders>
              <w:top w:val="single" w:sz="4" w:space="0" w:color="auto"/>
              <w:left w:val="single" w:sz="4" w:space="0" w:color="auto"/>
              <w:bottom w:val="single" w:sz="4" w:space="0" w:color="auto"/>
              <w:right w:val="single" w:sz="4" w:space="0" w:color="auto"/>
            </w:tcBorders>
            <w:hideMark/>
          </w:tcPr>
          <w:p w14:paraId="55646593" w14:textId="77777777" w:rsidR="0022028D" w:rsidRPr="003C2B67" w:rsidRDefault="0022028D" w:rsidP="00994B8B">
            <w:pPr>
              <w:pStyle w:val="Tabletext"/>
              <w:rPr>
                <w:snapToGrid w:val="0"/>
              </w:rPr>
            </w:pPr>
            <w:r w:rsidRPr="003C2B67">
              <w:rPr>
                <w:snapToGrid w:val="0"/>
              </w:rPr>
              <w:t xml:space="preserve">Frequency range </w:t>
            </w:r>
            <w:r w:rsidRPr="003C2B67">
              <w:rPr>
                <w:snapToGrid w:val="0"/>
                <w:vertAlign w:val="superscript"/>
              </w:rPr>
              <w:t>(1)</w:t>
            </w:r>
          </w:p>
        </w:tc>
        <w:tc>
          <w:tcPr>
            <w:tcW w:w="1067" w:type="pct"/>
            <w:tcBorders>
              <w:top w:val="single" w:sz="4" w:space="0" w:color="auto"/>
              <w:left w:val="single" w:sz="4" w:space="0" w:color="auto"/>
              <w:bottom w:val="single" w:sz="4" w:space="0" w:color="auto"/>
              <w:right w:val="single" w:sz="4" w:space="0" w:color="auto"/>
            </w:tcBorders>
            <w:hideMark/>
          </w:tcPr>
          <w:p w14:paraId="0799A367" w14:textId="77777777" w:rsidR="0022028D" w:rsidRPr="003C2B67" w:rsidRDefault="0022028D" w:rsidP="00994B8B">
            <w:pPr>
              <w:pStyle w:val="Tabletext"/>
              <w:jc w:val="center"/>
              <w:rPr>
                <w:snapToGrid w:val="0"/>
              </w:rPr>
            </w:pPr>
            <w:r w:rsidRPr="003C2B67">
              <w:rPr>
                <w:snapToGrid w:val="0"/>
              </w:rPr>
              <w:t>0.902-3.5 GHz</w:t>
            </w:r>
          </w:p>
        </w:tc>
        <w:tc>
          <w:tcPr>
            <w:tcW w:w="1031" w:type="pct"/>
            <w:tcBorders>
              <w:top w:val="single" w:sz="4" w:space="0" w:color="auto"/>
              <w:left w:val="single" w:sz="4" w:space="0" w:color="auto"/>
              <w:bottom w:val="single" w:sz="4" w:space="0" w:color="auto"/>
              <w:right w:val="single" w:sz="4" w:space="0" w:color="auto"/>
            </w:tcBorders>
            <w:hideMark/>
          </w:tcPr>
          <w:p w14:paraId="2C1E6895" w14:textId="77777777" w:rsidR="0022028D" w:rsidRPr="003C2B67" w:rsidRDefault="0022028D" w:rsidP="00994B8B">
            <w:pPr>
              <w:pStyle w:val="Tabletext"/>
              <w:jc w:val="center"/>
              <w:rPr>
                <w:snapToGrid w:val="0"/>
              </w:rPr>
            </w:pPr>
            <w:r w:rsidRPr="003C2B67">
              <w:rPr>
                <w:snapToGrid w:val="0"/>
              </w:rPr>
              <w:t>0.902-3.5 GHz</w:t>
            </w:r>
          </w:p>
        </w:tc>
        <w:tc>
          <w:tcPr>
            <w:tcW w:w="1028" w:type="pct"/>
            <w:tcBorders>
              <w:top w:val="single" w:sz="4" w:space="0" w:color="auto"/>
              <w:left w:val="single" w:sz="4" w:space="0" w:color="auto"/>
              <w:bottom w:val="single" w:sz="4" w:space="0" w:color="auto"/>
              <w:right w:val="single" w:sz="4" w:space="0" w:color="auto"/>
            </w:tcBorders>
            <w:hideMark/>
          </w:tcPr>
          <w:p w14:paraId="259EDE84" w14:textId="77777777" w:rsidR="0022028D" w:rsidRPr="003C2B67" w:rsidRDefault="0022028D" w:rsidP="00994B8B">
            <w:pPr>
              <w:pStyle w:val="Tabletext"/>
              <w:jc w:val="center"/>
              <w:rPr>
                <w:snapToGrid w:val="0"/>
                <w:lang w:eastAsia="ja-JP"/>
              </w:rPr>
            </w:pPr>
            <w:r w:rsidRPr="003C2B67">
              <w:rPr>
                <w:snapToGrid w:val="0"/>
              </w:rPr>
              <w:t>0.902-3.5 GHz</w:t>
            </w:r>
          </w:p>
        </w:tc>
      </w:tr>
      <w:tr w:rsidR="0022028D" w:rsidRPr="003C2B67" w14:paraId="6DAB9D1E" w14:textId="77777777" w:rsidTr="009C1318">
        <w:trPr>
          <w:jc w:val="center"/>
        </w:trPr>
        <w:tc>
          <w:tcPr>
            <w:tcW w:w="1874" w:type="pct"/>
            <w:tcBorders>
              <w:top w:val="single" w:sz="4" w:space="0" w:color="auto"/>
              <w:left w:val="single" w:sz="4" w:space="0" w:color="auto"/>
              <w:bottom w:val="single" w:sz="4" w:space="0" w:color="auto"/>
              <w:right w:val="single" w:sz="4" w:space="0" w:color="auto"/>
            </w:tcBorders>
            <w:hideMark/>
          </w:tcPr>
          <w:p w14:paraId="432C4CD1" w14:textId="77777777" w:rsidR="0022028D" w:rsidRPr="003C2B67" w:rsidRDefault="0022028D" w:rsidP="00994B8B">
            <w:pPr>
              <w:pStyle w:val="Tabletext"/>
              <w:rPr>
                <w:snapToGrid w:val="0"/>
              </w:rPr>
            </w:pPr>
            <w:r w:rsidRPr="003C2B67">
              <w:rPr>
                <w:snapToGrid w:val="0"/>
              </w:rPr>
              <w:t>Necessary bandwidth and class of emission (emission designator)</w:t>
            </w:r>
          </w:p>
        </w:tc>
        <w:tc>
          <w:tcPr>
            <w:tcW w:w="1067" w:type="pct"/>
            <w:tcBorders>
              <w:top w:val="single" w:sz="4" w:space="0" w:color="auto"/>
              <w:left w:val="single" w:sz="4" w:space="0" w:color="auto"/>
              <w:bottom w:val="single" w:sz="4" w:space="0" w:color="auto"/>
              <w:right w:val="single" w:sz="4" w:space="0" w:color="auto"/>
            </w:tcBorders>
            <w:hideMark/>
          </w:tcPr>
          <w:p w14:paraId="158BB9FB" w14:textId="77777777" w:rsidR="0022028D" w:rsidRPr="003C2B67" w:rsidRDefault="0022028D" w:rsidP="00994B8B">
            <w:pPr>
              <w:pStyle w:val="Tabletext"/>
              <w:jc w:val="center"/>
            </w:pPr>
            <w:r w:rsidRPr="003C2B67">
              <w:t>150HA1A</w:t>
            </w:r>
            <w:r w:rsidRPr="003C2B67">
              <w:br/>
              <w:t>150HJ2A</w:t>
            </w:r>
            <w:r w:rsidRPr="003C2B67">
              <w:br/>
              <w:t>60H0J2B</w:t>
            </w:r>
            <w:r w:rsidRPr="003C2B67">
              <w:br/>
              <w:t>250HF1B</w:t>
            </w:r>
          </w:p>
        </w:tc>
        <w:tc>
          <w:tcPr>
            <w:tcW w:w="1031" w:type="pct"/>
            <w:tcBorders>
              <w:top w:val="single" w:sz="4" w:space="0" w:color="auto"/>
              <w:left w:val="single" w:sz="4" w:space="0" w:color="auto"/>
              <w:bottom w:val="single" w:sz="4" w:space="0" w:color="auto"/>
              <w:right w:val="single" w:sz="4" w:space="0" w:color="auto"/>
            </w:tcBorders>
            <w:hideMark/>
          </w:tcPr>
          <w:p w14:paraId="2C6A93AC" w14:textId="77777777" w:rsidR="0022028D" w:rsidRPr="003C2B67" w:rsidRDefault="0022028D" w:rsidP="00994B8B">
            <w:pPr>
              <w:pStyle w:val="Tabletext"/>
              <w:jc w:val="center"/>
            </w:pPr>
            <w:r w:rsidRPr="003C2B67">
              <w:t>2K70J3E</w:t>
            </w:r>
            <w:r w:rsidRPr="003C2B67">
              <w:br/>
              <w:t>11K0F3E</w:t>
            </w:r>
            <w:r w:rsidRPr="003C2B67">
              <w:br/>
              <w:t>16K0F3E</w:t>
            </w:r>
            <w:r w:rsidRPr="003C2B67">
              <w:br/>
              <w:t>20K0F3E</w:t>
            </w:r>
          </w:p>
        </w:tc>
        <w:tc>
          <w:tcPr>
            <w:tcW w:w="1028" w:type="pct"/>
            <w:tcBorders>
              <w:top w:val="single" w:sz="4" w:space="0" w:color="auto"/>
              <w:left w:val="single" w:sz="4" w:space="0" w:color="auto"/>
              <w:bottom w:val="single" w:sz="4" w:space="0" w:color="auto"/>
              <w:right w:val="single" w:sz="4" w:space="0" w:color="auto"/>
            </w:tcBorders>
            <w:hideMark/>
          </w:tcPr>
          <w:p w14:paraId="0FAFFDE3" w14:textId="77777777" w:rsidR="0022028D" w:rsidRPr="003C2B67" w:rsidRDefault="0022028D" w:rsidP="00994B8B">
            <w:pPr>
              <w:pStyle w:val="Tabletext"/>
              <w:jc w:val="center"/>
            </w:pPr>
            <w:r w:rsidRPr="003C2B67">
              <w:t>2K70G1D</w:t>
            </w:r>
            <w:r w:rsidRPr="003C2B67">
              <w:br/>
              <w:t>6K00F7D</w:t>
            </w:r>
            <w:r w:rsidRPr="003C2B67">
              <w:br/>
              <w:t>16K0D1D</w:t>
            </w:r>
            <w:r w:rsidRPr="003C2B67">
              <w:br/>
              <w:t>150KF1W</w:t>
            </w:r>
            <w:r w:rsidRPr="003C2B67">
              <w:br/>
              <w:t>2M50G7W</w:t>
            </w:r>
          </w:p>
        </w:tc>
      </w:tr>
      <w:tr w:rsidR="0022028D" w:rsidRPr="003C2B67" w14:paraId="097535DB" w14:textId="77777777" w:rsidTr="009C1318">
        <w:trPr>
          <w:jc w:val="center"/>
        </w:trPr>
        <w:tc>
          <w:tcPr>
            <w:tcW w:w="1874" w:type="pct"/>
            <w:tcBorders>
              <w:top w:val="single" w:sz="4" w:space="0" w:color="auto"/>
              <w:left w:val="single" w:sz="4" w:space="0" w:color="auto"/>
              <w:bottom w:val="single" w:sz="4" w:space="0" w:color="auto"/>
              <w:right w:val="single" w:sz="4" w:space="0" w:color="auto"/>
            </w:tcBorders>
            <w:hideMark/>
          </w:tcPr>
          <w:p w14:paraId="6BB775D1" w14:textId="77777777" w:rsidR="0022028D" w:rsidRPr="003C2B67" w:rsidRDefault="0022028D" w:rsidP="00994B8B">
            <w:pPr>
              <w:pStyle w:val="Tabletext"/>
              <w:rPr>
                <w:snapToGrid w:val="0"/>
              </w:rPr>
            </w:pPr>
            <w:r w:rsidRPr="003C2B67">
              <w:rPr>
                <w:snapToGrid w:val="0"/>
              </w:rPr>
              <w:t>Transmitter power (</w:t>
            </w:r>
            <w:proofErr w:type="spellStart"/>
            <w:r w:rsidRPr="003C2B67">
              <w:rPr>
                <w:snapToGrid w:val="0"/>
              </w:rPr>
              <w:t>dBW</w:t>
            </w:r>
            <w:proofErr w:type="spellEnd"/>
            <w:r w:rsidRPr="003C2B67">
              <w:rPr>
                <w:snapToGrid w:val="0"/>
              </w:rPr>
              <w:t xml:space="preserve">) </w:t>
            </w:r>
            <w:r w:rsidRPr="003C2B67">
              <w:rPr>
                <w:snapToGrid w:val="0"/>
                <w:vertAlign w:val="superscript"/>
              </w:rPr>
              <w:t>(2)</w:t>
            </w:r>
          </w:p>
        </w:tc>
        <w:tc>
          <w:tcPr>
            <w:tcW w:w="1067" w:type="pct"/>
            <w:tcBorders>
              <w:top w:val="single" w:sz="4" w:space="0" w:color="auto"/>
              <w:left w:val="single" w:sz="4" w:space="0" w:color="auto"/>
              <w:bottom w:val="single" w:sz="4" w:space="0" w:color="auto"/>
              <w:right w:val="single" w:sz="4" w:space="0" w:color="auto"/>
            </w:tcBorders>
            <w:hideMark/>
          </w:tcPr>
          <w:p w14:paraId="782FBEBF" w14:textId="77777777" w:rsidR="0022028D" w:rsidRPr="003C2B67" w:rsidRDefault="0022028D" w:rsidP="00994B8B">
            <w:pPr>
              <w:pStyle w:val="Tabletext"/>
              <w:jc w:val="center"/>
              <w:rPr>
                <w:snapToGrid w:val="0"/>
              </w:rPr>
            </w:pPr>
            <w:r w:rsidRPr="003C2B67">
              <w:rPr>
                <w:snapToGrid w:val="0"/>
              </w:rPr>
              <w:t>3 to 31.7</w:t>
            </w:r>
          </w:p>
        </w:tc>
        <w:tc>
          <w:tcPr>
            <w:tcW w:w="1031" w:type="pct"/>
            <w:tcBorders>
              <w:top w:val="single" w:sz="4" w:space="0" w:color="auto"/>
              <w:left w:val="single" w:sz="4" w:space="0" w:color="auto"/>
              <w:bottom w:val="single" w:sz="4" w:space="0" w:color="auto"/>
              <w:right w:val="single" w:sz="4" w:space="0" w:color="auto"/>
            </w:tcBorders>
            <w:hideMark/>
          </w:tcPr>
          <w:p w14:paraId="5AB58DE9" w14:textId="77777777" w:rsidR="0022028D" w:rsidRPr="003C2B67" w:rsidRDefault="0022028D" w:rsidP="00994B8B">
            <w:pPr>
              <w:pStyle w:val="Tabletext"/>
              <w:jc w:val="center"/>
              <w:rPr>
                <w:snapToGrid w:val="0"/>
              </w:rPr>
            </w:pPr>
            <w:r w:rsidRPr="003C2B67">
              <w:rPr>
                <w:snapToGrid w:val="0"/>
              </w:rPr>
              <w:t>3 to 31.7</w:t>
            </w:r>
          </w:p>
        </w:tc>
        <w:tc>
          <w:tcPr>
            <w:tcW w:w="1028" w:type="pct"/>
            <w:tcBorders>
              <w:top w:val="single" w:sz="4" w:space="0" w:color="auto"/>
              <w:left w:val="single" w:sz="4" w:space="0" w:color="auto"/>
              <w:bottom w:val="single" w:sz="4" w:space="0" w:color="auto"/>
              <w:right w:val="single" w:sz="4" w:space="0" w:color="auto"/>
            </w:tcBorders>
            <w:hideMark/>
          </w:tcPr>
          <w:p w14:paraId="02120C79" w14:textId="77777777" w:rsidR="0022028D" w:rsidRPr="003C2B67" w:rsidRDefault="0022028D" w:rsidP="00994B8B">
            <w:pPr>
              <w:pStyle w:val="Tabletext"/>
              <w:jc w:val="center"/>
              <w:rPr>
                <w:snapToGrid w:val="0"/>
              </w:rPr>
            </w:pPr>
            <w:r w:rsidRPr="003C2B67">
              <w:rPr>
                <w:snapToGrid w:val="0"/>
              </w:rPr>
              <w:t>3 to 31.7</w:t>
            </w:r>
          </w:p>
        </w:tc>
      </w:tr>
      <w:tr w:rsidR="0022028D" w:rsidRPr="003C2B67" w14:paraId="10324EA8" w14:textId="77777777" w:rsidTr="009C1318">
        <w:trPr>
          <w:jc w:val="center"/>
        </w:trPr>
        <w:tc>
          <w:tcPr>
            <w:tcW w:w="1874" w:type="pct"/>
            <w:tcBorders>
              <w:top w:val="single" w:sz="4" w:space="0" w:color="auto"/>
              <w:left w:val="single" w:sz="4" w:space="0" w:color="auto"/>
              <w:bottom w:val="single" w:sz="4" w:space="0" w:color="auto"/>
              <w:right w:val="single" w:sz="4" w:space="0" w:color="auto"/>
            </w:tcBorders>
            <w:hideMark/>
          </w:tcPr>
          <w:p w14:paraId="709FD95E" w14:textId="77777777" w:rsidR="0022028D" w:rsidRPr="003C2B67" w:rsidRDefault="0022028D" w:rsidP="00994B8B">
            <w:pPr>
              <w:pStyle w:val="Tabletext"/>
              <w:rPr>
                <w:snapToGrid w:val="0"/>
              </w:rPr>
            </w:pPr>
            <w:r w:rsidRPr="003C2B67">
              <w:rPr>
                <w:snapToGrid w:val="0"/>
              </w:rPr>
              <w:t>Feeder loss (dB)</w:t>
            </w:r>
          </w:p>
        </w:tc>
        <w:tc>
          <w:tcPr>
            <w:tcW w:w="1067" w:type="pct"/>
            <w:tcBorders>
              <w:top w:val="single" w:sz="4" w:space="0" w:color="auto"/>
              <w:left w:val="single" w:sz="4" w:space="0" w:color="auto"/>
              <w:bottom w:val="single" w:sz="4" w:space="0" w:color="auto"/>
              <w:right w:val="single" w:sz="4" w:space="0" w:color="auto"/>
            </w:tcBorders>
            <w:hideMark/>
          </w:tcPr>
          <w:p w14:paraId="3F62CE92" w14:textId="77777777" w:rsidR="0022028D" w:rsidRPr="003C2B67" w:rsidRDefault="0022028D" w:rsidP="00994B8B">
            <w:pPr>
              <w:pStyle w:val="Tabletext"/>
              <w:jc w:val="center"/>
              <w:rPr>
                <w:snapToGrid w:val="0"/>
              </w:rPr>
            </w:pPr>
            <w:r w:rsidRPr="003C2B67">
              <w:rPr>
                <w:snapToGrid w:val="0"/>
              </w:rPr>
              <w:t>1 to 6</w:t>
            </w:r>
          </w:p>
        </w:tc>
        <w:tc>
          <w:tcPr>
            <w:tcW w:w="1031" w:type="pct"/>
            <w:tcBorders>
              <w:top w:val="single" w:sz="4" w:space="0" w:color="auto"/>
              <w:left w:val="single" w:sz="4" w:space="0" w:color="auto"/>
              <w:bottom w:val="single" w:sz="4" w:space="0" w:color="auto"/>
              <w:right w:val="single" w:sz="4" w:space="0" w:color="auto"/>
            </w:tcBorders>
            <w:hideMark/>
          </w:tcPr>
          <w:p w14:paraId="4C9B8317" w14:textId="77777777" w:rsidR="0022028D" w:rsidRPr="003C2B67" w:rsidRDefault="0022028D" w:rsidP="00994B8B">
            <w:pPr>
              <w:pStyle w:val="Tabletext"/>
              <w:jc w:val="center"/>
              <w:rPr>
                <w:snapToGrid w:val="0"/>
              </w:rPr>
            </w:pPr>
            <w:r w:rsidRPr="003C2B67">
              <w:rPr>
                <w:snapToGrid w:val="0"/>
              </w:rPr>
              <w:t>1 to 6</w:t>
            </w:r>
          </w:p>
        </w:tc>
        <w:tc>
          <w:tcPr>
            <w:tcW w:w="1028" w:type="pct"/>
            <w:tcBorders>
              <w:top w:val="single" w:sz="4" w:space="0" w:color="auto"/>
              <w:left w:val="single" w:sz="4" w:space="0" w:color="auto"/>
              <w:bottom w:val="single" w:sz="4" w:space="0" w:color="auto"/>
              <w:right w:val="single" w:sz="4" w:space="0" w:color="auto"/>
            </w:tcBorders>
            <w:hideMark/>
          </w:tcPr>
          <w:p w14:paraId="0500F136" w14:textId="77777777" w:rsidR="0022028D" w:rsidRPr="003C2B67" w:rsidRDefault="0022028D" w:rsidP="00994B8B">
            <w:pPr>
              <w:pStyle w:val="Tabletext"/>
              <w:jc w:val="center"/>
              <w:rPr>
                <w:snapToGrid w:val="0"/>
              </w:rPr>
            </w:pPr>
            <w:r w:rsidRPr="003C2B67">
              <w:rPr>
                <w:snapToGrid w:val="0"/>
              </w:rPr>
              <w:t>1 to 6</w:t>
            </w:r>
          </w:p>
        </w:tc>
      </w:tr>
      <w:tr w:rsidR="0022028D" w:rsidRPr="003C2B67" w14:paraId="18EA9EE8" w14:textId="77777777" w:rsidTr="009C1318">
        <w:trPr>
          <w:jc w:val="center"/>
        </w:trPr>
        <w:tc>
          <w:tcPr>
            <w:tcW w:w="1874" w:type="pct"/>
            <w:tcBorders>
              <w:top w:val="single" w:sz="4" w:space="0" w:color="auto"/>
              <w:left w:val="single" w:sz="4" w:space="0" w:color="auto"/>
              <w:bottom w:val="single" w:sz="4" w:space="0" w:color="auto"/>
              <w:right w:val="single" w:sz="4" w:space="0" w:color="auto"/>
            </w:tcBorders>
            <w:hideMark/>
          </w:tcPr>
          <w:p w14:paraId="750032AF" w14:textId="77777777" w:rsidR="0022028D" w:rsidRPr="003C2B67" w:rsidRDefault="0022028D" w:rsidP="00994B8B">
            <w:pPr>
              <w:pStyle w:val="Tabletext"/>
              <w:rPr>
                <w:snapToGrid w:val="0"/>
              </w:rPr>
            </w:pPr>
            <w:r w:rsidRPr="003C2B67">
              <w:rPr>
                <w:snapToGrid w:val="0"/>
              </w:rPr>
              <w:t>Transmitting antenna gain (</w:t>
            </w:r>
            <w:proofErr w:type="spellStart"/>
            <w:r w:rsidRPr="003C2B67">
              <w:rPr>
                <w:snapToGrid w:val="0"/>
              </w:rPr>
              <w:t>dBi</w:t>
            </w:r>
            <w:proofErr w:type="spellEnd"/>
            <w:r w:rsidRPr="003C2B67">
              <w:rPr>
                <w:snapToGrid w:val="0"/>
              </w:rPr>
              <w:t>)</w:t>
            </w:r>
          </w:p>
        </w:tc>
        <w:tc>
          <w:tcPr>
            <w:tcW w:w="1067" w:type="pct"/>
            <w:tcBorders>
              <w:top w:val="single" w:sz="4" w:space="0" w:color="auto"/>
              <w:left w:val="single" w:sz="4" w:space="0" w:color="auto"/>
              <w:bottom w:val="single" w:sz="4" w:space="0" w:color="auto"/>
              <w:right w:val="single" w:sz="4" w:space="0" w:color="auto"/>
            </w:tcBorders>
            <w:hideMark/>
          </w:tcPr>
          <w:p w14:paraId="23A5517F" w14:textId="77777777" w:rsidR="0022028D" w:rsidRPr="003C2B67" w:rsidRDefault="0022028D" w:rsidP="00994B8B">
            <w:pPr>
              <w:pStyle w:val="Tabletext"/>
              <w:jc w:val="center"/>
              <w:rPr>
                <w:snapToGrid w:val="0"/>
                <w:u w:val="single"/>
              </w:rPr>
            </w:pPr>
            <w:r w:rsidRPr="003C2B67">
              <w:rPr>
                <w:snapToGrid w:val="0"/>
              </w:rPr>
              <w:t>10 to 42</w:t>
            </w:r>
          </w:p>
        </w:tc>
        <w:tc>
          <w:tcPr>
            <w:tcW w:w="1031" w:type="pct"/>
            <w:tcBorders>
              <w:top w:val="single" w:sz="4" w:space="0" w:color="auto"/>
              <w:left w:val="single" w:sz="4" w:space="0" w:color="auto"/>
              <w:bottom w:val="single" w:sz="4" w:space="0" w:color="auto"/>
              <w:right w:val="single" w:sz="4" w:space="0" w:color="auto"/>
            </w:tcBorders>
            <w:hideMark/>
          </w:tcPr>
          <w:p w14:paraId="18343A99" w14:textId="77777777" w:rsidR="0022028D" w:rsidRPr="003C2B67" w:rsidRDefault="0022028D" w:rsidP="00994B8B">
            <w:pPr>
              <w:pStyle w:val="Tabletext"/>
              <w:jc w:val="center"/>
              <w:rPr>
                <w:snapToGrid w:val="0"/>
                <w:u w:val="single"/>
              </w:rPr>
            </w:pPr>
            <w:r w:rsidRPr="003C2B67">
              <w:rPr>
                <w:snapToGrid w:val="0"/>
              </w:rPr>
              <w:t>10 to 42</w:t>
            </w:r>
          </w:p>
        </w:tc>
        <w:tc>
          <w:tcPr>
            <w:tcW w:w="1028" w:type="pct"/>
            <w:tcBorders>
              <w:top w:val="single" w:sz="4" w:space="0" w:color="auto"/>
              <w:left w:val="single" w:sz="4" w:space="0" w:color="auto"/>
              <w:bottom w:val="single" w:sz="4" w:space="0" w:color="auto"/>
              <w:right w:val="single" w:sz="4" w:space="0" w:color="auto"/>
            </w:tcBorders>
            <w:hideMark/>
          </w:tcPr>
          <w:p w14:paraId="26B8C1AC" w14:textId="77777777" w:rsidR="0022028D" w:rsidRPr="003C2B67" w:rsidRDefault="0022028D" w:rsidP="00994B8B">
            <w:pPr>
              <w:pStyle w:val="Tabletext"/>
              <w:jc w:val="center"/>
              <w:rPr>
                <w:snapToGrid w:val="0"/>
              </w:rPr>
            </w:pPr>
            <w:r w:rsidRPr="003C2B67">
              <w:rPr>
                <w:snapToGrid w:val="0"/>
              </w:rPr>
              <w:t>10 to 42</w:t>
            </w:r>
          </w:p>
        </w:tc>
      </w:tr>
      <w:tr w:rsidR="0022028D" w:rsidRPr="003C2B67" w14:paraId="2F387CDF" w14:textId="77777777" w:rsidTr="009C1318">
        <w:trPr>
          <w:jc w:val="center"/>
        </w:trPr>
        <w:tc>
          <w:tcPr>
            <w:tcW w:w="1874" w:type="pct"/>
            <w:tcBorders>
              <w:top w:val="single" w:sz="4" w:space="0" w:color="auto"/>
              <w:left w:val="single" w:sz="4" w:space="0" w:color="auto"/>
              <w:bottom w:val="single" w:sz="4" w:space="0" w:color="auto"/>
              <w:right w:val="single" w:sz="4" w:space="0" w:color="auto"/>
            </w:tcBorders>
            <w:hideMark/>
          </w:tcPr>
          <w:p w14:paraId="7BDEDF54" w14:textId="77777777" w:rsidR="0022028D" w:rsidRPr="003C2B67" w:rsidRDefault="0022028D" w:rsidP="00994B8B">
            <w:pPr>
              <w:pStyle w:val="Tabletext"/>
              <w:rPr>
                <w:snapToGrid w:val="0"/>
              </w:rPr>
            </w:pPr>
            <w:r w:rsidRPr="003C2B67">
              <w:rPr>
                <w:snapToGrid w:val="0"/>
              </w:rPr>
              <w:t xml:space="preserve">Typical </w:t>
            </w:r>
            <w:proofErr w:type="spellStart"/>
            <w:r w:rsidRPr="003C2B67">
              <w:rPr>
                <w:snapToGrid w:val="0"/>
              </w:rPr>
              <w:t>e.i.r.p</w:t>
            </w:r>
            <w:proofErr w:type="spellEnd"/>
            <w:r w:rsidRPr="003C2B67">
              <w:rPr>
                <w:snapToGrid w:val="0"/>
              </w:rPr>
              <w:t>. (</w:t>
            </w:r>
            <w:proofErr w:type="spellStart"/>
            <w:r w:rsidRPr="003C2B67">
              <w:rPr>
                <w:snapToGrid w:val="0"/>
              </w:rPr>
              <w:t>dBW</w:t>
            </w:r>
            <w:proofErr w:type="spellEnd"/>
            <w:r w:rsidRPr="003C2B67">
              <w:rPr>
                <w:snapToGrid w:val="0"/>
              </w:rPr>
              <w:t xml:space="preserve">) </w:t>
            </w:r>
            <w:r w:rsidRPr="003C2B67">
              <w:rPr>
                <w:snapToGrid w:val="0"/>
                <w:vertAlign w:val="superscript"/>
              </w:rPr>
              <w:t>(3)</w:t>
            </w:r>
          </w:p>
        </w:tc>
        <w:tc>
          <w:tcPr>
            <w:tcW w:w="1067" w:type="pct"/>
            <w:tcBorders>
              <w:top w:val="single" w:sz="4" w:space="0" w:color="auto"/>
              <w:left w:val="single" w:sz="4" w:space="0" w:color="auto"/>
              <w:bottom w:val="single" w:sz="4" w:space="0" w:color="auto"/>
              <w:right w:val="single" w:sz="4" w:space="0" w:color="auto"/>
            </w:tcBorders>
            <w:hideMark/>
          </w:tcPr>
          <w:p w14:paraId="302A8A6F" w14:textId="77777777" w:rsidR="0022028D" w:rsidRPr="003C2B67" w:rsidRDefault="0022028D" w:rsidP="00994B8B">
            <w:pPr>
              <w:pStyle w:val="Tabletext"/>
              <w:jc w:val="center"/>
              <w:rPr>
                <w:snapToGrid w:val="0"/>
              </w:rPr>
            </w:pPr>
            <w:r w:rsidRPr="003C2B67">
              <w:rPr>
                <w:snapToGrid w:val="0"/>
              </w:rPr>
              <w:t>1 to 45</w:t>
            </w:r>
          </w:p>
        </w:tc>
        <w:tc>
          <w:tcPr>
            <w:tcW w:w="1031" w:type="pct"/>
            <w:tcBorders>
              <w:top w:val="single" w:sz="4" w:space="0" w:color="auto"/>
              <w:left w:val="single" w:sz="4" w:space="0" w:color="auto"/>
              <w:bottom w:val="single" w:sz="4" w:space="0" w:color="auto"/>
              <w:right w:val="single" w:sz="4" w:space="0" w:color="auto"/>
            </w:tcBorders>
            <w:hideMark/>
          </w:tcPr>
          <w:p w14:paraId="6B0D93F8" w14:textId="77777777" w:rsidR="0022028D" w:rsidRPr="003C2B67" w:rsidRDefault="0022028D" w:rsidP="00994B8B">
            <w:pPr>
              <w:pStyle w:val="Tabletext"/>
              <w:jc w:val="center"/>
              <w:rPr>
                <w:snapToGrid w:val="0"/>
              </w:rPr>
            </w:pPr>
            <w:r w:rsidRPr="003C2B67">
              <w:rPr>
                <w:snapToGrid w:val="0"/>
              </w:rPr>
              <w:t>1 to 45</w:t>
            </w:r>
          </w:p>
        </w:tc>
        <w:tc>
          <w:tcPr>
            <w:tcW w:w="1028" w:type="pct"/>
            <w:tcBorders>
              <w:top w:val="single" w:sz="4" w:space="0" w:color="auto"/>
              <w:left w:val="single" w:sz="4" w:space="0" w:color="auto"/>
              <w:bottom w:val="single" w:sz="4" w:space="0" w:color="auto"/>
              <w:right w:val="single" w:sz="4" w:space="0" w:color="auto"/>
            </w:tcBorders>
            <w:hideMark/>
          </w:tcPr>
          <w:p w14:paraId="02F29486" w14:textId="77777777" w:rsidR="0022028D" w:rsidRPr="003C2B67" w:rsidRDefault="0022028D" w:rsidP="00994B8B">
            <w:pPr>
              <w:pStyle w:val="Tabletext"/>
              <w:jc w:val="center"/>
              <w:rPr>
                <w:snapToGrid w:val="0"/>
              </w:rPr>
            </w:pPr>
            <w:r w:rsidRPr="003C2B67">
              <w:rPr>
                <w:snapToGrid w:val="0"/>
              </w:rPr>
              <w:t>1 to 45</w:t>
            </w:r>
          </w:p>
        </w:tc>
      </w:tr>
      <w:tr w:rsidR="0022028D" w:rsidRPr="003C2B67" w14:paraId="49D9F35F" w14:textId="77777777" w:rsidTr="009C1318">
        <w:trPr>
          <w:jc w:val="center"/>
        </w:trPr>
        <w:tc>
          <w:tcPr>
            <w:tcW w:w="1874" w:type="pct"/>
            <w:tcBorders>
              <w:top w:val="single" w:sz="4" w:space="0" w:color="auto"/>
              <w:left w:val="single" w:sz="4" w:space="0" w:color="auto"/>
              <w:bottom w:val="single" w:sz="4" w:space="0" w:color="auto"/>
              <w:right w:val="single" w:sz="4" w:space="0" w:color="auto"/>
            </w:tcBorders>
            <w:hideMark/>
          </w:tcPr>
          <w:p w14:paraId="251B4697" w14:textId="77777777" w:rsidR="0022028D" w:rsidRPr="003C2B67" w:rsidRDefault="0022028D" w:rsidP="00994B8B">
            <w:pPr>
              <w:pStyle w:val="Tabletext"/>
              <w:rPr>
                <w:snapToGrid w:val="0"/>
              </w:rPr>
            </w:pPr>
            <w:r w:rsidRPr="003C2B67">
              <w:rPr>
                <w:snapToGrid w:val="0"/>
              </w:rPr>
              <w:t>Antenna polarization</w:t>
            </w:r>
          </w:p>
        </w:tc>
        <w:tc>
          <w:tcPr>
            <w:tcW w:w="1067" w:type="pct"/>
            <w:tcBorders>
              <w:top w:val="single" w:sz="4" w:space="0" w:color="auto"/>
              <w:left w:val="single" w:sz="4" w:space="0" w:color="auto"/>
              <w:bottom w:val="single" w:sz="4" w:space="0" w:color="auto"/>
              <w:right w:val="single" w:sz="4" w:space="0" w:color="auto"/>
            </w:tcBorders>
            <w:hideMark/>
          </w:tcPr>
          <w:p w14:paraId="226FD597" w14:textId="77777777" w:rsidR="0022028D" w:rsidRPr="003C2B67" w:rsidRDefault="0022028D" w:rsidP="00994B8B">
            <w:pPr>
              <w:pStyle w:val="Tabletext"/>
              <w:jc w:val="center"/>
              <w:rPr>
                <w:snapToGrid w:val="0"/>
              </w:rPr>
            </w:pPr>
            <w:r w:rsidRPr="003C2B67">
              <w:rPr>
                <w:snapToGrid w:val="0"/>
              </w:rPr>
              <w:t>Horizontal, vertical</w:t>
            </w:r>
          </w:p>
        </w:tc>
        <w:tc>
          <w:tcPr>
            <w:tcW w:w="1031" w:type="pct"/>
            <w:tcBorders>
              <w:top w:val="single" w:sz="4" w:space="0" w:color="auto"/>
              <w:left w:val="single" w:sz="4" w:space="0" w:color="auto"/>
              <w:bottom w:val="single" w:sz="4" w:space="0" w:color="auto"/>
              <w:right w:val="single" w:sz="4" w:space="0" w:color="auto"/>
            </w:tcBorders>
            <w:hideMark/>
          </w:tcPr>
          <w:p w14:paraId="3761C751" w14:textId="77777777" w:rsidR="0022028D" w:rsidRPr="003C2B67" w:rsidRDefault="0022028D" w:rsidP="00994B8B">
            <w:pPr>
              <w:pStyle w:val="Tabletext"/>
              <w:jc w:val="center"/>
              <w:rPr>
                <w:snapToGrid w:val="0"/>
              </w:rPr>
            </w:pPr>
            <w:r w:rsidRPr="003C2B67">
              <w:rPr>
                <w:snapToGrid w:val="0"/>
              </w:rPr>
              <w:t>Horizontal, vertical</w:t>
            </w:r>
          </w:p>
        </w:tc>
        <w:tc>
          <w:tcPr>
            <w:tcW w:w="1028" w:type="pct"/>
            <w:tcBorders>
              <w:top w:val="single" w:sz="4" w:space="0" w:color="auto"/>
              <w:left w:val="single" w:sz="4" w:space="0" w:color="auto"/>
              <w:bottom w:val="single" w:sz="4" w:space="0" w:color="auto"/>
              <w:right w:val="single" w:sz="4" w:space="0" w:color="auto"/>
            </w:tcBorders>
            <w:hideMark/>
          </w:tcPr>
          <w:p w14:paraId="3D283083" w14:textId="77777777" w:rsidR="0022028D" w:rsidRPr="003C2B67" w:rsidRDefault="0022028D" w:rsidP="00994B8B">
            <w:pPr>
              <w:pStyle w:val="Tabletext"/>
              <w:jc w:val="center"/>
              <w:rPr>
                <w:snapToGrid w:val="0"/>
              </w:rPr>
            </w:pPr>
            <w:r w:rsidRPr="003C2B67">
              <w:rPr>
                <w:snapToGrid w:val="0"/>
              </w:rPr>
              <w:t>Horizontal, vertical</w:t>
            </w:r>
          </w:p>
        </w:tc>
      </w:tr>
      <w:tr w:rsidR="0022028D" w:rsidRPr="003C2B67" w14:paraId="4C4FF29E" w14:textId="77777777" w:rsidTr="009C1318">
        <w:trPr>
          <w:jc w:val="center"/>
        </w:trPr>
        <w:tc>
          <w:tcPr>
            <w:tcW w:w="5000" w:type="pct"/>
            <w:gridSpan w:val="4"/>
            <w:tcBorders>
              <w:top w:val="single" w:sz="4" w:space="0" w:color="auto"/>
              <w:left w:val="nil"/>
              <w:bottom w:val="nil"/>
              <w:right w:val="nil"/>
            </w:tcBorders>
            <w:hideMark/>
          </w:tcPr>
          <w:p w14:paraId="495A5EED" w14:textId="77777777" w:rsidR="0022028D" w:rsidRPr="003C2B67" w:rsidRDefault="0022028D" w:rsidP="009C1318">
            <w:pPr>
              <w:pStyle w:val="Tabletext"/>
              <w:rPr>
                <w:sz w:val="20"/>
                <w:szCs w:val="22"/>
              </w:rPr>
            </w:pPr>
            <w:r w:rsidRPr="003C2B67">
              <w:rPr>
                <w:sz w:val="20"/>
                <w:szCs w:val="22"/>
                <w:vertAlign w:val="superscript"/>
              </w:rPr>
              <w:t>(1)</w:t>
            </w:r>
            <w:r w:rsidRPr="003C2B67">
              <w:rPr>
                <w:sz w:val="20"/>
                <w:szCs w:val="22"/>
              </w:rPr>
              <w:tab/>
              <w:t xml:space="preserve">Amateur </w:t>
            </w:r>
            <w:r w:rsidRPr="003C2B67">
              <w:rPr>
                <w:snapToGrid w:val="0"/>
              </w:rPr>
              <w:t>bands</w:t>
            </w:r>
            <w:r w:rsidRPr="003C2B67">
              <w:rPr>
                <w:sz w:val="20"/>
                <w:szCs w:val="22"/>
              </w:rPr>
              <w:t xml:space="preserve"> within the frequency ranges shown conform to RR Article </w:t>
            </w:r>
            <w:r w:rsidRPr="003C2B67">
              <w:rPr>
                <w:b/>
                <w:bCs/>
                <w:sz w:val="20"/>
                <w:szCs w:val="22"/>
              </w:rPr>
              <w:t>5</w:t>
            </w:r>
            <w:r w:rsidRPr="003C2B67">
              <w:rPr>
                <w:sz w:val="20"/>
                <w:szCs w:val="22"/>
              </w:rPr>
              <w:t>.</w:t>
            </w:r>
          </w:p>
          <w:p w14:paraId="2AF874A7" w14:textId="77777777" w:rsidR="0022028D" w:rsidRPr="003C2B67" w:rsidRDefault="0022028D" w:rsidP="009C1318">
            <w:pPr>
              <w:pStyle w:val="Tabletext"/>
              <w:rPr>
                <w:sz w:val="20"/>
                <w:szCs w:val="22"/>
              </w:rPr>
            </w:pPr>
            <w:r w:rsidRPr="003C2B67">
              <w:rPr>
                <w:sz w:val="20"/>
                <w:szCs w:val="22"/>
                <w:vertAlign w:val="superscript"/>
              </w:rPr>
              <w:t>(2)</w:t>
            </w:r>
            <w:r w:rsidRPr="003C2B67">
              <w:rPr>
                <w:sz w:val="20"/>
                <w:szCs w:val="22"/>
              </w:rPr>
              <w:tab/>
              <w:t xml:space="preserve">Maximum </w:t>
            </w:r>
            <w:r w:rsidRPr="003C2B67">
              <w:rPr>
                <w:snapToGrid w:val="0"/>
              </w:rPr>
              <w:t>powers</w:t>
            </w:r>
            <w:r w:rsidRPr="003C2B67">
              <w:rPr>
                <w:sz w:val="20"/>
                <w:szCs w:val="22"/>
              </w:rPr>
              <w:t xml:space="preserve"> are determined by each administration.</w:t>
            </w:r>
          </w:p>
          <w:p w14:paraId="189FFA3F" w14:textId="77777777" w:rsidR="0022028D" w:rsidRPr="003C2B67" w:rsidRDefault="0022028D" w:rsidP="009C1318">
            <w:pPr>
              <w:pStyle w:val="Tabletext"/>
              <w:rPr>
                <w:sz w:val="20"/>
                <w:szCs w:val="22"/>
              </w:rPr>
            </w:pPr>
            <w:r w:rsidRPr="003C2B67">
              <w:rPr>
                <w:sz w:val="20"/>
                <w:szCs w:val="22"/>
                <w:vertAlign w:val="superscript"/>
              </w:rPr>
              <w:t>(3)</w:t>
            </w:r>
            <w:r w:rsidRPr="003C2B67">
              <w:rPr>
                <w:sz w:val="20"/>
                <w:szCs w:val="22"/>
              </w:rPr>
              <w:tab/>
              <w:t xml:space="preserve">May be limited by RR Article </w:t>
            </w:r>
            <w:r w:rsidRPr="003C2B67">
              <w:rPr>
                <w:b/>
                <w:bCs/>
                <w:sz w:val="20"/>
                <w:szCs w:val="22"/>
              </w:rPr>
              <w:t>5</w:t>
            </w:r>
            <w:r w:rsidRPr="003C2B67">
              <w:rPr>
                <w:sz w:val="20"/>
                <w:szCs w:val="22"/>
              </w:rPr>
              <w:t xml:space="preserve"> in some cases.</w:t>
            </w:r>
          </w:p>
        </w:tc>
      </w:tr>
    </w:tbl>
    <w:p w14:paraId="321B65ED" w14:textId="77777777" w:rsidR="0022028D" w:rsidRPr="003C2B67" w:rsidRDefault="0022028D" w:rsidP="0022028D">
      <w:pPr>
        <w:pStyle w:val="Tablefin"/>
      </w:pPr>
    </w:p>
    <w:p w14:paraId="6021F65C" w14:textId="77777777" w:rsidR="0022028D" w:rsidRPr="003C2B67" w:rsidRDefault="0022028D" w:rsidP="0022028D">
      <w:pPr>
        <w:pStyle w:val="TableNo"/>
        <w:rPr>
          <w:lang w:eastAsia="ja-JP"/>
        </w:rPr>
      </w:pPr>
      <w:r w:rsidRPr="003C2B67">
        <w:t>TABLE 11</w:t>
      </w:r>
    </w:p>
    <w:p w14:paraId="11F50948" w14:textId="77777777" w:rsidR="0022028D" w:rsidRPr="003C2B67" w:rsidRDefault="0022028D" w:rsidP="009C1318">
      <w:pPr>
        <w:pStyle w:val="Tabletitle"/>
      </w:pPr>
      <w:r w:rsidRPr="003C2B67">
        <w:t>Characteristics of Earth-Moon-Earth (EME) systems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960"/>
      </w:tblGrid>
      <w:tr w:rsidR="0022028D" w:rsidRPr="003C2B67" w14:paraId="28111F9C" w14:textId="77777777" w:rsidTr="009C1318">
        <w:trPr>
          <w:jc w:val="center"/>
        </w:trPr>
        <w:tc>
          <w:tcPr>
            <w:tcW w:w="2427" w:type="pct"/>
            <w:tcBorders>
              <w:top w:val="single" w:sz="4" w:space="0" w:color="auto"/>
              <w:left w:val="single" w:sz="4" w:space="0" w:color="auto"/>
              <w:bottom w:val="single" w:sz="4" w:space="0" w:color="auto"/>
              <w:right w:val="single" w:sz="4" w:space="0" w:color="auto"/>
            </w:tcBorders>
            <w:hideMark/>
          </w:tcPr>
          <w:p w14:paraId="0071CB2E" w14:textId="77777777" w:rsidR="0022028D" w:rsidRPr="003C2B67" w:rsidRDefault="0022028D" w:rsidP="009C1318">
            <w:pPr>
              <w:pStyle w:val="Tablehead"/>
            </w:pPr>
            <w:r w:rsidRPr="003C2B67">
              <w:t>Parameter</w:t>
            </w:r>
          </w:p>
        </w:tc>
        <w:tc>
          <w:tcPr>
            <w:tcW w:w="2573" w:type="pct"/>
            <w:tcBorders>
              <w:top w:val="single" w:sz="4" w:space="0" w:color="auto"/>
              <w:left w:val="nil"/>
              <w:bottom w:val="single" w:sz="4" w:space="0" w:color="auto"/>
              <w:right w:val="single" w:sz="4" w:space="0" w:color="auto"/>
            </w:tcBorders>
            <w:hideMark/>
          </w:tcPr>
          <w:p w14:paraId="288C43C8" w14:textId="77777777" w:rsidR="0022028D" w:rsidRPr="003C2B67" w:rsidRDefault="0022028D" w:rsidP="009C1318">
            <w:pPr>
              <w:pStyle w:val="Tablehead"/>
            </w:pPr>
            <w:r w:rsidRPr="003C2B67">
              <w:t>Value</w:t>
            </w:r>
          </w:p>
        </w:tc>
      </w:tr>
      <w:tr w:rsidR="0022028D" w:rsidRPr="003C2B67" w14:paraId="1A7A6689" w14:textId="77777777" w:rsidTr="009C1318">
        <w:trPr>
          <w:jc w:val="center"/>
        </w:trPr>
        <w:tc>
          <w:tcPr>
            <w:tcW w:w="2427" w:type="pct"/>
            <w:tcBorders>
              <w:top w:val="single" w:sz="4" w:space="0" w:color="auto"/>
              <w:left w:val="single" w:sz="4" w:space="0" w:color="auto"/>
              <w:bottom w:val="single" w:sz="4" w:space="0" w:color="auto"/>
              <w:right w:val="single" w:sz="4" w:space="0" w:color="auto"/>
            </w:tcBorders>
            <w:hideMark/>
          </w:tcPr>
          <w:p w14:paraId="33F65B62" w14:textId="77777777" w:rsidR="0022028D" w:rsidRPr="003C2B67" w:rsidRDefault="0022028D" w:rsidP="00994B8B">
            <w:pPr>
              <w:pStyle w:val="Tabletext"/>
              <w:keepNext/>
              <w:keepLines/>
              <w:rPr>
                <w:snapToGrid w:val="0"/>
              </w:rPr>
            </w:pPr>
            <w:r w:rsidRPr="003C2B67">
              <w:rPr>
                <w:snapToGrid w:val="0"/>
              </w:rPr>
              <w:t xml:space="preserve">Frequency range </w:t>
            </w:r>
            <w:r w:rsidRPr="003C2B67">
              <w:rPr>
                <w:snapToGrid w:val="0"/>
                <w:vertAlign w:val="superscript"/>
              </w:rPr>
              <w:t>(1)</w:t>
            </w:r>
          </w:p>
        </w:tc>
        <w:tc>
          <w:tcPr>
            <w:tcW w:w="2573" w:type="pct"/>
            <w:tcBorders>
              <w:top w:val="single" w:sz="4" w:space="0" w:color="auto"/>
              <w:left w:val="nil"/>
              <w:bottom w:val="single" w:sz="4" w:space="0" w:color="auto"/>
              <w:right w:val="single" w:sz="4" w:space="0" w:color="auto"/>
            </w:tcBorders>
            <w:hideMark/>
          </w:tcPr>
          <w:p w14:paraId="0D1C872C" w14:textId="77777777" w:rsidR="0022028D" w:rsidRPr="003C2B67" w:rsidRDefault="0022028D" w:rsidP="00994B8B">
            <w:pPr>
              <w:pStyle w:val="Tabletext"/>
              <w:keepNext/>
              <w:keepLines/>
              <w:jc w:val="center"/>
              <w:rPr>
                <w:snapToGrid w:val="0"/>
              </w:rPr>
            </w:pPr>
            <w:r w:rsidRPr="003C2B67">
              <w:rPr>
                <w:snapToGrid w:val="0"/>
              </w:rPr>
              <w:t>1.24-3.5 GHz</w:t>
            </w:r>
          </w:p>
        </w:tc>
      </w:tr>
      <w:tr w:rsidR="0022028D" w:rsidRPr="003C2B67" w14:paraId="3CD04F5C" w14:textId="77777777" w:rsidTr="009C1318">
        <w:trPr>
          <w:jc w:val="center"/>
        </w:trPr>
        <w:tc>
          <w:tcPr>
            <w:tcW w:w="2427" w:type="pct"/>
            <w:tcBorders>
              <w:top w:val="single" w:sz="4" w:space="0" w:color="auto"/>
              <w:left w:val="single" w:sz="4" w:space="0" w:color="auto"/>
              <w:bottom w:val="single" w:sz="4" w:space="0" w:color="auto"/>
              <w:right w:val="single" w:sz="4" w:space="0" w:color="auto"/>
            </w:tcBorders>
            <w:hideMark/>
          </w:tcPr>
          <w:p w14:paraId="64BC52CC" w14:textId="77777777" w:rsidR="0022028D" w:rsidRPr="003C2B67" w:rsidRDefault="0022028D" w:rsidP="00994B8B">
            <w:pPr>
              <w:pStyle w:val="Tabletext"/>
              <w:keepNext/>
              <w:keepLines/>
              <w:rPr>
                <w:snapToGrid w:val="0"/>
              </w:rPr>
            </w:pPr>
            <w:r w:rsidRPr="003C2B67">
              <w:rPr>
                <w:snapToGrid w:val="0"/>
              </w:rPr>
              <w:t>Necessary bandwidth and class of emission (emission designator)</w:t>
            </w:r>
          </w:p>
        </w:tc>
        <w:tc>
          <w:tcPr>
            <w:tcW w:w="2573" w:type="pct"/>
            <w:tcBorders>
              <w:top w:val="single" w:sz="4" w:space="0" w:color="auto"/>
              <w:left w:val="single" w:sz="4" w:space="0" w:color="auto"/>
              <w:bottom w:val="single" w:sz="4" w:space="0" w:color="auto"/>
              <w:right w:val="single" w:sz="4" w:space="0" w:color="auto"/>
            </w:tcBorders>
            <w:hideMark/>
          </w:tcPr>
          <w:p w14:paraId="27C14712" w14:textId="77777777" w:rsidR="0022028D" w:rsidRPr="003C2B67" w:rsidRDefault="0022028D" w:rsidP="00994B8B">
            <w:pPr>
              <w:pStyle w:val="Tabletext"/>
              <w:keepNext/>
              <w:keepLines/>
              <w:jc w:val="center"/>
              <w:rPr>
                <w:snapToGrid w:val="0"/>
              </w:rPr>
            </w:pPr>
            <w:r w:rsidRPr="003C2B67">
              <w:rPr>
                <w:snapToGrid w:val="0"/>
              </w:rPr>
              <w:t>50H0A1A</w:t>
            </w:r>
            <w:r w:rsidRPr="003C2B67">
              <w:rPr>
                <w:snapToGrid w:val="0"/>
                <w:lang w:eastAsia="ja-JP"/>
              </w:rPr>
              <w:t xml:space="preserve">, </w:t>
            </w:r>
            <w:r w:rsidRPr="003C2B67">
              <w:rPr>
                <w:snapToGrid w:val="0"/>
              </w:rPr>
              <w:t>50H0J2A</w:t>
            </w:r>
            <w:r w:rsidRPr="003C2B67">
              <w:rPr>
                <w:snapToGrid w:val="0"/>
                <w:lang w:eastAsia="ja-JP"/>
              </w:rPr>
              <w:t xml:space="preserve">, </w:t>
            </w:r>
            <w:r w:rsidRPr="003C2B67">
              <w:rPr>
                <w:snapToGrid w:val="0"/>
              </w:rPr>
              <w:t>1K80F1B</w:t>
            </w:r>
          </w:p>
        </w:tc>
      </w:tr>
      <w:tr w:rsidR="0022028D" w:rsidRPr="003C2B67" w14:paraId="7A9032CC" w14:textId="77777777" w:rsidTr="009C1318">
        <w:trPr>
          <w:jc w:val="center"/>
        </w:trPr>
        <w:tc>
          <w:tcPr>
            <w:tcW w:w="2427" w:type="pct"/>
            <w:tcBorders>
              <w:top w:val="single" w:sz="4" w:space="0" w:color="auto"/>
              <w:left w:val="single" w:sz="4" w:space="0" w:color="auto"/>
              <w:bottom w:val="single" w:sz="4" w:space="0" w:color="auto"/>
              <w:right w:val="single" w:sz="4" w:space="0" w:color="auto"/>
            </w:tcBorders>
            <w:hideMark/>
          </w:tcPr>
          <w:p w14:paraId="1E8163C0" w14:textId="77777777" w:rsidR="0022028D" w:rsidRPr="003C2B67" w:rsidRDefault="0022028D" w:rsidP="00994B8B">
            <w:pPr>
              <w:pStyle w:val="Tabletext"/>
              <w:keepNext/>
              <w:keepLines/>
              <w:rPr>
                <w:snapToGrid w:val="0"/>
              </w:rPr>
            </w:pPr>
            <w:r w:rsidRPr="003C2B67">
              <w:rPr>
                <w:snapToGrid w:val="0"/>
              </w:rPr>
              <w:t>Transmitter power (</w:t>
            </w:r>
            <w:proofErr w:type="spellStart"/>
            <w:r w:rsidRPr="003C2B67">
              <w:rPr>
                <w:snapToGrid w:val="0"/>
              </w:rPr>
              <w:t>dBW</w:t>
            </w:r>
            <w:proofErr w:type="spellEnd"/>
            <w:r w:rsidRPr="003C2B67">
              <w:rPr>
                <w:snapToGrid w:val="0"/>
              </w:rPr>
              <w:t xml:space="preserve">) </w:t>
            </w:r>
            <w:r w:rsidRPr="003C2B67">
              <w:rPr>
                <w:snapToGrid w:val="0"/>
                <w:vertAlign w:val="superscript"/>
              </w:rPr>
              <w:t>(2)</w:t>
            </w:r>
          </w:p>
        </w:tc>
        <w:tc>
          <w:tcPr>
            <w:tcW w:w="2573" w:type="pct"/>
            <w:tcBorders>
              <w:top w:val="single" w:sz="4" w:space="0" w:color="auto"/>
              <w:left w:val="single" w:sz="4" w:space="0" w:color="auto"/>
              <w:bottom w:val="single" w:sz="4" w:space="0" w:color="auto"/>
              <w:right w:val="single" w:sz="4" w:space="0" w:color="auto"/>
            </w:tcBorders>
            <w:hideMark/>
          </w:tcPr>
          <w:p w14:paraId="64DC82BB" w14:textId="77777777" w:rsidR="0022028D" w:rsidRPr="003C2B67" w:rsidRDefault="0022028D" w:rsidP="00994B8B">
            <w:pPr>
              <w:pStyle w:val="Tabletext"/>
              <w:keepNext/>
              <w:keepLines/>
              <w:jc w:val="center"/>
              <w:rPr>
                <w:snapToGrid w:val="0"/>
              </w:rPr>
            </w:pPr>
            <w:r w:rsidRPr="003C2B67">
              <w:rPr>
                <w:snapToGrid w:val="0"/>
              </w:rPr>
              <w:t>17 to 31.7</w:t>
            </w:r>
          </w:p>
        </w:tc>
      </w:tr>
      <w:tr w:rsidR="0022028D" w:rsidRPr="003C2B67" w14:paraId="22E31032" w14:textId="77777777" w:rsidTr="009C1318">
        <w:trPr>
          <w:jc w:val="center"/>
        </w:trPr>
        <w:tc>
          <w:tcPr>
            <w:tcW w:w="2427" w:type="pct"/>
            <w:tcBorders>
              <w:top w:val="single" w:sz="4" w:space="0" w:color="auto"/>
              <w:left w:val="single" w:sz="4" w:space="0" w:color="auto"/>
              <w:bottom w:val="single" w:sz="4" w:space="0" w:color="auto"/>
              <w:right w:val="single" w:sz="4" w:space="0" w:color="auto"/>
            </w:tcBorders>
            <w:hideMark/>
          </w:tcPr>
          <w:p w14:paraId="08F9A769" w14:textId="77777777" w:rsidR="0022028D" w:rsidRPr="003C2B67" w:rsidRDefault="0022028D" w:rsidP="00994B8B">
            <w:pPr>
              <w:pStyle w:val="Tabletext"/>
              <w:keepNext/>
              <w:keepLines/>
              <w:rPr>
                <w:snapToGrid w:val="0"/>
              </w:rPr>
            </w:pPr>
            <w:r w:rsidRPr="003C2B67">
              <w:rPr>
                <w:snapToGrid w:val="0"/>
              </w:rPr>
              <w:t>Feeder loss (dB)</w:t>
            </w:r>
          </w:p>
        </w:tc>
        <w:tc>
          <w:tcPr>
            <w:tcW w:w="2573" w:type="pct"/>
            <w:tcBorders>
              <w:top w:val="single" w:sz="4" w:space="0" w:color="auto"/>
              <w:left w:val="single" w:sz="4" w:space="0" w:color="auto"/>
              <w:bottom w:val="single" w:sz="4" w:space="0" w:color="auto"/>
              <w:right w:val="single" w:sz="4" w:space="0" w:color="auto"/>
            </w:tcBorders>
            <w:hideMark/>
          </w:tcPr>
          <w:p w14:paraId="6C981ED0" w14:textId="77777777" w:rsidR="0022028D" w:rsidRPr="003C2B67" w:rsidRDefault="0022028D" w:rsidP="00994B8B">
            <w:pPr>
              <w:pStyle w:val="Tabletext"/>
              <w:keepNext/>
              <w:keepLines/>
              <w:jc w:val="center"/>
              <w:rPr>
                <w:snapToGrid w:val="0"/>
              </w:rPr>
            </w:pPr>
            <w:r w:rsidRPr="003C2B67">
              <w:rPr>
                <w:snapToGrid w:val="0"/>
              </w:rPr>
              <w:t>1 to 4</w:t>
            </w:r>
          </w:p>
        </w:tc>
      </w:tr>
      <w:tr w:rsidR="0022028D" w:rsidRPr="003C2B67" w14:paraId="5653F41A" w14:textId="77777777" w:rsidTr="009C1318">
        <w:trPr>
          <w:jc w:val="center"/>
        </w:trPr>
        <w:tc>
          <w:tcPr>
            <w:tcW w:w="2427" w:type="pct"/>
            <w:tcBorders>
              <w:top w:val="single" w:sz="4" w:space="0" w:color="auto"/>
              <w:left w:val="single" w:sz="4" w:space="0" w:color="auto"/>
              <w:bottom w:val="single" w:sz="4" w:space="0" w:color="auto"/>
              <w:right w:val="single" w:sz="4" w:space="0" w:color="auto"/>
            </w:tcBorders>
            <w:hideMark/>
          </w:tcPr>
          <w:p w14:paraId="7BF100BD" w14:textId="77777777" w:rsidR="0022028D" w:rsidRPr="003C2B67" w:rsidRDefault="0022028D" w:rsidP="00994B8B">
            <w:pPr>
              <w:pStyle w:val="Tabletext"/>
              <w:keepNext/>
              <w:keepLines/>
              <w:rPr>
                <w:snapToGrid w:val="0"/>
              </w:rPr>
            </w:pPr>
            <w:r w:rsidRPr="003C2B67">
              <w:rPr>
                <w:snapToGrid w:val="0"/>
              </w:rPr>
              <w:t>Transmitting antenna gain (</w:t>
            </w:r>
            <w:proofErr w:type="spellStart"/>
            <w:r w:rsidRPr="003C2B67">
              <w:rPr>
                <w:snapToGrid w:val="0"/>
              </w:rPr>
              <w:t>dBi</w:t>
            </w:r>
            <w:proofErr w:type="spellEnd"/>
            <w:r w:rsidRPr="003C2B67">
              <w:rPr>
                <w:snapToGrid w:val="0"/>
              </w:rPr>
              <w:t>)</w:t>
            </w:r>
          </w:p>
        </w:tc>
        <w:tc>
          <w:tcPr>
            <w:tcW w:w="2573" w:type="pct"/>
            <w:tcBorders>
              <w:top w:val="single" w:sz="4" w:space="0" w:color="auto"/>
              <w:left w:val="single" w:sz="4" w:space="0" w:color="auto"/>
              <w:bottom w:val="single" w:sz="4" w:space="0" w:color="auto"/>
              <w:right w:val="single" w:sz="4" w:space="0" w:color="auto"/>
            </w:tcBorders>
            <w:hideMark/>
          </w:tcPr>
          <w:p w14:paraId="67B643CD" w14:textId="77777777" w:rsidR="0022028D" w:rsidRPr="003C2B67" w:rsidRDefault="0022028D" w:rsidP="00994B8B">
            <w:pPr>
              <w:pStyle w:val="Tabletext"/>
              <w:keepNext/>
              <w:keepLines/>
              <w:jc w:val="center"/>
              <w:rPr>
                <w:snapToGrid w:val="0"/>
              </w:rPr>
            </w:pPr>
            <w:r w:rsidRPr="003C2B67">
              <w:rPr>
                <w:snapToGrid w:val="0"/>
              </w:rPr>
              <w:t>25 to 40</w:t>
            </w:r>
          </w:p>
        </w:tc>
      </w:tr>
      <w:tr w:rsidR="0022028D" w:rsidRPr="003C2B67" w14:paraId="7BF4676F" w14:textId="77777777" w:rsidTr="009C1318">
        <w:trPr>
          <w:jc w:val="center"/>
        </w:trPr>
        <w:tc>
          <w:tcPr>
            <w:tcW w:w="2427" w:type="pct"/>
            <w:tcBorders>
              <w:top w:val="single" w:sz="4" w:space="0" w:color="auto"/>
              <w:left w:val="single" w:sz="4" w:space="0" w:color="auto"/>
              <w:bottom w:val="single" w:sz="4" w:space="0" w:color="auto"/>
              <w:right w:val="single" w:sz="4" w:space="0" w:color="auto"/>
            </w:tcBorders>
            <w:hideMark/>
          </w:tcPr>
          <w:p w14:paraId="6DC8611C" w14:textId="77777777" w:rsidR="0022028D" w:rsidRPr="003C2B67" w:rsidRDefault="0022028D" w:rsidP="00994B8B">
            <w:pPr>
              <w:pStyle w:val="Tabletext"/>
              <w:keepNext/>
              <w:keepLines/>
              <w:rPr>
                <w:snapToGrid w:val="0"/>
              </w:rPr>
            </w:pPr>
            <w:r w:rsidRPr="003C2B67">
              <w:rPr>
                <w:snapToGrid w:val="0"/>
              </w:rPr>
              <w:t xml:space="preserve">Typical </w:t>
            </w:r>
            <w:proofErr w:type="spellStart"/>
            <w:r w:rsidRPr="003C2B67">
              <w:rPr>
                <w:snapToGrid w:val="0"/>
              </w:rPr>
              <w:t>e.i.r.p</w:t>
            </w:r>
            <w:proofErr w:type="spellEnd"/>
            <w:r w:rsidRPr="003C2B67">
              <w:rPr>
                <w:snapToGrid w:val="0"/>
              </w:rPr>
              <w:t>. (</w:t>
            </w:r>
            <w:proofErr w:type="spellStart"/>
            <w:r w:rsidRPr="003C2B67">
              <w:rPr>
                <w:snapToGrid w:val="0"/>
              </w:rPr>
              <w:t>dBW</w:t>
            </w:r>
            <w:proofErr w:type="spellEnd"/>
            <w:r w:rsidRPr="003C2B67">
              <w:rPr>
                <w:snapToGrid w:val="0"/>
              </w:rPr>
              <w:t>)</w:t>
            </w:r>
          </w:p>
        </w:tc>
        <w:tc>
          <w:tcPr>
            <w:tcW w:w="2573" w:type="pct"/>
            <w:tcBorders>
              <w:top w:val="single" w:sz="4" w:space="0" w:color="auto"/>
              <w:left w:val="single" w:sz="4" w:space="0" w:color="auto"/>
              <w:bottom w:val="single" w:sz="4" w:space="0" w:color="auto"/>
              <w:right w:val="single" w:sz="4" w:space="0" w:color="auto"/>
            </w:tcBorders>
            <w:hideMark/>
          </w:tcPr>
          <w:p w14:paraId="3B425CF1" w14:textId="77777777" w:rsidR="0022028D" w:rsidRPr="003C2B67" w:rsidRDefault="0022028D" w:rsidP="00994B8B">
            <w:pPr>
              <w:pStyle w:val="Tabletext"/>
              <w:keepNext/>
              <w:keepLines/>
              <w:jc w:val="center"/>
              <w:rPr>
                <w:snapToGrid w:val="0"/>
              </w:rPr>
            </w:pPr>
            <w:r w:rsidRPr="003C2B67">
              <w:rPr>
                <w:snapToGrid w:val="0"/>
              </w:rPr>
              <w:t>40 to 68</w:t>
            </w:r>
          </w:p>
        </w:tc>
      </w:tr>
      <w:tr w:rsidR="0022028D" w:rsidRPr="003C2B67" w14:paraId="7D1E3780" w14:textId="77777777" w:rsidTr="009C1318">
        <w:trPr>
          <w:jc w:val="center"/>
        </w:trPr>
        <w:tc>
          <w:tcPr>
            <w:tcW w:w="2427" w:type="pct"/>
            <w:tcBorders>
              <w:top w:val="single" w:sz="4" w:space="0" w:color="auto"/>
              <w:left w:val="single" w:sz="4" w:space="0" w:color="auto"/>
              <w:bottom w:val="single" w:sz="4" w:space="0" w:color="auto"/>
              <w:right w:val="single" w:sz="4" w:space="0" w:color="auto"/>
            </w:tcBorders>
            <w:hideMark/>
          </w:tcPr>
          <w:p w14:paraId="6A30FE04" w14:textId="77777777" w:rsidR="0022028D" w:rsidRPr="003C2B67" w:rsidRDefault="0022028D" w:rsidP="00994B8B">
            <w:pPr>
              <w:pStyle w:val="Tabletext"/>
              <w:keepNext/>
              <w:keepLines/>
              <w:rPr>
                <w:snapToGrid w:val="0"/>
              </w:rPr>
            </w:pPr>
            <w:r w:rsidRPr="003C2B67">
              <w:rPr>
                <w:snapToGrid w:val="0"/>
              </w:rPr>
              <w:t>Antenna polarization</w:t>
            </w:r>
          </w:p>
        </w:tc>
        <w:tc>
          <w:tcPr>
            <w:tcW w:w="2573" w:type="pct"/>
            <w:tcBorders>
              <w:top w:val="single" w:sz="4" w:space="0" w:color="auto"/>
              <w:left w:val="single" w:sz="4" w:space="0" w:color="auto"/>
              <w:bottom w:val="single" w:sz="4" w:space="0" w:color="auto"/>
              <w:right w:val="single" w:sz="4" w:space="0" w:color="auto"/>
            </w:tcBorders>
            <w:hideMark/>
          </w:tcPr>
          <w:p w14:paraId="748DC07B" w14:textId="77777777" w:rsidR="0022028D" w:rsidRPr="003C2B67" w:rsidRDefault="0022028D" w:rsidP="00994B8B">
            <w:pPr>
              <w:pStyle w:val="Tabletext"/>
              <w:keepNext/>
              <w:keepLines/>
              <w:jc w:val="center"/>
              <w:rPr>
                <w:snapToGrid w:val="0"/>
              </w:rPr>
            </w:pPr>
            <w:r w:rsidRPr="003C2B67">
              <w:rPr>
                <w:snapToGrid w:val="0"/>
              </w:rPr>
              <w:t>Horizontal, vertical, LHCP,</w:t>
            </w:r>
            <w:r w:rsidRPr="003C2B67">
              <w:rPr>
                <w:snapToGrid w:val="0"/>
                <w:lang w:eastAsia="ja-JP"/>
              </w:rPr>
              <w:t xml:space="preserve"> </w:t>
            </w:r>
            <w:r w:rsidRPr="003C2B67">
              <w:rPr>
                <w:snapToGrid w:val="0"/>
              </w:rPr>
              <w:t>RHCP</w:t>
            </w:r>
          </w:p>
        </w:tc>
      </w:tr>
    </w:tbl>
    <w:p w14:paraId="7D5C40E9" w14:textId="77777777" w:rsidR="009C1318" w:rsidRPr="003C2B67" w:rsidRDefault="009C1318">
      <w:r w:rsidRPr="003C2B67">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2028D" w:rsidRPr="003C2B67" w14:paraId="74841E69" w14:textId="77777777" w:rsidTr="009C1318">
        <w:trPr>
          <w:jc w:val="center"/>
        </w:trPr>
        <w:tc>
          <w:tcPr>
            <w:tcW w:w="5000" w:type="pct"/>
            <w:tcBorders>
              <w:top w:val="nil"/>
              <w:left w:val="nil"/>
              <w:bottom w:val="nil"/>
              <w:right w:val="nil"/>
            </w:tcBorders>
            <w:hideMark/>
          </w:tcPr>
          <w:p w14:paraId="0B441D6B" w14:textId="71BA981A" w:rsidR="0022028D" w:rsidRPr="003C2B67" w:rsidRDefault="0022028D" w:rsidP="009C1318">
            <w:pPr>
              <w:pStyle w:val="Tabletext"/>
              <w:rPr>
                <w:sz w:val="20"/>
                <w:szCs w:val="22"/>
              </w:rPr>
            </w:pPr>
            <w:r w:rsidRPr="003C2B67">
              <w:rPr>
                <w:sz w:val="20"/>
                <w:szCs w:val="22"/>
                <w:vertAlign w:val="superscript"/>
              </w:rPr>
              <w:lastRenderedPageBreak/>
              <w:t>(1)</w:t>
            </w:r>
            <w:r w:rsidRPr="003C2B67">
              <w:rPr>
                <w:sz w:val="20"/>
                <w:szCs w:val="22"/>
              </w:rPr>
              <w:tab/>
              <w:t xml:space="preserve">Amateur bands within the frequency ranges shown conform to RR Article </w:t>
            </w:r>
            <w:r w:rsidRPr="003C2B67">
              <w:rPr>
                <w:b/>
                <w:bCs/>
                <w:sz w:val="20"/>
                <w:szCs w:val="22"/>
              </w:rPr>
              <w:t>5</w:t>
            </w:r>
            <w:r w:rsidRPr="003C2B67">
              <w:rPr>
                <w:sz w:val="20"/>
                <w:szCs w:val="22"/>
              </w:rPr>
              <w:t>.</w:t>
            </w:r>
          </w:p>
          <w:p w14:paraId="4F294559" w14:textId="77777777" w:rsidR="0022028D" w:rsidRPr="003C2B67" w:rsidRDefault="0022028D" w:rsidP="009C1318">
            <w:pPr>
              <w:pStyle w:val="Tabletext"/>
              <w:rPr>
                <w:sz w:val="20"/>
                <w:szCs w:val="22"/>
              </w:rPr>
            </w:pPr>
            <w:r w:rsidRPr="003C2B67">
              <w:rPr>
                <w:sz w:val="20"/>
                <w:szCs w:val="22"/>
                <w:vertAlign w:val="superscript"/>
              </w:rPr>
              <w:t>(2)</w:t>
            </w:r>
            <w:r w:rsidRPr="003C2B67">
              <w:rPr>
                <w:sz w:val="20"/>
                <w:szCs w:val="22"/>
              </w:rPr>
              <w:tab/>
              <w:t xml:space="preserve">Maximum powers are determined by each administration. </w:t>
            </w:r>
          </w:p>
          <w:p w14:paraId="7D563900" w14:textId="77777777" w:rsidR="0022028D" w:rsidRPr="003C2B67" w:rsidRDefault="0022028D" w:rsidP="009C1318">
            <w:pPr>
              <w:pStyle w:val="Tabletext"/>
              <w:rPr>
                <w:sz w:val="20"/>
                <w:szCs w:val="22"/>
              </w:rPr>
            </w:pPr>
            <w:r w:rsidRPr="003C2B67">
              <w:rPr>
                <w:i/>
                <w:iCs/>
                <w:sz w:val="20"/>
                <w:szCs w:val="22"/>
              </w:rPr>
              <w:tab/>
              <w:t>Usage note:</w:t>
            </w:r>
            <w:r w:rsidRPr="003C2B67">
              <w:rPr>
                <w:sz w:val="20"/>
                <w:szCs w:val="22"/>
              </w:rPr>
              <w:t xml:space="preserve"> Main antenna beam direction can be assumed to be pointing above the horizon.</w:t>
            </w:r>
          </w:p>
          <w:p w14:paraId="6FD5B4C0" w14:textId="77777777" w:rsidR="0022028D" w:rsidRPr="003C2B67" w:rsidRDefault="0022028D" w:rsidP="009C1318">
            <w:pPr>
              <w:pStyle w:val="Tabletext"/>
              <w:ind w:left="284" w:hanging="284"/>
              <w:rPr>
                <w:sz w:val="20"/>
                <w:szCs w:val="22"/>
              </w:rPr>
            </w:pPr>
            <w:r w:rsidRPr="003C2B67">
              <w:rPr>
                <w:i/>
                <w:iCs/>
                <w:sz w:val="20"/>
                <w:szCs w:val="22"/>
              </w:rPr>
              <w:tab/>
              <w:t>Emission note:</w:t>
            </w:r>
            <w:r w:rsidRPr="003C2B67">
              <w:rPr>
                <w:sz w:val="20"/>
                <w:szCs w:val="22"/>
              </w:rPr>
              <w:t xml:space="preserve"> EME increasingly employs digital “Weak Signal Modes” which are structured for very basic communications with low data rates and narrow bandwidth for best weak signal performance.</w:t>
            </w:r>
          </w:p>
        </w:tc>
      </w:tr>
    </w:tbl>
    <w:p w14:paraId="0B8F9B4F" w14:textId="77777777" w:rsidR="0022028D" w:rsidRPr="003C2B67" w:rsidRDefault="0022028D" w:rsidP="009C1318">
      <w:pPr>
        <w:pStyle w:val="Tablefin"/>
      </w:pPr>
    </w:p>
    <w:p w14:paraId="1F45CE3D" w14:textId="77777777" w:rsidR="0022028D" w:rsidRPr="003C2B67" w:rsidRDefault="0022028D" w:rsidP="0022028D">
      <w:pPr>
        <w:pStyle w:val="TableNo"/>
        <w:rPr>
          <w:lang w:eastAsia="ja-JP"/>
        </w:rPr>
      </w:pPr>
      <w:r w:rsidRPr="003C2B67">
        <w:t>TABLE 12</w:t>
      </w:r>
    </w:p>
    <w:p w14:paraId="5405B7E6" w14:textId="77777777" w:rsidR="0022028D" w:rsidRPr="003C2B67" w:rsidRDefault="0022028D" w:rsidP="0022028D">
      <w:pPr>
        <w:pStyle w:val="Tabletitle"/>
      </w:pPr>
      <w:r w:rsidRPr="003C2B67">
        <w:t>Characteristics of amateur</w:t>
      </w:r>
      <w:r w:rsidRPr="003C2B67">
        <w:rPr>
          <w:strike/>
        </w:rPr>
        <w:t>-</w:t>
      </w:r>
      <w:r w:rsidRPr="003C2B67">
        <w:t>satellite systems in the Earth-to-space direction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893"/>
      </w:tblGrid>
      <w:tr w:rsidR="0022028D" w:rsidRPr="003C2B67" w14:paraId="6F20E3B6" w14:textId="77777777" w:rsidTr="009C1318">
        <w:trPr>
          <w:tblHeader/>
          <w:jc w:val="center"/>
        </w:trPr>
        <w:tc>
          <w:tcPr>
            <w:tcW w:w="2462" w:type="pct"/>
            <w:tcBorders>
              <w:top w:val="single" w:sz="4" w:space="0" w:color="auto"/>
              <w:left w:val="single" w:sz="4" w:space="0" w:color="auto"/>
              <w:bottom w:val="single" w:sz="4" w:space="0" w:color="auto"/>
              <w:right w:val="single" w:sz="4" w:space="0" w:color="auto"/>
            </w:tcBorders>
            <w:hideMark/>
          </w:tcPr>
          <w:p w14:paraId="7A6CE62A" w14:textId="77777777" w:rsidR="0022028D" w:rsidRPr="003C2B67" w:rsidRDefault="0022028D" w:rsidP="009C1318">
            <w:pPr>
              <w:pStyle w:val="Tablehead"/>
            </w:pPr>
            <w:r w:rsidRPr="003C2B67">
              <w:t>Parameter</w:t>
            </w:r>
          </w:p>
        </w:tc>
        <w:tc>
          <w:tcPr>
            <w:tcW w:w="2538" w:type="pct"/>
            <w:tcBorders>
              <w:top w:val="single" w:sz="4" w:space="0" w:color="auto"/>
              <w:left w:val="nil"/>
              <w:bottom w:val="single" w:sz="4" w:space="0" w:color="auto"/>
              <w:right w:val="single" w:sz="4" w:space="0" w:color="auto"/>
            </w:tcBorders>
            <w:hideMark/>
          </w:tcPr>
          <w:p w14:paraId="3EC6E3E0" w14:textId="77777777" w:rsidR="0022028D" w:rsidRPr="003C2B67" w:rsidRDefault="0022028D" w:rsidP="009C1318">
            <w:pPr>
              <w:pStyle w:val="Tablehead"/>
            </w:pPr>
            <w:r w:rsidRPr="003C2B67">
              <w:t>Value</w:t>
            </w:r>
          </w:p>
        </w:tc>
      </w:tr>
      <w:tr w:rsidR="0022028D" w:rsidRPr="003C2B67" w14:paraId="7BDDA278" w14:textId="77777777" w:rsidTr="009C1318">
        <w:trPr>
          <w:jc w:val="center"/>
        </w:trPr>
        <w:tc>
          <w:tcPr>
            <w:tcW w:w="2462" w:type="pct"/>
            <w:tcBorders>
              <w:top w:val="single" w:sz="4" w:space="0" w:color="auto"/>
              <w:left w:val="single" w:sz="4" w:space="0" w:color="auto"/>
              <w:bottom w:val="single" w:sz="4" w:space="0" w:color="auto"/>
              <w:right w:val="single" w:sz="4" w:space="0" w:color="auto"/>
            </w:tcBorders>
            <w:hideMark/>
          </w:tcPr>
          <w:p w14:paraId="5BCCA710" w14:textId="77777777" w:rsidR="0022028D" w:rsidRPr="003C2B67" w:rsidRDefault="0022028D" w:rsidP="00994B8B">
            <w:pPr>
              <w:pStyle w:val="Tabletext"/>
              <w:rPr>
                <w:snapToGrid w:val="0"/>
              </w:rPr>
            </w:pPr>
            <w:r w:rsidRPr="003C2B67">
              <w:rPr>
                <w:snapToGrid w:val="0"/>
              </w:rPr>
              <w:t xml:space="preserve">Frequency range </w:t>
            </w:r>
            <w:r w:rsidRPr="003C2B67">
              <w:rPr>
                <w:snapToGrid w:val="0"/>
                <w:vertAlign w:val="superscript"/>
              </w:rPr>
              <w:t>(1)</w:t>
            </w:r>
          </w:p>
        </w:tc>
        <w:tc>
          <w:tcPr>
            <w:tcW w:w="2538" w:type="pct"/>
            <w:tcBorders>
              <w:top w:val="single" w:sz="4" w:space="0" w:color="auto"/>
              <w:left w:val="nil"/>
              <w:bottom w:val="single" w:sz="4" w:space="0" w:color="auto"/>
              <w:right w:val="single" w:sz="4" w:space="0" w:color="auto"/>
            </w:tcBorders>
            <w:hideMark/>
          </w:tcPr>
          <w:p w14:paraId="55320B05" w14:textId="77777777" w:rsidR="0022028D" w:rsidRPr="003C2B67" w:rsidRDefault="0022028D" w:rsidP="00994B8B">
            <w:pPr>
              <w:pStyle w:val="Tabletext"/>
              <w:jc w:val="center"/>
              <w:rPr>
                <w:snapToGrid w:val="0"/>
              </w:rPr>
            </w:pPr>
            <w:r w:rsidRPr="003C2B67">
              <w:rPr>
                <w:snapToGrid w:val="0"/>
              </w:rPr>
              <w:t>1.24-3.5 GHz</w:t>
            </w:r>
          </w:p>
        </w:tc>
      </w:tr>
      <w:tr w:rsidR="0022028D" w:rsidRPr="003C2B67" w14:paraId="434C6151" w14:textId="77777777" w:rsidTr="009C1318">
        <w:trPr>
          <w:jc w:val="center"/>
        </w:trPr>
        <w:tc>
          <w:tcPr>
            <w:tcW w:w="2462" w:type="pct"/>
            <w:tcBorders>
              <w:top w:val="single" w:sz="4" w:space="0" w:color="auto"/>
              <w:left w:val="single" w:sz="4" w:space="0" w:color="auto"/>
              <w:bottom w:val="single" w:sz="4" w:space="0" w:color="auto"/>
              <w:right w:val="single" w:sz="4" w:space="0" w:color="auto"/>
            </w:tcBorders>
            <w:hideMark/>
          </w:tcPr>
          <w:p w14:paraId="00AEC5C4" w14:textId="77777777" w:rsidR="0022028D" w:rsidRPr="003C2B67" w:rsidRDefault="0022028D" w:rsidP="00994B8B">
            <w:pPr>
              <w:pStyle w:val="Tabletext"/>
              <w:rPr>
                <w:snapToGrid w:val="0"/>
              </w:rPr>
            </w:pPr>
            <w:r w:rsidRPr="003C2B67">
              <w:rPr>
                <w:snapToGrid w:val="0"/>
              </w:rPr>
              <w:t xml:space="preserve">Necessary bandwidth and class of emission (emission designator) </w:t>
            </w:r>
          </w:p>
        </w:tc>
        <w:tc>
          <w:tcPr>
            <w:tcW w:w="2538" w:type="pct"/>
            <w:tcBorders>
              <w:top w:val="single" w:sz="4" w:space="0" w:color="auto"/>
              <w:left w:val="single" w:sz="4" w:space="0" w:color="auto"/>
              <w:bottom w:val="single" w:sz="4" w:space="0" w:color="auto"/>
              <w:right w:val="single" w:sz="4" w:space="0" w:color="auto"/>
            </w:tcBorders>
            <w:hideMark/>
          </w:tcPr>
          <w:p w14:paraId="4BE5A088" w14:textId="77777777" w:rsidR="0022028D" w:rsidRPr="003C2B67" w:rsidRDefault="0022028D" w:rsidP="00994B8B">
            <w:pPr>
              <w:pStyle w:val="Tabletext"/>
              <w:jc w:val="center"/>
              <w:rPr>
                <w:snapToGrid w:val="0"/>
              </w:rPr>
            </w:pPr>
            <w:r w:rsidRPr="003C2B67">
              <w:rPr>
                <w:snapToGrid w:val="0"/>
              </w:rPr>
              <w:t>150HA1A</w:t>
            </w:r>
            <w:r w:rsidRPr="003C2B67">
              <w:rPr>
                <w:snapToGrid w:val="0"/>
                <w:lang w:eastAsia="ja-JP"/>
              </w:rPr>
              <w:t xml:space="preserve">, </w:t>
            </w:r>
            <w:r w:rsidRPr="003C2B67">
              <w:rPr>
                <w:snapToGrid w:val="0"/>
              </w:rPr>
              <w:t>150HJ2A</w:t>
            </w:r>
          </w:p>
        </w:tc>
      </w:tr>
      <w:tr w:rsidR="0022028D" w:rsidRPr="003C2B67" w14:paraId="6A1BE586" w14:textId="77777777" w:rsidTr="009C1318">
        <w:trPr>
          <w:jc w:val="center"/>
        </w:trPr>
        <w:tc>
          <w:tcPr>
            <w:tcW w:w="2462" w:type="pct"/>
            <w:tcBorders>
              <w:top w:val="single" w:sz="4" w:space="0" w:color="auto"/>
              <w:left w:val="single" w:sz="4" w:space="0" w:color="auto"/>
              <w:bottom w:val="single" w:sz="4" w:space="0" w:color="auto"/>
              <w:right w:val="single" w:sz="4" w:space="0" w:color="auto"/>
            </w:tcBorders>
            <w:hideMark/>
          </w:tcPr>
          <w:p w14:paraId="643E328C" w14:textId="77777777" w:rsidR="0022028D" w:rsidRPr="003C2B67" w:rsidRDefault="0022028D" w:rsidP="00994B8B">
            <w:pPr>
              <w:pStyle w:val="Tabletext"/>
              <w:rPr>
                <w:snapToGrid w:val="0"/>
              </w:rPr>
            </w:pPr>
            <w:r w:rsidRPr="003C2B67">
              <w:rPr>
                <w:snapToGrid w:val="0"/>
              </w:rPr>
              <w:t xml:space="preserve">Necessary bandwidth and class of emission (emission designator) </w:t>
            </w:r>
            <w:r w:rsidRPr="003C2B67">
              <w:rPr>
                <w:snapToGrid w:val="0"/>
                <w:vertAlign w:val="superscript"/>
              </w:rPr>
              <w:t>(2)</w:t>
            </w:r>
            <w:r w:rsidRPr="003C2B67">
              <w:rPr>
                <w:snapToGrid w:val="0"/>
              </w:rPr>
              <w:t xml:space="preserve"> </w:t>
            </w:r>
          </w:p>
        </w:tc>
        <w:tc>
          <w:tcPr>
            <w:tcW w:w="2538" w:type="pct"/>
            <w:tcBorders>
              <w:top w:val="single" w:sz="4" w:space="0" w:color="auto"/>
              <w:left w:val="single" w:sz="4" w:space="0" w:color="auto"/>
              <w:bottom w:val="single" w:sz="4" w:space="0" w:color="auto"/>
              <w:right w:val="single" w:sz="4" w:space="0" w:color="auto"/>
            </w:tcBorders>
            <w:hideMark/>
          </w:tcPr>
          <w:p w14:paraId="412601B2" w14:textId="77777777" w:rsidR="0022028D" w:rsidRPr="003C2B67" w:rsidRDefault="0022028D" w:rsidP="00994B8B">
            <w:pPr>
              <w:pStyle w:val="Tabletext"/>
              <w:jc w:val="center"/>
            </w:pPr>
            <w:r w:rsidRPr="003C2B67">
              <w:t xml:space="preserve">2K70J3E, 2K70J2E, 16K0F3E, 44K2F1D, </w:t>
            </w:r>
            <w:r w:rsidRPr="003C2B67">
              <w:br/>
              <w:t>88K3F1D, 350KF1D,2M50G7W</w:t>
            </w:r>
          </w:p>
        </w:tc>
      </w:tr>
      <w:tr w:rsidR="0022028D" w:rsidRPr="003C2B67" w14:paraId="1AD4EA99" w14:textId="77777777" w:rsidTr="009C1318">
        <w:trPr>
          <w:jc w:val="center"/>
        </w:trPr>
        <w:tc>
          <w:tcPr>
            <w:tcW w:w="2462" w:type="pct"/>
            <w:tcBorders>
              <w:top w:val="single" w:sz="4" w:space="0" w:color="auto"/>
              <w:left w:val="single" w:sz="4" w:space="0" w:color="auto"/>
              <w:bottom w:val="single" w:sz="4" w:space="0" w:color="auto"/>
              <w:right w:val="single" w:sz="4" w:space="0" w:color="auto"/>
            </w:tcBorders>
            <w:hideMark/>
          </w:tcPr>
          <w:p w14:paraId="4B413A0B" w14:textId="77777777" w:rsidR="0022028D" w:rsidRPr="003C2B67" w:rsidRDefault="0022028D" w:rsidP="00994B8B">
            <w:pPr>
              <w:pStyle w:val="Tabletext"/>
              <w:rPr>
                <w:snapToGrid w:val="0"/>
              </w:rPr>
            </w:pPr>
            <w:r w:rsidRPr="003C2B67">
              <w:rPr>
                <w:snapToGrid w:val="0"/>
              </w:rPr>
              <w:t>Transmitter power (</w:t>
            </w:r>
            <w:proofErr w:type="spellStart"/>
            <w:r w:rsidRPr="003C2B67">
              <w:rPr>
                <w:snapToGrid w:val="0"/>
              </w:rPr>
              <w:t>dBW</w:t>
            </w:r>
            <w:proofErr w:type="spellEnd"/>
            <w:r w:rsidRPr="003C2B67">
              <w:rPr>
                <w:snapToGrid w:val="0"/>
              </w:rPr>
              <w:t xml:space="preserve">) </w:t>
            </w:r>
            <w:r w:rsidRPr="003C2B67">
              <w:rPr>
                <w:snapToGrid w:val="0"/>
                <w:vertAlign w:val="superscript"/>
              </w:rPr>
              <w:t>(</w:t>
            </w:r>
            <w:r w:rsidRPr="003C2B67">
              <w:rPr>
                <w:snapToGrid w:val="0"/>
                <w:vertAlign w:val="superscript"/>
                <w:lang w:eastAsia="ja-JP"/>
              </w:rPr>
              <w:t>3</w:t>
            </w:r>
            <w:r w:rsidRPr="003C2B67">
              <w:rPr>
                <w:snapToGrid w:val="0"/>
                <w:vertAlign w:val="superscript"/>
              </w:rPr>
              <w:t>)</w:t>
            </w:r>
          </w:p>
        </w:tc>
        <w:tc>
          <w:tcPr>
            <w:tcW w:w="2538" w:type="pct"/>
            <w:tcBorders>
              <w:top w:val="single" w:sz="4" w:space="0" w:color="auto"/>
              <w:left w:val="single" w:sz="4" w:space="0" w:color="auto"/>
              <w:bottom w:val="single" w:sz="4" w:space="0" w:color="auto"/>
              <w:right w:val="single" w:sz="4" w:space="0" w:color="auto"/>
            </w:tcBorders>
            <w:hideMark/>
          </w:tcPr>
          <w:p w14:paraId="205C9536" w14:textId="77777777" w:rsidR="0022028D" w:rsidRPr="003C2B67" w:rsidRDefault="0022028D" w:rsidP="00994B8B">
            <w:pPr>
              <w:pStyle w:val="Tabletext"/>
              <w:jc w:val="center"/>
              <w:rPr>
                <w:snapToGrid w:val="0"/>
              </w:rPr>
            </w:pPr>
            <w:r w:rsidRPr="003C2B67">
              <w:rPr>
                <w:snapToGrid w:val="0"/>
              </w:rPr>
              <w:t>3 to 31.7</w:t>
            </w:r>
          </w:p>
        </w:tc>
      </w:tr>
      <w:tr w:rsidR="0022028D" w:rsidRPr="003C2B67" w14:paraId="2A9A5417" w14:textId="77777777" w:rsidTr="009C1318">
        <w:trPr>
          <w:jc w:val="center"/>
        </w:trPr>
        <w:tc>
          <w:tcPr>
            <w:tcW w:w="2462" w:type="pct"/>
            <w:tcBorders>
              <w:top w:val="single" w:sz="4" w:space="0" w:color="auto"/>
              <w:left w:val="single" w:sz="4" w:space="0" w:color="auto"/>
              <w:bottom w:val="single" w:sz="4" w:space="0" w:color="auto"/>
              <w:right w:val="single" w:sz="4" w:space="0" w:color="auto"/>
            </w:tcBorders>
            <w:hideMark/>
          </w:tcPr>
          <w:p w14:paraId="7538A8F9" w14:textId="77777777" w:rsidR="0022028D" w:rsidRPr="003C2B67" w:rsidRDefault="0022028D" w:rsidP="00994B8B">
            <w:pPr>
              <w:pStyle w:val="Tabletext"/>
              <w:rPr>
                <w:snapToGrid w:val="0"/>
              </w:rPr>
            </w:pPr>
            <w:r w:rsidRPr="003C2B67">
              <w:rPr>
                <w:snapToGrid w:val="0"/>
              </w:rPr>
              <w:t>Feeder loss (dB)</w:t>
            </w:r>
          </w:p>
        </w:tc>
        <w:tc>
          <w:tcPr>
            <w:tcW w:w="2538" w:type="pct"/>
            <w:tcBorders>
              <w:top w:val="single" w:sz="4" w:space="0" w:color="auto"/>
              <w:left w:val="single" w:sz="4" w:space="0" w:color="auto"/>
              <w:bottom w:val="single" w:sz="4" w:space="0" w:color="auto"/>
              <w:right w:val="single" w:sz="4" w:space="0" w:color="auto"/>
            </w:tcBorders>
            <w:hideMark/>
          </w:tcPr>
          <w:p w14:paraId="19B75DE8" w14:textId="77777777" w:rsidR="0022028D" w:rsidRPr="003C2B67" w:rsidRDefault="0022028D" w:rsidP="00994B8B">
            <w:pPr>
              <w:pStyle w:val="Tabletext"/>
              <w:jc w:val="center"/>
              <w:rPr>
                <w:snapToGrid w:val="0"/>
              </w:rPr>
            </w:pPr>
            <w:r w:rsidRPr="003C2B67">
              <w:rPr>
                <w:snapToGrid w:val="0"/>
              </w:rPr>
              <w:t>1 to 2</w:t>
            </w:r>
          </w:p>
        </w:tc>
      </w:tr>
      <w:tr w:rsidR="0022028D" w:rsidRPr="003C2B67" w14:paraId="7896E3C6" w14:textId="77777777" w:rsidTr="009C1318">
        <w:trPr>
          <w:jc w:val="center"/>
        </w:trPr>
        <w:tc>
          <w:tcPr>
            <w:tcW w:w="2462" w:type="pct"/>
            <w:tcBorders>
              <w:top w:val="single" w:sz="4" w:space="0" w:color="auto"/>
              <w:left w:val="single" w:sz="4" w:space="0" w:color="auto"/>
              <w:bottom w:val="single" w:sz="4" w:space="0" w:color="auto"/>
              <w:right w:val="single" w:sz="4" w:space="0" w:color="auto"/>
            </w:tcBorders>
            <w:hideMark/>
          </w:tcPr>
          <w:p w14:paraId="7D98C2C7" w14:textId="77777777" w:rsidR="0022028D" w:rsidRPr="003C2B67" w:rsidRDefault="0022028D" w:rsidP="00994B8B">
            <w:pPr>
              <w:pStyle w:val="Tabletext"/>
              <w:rPr>
                <w:snapToGrid w:val="0"/>
              </w:rPr>
            </w:pPr>
            <w:r w:rsidRPr="003C2B67">
              <w:rPr>
                <w:snapToGrid w:val="0"/>
              </w:rPr>
              <w:t>Transmitting antenna gain (</w:t>
            </w:r>
            <w:proofErr w:type="spellStart"/>
            <w:r w:rsidRPr="003C2B67">
              <w:rPr>
                <w:snapToGrid w:val="0"/>
              </w:rPr>
              <w:t>dBi</w:t>
            </w:r>
            <w:proofErr w:type="spellEnd"/>
            <w:r w:rsidRPr="003C2B67">
              <w:rPr>
                <w:snapToGrid w:val="0"/>
              </w:rPr>
              <w:t>)</w:t>
            </w:r>
          </w:p>
        </w:tc>
        <w:tc>
          <w:tcPr>
            <w:tcW w:w="2538" w:type="pct"/>
            <w:tcBorders>
              <w:top w:val="single" w:sz="4" w:space="0" w:color="auto"/>
              <w:left w:val="single" w:sz="4" w:space="0" w:color="auto"/>
              <w:bottom w:val="single" w:sz="4" w:space="0" w:color="auto"/>
              <w:right w:val="single" w:sz="4" w:space="0" w:color="auto"/>
            </w:tcBorders>
            <w:hideMark/>
          </w:tcPr>
          <w:p w14:paraId="687556FC" w14:textId="77777777" w:rsidR="0022028D" w:rsidRPr="003C2B67" w:rsidRDefault="0022028D" w:rsidP="00994B8B">
            <w:pPr>
              <w:pStyle w:val="Tabletext"/>
              <w:jc w:val="center"/>
              <w:rPr>
                <w:snapToGrid w:val="0"/>
              </w:rPr>
            </w:pPr>
            <w:r w:rsidRPr="003C2B67">
              <w:rPr>
                <w:snapToGrid w:val="0"/>
              </w:rPr>
              <w:t>10 to 42</w:t>
            </w:r>
          </w:p>
        </w:tc>
      </w:tr>
      <w:tr w:rsidR="0022028D" w:rsidRPr="003C2B67" w14:paraId="7486B2FB" w14:textId="77777777" w:rsidTr="009C1318">
        <w:trPr>
          <w:jc w:val="center"/>
        </w:trPr>
        <w:tc>
          <w:tcPr>
            <w:tcW w:w="2462" w:type="pct"/>
            <w:tcBorders>
              <w:top w:val="single" w:sz="4" w:space="0" w:color="auto"/>
              <w:left w:val="single" w:sz="4" w:space="0" w:color="auto"/>
              <w:bottom w:val="single" w:sz="4" w:space="0" w:color="auto"/>
              <w:right w:val="single" w:sz="4" w:space="0" w:color="auto"/>
            </w:tcBorders>
            <w:hideMark/>
          </w:tcPr>
          <w:p w14:paraId="4FAD2827" w14:textId="77777777" w:rsidR="0022028D" w:rsidRPr="003C2B67" w:rsidRDefault="0022028D" w:rsidP="00994B8B">
            <w:pPr>
              <w:pStyle w:val="Tabletext"/>
              <w:rPr>
                <w:snapToGrid w:val="0"/>
              </w:rPr>
            </w:pPr>
            <w:r w:rsidRPr="003C2B67">
              <w:rPr>
                <w:snapToGrid w:val="0"/>
              </w:rPr>
              <w:t xml:space="preserve">Typical </w:t>
            </w:r>
            <w:proofErr w:type="spellStart"/>
            <w:r w:rsidRPr="003C2B67">
              <w:rPr>
                <w:snapToGrid w:val="0"/>
              </w:rPr>
              <w:t>e.i.r.p</w:t>
            </w:r>
            <w:proofErr w:type="spellEnd"/>
            <w:r w:rsidRPr="003C2B67">
              <w:rPr>
                <w:snapToGrid w:val="0"/>
              </w:rPr>
              <w:t>. (</w:t>
            </w:r>
            <w:proofErr w:type="spellStart"/>
            <w:r w:rsidRPr="003C2B67">
              <w:rPr>
                <w:snapToGrid w:val="0"/>
              </w:rPr>
              <w:t>dBW</w:t>
            </w:r>
            <w:proofErr w:type="spellEnd"/>
            <w:r w:rsidRPr="003C2B67">
              <w:rPr>
                <w:snapToGrid w:val="0"/>
              </w:rPr>
              <w:t>)</w:t>
            </w:r>
          </w:p>
        </w:tc>
        <w:tc>
          <w:tcPr>
            <w:tcW w:w="2538" w:type="pct"/>
            <w:tcBorders>
              <w:top w:val="single" w:sz="4" w:space="0" w:color="auto"/>
              <w:left w:val="single" w:sz="4" w:space="0" w:color="auto"/>
              <w:bottom w:val="single" w:sz="4" w:space="0" w:color="auto"/>
              <w:right w:val="single" w:sz="4" w:space="0" w:color="auto"/>
            </w:tcBorders>
            <w:hideMark/>
          </w:tcPr>
          <w:p w14:paraId="40EA3882" w14:textId="77777777" w:rsidR="0022028D" w:rsidRPr="003C2B67" w:rsidRDefault="0022028D" w:rsidP="00994B8B">
            <w:pPr>
              <w:pStyle w:val="Tabletext"/>
              <w:jc w:val="center"/>
              <w:rPr>
                <w:snapToGrid w:val="0"/>
              </w:rPr>
            </w:pPr>
            <w:r w:rsidRPr="003C2B67">
              <w:rPr>
                <w:snapToGrid w:val="0"/>
              </w:rPr>
              <w:t>3 to 45</w:t>
            </w:r>
          </w:p>
        </w:tc>
      </w:tr>
      <w:tr w:rsidR="0022028D" w:rsidRPr="003C2B67" w14:paraId="499684E5" w14:textId="77777777" w:rsidTr="009C1318">
        <w:trPr>
          <w:jc w:val="center"/>
        </w:trPr>
        <w:tc>
          <w:tcPr>
            <w:tcW w:w="2462" w:type="pct"/>
            <w:tcBorders>
              <w:top w:val="single" w:sz="4" w:space="0" w:color="auto"/>
              <w:left w:val="single" w:sz="4" w:space="0" w:color="auto"/>
              <w:bottom w:val="single" w:sz="4" w:space="0" w:color="auto"/>
              <w:right w:val="single" w:sz="4" w:space="0" w:color="auto"/>
            </w:tcBorders>
            <w:hideMark/>
          </w:tcPr>
          <w:p w14:paraId="6E8D4CA1" w14:textId="77777777" w:rsidR="0022028D" w:rsidRPr="003C2B67" w:rsidRDefault="0022028D" w:rsidP="00994B8B">
            <w:pPr>
              <w:pStyle w:val="Tabletext"/>
              <w:rPr>
                <w:snapToGrid w:val="0"/>
              </w:rPr>
            </w:pPr>
            <w:r w:rsidRPr="003C2B67">
              <w:rPr>
                <w:snapToGrid w:val="0"/>
              </w:rPr>
              <w:t>Antenna polarization</w:t>
            </w:r>
          </w:p>
        </w:tc>
        <w:tc>
          <w:tcPr>
            <w:tcW w:w="2538" w:type="pct"/>
            <w:tcBorders>
              <w:top w:val="single" w:sz="4" w:space="0" w:color="auto"/>
              <w:left w:val="single" w:sz="4" w:space="0" w:color="auto"/>
              <w:bottom w:val="single" w:sz="4" w:space="0" w:color="auto"/>
              <w:right w:val="single" w:sz="4" w:space="0" w:color="auto"/>
            </w:tcBorders>
            <w:hideMark/>
          </w:tcPr>
          <w:p w14:paraId="3DC1A9A9" w14:textId="77777777" w:rsidR="0022028D" w:rsidRPr="003C2B67" w:rsidRDefault="0022028D" w:rsidP="00994B8B">
            <w:pPr>
              <w:pStyle w:val="Tabletext"/>
              <w:jc w:val="center"/>
              <w:rPr>
                <w:snapToGrid w:val="0"/>
              </w:rPr>
            </w:pPr>
            <w:r w:rsidRPr="003C2B67">
              <w:rPr>
                <w:snapToGrid w:val="0"/>
              </w:rPr>
              <w:t>Horizontal, vertical, RHCP, LHCP</w:t>
            </w:r>
          </w:p>
        </w:tc>
      </w:tr>
      <w:tr w:rsidR="0022028D" w:rsidRPr="003C2B67" w14:paraId="32C21601" w14:textId="77777777" w:rsidTr="009C1318">
        <w:trPr>
          <w:jc w:val="center"/>
        </w:trPr>
        <w:tc>
          <w:tcPr>
            <w:tcW w:w="5000" w:type="pct"/>
            <w:gridSpan w:val="2"/>
            <w:tcBorders>
              <w:top w:val="single" w:sz="4" w:space="0" w:color="auto"/>
              <w:left w:val="nil"/>
              <w:bottom w:val="nil"/>
              <w:right w:val="nil"/>
            </w:tcBorders>
            <w:hideMark/>
          </w:tcPr>
          <w:p w14:paraId="2E75307D" w14:textId="77777777" w:rsidR="0022028D" w:rsidRPr="003C2B67" w:rsidRDefault="0022028D" w:rsidP="009C1318">
            <w:pPr>
              <w:pStyle w:val="Tabletext"/>
              <w:ind w:left="284" w:hanging="284"/>
              <w:rPr>
                <w:sz w:val="20"/>
                <w:szCs w:val="22"/>
              </w:rPr>
            </w:pPr>
            <w:r w:rsidRPr="003C2B67">
              <w:rPr>
                <w:sz w:val="20"/>
                <w:szCs w:val="22"/>
                <w:vertAlign w:val="superscript"/>
              </w:rPr>
              <w:t>(1)</w:t>
            </w:r>
            <w:r w:rsidRPr="003C2B67">
              <w:rPr>
                <w:sz w:val="20"/>
                <w:szCs w:val="22"/>
              </w:rPr>
              <w:tab/>
              <w:t xml:space="preserve">Amateur bands within the frequency ranges shown conform to RR Article </w:t>
            </w:r>
            <w:r w:rsidRPr="003C2B67">
              <w:rPr>
                <w:b/>
                <w:bCs/>
                <w:sz w:val="20"/>
                <w:szCs w:val="22"/>
              </w:rPr>
              <w:t>5</w:t>
            </w:r>
            <w:r w:rsidRPr="003C2B67">
              <w:rPr>
                <w:sz w:val="20"/>
                <w:szCs w:val="22"/>
              </w:rPr>
              <w:t>.</w:t>
            </w:r>
          </w:p>
          <w:p w14:paraId="60D20972" w14:textId="7341DFAD" w:rsidR="0022028D" w:rsidRPr="003C2B67" w:rsidRDefault="0022028D" w:rsidP="009C1318">
            <w:pPr>
              <w:pStyle w:val="Tabletext"/>
              <w:ind w:left="284" w:hanging="284"/>
              <w:rPr>
                <w:sz w:val="20"/>
                <w:szCs w:val="22"/>
              </w:rPr>
            </w:pPr>
            <w:r w:rsidRPr="003C2B67">
              <w:rPr>
                <w:sz w:val="20"/>
                <w:szCs w:val="22"/>
                <w:vertAlign w:val="superscript"/>
              </w:rPr>
              <w:t>(2)</w:t>
            </w:r>
            <w:r w:rsidRPr="003C2B67">
              <w:rPr>
                <w:sz w:val="20"/>
                <w:szCs w:val="22"/>
              </w:rPr>
              <w:tab/>
              <w:t xml:space="preserve">Any mode with a necessary bandwidth greater than 44 kHz may require higher </w:t>
            </w:r>
            <w:proofErr w:type="spellStart"/>
            <w:r w:rsidRPr="003C2B67">
              <w:rPr>
                <w:sz w:val="20"/>
                <w:szCs w:val="22"/>
              </w:rPr>
              <w:t>e.i.r.p</w:t>
            </w:r>
            <w:proofErr w:type="spellEnd"/>
            <w:r w:rsidRPr="003C2B67">
              <w:rPr>
                <w:sz w:val="20"/>
                <w:szCs w:val="22"/>
              </w:rPr>
              <w:t xml:space="preserve">. values than shown in the </w:t>
            </w:r>
            <w:r w:rsidR="003C2B67" w:rsidRPr="003C2B67">
              <w:rPr>
                <w:sz w:val="20"/>
                <w:szCs w:val="22"/>
              </w:rPr>
              <w:t xml:space="preserve">Table </w:t>
            </w:r>
            <w:r w:rsidRPr="003C2B67">
              <w:rPr>
                <w:sz w:val="20"/>
                <w:szCs w:val="22"/>
              </w:rPr>
              <w:t>to achieve a satisfactory link budget.</w:t>
            </w:r>
          </w:p>
          <w:p w14:paraId="74C132AD" w14:textId="77777777" w:rsidR="0022028D" w:rsidRPr="003C2B67" w:rsidRDefault="0022028D" w:rsidP="009C1318">
            <w:pPr>
              <w:pStyle w:val="Tabletext"/>
              <w:ind w:left="284" w:hanging="284"/>
              <w:rPr>
                <w:sz w:val="20"/>
                <w:szCs w:val="22"/>
                <w:lang w:eastAsia="ja-JP"/>
              </w:rPr>
            </w:pPr>
            <w:r w:rsidRPr="003C2B67">
              <w:rPr>
                <w:sz w:val="20"/>
                <w:szCs w:val="22"/>
                <w:vertAlign w:val="superscript"/>
              </w:rPr>
              <w:t>(</w:t>
            </w:r>
            <w:r w:rsidRPr="003C2B67">
              <w:rPr>
                <w:sz w:val="20"/>
                <w:szCs w:val="22"/>
                <w:vertAlign w:val="superscript"/>
                <w:lang w:eastAsia="ja-JP"/>
              </w:rPr>
              <w:t>3</w:t>
            </w:r>
            <w:r w:rsidRPr="003C2B67">
              <w:rPr>
                <w:sz w:val="20"/>
                <w:szCs w:val="22"/>
                <w:vertAlign w:val="superscript"/>
              </w:rPr>
              <w:t>)</w:t>
            </w:r>
            <w:r w:rsidRPr="003C2B67">
              <w:rPr>
                <w:sz w:val="20"/>
                <w:szCs w:val="22"/>
              </w:rPr>
              <w:tab/>
              <w:t>Maximum powers are determined by each administration.</w:t>
            </w:r>
          </w:p>
        </w:tc>
      </w:tr>
    </w:tbl>
    <w:p w14:paraId="4AA2DE97" w14:textId="77777777" w:rsidR="009C1318" w:rsidRPr="003C2B67" w:rsidRDefault="009C1318" w:rsidP="009C1318">
      <w:pPr>
        <w:pStyle w:val="Tablefin"/>
      </w:pPr>
      <w:bookmarkStart w:id="42" w:name="_Toc51847671"/>
      <w:bookmarkStart w:id="43" w:name="_Toc54350031"/>
      <w:bookmarkStart w:id="44" w:name="_Toc83815651"/>
      <w:bookmarkStart w:id="45" w:name="_Toc65134910"/>
      <w:bookmarkStart w:id="46" w:name="_Toc85661572"/>
      <w:bookmarkStart w:id="47" w:name="_Toc89080124"/>
      <w:bookmarkStart w:id="48" w:name="_Toc146277898"/>
    </w:p>
    <w:p w14:paraId="5AD2E147" w14:textId="06E044DB" w:rsidR="0022028D" w:rsidRPr="003C2B67" w:rsidRDefault="0022028D" w:rsidP="0022028D">
      <w:pPr>
        <w:pStyle w:val="Heading2"/>
      </w:pPr>
      <w:r w:rsidRPr="003C2B67">
        <w:t>5.9</w:t>
      </w:r>
      <w:r w:rsidRPr="003C2B67">
        <w:tab/>
        <w:t>Band plan(s)</w:t>
      </w:r>
      <w:bookmarkEnd w:id="42"/>
      <w:bookmarkEnd w:id="43"/>
      <w:bookmarkEnd w:id="44"/>
      <w:bookmarkEnd w:id="45"/>
      <w:bookmarkEnd w:id="46"/>
      <w:bookmarkEnd w:id="47"/>
      <w:bookmarkEnd w:id="48"/>
    </w:p>
    <w:p w14:paraId="6719547B" w14:textId="05106419" w:rsidR="0022028D" w:rsidRPr="003C2B67" w:rsidRDefault="0022028D" w:rsidP="0022028D">
      <w:r w:rsidRPr="003C2B67">
        <w:t xml:space="preserve">Amateur and amateur-satellite services band planning is achieved on a regional basis in order to take into account the regional differences with the frequency allocations. The current IARU recommended band plans for the frequency range 1 240-1 300 MHz across the three regions are summarized in the </w:t>
      </w:r>
      <w:r w:rsidR="003C2B67" w:rsidRPr="003C2B67">
        <w:t xml:space="preserve">Table </w:t>
      </w:r>
      <w:r w:rsidRPr="003C2B67">
        <w:t>below</w:t>
      </w:r>
      <w:r w:rsidR="003C2B67">
        <w:t>.</w:t>
      </w:r>
    </w:p>
    <w:p w14:paraId="51CADDE8" w14:textId="77777777" w:rsidR="0022028D" w:rsidRPr="003C2B67" w:rsidRDefault="0022028D" w:rsidP="0022028D">
      <w:r w:rsidRPr="003C2B67">
        <w:t xml:space="preserve">The published band plans for each of the three regions may differ and may not be fully harmonised at the detailed level for every amateur service application. However, it is necessary to harmonise parts of the band for specific applications where these could involve inter-regional communications. This applies particularly to parts of the band recommended for </w:t>
      </w:r>
      <w:r w:rsidRPr="003C2B67">
        <w:rPr>
          <w:szCs w:val="24"/>
        </w:rPr>
        <w:t>narrowband weak signal applications</w:t>
      </w:r>
      <w:r w:rsidRPr="003C2B67">
        <w:t xml:space="preserve">. </w:t>
      </w:r>
    </w:p>
    <w:p w14:paraId="6EAFE458" w14:textId="77777777" w:rsidR="0022028D" w:rsidRPr="003C2B67" w:rsidRDefault="0022028D" w:rsidP="0022028D">
      <w:pPr>
        <w:rPr>
          <w:shd w:val="clear" w:color="auto" w:fill="FFFFFF"/>
        </w:rPr>
      </w:pPr>
      <w:r w:rsidRPr="003C2B67">
        <w:rPr>
          <w:shd w:val="clear" w:color="auto" w:fill="FFFFFF"/>
        </w:rPr>
        <w:t>The three recommended band plans across each of the IARU regions can be summarized according to Table 13.</w:t>
      </w:r>
    </w:p>
    <w:p w14:paraId="6CD806B7" w14:textId="77777777" w:rsidR="0022028D" w:rsidRPr="003C2B67" w:rsidRDefault="0022028D" w:rsidP="004528AD">
      <w:pPr>
        <w:pStyle w:val="TableNo"/>
        <w:keepLines/>
        <w:rPr>
          <w:lang w:eastAsia="ja-JP"/>
        </w:rPr>
      </w:pPr>
      <w:r w:rsidRPr="003C2B67">
        <w:t>TABLE 13</w:t>
      </w:r>
    </w:p>
    <w:p w14:paraId="36869956" w14:textId="77777777" w:rsidR="0022028D" w:rsidRPr="003C2B67" w:rsidRDefault="0022028D" w:rsidP="004528AD">
      <w:pPr>
        <w:pStyle w:val="Tabletitle"/>
        <w:keepLines/>
      </w:pPr>
      <w:r w:rsidRPr="003C2B67">
        <w:t>Global summary of amateur service and amateur-satellite-service IARU band plans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3214"/>
        <w:gridCol w:w="4471"/>
      </w:tblGrid>
      <w:tr w:rsidR="0022028D" w:rsidRPr="003C2B67" w14:paraId="6DD22C21" w14:textId="77777777" w:rsidTr="009C1318">
        <w:trPr>
          <w:tblHead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4B53FA6" w14:textId="77777777" w:rsidR="0022028D" w:rsidRPr="003C2B67" w:rsidRDefault="0022028D" w:rsidP="004528AD">
            <w:pPr>
              <w:pStyle w:val="Tablehead"/>
              <w:keepLines/>
            </w:pPr>
            <w:r w:rsidRPr="003C2B67">
              <w:t>Frequency range (MHz)</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57A11E" w14:textId="77777777" w:rsidR="0022028D" w:rsidRPr="003C2B67" w:rsidRDefault="0022028D" w:rsidP="004528AD">
            <w:pPr>
              <w:pStyle w:val="Tablehead"/>
              <w:keepLines/>
            </w:pPr>
            <w:r w:rsidRPr="003C2B67">
              <w:t>Applications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4CCBF42" w14:textId="77777777" w:rsidR="0022028D" w:rsidRPr="003C2B67" w:rsidRDefault="0022028D" w:rsidP="004528AD">
            <w:pPr>
              <w:pStyle w:val="Tablehead"/>
              <w:keepLines/>
            </w:pPr>
            <w:r w:rsidRPr="003C2B67">
              <w:t>Comments</w:t>
            </w:r>
          </w:p>
        </w:tc>
      </w:tr>
      <w:tr w:rsidR="0022028D" w:rsidRPr="003C2B67" w14:paraId="1A9C203B" w14:textId="77777777" w:rsidTr="009C1318">
        <w:tc>
          <w:tcPr>
            <w:tcW w:w="1980" w:type="dxa"/>
            <w:tcBorders>
              <w:top w:val="single" w:sz="4" w:space="0" w:color="auto"/>
              <w:left w:val="single" w:sz="4" w:space="0" w:color="auto"/>
              <w:bottom w:val="single" w:sz="4" w:space="0" w:color="auto"/>
              <w:right w:val="single" w:sz="4" w:space="0" w:color="auto"/>
            </w:tcBorders>
            <w:shd w:val="clear" w:color="auto" w:fill="auto"/>
          </w:tcPr>
          <w:p w14:paraId="32F3D038" w14:textId="77777777" w:rsidR="0022028D" w:rsidRPr="003C2B67" w:rsidRDefault="0022028D" w:rsidP="004528AD">
            <w:pPr>
              <w:pStyle w:val="Tabletext"/>
              <w:keepNext/>
              <w:keepLines/>
              <w:jc w:val="center"/>
            </w:pPr>
            <w:r w:rsidRPr="003C2B67">
              <w:t>1 240-1 260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87D347" w14:textId="4F9856BF" w:rsidR="0022028D" w:rsidRPr="003C2B67" w:rsidRDefault="0022028D" w:rsidP="004528AD">
            <w:pPr>
              <w:pStyle w:val="Tabletext"/>
              <w:keepNext/>
              <w:keepLines/>
            </w:pPr>
            <w:r w:rsidRPr="003C2B67">
              <w:t>Low bandwidth telegraphy, voice and data modes up to around 20</w:t>
            </w:r>
            <w:r w:rsidR="009C1318" w:rsidRPr="003C2B67">
              <w:t> </w:t>
            </w:r>
            <w:r w:rsidRPr="003C2B67">
              <w:t>kHz.</w:t>
            </w:r>
          </w:p>
          <w:p w14:paraId="4BC129F4" w14:textId="77777777" w:rsidR="0022028D" w:rsidRPr="003C2B67" w:rsidRDefault="0022028D" w:rsidP="004528AD">
            <w:pPr>
              <w:pStyle w:val="Tabletext"/>
              <w:keepNext/>
              <w:keepLines/>
            </w:pPr>
            <w:r w:rsidRPr="003C2B67">
              <w:lastRenderedPageBreak/>
              <w:t xml:space="preserve">Amateur TV (ATV using Analogue or Digital technologies).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C734357" w14:textId="77777777" w:rsidR="0022028D" w:rsidRPr="003C2B67" w:rsidRDefault="0022028D" w:rsidP="004528AD">
            <w:pPr>
              <w:pStyle w:val="Tabletext"/>
              <w:keepNext/>
              <w:keepLines/>
            </w:pPr>
            <w:r w:rsidRPr="003C2B67">
              <w:lastRenderedPageBreak/>
              <w:t>Organised into channelized groups for voice and data applications in some regions.</w:t>
            </w:r>
          </w:p>
          <w:p w14:paraId="7CEB484E" w14:textId="77777777" w:rsidR="0022028D" w:rsidRPr="003C2B67" w:rsidRDefault="0022028D" w:rsidP="004528AD">
            <w:pPr>
              <w:pStyle w:val="Tabletext"/>
              <w:keepNext/>
              <w:keepLines/>
            </w:pPr>
            <w:r w:rsidRPr="003C2B67">
              <w:lastRenderedPageBreak/>
              <w:t>One 16.75 MHz block is identified for ATV in this range in Region 1.</w:t>
            </w:r>
          </w:p>
          <w:p w14:paraId="6941C129" w14:textId="77777777" w:rsidR="0022028D" w:rsidRPr="003C2B67" w:rsidRDefault="0022028D" w:rsidP="004528AD">
            <w:pPr>
              <w:pStyle w:val="Tabletext"/>
              <w:keepNext/>
              <w:keepLines/>
            </w:pPr>
            <w:r w:rsidRPr="003C2B67">
              <w:t>Two 6 MHz blocks are identified for ATV in Region 2.</w:t>
            </w:r>
          </w:p>
        </w:tc>
      </w:tr>
      <w:tr w:rsidR="0022028D" w:rsidRPr="003C2B67" w14:paraId="2C24F132" w14:textId="77777777" w:rsidTr="009C1318">
        <w:tc>
          <w:tcPr>
            <w:tcW w:w="1980" w:type="dxa"/>
            <w:tcBorders>
              <w:top w:val="single" w:sz="4" w:space="0" w:color="auto"/>
              <w:left w:val="single" w:sz="4" w:space="0" w:color="auto"/>
              <w:bottom w:val="single" w:sz="4" w:space="0" w:color="auto"/>
              <w:right w:val="single" w:sz="4" w:space="0" w:color="auto"/>
            </w:tcBorders>
            <w:shd w:val="clear" w:color="auto" w:fill="auto"/>
          </w:tcPr>
          <w:p w14:paraId="728D4535" w14:textId="77777777" w:rsidR="0022028D" w:rsidRPr="003C2B67" w:rsidRDefault="0022028D" w:rsidP="00994B8B">
            <w:pPr>
              <w:pStyle w:val="Tabletext"/>
              <w:jc w:val="center"/>
            </w:pPr>
            <w:r w:rsidRPr="003C2B67">
              <w:lastRenderedPageBreak/>
              <w:t>1 260-1 270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A4F0ED" w14:textId="77777777" w:rsidR="0022028D" w:rsidRPr="003C2B67" w:rsidRDefault="0022028D" w:rsidP="00994B8B">
            <w:pPr>
              <w:pStyle w:val="Tabletext"/>
            </w:pPr>
            <w:r w:rsidRPr="003C2B67">
              <w:t>Satellite uplink band.</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2BB7283" w14:textId="77777777" w:rsidR="0022028D" w:rsidRPr="003C2B67" w:rsidRDefault="0022028D" w:rsidP="00994B8B">
            <w:pPr>
              <w:pStyle w:val="Tabletext"/>
            </w:pPr>
            <w:r w:rsidRPr="003C2B67">
              <w:t>In Region 2 simplex ATV is also identified for experimental use in this range.</w:t>
            </w:r>
          </w:p>
        </w:tc>
      </w:tr>
      <w:tr w:rsidR="0022028D" w:rsidRPr="003C2B67" w14:paraId="3960FE5B" w14:textId="77777777" w:rsidTr="009C1318">
        <w:tc>
          <w:tcPr>
            <w:tcW w:w="1980" w:type="dxa"/>
            <w:tcBorders>
              <w:top w:val="single" w:sz="4" w:space="0" w:color="auto"/>
              <w:left w:val="single" w:sz="4" w:space="0" w:color="auto"/>
              <w:bottom w:val="single" w:sz="4" w:space="0" w:color="auto"/>
              <w:right w:val="single" w:sz="4" w:space="0" w:color="auto"/>
            </w:tcBorders>
            <w:shd w:val="clear" w:color="auto" w:fill="auto"/>
          </w:tcPr>
          <w:p w14:paraId="2045CA55" w14:textId="77777777" w:rsidR="0022028D" w:rsidRPr="003C2B67" w:rsidRDefault="0022028D" w:rsidP="00994B8B">
            <w:pPr>
              <w:pStyle w:val="Tabletext"/>
              <w:jc w:val="center"/>
            </w:pPr>
            <w:r w:rsidRPr="003C2B67">
              <w:t>1 270-1 296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6FD714" w14:textId="4F7E1DB5" w:rsidR="0022028D" w:rsidRPr="003C2B67" w:rsidRDefault="0022028D" w:rsidP="00994B8B">
            <w:pPr>
              <w:pStyle w:val="Tabletext"/>
            </w:pPr>
            <w:r w:rsidRPr="003C2B67">
              <w:t>Low bandwidth telegraphy, voice and data modes up to around 20</w:t>
            </w:r>
            <w:r w:rsidR="009C1318" w:rsidRPr="003C2B67">
              <w:t> </w:t>
            </w:r>
            <w:r w:rsidRPr="003C2B67">
              <w:t>kHz.</w:t>
            </w:r>
          </w:p>
          <w:p w14:paraId="4D9AD695" w14:textId="77777777" w:rsidR="0022028D" w:rsidRPr="003C2B67" w:rsidRDefault="0022028D" w:rsidP="00994B8B">
            <w:pPr>
              <w:pStyle w:val="Tabletext"/>
            </w:pPr>
            <w:r w:rsidRPr="003C2B67">
              <w:t xml:space="preserve">Amateur TV (ATV using Analogue or Digital technologies).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826F46F" w14:textId="77777777" w:rsidR="0022028D" w:rsidRPr="003C2B67" w:rsidRDefault="0022028D" w:rsidP="00994B8B">
            <w:pPr>
              <w:pStyle w:val="Tabletext"/>
            </w:pPr>
            <w:r w:rsidRPr="003C2B67">
              <w:t>Organised into channelized groups for voice and data applications in some regions.</w:t>
            </w:r>
          </w:p>
          <w:p w14:paraId="197C2C28" w14:textId="77777777" w:rsidR="0022028D" w:rsidRPr="003C2B67" w:rsidRDefault="0022028D" w:rsidP="00994B8B">
            <w:pPr>
              <w:pStyle w:val="Tabletext"/>
            </w:pPr>
            <w:r w:rsidRPr="003C2B67">
              <w:t>One 18.994 MHz block is identified for ATV in this range in Region 1.</w:t>
            </w:r>
          </w:p>
          <w:p w14:paraId="4BB6A83D" w14:textId="77777777" w:rsidR="0022028D" w:rsidRPr="003C2B67" w:rsidRDefault="0022028D" w:rsidP="00994B8B">
            <w:pPr>
              <w:pStyle w:val="Tabletext"/>
            </w:pPr>
            <w:r w:rsidRPr="003C2B67">
              <w:t>Two 6 MHz blocks are identified for ATV in Region 2.</w:t>
            </w:r>
          </w:p>
        </w:tc>
      </w:tr>
      <w:tr w:rsidR="0022028D" w:rsidRPr="003C2B67" w14:paraId="1DDE6510" w14:textId="77777777" w:rsidTr="009C1318">
        <w:tc>
          <w:tcPr>
            <w:tcW w:w="1980" w:type="dxa"/>
            <w:tcBorders>
              <w:top w:val="single" w:sz="4" w:space="0" w:color="auto"/>
              <w:left w:val="single" w:sz="4" w:space="0" w:color="auto"/>
              <w:bottom w:val="single" w:sz="4" w:space="0" w:color="auto"/>
              <w:right w:val="single" w:sz="4" w:space="0" w:color="auto"/>
            </w:tcBorders>
            <w:shd w:val="clear" w:color="auto" w:fill="auto"/>
          </w:tcPr>
          <w:p w14:paraId="590ACCDD" w14:textId="77777777" w:rsidR="0022028D" w:rsidRPr="003C2B67" w:rsidRDefault="0022028D" w:rsidP="00994B8B">
            <w:pPr>
              <w:pStyle w:val="Tabletext"/>
              <w:jc w:val="center"/>
            </w:pPr>
            <w:r w:rsidRPr="003C2B67">
              <w:t>1 296-1 297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621208" w14:textId="77777777" w:rsidR="0022028D" w:rsidRPr="003C2B67" w:rsidRDefault="0022028D" w:rsidP="00994B8B">
            <w:pPr>
              <w:pStyle w:val="Tabletext"/>
            </w:pPr>
            <w:r w:rsidRPr="003C2B67">
              <w:t>Low bandwidth telegraphy, voice and data modes up to 3 kHz.</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35A64EB" w14:textId="77777777" w:rsidR="0022028D" w:rsidRPr="003C2B67" w:rsidRDefault="0022028D" w:rsidP="00994B8B">
            <w:pPr>
              <w:pStyle w:val="Tabletext"/>
            </w:pPr>
            <w:r w:rsidRPr="003C2B67">
              <w:t>Focused on narrowband weak signal applications in all three regions including beacons. No channelization.</w:t>
            </w:r>
          </w:p>
        </w:tc>
      </w:tr>
      <w:tr w:rsidR="0022028D" w:rsidRPr="003C2B67" w14:paraId="421EDAEB" w14:textId="77777777" w:rsidTr="009C1318">
        <w:tc>
          <w:tcPr>
            <w:tcW w:w="1980" w:type="dxa"/>
            <w:tcBorders>
              <w:top w:val="single" w:sz="4" w:space="0" w:color="auto"/>
              <w:left w:val="single" w:sz="4" w:space="0" w:color="auto"/>
              <w:bottom w:val="single" w:sz="4" w:space="0" w:color="auto"/>
              <w:right w:val="single" w:sz="4" w:space="0" w:color="auto"/>
            </w:tcBorders>
            <w:shd w:val="clear" w:color="auto" w:fill="auto"/>
          </w:tcPr>
          <w:p w14:paraId="77D7DA8B" w14:textId="77777777" w:rsidR="0022028D" w:rsidRPr="003C2B67" w:rsidRDefault="0022028D" w:rsidP="00994B8B">
            <w:pPr>
              <w:pStyle w:val="Tabletext"/>
              <w:jc w:val="center"/>
            </w:pPr>
            <w:r w:rsidRPr="003C2B67">
              <w:t>1 297-1 300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E80E7E" w14:textId="77777777" w:rsidR="0022028D" w:rsidRPr="003C2B67" w:rsidRDefault="0022028D" w:rsidP="00994B8B">
            <w:pPr>
              <w:pStyle w:val="Tabletext"/>
            </w:pPr>
            <w:r w:rsidRPr="003C2B67">
              <w:t>Low bandwidth voice and data modes up to around 20 kHz. Medium bandwidth data up to 150 kHz bandwidth.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80C554" w14:textId="77777777" w:rsidR="0022028D" w:rsidRPr="003C2B67" w:rsidRDefault="0022028D" w:rsidP="00994B8B">
            <w:pPr>
              <w:pStyle w:val="Tabletext"/>
            </w:pPr>
            <w:r w:rsidRPr="003C2B67">
              <w:t>Organized into channelized groups for voice and data applications in some regions.</w:t>
            </w:r>
          </w:p>
        </w:tc>
      </w:tr>
      <w:tr w:rsidR="0022028D" w:rsidRPr="003C2B67" w14:paraId="72F79A69" w14:textId="77777777" w:rsidTr="009C1318">
        <w:tc>
          <w:tcPr>
            <w:tcW w:w="9776" w:type="dxa"/>
            <w:gridSpan w:val="3"/>
            <w:tcBorders>
              <w:top w:val="single" w:sz="4" w:space="0" w:color="auto"/>
              <w:left w:val="nil"/>
              <w:bottom w:val="nil"/>
              <w:right w:val="nil"/>
            </w:tcBorders>
            <w:shd w:val="clear" w:color="auto" w:fill="auto"/>
          </w:tcPr>
          <w:p w14:paraId="34C13413" w14:textId="7CECCCF6" w:rsidR="0022028D" w:rsidRPr="003C2B67" w:rsidRDefault="003C2B67" w:rsidP="009C1318">
            <w:pPr>
              <w:pStyle w:val="Tabletext"/>
              <w:rPr>
                <w:sz w:val="20"/>
                <w:szCs w:val="22"/>
              </w:rPr>
            </w:pPr>
            <w:r w:rsidRPr="003C2B67">
              <w:rPr>
                <w:i/>
                <w:iCs/>
              </w:rPr>
              <w:t>Note to Table 13</w:t>
            </w:r>
            <w:r>
              <w:t xml:space="preserve">: </w:t>
            </w:r>
            <w:r w:rsidR="009C1318" w:rsidRPr="003C2B67">
              <w:t>The blocks identified for ATV use can accommodate a number of systems depending on the bandwidth occupied by the technology in use. The actual assignments are planned on a national basis.</w:t>
            </w:r>
          </w:p>
        </w:tc>
      </w:tr>
    </w:tbl>
    <w:p w14:paraId="1FEBA25C" w14:textId="1B474BA6" w:rsidR="0022028D" w:rsidRPr="003C2B67" w:rsidRDefault="0022028D" w:rsidP="009C1318">
      <w:pPr>
        <w:pStyle w:val="Tablefin"/>
      </w:pPr>
      <w:bookmarkStart w:id="49" w:name="_Toc85661573"/>
      <w:bookmarkStart w:id="50" w:name="_Toc89080125"/>
    </w:p>
    <w:p w14:paraId="2DC072C6" w14:textId="77777777" w:rsidR="0022028D" w:rsidRPr="003C2B67" w:rsidRDefault="0022028D" w:rsidP="0022028D">
      <w:pPr>
        <w:pStyle w:val="Heading2"/>
      </w:pPr>
      <w:bookmarkStart w:id="51" w:name="_Toc146277899"/>
      <w:r w:rsidRPr="003C2B67">
        <w:t>5.10</w:t>
      </w:r>
      <w:r w:rsidRPr="003C2B67">
        <w:tab/>
        <w:t>IARU-R1 band plan for the frequency band 1 240-1 300 MHz</w:t>
      </w:r>
      <w:bookmarkEnd w:id="49"/>
      <w:bookmarkEnd w:id="50"/>
      <w:bookmarkEnd w:id="51"/>
    </w:p>
    <w:p w14:paraId="4AFFD71E" w14:textId="77777777" w:rsidR="0022028D" w:rsidRPr="003C2B67" w:rsidRDefault="0022028D" w:rsidP="0022028D">
      <w:pPr>
        <w:keepNext/>
        <w:keepLines/>
        <w:rPr>
          <w:lang w:eastAsia="nl-NL"/>
        </w:rPr>
      </w:pPr>
      <w:r w:rsidRPr="003C2B67">
        <w:rPr>
          <w:lang w:eastAsia="nl-NL"/>
        </w:rPr>
        <w:t>Table 14 provides the IARU Region 1 recommended usage of the allocations by operators in the amateur and amateur-satellite services. National versions of this band plan may slightly differ due to national frequency allocations.</w:t>
      </w:r>
    </w:p>
    <w:p w14:paraId="53EC74C9" w14:textId="77777777" w:rsidR="0022028D" w:rsidRPr="003C2B67" w:rsidRDefault="0022028D" w:rsidP="004528AD">
      <w:pPr>
        <w:pStyle w:val="TableNo"/>
        <w:keepLines/>
        <w:rPr>
          <w:lang w:eastAsia="nl-NL"/>
        </w:rPr>
      </w:pPr>
      <w:r w:rsidRPr="003C2B67">
        <w:rPr>
          <w:lang w:eastAsia="nl-NL"/>
        </w:rPr>
        <w:t xml:space="preserve">Table 14 </w:t>
      </w:r>
    </w:p>
    <w:p w14:paraId="31492986" w14:textId="77777777" w:rsidR="0022028D" w:rsidRPr="003C2B67" w:rsidRDefault="0022028D" w:rsidP="004528AD">
      <w:pPr>
        <w:pStyle w:val="Tabletitle"/>
        <w:keepLines/>
      </w:pPr>
      <w:r w:rsidRPr="003C2B67">
        <w:t xml:space="preserve">IARU Region 1 UHF Band plan for 1 240-1 300 MHz </w:t>
      </w:r>
    </w:p>
    <w:tbl>
      <w:tblPr>
        <w:tblStyle w:val="TableGrid"/>
        <w:tblW w:w="9639" w:type="dxa"/>
        <w:jc w:val="center"/>
        <w:tblLook w:val="04A0" w:firstRow="1" w:lastRow="0" w:firstColumn="1" w:lastColumn="0" w:noHBand="0" w:noVBand="1"/>
      </w:tblPr>
      <w:tblGrid>
        <w:gridCol w:w="1220"/>
        <w:gridCol w:w="1255"/>
        <w:gridCol w:w="2162"/>
        <w:gridCol w:w="5002"/>
      </w:tblGrid>
      <w:tr w:rsidR="0022028D" w:rsidRPr="003C2B67" w14:paraId="744767DD" w14:textId="77777777" w:rsidTr="004528AD">
        <w:trPr>
          <w:cantSplit/>
          <w:tblHeader/>
          <w:jc w:val="center"/>
        </w:trPr>
        <w:tc>
          <w:tcPr>
            <w:tcW w:w="1220" w:type="dxa"/>
            <w:vAlign w:val="center"/>
          </w:tcPr>
          <w:p w14:paraId="5ECABFBC" w14:textId="77777777" w:rsidR="0022028D" w:rsidRPr="003C2B67" w:rsidRDefault="0022028D" w:rsidP="004528AD">
            <w:pPr>
              <w:pStyle w:val="Tablehead"/>
              <w:keepLines/>
              <w:rPr>
                <w:rFonts w:ascii="Times New Roman" w:hAnsi="Times New Roman" w:cs="Times New Roman"/>
              </w:rPr>
            </w:pPr>
            <w:r w:rsidRPr="003C2B67">
              <w:rPr>
                <w:rFonts w:ascii="Times New Roman" w:hAnsi="Times New Roman" w:cs="Times New Roman"/>
              </w:rPr>
              <w:t>Frequency</w:t>
            </w:r>
            <w:r w:rsidRPr="003C2B67">
              <w:rPr>
                <w:rFonts w:ascii="Times New Roman" w:hAnsi="Times New Roman" w:cs="Times New Roman"/>
              </w:rPr>
              <w:br/>
              <w:t>(MHz)</w:t>
            </w:r>
          </w:p>
        </w:tc>
        <w:tc>
          <w:tcPr>
            <w:tcW w:w="1255" w:type="dxa"/>
            <w:vAlign w:val="center"/>
          </w:tcPr>
          <w:p w14:paraId="232A8922" w14:textId="77777777" w:rsidR="0022028D" w:rsidRPr="003C2B67" w:rsidRDefault="0022028D" w:rsidP="004528AD">
            <w:pPr>
              <w:pStyle w:val="Tablehead"/>
              <w:keepLines/>
              <w:rPr>
                <w:rFonts w:ascii="Times New Roman" w:hAnsi="Times New Roman" w:cs="Times New Roman"/>
              </w:rPr>
            </w:pPr>
            <w:r w:rsidRPr="003C2B67">
              <w:rPr>
                <w:rFonts w:ascii="Times New Roman" w:hAnsi="Times New Roman" w:cs="Times New Roman"/>
              </w:rPr>
              <w:t>Maximum bandwidth</w:t>
            </w:r>
          </w:p>
        </w:tc>
        <w:tc>
          <w:tcPr>
            <w:tcW w:w="2162" w:type="dxa"/>
            <w:vAlign w:val="center"/>
          </w:tcPr>
          <w:p w14:paraId="31DB9E2A" w14:textId="77777777" w:rsidR="0022028D" w:rsidRPr="003C2B67" w:rsidRDefault="0022028D" w:rsidP="004528AD">
            <w:pPr>
              <w:pStyle w:val="Tablehead"/>
              <w:keepLines/>
              <w:rPr>
                <w:rFonts w:ascii="Times New Roman" w:hAnsi="Times New Roman" w:cs="Times New Roman"/>
              </w:rPr>
            </w:pPr>
            <w:r w:rsidRPr="003C2B67">
              <w:rPr>
                <w:rFonts w:ascii="Times New Roman" w:hAnsi="Times New Roman" w:cs="Times New Roman"/>
              </w:rPr>
              <w:t>Mode</w:t>
            </w:r>
          </w:p>
        </w:tc>
        <w:tc>
          <w:tcPr>
            <w:tcW w:w="5002" w:type="dxa"/>
            <w:vAlign w:val="center"/>
          </w:tcPr>
          <w:p w14:paraId="514F8FAB" w14:textId="77777777" w:rsidR="0022028D" w:rsidRPr="003C2B67" w:rsidRDefault="0022028D" w:rsidP="004528AD">
            <w:pPr>
              <w:pStyle w:val="Tablehead"/>
              <w:keepLines/>
              <w:rPr>
                <w:rFonts w:ascii="Times New Roman" w:hAnsi="Times New Roman" w:cs="Times New Roman"/>
              </w:rPr>
            </w:pPr>
            <w:r w:rsidRPr="003C2B67">
              <w:rPr>
                <w:rFonts w:ascii="Times New Roman" w:hAnsi="Times New Roman" w:cs="Times New Roman"/>
              </w:rPr>
              <w:t>Usage</w:t>
            </w:r>
          </w:p>
        </w:tc>
      </w:tr>
      <w:tr w:rsidR="0022028D" w:rsidRPr="003C2B67" w14:paraId="122D80B6" w14:textId="77777777" w:rsidTr="004528AD">
        <w:trPr>
          <w:cantSplit/>
          <w:jc w:val="center"/>
        </w:trPr>
        <w:tc>
          <w:tcPr>
            <w:tcW w:w="1220" w:type="dxa"/>
            <w:vAlign w:val="center"/>
          </w:tcPr>
          <w:p w14:paraId="726873D5"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1 240.000</w:t>
            </w:r>
          </w:p>
          <w:p w14:paraId="2C30979C"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1 240.500</w:t>
            </w:r>
          </w:p>
        </w:tc>
        <w:tc>
          <w:tcPr>
            <w:tcW w:w="1255" w:type="dxa"/>
            <w:vAlign w:val="center"/>
          </w:tcPr>
          <w:p w14:paraId="5F34FE6E" w14:textId="77777777" w:rsidR="0022028D" w:rsidRPr="003C2B67" w:rsidRDefault="0022028D" w:rsidP="004528AD">
            <w:pPr>
              <w:pStyle w:val="Tabletext"/>
              <w:keepNext/>
              <w:keepLines/>
              <w:jc w:val="center"/>
              <w:rPr>
                <w:rFonts w:ascii="Times New Roman" w:hAnsi="Times New Roman" w:cs="Times New Roman"/>
                <w:lang w:eastAsia="nl-NL"/>
              </w:rPr>
            </w:pPr>
            <w:r w:rsidRPr="003C2B67">
              <w:rPr>
                <w:rFonts w:ascii="Times New Roman" w:hAnsi="Times New Roman" w:cs="Times New Roman"/>
                <w:lang w:eastAsia="nl-NL"/>
              </w:rPr>
              <w:t>2 700 Hz</w:t>
            </w:r>
          </w:p>
        </w:tc>
        <w:tc>
          <w:tcPr>
            <w:tcW w:w="2162" w:type="dxa"/>
            <w:vAlign w:val="center"/>
          </w:tcPr>
          <w:p w14:paraId="0F11BC19"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All modes</w:t>
            </w:r>
          </w:p>
        </w:tc>
        <w:tc>
          <w:tcPr>
            <w:tcW w:w="5002" w:type="dxa"/>
            <w:vAlign w:val="center"/>
          </w:tcPr>
          <w:p w14:paraId="3669C168"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Reserved for future</w:t>
            </w:r>
          </w:p>
        </w:tc>
      </w:tr>
      <w:tr w:rsidR="0022028D" w:rsidRPr="003C2B67" w14:paraId="4BD73BB2" w14:textId="77777777" w:rsidTr="004528AD">
        <w:trPr>
          <w:cantSplit/>
          <w:jc w:val="center"/>
        </w:trPr>
        <w:tc>
          <w:tcPr>
            <w:tcW w:w="1220" w:type="dxa"/>
            <w:vAlign w:val="center"/>
          </w:tcPr>
          <w:p w14:paraId="76AF75FE"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1 240.500</w:t>
            </w:r>
          </w:p>
          <w:p w14:paraId="444E9419"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1 240.750</w:t>
            </w:r>
          </w:p>
        </w:tc>
        <w:tc>
          <w:tcPr>
            <w:tcW w:w="1255" w:type="dxa"/>
            <w:vAlign w:val="center"/>
          </w:tcPr>
          <w:p w14:paraId="1594629E" w14:textId="77777777" w:rsidR="0022028D" w:rsidRPr="003C2B67" w:rsidRDefault="0022028D" w:rsidP="004528AD">
            <w:pPr>
              <w:pStyle w:val="Tabletext"/>
              <w:keepNext/>
              <w:keepLines/>
              <w:jc w:val="center"/>
              <w:rPr>
                <w:rFonts w:ascii="Times New Roman" w:hAnsi="Times New Roman" w:cs="Times New Roman"/>
                <w:lang w:eastAsia="nl-NL"/>
              </w:rPr>
            </w:pPr>
            <w:r w:rsidRPr="003C2B67">
              <w:rPr>
                <w:rFonts w:ascii="Times New Roman" w:hAnsi="Times New Roman" w:cs="Times New Roman"/>
                <w:lang w:eastAsia="nl-NL"/>
              </w:rPr>
              <w:t>500 Hz</w:t>
            </w:r>
          </w:p>
        </w:tc>
        <w:tc>
          <w:tcPr>
            <w:tcW w:w="2162" w:type="dxa"/>
            <w:vAlign w:val="center"/>
          </w:tcPr>
          <w:p w14:paraId="78981193"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Telegraphy and MGM</w:t>
            </w:r>
          </w:p>
        </w:tc>
        <w:tc>
          <w:tcPr>
            <w:tcW w:w="5002" w:type="dxa"/>
            <w:vAlign w:val="center"/>
          </w:tcPr>
          <w:p w14:paraId="7CE72DDC"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Beacons (reserved for future)</w:t>
            </w:r>
          </w:p>
        </w:tc>
      </w:tr>
      <w:tr w:rsidR="0022028D" w:rsidRPr="003C2B67" w14:paraId="729B8B2D" w14:textId="77777777" w:rsidTr="004528AD">
        <w:trPr>
          <w:cantSplit/>
          <w:jc w:val="center"/>
        </w:trPr>
        <w:tc>
          <w:tcPr>
            <w:tcW w:w="1220" w:type="dxa"/>
            <w:vAlign w:val="center"/>
          </w:tcPr>
          <w:p w14:paraId="1B19EF5D"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1 240.750</w:t>
            </w:r>
          </w:p>
          <w:p w14:paraId="4D007224"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1 241.000</w:t>
            </w:r>
          </w:p>
        </w:tc>
        <w:tc>
          <w:tcPr>
            <w:tcW w:w="1255" w:type="dxa"/>
            <w:vAlign w:val="center"/>
          </w:tcPr>
          <w:p w14:paraId="2527A120" w14:textId="77777777" w:rsidR="0022028D" w:rsidRPr="003C2B67" w:rsidRDefault="0022028D" w:rsidP="004528AD">
            <w:pPr>
              <w:pStyle w:val="Tabletext"/>
              <w:keepNext/>
              <w:keepLines/>
              <w:jc w:val="center"/>
              <w:rPr>
                <w:rFonts w:ascii="Times New Roman" w:hAnsi="Times New Roman" w:cs="Times New Roman"/>
                <w:lang w:eastAsia="nl-NL"/>
              </w:rPr>
            </w:pPr>
            <w:r w:rsidRPr="003C2B67">
              <w:rPr>
                <w:rFonts w:ascii="Times New Roman" w:hAnsi="Times New Roman" w:cs="Times New Roman"/>
                <w:lang w:eastAsia="nl-NL"/>
              </w:rPr>
              <w:t>20 kHz</w:t>
            </w:r>
          </w:p>
        </w:tc>
        <w:tc>
          <w:tcPr>
            <w:tcW w:w="2162" w:type="dxa"/>
            <w:vAlign w:val="center"/>
          </w:tcPr>
          <w:p w14:paraId="7C5D1E7D"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FM Digital Voice</w:t>
            </w:r>
          </w:p>
        </w:tc>
        <w:tc>
          <w:tcPr>
            <w:tcW w:w="5002" w:type="dxa"/>
            <w:vAlign w:val="center"/>
          </w:tcPr>
          <w:p w14:paraId="1B67A7C2" w14:textId="77777777" w:rsidR="0022028D" w:rsidRPr="003C2B67" w:rsidRDefault="0022028D"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Reserved for the future</w:t>
            </w:r>
          </w:p>
        </w:tc>
      </w:tr>
      <w:tr w:rsidR="003C2B67" w:rsidRPr="003C2B67" w14:paraId="5760DF5F" w14:textId="77777777" w:rsidTr="004528AD">
        <w:trPr>
          <w:cantSplit/>
          <w:jc w:val="center"/>
        </w:trPr>
        <w:tc>
          <w:tcPr>
            <w:tcW w:w="1220" w:type="dxa"/>
            <w:vAlign w:val="center"/>
          </w:tcPr>
          <w:p w14:paraId="05A5B460" w14:textId="77777777" w:rsidR="003C2B67" w:rsidRPr="003C2B67" w:rsidRDefault="003C2B67"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1 241.000</w:t>
            </w:r>
          </w:p>
          <w:p w14:paraId="7ECAA8E1" w14:textId="410588BD" w:rsidR="003C2B67" w:rsidRPr="003C2B67" w:rsidRDefault="003C2B67" w:rsidP="004528AD">
            <w:pPr>
              <w:pStyle w:val="Tabletext"/>
              <w:keepNext/>
              <w:keepLines/>
              <w:rPr>
                <w:lang w:eastAsia="nl-NL"/>
              </w:rPr>
            </w:pPr>
            <w:r w:rsidRPr="003C2B67">
              <w:rPr>
                <w:rFonts w:ascii="Times New Roman" w:hAnsi="Times New Roman" w:cs="Times New Roman"/>
                <w:lang w:eastAsia="nl-NL"/>
              </w:rPr>
              <w:t>1 243.250</w:t>
            </w:r>
          </w:p>
        </w:tc>
        <w:tc>
          <w:tcPr>
            <w:tcW w:w="1255" w:type="dxa"/>
            <w:vAlign w:val="center"/>
          </w:tcPr>
          <w:p w14:paraId="3FBDAF02" w14:textId="0C5B878A" w:rsidR="003C2B67" w:rsidRPr="003C2B67" w:rsidRDefault="003C2B67" w:rsidP="004528AD">
            <w:pPr>
              <w:pStyle w:val="Tabletext"/>
              <w:keepNext/>
              <w:keepLines/>
              <w:jc w:val="center"/>
              <w:rPr>
                <w:lang w:eastAsia="nl-NL"/>
              </w:rPr>
            </w:pPr>
            <w:r w:rsidRPr="003C2B67">
              <w:rPr>
                <w:rFonts w:ascii="Times New Roman" w:hAnsi="Times New Roman" w:cs="Times New Roman"/>
                <w:lang w:eastAsia="nl-NL"/>
              </w:rPr>
              <w:t>20 kHz</w:t>
            </w:r>
          </w:p>
        </w:tc>
        <w:tc>
          <w:tcPr>
            <w:tcW w:w="2162" w:type="dxa"/>
            <w:vAlign w:val="center"/>
          </w:tcPr>
          <w:p w14:paraId="6AEFAF86" w14:textId="2E6B7A8C" w:rsidR="003C2B67" w:rsidRPr="003C2B67" w:rsidRDefault="003C2B67" w:rsidP="004528AD">
            <w:pPr>
              <w:pStyle w:val="Tabletext"/>
              <w:keepNext/>
              <w:keepLines/>
              <w:rPr>
                <w:lang w:eastAsia="nl-NL"/>
              </w:rPr>
            </w:pPr>
            <w:r w:rsidRPr="003C2B67">
              <w:rPr>
                <w:rFonts w:ascii="Times New Roman" w:hAnsi="Times New Roman" w:cs="Times New Roman"/>
                <w:lang w:eastAsia="nl-NL"/>
              </w:rPr>
              <w:t>All Mode</w:t>
            </w:r>
          </w:p>
        </w:tc>
        <w:tc>
          <w:tcPr>
            <w:tcW w:w="5002" w:type="dxa"/>
            <w:vAlign w:val="center"/>
          </w:tcPr>
          <w:p w14:paraId="6C491649" w14:textId="77777777" w:rsidR="003C2B67" w:rsidRPr="003C2B67" w:rsidRDefault="003C2B67"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1 242.025-1 242.250 repeater output (RS1-10)</w:t>
            </w:r>
          </w:p>
          <w:p w14:paraId="4AE8EF05" w14:textId="77777777" w:rsidR="003C2B67" w:rsidRPr="003C2B67" w:rsidRDefault="003C2B67" w:rsidP="004528AD">
            <w:pPr>
              <w:pStyle w:val="Tabletext"/>
              <w:keepNext/>
              <w:keepLines/>
              <w:rPr>
                <w:rFonts w:ascii="Times New Roman" w:hAnsi="Times New Roman" w:cs="Times New Roman"/>
                <w:lang w:eastAsia="nl-NL"/>
              </w:rPr>
            </w:pPr>
            <w:r w:rsidRPr="003C2B67">
              <w:rPr>
                <w:rFonts w:ascii="Times New Roman" w:hAnsi="Times New Roman" w:cs="Times New Roman"/>
                <w:lang w:eastAsia="nl-NL"/>
              </w:rPr>
              <w:t>1 242.275-1 242.700 repeater output (RS11-28)</w:t>
            </w:r>
          </w:p>
          <w:p w14:paraId="082D92AE" w14:textId="6526806F" w:rsidR="003C2B67" w:rsidRPr="003C2B67" w:rsidRDefault="003C2B67" w:rsidP="004528AD">
            <w:pPr>
              <w:pStyle w:val="Tabletext"/>
              <w:keepNext/>
              <w:keepLines/>
              <w:rPr>
                <w:lang w:eastAsia="nl-NL"/>
              </w:rPr>
            </w:pPr>
            <w:r w:rsidRPr="003C2B67">
              <w:rPr>
                <w:rFonts w:ascii="Times New Roman" w:hAnsi="Times New Roman" w:cs="Times New Roman"/>
                <w:lang w:eastAsia="nl-NL"/>
              </w:rPr>
              <w:t>1 242.725-1 243.250 Digital communications (RS29</w:t>
            </w:r>
            <w:r w:rsidRPr="003C2B67">
              <w:rPr>
                <w:rFonts w:ascii="Times New Roman" w:hAnsi="Times New Roman" w:cs="Times New Roman"/>
                <w:lang w:eastAsia="nl-NL"/>
              </w:rPr>
              <w:noBreakHyphen/>
              <w:t xml:space="preserve">50) </w:t>
            </w:r>
          </w:p>
        </w:tc>
      </w:tr>
      <w:tr w:rsidR="003C2B67" w:rsidRPr="003C2B67" w14:paraId="79C7B5CF" w14:textId="77777777" w:rsidTr="004528AD">
        <w:trPr>
          <w:cantSplit/>
          <w:jc w:val="center"/>
        </w:trPr>
        <w:tc>
          <w:tcPr>
            <w:tcW w:w="1220" w:type="dxa"/>
            <w:vAlign w:val="center"/>
          </w:tcPr>
          <w:p w14:paraId="111A1890" w14:textId="77777777" w:rsidR="003C2B67" w:rsidRPr="003C2B67" w:rsidRDefault="003C2B67" w:rsidP="003C2B67">
            <w:pPr>
              <w:pStyle w:val="Tabletext"/>
              <w:rPr>
                <w:rFonts w:ascii="Times New Roman" w:hAnsi="Times New Roman" w:cs="Times New Roman"/>
                <w:lang w:eastAsia="nl-NL"/>
              </w:rPr>
            </w:pPr>
            <w:r w:rsidRPr="003C2B67">
              <w:rPr>
                <w:rFonts w:ascii="Times New Roman" w:hAnsi="Times New Roman" w:cs="Times New Roman"/>
                <w:lang w:eastAsia="nl-NL"/>
              </w:rPr>
              <w:t>1 243.250</w:t>
            </w:r>
          </w:p>
          <w:p w14:paraId="174032D1" w14:textId="312D17EB" w:rsidR="003C2B67" w:rsidRPr="003C2B67" w:rsidRDefault="003C2B67" w:rsidP="003C2B67">
            <w:pPr>
              <w:pStyle w:val="Tabletext"/>
              <w:rPr>
                <w:lang w:eastAsia="nl-NL"/>
              </w:rPr>
            </w:pPr>
            <w:r w:rsidRPr="003C2B67">
              <w:rPr>
                <w:rFonts w:ascii="Times New Roman" w:hAnsi="Times New Roman" w:cs="Times New Roman"/>
                <w:lang w:eastAsia="nl-NL"/>
              </w:rPr>
              <w:t>1 260.000</w:t>
            </w:r>
          </w:p>
        </w:tc>
        <w:tc>
          <w:tcPr>
            <w:tcW w:w="1255" w:type="dxa"/>
            <w:vAlign w:val="center"/>
          </w:tcPr>
          <w:p w14:paraId="14EA4309" w14:textId="29FB506A" w:rsidR="003C2B67" w:rsidRPr="003C2B67" w:rsidRDefault="003C2B67" w:rsidP="003C2B67">
            <w:pPr>
              <w:pStyle w:val="Tabletext"/>
              <w:jc w:val="center"/>
              <w:rPr>
                <w:lang w:eastAsia="nl-NL"/>
              </w:rPr>
            </w:pPr>
            <w:r w:rsidRPr="003C2B67">
              <w:rPr>
                <w:rFonts w:ascii="Times New Roman" w:hAnsi="Times New Roman" w:cs="Times New Roman"/>
                <w:lang w:eastAsia="nl-NL"/>
              </w:rPr>
              <w:t>*</w:t>
            </w:r>
          </w:p>
        </w:tc>
        <w:tc>
          <w:tcPr>
            <w:tcW w:w="2162" w:type="dxa"/>
            <w:vAlign w:val="center"/>
          </w:tcPr>
          <w:p w14:paraId="7A1A7234" w14:textId="2948B545" w:rsidR="003C2B67" w:rsidRPr="003C2B67" w:rsidRDefault="003C2B67" w:rsidP="003C2B67">
            <w:pPr>
              <w:pStyle w:val="Tabletext"/>
              <w:rPr>
                <w:lang w:eastAsia="nl-NL"/>
              </w:rPr>
            </w:pPr>
            <w:r w:rsidRPr="003C2B67">
              <w:rPr>
                <w:rFonts w:ascii="Times New Roman" w:hAnsi="Times New Roman" w:cs="Times New Roman"/>
                <w:lang w:eastAsia="nl-NL"/>
              </w:rPr>
              <w:t>ATV/Digital ATV</w:t>
            </w:r>
          </w:p>
        </w:tc>
        <w:tc>
          <w:tcPr>
            <w:tcW w:w="5002" w:type="dxa"/>
            <w:vAlign w:val="center"/>
          </w:tcPr>
          <w:p w14:paraId="639C2F19" w14:textId="655EEBD6" w:rsidR="003C2B67" w:rsidRPr="003C2B67" w:rsidRDefault="003C2B67" w:rsidP="003C2B67">
            <w:pPr>
              <w:pStyle w:val="Tabletext"/>
              <w:rPr>
                <w:lang w:eastAsia="nl-NL"/>
              </w:rPr>
            </w:pPr>
            <w:r w:rsidRPr="003C2B67">
              <w:rPr>
                <w:rFonts w:ascii="Times New Roman" w:hAnsi="Times New Roman" w:cs="Times New Roman"/>
                <w:lang w:eastAsia="nl-NL"/>
              </w:rPr>
              <w:t>1 258.150-1 259.350 repeater output</w:t>
            </w:r>
          </w:p>
        </w:tc>
      </w:tr>
      <w:tr w:rsidR="0022028D" w:rsidRPr="003C2B67" w14:paraId="430752A4" w14:textId="77777777" w:rsidTr="004528AD">
        <w:trPr>
          <w:cantSplit/>
          <w:jc w:val="center"/>
        </w:trPr>
        <w:tc>
          <w:tcPr>
            <w:tcW w:w="1220" w:type="dxa"/>
            <w:vAlign w:val="center"/>
          </w:tcPr>
          <w:p w14:paraId="526B9F48"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1 260.000</w:t>
            </w:r>
          </w:p>
          <w:p w14:paraId="05CA5BFC"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1 270.000</w:t>
            </w:r>
          </w:p>
        </w:tc>
        <w:tc>
          <w:tcPr>
            <w:tcW w:w="1255" w:type="dxa"/>
            <w:vAlign w:val="center"/>
          </w:tcPr>
          <w:p w14:paraId="3F378952"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w:t>
            </w:r>
          </w:p>
        </w:tc>
        <w:tc>
          <w:tcPr>
            <w:tcW w:w="2162" w:type="dxa"/>
            <w:vAlign w:val="center"/>
          </w:tcPr>
          <w:p w14:paraId="509BE029"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Satellite service</w:t>
            </w:r>
          </w:p>
        </w:tc>
        <w:tc>
          <w:tcPr>
            <w:tcW w:w="5002" w:type="dxa"/>
            <w:vAlign w:val="center"/>
          </w:tcPr>
          <w:p w14:paraId="06F368C7" w14:textId="77777777" w:rsidR="0022028D" w:rsidRPr="003C2B67" w:rsidRDefault="0022028D" w:rsidP="00994B8B">
            <w:pPr>
              <w:pStyle w:val="Tabletext"/>
              <w:rPr>
                <w:rFonts w:ascii="Times New Roman" w:hAnsi="Times New Roman" w:cs="Times New Roman"/>
                <w:lang w:eastAsia="nl-NL"/>
              </w:rPr>
            </w:pPr>
          </w:p>
        </w:tc>
      </w:tr>
      <w:tr w:rsidR="0022028D" w:rsidRPr="003C2B67" w14:paraId="19044192" w14:textId="77777777" w:rsidTr="004528AD">
        <w:trPr>
          <w:cantSplit/>
          <w:jc w:val="center"/>
        </w:trPr>
        <w:tc>
          <w:tcPr>
            <w:tcW w:w="1220" w:type="dxa"/>
            <w:vAlign w:val="center"/>
          </w:tcPr>
          <w:p w14:paraId="0AFA27D6"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1 270.000</w:t>
            </w:r>
          </w:p>
          <w:p w14:paraId="39D6F072"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1 272.000</w:t>
            </w:r>
          </w:p>
        </w:tc>
        <w:tc>
          <w:tcPr>
            <w:tcW w:w="1255" w:type="dxa"/>
            <w:vAlign w:val="center"/>
          </w:tcPr>
          <w:p w14:paraId="05D305A2"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20 kHz</w:t>
            </w:r>
          </w:p>
        </w:tc>
        <w:tc>
          <w:tcPr>
            <w:tcW w:w="2162" w:type="dxa"/>
            <w:vAlign w:val="center"/>
          </w:tcPr>
          <w:p w14:paraId="0B8BBE85"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All mode</w:t>
            </w:r>
          </w:p>
        </w:tc>
        <w:tc>
          <w:tcPr>
            <w:tcW w:w="5002" w:type="dxa"/>
            <w:vAlign w:val="center"/>
          </w:tcPr>
          <w:p w14:paraId="0B189D4E"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1 270.025-1 270.700 repeater output (RS1-28)</w:t>
            </w:r>
          </w:p>
          <w:p w14:paraId="4A577A86" w14:textId="5FE0F8E0"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1 270.725-1 271.250 Digital communications (RS29</w:t>
            </w:r>
            <w:r w:rsidR="009C1318" w:rsidRPr="003C2B67">
              <w:rPr>
                <w:rFonts w:ascii="Times New Roman" w:hAnsi="Times New Roman" w:cs="Times New Roman"/>
                <w:lang w:eastAsia="nl-NL"/>
              </w:rPr>
              <w:noBreakHyphen/>
            </w:r>
            <w:r w:rsidRPr="003C2B67">
              <w:rPr>
                <w:rFonts w:ascii="Times New Roman" w:hAnsi="Times New Roman" w:cs="Times New Roman"/>
                <w:lang w:eastAsia="nl-NL"/>
              </w:rPr>
              <w:t>50)</w:t>
            </w:r>
          </w:p>
        </w:tc>
      </w:tr>
      <w:tr w:rsidR="0022028D" w:rsidRPr="003C2B67" w14:paraId="4DE4E765" w14:textId="77777777" w:rsidTr="004528AD">
        <w:trPr>
          <w:cantSplit/>
          <w:jc w:val="center"/>
        </w:trPr>
        <w:tc>
          <w:tcPr>
            <w:tcW w:w="1220" w:type="dxa"/>
            <w:vAlign w:val="center"/>
          </w:tcPr>
          <w:p w14:paraId="53543E2D"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1 272.000</w:t>
            </w:r>
          </w:p>
          <w:p w14:paraId="61E230C4"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1 290.994</w:t>
            </w:r>
          </w:p>
        </w:tc>
        <w:tc>
          <w:tcPr>
            <w:tcW w:w="1255" w:type="dxa"/>
            <w:vAlign w:val="center"/>
          </w:tcPr>
          <w:p w14:paraId="3D75C909"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w:t>
            </w:r>
          </w:p>
        </w:tc>
        <w:tc>
          <w:tcPr>
            <w:tcW w:w="2162" w:type="dxa"/>
            <w:vAlign w:val="center"/>
          </w:tcPr>
          <w:p w14:paraId="6AAE4572"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ATV/Digital ATV</w:t>
            </w:r>
          </w:p>
        </w:tc>
        <w:tc>
          <w:tcPr>
            <w:tcW w:w="5002" w:type="dxa"/>
            <w:vAlign w:val="center"/>
          </w:tcPr>
          <w:p w14:paraId="3AAB04D3" w14:textId="77777777" w:rsidR="0022028D" w:rsidRPr="003C2B67" w:rsidRDefault="0022028D" w:rsidP="00994B8B">
            <w:pPr>
              <w:pStyle w:val="Tabletext"/>
              <w:rPr>
                <w:rFonts w:ascii="Times New Roman" w:hAnsi="Times New Roman" w:cs="Times New Roman"/>
                <w:lang w:eastAsia="nl-NL"/>
              </w:rPr>
            </w:pPr>
          </w:p>
        </w:tc>
      </w:tr>
      <w:tr w:rsidR="0022028D" w:rsidRPr="003C2B67" w14:paraId="5B47760C" w14:textId="77777777" w:rsidTr="004528AD">
        <w:trPr>
          <w:cantSplit/>
          <w:jc w:val="center"/>
        </w:trPr>
        <w:tc>
          <w:tcPr>
            <w:tcW w:w="1220" w:type="dxa"/>
            <w:vAlign w:val="center"/>
          </w:tcPr>
          <w:p w14:paraId="618DF83D"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1 290.994</w:t>
            </w:r>
          </w:p>
          <w:p w14:paraId="1E79213E"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1 291.481</w:t>
            </w:r>
          </w:p>
        </w:tc>
        <w:tc>
          <w:tcPr>
            <w:tcW w:w="1255" w:type="dxa"/>
            <w:vAlign w:val="center"/>
          </w:tcPr>
          <w:p w14:paraId="27FCFC46"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20 kHz</w:t>
            </w:r>
          </w:p>
        </w:tc>
        <w:tc>
          <w:tcPr>
            <w:tcW w:w="2162" w:type="dxa"/>
            <w:vAlign w:val="center"/>
          </w:tcPr>
          <w:p w14:paraId="2F66DE7A"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FM digital voice repeater input</w:t>
            </w:r>
          </w:p>
        </w:tc>
        <w:tc>
          <w:tcPr>
            <w:tcW w:w="5002" w:type="dxa"/>
            <w:vAlign w:val="center"/>
          </w:tcPr>
          <w:p w14:paraId="1871A805"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RM1 (1 291.000) – RM19 (1 291.475) 25 kHz spacing</w:t>
            </w:r>
          </w:p>
        </w:tc>
      </w:tr>
      <w:tr w:rsidR="0022028D" w:rsidRPr="003C2B67" w14:paraId="544577C2" w14:textId="77777777" w:rsidTr="004528AD">
        <w:trPr>
          <w:cantSplit/>
          <w:jc w:val="center"/>
        </w:trPr>
        <w:tc>
          <w:tcPr>
            <w:tcW w:w="1220" w:type="dxa"/>
            <w:vAlign w:val="center"/>
          </w:tcPr>
          <w:p w14:paraId="5F8886F8"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1 291.494</w:t>
            </w:r>
          </w:p>
          <w:p w14:paraId="13AEC56B"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1 296.000</w:t>
            </w:r>
          </w:p>
        </w:tc>
        <w:tc>
          <w:tcPr>
            <w:tcW w:w="1255" w:type="dxa"/>
            <w:vAlign w:val="center"/>
          </w:tcPr>
          <w:p w14:paraId="32D84DDF"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w:t>
            </w:r>
          </w:p>
        </w:tc>
        <w:tc>
          <w:tcPr>
            <w:tcW w:w="2162" w:type="dxa"/>
            <w:vAlign w:val="center"/>
          </w:tcPr>
          <w:p w14:paraId="2F30401A"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All modes</w:t>
            </w:r>
          </w:p>
        </w:tc>
        <w:tc>
          <w:tcPr>
            <w:tcW w:w="5002" w:type="dxa"/>
            <w:vAlign w:val="center"/>
          </w:tcPr>
          <w:p w14:paraId="6917E1FC"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1 293.150-1 294.350 repeater input (R20-R68)</w:t>
            </w:r>
          </w:p>
        </w:tc>
      </w:tr>
      <w:tr w:rsidR="0022028D" w:rsidRPr="003C2B67" w14:paraId="2705EE63" w14:textId="77777777" w:rsidTr="004528AD">
        <w:trPr>
          <w:cantSplit/>
          <w:jc w:val="center"/>
        </w:trPr>
        <w:tc>
          <w:tcPr>
            <w:tcW w:w="1220" w:type="dxa"/>
            <w:vAlign w:val="center"/>
          </w:tcPr>
          <w:p w14:paraId="081026F2"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1 296.000</w:t>
            </w:r>
          </w:p>
          <w:p w14:paraId="6EB2C0BE"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1 296.150</w:t>
            </w:r>
          </w:p>
        </w:tc>
        <w:tc>
          <w:tcPr>
            <w:tcW w:w="1255" w:type="dxa"/>
            <w:vAlign w:val="center"/>
          </w:tcPr>
          <w:p w14:paraId="5A992704"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500 Hz</w:t>
            </w:r>
          </w:p>
        </w:tc>
        <w:tc>
          <w:tcPr>
            <w:tcW w:w="2162" w:type="dxa"/>
            <w:vAlign w:val="center"/>
          </w:tcPr>
          <w:p w14:paraId="407AB72B"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Telegraphy MGM</w:t>
            </w:r>
          </w:p>
        </w:tc>
        <w:tc>
          <w:tcPr>
            <w:tcW w:w="5002" w:type="dxa"/>
            <w:vAlign w:val="center"/>
          </w:tcPr>
          <w:p w14:paraId="3ED1C9FB"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1 296.000-1 296.025 moon bounce</w:t>
            </w:r>
          </w:p>
          <w:p w14:paraId="113E8877"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1296.128 PSK21 centre of activity</w:t>
            </w:r>
          </w:p>
        </w:tc>
      </w:tr>
      <w:tr w:rsidR="0022028D" w:rsidRPr="003C2B67" w14:paraId="3A946695" w14:textId="77777777" w:rsidTr="004528AD">
        <w:trPr>
          <w:cantSplit/>
          <w:jc w:val="center"/>
        </w:trPr>
        <w:tc>
          <w:tcPr>
            <w:tcW w:w="1220" w:type="dxa"/>
            <w:vAlign w:val="center"/>
          </w:tcPr>
          <w:p w14:paraId="29970570"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1 296.150</w:t>
            </w:r>
          </w:p>
          <w:p w14:paraId="21B85961"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1 296.800</w:t>
            </w:r>
          </w:p>
        </w:tc>
        <w:tc>
          <w:tcPr>
            <w:tcW w:w="1255" w:type="dxa"/>
            <w:vAlign w:val="center"/>
          </w:tcPr>
          <w:p w14:paraId="3849A0DA"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2 700 Hz</w:t>
            </w:r>
          </w:p>
        </w:tc>
        <w:tc>
          <w:tcPr>
            <w:tcW w:w="2162" w:type="dxa"/>
            <w:vAlign w:val="center"/>
          </w:tcPr>
          <w:p w14:paraId="7BAC9106"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Telegraphy SSB MGM</w:t>
            </w:r>
          </w:p>
        </w:tc>
        <w:tc>
          <w:tcPr>
            <w:tcW w:w="5002" w:type="dxa"/>
            <w:vAlign w:val="center"/>
          </w:tcPr>
          <w:p w14:paraId="26449E79"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1 296.200 narrowband centre of activity</w:t>
            </w:r>
          </w:p>
          <w:p w14:paraId="31805536"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1 296.400.1 296.600 linear transponder input</w:t>
            </w:r>
          </w:p>
          <w:p w14:paraId="2351B683"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1 296.500 fax</w:t>
            </w:r>
          </w:p>
          <w:p w14:paraId="10D3746B"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1 296.600 narrowband centre of activity (MGM, RTTY)</w:t>
            </w:r>
          </w:p>
          <w:p w14:paraId="1B25E286"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1 296.600-1 296.700 linear transponder input</w:t>
            </w:r>
          </w:p>
          <w:p w14:paraId="176FE442"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1 296.750-1 296.600 local beacons</w:t>
            </w:r>
          </w:p>
        </w:tc>
      </w:tr>
      <w:tr w:rsidR="0022028D" w:rsidRPr="003C2B67" w14:paraId="7E9EFC88" w14:textId="77777777" w:rsidTr="004528AD">
        <w:trPr>
          <w:cantSplit/>
          <w:jc w:val="center"/>
        </w:trPr>
        <w:tc>
          <w:tcPr>
            <w:tcW w:w="1220" w:type="dxa"/>
            <w:vAlign w:val="center"/>
          </w:tcPr>
          <w:p w14:paraId="6A303B37"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1 296.800</w:t>
            </w:r>
          </w:p>
          <w:p w14:paraId="575CAC0F"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1 296.994</w:t>
            </w:r>
          </w:p>
        </w:tc>
        <w:tc>
          <w:tcPr>
            <w:tcW w:w="1255" w:type="dxa"/>
            <w:vAlign w:val="center"/>
          </w:tcPr>
          <w:p w14:paraId="194197B0"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500 Hz</w:t>
            </w:r>
          </w:p>
        </w:tc>
        <w:tc>
          <w:tcPr>
            <w:tcW w:w="2162" w:type="dxa"/>
            <w:vAlign w:val="center"/>
          </w:tcPr>
          <w:p w14:paraId="0465056C"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Telegraphy MGM</w:t>
            </w:r>
          </w:p>
        </w:tc>
        <w:tc>
          <w:tcPr>
            <w:tcW w:w="5002" w:type="dxa"/>
            <w:vAlign w:val="center"/>
          </w:tcPr>
          <w:p w14:paraId="328DA27A"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beacons exclusive</w:t>
            </w:r>
          </w:p>
        </w:tc>
      </w:tr>
      <w:tr w:rsidR="0022028D" w:rsidRPr="003C2B67" w14:paraId="51909064" w14:textId="77777777" w:rsidTr="004528AD">
        <w:trPr>
          <w:cantSplit/>
          <w:jc w:val="center"/>
        </w:trPr>
        <w:tc>
          <w:tcPr>
            <w:tcW w:w="1220" w:type="dxa"/>
            <w:vAlign w:val="center"/>
          </w:tcPr>
          <w:p w14:paraId="344AE1EC"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1 296.994</w:t>
            </w:r>
          </w:p>
          <w:p w14:paraId="37C9DF98"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1 297.481</w:t>
            </w:r>
          </w:p>
        </w:tc>
        <w:tc>
          <w:tcPr>
            <w:tcW w:w="1255" w:type="dxa"/>
            <w:vAlign w:val="center"/>
          </w:tcPr>
          <w:p w14:paraId="5693A149"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20 kHz</w:t>
            </w:r>
          </w:p>
        </w:tc>
        <w:tc>
          <w:tcPr>
            <w:tcW w:w="2162" w:type="dxa"/>
            <w:vAlign w:val="center"/>
          </w:tcPr>
          <w:p w14:paraId="789F49E7"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FM digital voice repeater output</w:t>
            </w:r>
          </w:p>
        </w:tc>
        <w:tc>
          <w:tcPr>
            <w:tcW w:w="5002" w:type="dxa"/>
            <w:vAlign w:val="center"/>
          </w:tcPr>
          <w:p w14:paraId="11E321B3"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RM0 /1 297.000) – RM19 (1 297.475) 25 kHz spacing</w:t>
            </w:r>
          </w:p>
        </w:tc>
      </w:tr>
    </w:tbl>
    <w:p w14:paraId="69D055E5" w14:textId="7416AA42" w:rsidR="004528AD" w:rsidRPr="003C2B67" w:rsidRDefault="004528AD" w:rsidP="004528AD">
      <w:pPr>
        <w:pStyle w:val="TableNo"/>
        <w:rPr>
          <w:lang w:eastAsia="nl-NL"/>
        </w:rPr>
      </w:pPr>
      <w:r w:rsidRPr="003C2B67">
        <w:rPr>
          <w:lang w:eastAsia="nl-NL"/>
        </w:rPr>
        <w:t>Table 14 (</w:t>
      </w:r>
      <w:r>
        <w:rPr>
          <w:i/>
          <w:iCs/>
          <w:caps w:val="0"/>
          <w:lang w:eastAsia="nl-NL"/>
        </w:rPr>
        <w:t>end</w:t>
      </w:r>
      <w:r w:rsidRPr="003C2B67">
        <w:rPr>
          <w:lang w:eastAsia="nl-NL"/>
        </w:rPr>
        <w:t>)</w:t>
      </w:r>
    </w:p>
    <w:tbl>
      <w:tblPr>
        <w:tblStyle w:val="TableGrid"/>
        <w:tblW w:w="9639" w:type="dxa"/>
        <w:jc w:val="center"/>
        <w:tblLook w:val="04A0" w:firstRow="1" w:lastRow="0" w:firstColumn="1" w:lastColumn="0" w:noHBand="0" w:noVBand="1"/>
      </w:tblPr>
      <w:tblGrid>
        <w:gridCol w:w="1220"/>
        <w:gridCol w:w="1255"/>
        <w:gridCol w:w="2162"/>
        <w:gridCol w:w="5002"/>
      </w:tblGrid>
      <w:tr w:rsidR="004528AD" w:rsidRPr="003C2B67" w14:paraId="7FBE1D0D" w14:textId="77777777" w:rsidTr="004528AD">
        <w:trPr>
          <w:cantSplit/>
          <w:tblHeader/>
          <w:jc w:val="center"/>
        </w:trPr>
        <w:tc>
          <w:tcPr>
            <w:tcW w:w="1220" w:type="dxa"/>
            <w:vAlign w:val="center"/>
          </w:tcPr>
          <w:p w14:paraId="787C11B9" w14:textId="77777777" w:rsidR="004528AD" w:rsidRPr="003C2B67" w:rsidRDefault="004528AD" w:rsidP="00B770E0">
            <w:pPr>
              <w:pStyle w:val="Tablehead"/>
              <w:rPr>
                <w:rFonts w:ascii="Times New Roman" w:hAnsi="Times New Roman" w:cs="Times New Roman"/>
              </w:rPr>
            </w:pPr>
            <w:r w:rsidRPr="003C2B67">
              <w:rPr>
                <w:rFonts w:ascii="Times New Roman" w:hAnsi="Times New Roman" w:cs="Times New Roman"/>
              </w:rPr>
              <w:t>Frequency</w:t>
            </w:r>
            <w:r w:rsidRPr="003C2B67">
              <w:rPr>
                <w:rFonts w:ascii="Times New Roman" w:hAnsi="Times New Roman" w:cs="Times New Roman"/>
              </w:rPr>
              <w:br/>
              <w:t>(MHz)</w:t>
            </w:r>
          </w:p>
        </w:tc>
        <w:tc>
          <w:tcPr>
            <w:tcW w:w="1255" w:type="dxa"/>
            <w:vAlign w:val="center"/>
          </w:tcPr>
          <w:p w14:paraId="4AC0D6C0" w14:textId="77777777" w:rsidR="004528AD" w:rsidRPr="003C2B67" w:rsidRDefault="004528AD" w:rsidP="00B770E0">
            <w:pPr>
              <w:pStyle w:val="Tablehead"/>
              <w:rPr>
                <w:rFonts w:ascii="Times New Roman" w:hAnsi="Times New Roman" w:cs="Times New Roman"/>
              </w:rPr>
            </w:pPr>
            <w:r w:rsidRPr="003C2B67">
              <w:rPr>
                <w:rFonts w:ascii="Times New Roman" w:hAnsi="Times New Roman" w:cs="Times New Roman"/>
              </w:rPr>
              <w:t>Maximum bandwidth</w:t>
            </w:r>
          </w:p>
        </w:tc>
        <w:tc>
          <w:tcPr>
            <w:tcW w:w="2162" w:type="dxa"/>
            <w:vAlign w:val="center"/>
          </w:tcPr>
          <w:p w14:paraId="62FB56FE" w14:textId="77777777" w:rsidR="004528AD" w:rsidRPr="003C2B67" w:rsidRDefault="004528AD" w:rsidP="00B770E0">
            <w:pPr>
              <w:pStyle w:val="Tablehead"/>
              <w:rPr>
                <w:rFonts w:ascii="Times New Roman" w:hAnsi="Times New Roman" w:cs="Times New Roman"/>
              </w:rPr>
            </w:pPr>
            <w:r w:rsidRPr="003C2B67">
              <w:rPr>
                <w:rFonts w:ascii="Times New Roman" w:hAnsi="Times New Roman" w:cs="Times New Roman"/>
              </w:rPr>
              <w:t>Mode</w:t>
            </w:r>
          </w:p>
        </w:tc>
        <w:tc>
          <w:tcPr>
            <w:tcW w:w="5000" w:type="dxa"/>
            <w:vAlign w:val="center"/>
          </w:tcPr>
          <w:p w14:paraId="5F4546E8" w14:textId="77777777" w:rsidR="004528AD" w:rsidRPr="003C2B67" w:rsidRDefault="004528AD" w:rsidP="00B770E0">
            <w:pPr>
              <w:pStyle w:val="Tablehead"/>
              <w:rPr>
                <w:rFonts w:ascii="Times New Roman" w:hAnsi="Times New Roman" w:cs="Times New Roman"/>
              </w:rPr>
            </w:pPr>
            <w:r w:rsidRPr="003C2B67">
              <w:rPr>
                <w:rFonts w:ascii="Times New Roman" w:hAnsi="Times New Roman" w:cs="Times New Roman"/>
              </w:rPr>
              <w:t>Usage</w:t>
            </w:r>
          </w:p>
        </w:tc>
      </w:tr>
      <w:tr w:rsidR="0022028D" w:rsidRPr="003C2B67" w14:paraId="683ABDB5" w14:textId="77777777" w:rsidTr="004528AD">
        <w:trPr>
          <w:cantSplit/>
          <w:jc w:val="center"/>
        </w:trPr>
        <w:tc>
          <w:tcPr>
            <w:tcW w:w="1220" w:type="dxa"/>
            <w:vAlign w:val="center"/>
          </w:tcPr>
          <w:p w14:paraId="3200274B" w14:textId="29895108"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1 297.494</w:t>
            </w:r>
          </w:p>
          <w:p w14:paraId="4AF02F5A"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1 297.981</w:t>
            </w:r>
          </w:p>
        </w:tc>
        <w:tc>
          <w:tcPr>
            <w:tcW w:w="1255" w:type="dxa"/>
            <w:vAlign w:val="center"/>
          </w:tcPr>
          <w:p w14:paraId="7B5577FE"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20 kHz</w:t>
            </w:r>
          </w:p>
        </w:tc>
        <w:tc>
          <w:tcPr>
            <w:tcW w:w="2162" w:type="dxa"/>
            <w:vAlign w:val="center"/>
          </w:tcPr>
          <w:p w14:paraId="18E9457C"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FM digital voice</w:t>
            </w:r>
          </w:p>
        </w:tc>
        <w:tc>
          <w:tcPr>
            <w:tcW w:w="5002" w:type="dxa"/>
            <w:vAlign w:val="center"/>
          </w:tcPr>
          <w:p w14:paraId="481B636A"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1 297.500 SM20</w:t>
            </w:r>
          </w:p>
          <w:p w14:paraId="5DC1AA47"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1 297.500 centre of FM activity</w:t>
            </w:r>
          </w:p>
          <w:p w14:paraId="69AE5EA6"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1 297.725 digital voice calling frequency</w:t>
            </w:r>
          </w:p>
          <w:p w14:paraId="617205FB"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1 297.900-1 297.975 Simplex FM internet gateways</w:t>
            </w:r>
          </w:p>
          <w:p w14:paraId="6E5C5BCD"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1 297.975 SM39</w:t>
            </w:r>
          </w:p>
        </w:tc>
      </w:tr>
      <w:tr w:rsidR="0022028D" w:rsidRPr="003C2B67" w14:paraId="4DC3B0DA" w14:textId="77777777" w:rsidTr="004528AD">
        <w:trPr>
          <w:cantSplit/>
          <w:jc w:val="center"/>
        </w:trPr>
        <w:tc>
          <w:tcPr>
            <w:tcW w:w="1220" w:type="dxa"/>
            <w:vAlign w:val="center"/>
          </w:tcPr>
          <w:p w14:paraId="308CBADF"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1 298.000</w:t>
            </w:r>
          </w:p>
          <w:p w14:paraId="21E9C8FE"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1 299.000</w:t>
            </w:r>
          </w:p>
        </w:tc>
        <w:tc>
          <w:tcPr>
            <w:tcW w:w="1255" w:type="dxa"/>
            <w:vAlign w:val="center"/>
          </w:tcPr>
          <w:p w14:paraId="20D072CB" w14:textId="77777777" w:rsidR="0022028D" w:rsidRPr="003C2B67" w:rsidRDefault="0022028D" w:rsidP="00994B8B">
            <w:pPr>
              <w:pStyle w:val="Tabletext"/>
              <w:jc w:val="center"/>
              <w:rPr>
                <w:rFonts w:ascii="Times New Roman" w:hAnsi="Times New Roman" w:cs="Times New Roman"/>
                <w:lang w:eastAsia="nl-NL"/>
              </w:rPr>
            </w:pPr>
            <w:r w:rsidRPr="003C2B67">
              <w:rPr>
                <w:rFonts w:ascii="Times New Roman" w:hAnsi="Times New Roman" w:cs="Times New Roman"/>
                <w:lang w:eastAsia="nl-NL"/>
              </w:rPr>
              <w:t>20 kHz</w:t>
            </w:r>
          </w:p>
        </w:tc>
        <w:tc>
          <w:tcPr>
            <w:tcW w:w="2162" w:type="dxa"/>
            <w:vAlign w:val="center"/>
          </w:tcPr>
          <w:p w14:paraId="77D0AA43"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All modes</w:t>
            </w:r>
          </w:p>
        </w:tc>
        <w:tc>
          <w:tcPr>
            <w:tcW w:w="5002" w:type="dxa"/>
            <w:vAlign w:val="center"/>
          </w:tcPr>
          <w:p w14:paraId="1B20C859"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General mixed analogue or digital use 25 kHz spacing</w:t>
            </w:r>
          </w:p>
          <w:p w14:paraId="53B2C97C"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1 298.025 RS1</w:t>
            </w:r>
          </w:p>
          <w:p w14:paraId="0CE87B02" w14:textId="77777777" w:rsidR="0022028D" w:rsidRPr="003C2B67" w:rsidRDefault="0022028D" w:rsidP="00994B8B">
            <w:pPr>
              <w:pStyle w:val="Tabletext"/>
              <w:rPr>
                <w:rFonts w:ascii="Times New Roman" w:hAnsi="Times New Roman" w:cs="Times New Roman"/>
                <w:lang w:eastAsia="nl-NL"/>
              </w:rPr>
            </w:pPr>
            <w:r w:rsidRPr="003C2B67">
              <w:rPr>
                <w:rFonts w:ascii="Times New Roman" w:hAnsi="Times New Roman" w:cs="Times New Roman"/>
                <w:lang w:eastAsia="nl-NL"/>
              </w:rPr>
              <w:t>1 298.975 RS39</w:t>
            </w:r>
          </w:p>
        </w:tc>
      </w:tr>
      <w:tr w:rsidR="003C2B67" w:rsidRPr="003C2B67" w14:paraId="738ADE28" w14:textId="77777777" w:rsidTr="004528AD">
        <w:trPr>
          <w:cantSplit/>
          <w:jc w:val="center"/>
        </w:trPr>
        <w:tc>
          <w:tcPr>
            <w:tcW w:w="1220" w:type="dxa"/>
            <w:vAlign w:val="center"/>
          </w:tcPr>
          <w:p w14:paraId="25A28F8C" w14:textId="77777777" w:rsidR="003C2B67" w:rsidRPr="003C2B67" w:rsidRDefault="003C2B67" w:rsidP="003C2B67">
            <w:pPr>
              <w:pStyle w:val="Tabletext"/>
              <w:rPr>
                <w:rFonts w:ascii="Times New Roman" w:hAnsi="Times New Roman" w:cs="Times New Roman"/>
                <w:lang w:eastAsia="nl-NL"/>
              </w:rPr>
            </w:pPr>
            <w:r w:rsidRPr="003C2B67">
              <w:rPr>
                <w:rFonts w:ascii="Times New Roman" w:hAnsi="Times New Roman" w:cs="Times New Roman"/>
                <w:lang w:eastAsia="nl-NL"/>
              </w:rPr>
              <w:t>1 299.000</w:t>
            </w:r>
          </w:p>
          <w:p w14:paraId="35B1F21A" w14:textId="6869C453" w:rsidR="003C2B67" w:rsidRPr="003C2B67" w:rsidRDefault="003C2B67" w:rsidP="003C2B67">
            <w:pPr>
              <w:pStyle w:val="Tabletext"/>
              <w:rPr>
                <w:lang w:eastAsia="nl-NL"/>
              </w:rPr>
            </w:pPr>
            <w:r w:rsidRPr="003C2B67">
              <w:rPr>
                <w:rFonts w:ascii="Times New Roman" w:hAnsi="Times New Roman" w:cs="Times New Roman"/>
                <w:lang w:eastAsia="nl-NL"/>
              </w:rPr>
              <w:t>1 299.750</w:t>
            </w:r>
          </w:p>
        </w:tc>
        <w:tc>
          <w:tcPr>
            <w:tcW w:w="1255" w:type="dxa"/>
            <w:vAlign w:val="center"/>
          </w:tcPr>
          <w:p w14:paraId="06A1A1F2" w14:textId="3C9D9585" w:rsidR="003C2B67" w:rsidRPr="003C2B67" w:rsidRDefault="003C2B67" w:rsidP="003C2B67">
            <w:pPr>
              <w:pStyle w:val="Tabletext"/>
              <w:jc w:val="center"/>
              <w:rPr>
                <w:lang w:eastAsia="nl-NL"/>
              </w:rPr>
            </w:pPr>
            <w:r w:rsidRPr="003C2B67">
              <w:rPr>
                <w:rFonts w:ascii="Times New Roman" w:hAnsi="Times New Roman" w:cs="Times New Roman"/>
                <w:lang w:eastAsia="nl-NL"/>
              </w:rPr>
              <w:t>150 MHz</w:t>
            </w:r>
          </w:p>
        </w:tc>
        <w:tc>
          <w:tcPr>
            <w:tcW w:w="2162" w:type="dxa"/>
            <w:vAlign w:val="center"/>
          </w:tcPr>
          <w:p w14:paraId="01CE73DF" w14:textId="047DE257" w:rsidR="003C2B67" w:rsidRPr="003C2B67" w:rsidRDefault="003C2B67" w:rsidP="003C2B67">
            <w:pPr>
              <w:pStyle w:val="Tabletext"/>
              <w:rPr>
                <w:lang w:eastAsia="nl-NL"/>
              </w:rPr>
            </w:pPr>
            <w:r w:rsidRPr="003C2B67">
              <w:rPr>
                <w:rFonts w:ascii="Times New Roman" w:hAnsi="Times New Roman" w:cs="Times New Roman"/>
                <w:lang w:eastAsia="nl-NL"/>
              </w:rPr>
              <w:t>All modes</w:t>
            </w:r>
          </w:p>
        </w:tc>
        <w:tc>
          <w:tcPr>
            <w:tcW w:w="5002" w:type="dxa"/>
            <w:vAlign w:val="center"/>
          </w:tcPr>
          <w:p w14:paraId="6C60E0F8" w14:textId="77777777" w:rsidR="003C2B67" w:rsidRPr="003C2B67" w:rsidRDefault="003C2B67" w:rsidP="003C2B67">
            <w:pPr>
              <w:pStyle w:val="Tabletext"/>
              <w:rPr>
                <w:rFonts w:ascii="Times New Roman" w:hAnsi="Times New Roman" w:cs="Times New Roman"/>
                <w:lang w:eastAsia="nl-NL"/>
              </w:rPr>
            </w:pPr>
            <w:r w:rsidRPr="003C2B67">
              <w:rPr>
                <w:rFonts w:ascii="Times New Roman" w:hAnsi="Times New Roman" w:cs="Times New Roman"/>
                <w:lang w:eastAsia="nl-NL"/>
              </w:rPr>
              <w:t>Arranged as 5x 150 kHz channels for high-speed DD use</w:t>
            </w:r>
          </w:p>
          <w:p w14:paraId="683FD2E7" w14:textId="5BA3813A" w:rsidR="003C2B67" w:rsidRPr="003C2B67" w:rsidRDefault="003C2B67" w:rsidP="003C2B67">
            <w:pPr>
              <w:pStyle w:val="Tabletext"/>
              <w:rPr>
                <w:lang w:eastAsia="nl-NL"/>
              </w:rPr>
            </w:pPr>
            <w:r w:rsidRPr="003C2B67">
              <w:rPr>
                <w:rFonts w:ascii="Times New Roman" w:hAnsi="Times New Roman" w:cs="Times New Roman"/>
                <w:lang w:eastAsia="nl-NL"/>
              </w:rPr>
              <w:t>Centres: 1 299.075, 1 299.225, 1 299.375, 1 299.525, 1 299.675 (±75 kHz)</w:t>
            </w:r>
          </w:p>
        </w:tc>
      </w:tr>
      <w:tr w:rsidR="003C2B67" w:rsidRPr="003C2B67" w14:paraId="73B09B77" w14:textId="77777777" w:rsidTr="004528AD">
        <w:trPr>
          <w:cantSplit/>
          <w:jc w:val="center"/>
        </w:trPr>
        <w:tc>
          <w:tcPr>
            <w:tcW w:w="1220" w:type="dxa"/>
            <w:vAlign w:val="center"/>
          </w:tcPr>
          <w:p w14:paraId="2AA18715" w14:textId="77777777" w:rsidR="003C2B67" w:rsidRPr="003C2B67" w:rsidRDefault="003C2B67" w:rsidP="003C2B67">
            <w:pPr>
              <w:pStyle w:val="Tabletext"/>
              <w:rPr>
                <w:rFonts w:ascii="Times New Roman" w:hAnsi="Times New Roman" w:cs="Times New Roman"/>
                <w:lang w:eastAsia="nl-NL"/>
              </w:rPr>
            </w:pPr>
            <w:r w:rsidRPr="003C2B67">
              <w:rPr>
                <w:rFonts w:ascii="Times New Roman" w:hAnsi="Times New Roman" w:cs="Times New Roman"/>
                <w:lang w:eastAsia="nl-NL"/>
              </w:rPr>
              <w:t>1 299.750</w:t>
            </w:r>
          </w:p>
          <w:p w14:paraId="462E550C" w14:textId="11C7F185" w:rsidR="003C2B67" w:rsidRPr="003C2B67" w:rsidRDefault="003C2B67" w:rsidP="003C2B67">
            <w:pPr>
              <w:pStyle w:val="Tabletext"/>
              <w:rPr>
                <w:lang w:eastAsia="nl-NL"/>
              </w:rPr>
            </w:pPr>
            <w:r w:rsidRPr="003C2B67">
              <w:rPr>
                <w:rFonts w:ascii="Times New Roman" w:hAnsi="Times New Roman" w:cs="Times New Roman"/>
                <w:lang w:eastAsia="nl-NL"/>
              </w:rPr>
              <w:t>1 300.000</w:t>
            </w:r>
          </w:p>
        </w:tc>
        <w:tc>
          <w:tcPr>
            <w:tcW w:w="1255" w:type="dxa"/>
            <w:vAlign w:val="center"/>
          </w:tcPr>
          <w:p w14:paraId="7A8176F0" w14:textId="3E893A55" w:rsidR="003C2B67" w:rsidRPr="003C2B67" w:rsidRDefault="003C2B67" w:rsidP="003C2B67">
            <w:pPr>
              <w:pStyle w:val="Tabletext"/>
              <w:jc w:val="center"/>
              <w:rPr>
                <w:lang w:eastAsia="nl-NL"/>
              </w:rPr>
            </w:pPr>
            <w:r w:rsidRPr="003C2B67">
              <w:rPr>
                <w:rFonts w:ascii="Times New Roman" w:hAnsi="Times New Roman" w:cs="Times New Roman"/>
                <w:lang w:eastAsia="nl-NL"/>
              </w:rPr>
              <w:t>20 kHz</w:t>
            </w:r>
          </w:p>
        </w:tc>
        <w:tc>
          <w:tcPr>
            <w:tcW w:w="2162" w:type="dxa"/>
            <w:vAlign w:val="center"/>
          </w:tcPr>
          <w:p w14:paraId="53BCBD43" w14:textId="318F9F81" w:rsidR="003C2B67" w:rsidRPr="003C2B67" w:rsidRDefault="003C2B67" w:rsidP="003C2B67">
            <w:pPr>
              <w:pStyle w:val="Tabletext"/>
              <w:rPr>
                <w:lang w:eastAsia="nl-NL"/>
              </w:rPr>
            </w:pPr>
            <w:r w:rsidRPr="003C2B67">
              <w:rPr>
                <w:rFonts w:ascii="Times New Roman" w:hAnsi="Times New Roman" w:cs="Times New Roman"/>
                <w:lang w:eastAsia="nl-NL"/>
              </w:rPr>
              <w:t>All modes</w:t>
            </w:r>
          </w:p>
        </w:tc>
        <w:tc>
          <w:tcPr>
            <w:tcW w:w="5002" w:type="dxa"/>
            <w:vAlign w:val="center"/>
          </w:tcPr>
          <w:p w14:paraId="6DE6DC6C" w14:textId="77777777" w:rsidR="003C2B67" w:rsidRPr="003C2B67" w:rsidRDefault="003C2B67" w:rsidP="003C2B67">
            <w:pPr>
              <w:pStyle w:val="Tabletext"/>
              <w:rPr>
                <w:rFonts w:ascii="Times New Roman" w:hAnsi="Times New Roman" w:cs="Times New Roman"/>
                <w:lang w:eastAsia="nl-NL"/>
              </w:rPr>
            </w:pPr>
            <w:r w:rsidRPr="003C2B67">
              <w:rPr>
                <w:rFonts w:ascii="Times New Roman" w:hAnsi="Times New Roman" w:cs="Times New Roman"/>
                <w:lang w:eastAsia="nl-NL"/>
              </w:rPr>
              <w:t>8x 25 kHz channels (available for FM/DV use)</w:t>
            </w:r>
          </w:p>
          <w:p w14:paraId="0AB598B9" w14:textId="4CA2FCCA" w:rsidR="003C2B67" w:rsidRPr="003C2B67" w:rsidRDefault="003C2B67" w:rsidP="003C2B67">
            <w:pPr>
              <w:pStyle w:val="Tabletext"/>
              <w:rPr>
                <w:lang w:eastAsia="nl-NL"/>
              </w:rPr>
            </w:pPr>
            <w:r w:rsidRPr="003C2B67">
              <w:rPr>
                <w:rFonts w:ascii="Times New Roman" w:hAnsi="Times New Roman" w:cs="Times New Roman"/>
                <w:lang w:eastAsia="nl-NL"/>
              </w:rPr>
              <w:t>Centres 1 299.775-1 299.975</w:t>
            </w:r>
          </w:p>
        </w:tc>
      </w:tr>
      <w:tr w:rsidR="0022028D" w:rsidRPr="003C2B67" w14:paraId="54C6A86A" w14:textId="77777777" w:rsidTr="004528AD">
        <w:trPr>
          <w:cantSplit/>
          <w:jc w:val="center"/>
        </w:trPr>
        <w:tc>
          <w:tcPr>
            <w:tcW w:w="9639" w:type="dxa"/>
            <w:gridSpan w:val="4"/>
            <w:tcBorders>
              <w:top w:val="single" w:sz="4" w:space="0" w:color="auto"/>
              <w:left w:val="nil"/>
              <w:bottom w:val="nil"/>
              <w:right w:val="nil"/>
            </w:tcBorders>
            <w:vAlign w:val="center"/>
          </w:tcPr>
          <w:p w14:paraId="7A60205E" w14:textId="0267045D" w:rsidR="0022028D" w:rsidRPr="003C2B67" w:rsidRDefault="003C2B67" w:rsidP="009C1318">
            <w:pPr>
              <w:pStyle w:val="Tabletext"/>
              <w:rPr>
                <w:rFonts w:ascii="Times New Roman" w:hAnsi="Times New Roman" w:cs="Times New Roman"/>
                <w:sz w:val="20"/>
                <w:lang w:eastAsia="nl-NL"/>
              </w:rPr>
            </w:pPr>
            <w:r w:rsidRPr="003C2B67">
              <w:rPr>
                <w:rFonts w:ascii="Times New Roman" w:hAnsi="Times New Roman" w:cs="Times New Roman"/>
                <w:lang w:eastAsia="nl-NL"/>
              </w:rPr>
              <w:t>*</w:t>
            </w:r>
            <w:r>
              <w:rPr>
                <w:rFonts w:ascii="Times New Roman" w:hAnsi="Times New Roman" w:cs="Times New Roman"/>
                <w:szCs w:val="24"/>
                <w:lang w:eastAsia="nl-NL"/>
              </w:rPr>
              <w:tab/>
            </w:r>
            <w:r w:rsidR="0022028D" w:rsidRPr="003C2B67">
              <w:rPr>
                <w:rFonts w:ascii="Times New Roman" w:hAnsi="Times New Roman" w:cs="Times New Roman"/>
                <w:szCs w:val="24"/>
                <w:lang w:eastAsia="nl-NL"/>
              </w:rPr>
              <w:t>Bandwidth limits according to national regulations.</w:t>
            </w:r>
          </w:p>
        </w:tc>
      </w:tr>
    </w:tbl>
    <w:p w14:paraId="6437C47F" w14:textId="77777777" w:rsidR="0022028D" w:rsidRPr="003C2B67" w:rsidRDefault="0022028D" w:rsidP="0022028D">
      <w:pPr>
        <w:pStyle w:val="Tablefin"/>
      </w:pPr>
    </w:p>
    <w:p w14:paraId="4A7A1BBF" w14:textId="77777777" w:rsidR="0022028D" w:rsidRPr="003C2B67" w:rsidRDefault="0022028D" w:rsidP="0022028D">
      <w:pPr>
        <w:pStyle w:val="Heading1"/>
      </w:pPr>
      <w:bookmarkStart w:id="52" w:name="_Toc89080126"/>
      <w:bookmarkStart w:id="53" w:name="_Toc146277900"/>
      <w:r w:rsidRPr="003C2B67">
        <w:lastRenderedPageBreak/>
        <w:t>6</w:t>
      </w:r>
      <w:r w:rsidRPr="003C2B67">
        <w:tab/>
        <w:t>Relationship between RNSS system frequencies in 1 240-1 300 MHz</w:t>
      </w:r>
      <w:r w:rsidRPr="003C2B67" w:rsidDel="0079406C">
        <w:t xml:space="preserve"> </w:t>
      </w:r>
      <w:r w:rsidRPr="003C2B67">
        <w:t>and amateur service application band plans</w:t>
      </w:r>
      <w:bookmarkEnd w:id="52"/>
      <w:bookmarkEnd w:id="53"/>
    </w:p>
    <w:p w14:paraId="49873F89" w14:textId="05E45F75" w:rsidR="0022028D" w:rsidRPr="003C2B67" w:rsidRDefault="0022028D" w:rsidP="0022028D">
      <w:pPr>
        <w:rPr>
          <w:shd w:val="clear" w:color="auto" w:fill="FFFFFF"/>
        </w:rPr>
      </w:pPr>
      <w:r w:rsidRPr="003C2B67">
        <w:rPr>
          <w:shd w:val="clear" w:color="auto" w:fill="FFFFFF"/>
        </w:rPr>
        <w:t>Figure 1 highlights the relationship between the various RNSS systems usage across the range 1 240</w:t>
      </w:r>
      <w:r w:rsidR="009C1318" w:rsidRPr="003C2B67">
        <w:rPr>
          <w:shd w:val="clear" w:color="auto" w:fill="FFFFFF"/>
        </w:rPr>
        <w:noBreakHyphen/>
      </w:r>
      <w:r w:rsidRPr="003C2B67">
        <w:rPr>
          <w:shd w:val="clear" w:color="auto" w:fill="FFFFFF"/>
        </w:rPr>
        <w:t>1 300 MHz and the IARU band plans.</w:t>
      </w:r>
    </w:p>
    <w:p w14:paraId="649D39BE" w14:textId="77777777" w:rsidR="0022028D" w:rsidRPr="003C2B67" w:rsidRDefault="0022028D" w:rsidP="0022028D">
      <w:pPr>
        <w:pStyle w:val="FigureNo"/>
      </w:pPr>
      <w:r w:rsidRPr="003C2B67">
        <w:t>Figure 1</w:t>
      </w:r>
    </w:p>
    <w:p w14:paraId="7EBD1918" w14:textId="77777777" w:rsidR="0022028D" w:rsidRPr="003C2B67" w:rsidRDefault="0022028D" w:rsidP="0022028D">
      <w:pPr>
        <w:pStyle w:val="Figure"/>
      </w:pPr>
      <w:r w:rsidRPr="003C2B67">
        <w:rPr>
          <w:noProof/>
        </w:rPr>
        <w:drawing>
          <wp:inline distT="0" distB="0" distL="0" distR="0" wp14:anchorId="24FC42E5" wp14:editId="7C9F1C56">
            <wp:extent cx="6086475" cy="2762250"/>
            <wp:effectExtent l="0" t="0" r="9525" b="0"/>
            <wp:docPr id="10" name="Image 1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Timelin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086475" cy="2762250"/>
                    </a:xfrm>
                    <a:prstGeom prst="rect">
                      <a:avLst/>
                    </a:prstGeom>
                  </pic:spPr>
                </pic:pic>
              </a:graphicData>
            </a:graphic>
          </wp:inline>
        </w:drawing>
      </w:r>
    </w:p>
    <w:p w14:paraId="37789D37" w14:textId="77777777" w:rsidR="0022028D" w:rsidRPr="003C2B67" w:rsidRDefault="0022028D" w:rsidP="0022028D">
      <w:pPr>
        <w:pStyle w:val="Note"/>
      </w:pPr>
      <w:r w:rsidRPr="003C2B67">
        <w:t xml:space="preserve">NOTE 1 – GLONASS navigation receivers manufactured before 2006 can receive navigation signals in frequency band from 1 237.8275 MHz to 1 260.735 </w:t>
      </w:r>
      <w:proofErr w:type="spellStart"/>
      <w:r w:rsidRPr="003C2B67">
        <w:t>MHz.</w:t>
      </w:r>
      <w:proofErr w:type="spellEnd"/>
    </w:p>
    <w:p w14:paraId="2934053F" w14:textId="77777777" w:rsidR="0022028D" w:rsidRPr="003C2B67" w:rsidRDefault="0022028D" w:rsidP="0022028D">
      <w:pPr>
        <w:pStyle w:val="Note"/>
      </w:pPr>
      <w:r w:rsidRPr="003C2B67">
        <w:t>NOTE 2 – In Region 2 ATV is also identified for experimental use in this range.</w:t>
      </w:r>
    </w:p>
    <w:p w14:paraId="4BBA198D" w14:textId="77777777" w:rsidR="0022028D" w:rsidRPr="003C2B67" w:rsidRDefault="0022028D" w:rsidP="0022028D">
      <w:r w:rsidRPr="003C2B67">
        <w:t xml:space="preserve">The frequency band 1 240-1 300 MHz is allocated worldwide to Earth exploration-satellite service (active), radiolocation service (RR No. </w:t>
      </w:r>
      <w:r w:rsidRPr="003C2B67">
        <w:rPr>
          <w:b/>
        </w:rPr>
        <w:t>5.329</w:t>
      </w:r>
      <w:r w:rsidRPr="003C2B67">
        <w:t xml:space="preserve"> applies), the space research service and the radionavigation-satellite service (RNSS) in the space-to-Earth direction on a co-primary basis. </w:t>
      </w:r>
      <w:r w:rsidRPr="003C2B67">
        <w:rPr>
          <w:rFonts w:eastAsia="Calibri"/>
        </w:rPr>
        <w:t xml:space="preserve">The frequency band 1 240-1 300 MHz is also allocated worldwide to RNSS in the space-to-space direction on a co-primary basis. </w:t>
      </w:r>
      <w:r w:rsidRPr="003C2B67">
        <w:t xml:space="preserve">Additional services are allocated in some countries by footnotes RR No. </w:t>
      </w:r>
      <w:r w:rsidRPr="003C2B67">
        <w:rPr>
          <w:b/>
          <w:bCs/>
        </w:rPr>
        <w:t>5.330</w:t>
      </w:r>
      <w:r w:rsidRPr="003C2B67">
        <w:t xml:space="preserve"> (fixed and mobile) and RR No. </w:t>
      </w:r>
      <w:r w:rsidRPr="003C2B67">
        <w:rPr>
          <w:b/>
          <w:bCs/>
        </w:rPr>
        <w:t>5.331</w:t>
      </w:r>
      <w:r w:rsidRPr="003C2B67">
        <w:t xml:space="preserve"> (radionavigation).</w:t>
      </w:r>
    </w:p>
    <w:p w14:paraId="3D7323FE" w14:textId="77777777" w:rsidR="0022028D" w:rsidRPr="003C2B67" w:rsidRDefault="0022028D" w:rsidP="0022028D">
      <w:r w:rsidRPr="003C2B67">
        <w:t xml:space="preserve">Many RNSS systems and networks are operational in or adjacent to the 1 240-1 300 MHz portion of the 1 215-1 300 RNSS (space-to-Earth) and (space-to-space) primary allocations, as described in Recommendation ITU-R M.1787, and various types of RNSS receivers are used with those systems and networks. Report </w:t>
      </w:r>
      <w:hyperlink r:id="rId25" w:history="1">
        <w:r w:rsidRPr="003C2B67">
          <w:rPr>
            <w:rStyle w:val="Hyperlink"/>
            <w:color w:val="auto"/>
            <w:u w:val="none"/>
            <w:lang w:eastAsia="ja-JP"/>
          </w:rPr>
          <w:t>ITU-R M.2458</w:t>
        </w:r>
      </w:hyperlink>
      <w:r w:rsidRPr="003C2B67">
        <w:t xml:space="preserve"> summarizes the RNSS applications in this frequency band. </w:t>
      </w:r>
    </w:p>
    <w:p w14:paraId="0538A516" w14:textId="77777777" w:rsidR="0022028D" w:rsidRPr="003C2B67" w:rsidRDefault="0022028D" w:rsidP="0022028D">
      <w:r w:rsidRPr="003C2B67">
        <w:rPr>
          <w:spacing w:val="-2"/>
        </w:rPr>
        <w:t>The band 1 240-1 260 MHz is currently used by the Russian Federation GLONASS system, while the band 1 250-1 280 MHz is used by the Chinese COMPASS system and the band 1 260-1 300 MHz</w:t>
      </w:r>
      <w:r w:rsidRPr="003C2B67">
        <w:t xml:space="preserve"> is used by the European Galileo system as well as the Japanese QZSS system. The same band is also planned to be used by the Korean KPS. Some transmissions of the United States’ Global Positioning System in the 1 215-1 240 MHz band also extend above 1 240 </w:t>
      </w:r>
      <w:proofErr w:type="spellStart"/>
      <w:r w:rsidRPr="003C2B67">
        <w:t>MHz.</w:t>
      </w:r>
      <w:proofErr w:type="spellEnd"/>
    </w:p>
    <w:p w14:paraId="6922005A" w14:textId="77777777" w:rsidR="0022028D" w:rsidRPr="003C2B67" w:rsidRDefault="0022028D" w:rsidP="0022028D">
      <w:r w:rsidRPr="003C2B67">
        <w:t>The frequency band 1 240-1 300 MHz is also allocated worldwide to the amateur service on a secondary basis and is being used for a range of applications. The amateur-satellite service (Earth</w:t>
      </w:r>
      <w:r w:rsidRPr="003C2B67">
        <w:noBreakHyphen/>
        <w:t>to-space) operates in the frequency band 1 260-1 270 MHz on a secondary basis under RR No. </w:t>
      </w:r>
      <w:r w:rsidRPr="003C2B67">
        <w:rPr>
          <w:b/>
        </w:rPr>
        <w:t>5.282</w:t>
      </w:r>
      <w:r w:rsidRPr="003C2B67">
        <w:t>.</w:t>
      </w:r>
    </w:p>
    <w:p w14:paraId="587461D9" w14:textId="77777777" w:rsidR="0022028D" w:rsidRPr="003C2B67" w:rsidRDefault="0022028D" w:rsidP="0022028D">
      <w:r w:rsidRPr="003C2B67">
        <w:t xml:space="preserve">The RNSS, amateur and amateur-satellite services characteristics and parameters are provided in the relevant ITU-R recommendations (see § 3 above). Those were completed by additional information from administrations on current and planned systems of the RNSS, amateur and amateur-satellite </w:t>
      </w:r>
      <w:r w:rsidRPr="003C2B67">
        <w:lastRenderedPageBreak/>
        <w:t xml:space="preserve">services to ITU-R. The full set of characteristics, parameters and protection criteria to be used for interference studies are given in §§ 4 and 5. </w:t>
      </w:r>
    </w:p>
    <w:p w14:paraId="03DAA3EB" w14:textId="77777777" w:rsidR="0022028D" w:rsidRPr="003C2B67" w:rsidRDefault="0022028D" w:rsidP="0022028D">
      <w:pPr>
        <w:pStyle w:val="Heading1"/>
      </w:pPr>
      <w:bookmarkStart w:id="54" w:name="_7._Summary"/>
      <w:bookmarkStart w:id="55" w:name="_Toc146277901"/>
      <w:bookmarkEnd w:id="54"/>
      <w:r w:rsidRPr="003C2B67">
        <w:t>7</w:t>
      </w:r>
      <w:r w:rsidRPr="003C2B67">
        <w:tab/>
        <w:t>Summary</w:t>
      </w:r>
      <w:bookmarkEnd w:id="55"/>
    </w:p>
    <w:p w14:paraId="0C09B3FB" w14:textId="75CF18ED" w:rsidR="001D5EB0" w:rsidRPr="003C2B67" w:rsidRDefault="0022028D" w:rsidP="0022028D">
      <w:r w:rsidRPr="003C2B67">
        <w:t xml:space="preserve">The amateur and amateur-satellite service characteristics provided in this Report have been used in Report </w:t>
      </w:r>
      <w:hyperlink r:id="rId26" w:history="1">
        <w:r w:rsidRPr="003C2B67">
          <w:rPr>
            <w:rStyle w:val="Hyperlink"/>
            <w:color w:val="auto"/>
            <w:u w:val="none"/>
          </w:rPr>
          <w:t>ITU-R M.2513</w:t>
        </w:r>
      </w:hyperlink>
      <w:r w:rsidRPr="003C2B67">
        <w:t xml:space="preserve">, which addresses the protection of the primary radionavigation-satellite service (space-to-Earth) by the secondary amateur service in the frequency band 1 240-1 300 MHz and </w:t>
      </w:r>
      <w:r w:rsidRPr="003C2B67">
        <w:rPr>
          <w:lang w:eastAsia="ja-JP"/>
        </w:rPr>
        <w:t>the amateur-satellite service (Earth</w:t>
      </w:r>
      <w:r w:rsidRPr="003C2B67">
        <w:rPr>
          <w:lang w:eastAsia="ja-JP"/>
        </w:rPr>
        <w:noBreakHyphen/>
        <w:t xml:space="preserve">to-space) operating in the frequency band </w:t>
      </w:r>
      <w:r w:rsidRPr="003C2B67">
        <w:t>1 </w:t>
      </w:r>
      <w:r w:rsidRPr="003C2B67">
        <w:rPr>
          <w:lang w:eastAsia="ja-JP"/>
        </w:rPr>
        <w:t>260</w:t>
      </w:r>
      <w:r w:rsidRPr="003C2B67">
        <w:t>-</w:t>
      </w:r>
      <w:r w:rsidRPr="003C2B67">
        <w:rPr>
          <w:lang w:eastAsia="ja-JP"/>
        </w:rPr>
        <w:t>1</w:t>
      </w:r>
      <w:r w:rsidRPr="003C2B67">
        <w:t> </w:t>
      </w:r>
      <w:r w:rsidRPr="003C2B67">
        <w:rPr>
          <w:lang w:eastAsia="ja-JP"/>
        </w:rPr>
        <w:t>270</w:t>
      </w:r>
      <w:r w:rsidRPr="003C2B67">
        <w:t> MHz</w:t>
      </w:r>
      <w:r w:rsidRPr="003C2B67">
        <w:rPr>
          <w:lang w:eastAsia="ja-JP"/>
        </w:rPr>
        <w:t xml:space="preserve"> under No. </w:t>
      </w:r>
      <w:r w:rsidRPr="003C2B67">
        <w:rPr>
          <w:b/>
          <w:lang w:eastAsia="ja-JP"/>
        </w:rPr>
        <w:t>5.282</w:t>
      </w:r>
      <w:r w:rsidRPr="003C2B67">
        <w:rPr>
          <w:lang w:eastAsia="ja-JP"/>
        </w:rPr>
        <w:t xml:space="preserve"> of the Radio Regulation.</w:t>
      </w:r>
      <w:bookmarkEnd w:id="12"/>
    </w:p>
    <w:p w14:paraId="6B4A5BDA" w14:textId="77777777" w:rsidR="001D5EB0" w:rsidRPr="003C2B67" w:rsidRDefault="001D5EB0" w:rsidP="001D5EB0"/>
    <w:p w14:paraId="32693A34" w14:textId="77777777" w:rsidR="00DC2B47" w:rsidRPr="003C2B67" w:rsidRDefault="00DC2B47" w:rsidP="007D4EB9">
      <w:pPr>
        <w:pStyle w:val="Line"/>
      </w:pPr>
    </w:p>
    <w:sectPr w:rsidR="00DC2B47" w:rsidRPr="003C2B67" w:rsidSect="0022028D">
      <w:headerReference w:type="even" r:id="rId27"/>
      <w:headerReference w:type="default" r:id="rId28"/>
      <w:footerReference w:type="default" r:id="rId29"/>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33C5" w14:textId="77777777" w:rsidR="001D5EB0" w:rsidRDefault="001D5EB0">
      <w:r>
        <w:separator/>
      </w:r>
    </w:p>
  </w:endnote>
  <w:endnote w:type="continuationSeparator" w:id="0">
    <w:p w14:paraId="45E8FC95" w14:textId="77777777" w:rsidR="001D5EB0" w:rsidRDefault="001D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0CA4" w14:textId="77777777" w:rsidR="001D5EB0" w:rsidRDefault="001D5EB0">
    <w:pPr>
      <w:pStyle w:val="Footer"/>
    </w:pPr>
    <w:r>
      <w:drawing>
        <wp:anchor distT="0" distB="0" distL="0" distR="0" simplePos="0" relativeHeight="251659264" behindDoc="0" locked="0" layoutInCell="1" allowOverlap="1" wp14:anchorId="76B7CD5A" wp14:editId="044DF4ED">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DDBA" w14:textId="7250ADB3" w:rsidR="0022028D" w:rsidRDefault="00220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AD11" w14:textId="77777777" w:rsidR="001D5EB0" w:rsidRDefault="001D5EB0">
      <w:r>
        <w:separator/>
      </w:r>
    </w:p>
  </w:footnote>
  <w:footnote w:type="continuationSeparator" w:id="0">
    <w:p w14:paraId="530FB8CD" w14:textId="77777777" w:rsidR="001D5EB0" w:rsidRDefault="001D5EB0">
      <w:r>
        <w:continuationSeparator/>
      </w:r>
    </w:p>
  </w:footnote>
  <w:footnote w:id="1">
    <w:p w14:paraId="7F0F0494" w14:textId="77777777" w:rsidR="0022028D" w:rsidRDefault="0022028D" w:rsidP="0022028D">
      <w:pPr>
        <w:pStyle w:val="FootnoteText"/>
      </w:pPr>
      <w:r>
        <w:rPr>
          <w:rStyle w:val="FootnoteReference"/>
        </w:rPr>
        <w:footnoteRef/>
      </w:r>
      <w:r>
        <w:tab/>
      </w:r>
      <w:r w:rsidRPr="00E70105">
        <w:t>The IARU coordinates and represents the interests of radio amateurs through its national member-associations. Three IARU regional organizations correspond to the ITU Radio Regions and are recognized as representing the amateur and amateur-satellite services by the regional telecommunications organizations.</w:t>
      </w:r>
    </w:p>
  </w:footnote>
  <w:footnote w:id="2">
    <w:p w14:paraId="7E2F8CFC" w14:textId="77777777" w:rsidR="0022028D" w:rsidRPr="00FC7F72" w:rsidRDefault="0022028D" w:rsidP="0022028D">
      <w:pPr>
        <w:pStyle w:val="FootnoteText"/>
        <w:rPr>
          <w:lang w:val="en-AU"/>
        </w:rPr>
      </w:pPr>
      <w:r w:rsidRPr="00FC7F72">
        <w:rPr>
          <w:rStyle w:val="FootnoteReference"/>
        </w:rPr>
        <w:footnoteRef/>
      </w:r>
      <w:r>
        <w:tab/>
      </w:r>
      <w:r w:rsidRPr="00FC7F72">
        <w:rPr>
          <w:lang w:val="en-AU"/>
        </w:rPr>
        <w:t xml:space="preserve">See the Handbook </w:t>
      </w:r>
      <w:hyperlink r:id="rId1" w:history="1">
        <w:r w:rsidRPr="003C2B67">
          <w:rPr>
            <w:rStyle w:val="Hyperlink"/>
            <w:color w:val="auto"/>
            <w:u w:val="none"/>
            <w:lang w:val="en-AU"/>
          </w:rPr>
          <w:t>Amateur and amateur-satellite services</w:t>
        </w:r>
      </w:hyperlink>
      <w:r w:rsidRPr="00FC7F72">
        <w:rPr>
          <w:lang w:val="en-AU"/>
        </w:rPr>
        <w:t xml:space="preserve"> </w:t>
      </w:r>
      <w:r>
        <w:rPr>
          <w:lang w:val="en-AU"/>
        </w:rPr>
        <w:t>(</w:t>
      </w:r>
      <w:hyperlink r:id="rId2" w:history="1">
        <w:r>
          <w:rPr>
            <w:rStyle w:val="Hyperlink"/>
            <w:lang w:val="en-AU"/>
          </w:rPr>
          <w:t>https://www.itu.int/pub/R-HDB-52-2014</w:t>
        </w:r>
      </w:hyperlink>
      <w:r>
        <w:rPr>
          <w:lang w:val="en-AU"/>
        </w:rPr>
        <w:t>) f</w:t>
      </w:r>
      <w:r w:rsidRPr="00FC7F72">
        <w:rPr>
          <w:lang w:val="en-AU"/>
        </w:rPr>
        <w:t xml:space="preserve">or further details of </w:t>
      </w:r>
      <w:r w:rsidRPr="00FC7F72">
        <w:rPr>
          <w:lang w:val="en-AU"/>
        </w:rPr>
        <w:t>radiosport activities.</w:t>
      </w:r>
    </w:p>
  </w:footnote>
  <w:footnote w:id="3">
    <w:p w14:paraId="01409D0E" w14:textId="77777777" w:rsidR="0022028D" w:rsidRPr="00FC7F72" w:rsidRDefault="0022028D" w:rsidP="0022028D">
      <w:pPr>
        <w:pStyle w:val="FootnoteText"/>
        <w:rPr>
          <w:lang w:val="en-US"/>
        </w:rPr>
      </w:pPr>
      <w:r w:rsidRPr="00FC7F72">
        <w:rPr>
          <w:rStyle w:val="FootnoteReference"/>
        </w:rPr>
        <w:footnoteRef/>
      </w:r>
      <w:r>
        <w:tab/>
      </w:r>
      <w:r w:rsidRPr="00FC7F72">
        <w:rPr>
          <w:lang w:val="en-US"/>
        </w:rPr>
        <w:t xml:space="preserve">Slow Scan Television (SSTV) is an imaging protocol which </w:t>
      </w:r>
      <w:r>
        <w:rPr>
          <w:lang w:val="en-US"/>
        </w:rPr>
        <w:t>i</w:t>
      </w:r>
      <w:r w:rsidRPr="00FC7F72">
        <w:rPr>
          <w:lang w:val="en-US"/>
        </w:rPr>
        <w:t xml:space="preserve">s </w:t>
      </w:r>
      <w:r>
        <w:rPr>
          <w:lang w:val="en-US"/>
        </w:rPr>
        <w:t>used</w:t>
      </w:r>
      <w:r w:rsidRPr="00FC7F72">
        <w:rPr>
          <w:lang w:val="en-US"/>
        </w:rPr>
        <w:t xml:space="preserve"> to transmit images at a relatively low speed by using a frequency modulated subcarrier or digital encoding. Such transmissions are designed to fit within the bandwidth of a voice channel.</w:t>
      </w:r>
    </w:p>
  </w:footnote>
  <w:footnote w:id="4">
    <w:p w14:paraId="26D5DF28" w14:textId="77777777" w:rsidR="0022028D" w:rsidRPr="004117B5" w:rsidRDefault="0022028D" w:rsidP="0022028D">
      <w:pPr>
        <w:pStyle w:val="FootnoteText"/>
        <w:rPr>
          <w:lang w:val="en-US"/>
        </w:rPr>
      </w:pPr>
      <w:r w:rsidRPr="00FC7F72">
        <w:rPr>
          <w:rStyle w:val="FootnoteReference"/>
        </w:rPr>
        <w:footnoteRef/>
      </w:r>
      <w:r>
        <w:tab/>
      </w:r>
      <w:r w:rsidRPr="004117B5">
        <w:rPr>
          <w:spacing w:val="-2"/>
          <w:lang w:val="en-US"/>
        </w:rPr>
        <w:t>See</w:t>
      </w:r>
      <w:r w:rsidRPr="009652BD">
        <w:t xml:space="preserve"> </w:t>
      </w:r>
      <w:r w:rsidRPr="00470EDD">
        <w:rPr>
          <w:spacing w:val="-2"/>
          <w:lang w:val="en-US"/>
        </w:rPr>
        <w:t xml:space="preserve">Recommendation </w:t>
      </w:r>
      <w:hyperlink r:id="rId3" w:history="1">
        <w:r w:rsidRPr="00470EDD">
          <w:rPr>
            <w:rStyle w:val="Hyperlink"/>
            <w:color w:val="auto"/>
            <w:spacing w:val="-2"/>
            <w:u w:val="none"/>
          </w:rPr>
          <w:t>ITU-R M.2034</w:t>
        </w:r>
      </w:hyperlink>
      <w:r w:rsidRPr="00470EDD">
        <w:rPr>
          <w:spacing w:val="-2"/>
        </w:rPr>
        <w:t xml:space="preserve"> which </w:t>
      </w:r>
      <w:r w:rsidRPr="004117B5">
        <w:rPr>
          <w:spacing w:val="-2"/>
        </w:rPr>
        <w:t xml:space="preserve">establishes a telegraphic alphabet and transmission </w:t>
      </w:r>
      <w:r w:rsidRPr="004117B5">
        <w:t>protocols for phase shift keying at 31 baud (PSK31) in the amateur and amateur-satellite services.</w:t>
      </w:r>
    </w:p>
  </w:footnote>
  <w:footnote w:id="5">
    <w:p w14:paraId="75DEB66E" w14:textId="77777777" w:rsidR="0022028D" w:rsidRPr="00FC7F72" w:rsidRDefault="0022028D" w:rsidP="0022028D">
      <w:pPr>
        <w:pStyle w:val="FootnoteText"/>
        <w:rPr>
          <w:lang w:val="en-US"/>
        </w:rPr>
      </w:pPr>
      <w:r w:rsidRPr="00FC7F72">
        <w:rPr>
          <w:rStyle w:val="FootnoteReference"/>
        </w:rPr>
        <w:footnoteRef/>
      </w:r>
      <w:r w:rsidRPr="00FC7F72">
        <w:tab/>
      </w:r>
      <w:r w:rsidRPr="00FC7F72">
        <w:rPr>
          <w:lang w:val="en-US"/>
        </w:rPr>
        <w:t xml:space="preserve">These WSJT applications consist of </w:t>
      </w:r>
      <w:r w:rsidRPr="00FC7F72">
        <w:rPr>
          <w:lang w:val="en-US"/>
        </w:rPr>
        <w:t>a number of highly structured data modes which send a limited amount of data with strong Forward Error Correction which allows the data to be recovered at very low signal-to-noise ratios. WSJT modes –Weak Signal Joe Taylor– are named after their inventor Dr</w:t>
      </w:r>
      <w:r>
        <w:rPr>
          <w:lang w:val="en-US"/>
        </w:rPr>
        <w:t> </w:t>
      </w:r>
      <w:r w:rsidRPr="00FC7F72">
        <w:rPr>
          <w:lang w:val="en-US"/>
        </w:rPr>
        <w:t>Joe Taylor.</w:t>
      </w:r>
    </w:p>
  </w:footnote>
  <w:footnote w:id="6">
    <w:p w14:paraId="7C098870" w14:textId="77777777" w:rsidR="0022028D" w:rsidRPr="00FC7F72" w:rsidRDefault="0022028D" w:rsidP="0022028D">
      <w:pPr>
        <w:pStyle w:val="FootnoteText"/>
        <w:rPr>
          <w:lang w:val="en-AU"/>
        </w:rPr>
      </w:pPr>
      <w:r w:rsidRPr="00FC7F72">
        <w:rPr>
          <w:rStyle w:val="FootnoteReference"/>
        </w:rPr>
        <w:footnoteRef/>
      </w:r>
      <w:r>
        <w:tab/>
      </w:r>
      <w:r w:rsidRPr="00FC7F72">
        <w:t>D-STAR (Digital Smart Technologies for Amateur Radio) is a digital voice and data protocol specification for amateur radio. The system was developed in the late 1990s by the Japan Amateur Radio League and uses minimum-shift keying in its packet-based standard.</w:t>
      </w:r>
    </w:p>
  </w:footnote>
  <w:footnote w:id="7">
    <w:p w14:paraId="14C43DA1" w14:textId="77777777" w:rsidR="0022028D" w:rsidRPr="00B47CD0" w:rsidRDefault="0022028D" w:rsidP="0022028D">
      <w:pPr>
        <w:pStyle w:val="FootnoteText"/>
        <w:rPr>
          <w:lang w:val="en-US"/>
        </w:rPr>
      </w:pPr>
      <w:r>
        <w:rPr>
          <w:rStyle w:val="FootnoteReference"/>
        </w:rPr>
        <w:footnoteRef/>
      </w:r>
      <w:r>
        <w:tab/>
      </w:r>
      <w:r w:rsidRPr="00FC7F72">
        <w:rPr>
          <w:lang w:val="en-US"/>
        </w:rPr>
        <w:t xml:space="preserve">Earth-Moon-Earth (EME) communications use the Moon as a passive reflector which allows long distance communications between stations that have a simultaneous view of the moon. The reflected signals are very weak, though modern </w:t>
      </w:r>
      <w:r>
        <w:rPr>
          <w:lang w:val="en-US"/>
        </w:rPr>
        <w:t>d</w:t>
      </w:r>
      <w:r w:rsidRPr="00FC7F72">
        <w:rPr>
          <w:lang w:val="en-US"/>
        </w:rPr>
        <w:t xml:space="preserve">igital </w:t>
      </w:r>
      <w:r>
        <w:rPr>
          <w:lang w:val="en-US"/>
        </w:rPr>
        <w:t>s</w:t>
      </w:r>
      <w:r w:rsidRPr="00FC7F72">
        <w:rPr>
          <w:lang w:val="en-US"/>
        </w:rPr>
        <w:t xml:space="preserve">ignal </w:t>
      </w:r>
      <w:r>
        <w:rPr>
          <w:lang w:val="en-US"/>
        </w:rPr>
        <w:t>p</w:t>
      </w:r>
      <w:r w:rsidRPr="00FC7F72">
        <w:rPr>
          <w:lang w:val="en-US"/>
        </w:rPr>
        <w:t>rocessing techniques and structured data modes reduce the need for high power transmitters.</w:t>
      </w:r>
    </w:p>
  </w:footnote>
  <w:footnote w:id="8">
    <w:p w14:paraId="477D1697" w14:textId="3F1D319A" w:rsidR="0022028D" w:rsidRPr="00FC7F72" w:rsidRDefault="0022028D" w:rsidP="0022028D">
      <w:pPr>
        <w:pStyle w:val="FootnoteText"/>
        <w:rPr>
          <w:lang w:val="en-US"/>
        </w:rPr>
      </w:pPr>
      <w:r>
        <w:rPr>
          <w:rStyle w:val="FootnoteReference"/>
        </w:rPr>
        <w:footnoteRef/>
      </w:r>
      <w:r>
        <w:tab/>
      </w:r>
      <w:r w:rsidRPr="00FC7F72">
        <w:rPr>
          <w:color w:val="000000" w:themeColor="text1"/>
        </w:rPr>
        <w:t xml:space="preserve">According </w:t>
      </w:r>
      <w:r>
        <w:rPr>
          <w:color w:val="000000" w:themeColor="text1"/>
        </w:rPr>
        <w:t xml:space="preserve">to </w:t>
      </w:r>
      <w:r w:rsidRPr="00FC7F72">
        <w:rPr>
          <w:color w:val="000000" w:themeColor="text1"/>
        </w:rPr>
        <w:t xml:space="preserve">the </w:t>
      </w:r>
      <w:r w:rsidRPr="00FC7F72">
        <w:rPr>
          <w:color w:val="000000" w:themeColor="text1"/>
          <w:lang w:val="en-US"/>
        </w:rPr>
        <w:t xml:space="preserve">extract from the database of one administration on unmanned amateur radio stations parameters, the antenna </w:t>
      </w:r>
      <w:r w:rsidRPr="00FC7F72">
        <w:rPr>
          <w:color w:val="000000" w:themeColor="text1"/>
          <w:lang w:val="en-US"/>
        </w:rPr>
        <w:t>gain for 25</w:t>
      </w:r>
      <w:r w:rsidRPr="00FC7F72">
        <w:rPr>
          <w:color w:val="000000" w:themeColor="text1"/>
          <w:vertAlign w:val="superscript"/>
          <w:lang w:val="en-US"/>
        </w:rPr>
        <w:t>th</w:t>
      </w:r>
      <w:r w:rsidRPr="00FC7F72">
        <w:rPr>
          <w:color w:val="000000" w:themeColor="text1"/>
          <w:lang w:val="en-US"/>
        </w:rPr>
        <w:t xml:space="preserve"> percentile, median and 75</w:t>
      </w:r>
      <w:r w:rsidRPr="00FC7F72">
        <w:rPr>
          <w:color w:val="000000" w:themeColor="text1"/>
          <w:vertAlign w:val="superscript"/>
          <w:lang w:val="en-US"/>
        </w:rPr>
        <w:t>th</w:t>
      </w:r>
      <w:r w:rsidRPr="00FC7F72">
        <w:rPr>
          <w:color w:val="000000" w:themeColor="text1"/>
          <w:lang w:val="en-US"/>
        </w:rPr>
        <w:t xml:space="preserve"> percentile are 8.1</w:t>
      </w:r>
      <w:r>
        <w:rPr>
          <w:color w:val="000000" w:themeColor="text1"/>
          <w:lang w:val="en-US"/>
        </w:rPr>
        <w:t> </w:t>
      </w:r>
      <w:r w:rsidRPr="00FC7F72">
        <w:rPr>
          <w:color w:val="000000" w:themeColor="text1"/>
          <w:lang w:val="en-US"/>
        </w:rPr>
        <w:t>dBi, 11.2</w:t>
      </w:r>
      <w:r>
        <w:rPr>
          <w:color w:val="000000" w:themeColor="text1"/>
          <w:lang w:val="en-US"/>
        </w:rPr>
        <w:t> </w:t>
      </w:r>
      <w:r w:rsidRPr="00FC7F72">
        <w:rPr>
          <w:color w:val="000000" w:themeColor="text1"/>
          <w:lang w:val="en-US"/>
        </w:rPr>
        <w:t>dBi and 12.7</w:t>
      </w:r>
      <w:r w:rsidR="007052D5">
        <w:rPr>
          <w:color w:val="000000" w:themeColor="text1"/>
          <w:lang w:val="en-US"/>
        </w:rPr>
        <w:t> </w:t>
      </w:r>
      <w:r w:rsidRPr="00FC7F72">
        <w:rPr>
          <w:color w:val="000000" w:themeColor="text1"/>
          <w:lang w:val="en-US"/>
        </w:rPr>
        <w:t>dBi. Minimum and maximum gain are found to be 2.15</w:t>
      </w:r>
      <w:r>
        <w:rPr>
          <w:color w:val="000000" w:themeColor="text1"/>
          <w:lang w:val="en-US"/>
        </w:rPr>
        <w:t> </w:t>
      </w:r>
      <w:r w:rsidRPr="00FC7F72">
        <w:rPr>
          <w:color w:val="000000" w:themeColor="text1"/>
          <w:lang w:val="en-US"/>
        </w:rPr>
        <w:t>dBi and 21.5</w:t>
      </w:r>
      <w:r>
        <w:rPr>
          <w:color w:val="000000" w:themeColor="text1"/>
          <w:lang w:val="en-US"/>
        </w:rPr>
        <w:t> </w:t>
      </w:r>
      <w:r w:rsidRPr="00FC7F72">
        <w:rPr>
          <w:color w:val="000000" w:themeColor="text1"/>
          <w:lang w:val="en-US"/>
        </w:rPr>
        <w:t>dBi. However, a gain of 21.5 dBi is exceptionally high in this application. It should be noted that those installations mostly operate in hilly and mountainous areas.</w:t>
      </w:r>
    </w:p>
  </w:footnote>
  <w:footnote w:id="9">
    <w:p w14:paraId="24D8752D" w14:textId="77777777" w:rsidR="0022028D" w:rsidRPr="00FC7F72" w:rsidRDefault="0022028D" w:rsidP="0022028D">
      <w:pPr>
        <w:pStyle w:val="FootnoteText"/>
        <w:rPr>
          <w:lang w:val="en-US"/>
        </w:rPr>
      </w:pPr>
      <w:r w:rsidRPr="009E2E12">
        <w:rPr>
          <w:rStyle w:val="FootnoteReference"/>
        </w:rPr>
        <w:footnoteRef/>
      </w:r>
      <w:r>
        <w:tab/>
      </w:r>
      <w:r w:rsidRPr="00FC7F72">
        <w:rPr>
          <w:lang w:val="en-US"/>
        </w:rPr>
        <w:t xml:space="preserve">Feeder loss not included which may be up to 3 </w:t>
      </w:r>
      <w:r w:rsidRPr="00FC7F72">
        <w:rPr>
          <w:lang w:val="en-US"/>
        </w:rPr>
        <w:t>dB</w:t>
      </w:r>
      <w:r>
        <w:rPr>
          <w:lang w:val="en-US"/>
        </w:rPr>
        <w:t>.</w:t>
      </w:r>
    </w:p>
  </w:footnote>
  <w:footnote w:id="10">
    <w:p w14:paraId="1F13FC6B" w14:textId="77777777" w:rsidR="0022028D" w:rsidRPr="00427840" w:rsidRDefault="0022028D" w:rsidP="005D09B2">
      <w:pPr>
        <w:tabs>
          <w:tab w:val="left" w:pos="284"/>
        </w:tabs>
        <w:ind w:left="284" w:hanging="284"/>
        <w:rPr>
          <w:rStyle w:val="FootnoteTextChar"/>
          <w:spacing w:val="-2"/>
          <w:lang w:val="en-US"/>
        </w:rPr>
      </w:pPr>
      <w:r w:rsidRPr="00FC7F72">
        <w:rPr>
          <w:rStyle w:val="FootnoteReference"/>
        </w:rPr>
        <w:footnoteRef/>
      </w:r>
      <w:r>
        <w:tab/>
      </w:r>
      <w:r w:rsidRPr="00427840">
        <w:rPr>
          <w:rStyle w:val="FootnoteTextChar"/>
        </w:rPr>
        <w:t xml:space="preserve">According to the extract from the license database of one administration on unmanned amateur </w:t>
      </w:r>
      <w:r w:rsidRPr="00427840">
        <w:rPr>
          <w:rStyle w:val="FootnoteTextChar"/>
          <w:spacing w:val="-2"/>
        </w:rPr>
        <w:t>radio stations parameters, 30% of repeaters are licensed to operate with an ERP of more than 100 W.</w:t>
      </w:r>
    </w:p>
  </w:footnote>
  <w:footnote w:id="11">
    <w:p w14:paraId="5CC749C5" w14:textId="77777777" w:rsidR="0022028D" w:rsidRDefault="0022028D" w:rsidP="0022028D">
      <w:pPr>
        <w:pStyle w:val="FootnoteText"/>
      </w:pPr>
      <w:r>
        <w:rPr>
          <w:rStyle w:val="FootnoteReference"/>
        </w:rPr>
        <w:footnoteRef/>
      </w:r>
      <w:r>
        <w:tab/>
        <w:t>The analysed results were published by the national radio amateur societies in several European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B8D4" w14:textId="77777777" w:rsidR="001D5EB0" w:rsidRDefault="001D5EB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5936"/>
    </w:tblGrid>
    <w:tr w:rsidR="001D5EB0" w:rsidRPr="00A239D1" w14:paraId="24647BA1" w14:textId="77777777" w:rsidTr="0019307B">
      <w:tc>
        <w:tcPr>
          <w:tcW w:w="4634" w:type="dxa"/>
          <w:vAlign w:val="center"/>
        </w:tcPr>
        <w:p w14:paraId="681F44FF" w14:textId="77777777" w:rsidR="001D5EB0" w:rsidRPr="005B0371" w:rsidRDefault="001D5EB0"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2A6CF1E" w14:textId="77777777" w:rsidR="001D5EB0" w:rsidRPr="00260B24" w:rsidRDefault="001D5EB0"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1D5EB0" w:rsidRPr="00A239D1" w14:paraId="5CFF42B2" w14:textId="77777777" w:rsidTr="0019307B">
      <w:tc>
        <w:tcPr>
          <w:tcW w:w="4634" w:type="dxa"/>
          <w:vAlign w:val="center"/>
        </w:tcPr>
        <w:p w14:paraId="3DE79F23" w14:textId="77777777" w:rsidR="001D5EB0" w:rsidRPr="00260B24" w:rsidRDefault="001D5EB0" w:rsidP="00744F8B">
          <w:pPr>
            <w:pStyle w:val="Header"/>
            <w:jc w:val="left"/>
            <w:rPr>
              <w:rFonts w:asciiTheme="minorBidi" w:hAnsiTheme="minorBidi"/>
              <w:spacing w:val="4"/>
              <w:sz w:val="21"/>
              <w:szCs w:val="21"/>
            </w:rPr>
          </w:pPr>
        </w:p>
      </w:tc>
      <w:tc>
        <w:tcPr>
          <w:tcW w:w="5998" w:type="dxa"/>
          <w:vAlign w:val="center"/>
        </w:tcPr>
        <w:p w14:paraId="79D0DEC6" w14:textId="77777777" w:rsidR="001D5EB0" w:rsidRPr="00260B24" w:rsidRDefault="001D5EB0"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47AE8EBD" w14:textId="77777777" w:rsidR="001D5EB0" w:rsidRDefault="001D5EB0"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0DAD455D" wp14:editId="4B4AC4D2">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0E6D836F" wp14:editId="1A57F652">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E81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EA6CDF7" w14:textId="77777777" w:rsidR="001D5EB0" w:rsidRDefault="001D5EB0"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3B9155B9" wp14:editId="51925AF2">
              <wp:simplePos x="0" y="0"/>
              <wp:positionH relativeFrom="page">
                <wp:posOffset>0</wp:posOffset>
              </wp:positionH>
              <wp:positionV relativeFrom="page">
                <wp:posOffset>1196340</wp:posOffset>
              </wp:positionV>
              <wp:extent cx="7560310" cy="236220"/>
              <wp:effectExtent l="0" t="0" r="0" b="0"/>
              <wp:wrapNone/>
              <wp:docPr id="7" name="Group 7" descr="Header separat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4"/>
                      <wps:cNvSpPr>
                        <a:spLocks noChangeArrowheads="1"/>
                      </wps:cNvSpPr>
                      <wps:spPr bwMode="auto">
                        <a:xfrm>
                          <a:off x="0" y="1944"/>
                          <a:ext cx="11906" cy="312"/>
                        </a:xfrm>
                        <a:prstGeom prst="rect">
                          <a:avLst/>
                        </a:prstGeom>
                        <a:solidFill>
                          <a:srgbClr val="52BA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5" descr="Header separation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FA805" id="Group 7" o:spid="_x0000_s1026" alt="Header separation line"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">
              <v:rect id="docshape4"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" fillcolor="#52ba6c" stroked="f"/>
              <v:shape id="docshape5" o:spid="_x0000_s1028" alt="Header separation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" path="m627,l,,314,313,627,xe" stroked="f">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50BB" w14:textId="3DF06781" w:rsidR="001D5EB0" w:rsidRPr="00D72623" w:rsidRDefault="001D5EB0"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4528AD">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4528AD">
      <w:rPr>
        <w:b/>
        <w:bCs/>
        <w:noProof/>
        <w:lang w:val="en-US"/>
      </w:rPr>
      <w:t>ITU-R  M.2532-0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4845" w14:textId="3B179265" w:rsidR="001D5EB0" w:rsidRDefault="001D5EB0">
    <w:pPr>
      <w:pStyle w:val="Header"/>
    </w:pPr>
    <w:r>
      <w:tab/>
    </w:r>
    <w:r>
      <w:rPr>
        <w:b/>
        <w:bCs/>
      </w:rPr>
      <w:fldChar w:fldCharType="begin"/>
    </w:r>
    <w:r>
      <w:rPr>
        <w:b/>
        <w:bCs/>
      </w:rPr>
      <w:instrText xml:space="preserve"> DOCPROPERTY  "Header 2"  \* MERGEFORMAT </w:instrText>
    </w:r>
    <w:r>
      <w:rPr>
        <w:b/>
        <w:bCs/>
      </w:rPr>
      <w:fldChar w:fldCharType="separate"/>
    </w:r>
    <w:r w:rsidR="004528AD">
      <w:rPr>
        <w:b/>
        <w:bCs/>
      </w:rPr>
      <w:t xml:space="preserve">Rep. </w:t>
    </w:r>
    <w:r>
      <w:rPr>
        <w:b/>
        <w:bCs/>
      </w:rPr>
      <w:fldChar w:fldCharType="end"/>
    </w:r>
    <w:r>
      <w:rPr>
        <w:b/>
        <w:bCs/>
      </w:rPr>
      <w:t xml:space="preserve"> </w:t>
    </w:r>
    <w:r>
      <w:rPr>
        <w:b/>
        <w:bCs/>
      </w:rPr>
      <w:fldChar w:fldCharType="begin"/>
    </w:r>
    <w:r>
      <w:rPr>
        <w:b/>
        <w:bCs/>
      </w:rPr>
      <w:instrText>styleref href</w:instrText>
    </w:r>
    <w:r>
      <w:rPr>
        <w:b/>
        <w:bCs/>
      </w:rPr>
      <w:fldChar w:fldCharType="separate"/>
    </w:r>
    <w:r w:rsidR="004528AD">
      <w:rPr>
        <w:b/>
        <w:bCs/>
        <w:noProof/>
      </w:rPr>
      <w:t>ITU-R  M.2532-0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AC1D" w14:textId="08C895FF"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22028D">
      <w:rPr>
        <w:b/>
        <w:bCs/>
        <w:lang w:val="en-US"/>
      </w:rPr>
      <w:fldChar w:fldCharType="begin"/>
    </w:r>
    <w:r w:rsidR="0022028D">
      <w:rPr>
        <w:b/>
        <w:bCs/>
        <w:lang w:val="en-US"/>
      </w:rPr>
      <w:instrText xml:space="preserve"> DOCPROPERTY  "Header 2"  \* MERGEFORMAT </w:instrText>
    </w:r>
    <w:r w:rsidR="0022028D">
      <w:rPr>
        <w:b/>
        <w:bCs/>
        <w:lang w:val="en-US"/>
      </w:rPr>
      <w:fldChar w:fldCharType="separate"/>
    </w:r>
    <w:r w:rsidR="004528AD">
      <w:rPr>
        <w:b/>
        <w:bCs/>
        <w:lang w:val="en-US"/>
      </w:rPr>
      <w:t xml:space="preserve">Rep. </w:t>
    </w:r>
    <w:r w:rsidR="0022028D">
      <w:rPr>
        <w:b/>
        <w:bCs/>
        <w:lang w:val="en-US"/>
      </w:rPr>
      <w:fldChar w:fldCharType="end"/>
    </w:r>
    <w:r w:rsidR="0022028D">
      <w:rPr>
        <w:b/>
        <w:bCs/>
      </w:rPr>
      <w:t xml:space="preserve"> </w:t>
    </w:r>
    <w:r w:rsidR="0022028D">
      <w:rPr>
        <w:b/>
        <w:bCs/>
      </w:rPr>
      <w:fldChar w:fldCharType="begin"/>
    </w:r>
    <w:r w:rsidR="0022028D">
      <w:rPr>
        <w:b/>
        <w:bCs/>
        <w:lang w:val="en-US"/>
      </w:rPr>
      <w:instrText>styleref href</w:instrText>
    </w:r>
    <w:r w:rsidR="0022028D">
      <w:rPr>
        <w:b/>
        <w:bCs/>
      </w:rPr>
      <w:fldChar w:fldCharType="separate"/>
    </w:r>
    <w:r w:rsidR="004528AD">
      <w:rPr>
        <w:b/>
        <w:bCs/>
        <w:noProof/>
        <w:lang w:val="en-US"/>
      </w:rPr>
      <w:t>ITU-R  M.2532-0</w:t>
    </w:r>
    <w:r w:rsidR="0022028D">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E4BF" w14:textId="30153CDE" w:rsidR="00607D68" w:rsidRDefault="00607D68">
    <w:pPr>
      <w:pStyle w:val="Header"/>
    </w:pPr>
    <w:r>
      <w:tab/>
    </w:r>
    <w:r w:rsidR="0022028D">
      <w:rPr>
        <w:b/>
        <w:bCs/>
        <w:lang w:val="en-US"/>
      </w:rPr>
      <w:fldChar w:fldCharType="begin"/>
    </w:r>
    <w:r w:rsidR="0022028D">
      <w:rPr>
        <w:b/>
        <w:bCs/>
        <w:lang w:val="en-US"/>
      </w:rPr>
      <w:instrText xml:space="preserve"> DOCPROPERTY  "Header 2"  \* MERGEFORMAT </w:instrText>
    </w:r>
    <w:r w:rsidR="0022028D">
      <w:rPr>
        <w:b/>
        <w:bCs/>
        <w:lang w:val="en-US"/>
      </w:rPr>
      <w:fldChar w:fldCharType="separate"/>
    </w:r>
    <w:r w:rsidR="004528AD">
      <w:rPr>
        <w:b/>
        <w:bCs/>
        <w:lang w:val="en-US"/>
      </w:rPr>
      <w:t xml:space="preserve">Rep. </w:t>
    </w:r>
    <w:r w:rsidR="0022028D">
      <w:rPr>
        <w:b/>
        <w:bCs/>
        <w:lang w:val="en-US"/>
      </w:rPr>
      <w:fldChar w:fldCharType="end"/>
    </w:r>
    <w:r w:rsidR="0022028D">
      <w:rPr>
        <w:b/>
        <w:bCs/>
      </w:rPr>
      <w:t xml:space="preserve"> </w:t>
    </w:r>
    <w:r w:rsidR="0022028D">
      <w:rPr>
        <w:b/>
        <w:bCs/>
      </w:rPr>
      <w:fldChar w:fldCharType="begin"/>
    </w:r>
    <w:r w:rsidR="0022028D">
      <w:rPr>
        <w:b/>
        <w:bCs/>
        <w:lang w:val="en-US"/>
      </w:rPr>
      <w:instrText>styleref href</w:instrText>
    </w:r>
    <w:r w:rsidR="0022028D">
      <w:rPr>
        <w:b/>
        <w:bCs/>
      </w:rPr>
      <w:fldChar w:fldCharType="separate"/>
    </w:r>
    <w:r w:rsidR="004528AD">
      <w:rPr>
        <w:b/>
        <w:bCs/>
        <w:noProof/>
        <w:lang w:val="en-US"/>
      </w:rPr>
      <w:t>ITU-R  M.2532-0</w:t>
    </w:r>
    <w:r w:rsidR="0022028D">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87A84"/>
    <w:multiLevelType w:val="hybridMultilevel"/>
    <w:tmpl w:val="2D5CA910"/>
    <w:lvl w:ilvl="0" w:tplc="D798965E">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CF48A5"/>
    <w:multiLevelType w:val="hybridMultilevel"/>
    <w:tmpl w:val="587CD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4354390">
    <w:abstractNumId w:val="9"/>
  </w:num>
  <w:num w:numId="2" w16cid:durableId="1654332081">
    <w:abstractNumId w:val="7"/>
  </w:num>
  <w:num w:numId="3" w16cid:durableId="1074744024">
    <w:abstractNumId w:val="6"/>
  </w:num>
  <w:num w:numId="4" w16cid:durableId="1967466816">
    <w:abstractNumId w:val="5"/>
  </w:num>
  <w:num w:numId="5" w16cid:durableId="658772153">
    <w:abstractNumId w:val="4"/>
  </w:num>
  <w:num w:numId="6" w16cid:durableId="1124154465">
    <w:abstractNumId w:val="8"/>
  </w:num>
  <w:num w:numId="7" w16cid:durableId="338507195">
    <w:abstractNumId w:val="3"/>
  </w:num>
  <w:num w:numId="8" w16cid:durableId="10690709">
    <w:abstractNumId w:val="2"/>
  </w:num>
  <w:num w:numId="9" w16cid:durableId="501511534">
    <w:abstractNumId w:val="1"/>
  </w:num>
  <w:num w:numId="10" w16cid:durableId="1255476114">
    <w:abstractNumId w:val="0"/>
  </w:num>
  <w:num w:numId="11" w16cid:durableId="11418126">
    <w:abstractNumId w:val="11"/>
  </w:num>
  <w:num w:numId="12" w16cid:durableId="1696613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B0"/>
    <w:rsid w:val="001D5EB0"/>
    <w:rsid w:val="00217EBF"/>
    <w:rsid w:val="0022028D"/>
    <w:rsid w:val="00242AEE"/>
    <w:rsid w:val="002D76C4"/>
    <w:rsid w:val="003C2B67"/>
    <w:rsid w:val="003D5BA0"/>
    <w:rsid w:val="004528AD"/>
    <w:rsid w:val="00470EDD"/>
    <w:rsid w:val="0052529D"/>
    <w:rsid w:val="005D09B2"/>
    <w:rsid w:val="00607D68"/>
    <w:rsid w:val="007052D5"/>
    <w:rsid w:val="007468DA"/>
    <w:rsid w:val="007D4EB9"/>
    <w:rsid w:val="009C1318"/>
    <w:rsid w:val="009E00A8"/>
    <w:rsid w:val="009E5086"/>
    <w:rsid w:val="00A6617B"/>
    <w:rsid w:val="00AB0DC8"/>
    <w:rsid w:val="00B005C3"/>
    <w:rsid w:val="00B44E24"/>
    <w:rsid w:val="00CC12F1"/>
    <w:rsid w:val="00DC2B47"/>
    <w:rsid w:val="00DF4176"/>
    <w:rsid w:val="00E26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307B9"/>
  <w15:docId w15:val="{1FCAC1B7-7198-4421-B65D-457D0528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qFormat/>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B005C3"/>
    <w:pPr>
      <w:keepNext/>
      <w:spacing w:before="360" w:after="120"/>
      <w:jc w:val="center"/>
    </w:pPr>
    <w:rPr>
      <w:caps/>
    </w:rPr>
  </w:style>
  <w:style w:type="paragraph" w:customStyle="1" w:styleId="Tabletext">
    <w:name w:val="Table_text"/>
    <w:basedOn w:val="Normal"/>
    <w:link w:val="TabletextChar"/>
    <w:qFormat/>
    <w:rsid w:val="00B005C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uiPriority w:val="3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pPr>
      <w:tabs>
        <w:tab w:val="clear" w:pos="567"/>
        <w:tab w:val="left" w:pos="1276"/>
      </w:tabs>
      <w:spacing w:before="160"/>
      <w:ind w:left="1276" w:hanging="709"/>
    </w:pPr>
  </w:style>
  <w:style w:type="paragraph" w:styleId="TOC3">
    <w:name w:val="toc 3"/>
    <w:basedOn w:val="TOC2"/>
    <w:uiPriority w:val="39"/>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qFormat/>
    <w:rsid w:val="00A6617B"/>
    <w:pPr>
      <w:keepNext w:val="0"/>
      <w:spacing w:before="0" w:after="240"/>
    </w:pPr>
  </w:style>
  <w:style w:type="character" w:styleId="Hyperlink">
    <w:name w:val="Hyperlink"/>
    <w:aliases w:val="CEO_Hyperlink"/>
    <w:basedOn w:val="DefaultParagraphFont"/>
    <w:uiPriority w:val="99"/>
    <w:rsid w:val="001D5EB0"/>
    <w:rPr>
      <w:color w:val="0000FF"/>
      <w:u w:val="single"/>
    </w:rPr>
  </w:style>
  <w:style w:type="character" w:customStyle="1" w:styleId="HeaderChar">
    <w:name w:val="Header Char"/>
    <w:basedOn w:val="DefaultParagraphFont"/>
    <w:link w:val="Header"/>
    <w:rsid w:val="001D5EB0"/>
    <w:rPr>
      <w:sz w:val="24"/>
      <w:lang w:val="en-GB" w:eastAsia="en-US"/>
    </w:rPr>
  </w:style>
  <w:style w:type="table" w:styleId="TableGrid">
    <w:name w:val="Table Grid"/>
    <w:basedOn w:val="TableNormal"/>
    <w:uiPriority w:val="39"/>
    <w:rsid w:val="001D5EB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1D5EB0"/>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1D5EB0"/>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1D5EB0"/>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1D5EB0"/>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22028D"/>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22028D"/>
    <w:rPr>
      <w:vertAlign w:val="superscript"/>
    </w:rPr>
  </w:style>
  <w:style w:type="paragraph" w:customStyle="1" w:styleId="Figurewithouttitle">
    <w:name w:val="Figure_without_title"/>
    <w:basedOn w:val="FigureNo"/>
    <w:next w:val="Normal"/>
    <w:rsid w:val="0022028D"/>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22028D"/>
    <w:pPr>
      <w:overflowPunct/>
      <w:autoSpaceDE/>
      <w:autoSpaceDN/>
      <w:adjustRightInd/>
      <w:spacing w:before="40"/>
      <w:jc w:val="left"/>
      <w:textAlignment w:val="auto"/>
    </w:pPr>
    <w:rPr>
      <w:noProof w:val="0"/>
      <w:sz w:val="16"/>
    </w:rPr>
  </w:style>
  <w:style w:type="paragraph" w:customStyle="1" w:styleId="Source">
    <w:name w:val="Source"/>
    <w:basedOn w:val="Normal"/>
    <w:next w:val="Normal"/>
    <w:rsid w:val="0022028D"/>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22028D"/>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22028D"/>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22028D"/>
    <w:pPr>
      <w:tabs>
        <w:tab w:val="left" w:pos="567"/>
        <w:tab w:val="left" w:pos="1701"/>
        <w:tab w:val="left" w:pos="2835"/>
      </w:tabs>
      <w:spacing w:before="240"/>
    </w:pPr>
    <w:rPr>
      <w:b w:val="0"/>
      <w:caps/>
    </w:rPr>
  </w:style>
  <w:style w:type="paragraph" w:customStyle="1" w:styleId="Title2">
    <w:name w:val="Title 2"/>
    <w:basedOn w:val="Source"/>
    <w:next w:val="Normal"/>
    <w:rsid w:val="0022028D"/>
    <w:pPr>
      <w:overflowPunct/>
      <w:autoSpaceDE/>
      <w:autoSpaceDN/>
      <w:adjustRightInd/>
      <w:spacing w:before="480"/>
      <w:textAlignment w:val="auto"/>
    </w:pPr>
    <w:rPr>
      <w:b w:val="0"/>
      <w:caps/>
    </w:rPr>
  </w:style>
  <w:style w:type="paragraph" w:customStyle="1" w:styleId="Title3">
    <w:name w:val="Title 3"/>
    <w:basedOn w:val="Title2"/>
    <w:next w:val="Normal"/>
    <w:rsid w:val="0022028D"/>
    <w:pPr>
      <w:spacing w:before="240"/>
    </w:pPr>
    <w:rPr>
      <w:caps w:val="0"/>
    </w:rPr>
  </w:style>
  <w:style w:type="paragraph" w:customStyle="1" w:styleId="Title4">
    <w:name w:val="Title 4"/>
    <w:basedOn w:val="Title3"/>
    <w:next w:val="Heading1"/>
    <w:rsid w:val="0022028D"/>
    <w:rPr>
      <w:b/>
    </w:rPr>
  </w:style>
  <w:style w:type="character" w:customStyle="1" w:styleId="Appdef">
    <w:name w:val="App_def"/>
    <w:basedOn w:val="DefaultParagraphFont"/>
    <w:rsid w:val="0022028D"/>
    <w:rPr>
      <w:rFonts w:ascii="Times New Roman" w:hAnsi="Times New Roman"/>
      <w:b/>
    </w:rPr>
  </w:style>
  <w:style w:type="character" w:customStyle="1" w:styleId="Appref">
    <w:name w:val="App_ref"/>
    <w:basedOn w:val="DefaultParagraphFont"/>
    <w:rsid w:val="0022028D"/>
  </w:style>
  <w:style w:type="character" w:customStyle="1" w:styleId="Artdef">
    <w:name w:val="Art_def"/>
    <w:basedOn w:val="DefaultParagraphFont"/>
    <w:rsid w:val="0022028D"/>
    <w:rPr>
      <w:rFonts w:ascii="Times New Roman" w:hAnsi="Times New Roman"/>
      <w:b/>
    </w:rPr>
  </w:style>
  <w:style w:type="character" w:customStyle="1" w:styleId="Artref">
    <w:name w:val="Art_ref"/>
    <w:basedOn w:val="DefaultParagraphFont"/>
    <w:rsid w:val="0022028D"/>
  </w:style>
  <w:style w:type="character" w:customStyle="1" w:styleId="Tablefreq">
    <w:name w:val="Table_freq"/>
    <w:basedOn w:val="DefaultParagraphFont"/>
    <w:rsid w:val="0022028D"/>
    <w:rPr>
      <w:b/>
      <w:color w:val="auto"/>
      <w:sz w:val="20"/>
    </w:rPr>
  </w:style>
  <w:style w:type="paragraph" w:customStyle="1" w:styleId="Formal">
    <w:name w:val="Formal"/>
    <w:basedOn w:val="ASN1"/>
    <w:rsid w:val="0022028D"/>
    <w:pPr>
      <w:tabs>
        <w:tab w:val="left" w:pos="1871"/>
      </w:tabs>
      <w:jc w:val="left"/>
    </w:pPr>
    <w:rPr>
      <w:rFonts w:ascii="Times New Roman Bold" w:hAnsi="Times New Roman Bold"/>
      <w:b w:val="0"/>
    </w:rPr>
  </w:style>
  <w:style w:type="paragraph" w:customStyle="1" w:styleId="Section1">
    <w:name w:val="Section_1"/>
    <w:basedOn w:val="Normal"/>
    <w:rsid w:val="0022028D"/>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22028D"/>
    <w:rPr>
      <w:b w:val="0"/>
      <w:i/>
    </w:rPr>
  </w:style>
  <w:style w:type="paragraph" w:customStyle="1" w:styleId="AnnexNo">
    <w:name w:val="Annex_No"/>
    <w:basedOn w:val="Normal"/>
    <w:next w:val="Normal"/>
    <w:rsid w:val="0022028D"/>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22028D"/>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22028D"/>
  </w:style>
  <w:style w:type="paragraph" w:customStyle="1" w:styleId="Appendixtitle">
    <w:name w:val="Appendix_title"/>
    <w:basedOn w:val="Annextitle"/>
    <w:next w:val="Normal"/>
    <w:rsid w:val="0022028D"/>
  </w:style>
  <w:style w:type="paragraph" w:customStyle="1" w:styleId="Border">
    <w:name w:val="Border"/>
    <w:basedOn w:val="Normal"/>
    <w:rsid w:val="0022028D"/>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22028D"/>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22028D"/>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22028D"/>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22028D"/>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22028D"/>
  </w:style>
  <w:style w:type="paragraph" w:customStyle="1" w:styleId="Normalaftertitle0">
    <w:name w:val="Normal after title"/>
    <w:basedOn w:val="Normal"/>
    <w:next w:val="Normal"/>
    <w:rsid w:val="0022028D"/>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22028D"/>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22028D"/>
    <w:pPr>
      <w:tabs>
        <w:tab w:val="clear" w:pos="794"/>
        <w:tab w:val="clear" w:pos="1191"/>
        <w:tab w:val="left" w:pos="1134"/>
      </w:tabs>
      <w:jc w:val="left"/>
    </w:pPr>
  </w:style>
  <w:style w:type="paragraph" w:customStyle="1" w:styleId="Section3">
    <w:name w:val="Section_3"/>
    <w:basedOn w:val="Section1"/>
    <w:rsid w:val="0022028D"/>
    <w:rPr>
      <w:b w:val="0"/>
    </w:rPr>
  </w:style>
  <w:style w:type="paragraph" w:customStyle="1" w:styleId="TableTextS5">
    <w:name w:val="Table_TextS5"/>
    <w:basedOn w:val="Normal"/>
    <w:rsid w:val="0022028D"/>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22028D"/>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22028D"/>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22028D"/>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22028D"/>
  </w:style>
  <w:style w:type="paragraph" w:customStyle="1" w:styleId="Committee">
    <w:name w:val="Committee"/>
    <w:basedOn w:val="Normal"/>
    <w:qFormat/>
    <w:rsid w:val="0022028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erChar">
    <w:name w:val="Footer Char"/>
    <w:basedOn w:val="DefaultParagraphFont"/>
    <w:link w:val="Footer"/>
    <w:rsid w:val="0022028D"/>
    <w:rPr>
      <w:noProof/>
      <w:sz w:val="18"/>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22028D"/>
    <w:rPr>
      <w:sz w:val="22"/>
      <w:lang w:val="en-GB" w:eastAsia="en-US"/>
    </w:rPr>
  </w:style>
  <w:style w:type="paragraph" w:customStyle="1" w:styleId="Normalend">
    <w:name w:val="Normal_end"/>
    <w:basedOn w:val="Normal"/>
    <w:next w:val="Normal"/>
    <w:qFormat/>
    <w:rsid w:val="0022028D"/>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22028D"/>
    <w:pPr>
      <w:keepNext/>
      <w:keepLines/>
    </w:pPr>
  </w:style>
  <w:style w:type="paragraph" w:customStyle="1" w:styleId="Subsection1">
    <w:name w:val="Subsection_1"/>
    <w:basedOn w:val="Section1"/>
    <w:next w:val="Normalaftertitle0"/>
    <w:qFormat/>
    <w:rsid w:val="0022028D"/>
  </w:style>
  <w:style w:type="paragraph" w:customStyle="1" w:styleId="Volumetitle">
    <w:name w:val="Volume_title"/>
    <w:basedOn w:val="Normal"/>
    <w:qFormat/>
    <w:rsid w:val="0022028D"/>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22028D"/>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22028D"/>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22028D"/>
    <w:rPr>
      <w:rFonts w:ascii="Times New Roman" w:hAnsi="Times New Roman"/>
      <w:b w:val="0"/>
    </w:rPr>
  </w:style>
  <w:style w:type="paragraph" w:customStyle="1" w:styleId="Tablesplit">
    <w:name w:val="Table_split"/>
    <w:basedOn w:val="Tabletext"/>
    <w:qFormat/>
    <w:rsid w:val="0022028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22028D"/>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22028D"/>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22028D"/>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22028D"/>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22028D"/>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22028D"/>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22028D"/>
    <w:rPr>
      <w:rFonts w:ascii="Times New Roman Bold" w:hAnsi="Times New Roman Bold"/>
      <w:b/>
      <w:sz w:val="18"/>
      <w:lang w:val="en-GB" w:eastAsia="en-US"/>
    </w:rPr>
  </w:style>
  <w:style w:type="paragraph" w:customStyle="1" w:styleId="Figurewithlegend">
    <w:name w:val="Figure_with_legend"/>
    <w:basedOn w:val="Figure"/>
    <w:rsid w:val="0022028D"/>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22028D"/>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22028D"/>
    <w:rPr>
      <w:sz w:val="24"/>
      <w:lang w:val="en-GB" w:eastAsia="en-US"/>
    </w:rPr>
  </w:style>
  <w:style w:type="character" w:styleId="PlaceholderText">
    <w:name w:val="Placeholder Text"/>
    <w:basedOn w:val="DefaultParagraphFont"/>
    <w:uiPriority w:val="99"/>
    <w:semiHidden/>
    <w:rsid w:val="0022028D"/>
    <w:rPr>
      <w:color w:val="808080"/>
    </w:rPr>
  </w:style>
  <w:style w:type="paragraph" w:customStyle="1" w:styleId="DocData">
    <w:name w:val="DocData"/>
    <w:basedOn w:val="Normal"/>
    <w:rsid w:val="0022028D"/>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hAnsi="Verdana"/>
      <w:b/>
      <w:sz w:val="20"/>
      <w:lang w:eastAsia="zh-CN"/>
    </w:rPr>
  </w:style>
  <w:style w:type="character" w:customStyle="1" w:styleId="Heading1Char">
    <w:name w:val="Heading 1 Char"/>
    <w:basedOn w:val="DefaultParagraphFont"/>
    <w:link w:val="Heading1"/>
    <w:rsid w:val="0022028D"/>
    <w:rPr>
      <w:b/>
      <w:sz w:val="24"/>
      <w:lang w:val="en-GB" w:eastAsia="en-US"/>
    </w:rPr>
  </w:style>
  <w:style w:type="character" w:customStyle="1" w:styleId="Heading2Char">
    <w:name w:val="Heading 2 Char"/>
    <w:basedOn w:val="DefaultParagraphFont"/>
    <w:link w:val="Heading2"/>
    <w:rsid w:val="0022028D"/>
    <w:rPr>
      <w:b/>
      <w:sz w:val="24"/>
      <w:lang w:val="en-GB" w:eastAsia="en-US"/>
    </w:rPr>
  </w:style>
  <w:style w:type="character" w:customStyle="1" w:styleId="Heading3Char">
    <w:name w:val="Heading 3 Char"/>
    <w:basedOn w:val="DefaultParagraphFont"/>
    <w:link w:val="Heading3"/>
    <w:rsid w:val="0022028D"/>
    <w:rPr>
      <w:b/>
      <w:sz w:val="24"/>
      <w:lang w:val="en-GB" w:eastAsia="en-US"/>
    </w:rPr>
  </w:style>
  <w:style w:type="character" w:customStyle="1" w:styleId="Heading4Char">
    <w:name w:val="Heading 4 Char"/>
    <w:basedOn w:val="DefaultParagraphFont"/>
    <w:link w:val="Heading4"/>
    <w:rsid w:val="0022028D"/>
    <w:rPr>
      <w:b/>
      <w:sz w:val="24"/>
      <w:lang w:val="en-GB" w:eastAsia="en-US"/>
    </w:rPr>
  </w:style>
  <w:style w:type="character" w:customStyle="1" w:styleId="Heading5Char">
    <w:name w:val="Heading 5 Char"/>
    <w:basedOn w:val="DefaultParagraphFont"/>
    <w:link w:val="Heading5"/>
    <w:rsid w:val="0022028D"/>
    <w:rPr>
      <w:b/>
      <w:sz w:val="24"/>
      <w:lang w:val="en-GB" w:eastAsia="en-US"/>
    </w:rPr>
  </w:style>
  <w:style w:type="character" w:customStyle="1" w:styleId="Heading6Char">
    <w:name w:val="Heading 6 Char"/>
    <w:basedOn w:val="DefaultParagraphFont"/>
    <w:link w:val="Heading6"/>
    <w:rsid w:val="0022028D"/>
    <w:rPr>
      <w:b/>
      <w:sz w:val="24"/>
      <w:lang w:val="en-GB" w:eastAsia="en-US"/>
    </w:rPr>
  </w:style>
  <w:style w:type="character" w:customStyle="1" w:styleId="Heading7Char">
    <w:name w:val="Heading 7 Char"/>
    <w:basedOn w:val="DefaultParagraphFont"/>
    <w:link w:val="Heading7"/>
    <w:rsid w:val="0022028D"/>
    <w:rPr>
      <w:b/>
      <w:sz w:val="24"/>
      <w:lang w:val="en-GB" w:eastAsia="en-US"/>
    </w:rPr>
  </w:style>
  <w:style w:type="character" w:customStyle="1" w:styleId="Heading8Char">
    <w:name w:val="Heading 8 Char"/>
    <w:basedOn w:val="DefaultParagraphFont"/>
    <w:link w:val="Heading8"/>
    <w:rsid w:val="0022028D"/>
    <w:rPr>
      <w:b/>
      <w:sz w:val="24"/>
      <w:lang w:val="en-GB" w:eastAsia="en-US"/>
    </w:rPr>
  </w:style>
  <w:style w:type="character" w:customStyle="1" w:styleId="Heading9Char">
    <w:name w:val="Heading 9 Char"/>
    <w:basedOn w:val="DefaultParagraphFont"/>
    <w:link w:val="Heading9"/>
    <w:rsid w:val="0022028D"/>
    <w:rPr>
      <w:b/>
      <w:sz w:val="24"/>
      <w:lang w:val="en-GB" w:eastAsia="en-US"/>
    </w:rPr>
  </w:style>
  <w:style w:type="character" w:customStyle="1" w:styleId="UnresolvedMention1">
    <w:name w:val="Unresolved Mention1"/>
    <w:basedOn w:val="DefaultParagraphFont"/>
    <w:uiPriority w:val="99"/>
    <w:semiHidden/>
    <w:unhideWhenUsed/>
    <w:rsid w:val="0022028D"/>
    <w:rPr>
      <w:color w:val="605E5C"/>
      <w:shd w:val="clear" w:color="auto" w:fill="E1DFDD"/>
    </w:rPr>
  </w:style>
  <w:style w:type="character" w:customStyle="1" w:styleId="TabletextChar">
    <w:name w:val="Table_text Char"/>
    <w:basedOn w:val="DefaultParagraphFont"/>
    <w:link w:val="Tabletext"/>
    <w:locked/>
    <w:rsid w:val="00B005C3"/>
    <w:rPr>
      <w:sz w:val="22"/>
      <w:lang w:val="en-GB" w:eastAsia="en-US"/>
    </w:rPr>
  </w:style>
  <w:style w:type="character" w:customStyle="1" w:styleId="TableheadChar">
    <w:name w:val="Table_head Char"/>
    <w:basedOn w:val="DefaultParagraphFont"/>
    <w:link w:val="Tablehead"/>
    <w:locked/>
    <w:rsid w:val="0022028D"/>
    <w:rPr>
      <w:b/>
      <w:sz w:val="22"/>
      <w:lang w:val="en-GB" w:eastAsia="en-US"/>
    </w:rPr>
  </w:style>
  <w:style w:type="character" w:customStyle="1" w:styleId="TableNoChar">
    <w:name w:val="Table_No Char"/>
    <w:link w:val="TableNo"/>
    <w:locked/>
    <w:rsid w:val="00B005C3"/>
    <w:rPr>
      <w:caps/>
      <w:sz w:val="24"/>
      <w:lang w:val="en-GB" w:eastAsia="en-US"/>
    </w:rPr>
  </w:style>
  <w:style w:type="character" w:customStyle="1" w:styleId="TabletitleChar">
    <w:name w:val="Table_title Char"/>
    <w:link w:val="Tabletitle"/>
    <w:locked/>
    <w:rsid w:val="0022028D"/>
    <w:rPr>
      <w:b/>
      <w:sz w:val="24"/>
      <w:lang w:val="en-GB" w:eastAsia="en-US"/>
    </w:rPr>
  </w:style>
  <w:style w:type="character" w:customStyle="1" w:styleId="ECCHLbold">
    <w:name w:val="ECC HL bold"/>
    <w:uiPriority w:val="1"/>
    <w:qFormat/>
    <w:rsid w:val="0022028D"/>
    <w:rPr>
      <w:b/>
      <w:bCs w:val="0"/>
    </w:rPr>
  </w:style>
  <w:style w:type="character" w:styleId="UnresolvedMention">
    <w:name w:val="Unresolved Mention"/>
    <w:basedOn w:val="DefaultParagraphFont"/>
    <w:uiPriority w:val="99"/>
    <w:semiHidden/>
    <w:unhideWhenUsed/>
    <w:rsid w:val="0022028D"/>
    <w:rPr>
      <w:color w:val="605E5C"/>
      <w:shd w:val="clear" w:color="auto" w:fill="E1DFDD"/>
    </w:rPr>
  </w:style>
  <w:style w:type="paragraph" w:styleId="BalloonText">
    <w:name w:val="Balloon Text"/>
    <w:basedOn w:val="Normal"/>
    <w:link w:val="BalloonTextChar"/>
    <w:unhideWhenUsed/>
    <w:rsid w:val="0022028D"/>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
    <w:name w:val="Balloon Text Char"/>
    <w:basedOn w:val="DefaultParagraphFont"/>
    <w:link w:val="BalloonText"/>
    <w:rsid w:val="0022028D"/>
    <w:rPr>
      <w:rFonts w:ascii="Segoe UI" w:hAnsi="Segoe UI" w:cs="Segoe UI"/>
      <w:sz w:val="18"/>
      <w:szCs w:val="18"/>
      <w:lang w:val="en-GB" w:eastAsia="en-US"/>
    </w:rPr>
  </w:style>
  <w:style w:type="character" w:styleId="CommentReference">
    <w:name w:val="annotation reference"/>
    <w:basedOn w:val="DefaultParagraphFont"/>
    <w:semiHidden/>
    <w:unhideWhenUsed/>
    <w:rsid w:val="0022028D"/>
    <w:rPr>
      <w:sz w:val="16"/>
      <w:szCs w:val="16"/>
    </w:rPr>
  </w:style>
  <w:style w:type="paragraph" w:styleId="CommentText">
    <w:name w:val="annotation text"/>
    <w:basedOn w:val="Normal"/>
    <w:link w:val="CommentTextChar"/>
    <w:unhideWhenUsed/>
    <w:rsid w:val="0022028D"/>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22028D"/>
    <w:rPr>
      <w:lang w:val="en-GB" w:eastAsia="en-US"/>
    </w:rPr>
  </w:style>
  <w:style w:type="paragraph" w:styleId="CommentSubject">
    <w:name w:val="annotation subject"/>
    <w:basedOn w:val="CommentText"/>
    <w:next w:val="CommentText"/>
    <w:link w:val="CommentSubjectChar"/>
    <w:semiHidden/>
    <w:unhideWhenUsed/>
    <w:rsid w:val="0022028D"/>
    <w:rPr>
      <w:b/>
      <w:bCs/>
    </w:rPr>
  </w:style>
  <w:style w:type="character" w:customStyle="1" w:styleId="CommentSubjectChar">
    <w:name w:val="Comment Subject Char"/>
    <w:basedOn w:val="CommentTextChar"/>
    <w:link w:val="CommentSubject"/>
    <w:semiHidden/>
    <w:rsid w:val="0022028D"/>
    <w:rPr>
      <w:b/>
      <w:bCs/>
      <w:lang w:val="en-GB" w:eastAsia="en-US"/>
    </w:rPr>
  </w:style>
  <w:style w:type="character" w:customStyle="1" w:styleId="EquationlegendChar">
    <w:name w:val="Equation_legend Char"/>
    <w:link w:val="Equationlegend"/>
    <w:locked/>
    <w:rsid w:val="0022028D"/>
    <w:rPr>
      <w:sz w:val="24"/>
      <w:lang w:eastAsia="en-US"/>
    </w:rPr>
  </w:style>
  <w:style w:type="character" w:customStyle="1" w:styleId="NormalaftertitleChar">
    <w:name w:val="Normal_after_title Char"/>
    <w:basedOn w:val="DefaultParagraphFont"/>
    <w:link w:val="Normalaftertitle"/>
    <w:locked/>
    <w:rsid w:val="0022028D"/>
    <w:rPr>
      <w:sz w:val="24"/>
      <w:lang w:val="en-GB" w:eastAsia="en-US"/>
    </w:rPr>
  </w:style>
  <w:style w:type="character" w:customStyle="1" w:styleId="enumlev1Char">
    <w:name w:val="enumlev1 Char"/>
    <w:basedOn w:val="DefaultParagraphFont"/>
    <w:link w:val="enumlev1"/>
    <w:locked/>
    <w:rsid w:val="0022028D"/>
    <w:rPr>
      <w:sz w:val="24"/>
      <w:lang w:val="en-GB" w:eastAsia="en-US"/>
    </w:rPr>
  </w:style>
  <w:style w:type="table" w:customStyle="1" w:styleId="ECCTable-redheader">
    <w:name w:val="ECC Table - red header"/>
    <w:basedOn w:val="TableNormal"/>
    <w:uiPriority w:val="99"/>
    <w:rsid w:val="0022028D"/>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TablelegendChar">
    <w:name w:val="Table_legend Char"/>
    <w:link w:val="Tablelegend"/>
    <w:locked/>
    <w:rsid w:val="0022028D"/>
    <w:rPr>
      <w:sz w:val="22"/>
      <w:lang w:val="en-GB" w:eastAsia="en-US"/>
    </w:rPr>
  </w:style>
  <w:style w:type="paragraph" w:styleId="Revision">
    <w:name w:val="Revision"/>
    <w:hidden/>
    <w:uiPriority w:val="99"/>
    <w:semiHidden/>
    <w:rsid w:val="0022028D"/>
    <w:rPr>
      <w:sz w:val="24"/>
      <w:lang w:val="en-GB" w:eastAsia="en-US"/>
    </w:rPr>
  </w:style>
  <w:style w:type="character" w:styleId="FollowedHyperlink">
    <w:name w:val="FollowedHyperlink"/>
    <w:basedOn w:val="DefaultParagraphFont"/>
    <w:semiHidden/>
    <w:unhideWhenUsed/>
    <w:rsid w:val="0022028D"/>
    <w:rPr>
      <w:color w:val="800080" w:themeColor="followedHyperlink"/>
      <w:u w:val="single"/>
    </w:rPr>
  </w:style>
  <w:style w:type="character" w:customStyle="1" w:styleId="HeadingbChar">
    <w:name w:val="Heading_b Char"/>
    <w:basedOn w:val="DefaultParagraphFont"/>
    <w:link w:val="Headingb"/>
    <w:locked/>
    <w:rsid w:val="0022028D"/>
    <w:rPr>
      <w:b/>
      <w:sz w:val="24"/>
      <w:lang w:val="en-GB" w:eastAsia="en-US"/>
    </w:rPr>
  </w:style>
  <w:style w:type="paragraph" w:styleId="ListParagraph">
    <w:name w:val="List Paragraph"/>
    <w:basedOn w:val="Normal"/>
    <w:uiPriority w:val="34"/>
    <w:qFormat/>
    <w:rsid w:val="0022028D"/>
    <w:pPr>
      <w:tabs>
        <w:tab w:val="clear" w:pos="794"/>
        <w:tab w:val="clear" w:pos="1191"/>
        <w:tab w:val="clear" w:pos="1588"/>
        <w:tab w:val="clear" w:pos="1985"/>
        <w:tab w:val="left" w:pos="1134"/>
        <w:tab w:val="left" w:pos="1871"/>
        <w:tab w:val="left" w:pos="2268"/>
      </w:tabs>
      <w:ind w:left="720"/>
      <w:contextualSpacing/>
      <w:jc w:val="left"/>
    </w:pPr>
    <w:rPr>
      <w:rFonts w:eastAsia="MS Mincho"/>
    </w:rPr>
  </w:style>
  <w:style w:type="character" w:customStyle="1" w:styleId="UnresolvedMention2">
    <w:name w:val="Unresolved Mention2"/>
    <w:basedOn w:val="DefaultParagraphFont"/>
    <w:uiPriority w:val="99"/>
    <w:semiHidden/>
    <w:unhideWhenUsed/>
    <w:rsid w:val="0022028D"/>
    <w:rPr>
      <w:color w:val="605E5C"/>
      <w:shd w:val="clear" w:color="auto" w:fill="E1DFDD"/>
    </w:rPr>
  </w:style>
  <w:style w:type="character" w:customStyle="1" w:styleId="ECCHLsuperscript">
    <w:name w:val="ECC HL superscript"/>
    <w:uiPriority w:val="1"/>
    <w:qFormat/>
    <w:rsid w:val="0022028D"/>
    <w:rPr>
      <w:vertAlign w:val="superscript"/>
    </w:rPr>
  </w:style>
  <w:style w:type="character" w:customStyle="1" w:styleId="ECCParagraph">
    <w:name w:val="ECC Paragraph"/>
    <w:basedOn w:val="DefaultParagraphFont"/>
    <w:uiPriority w:val="1"/>
    <w:qFormat/>
    <w:rsid w:val="0022028D"/>
    <w:rPr>
      <w:rFonts w:ascii="Arial" w:hAnsi="Arial"/>
      <w:noProof w:val="0"/>
      <w:sz w:val="20"/>
      <w:bdr w:val="none" w:sz="0" w:space="0" w:color="auto"/>
      <w:lang w:val="en-GB"/>
    </w:rPr>
  </w:style>
  <w:style w:type="character" w:customStyle="1" w:styleId="NoteChar">
    <w:name w:val="Note Char"/>
    <w:basedOn w:val="DefaultParagraphFont"/>
    <w:link w:val="Note"/>
    <w:qFormat/>
    <w:rsid w:val="0022028D"/>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www.itu.int/rec/R-REC-M.2034/en" TargetMode="External"/><Relationship Id="rId26" Type="http://schemas.openxmlformats.org/officeDocument/2006/relationships/hyperlink" Target="https://www.itu.int/pub/R-REP-M/publications.aspx?lang=en&amp;parent=R-REP-M.2513" TargetMode="External"/><Relationship Id="rId3" Type="http://schemas.openxmlformats.org/officeDocument/2006/relationships/settings" Target="settings.xml"/><Relationship Id="rId21" Type="http://schemas.openxmlformats.org/officeDocument/2006/relationships/hyperlink" Target="https://www.itu.int/pub/R-QUE-SG05.48"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M.1732/en" TargetMode="External"/><Relationship Id="rId25" Type="http://schemas.openxmlformats.org/officeDocument/2006/relationships/hyperlink" Target="https://www.itu.int/pub/R-REP-M.2458" TargetMode="External"/><Relationship Id="rId2" Type="http://schemas.openxmlformats.org/officeDocument/2006/relationships/styles" Target="styles.xml"/><Relationship Id="rId16" Type="http://schemas.openxmlformats.org/officeDocument/2006/relationships/hyperlink" Target="http://www.iaru.org/regions.html" TargetMode="External"/><Relationship Id="rId20" Type="http://schemas.openxmlformats.org/officeDocument/2006/relationships/hyperlink" Target="https://www.itu.int/pub/R-REP-M/publications.aspx?lang=en&amp;parent=R-REP-M.251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P/en" TargetMode="External"/><Relationship Id="rId24"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https://www.itu.int/rec/R-REC-M.1902/en" TargetMode="External"/><Relationship Id="rId23" Type="http://schemas.openxmlformats.org/officeDocument/2006/relationships/hyperlink" Target="https://www.itu.int/rec/R-REC-M.1732/en" TargetMode="External"/><Relationship Id="rId28" Type="http://schemas.openxmlformats.org/officeDocument/2006/relationships/header" Target="header6.xml"/><Relationship Id="rId10" Type="http://schemas.openxmlformats.org/officeDocument/2006/relationships/hyperlink" Target="http://www.itu.int/ITU-R/go/patents/en" TargetMode="External"/><Relationship Id="rId19" Type="http://schemas.openxmlformats.org/officeDocument/2006/relationships/hyperlink" Target="https://www.itu.int/pub/R-REP-M.245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pub/R-REP-M.2458" TargetMode="External"/><Relationship Id="rId22" Type="http://schemas.openxmlformats.org/officeDocument/2006/relationships/hyperlink" Target="https://www.itu.int/pub/R-HDB-52"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itu.int/rec/R-REC-M.2034/en" TargetMode="External"/><Relationship Id="rId2" Type="http://schemas.openxmlformats.org/officeDocument/2006/relationships/hyperlink" Target="https://www.itu.int/pub/R-HDB-52-2014" TargetMode="External"/><Relationship Id="rId1" Type="http://schemas.openxmlformats.org/officeDocument/2006/relationships/hyperlink" Target="https://www.itu.int/pub/R-HDB-52-20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40</TotalTime>
  <Pages>19</Pages>
  <Words>5532</Words>
  <Characters>32537</Characters>
  <Application>Microsoft Office Word</Application>
  <DocSecurity>0</DocSecurity>
  <Lines>856</Lines>
  <Paragraphs>76</Paragraphs>
  <ScaleCrop>false</ScaleCrop>
  <HeadingPairs>
    <vt:vector size="2" baseType="variant">
      <vt:variant>
        <vt:lpstr>Title</vt:lpstr>
      </vt:variant>
      <vt:variant>
        <vt:i4>1</vt:i4>
      </vt:variant>
    </vt:vector>
  </HeadingPairs>
  <TitlesOfParts>
    <vt:vector size="1" baseType="lpstr">
      <vt:lpstr>Report ITU-R M.2532-0 (09/2023) - Amateur and amateur-satellite services characteristics and usage in the 1 240 1 300 MHz frequency band</vt:lpstr>
    </vt:vector>
  </TitlesOfParts>
  <Manager/>
  <Company>ITU</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ITU-R M.2532-0 (09/2023) - Amateur and amateur-satellite services characteristics and usage in the 1 240 1 300 MHz frequency band</dc:title>
  <dc:subject/>
  <dc:creator>Gachet, Christelle</dc:creator>
  <cp:keywords/>
  <dc:description/>
  <cp:lastModifiedBy>Gachet, Christelle</cp:lastModifiedBy>
  <cp:revision>12</cp:revision>
  <cp:lastPrinted>2023-11-01T12:34:00Z</cp:lastPrinted>
  <dcterms:created xsi:type="dcterms:W3CDTF">2023-10-24T05:02:00Z</dcterms:created>
  <dcterms:modified xsi:type="dcterms:W3CDTF">2023-11-01T12:36:00Z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