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3C6E" w14:textId="77777777" w:rsidR="002B311E" w:rsidRDefault="002B311E" w:rsidP="002B311E"/>
    <w:p w14:paraId="532B40E5" w14:textId="77777777" w:rsidR="002B311E" w:rsidRDefault="002B311E" w:rsidP="002B311E">
      <w:pPr>
        <w:tabs>
          <w:tab w:val="clear" w:pos="794"/>
          <w:tab w:val="clear" w:pos="1191"/>
          <w:tab w:val="clear" w:pos="1588"/>
          <w:tab w:val="clear" w:pos="1985"/>
        </w:tabs>
      </w:pPr>
    </w:p>
    <w:p w14:paraId="3D65717A" w14:textId="310CB4F5" w:rsidR="002B311E" w:rsidRPr="004A6FEB" w:rsidRDefault="002B311E" w:rsidP="00AC790D">
      <w:pPr>
        <w:pStyle w:val="CoverNumber"/>
      </w:pPr>
      <w:r w:rsidRPr="00E97A57">
        <w:t xml:space="preserve">Report ITU-R </w:t>
      </w:r>
      <w:r>
        <w:t>M</w:t>
      </w:r>
      <w:r w:rsidRPr="00E97A57">
        <w:t>.</w:t>
      </w:r>
      <w:r w:rsidR="00AC790D" w:rsidRPr="00AC790D">
        <w:rPr>
          <w:lang w:val="en-GB"/>
        </w:rPr>
        <w:t>2444-1</w:t>
      </w:r>
    </w:p>
    <w:p w14:paraId="77BF1874" w14:textId="550CF6BB" w:rsidR="002B311E" w:rsidRPr="004A6FEB" w:rsidRDefault="002B311E" w:rsidP="002B311E">
      <w:pPr>
        <w:pStyle w:val="CoverDate"/>
      </w:pPr>
      <w:r w:rsidRPr="004A6FEB">
        <w:t>(</w:t>
      </w:r>
      <w:r w:rsidR="00AC790D">
        <w:t>09</w:t>
      </w:r>
      <w:r w:rsidRPr="004A6FEB">
        <w:t>/</w:t>
      </w:r>
      <w:r w:rsidR="00AC790D">
        <w:t>2023</w:t>
      </w:r>
      <w:r w:rsidRPr="004A6FEB">
        <w:t>)</w:t>
      </w:r>
    </w:p>
    <w:p w14:paraId="791A10C0" w14:textId="77777777" w:rsidR="002B311E" w:rsidRPr="004A6FEB" w:rsidRDefault="002B311E" w:rsidP="002B311E">
      <w:pPr>
        <w:pStyle w:val="CoverSeries"/>
      </w:pPr>
      <w:r>
        <w:t>M</w:t>
      </w:r>
      <w:r w:rsidRPr="00E97A57">
        <w:t xml:space="preserve"> Series: </w:t>
      </w:r>
      <w:r w:rsidRPr="00A47702">
        <w:rPr>
          <w:bCs w:val="0"/>
          <w:iCs/>
          <w:lang w:val="en-GB"/>
        </w:rPr>
        <w:t>Mobile, radiodetermination, amateur</w:t>
      </w:r>
      <w:r w:rsidRPr="00A47702">
        <w:rPr>
          <w:bCs w:val="0"/>
          <w:iCs/>
          <w:lang w:val="en-GB"/>
        </w:rPr>
        <w:br/>
        <w:t>and related satellite services</w:t>
      </w:r>
    </w:p>
    <w:p w14:paraId="78018444" w14:textId="28443977" w:rsidR="002B311E" w:rsidRPr="004A6FEB" w:rsidRDefault="000E052E" w:rsidP="000E052E">
      <w:pPr>
        <w:pStyle w:val="CoverTitle"/>
      </w:pPr>
      <w:r w:rsidRPr="000E052E">
        <w:rPr>
          <w:lang w:val="en-GB"/>
        </w:rPr>
        <w:t>Examples of arrangements for Intelligent Transport Systems deployments under the mobile service</w:t>
      </w:r>
    </w:p>
    <w:p w14:paraId="6D3C21E8" w14:textId="77777777" w:rsidR="002B311E" w:rsidRPr="005373E0" w:rsidRDefault="002B311E" w:rsidP="002B311E">
      <w:pPr>
        <w:rPr>
          <w:lang w:val="en-US"/>
        </w:rPr>
      </w:pPr>
    </w:p>
    <w:p w14:paraId="36EDAF34" w14:textId="77777777" w:rsidR="002B311E" w:rsidRPr="005373E0" w:rsidRDefault="002B311E" w:rsidP="002B311E"/>
    <w:p w14:paraId="57672359" w14:textId="77777777" w:rsidR="002B311E" w:rsidRPr="005373E0" w:rsidRDefault="002B311E" w:rsidP="002B311E">
      <w:pPr>
        <w:sectPr w:rsidR="002B311E" w:rsidRPr="005373E0" w:rsidSect="0027411A">
          <w:headerReference w:type="even" r:id="rId7"/>
          <w:headerReference w:type="default" r:id="rId8"/>
          <w:footerReference w:type="even" r:id="rId9"/>
          <w:footerReference w:type="default" r:id="rId10"/>
          <w:headerReference w:type="first" r:id="rId11"/>
          <w:footerReference w:type="first" r:id="rId12"/>
          <w:pgSz w:w="11907" w:h="16840" w:code="9"/>
          <w:pgMar w:top="1089" w:right="1089" w:bottom="284" w:left="1089" w:header="737" w:footer="284" w:gutter="0"/>
          <w:pgNumType w:start="1"/>
          <w:cols w:space="720"/>
          <w:docGrid w:linePitch="326"/>
        </w:sectPr>
      </w:pPr>
    </w:p>
    <w:p w14:paraId="2AC3F5C9" w14:textId="77777777" w:rsidR="002B311E" w:rsidRDefault="002B311E" w:rsidP="002B311E">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14:paraId="3AB8DB70" w14:textId="77777777" w:rsidR="002B311E" w:rsidRDefault="002B311E" w:rsidP="002B311E">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60C73319" w14:textId="77777777" w:rsidR="002B311E" w:rsidRDefault="002B311E" w:rsidP="002B311E">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550036FF" w14:textId="77777777" w:rsidR="002B311E" w:rsidRDefault="002B311E" w:rsidP="002B311E">
      <w:pPr>
        <w:pStyle w:val="Heading1"/>
        <w:spacing w:before="400"/>
        <w:jc w:val="center"/>
        <w:rPr>
          <w:szCs w:val="24"/>
          <w:lang w:val="en-US"/>
        </w:rPr>
      </w:pPr>
    </w:p>
    <w:p w14:paraId="044ACA94" w14:textId="77777777" w:rsidR="002B311E" w:rsidRDefault="002B311E" w:rsidP="002B311E">
      <w:pPr>
        <w:pStyle w:val="Heading1"/>
        <w:spacing w:before="540"/>
        <w:jc w:val="center"/>
        <w:rPr>
          <w:szCs w:val="24"/>
          <w:lang w:val="en-US"/>
        </w:rPr>
      </w:pPr>
      <w:r>
        <w:rPr>
          <w:szCs w:val="24"/>
          <w:lang w:val="en-US"/>
        </w:rPr>
        <w:t>Policy on Intellectual Property Right (IPR)</w:t>
      </w:r>
    </w:p>
    <w:p w14:paraId="444A3F7F" w14:textId="77777777" w:rsidR="002B311E" w:rsidRDefault="002B311E" w:rsidP="002B311E">
      <w:pPr>
        <w:tabs>
          <w:tab w:val="left" w:pos="720"/>
        </w:tabs>
        <w:spacing w:before="240"/>
        <w:rPr>
          <w:sz w:val="20"/>
          <w:lang w:val="en-US"/>
        </w:rPr>
      </w:pPr>
      <w:r>
        <w:rPr>
          <w:sz w:val="20"/>
          <w:lang w:val="en-US"/>
        </w:rPr>
        <w:t>ITU-R policy on IPR is described in the Common Patent Policy for ITU-T/ITU-R/ISO/IEC referenced in Resolution ITU</w:t>
      </w:r>
      <w:r>
        <w:rPr>
          <w:sz w:val="20"/>
          <w:lang w:val="en-US"/>
        </w:rPr>
        <w:noBreakHyphen/>
        <w:t xml:space="preserve">R 1. Forms to be used for the submission of patent statements and licensing declarations by patent holders are available from </w:t>
      </w:r>
      <w:hyperlink r:id="rId13"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6F72B9A9" w14:textId="77777777" w:rsidR="002B311E" w:rsidRDefault="002B311E" w:rsidP="002B311E">
      <w:pPr>
        <w:jc w:val="center"/>
        <w:rPr>
          <w:sz w:val="22"/>
          <w:lang w:val="en-US"/>
        </w:rPr>
      </w:pPr>
    </w:p>
    <w:p w14:paraId="1F497006" w14:textId="77777777" w:rsidR="002B311E" w:rsidRDefault="002B311E" w:rsidP="002B311E">
      <w:pPr>
        <w:jc w:val="center"/>
        <w:rPr>
          <w:sz w:val="22"/>
          <w:lang w:val="en-US"/>
        </w:rPr>
      </w:pPr>
    </w:p>
    <w:p w14:paraId="5F5B51BF" w14:textId="77777777" w:rsidR="002B311E" w:rsidRDefault="002B311E" w:rsidP="002B311E">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2B311E" w:rsidRPr="003C6718" w14:paraId="7E2AC1C7" w14:textId="77777777" w:rsidTr="0027317C">
        <w:tc>
          <w:tcPr>
            <w:tcW w:w="9360" w:type="dxa"/>
            <w:gridSpan w:val="2"/>
            <w:tcBorders>
              <w:top w:val="single" w:sz="12" w:space="0" w:color="000080"/>
              <w:left w:val="single" w:sz="12" w:space="0" w:color="000080"/>
              <w:bottom w:val="nil"/>
              <w:right w:val="single" w:sz="12" w:space="0" w:color="000080"/>
            </w:tcBorders>
          </w:tcPr>
          <w:p w14:paraId="4D5BF5BC" w14:textId="77777777" w:rsidR="002B311E" w:rsidRPr="00C7761D" w:rsidRDefault="002B311E" w:rsidP="0027317C">
            <w:pPr>
              <w:pStyle w:val="ChapNo"/>
              <w:spacing w:before="240"/>
              <w:rPr>
                <w:sz w:val="22"/>
                <w:szCs w:val="22"/>
                <w:lang w:val="en-US"/>
              </w:rPr>
            </w:pPr>
            <w:r w:rsidRPr="00C7761D">
              <w:rPr>
                <w:sz w:val="22"/>
                <w:szCs w:val="22"/>
                <w:lang w:val="en-US"/>
              </w:rPr>
              <w:t xml:space="preserve">Series of ITU-R Reports </w:t>
            </w:r>
          </w:p>
          <w:p w14:paraId="5BEF15F8" w14:textId="77777777" w:rsidR="002B311E" w:rsidRDefault="002B311E" w:rsidP="0027317C">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4" w:history="1">
              <w:r>
                <w:rPr>
                  <w:rStyle w:val="Hyperlink"/>
                  <w:b w:val="0"/>
                  <w:bCs/>
                  <w:sz w:val="18"/>
                  <w:szCs w:val="18"/>
                  <w:lang w:val="en-US"/>
                </w:rPr>
                <w:t>https://www.itu.int/publ/R-REP/en</w:t>
              </w:r>
            </w:hyperlink>
            <w:r w:rsidRPr="00F103A9">
              <w:rPr>
                <w:b w:val="0"/>
                <w:sz w:val="18"/>
                <w:szCs w:val="18"/>
                <w:lang w:val="en-US"/>
              </w:rPr>
              <w:t>)</w:t>
            </w:r>
          </w:p>
        </w:tc>
      </w:tr>
      <w:tr w:rsidR="002B311E" w14:paraId="38A1AA34" w14:textId="77777777" w:rsidTr="0027317C">
        <w:tc>
          <w:tcPr>
            <w:tcW w:w="1140" w:type="dxa"/>
            <w:tcBorders>
              <w:top w:val="nil"/>
              <w:left w:val="single" w:sz="12" w:space="0" w:color="000080"/>
              <w:bottom w:val="nil"/>
              <w:right w:val="nil"/>
            </w:tcBorders>
            <w:vAlign w:val="bottom"/>
          </w:tcPr>
          <w:p w14:paraId="4958E4B5" w14:textId="77777777" w:rsidR="002B311E" w:rsidRDefault="002B311E" w:rsidP="0027317C">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724ABF81" w14:textId="77777777" w:rsidR="002B311E" w:rsidRDefault="002B311E" w:rsidP="0027317C">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2B311E" w14:paraId="458CFA34" w14:textId="77777777" w:rsidTr="0027317C">
        <w:tc>
          <w:tcPr>
            <w:tcW w:w="1140" w:type="dxa"/>
            <w:tcBorders>
              <w:top w:val="nil"/>
              <w:left w:val="single" w:sz="12" w:space="0" w:color="000080"/>
              <w:bottom w:val="nil"/>
              <w:right w:val="nil"/>
            </w:tcBorders>
            <w:shd w:val="clear" w:color="auto" w:fill="F2F2F2" w:themeFill="background1" w:themeFillShade="F2"/>
          </w:tcPr>
          <w:p w14:paraId="2D0B6DED" w14:textId="77777777" w:rsidR="002B311E" w:rsidRPr="00BD3887" w:rsidRDefault="002B311E" w:rsidP="0027317C">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F2F2F2" w:themeFill="background1" w:themeFillShade="F2"/>
          </w:tcPr>
          <w:p w14:paraId="2A84D931" w14:textId="77777777" w:rsidR="002B311E" w:rsidRPr="00BD3887" w:rsidRDefault="002B311E" w:rsidP="0027317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2B311E" w:rsidRPr="003C6718" w14:paraId="64CE7B24" w14:textId="77777777" w:rsidTr="0027317C">
        <w:tc>
          <w:tcPr>
            <w:tcW w:w="1140" w:type="dxa"/>
            <w:tcBorders>
              <w:top w:val="nil"/>
              <w:left w:val="single" w:sz="12" w:space="0" w:color="000080"/>
              <w:bottom w:val="nil"/>
              <w:right w:val="nil"/>
            </w:tcBorders>
            <w:shd w:val="clear" w:color="auto" w:fill="FFFFFF" w:themeFill="background1"/>
          </w:tcPr>
          <w:p w14:paraId="4C6768B8" w14:textId="77777777" w:rsidR="002B311E" w:rsidRPr="00BD3887" w:rsidRDefault="002B311E" w:rsidP="0027317C">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36292DCA" w14:textId="77777777" w:rsidR="002B311E" w:rsidRPr="00BD3887" w:rsidRDefault="002B311E" w:rsidP="0027317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2B311E" w:rsidRPr="00D55B55" w14:paraId="5FBD549F" w14:textId="77777777" w:rsidTr="0027317C">
        <w:tc>
          <w:tcPr>
            <w:tcW w:w="1140" w:type="dxa"/>
            <w:tcBorders>
              <w:top w:val="nil"/>
              <w:left w:val="single" w:sz="12" w:space="0" w:color="000080"/>
              <w:bottom w:val="nil"/>
              <w:right w:val="nil"/>
            </w:tcBorders>
            <w:shd w:val="clear" w:color="auto" w:fill="FFFFFF" w:themeFill="background1"/>
          </w:tcPr>
          <w:p w14:paraId="60570F55" w14:textId="77777777" w:rsidR="002B311E" w:rsidRPr="00F06F93" w:rsidRDefault="002B311E" w:rsidP="0027317C">
            <w:pPr>
              <w:spacing w:before="30" w:after="30"/>
              <w:ind w:left="57"/>
              <w:jc w:val="left"/>
              <w:rPr>
                <w:rFonts w:ascii="Times New Roman Bold" w:hAnsi="Times New Roman Bold" w:cs="Times New Roman Bold"/>
                <w:b/>
                <w:bCs/>
                <w:sz w:val="20"/>
                <w:lang w:val="en-US"/>
              </w:rPr>
            </w:pPr>
            <w:r w:rsidRPr="00F06F93">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FFFFFF" w:themeFill="background1"/>
          </w:tcPr>
          <w:p w14:paraId="06F4285E" w14:textId="77777777" w:rsidR="002B311E" w:rsidRPr="00D606E1" w:rsidRDefault="002B311E" w:rsidP="0027317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sz w:val="20"/>
                <w:lang w:val="fr-CH"/>
              </w:rPr>
              <w:t>Broadcasting service (</w:t>
            </w:r>
            <w:proofErr w:type="spellStart"/>
            <w:r w:rsidRPr="00F06F93">
              <w:rPr>
                <w:sz w:val="20"/>
                <w:lang w:val="fr-CH"/>
              </w:rPr>
              <w:t>sound</w:t>
            </w:r>
            <w:proofErr w:type="spellEnd"/>
            <w:r w:rsidRPr="00F06F93">
              <w:rPr>
                <w:sz w:val="20"/>
                <w:lang w:val="fr-CH"/>
              </w:rPr>
              <w:t>)</w:t>
            </w:r>
          </w:p>
        </w:tc>
      </w:tr>
      <w:tr w:rsidR="002B311E" w:rsidRPr="00BD3F5C" w14:paraId="67715BE9" w14:textId="77777777" w:rsidTr="0027317C">
        <w:tc>
          <w:tcPr>
            <w:tcW w:w="1140" w:type="dxa"/>
            <w:tcBorders>
              <w:top w:val="nil"/>
              <w:left w:val="single" w:sz="12" w:space="0" w:color="000080"/>
              <w:bottom w:val="nil"/>
              <w:right w:val="nil"/>
            </w:tcBorders>
            <w:shd w:val="clear" w:color="auto" w:fill="FFFFFF" w:themeFill="background1"/>
          </w:tcPr>
          <w:p w14:paraId="7D64339F" w14:textId="77777777" w:rsidR="002B311E" w:rsidRPr="000C0798" w:rsidRDefault="002B311E" w:rsidP="0027317C">
            <w:pPr>
              <w:spacing w:before="30" w:after="30"/>
              <w:ind w:left="57"/>
              <w:jc w:val="left"/>
              <w:rPr>
                <w:sz w:val="20"/>
                <w:lang w:val="fr-CH"/>
              </w:rPr>
            </w:pPr>
            <w:r w:rsidRPr="006B56A3">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FFFFFF" w:themeFill="background1"/>
          </w:tcPr>
          <w:p w14:paraId="081D4F21" w14:textId="77777777" w:rsidR="002B311E" w:rsidRPr="000C0798" w:rsidRDefault="002B311E" w:rsidP="0027317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0C0798">
              <w:rPr>
                <w:sz w:val="20"/>
                <w:lang w:val="fr-CH"/>
              </w:rPr>
              <w:t>Broadcasting service (</w:t>
            </w:r>
            <w:proofErr w:type="spellStart"/>
            <w:r w:rsidRPr="000C0798">
              <w:rPr>
                <w:sz w:val="20"/>
                <w:lang w:val="fr-CH"/>
              </w:rPr>
              <w:t>television</w:t>
            </w:r>
            <w:proofErr w:type="spellEnd"/>
            <w:r w:rsidRPr="000C0798">
              <w:rPr>
                <w:sz w:val="20"/>
                <w:lang w:val="fr-CH"/>
              </w:rPr>
              <w:t>)</w:t>
            </w:r>
          </w:p>
        </w:tc>
      </w:tr>
      <w:tr w:rsidR="002B311E" w:rsidRPr="00D069F2" w14:paraId="7E4C5740" w14:textId="77777777" w:rsidTr="0027317C">
        <w:tc>
          <w:tcPr>
            <w:tcW w:w="1140" w:type="dxa"/>
            <w:tcBorders>
              <w:top w:val="nil"/>
              <w:left w:val="single" w:sz="12" w:space="0" w:color="000080"/>
              <w:bottom w:val="nil"/>
              <w:right w:val="nil"/>
            </w:tcBorders>
            <w:shd w:val="clear" w:color="auto" w:fill="FFFFFF" w:themeFill="background1"/>
          </w:tcPr>
          <w:p w14:paraId="02DFD8F5" w14:textId="77777777" w:rsidR="002B311E" w:rsidRPr="006B56A3" w:rsidRDefault="002B311E" w:rsidP="0027317C">
            <w:pPr>
              <w:spacing w:before="30" w:after="30"/>
              <w:ind w:left="57"/>
              <w:jc w:val="left"/>
              <w:rPr>
                <w:b/>
                <w:bCs/>
                <w:sz w:val="20"/>
                <w:lang w:val="fr-CH"/>
              </w:rPr>
            </w:pPr>
            <w:r w:rsidRPr="006B56A3">
              <w:rPr>
                <w:b/>
                <w:bCs/>
                <w:sz w:val="20"/>
                <w:lang w:val="fr-CH"/>
              </w:rPr>
              <w:t>F</w:t>
            </w:r>
          </w:p>
        </w:tc>
        <w:tc>
          <w:tcPr>
            <w:tcW w:w="8220" w:type="dxa"/>
            <w:tcBorders>
              <w:top w:val="nil"/>
              <w:left w:val="nil"/>
              <w:bottom w:val="nil"/>
              <w:right w:val="single" w:sz="12" w:space="0" w:color="000080"/>
            </w:tcBorders>
            <w:shd w:val="clear" w:color="auto" w:fill="FFFFFF" w:themeFill="background1"/>
          </w:tcPr>
          <w:p w14:paraId="6092E447" w14:textId="77777777" w:rsidR="002B311E" w:rsidRPr="00D069F2" w:rsidRDefault="002B311E" w:rsidP="0027317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proofErr w:type="spellStart"/>
            <w:r w:rsidRPr="006B56A3">
              <w:rPr>
                <w:sz w:val="20"/>
                <w:lang w:val="fr-CH"/>
              </w:rPr>
              <w:t>Fixed</w:t>
            </w:r>
            <w:proofErr w:type="spellEnd"/>
            <w:r w:rsidRPr="006B56A3">
              <w:rPr>
                <w:sz w:val="20"/>
                <w:lang w:val="fr-CH"/>
              </w:rPr>
              <w:t xml:space="preserve"> service</w:t>
            </w:r>
          </w:p>
        </w:tc>
      </w:tr>
      <w:tr w:rsidR="002B311E" w:rsidRPr="008D3D8D" w14:paraId="03C3DF69" w14:textId="77777777" w:rsidTr="0027317C">
        <w:tc>
          <w:tcPr>
            <w:tcW w:w="1140" w:type="dxa"/>
            <w:tcBorders>
              <w:top w:val="nil"/>
              <w:left w:val="single" w:sz="12" w:space="0" w:color="000080"/>
              <w:bottom w:val="nil"/>
              <w:right w:val="nil"/>
            </w:tcBorders>
            <w:shd w:val="clear" w:color="auto" w:fill="D9D9D9" w:themeFill="background1" w:themeFillShade="D9"/>
          </w:tcPr>
          <w:p w14:paraId="51BC32D4" w14:textId="77777777" w:rsidR="002B311E" w:rsidRPr="008D3D8D" w:rsidRDefault="002B311E" w:rsidP="0027317C">
            <w:pPr>
              <w:spacing w:before="30" w:after="30"/>
              <w:ind w:left="57"/>
              <w:jc w:val="left"/>
              <w:rPr>
                <w:b/>
                <w:bCs/>
                <w:sz w:val="20"/>
                <w:lang w:val="en-US"/>
              </w:rPr>
            </w:pPr>
            <w:r w:rsidRPr="006B56A3">
              <w:rPr>
                <w:b/>
                <w:bCs/>
                <w:color w:val="000080"/>
                <w:sz w:val="20"/>
                <w:lang w:val="en-US"/>
              </w:rPr>
              <w:t>M</w:t>
            </w:r>
          </w:p>
        </w:tc>
        <w:tc>
          <w:tcPr>
            <w:tcW w:w="8220" w:type="dxa"/>
            <w:tcBorders>
              <w:top w:val="nil"/>
              <w:left w:val="nil"/>
              <w:bottom w:val="nil"/>
              <w:right w:val="single" w:sz="12" w:space="0" w:color="000080"/>
            </w:tcBorders>
            <w:shd w:val="clear" w:color="auto" w:fill="D9D9D9" w:themeFill="background1" w:themeFillShade="D9"/>
          </w:tcPr>
          <w:p w14:paraId="3BF6BD2B" w14:textId="77777777" w:rsidR="002B311E" w:rsidRPr="008D3D8D" w:rsidRDefault="002B311E" w:rsidP="0027317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lang w:val="en-US"/>
              </w:rPr>
            </w:pPr>
            <w:r w:rsidRPr="006B56A3">
              <w:rPr>
                <w:b/>
                <w:bCs/>
                <w:color w:val="000080"/>
                <w:sz w:val="20"/>
                <w:lang w:val="en-US"/>
              </w:rPr>
              <w:t>Mobile, radiodetermination, amateur and related satellite services</w:t>
            </w:r>
          </w:p>
        </w:tc>
      </w:tr>
      <w:tr w:rsidR="002B311E" w:rsidRPr="002D77AF" w14:paraId="667B28ED" w14:textId="77777777" w:rsidTr="0027317C">
        <w:tc>
          <w:tcPr>
            <w:tcW w:w="1140" w:type="dxa"/>
            <w:tcBorders>
              <w:top w:val="nil"/>
              <w:left w:val="single" w:sz="12" w:space="0" w:color="000080"/>
              <w:bottom w:val="nil"/>
              <w:right w:val="nil"/>
            </w:tcBorders>
            <w:shd w:val="clear" w:color="auto" w:fill="auto"/>
          </w:tcPr>
          <w:p w14:paraId="0C5E68E2" w14:textId="77777777" w:rsidR="002B311E" w:rsidRPr="002D77AF" w:rsidRDefault="002B311E" w:rsidP="0027317C">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14:paraId="1CEA6040" w14:textId="77777777" w:rsidR="002B311E" w:rsidRPr="002D77AF" w:rsidRDefault="002B311E" w:rsidP="0027317C">
            <w:pPr>
              <w:spacing w:before="30" w:after="30"/>
              <w:jc w:val="left"/>
              <w:rPr>
                <w:sz w:val="20"/>
                <w:lang w:val="fr-CH"/>
              </w:rPr>
            </w:pPr>
            <w:proofErr w:type="spellStart"/>
            <w:r w:rsidRPr="002D77AF">
              <w:rPr>
                <w:sz w:val="20"/>
                <w:lang w:val="fr-CH"/>
              </w:rPr>
              <w:t>Radiowave</w:t>
            </w:r>
            <w:proofErr w:type="spellEnd"/>
            <w:r w:rsidRPr="002D77AF">
              <w:rPr>
                <w:sz w:val="20"/>
                <w:lang w:val="fr-CH"/>
              </w:rPr>
              <w:t xml:space="preserve"> propagation</w:t>
            </w:r>
          </w:p>
        </w:tc>
      </w:tr>
      <w:tr w:rsidR="002B311E" w:rsidRPr="003B4EE8" w14:paraId="301CDC5E" w14:textId="77777777" w:rsidTr="0027317C">
        <w:tc>
          <w:tcPr>
            <w:tcW w:w="1140" w:type="dxa"/>
            <w:tcBorders>
              <w:top w:val="nil"/>
              <w:left w:val="single" w:sz="12" w:space="0" w:color="000080"/>
              <w:bottom w:val="nil"/>
              <w:right w:val="nil"/>
            </w:tcBorders>
            <w:shd w:val="clear" w:color="auto" w:fill="auto"/>
          </w:tcPr>
          <w:p w14:paraId="1DDDF659" w14:textId="77777777" w:rsidR="002B311E" w:rsidRPr="003B4EE8" w:rsidRDefault="002B311E" w:rsidP="0027317C">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14:paraId="67407D89" w14:textId="77777777" w:rsidR="002B311E" w:rsidRPr="003B4EE8" w:rsidRDefault="002B311E" w:rsidP="0027317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2B311E" w:rsidRPr="003B4EE8" w14:paraId="214150B4" w14:textId="77777777" w:rsidTr="0027317C">
        <w:tc>
          <w:tcPr>
            <w:tcW w:w="1140" w:type="dxa"/>
            <w:tcBorders>
              <w:top w:val="nil"/>
              <w:left w:val="single" w:sz="12" w:space="0" w:color="000080"/>
              <w:bottom w:val="nil"/>
              <w:right w:val="nil"/>
            </w:tcBorders>
            <w:shd w:val="clear" w:color="auto" w:fill="FFFFFF" w:themeFill="background1"/>
          </w:tcPr>
          <w:p w14:paraId="5E3ED5B1" w14:textId="77777777" w:rsidR="002B311E" w:rsidRPr="00FC68F0" w:rsidRDefault="002B311E" w:rsidP="0027317C">
            <w:pPr>
              <w:spacing w:before="30" w:after="30"/>
              <w:ind w:left="57"/>
              <w:jc w:val="left"/>
              <w:rPr>
                <w:rFonts w:ascii="Times New Roman Bold" w:hAnsi="Times New Roman Bold" w:cs="Times New Roman Bold"/>
                <w:b/>
                <w:bCs/>
                <w:sz w:val="20"/>
                <w:lang w:val="en-US"/>
              </w:rPr>
            </w:pPr>
            <w:r w:rsidRPr="00FC68F0">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2B98D572" w14:textId="77777777" w:rsidR="002B311E" w:rsidRPr="00FC68F0" w:rsidRDefault="002B311E" w:rsidP="0027317C">
            <w:pPr>
              <w:spacing w:before="30" w:after="30"/>
              <w:jc w:val="left"/>
              <w:rPr>
                <w:sz w:val="20"/>
                <w:lang w:val="en-US"/>
              </w:rPr>
            </w:pPr>
            <w:r w:rsidRPr="00FC68F0">
              <w:rPr>
                <w:sz w:val="20"/>
                <w:lang w:val="en-US"/>
              </w:rPr>
              <w:t>Remote sensing systems</w:t>
            </w:r>
          </w:p>
        </w:tc>
      </w:tr>
      <w:tr w:rsidR="002B311E" w14:paraId="48837616" w14:textId="77777777" w:rsidTr="0027317C">
        <w:tc>
          <w:tcPr>
            <w:tcW w:w="1140" w:type="dxa"/>
            <w:tcBorders>
              <w:top w:val="nil"/>
              <w:left w:val="single" w:sz="12" w:space="0" w:color="000080"/>
              <w:bottom w:val="nil"/>
              <w:right w:val="nil"/>
            </w:tcBorders>
          </w:tcPr>
          <w:p w14:paraId="61C1DE82" w14:textId="77777777" w:rsidR="002B311E" w:rsidRDefault="002B311E" w:rsidP="0027317C">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65820840" w14:textId="77777777" w:rsidR="002B311E" w:rsidRDefault="002B311E" w:rsidP="0027317C">
            <w:pPr>
              <w:spacing w:before="30" w:after="30"/>
              <w:jc w:val="left"/>
              <w:rPr>
                <w:sz w:val="20"/>
                <w:lang w:val="en-US"/>
              </w:rPr>
            </w:pPr>
            <w:r>
              <w:rPr>
                <w:sz w:val="20"/>
                <w:lang w:val="en-US"/>
              </w:rPr>
              <w:t>Fixed-satellite service</w:t>
            </w:r>
          </w:p>
        </w:tc>
      </w:tr>
      <w:tr w:rsidR="002B311E" w14:paraId="5CAA2F85" w14:textId="77777777" w:rsidTr="0027317C">
        <w:tc>
          <w:tcPr>
            <w:tcW w:w="1140" w:type="dxa"/>
            <w:tcBorders>
              <w:top w:val="nil"/>
              <w:left w:val="single" w:sz="12" w:space="0" w:color="000080"/>
              <w:bottom w:val="nil"/>
              <w:right w:val="nil"/>
            </w:tcBorders>
          </w:tcPr>
          <w:p w14:paraId="765606FA" w14:textId="77777777" w:rsidR="002B311E" w:rsidRDefault="002B311E" w:rsidP="0027317C">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5D568E9E" w14:textId="77777777" w:rsidR="002B311E" w:rsidRDefault="002B311E" w:rsidP="0027317C">
            <w:pPr>
              <w:spacing w:before="30" w:after="30"/>
              <w:jc w:val="left"/>
              <w:rPr>
                <w:sz w:val="20"/>
                <w:lang w:val="en-US"/>
              </w:rPr>
            </w:pPr>
            <w:r>
              <w:rPr>
                <w:sz w:val="20"/>
                <w:lang w:val="en-US"/>
              </w:rPr>
              <w:t>Space applications and meteorology</w:t>
            </w:r>
          </w:p>
        </w:tc>
      </w:tr>
      <w:tr w:rsidR="002B311E" w:rsidRPr="003C6718" w14:paraId="265AE745" w14:textId="77777777" w:rsidTr="0027317C">
        <w:tc>
          <w:tcPr>
            <w:tcW w:w="1140" w:type="dxa"/>
            <w:tcBorders>
              <w:top w:val="nil"/>
              <w:left w:val="single" w:sz="12" w:space="0" w:color="000080"/>
              <w:bottom w:val="nil"/>
              <w:right w:val="nil"/>
            </w:tcBorders>
          </w:tcPr>
          <w:p w14:paraId="07EDDF48" w14:textId="77777777" w:rsidR="002B311E" w:rsidRDefault="002B311E" w:rsidP="0027317C">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4B9B7817" w14:textId="77777777" w:rsidR="002B311E" w:rsidRDefault="002B311E" w:rsidP="0027317C">
            <w:pPr>
              <w:spacing w:before="30" w:after="30"/>
              <w:jc w:val="left"/>
              <w:rPr>
                <w:sz w:val="20"/>
                <w:lang w:val="en-US"/>
              </w:rPr>
            </w:pPr>
            <w:r>
              <w:rPr>
                <w:sz w:val="20"/>
                <w:lang w:val="en-US"/>
              </w:rPr>
              <w:t>Frequency sharing and coordination between fixed-satellite and fixed service systems</w:t>
            </w:r>
          </w:p>
        </w:tc>
      </w:tr>
      <w:tr w:rsidR="002B311E" w:rsidRPr="003C6718" w14:paraId="0CA998E5" w14:textId="77777777" w:rsidTr="0027317C">
        <w:tc>
          <w:tcPr>
            <w:tcW w:w="1140" w:type="dxa"/>
            <w:tcBorders>
              <w:top w:val="nil"/>
              <w:left w:val="single" w:sz="12" w:space="0" w:color="000080"/>
              <w:bottom w:val="nil"/>
              <w:right w:val="nil"/>
            </w:tcBorders>
          </w:tcPr>
          <w:p w14:paraId="0866FE8A" w14:textId="77777777" w:rsidR="002B311E" w:rsidRDefault="002B311E" w:rsidP="0027317C">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723F97A5" w14:textId="77777777" w:rsidR="002B311E" w:rsidRDefault="002B311E" w:rsidP="0027317C">
            <w:pPr>
              <w:spacing w:before="30" w:after="30"/>
              <w:jc w:val="left"/>
              <w:rPr>
                <w:sz w:val="20"/>
                <w:lang w:val="en-US"/>
              </w:rPr>
            </w:pPr>
            <w:r>
              <w:rPr>
                <w:sz w:val="20"/>
                <w:lang w:val="en-US"/>
              </w:rPr>
              <w:t>Spectrum management</w:t>
            </w:r>
          </w:p>
        </w:tc>
      </w:tr>
      <w:tr w:rsidR="002B311E" w14:paraId="4EAF215A" w14:textId="77777777" w:rsidTr="0027317C">
        <w:tc>
          <w:tcPr>
            <w:tcW w:w="1140" w:type="dxa"/>
            <w:tcBorders>
              <w:top w:val="nil"/>
              <w:left w:val="single" w:sz="12" w:space="0" w:color="000080"/>
              <w:bottom w:val="single" w:sz="12" w:space="0" w:color="000080"/>
              <w:right w:val="nil"/>
            </w:tcBorders>
          </w:tcPr>
          <w:p w14:paraId="615B37B8" w14:textId="77777777" w:rsidR="002B311E" w:rsidRDefault="002B311E" w:rsidP="0027317C">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03758655" w14:textId="77777777" w:rsidR="002B311E" w:rsidRDefault="002B311E" w:rsidP="0027317C">
            <w:pPr>
              <w:spacing w:before="30" w:after="180"/>
              <w:jc w:val="left"/>
              <w:rPr>
                <w:sz w:val="20"/>
                <w:lang w:val="en-US"/>
              </w:rPr>
            </w:pPr>
            <w:r w:rsidRPr="000F1EC4">
              <w:rPr>
                <w:sz w:val="20"/>
                <w:lang w:val="en-US"/>
              </w:rPr>
              <w:t>Time signals and frequency standards emissions</w:t>
            </w:r>
          </w:p>
        </w:tc>
      </w:tr>
    </w:tbl>
    <w:p w14:paraId="2F9F558F" w14:textId="77777777" w:rsidR="002B311E" w:rsidRDefault="002B311E" w:rsidP="002B311E">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2B311E" w14:paraId="7C3D737C" w14:textId="77777777" w:rsidTr="0027317C">
        <w:tc>
          <w:tcPr>
            <w:tcW w:w="720" w:type="dxa"/>
          </w:tcPr>
          <w:p w14:paraId="0EA21CF4" w14:textId="77777777" w:rsidR="002B311E" w:rsidRDefault="002B311E" w:rsidP="0027317C">
            <w:pPr>
              <w:jc w:val="center"/>
              <w:rPr>
                <w:sz w:val="22"/>
                <w:lang w:val="en-US"/>
              </w:rPr>
            </w:pPr>
          </w:p>
        </w:tc>
      </w:tr>
    </w:tbl>
    <w:p w14:paraId="5C845AC0" w14:textId="77777777" w:rsidR="002B311E" w:rsidRDefault="002B311E" w:rsidP="002B311E">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2B311E" w:rsidRPr="003C6718" w14:paraId="281ED52F" w14:textId="77777777" w:rsidTr="0027317C">
        <w:tc>
          <w:tcPr>
            <w:tcW w:w="9360" w:type="dxa"/>
            <w:tcBorders>
              <w:top w:val="single" w:sz="12" w:space="0" w:color="000080"/>
              <w:left w:val="single" w:sz="12" w:space="0" w:color="000080"/>
              <w:bottom w:val="single" w:sz="12" w:space="0" w:color="000080"/>
              <w:right w:val="single" w:sz="12" w:space="0" w:color="000080"/>
            </w:tcBorders>
          </w:tcPr>
          <w:p w14:paraId="5C9A5795" w14:textId="77777777" w:rsidR="002B311E" w:rsidRPr="00517190" w:rsidRDefault="002B311E" w:rsidP="0027317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Pr>
                <w:i/>
                <w:iCs/>
                <w:sz w:val="20"/>
                <w:lang w:val="en-US"/>
              </w:rPr>
              <w:t xml:space="preserve"> </w:t>
            </w:r>
            <w:r w:rsidRPr="00517190">
              <w:rPr>
                <w:i/>
                <w:iCs/>
                <w:sz w:val="20"/>
                <w:lang w:val="en-US"/>
              </w:rPr>
              <w:t>ITU</w:t>
            </w:r>
            <w:r>
              <w:rPr>
                <w:i/>
                <w:iCs/>
                <w:sz w:val="20"/>
                <w:lang w:val="en-US"/>
              </w:rPr>
              <w:noBreakHyphen/>
            </w:r>
            <w:r w:rsidRPr="00517190">
              <w:rPr>
                <w:i/>
                <w:iCs/>
                <w:sz w:val="20"/>
                <w:lang w:val="en-US"/>
              </w:rPr>
              <w:t>R 1.</w:t>
            </w:r>
          </w:p>
        </w:tc>
      </w:tr>
    </w:tbl>
    <w:p w14:paraId="41E52EB0" w14:textId="77777777" w:rsidR="002B311E" w:rsidRDefault="002B311E" w:rsidP="002B311E">
      <w:pPr>
        <w:spacing w:before="0"/>
        <w:jc w:val="center"/>
        <w:rPr>
          <w:sz w:val="22"/>
          <w:lang w:val="en-US"/>
        </w:rPr>
      </w:pPr>
    </w:p>
    <w:p w14:paraId="103CDBC6" w14:textId="77777777" w:rsidR="002B311E" w:rsidRDefault="002B311E" w:rsidP="002B311E">
      <w:pPr>
        <w:spacing w:before="0"/>
        <w:jc w:val="right"/>
        <w:rPr>
          <w:i/>
          <w:iCs/>
          <w:sz w:val="20"/>
          <w:lang w:val="en-US"/>
        </w:rPr>
      </w:pPr>
      <w:r>
        <w:rPr>
          <w:i/>
          <w:iCs/>
          <w:sz w:val="20"/>
          <w:lang w:val="en-US"/>
        </w:rPr>
        <w:t>Electronic Publication</w:t>
      </w:r>
    </w:p>
    <w:p w14:paraId="09C7F980" w14:textId="77777777" w:rsidR="002B311E" w:rsidRDefault="002B311E" w:rsidP="002B311E">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2023</w:t>
      </w:r>
    </w:p>
    <w:p w14:paraId="57BB4A50" w14:textId="77777777" w:rsidR="002B311E" w:rsidRDefault="002B311E" w:rsidP="002B311E">
      <w:pPr>
        <w:jc w:val="center"/>
        <w:rPr>
          <w:sz w:val="20"/>
          <w:lang w:val="en-US"/>
        </w:rPr>
      </w:pPr>
      <w:r>
        <w:rPr>
          <w:sz w:val="20"/>
          <w:lang w:val="en-US"/>
        </w:rPr>
        <w:sym w:font="Symbol" w:char="00E3"/>
      </w:r>
      <w:r>
        <w:rPr>
          <w:sz w:val="20"/>
          <w:lang w:val="en-US"/>
        </w:rPr>
        <w:t xml:space="preserve"> ITU </w:t>
      </w:r>
      <w:bookmarkStart w:id="1" w:name="iiannee"/>
      <w:bookmarkEnd w:id="1"/>
      <w:r>
        <w:rPr>
          <w:sz w:val="20"/>
          <w:lang w:val="en-US"/>
        </w:rPr>
        <w:t>2023</w:t>
      </w:r>
    </w:p>
    <w:p w14:paraId="471EBC59" w14:textId="77777777" w:rsidR="002B311E" w:rsidRPr="00470E28" w:rsidRDefault="002B311E" w:rsidP="002B311E">
      <w:pPr>
        <w:rPr>
          <w:sz w:val="18"/>
          <w:szCs w:val="18"/>
          <w:lang w:val="en-US"/>
        </w:rPr>
      </w:pPr>
      <w:r>
        <w:rPr>
          <w:sz w:val="18"/>
          <w:szCs w:val="18"/>
          <w:lang w:val="en-US"/>
        </w:rPr>
        <w:t>All rights reserved. No part of this publication may be reproduced, by any means whatsoever, without written permission of ITU.</w:t>
      </w:r>
    </w:p>
    <w:p w14:paraId="012C81A5" w14:textId="77777777" w:rsidR="002B311E" w:rsidRDefault="002B311E" w:rsidP="002B311E">
      <w:pPr>
        <w:spacing w:before="160"/>
        <w:rPr>
          <w:i/>
          <w:sz w:val="20"/>
          <w:lang w:val="en-US"/>
        </w:rPr>
        <w:sectPr w:rsidR="002B311E" w:rsidSect="001811AD">
          <w:headerReference w:type="even" r:id="rId15"/>
          <w:headerReference w:type="default" r:id="rId16"/>
          <w:footerReference w:type="default" r:id="rId17"/>
          <w:pgSz w:w="11907" w:h="16834" w:code="9"/>
          <w:pgMar w:top="1418" w:right="1134" w:bottom="1134" w:left="1134" w:header="720" w:footer="482" w:gutter="0"/>
          <w:paperSrc w:first="15" w:other="15"/>
          <w:pgNumType w:fmt="lowerRoman" w:start="2"/>
          <w:cols w:space="720"/>
          <w:docGrid w:linePitch="326"/>
        </w:sectPr>
      </w:pPr>
    </w:p>
    <w:p w14:paraId="23764C38" w14:textId="4D7E2279" w:rsidR="002B311E" w:rsidRPr="00B874C6" w:rsidRDefault="002B311E" w:rsidP="001811AD">
      <w:pPr>
        <w:pStyle w:val="RecNo"/>
        <w:spacing w:before="0"/>
        <w:rPr>
          <w:lang w:val="en-US"/>
        </w:rPr>
      </w:pPr>
      <w:bookmarkStart w:id="2" w:name="irecnoe"/>
      <w:bookmarkEnd w:id="2"/>
      <w:proofErr w:type="gramStart"/>
      <w:r w:rsidRPr="00BF487A">
        <w:lastRenderedPageBreak/>
        <w:t>RE</w:t>
      </w:r>
      <w:r>
        <w:t>PORT</w:t>
      </w:r>
      <w:r w:rsidRPr="00BF487A">
        <w:t xml:space="preserve">  </w:t>
      </w:r>
      <w:r w:rsidRPr="00BF487A">
        <w:rPr>
          <w:rStyle w:val="href"/>
          <w:lang w:val="en-US"/>
        </w:rPr>
        <w:t>ITU</w:t>
      </w:r>
      <w:proofErr w:type="gramEnd"/>
      <w:r w:rsidRPr="00BF487A">
        <w:rPr>
          <w:rStyle w:val="href"/>
          <w:lang w:val="en-US"/>
        </w:rPr>
        <w:t xml:space="preserve">-R  </w:t>
      </w:r>
      <w:r>
        <w:rPr>
          <w:rStyle w:val="href"/>
          <w:lang w:val="en-US"/>
        </w:rPr>
        <w:t>M</w:t>
      </w:r>
      <w:r w:rsidRPr="00BF487A">
        <w:rPr>
          <w:rStyle w:val="href"/>
          <w:lang w:val="en-US"/>
        </w:rPr>
        <w:t>.</w:t>
      </w:r>
      <w:r w:rsidR="001811AD" w:rsidRPr="001811AD">
        <w:t>2444-1</w:t>
      </w:r>
    </w:p>
    <w:p w14:paraId="4A72068A" w14:textId="13B152CB" w:rsidR="00BE0B24" w:rsidRDefault="00BE0B24" w:rsidP="00BE0B24">
      <w:pPr>
        <w:pStyle w:val="Reptitle"/>
        <w:rPr>
          <w:lang w:eastAsia="zh-CN"/>
        </w:rPr>
      </w:pPr>
      <w:r w:rsidRPr="001D24B6">
        <w:rPr>
          <w:lang w:eastAsia="zh-CN"/>
        </w:rPr>
        <w:t>Examples of arrangements for Intelligent Transport Systems</w:t>
      </w:r>
      <w:r>
        <w:rPr>
          <w:lang w:eastAsia="zh-CN"/>
        </w:rPr>
        <w:br/>
      </w:r>
      <w:r w:rsidRPr="001D24B6">
        <w:rPr>
          <w:lang w:eastAsia="zh-CN"/>
        </w:rPr>
        <w:t>deployments under the mobile service</w:t>
      </w:r>
    </w:p>
    <w:p w14:paraId="1F6B1E6F" w14:textId="4625FD0B" w:rsidR="00BE0B24" w:rsidRPr="00BE0B24" w:rsidRDefault="00976A5A" w:rsidP="00BE0B24">
      <w:pPr>
        <w:pStyle w:val="Repref"/>
        <w:rPr>
          <w:lang w:val="en-US" w:eastAsia="zh-CN"/>
        </w:rPr>
      </w:pPr>
      <w:r>
        <w:rPr>
          <w:lang w:val="en-US" w:eastAsia="ja-JP"/>
        </w:rPr>
        <w:t>(</w:t>
      </w:r>
      <w:r w:rsidR="00BE0B24" w:rsidRPr="00E77B8A">
        <w:rPr>
          <w:lang w:val="en-US" w:eastAsia="ja-JP"/>
        </w:rPr>
        <w:t xml:space="preserve">Question </w:t>
      </w:r>
      <w:hyperlink r:id="rId18" w:history="1">
        <w:r w:rsidR="00BE0B24" w:rsidRPr="00F2795F">
          <w:rPr>
            <w:rStyle w:val="Hyperlink"/>
            <w:color w:val="auto"/>
            <w:u w:val="none"/>
            <w:lang w:val="en-US" w:eastAsia="ja-JP"/>
          </w:rPr>
          <w:t>ITU-R 205-6/5</w:t>
        </w:r>
      </w:hyperlink>
      <w:r>
        <w:rPr>
          <w:rStyle w:val="Hyperlink"/>
          <w:color w:val="auto"/>
          <w:u w:val="none"/>
          <w:lang w:val="en-US" w:eastAsia="ja-JP"/>
        </w:rPr>
        <w:t>)</w:t>
      </w:r>
    </w:p>
    <w:p w14:paraId="79D42710" w14:textId="22612D19" w:rsidR="00464438" w:rsidRPr="000261F8" w:rsidRDefault="00464438" w:rsidP="00651B6E">
      <w:pPr>
        <w:pStyle w:val="Repdate"/>
        <w:rPr>
          <w:sz w:val="28"/>
          <w:szCs w:val="28"/>
          <w:lang w:val="en-US" w:eastAsia="ja-JP"/>
        </w:rPr>
      </w:pPr>
      <w:r w:rsidRPr="00E77B8A">
        <w:rPr>
          <w:lang w:val="en-US" w:eastAsia="ja-JP"/>
        </w:rPr>
        <w:t>(201</w:t>
      </w:r>
      <w:r>
        <w:rPr>
          <w:lang w:val="en-US" w:eastAsia="ja-JP"/>
        </w:rPr>
        <w:t>8-</w:t>
      </w:r>
      <w:r w:rsidR="00F2795F">
        <w:rPr>
          <w:lang w:val="en-US" w:eastAsia="ja-JP"/>
        </w:rPr>
        <w:t>2023</w:t>
      </w:r>
      <w:r w:rsidRPr="00E77B8A">
        <w:rPr>
          <w:lang w:val="en-US" w:eastAsia="ja-JP"/>
        </w:rPr>
        <w:t>)</w:t>
      </w:r>
    </w:p>
    <w:p w14:paraId="0729D858" w14:textId="77777777" w:rsidR="00464438" w:rsidRPr="00A47702" w:rsidRDefault="00464438" w:rsidP="00370A39">
      <w:pPr>
        <w:pStyle w:val="HeadingSum"/>
        <w:rPr>
          <w:lang w:val="en-GB"/>
        </w:rPr>
      </w:pPr>
      <w:r w:rsidRPr="00A47702">
        <w:rPr>
          <w:lang w:val="en-GB"/>
        </w:rPr>
        <w:t>Summary</w:t>
      </w:r>
    </w:p>
    <w:p w14:paraId="6B5D5838" w14:textId="77777777" w:rsidR="00464438" w:rsidRPr="00A47702" w:rsidRDefault="00464438" w:rsidP="00B311DF">
      <w:pPr>
        <w:pStyle w:val="Summary"/>
        <w:rPr>
          <w:lang w:val="en-GB"/>
        </w:rPr>
      </w:pPr>
      <w:r w:rsidRPr="00A47702">
        <w:rPr>
          <w:lang w:val="en-GB"/>
        </w:rPr>
        <w:t>This Report provides examples of arrangements for intelligent transport systems (ITS) deployments in certain regions and countries to assist Administrations in their planning for deployment of ITS within their jurisdictions.</w:t>
      </w:r>
    </w:p>
    <w:p w14:paraId="07987C0F" w14:textId="77777777" w:rsidR="00464438" w:rsidRPr="001D24B6" w:rsidRDefault="00464438" w:rsidP="00651B6E">
      <w:pPr>
        <w:pStyle w:val="Headingb"/>
      </w:pPr>
      <w:r w:rsidRPr="001D24B6">
        <w:t>Keywords</w:t>
      </w:r>
    </w:p>
    <w:p w14:paraId="7FDBF1BC" w14:textId="2DB77572" w:rsidR="00464438" w:rsidRPr="001D24B6" w:rsidRDefault="00464438" w:rsidP="00651B6E">
      <w:pPr>
        <w:rPr>
          <w:rFonts w:eastAsiaTheme="minorEastAsia"/>
        </w:rPr>
      </w:pPr>
      <w:r w:rsidRPr="001D24B6">
        <w:rPr>
          <w:rFonts w:eastAsiaTheme="minorEastAsia"/>
        </w:rPr>
        <w:t xml:space="preserve">Intelligent </w:t>
      </w:r>
      <w:r w:rsidR="002D189F" w:rsidRPr="001D24B6">
        <w:rPr>
          <w:rFonts w:eastAsiaTheme="minorEastAsia"/>
        </w:rPr>
        <w:t xml:space="preserve">transport systems </w:t>
      </w:r>
      <w:r w:rsidRPr="001D24B6">
        <w:rPr>
          <w:rFonts w:eastAsiaTheme="minorEastAsia"/>
        </w:rPr>
        <w:t>(ITS)</w:t>
      </w:r>
      <w:r w:rsidR="00A928A0">
        <w:rPr>
          <w:rFonts w:eastAsiaTheme="minorEastAsia"/>
        </w:rPr>
        <w:t>.</w:t>
      </w:r>
    </w:p>
    <w:p w14:paraId="33D5B288" w14:textId="77777777" w:rsidR="00464438" w:rsidRPr="001D24B6" w:rsidRDefault="00464438" w:rsidP="00651B6E">
      <w:pPr>
        <w:keepNext/>
        <w:keepLines/>
        <w:spacing w:before="160"/>
        <w:rPr>
          <w:rFonts w:ascii="Times New Roman Bold" w:eastAsiaTheme="minorEastAsia" w:hAnsi="Times New Roman Bold" w:cs="Times New Roman Bold"/>
          <w:b/>
        </w:rPr>
      </w:pPr>
      <w:r w:rsidRPr="001D24B6">
        <w:rPr>
          <w:rFonts w:ascii="Times New Roman Bold" w:eastAsiaTheme="minorEastAsia" w:hAnsi="Times New Roman Bold" w:cs="Times New Roman Bold"/>
          <w:b/>
        </w:rPr>
        <w:t>Abbreviations</w:t>
      </w:r>
    </w:p>
    <w:p w14:paraId="282EE15A"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CEPT</w:t>
      </w:r>
      <w:r w:rsidRPr="001D24B6">
        <w:rPr>
          <w:lang w:eastAsia="zh-CN"/>
        </w:rPr>
        <w:tab/>
        <w:t>European Conference of Postal and Telecommunications Administrations</w:t>
      </w:r>
    </w:p>
    <w:p w14:paraId="2987FA49"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C-ITS</w:t>
      </w:r>
      <w:r w:rsidRPr="001D24B6">
        <w:rPr>
          <w:lang w:eastAsia="zh-CN"/>
        </w:rPr>
        <w:tab/>
        <w:t>Cooperative intelligent transport systems</w:t>
      </w:r>
    </w:p>
    <w:p w14:paraId="60998C06"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CSMA/CA</w:t>
      </w:r>
      <w:r w:rsidRPr="001D24B6">
        <w:rPr>
          <w:lang w:eastAsia="zh-CN"/>
        </w:rPr>
        <w:tab/>
        <w:t>Carrier-sense multiple access with collision avoidance</w:t>
      </w:r>
    </w:p>
    <w:p w14:paraId="7D9DA349" w14:textId="77777777" w:rsidR="00464438" w:rsidRDefault="00464438" w:rsidP="00A928A0">
      <w:pPr>
        <w:tabs>
          <w:tab w:val="clear" w:pos="794"/>
          <w:tab w:val="clear" w:pos="1191"/>
          <w:tab w:val="left" w:pos="1701"/>
        </w:tabs>
        <w:spacing w:before="110"/>
        <w:rPr>
          <w:lang w:eastAsia="zh-CN"/>
        </w:rPr>
      </w:pPr>
      <w:r w:rsidRPr="001D24B6">
        <w:rPr>
          <w:lang w:eastAsia="zh-CN"/>
        </w:rPr>
        <w:t>ECC</w:t>
      </w:r>
      <w:r w:rsidRPr="001D24B6">
        <w:rPr>
          <w:lang w:eastAsia="zh-CN"/>
        </w:rPr>
        <w:tab/>
        <w:t>Electronic Communications Committee of CEPT</w:t>
      </w:r>
    </w:p>
    <w:p w14:paraId="238E10F2" w14:textId="77777777" w:rsidR="00464438" w:rsidRPr="001D24B6" w:rsidRDefault="00464438" w:rsidP="00A928A0">
      <w:pPr>
        <w:tabs>
          <w:tab w:val="clear" w:pos="794"/>
          <w:tab w:val="clear" w:pos="1191"/>
          <w:tab w:val="left" w:pos="1701"/>
        </w:tabs>
        <w:spacing w:before="110"/>
        <w:rPr>
          <w:lang w:eastAsia="zh-CN"/>
        </w:rPr>
      </w:pPr>
      <w:r>
        <w:rPr>
          <w:rFonts w:hint="eastAsia"/>
          <w:lang w:eastAsia="zh-CN"/>
        </w:rPr>
        <w:t>E</w:t>
      </w:r>
      <w:r>
        <w:rPr>
          <w:lang w:eastAsia="zh-CN"/>
        </w:rPr>
        <w:t>EA</w:t>
      </w:r>
      <w:r>
        <w:rPr>
          <w:lang w:eastAsia="zh-CN"/>
        </w:rPr>
        <w:tab/>
        <w:t>European Economic Area</w:t>
      </w:r>
    </w:p>
    <w:p w14:paraId="1C2CDD45"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ETSI</w:t>
      </w:r>
      <w:r w:rsidRPr="001D24B6">
        <w:rPr>
          <w:lang w:eastAsia="zh-CN"/>
        </w:rPr>
        <w:tab/>
        <w:t>European Telecommunications Standards Institute</w:t>
      </w:r>
    </w:p>
    <w:p w14:paraId="0031733E" w14:textId="77777777" w:rsidR="00464438" w:rsidRPr="001D24B6" w:rsidRDefault="00464438" w:rsidP="00A928A0">
      <w:pPr>
        <w:tabs>
          <w:tab w:val="clear" w:pos="794"/>
          <w:tab w:val="clear" w:pos="1191"/>
          <w:tab w:val="left" w:pos="1701"/>
        </w:tabs>
        <w:spacing w:before="110"/>
        <w:rPr>
          <w:lang w:eastAsia="zh-CN"/>
        </w:rPr>
      </w:pPr>
      <w:r w:rsidRPr="00A928A0">
        <w:rPr>
          <w:lang w:eastAsia="zh-CN"/>
        </w:rPr>
        <w:t>ITS</w:t>
      </w:r>
      <w:r w:rsidRPr="00A928A0">
        <w:rPr>
          <w:lang w:eastAsia="zh-CN"/>
        </w:rPr>
        <w:tab/>
      </w:r>
      <w:r w:rsidRPr="001D24B6">
        <w:rPr>
          <w:lang w:eastAsia="zh-CN"/>
        </w:rPr>
        <w:t>Intelligent transport systems</w:t>
      </w:r>
    </w:p>
    <w:p w14:paraId="041EB678"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LTE-V2X</w:t>
      </w:r>
      <w:r w:rsidRPr="001D24B6">
        <w:rPr>
          <w:lang w:eastAsia="zh-CN"/>
        </w:rPr>
        <w:tab/>
        <w:t>Long-term evolution – V2X</w:t>
      </w:r>
    </w:p>
    <w:p w14:paraId="294ABBC4"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OBE</w:t>
      </w:r>
      <w:r w:rsidRPr="001D24B6">
        <w:rPr>
          <w:lang w:eastAsia="zh-CN"/>
        </w:rPr>
        <w:tab/>
        <w:t>On-board equipment</w:t>
      </w:r>
    </w:p>
    <w:p w14:paraId="33120975"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OBU</w:t>
      </w:r>
      <w:r w:rsidRPr="001D24B6">
        <w:rPr>
          <w:lang w:eastAsia="zh-CN"/>
        </w:rPr>
        <w:tab/>
        <w:t>On-board unit</w:t>
      </w:r>
    </w:p>
    <w:p w14:paraId="5601AA74"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RSE</w:t>
      </w:r>
      <w:r w:rsidRPr="001D24B6">
        <w:rPr>
          <w:lang w:eastAsia="zh-CN"/>
        </w:rPr>
        <w:tab/>
        <w:t>Roadside equipment</w:t>
      </w:r>
    </w:p>
    <w:p w14:paraId="18F4F747"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RSU</w:t>
      </w:r>
      <w:r w:rsidRPr="001D24B6">
        <w:rPr>
          <w:lang w:eastAsia="zh-CN"/>
        </w:rPr>
        <w:tab/>
        <w:t>Roadside unit</w:t>
      </w:r>
    </w:p>
    <w:p w14:paraId="08BF1365"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RVC</w:t>
      </w:r>
      <w:r w:rsidRPr="001D24B6">
        <w:rPr>
          <w:lang w:eastAsia="zh-CN"/>
        </w:rPr>
        <w:tab/>
        <w:t>Road-to-vehicle communications</w:t>
      </w:r>
    </w:p>
    <w:p w14:paraId="2557D0CD" w14:textId="11213865" w:rsidR="00464438" w:rsidRPr="001D24B6" w:rsidRDefault="00464438" w:rsidP="00A928A0">
      <w:pPr>
        <w:tabs>
          <w:tab w:val="clear" w:pos="794"/>
          <w:tab w:val="clear" w:pos="1191"/>
          <w:tab w:val="left" w:pos="1701"/>
        </w:tabs>
        <w:spacing w:before="110"/>
        <w:rPr>
          <w:lang w:eastAsia="zh-CN"/>
        </w:rPr>
      </w:pPr>
      <w:r w:rsidRPr="001D24B6">
        <w:rPr>
          <w:lang w:eastAsia="zh-CN"/>
        </w:rPr>
        <w:t>TPC</w:t>
      </w:r>
      <w:r w:rsidRPr="001D24B6">
        <w:rPr>
          <w:lang w:eastAsia="zh-CN"/>
        </w:rPr>
        <w:tab/>
        <w:t>Transmit power control</w:t>
      </w:r>
    </w:p>
    <w:p w14:paraId="34F20A69"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V2I</w:t>
      </w:r>
      <w:r w:rsidRPr="001D24B6">
        <w:rPr>
          <w:lang w:eastAsia="zh-CN"/>
        </w:rPr>
        <w:tab/>
        <w:t>Vehicle-to-infrastructure</w:t>
      </w:r>
    </w:p>
    <w:p w14:paraId="448631FD"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V2N</w:t>
      </w:r>
      <w:r w:rsidRPr="001D24B6">
        <w:rPr>
          <w:lang w:eastAsia="zh-CN"/>
        </w:rPr>
        <w:tab/>
        <w:t>Vehicle-to-network</w:t>
      </w:r>
    </w:p>
    <w:p w14:paraId="6B389A90"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V2P</w:t>
      </w:r>
      <w:r w:rsidRPr="001D24B6">
        <w:rPr>
          <w:lang w:eastAsia="zh-CN"/>
        </w:rPr>
        <w:tab/>
        <w:t>Vehicle-to-pedestrian</w:t>
      </w:r>
    </w:p>
    <w:p w14:paraId="758E767A"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V2V</w:t>
      </w:r>
      <w:r w:rsidRPr="001D24B6">
        <w:rPr>
          <w:lang w:eastAsia="zh-CN"/>
        </w:rPr>
        <w:tab/>
        <w:t>Vehicle-to-vehicle</w:t>
      </w:r>
    </w:p>
    <w:p w14:paraId="7564235F"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V2X</w:t>
      </w:r>
      <w:r w:rsidRPr="001D24B6">
        <w:rPr>
          <w:lang w:eastAsia="zh-CN"/>
        </w:rPr>
        <w:tab/>
        <w:t>Vehicle-to-everything</w:t>
      </w:r>
    </w:p>
    <w:p w14:paraId="1DADF9DC"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WAVE</w:t>
      </w:r>
      <w:r w:rsidRPr="001D24B6">
        <w:rPr>
          <w:lang w:eastAsia="zh-CN"/>
        </w:rPr>
        <w:tab/>
        <w:t>Wireless access for the vehicular environment</w:t>
      </w:r>
    </w:p>
    <w:p w14:paraId="36573AA0" w14:textId="77777777" w:rsidR="00464438" w:rsidRPr="001D24B6" w:rsidRDefault="00464438" w:rsidP="00A928A0">
      <w:pPr>
        <w:tabs>
          <w:tab w:val="clear" w:pos="794"/>
          <w:tab w:val="clear" w:pos="1191"/>
          <w:tab w:val="left" w:pos="1701"/>
        </w:tabs>
        <w:spacing w:before="110"/>
        <w:rPr>
          <w:lang w:eastAsia="zh-CN"/>
        </w:rPr>
      </w:pPr>
      <w:r w:rsidRPr="001D24B6">
        <w:rPr>
          <w:lang w:eastAsia="zh-CN"/>
        </w:rPr>
        <w:t>WSA</w:t>
      </w:r>
      <w:r w:rsidRPr="001D24B6">
        <w:rPr>
          <w:lang w:eastAsia="zh-CN"/>
        </w:rPr>
        <w:tab/>
        <w:t>WAVE service announcement</w:t>
      </w:r>
    </w:p>
    <w:p w14:paraId="4B70CD76" w14:textId="77777777" w:rsidR="00464438" w:rsidRPr="001D24B6" w:rsidRDefault="00464438" w:rsidP="00061373">
      <w:pPr>
        <w:pStyle w:val="Headingb"/>
        <w:pageBreakBefore/>
      </w:pPr>
      <w:r w:rsidRPr="001D24B6">
        <w:lastRenderedPageBreak/>
        <w:t>Related ITU Recommendations and Reports</w:t>
      </w:r>
    </w:p>
    <w:p w14:paraId="7598348F" w14:textId="77777777" w:rsidR="00464438" w:rsidRPr="00E536C9" w:rsidRDefault="00464438" w:rsidP="00651B6E">
      <w:pPr>
        <w:pStyle w:val="Reftext"/>
      </w:pPr>
      <w:r w:rsidRPr="00E536C9">
        <w:t xml:space="preserve">Recommendation </w:t>
      </w:r>
      <w:hyperlink r:id="rId19" w:history="1">
        <w:r w:rsidRPr="00E536C9">
          <w:rPr>
            <w:rStyle w:val="Hyperlink"/>
            <w:color w:val="auto"/>
            <w:u w:val="none"/>
          </w:rPr>
          <w:t>ITU-R M.1452</w:t>
        </w:r>
      </w:hyperlink>
      <w:r w:rsidRPr="00E536C9">
        <w:t xml:space="preserve"> – Millimetre wave radiocommunication systems for intelligent transport systems applications.</w:t>
      </w:r>
    </w:p>
    <w:p w14:paraId="6B253F1E" w14:textId="77777777" w:rsidR="00464438" w:rsidRPr="00E536C9" w:rsidRDefault="00464438" w:rsidP="00651B6E">
      <w:pPr>
        <w:pStyle w:val="Reftext"/>
      </w:pPr>
      <w:r w:rsidRPr="00E536C9">
        <w:t xml:space="preserve">Recommendation </w:t>
      </w:r>
      <w:hyperlink r:id="rId20" w:history="1">
        <w:r w:rsidRPr="00E536C9">
          <w:rPr>
            <w:rStyle w:val="Hyperlink"/>
            <w:color w:val="auto"/>
            <w:u w:val="none"/>
          </w:rPr>
          <w:t>ITU-R M.1453</w:t>
        </w:r>
      </w:hyperlink>
      <w:r w:rsidRPr="00E536C9">
        <w:t xml:space="preserve"> – Intelligent transport systems – Dedicated short range communications at 5.8 GHz.</w:t>
      </w:r>
    </w:p>
    <w:p w14:paraId="0EF354C4" w14:textId="6CA44B06" w:rsidR="00464438" w:rsidRPr="00E536C9" w:rsidRDefault="00464438" w:rsidP="00651B6E">
      <w:pPr>
        <w:pStyle w:val="Reftext"/>
      </w:pPr>
      <w:r w:rsidRPr="00E536C9">
        <w:t xml:space="preserve">Recommendation </w:t>
      </w:r>
      <w:hyperlink r:id="rId21" w:history="1">
        <w:r w:rsidRPr="00E536C9">
          <w:rPr>
            <w:rStyle w:val="Hyperlink"/>
            <w:color w:val="auto"/>
            <w:u w:val="none"/>
          </w:rPr>
          <w:t>ITU-R M.1797</w:t>
        </w:r>
      </w:hyperlink>
      <w:r w:rsidRPr="00E536C9">
        <w:t xml:space="preserve"> – Vocabulary of terms for the land mobile service</w:t>
      </w:r>
      <w:r w:rsidR="002D189F">
        <w:t>.</w:t>
      </w:r>
    </w:p>
    <w:p w14:paraId="2807A837" w14:textId="77777777" w:rsidR="00464438" w:rsidRPr="00E536C9" w:rsidRDefault="00464438" w:rsidP="0085473A">
      <w:pPr>
        <w:pStyle w:val="Reftext"/>
      </w:pPr>
      <w:r w:rsidRPr="00E536C9">
        <w:t xml:space="preserve">Recommendation </w:t>
      </w:r>
      <w:hyperlink r:id="rId22" w:history="1">
        <w:r w:rsidRPr="00E536C9">
          <w:rPr>
            <w:rStyle w:val="Hyperlink"/>
            <w:color w:val="auto"/>
            <w:u w:val="none"/>
          </w:rPr>
          <w:t>ITU-R M.2084</w:t>
        </w:r>
      </w:hyperlink>
      <w:r w:rsidRPr="00E536C9">
        <w:t xml:space="preserve"> – Radio interface standards of vehicle-to-vehicle and vehicle-to-infrastructure communications for Intelligent Transport System applications.</w:t>
      </w:r>
    </w:p>
    <w:p w14:paraId="48CD049F" w14:textId="77777777" w:rsidR="00464438" w:rsidRPr="00E536C9" w:rsidRDefault="00464438" w:rsidP="00651B6E">
      <w:pPr>
        <w:pStyle w:val="Reftext"/>
        <w:rPr>
          <w:highlight w:val="yellow"/>
        </w:rPr>
      </w:pPr>
      <w:r w:rsidRPr="00E536C9">
        <w:t xml:space="preserve">Recommendation </w:t>
      </w:r>
      <w:hyperlink r:id="rId23" w:history="1">
        <w:r w:rsidRPr="00E536C9">
          <w:rPr>
            <w:rStyle w:val="Hyperlink"/>
            <w:color w:val="auto"/>
            <w:u w:val="none"/>
          </w:rPr>
          <w:t>ITU-R M.2120</w:t>
        </w:r>
      </w:hyperlink>
      <w:r w:rsidRPr="00E536C9">
        <w:t xml:space="preserve"> – Harmonisation of frequency bands for Intelligent Transport Systems in the mobile service.</w:t>
      </w:r>
    </w:p>
    <w:p w14:paraId="7C371BE7" w14:textId="40FC95CF" w:rsidR="00464438" w:rsidRPr="00E536C9" w:rsidRDefault="00464438" w:rsidP="00651B6E">
      <w:pPr>
        <w:pStyle w:val="Reftext"/>
      </w:pPr>
      <w:r w:rsidRPr="00E536C9">
        <w:t xml:space="preserve">Report </w:t>
      </w:r>
      <w:hyperlink r:id="rId24" w:history="1">
        <w:r w:rsidRPr="00E536C9">
          <w:rPr>
            <w:rStyle w:val="Hyperlink"/>
            <w:color w:val="auto"/>
            <w:u w:val="none"/>
          </w:rPr>
          <w:t>ITU-R M.2228</w:t>
        </w:r>
      </w:hyperlink>
      <w:r w:rsidRPr="00E536C9">
        <w:t xml:space="preserve"> – Advanced intelligent transport systems radiocommunications</w:t>
      </w:r>
      <w:r w:rsidR="002D189F">
        <w:t>.</w:t>
      </w:r>
    </w:p>
    <w:p w14:paraId="69366C72" w14:textId="77777777" w:rsidR="00464438" w:rsidRPr="00E536C9" w:rsidRDefault="00464438" w:rsidP="00651B6E">
      <w:pPr>
        <w:pStyle w:val="Reftext"/>
      </w:pPr>
      <w:r w:rsidRPr="00E536C9">
        <w:t xml:space="preserve">Report </w:t>
      </w:r>
      <w:hyperlink r:id="rId25" w:history="1">
        <w:r w:rsidRPr="00E536C9">
          <w:rPr>
            <w:rStyle w:val="Hyperlink"/>
            <w:color w:val="auto"/>
            <w:u w:val="none"/>
          </w:rPr>
          <w:t>ITU-R M.2445</w:t>
        </w:r>
      </w:hyperlink>
      <w:r w:rsidRPr="00E536C9">
        <w:t xml:space="preserve"> – Intelligent transport systems usage in ITU Member States.</w:t>
      </w:r>
    </w:p>
    <w:p w14:paraId="67EB313F" w14:textId="48AB3E98" w:rsidR="00464438" w:rsidRDefault="00464438" w:rsidP="00651B6E">
      <w:pPr>
        <w:overflowPunct/>
        <w:autoSpaceDE/>
        <w:autoSpaceDN/>
        <w:adjustRightInd/>
        <w:spacing w:before="0"/>
        <w:textAlignment w:val="auto"/>
        <w:rPr>
          <w:rFonts w:asciiTheme="majorBidi" w:eastAsiaTheme="majorEastAsia" w:hAnsiTheme="majorBidi" w:cstheme="majorBidi"/>
          <w:color w:val="000000" w:themeColor="text1"/>
          <w:szCs w:val="24"/>
          <w:lang w:eastAsia="zh-CN"/>
        </w:rPr>
      </w:pPr>
    </w:p>
    <w:p w14:paraId="75EC5B07" w14:textId="77777777" w:rsidR="00A47702" w:rsidRPr="001D24B6" w:rsidRDefault="00A47702" w:rsidP="00651B6E">
      <w:pPr>
        <w:overflowPunct/>
        <w:autoSpaceDE/>
        <w:autoSpaceDN/>
        <w:adjustRightInd/>
        <w:spacing w:before="0"/>
        <w:textAlignment w:val="auto"/>
        <w:rPr>
          <w:rFonts w:asciiTheme="majorBidi" w:eastAsiaTheme="majorEastAsia" w:hAnsiTheme="majorBidi" w:cstheme="majorBidi"/>
          <w:color w:val="000000" w:themeColor="text1"/>
          <w:szCs w:val="24"/>
          <w:lang w:eastAsia="zh-CN"/>
        </w:rPr>
      </w:pPr>
    </w:p>
    <w:p w14:paraId="44CD23F0" w14:textId="77777777" w:rsidR="00464438" w:rsidRPr="001D24B6" w:rsidRDefault="00464438" w:rsidP="00061373">
      <w:pPr>
        <w:pStyle w:val="Title3"/>
      </w:pPr>
      <w:r w:rsidRPr="001D24B6">
        <w:rPr>
          <w:rFonts w:eastAsiaTheme="majorEastAsia"/>
          <w:lang w:eastAsia="zh-CN"/>
        </w:rPr>
        <w:t>TABLE OF CONTENTS</w:t>
      </w:r>
    </w:p>
    <w:p w14:paraId="0CE8972A" w14:textId="488F28EA" w:rsidR="00D47487" w:rsidRPr="00061373" w:rsidRDefault="00464438" w:rsidP="00061373">
      <w:pPr>
        <w:pStyle w:val="toc0"/>
        <w:jc w:val="right"/>
        <w:rPr>
          <w:rFonts w:eastAsiaTheme="minorEastAsia"/>
          <w:lang w:eastAsia="ja-JP"/>
        </w:rPr>
      </w:pPr>
      <w:r w:rsidRPr="00061373">
        <w:rPr>
          <w:lang w:eastAsia="zh-CN"/>
        </w:rPr>
        <w:t>Page</w:t>
      </w:r>
    </w:p>
    <w:p w14:paraId="6A0883E6" w14:textId="3E9A0984" w:rsidR="00D47487" w:rsidRPr="00892D0C" w:rsidRDefault="00D47487" w:rsidP="00D47487">
      <w:pPr>
        <w:pStyle w:val="TOC1"/>
        <w:rPr>
          <w:rFonts w:asciiTheme="minorHAnsi" w:eastAsiaTheme="minorEastAsia" w:hAnsiTheme="minorHAnsi" w:cstheme="minorBidi"/>
          <w:noProof/>
          <w:kern w:val="2"/>
          <w:sz w:val="22"/>
          <w:szCs w:val="22"/>
          <w14:ligatures w14:val="standardContextual"/>
        </w:rPr>
      </w:pPr>
      <w:r w:rsidRPr="00892D0C">
        <w:fldChar w:fldCharType="begin"/>
      </w:r>
      <w:r w:rsidRPr="00892D0C">
        <w:instrText xml:space="preserve"> TOC \o "1-2" \h \z \t "Annex_No;1;Annex_title;1" </w:instrText>
      </w:r>
      <w:r w:rsidRPr="00892D0C">
        <w:fldChar w:fldCharType="separate"/>
      </w:r>
      <w:hyperlink w:anchor="_Toc147303614" w:history="1">
        <w:r w:rsidRPr="00892D0C">
          <w:rPr>
            <w:rStyle w:val="Hyperlink"/>
            <w:noProof/>
          </w:rPr>
          <w:t>1</w:t>
        </w:r>
        <w:r w:rsidRPr="00892D0C">
          <w:rPr>
            <w:rFonts w:asciiTheme="minorHAnsi" w:eastAsiaTheme="minorEastAsia" w:hAnsiTheme="minorHAnsi" w:cstheme="minorBidi"/>
            <w:noProof/>
            <w:kern w:val="2"/>
            <w:sz w:val="22"/>
            <w:szCs w:val="22"/>
            <w14:ligatures w14:val="standardContextual"/>
          </w:rPr>
          <w:tab/>
        </w:r>
        <w:r w:rsidRPr="00892D0C">
          <w:rPr>
            <w:rStyle w:val="Hyperlink"/>
            <w:noProof/>
          </w:rPr>
          <w:t>Examples of arrangements for evolving ITS in Region 1</w:t>
        </w:r>
        <w:r w:rsidRPr="00892D0C">
          <w:rPr>
            <w:noProof/>
            <w:webHidden/>
          </w:rPr>
          <w:tab/>
        </w:r>
        <w:r w:rsidRPr="00892D0C">
          <w:rPr>
            <w:noProof/>
            <w:webHidden/>
          </w:rPr>
          <w:tab/>
        </w:r>
        <w:r w:rsidRPr="00892D0C">
          <w:rPr>
            <w:noProof/>
            <w:webHidden/>
          </w:rPr>
          <w:fldChar w:fldCharType="begin"/>
        </w:r>
        <w:r w:rsidRPr="00892D0C">
          <w:rPr>
            <w:noProof/>
            <w:webHidden/>
          </w:rPr>
          <w:instrText xml:space="preserve"> PAGEREF _Toc147303614 \h </w:instrText>
        </w:r>
        <w:r w:rsidRPr="00892D0C">
          <w:rPr>
            <w:noProof/>
            <w:webHidden/>
          </w:rPr>
        </w:r>
        <w:r w:rsidRPr="00892D0C">
          <w:rPr>
            <w:noProof/>
            <w:webHidden/>
          </w:rPr>
          <w:fldChar w:fldCharType="separate"/>
        </w:r>
        <w:r w:rsidR="009817B1">
          <w:rPr>
            <w:noProof/>
            <w:webHidden/>
          </w:rPr>
          <w:t>3</w:t>
        </w:r>
        <w:r w:rsidRPr="00892D0C">
          <w:rPr>
            <w:noProof/>
            <w:webHidden/>
          </w:rPr>
          <w:fldChar w:fldCharType="end"/>
        </w:r>
      </w:hyperlink>
    </w:p>
    <w:p w14:paraId="63B8F91A" w14:textId="7817D71C"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15" w:history="1">
        <w:r w:rsidR="00D47487" w:rsidRPr="00892D0C">
          <w:rPr>
            <w:rStyle w:val="Hyperlink"/>
            <w:noProof/>
          </w:rPr>
          <w:t>1.1</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rPr>
          <w:t>Frequency use in CEPT</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_Toc147303615 \h </w:instrText>
        </w:r>
        <w:r w:rsidR="00D47487" w:rsidRPr="00892D0C">
          <w:rPr>
            <w:noProof/>
            <w:webHidden/>
          </w:rPr>
        </w:r>
        <w:r w:rsidR="00D47487" w:rsidRPr="00892D0C">
          <w:rPr>
            <w:noProof/>
            <w:webHidden/>
          </w:rPr>
          <w:fldChar w:fldCharType="separate"/>
        </w:r>
        <w:r w:rsidR="009817B1">
          <w:rPr>
            <w:noProof/>
            <w:webHidden/>
          </w:rPr>
          <w:t>3</w:t>
        </w:r>
        <w:r w:rsidR="00D47487" w:rsidRPr="00892D0C">
          <w:rPr>
            <w:noProof/>
            <w:webHidden/>
          </w:rPr>
          <w:fldChar w:fldCharType="end"/>
        </w:r>
      </w:hyperlink>
    </w:p>
    <w:p w14:paraId="4A393F86" w14:textId="4AAF33D4" w:rsidR="00D47487" w:rsidRPr="00BB3F4E" w:rsidRDefault="0006784A" w:rsidP="00D47487">
      <w:pPr>
        <w:pStyle w:val="TOC1"/>
        <w:rPr>
          <w:rFonts w:asciiTheme="minorHAnsi" w:eastAsiaTheme="minorEastAsia" w:hAnsiTheme="minorHAnsi" w:cstheme="minorBidi"/>
          <w:noProof/>
          <w:spacing w:val="-4"/>
          <w:kern w:val="2"/>
          <w:sz w:val="22"/>
          <w:szCs w:val="22"/>
          <w14:ligatures w14:val="standardContextual"/>
        </w:rPr>
      </w:pPr>
      <w:hyperlink w:anchor="_Toc147303616" w:history="1">
        <w:r w:rsidR="00D47487" w:rsidRPr="00BB3F4E">
          <w:rPr>
            <w:rStyle w:val="Hyperlink"/>
            <w:noProof/>
            <w:spacing w:val="-4"/>
          </w:rPr>
          <w:t>2</w:t>
        </w:r>
        <w:r w:rsidR="00D47487" w:rsidRPr="00BB3F4E">
          <w:rPr>
            <w:rFonts w:asciiTheme="minorHAnsi" w:eastAsiaTheme="minorEastAsia" w:hAnsiTheme="minorHAnsi" w:cstheme="minorBidi"/>
            <w:noProof/>
            <w:spacing w:val="-4"/>
            <w:kern w:val="2"/>
            <w:sz w:val="22"/>
            <w:szCs w:val="22"/>
            <w14:ligatures w14:val="standardContextual"/>
          </w:rPr>
          <w:tab/>
        </w:r>
        <w:r w:rsidR="00D47487" w:rsidRPr="00BB3F4E">
          <w:rPr>
            <w:rStyle w:val="Hyperlink"/>
            <w:noProof/>
            <w:spacing w:val="-4"/>
          </w:rPr>
          <w:t>Examples of arrangements for evolving Intelligent Transport Systems (ITS) in Region 2</w:t>
        </w:r>
        <w:r w:rsidR="00D47487" w:rsidRPr="00BB3F4E">
          <w:rPr>
            <w:noProof/>
            <w:webHidden/>
            <w:spacing w:val="-4"/>
          </w:rPr>
          <w:tab/>
        </w:r>
        <w:r w:rsidR="00BB3F4E" w:rsidRPr="00BB3F4E">
          <w:rPr>
            <w:noProof/>
            <w:webHidden/>
            <w:spacing w:val="-4"/>
          </w:rPr>
          <w:tab/>
        </w:r>
        <w:r w:rsidR="00D47487" w:rsidRPr="00BB3F4E">
          <w:rPr>
            <w:noProof/>
            <w:webHidden/>
            <w:spacing w:val="-4"/>
          </w:rPr>
          <w:fldChar w:fldCharType="begin"/>
        </w:r>
        <w:r w:rsidR="00D47487" w:rsidRPr="00BB3F4E">
          <w:rPr>
            <w:noProof/>
            <w:webHidden/>
            <w:spacing w:val="-4"/>
          </w:rPr>
          <w:instrText xml:space="preserve"> PAGEREF _Toc147303616 \h </w:instrText>
        </w:r>
        <w:r w:rsidR="00D47487" w:rsidRPr="00BB3F4E">
          <w:rPr>
            <w:noProof/>
            <w:webHidden/>
            <w:spacing w:val="-4"/>
          </w:rPr>
        </w:r>
        <w:r w:rsidR="00D47487" w:rsidRPr="00BB3F4E">
          <w:rPr>
            <w:noProof/>
            <w:webHidden/>
            <w:spacing w:val="-4"/>
          </w:rPr>
          <w:fldChar w:fldCharType="separate"/>
        </w:r>
        <w:r w:rsidR="009817B1">
          <w:rPr>
            <w:noProof/>
            <w:webHidden/>
            <w:spacing w:val="-4"/>
          </w:rPr>
          <w:t>3</w:t>
        </w:r>
        <w:r w:rsidR="00D47487" w:rsidRPr="00BB3F4E">
          <w:rPr>
            <w:noProof/>
            <w:webHidden/>
            <w:spacing w:val="-4"/>
          </w:rPr>
          <w:fldChar w:fldCharType="end"/>
        </w:r>
      </w:hyperlink>
    </w:p>
    <w:p w14:paraId="1146D2CC" w14:textId="24ED1EA3"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17" w:history="1">
        <w:r w:rsidR="00D47487" w:rsidRPr="00892D0C">
          <w:rPr>
            <w:rStyle w:val="Hyperlink"/>
            <w:noProof/>
          </w:rPr>
          <w:t>2.1</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rPr>
          <w:t>Frequency use in the United States of America</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_Toc147303617 \h </w:instrText>
        </w:r>
        <w:r w:rsidR="00D47487" w:rsidRPr="00892D0C">
          <w:rPr>
            <w:noProof/>
            <w:webHidden/>
          </w:rPr>
        </w:r>
        <w:r w:rsidR="00D47487" w:rsidRPr="00892D0C">
          <w:rPr>
            <w:noProof/>
            <w:webHidden/>
          </w:rPr>
          <w:fldChar w:fldCharType="separate"/>
        </w:r>
        <w:r w:rsidR="009817B1">
          <w:rPr>
            <w:noProof/>
            <w:webHidden/>
          </w:rPr>
          <w:t>4</w:t>
        </w:r>
        <w:r w:rsidR="00D47487" w:rsidRPr="00892D0C">
          <w:rPr>
            <w:noProof/>
            <w:webHidden/>
          </w:rPr>
          <w:fldChar w:fldCharType="end"/>
        </w:r>
      </w:hyperlink>
    </w:p>
    <w:p w14:paraId="65118ACA" w14:textId="69FE62BD"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18" w:history="1">
        <w:r w:rsidR="00D47487" w:rsidRPr="00892D0C">
          <w:rPr>
            <w:rStyle w:val="Hyperlink"/>
            <w:noProof/>
          </w:rPr>
          <w:t>2.2</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rPr>
          <w:t>Frequency use in Canada</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_Toc147303618 \h </w:instrText>
        </w:r>
        <w:r w:rsidR="00D47487" w:rsidRPr="00892D0C">
          <w:rPr>
            <w:noProof/>
            <w:webHidden/>
          </w:rPr>
        </w:r>
        <w:r w:rsidR="00D47487" w:rsidRPr="00892D0C">
          <w:rPr>
            <w:noProof/>
            <w:webHidden/>
          </w:rPr>
          <w:fldChar w:fldCharType="separate"/>
        </w:r>
        <w:r w:rsidR="009817B1">
          <w:rPr>
            <w:noProof/>
            <w:webHidden/>
          </w:rPr>
          <w:t>5</w:t>
        </w:r>
        <w:r w:rsidR="00D47487" w:rsidRPr="00892D0C">
          <w:rPr>
            <w:noProof/>
            <w:webHidden/>
          </w:rPr>
          <w:fldChar w:fldCharType="end"/>
        </w:r>
      </w:hyperlink>
    </w:p>
    <w:p w14:paraId="351A5370" w14:textId="3C6F7A20"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19" w:history="1">
        <w:r w:rsidR="00D47487" w:rsidRPr="00892D0C">
          <w:rPr>
            <w:rStyle w:val="Hyperlink"/>
            <w:noProof/>
          </w:rPr>
          <w:t>2.3</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rPr>
          <w:t>Frequency use in Brazil</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_Toc147303619 \h </w:instrText>
        </w:r>
        <w:r w:rsidR="00D47487" w:rsidRPr="00892D0C">
          <w:rPr>
            <w:noProof/>
            <w:webHidden/>
          </w:rPr>
        </w:r>
        <w:r w:rsidR="00D47487" w:rsidRPr="00892D0C">
          <w:rPr>
            <w:noProof/>
            <w:webHidden/>
          </w:rPr>
          <w:fldChar w:fldCharType="separate"/>
        </w:r>
        <w:r w:rsidR="009817B1">
          <w:rPr>
            <w:noProof/>
            <w:webHidden/>
          </w:rPr>
          <w:t>5</w:t>
        </w:r>
        <w:r w:rsidR="00D47487" w:rsidRPr="00892D0C">
          <w:rPr>
            <w:noProof/>
            <w:webHidden/>
          </w:rPr>
          <w:fldChar w:fldCharType="end"/>
        </w:r>
      </w:hyperlink>
    </w:p>
    <w:p w14:paraId="24EF8EA6" w14:textId="578FAB87" w:rsidR="00D47487" w:rsidRPr="00BB3F4E" w:rsidRDefault="0006784A" w:rsidP="00D47487">
      <w:pPr>
        <w:pStyle w:val="TOC1"/>
        <w:rPr>
          <w:rFonts w:asciiTheme="minorHAnsi" w:eastAsiaTheme="minorEastAsia" w:hAnsiTheme="minorHAnsi" w:cstheme="minorBidi"/>
          <w:noProof/>
          <w:spacing w:val="-4"/>
          <w:kern w:val="2"/>
          <w:sz w:val="22"/>
          <w:szCs w:val="22"/>
          <w14:ligatures w14:val="standardContextual"/>
        </w:rPr>
      </w:pPr>
      <w:hyperlink w:anchor="_Toc147303620" w:history="1">
        <w:r w:rsidR="00D47487" w:rsidRPr="00BB3F4E">
          <w:rPr>
            <w:rStyle w:val="Hyperlink"/>
            <w:noProof/>
            <w:spacing w:val="-4"/>
          </w:rPr>
          <w:t>3</w:t>
        </w:r>
        <w:r w:rsidR="00D47487" w:rsidRPr="00BB3F4E">
          <w:rPr>
            <w:rFonts w:asciiTheme="minorHAnsi" w:eastAsiaTheme="minorEastAsia" w:hAnsiTheme="minorHAnsi" w:cstheme="minorBidi"/>
            <w:noProof/>
            <w:spacing w:val="-4"/>
            <w:kern w:val="2"/>
            <w:sz w:val="22"/>
            <w:szCs w:val="22"/>
            <w14:ligatures w14:val="standardContextual"/>
          </w:rPr>
          <w:tab/>
        </w:r>
        <w:r w:rsidR="00D47487" w:rsidRPr="00BB3F4E">
          <w:rPr>
            <w:rStyle w:val="Hyperlink"/>
            <w:noProof/>
            <w:spacing w:val="-4"/>
          </w:rPr>
          <w:t xml:space="preserve">Examples of arrangements for evolving </w:t>
        </w:r>
        <w:r w:rsidR="00D47487" w:rsidRPr="00BB3F4E">
          <w:rPr>
            <w:rStyle w:val="Hyperlink"/>
            <w:bCs/>
            <w:iCs/>
            <w:noProof/>
            <w:spacing w:val="-4"/>
          </w:rPr>
          <w:t>Intelligent Transport Systems (ITS) in R</w:t>
        </w:r>
        <w:r w:rsidR="00D47487" w:rsidRPr="00BB3F4E">
          <w:rPr>
            <w:rStyle w:val="Hyperlink"/>
            <w:noProof/>
            <w:spacing w:val="-4"/>
          </w:rPr>
          <w:t>egion 3</w:t>
        </w:r>
        <w:r w:rsidR="00D47487" w:rsidRPr="00BB3F4E">
          <w:rPr>
            <w:noProof/>
            <w:webHidden/>
            <w:spacing w:val="-4"/>
          </w:rPr>
          <w:tab/>
        </w:r>
        <w:r w:rsidR="00BB3F4E" w:rsidRPr="00BB3F4E">
          <w:rPr>
            <w:noProof/>
            <w:webHidden/>
            <w:spacing w:val="-4"/>
          </w:rPr>
          <w:tab/>
        </w:r>
        <w:r w:rsidR="00D47487" w:rsidRPr="00BB3F4E">
          <w:rPr>
            <w:noProof/>
            <w:webHidden/>
            <w:spacing w:val="-4"/>
          </w:rPr>
          <w:fldChar w:fldCharType="begin"/>
        </w:r>
        <w:r w:rsidR="00D47487" w:rsidRPr="00BB3F4E">
          <w:rPr>
            <w:noProof/>
            <w:webHidden/>
            <w:spacing w:val="-4"/>
          </w:rPr>
          <w:instrText xml:space="preserve"> PAGEREF _Toc147303620 \h </w:instrText>
        </w:r>
        <w:r w:rsidR="00D47487" w:rsidRPr="00BB3F4E">
          <w:rPr>
            <w:noProof/>
            <w:webHidden/>
            <w:spacing w:val="-4"/>
          </w:rPr>
        </w:r>
        <w:r w:rsidR="00D47487" w:rsidRPr="00BB3F4E">
          <w:rPr>
            <w:noProof/>
            <w:webHidden/>
            <w:spacing w:val="-4"/>
          </w:rPr>
          <w:fldChar w:fldCharType="separate"/>
        </w:r>
        <w:r w:rsidR="009817B1">
          <w:rPr>
            <w:noProof/>
            <w:webHidden/>
            <w:spacing w:val="-4"/>
          </w:rPr>
          <w:t>6</w:t>
        </w:r>
        <w:r w:rsidR="00D47487" w:rsidRPr="00BB3F4E">
          <w:rPr>
            <w:noProof/>
            <w:webHidden/>
            <w:spacing w:val="-4"/>
          </w:rPr>
          <w:fldChar w:fldCharType="end"/>
        </w:r>
      </w:hyperlink>
    </w:p>
    <w:p w14:paraId="15402CA1" w14:textId="478A3C01"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21" w:history="1">
        <w:r w:rsidR="00D47487" w:rsidRPr="00892D0C">
          <w:rPr>
            <w:rStyle w:val="Hyperlink"/>
            <w:noProof/>
          </w:rPr>
          <w:t>3.1</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rPr>
          <w:t>Frequency use in Japan</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_Toc147303621 \h </w:instrText>
        </w:r>
        <w:r w:rsidR="00D47487" w:rsidRPr="00892D0C">
          <w:rPr>
            <w:noProof/>
            <w:webHidden/>
          </w:rPr>
        </w:r>
        <w:r w:rsidR="00D47487" w:rsidRPr="00892D0C">
          <w:rPr>
            <w:noProof/>
            <w:webHidden/>
          </w:rPr>
          <w:fldChar w:fldCharType="separate"/>
        </w:r>
        <w:r w:rsidR="009817B1">
          <w:rPr>
            <w:noProof/>
            <w:webHidden/>
          </w:rPr>
          <w:t>6</w:t>
        </w:r>
        <w:r w:rsidR="00D47487" w:rsidRPr="00892D0C">
          <w:rPr>
            <w:noProof/>
            <w:webHidden/>
          </w:rPr>
          <w:fldChar w:fldCharType="end"/>
        </w:r>
      </w:hyperlink>
    </w:p>
    <w:p w14:paraId="59FCEA6A" w14:textId="5935A8FC"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22" w:history="1">
        <w:r w:rsidR="00D47487" w:rsidRPr="00892D0C">
          <w:rPr>
            <w:rStyle w:val="Hyperlink"/>
            <w:noProof/>
            <w:lang w:eastAsia="ja-JP"/>
          </w:rPr>
          <w:t>3.2</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lang w:eastAsia="ja-JP"/>
          </w:rPr>
          <w:t xml:space="preserve">Frequency use in </w:t>
        </w:r>
        <w:r w:rsidR="00D47487" w:rsidRPr="00892D0C">
          <w:rPr>
            <w:rStyle w:val="Hyperlink"/>
            <w:noProof/>
          </w:rPr>
          <w:t>Korea</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_Toc147303622 \h </w:instrText>
        </w:r>
        <w:r w:rsidR="00D47487" w:rsidRPr="00892D0C">
          <w:rPr>
            <w:noProof/>
            <w:webHidden/>
          </w:rPr>
        </w:r>
        <w:r w:rsidR="00D47487" w:rsidRPr="00892D0C">
          <w:rPr>
            <w:noProof/>
            <w:webHidden/>
          </w:rPr>
          <w:fldChar w:fldCharType="separate"/>
        </w:r>
        <w:r w:rsidR="009817B1">
          <w:rPr>
            <w:noProof/>
            <w:webHidden/>
          </w:rPr>
          <w:t>8</w:t>
        </w:r>
        <w:r w:rsidR="00D47487" w:rsidRPr="00892D0C">
          <w:rPr>
            <w:noProof/>
            <w:webHidden/>
          </w:rPr>
          <w:fldChar w:fldCharType="end"/>
        </w:r>
      </w:hyperlink>
    </w:p>
    <w:p w14:paraId="56B9BAC0" w14:textId="03960EDE"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23" w:history="1">
        <w:r w:rsidR="00D47487" w:rsidRPr="00892D0C">
          <w:rPr>
            <w:rStyle w:val="Hyperlink"/>
            <w:noProof/>
            <w:lang w:eastAsia="ja-JP"/>
          </w:rPr>
          <w:t>3.3</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lang w:eastAsia="ja-JP"/>
          </w:rPr>
          <w:t xml:space="preserve">Frequency use in </w:t>
        </w:r>
        <w:r w:rsidR="00D47487" w:rsidRPr="00892D0C">
          <w:rPr>
            <w:rStyle w:val="Hyperlink"/>
            <w:noProof/>
          </w:rPr>
          <w:t>Singapore</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_Toc147303623 \h </w:instrText>
        </w:r>
        <w:r w:rsidR="00D47487" w:rsidRPr="00892D0C">
          <w:rPr>
            <w:noProof/>
            <w:webHidden/>
          </w:rPr>
        </w:r>
        <w:r w:rsidR="00D47487" w:rsidRPr="00892D0C">
          <w:rPr>
            <w:noProof/>
            <w:webHidden/>
          </w:rPr>
          <w:fldChar w:fldCharType="separate"/>
        </w:r>
        <w:r w:rsidR="009817B1">
          <w:rPr>
            <w:noProof/>
            <w:webHidden/>
          </w:rPr>
          <w:t>8</w:t>
        </w:r>
        <w:r w:rsidR="00D47487" w:rsidRPr="00892D0C">
          <w:rPr>
            <w:noProof/>
            <w:webHidden/>
          </w:rPr>
          <w:fldChar w:fldCharType="end"/>
        </w:r>
      </w:hyperlink>
    </w:p>
    <w:p w14:paraId="2E3E3437" w14:textId="5A6ADFE6"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24" w:history="1">
        <w:r w:rsidR="00D47487" w:rsidRPr="00892D0C">
          <w:rPr>
            <w:rStyle w:val="Hyperlink"/>
            <w:noProof/>
            <w:lang w:eastAsia="ja-JP"/>
          </w:rPr>
          <w:t>3.4</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lang w:eastAsia="ja-JP"/>
          </w:rPr>
          <w:t xml:space="preserve">Frequency use in </w:t>
        </w:r>
        <w:r w:rsidR="00D47487" w:rsidRPr="00892D0C">
          <w:rPr>
            <w:rStyle w:val="Hyperlink"/>
            <w:noProof/>
          </w:rPr>
          <w:t>Australia</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_Toc147303624 \h </w:instrText>
        </w:r>
        <w:r w:rsidR="00D47487" w:rsidRPr="00892D0C">
          <w:rPr>
            <w:noProof/>
            <w:webHidden/>
          </w:rPr>
        </w:r>
        <w:r w:rsidR="00D47487" w:rsidRPr="00892D0C">
          <w:rPr>
            <w:noProof/>
            <w:webHidden/>
          </w:rPr>
          <w:fldChar w:fldCharType="separate"/>
        </w:r>
        <w:r w:rsidR="009817B1">
          <w:rPr>
            <w:noProof/>
            <w:webHidden/>
          </w:rPr>
          <w:t>9</w:t>
        </w:r>
        <w:r w:rsidR="00D47487" w:rsidRPr="00892D0C">
          <w:rPr>
            <w:noProof/>
            <w:webHidden/>
          </w:rPr>
          <w:fldChar w:fldCharType="end"/>
        </w:r>
      </w:hyperlink>
    </w:p>
    <w:p w14:paraId="2365DB01" w14:textId="462680A4" w:rsidR="00D47487" w:rsidRPr="00892D0C" w:rsidRDefault="0006784A" w:rsidP="00D47487">
      <w:pPr>
        <w:pStyle w:val="TOC2"/>
        <w:ind w:left="1134"/>
        <w:rPr>
          <w:rFonts w:asciiTheme="minorHAnsi" w:eastAsiaTheme="minorEastAsia" w:hAnsiTheme="minorHAnsi" w:cstheme="minorBidi"/>
          <w:noProof/>
          <w:kern w:val="2"/>
          <w:sz w:val="22"/>
          <w:szCs w:val="22"/>
          <w14:ligatures w14:val="standardContextual"/>
        </w:rPr>
      </w:pPr>
      <w:hyperlink w:anchor="_Toc147303625" w:history="1">
        <w:r w:rsidR="00D47487" w:rsidRPr="00892D0C">
          <w:rPr>
            <w:rStyle w:val="Hyperlink"/>
            <w:noProof/>
            <w:lang w:eastAsia="ja-JP"/>
          </w:rPr>
          <w:t>3.5</w:t>
        </w:r>
        <w:r w:rsidR="00D47487" w:rsidRPr="00892D0C">
          <w:rPr>
            <w:rFonts w:asciiTheme="minorHAnsi" w:eastAsiaTheme="minorEastAsia" w:hAnsiTheme="minorHAnsi" w:cstheme="minorBidi"/>
            <w:noProof/>
            <w:kern w:val="2"/>
            <w:sz w:val="22"/>
            <w:szCs w:val="22"/>
            <w14:ligatures w14:val="standardContextual"/>
          </w:rPr>
          <w:tab/>
        </w:r>
        <w:r w:rsidR="00D47487" w:rsidRPr="00892D0C">
          <w:rPr>
            <w:rStyle w:val="Hyperlink"/>
            <w:noProof/>
            <w:lang w:eastAsia="ja-JP"/>
          </w:rPr>
          <w:t>Frequency use in China</w:t>
        </w:r>
        <w:r w:rsidR="00D47487" w:rsidRPr="00892D0C">
          <w:rPr>
            <w:noProof/>
            <w:webHidden/>
          </w:rPr>
          <w:tab/>
        </w:r>
        <w:r w:rsidR="00D47487" w:rsidRPr="00892D0C">
          <w:rPr>
            <w:noProof/>
            <w:webHidden/>
          </w:rPr>
          <w:tab/>
        </w:r>
        <w:r w:rsidR="00D47487" w:rsidRPr="00892D0C">
          <w:rPr>
            <w:noProof/>
            <w:webHidden/>
          </w:rPr>
          <w:fldChar w:fldCharType="begin"/>
        </w:r>
        <w:r w:rsidR="00D47487" w:rsidRPr="00892D0C">
          <w:rPr>
            <w:noProof/>
            <w:webHidden/>
          </w:rPr>
          <w:instrText xml:space="preserve"> PAGEREF _Toc147303625 \h </w:instrText>
        </w:r>
        <w:r w:rsidR="00D47487" w:rsidRPr="00892D0C">
          <w:rPr>
            <w:noProof/>
            <w:webHidden/>
          </w:rPr>
        </w:r>
        <w:r w:rsidR="00D47487" w:rsidRPr="00892D0C">
          <w:rPr>
            <w:noProof/>
            <w:webHidden/>
          </w:rPr>
          <w:fldChar w:fldCharType="separate"/>
        </w:r>
        <w:r w:rsidR="009817B1">
          <w:rPr>
            <w:noProof/>
            <w:webHidden/>
          </w:rPr>
          <w:t>9</w:t>
        </w:r>
        <w:r w:rsidR="00D47487" w:rsidRPr="00892D0C">
          <w:rPr>
            <w:noProof/>
            <w:webHidden/>
          </w:rPr>
          <w:fldChar w:fldCharType="end"/>
        </w:r>
      </w:hyperlink>
    </w:p>
    <w:p w14:paraId="036847F5" w14:textId="158F719C" w:rsidR="00464438" w:rsidRPr="001D24B6" w:rsidRDefault="00D47487" w:rsidP="00D47487">
      <w:pPr>
        <w:tabs>
          <w:tab w:val="left" w:leader="dot" w:pos="8789"/>
        </w:tabs>
      </w:pPr>
      <w:r w:rsidRPr="00892D0C">
        <w:fldChar w:fldCharType="end"/>
      </w:r>
    </w:p>
    <w:p w14:paraId="529D2D63" w14:textId="77777777" w:rsidR="00464438" w:rsidRPr="001D24B6" w:rsidRDefault="00464438" w:rsidP="00651B6E">
      <w:pPr>
        <w:overflowPunct/>
        <w:autoSpaceDE/>
        <w:autoSpaceDN/>
        <w:adjustRightInd/>
        <w:spacing w:before="0"/>
        <w:textAlignment w:val="auto"/>
      </w:pPr>
      <w:bookmarkStart w:id="3" w:name="_Toc514254829"/>
      <w:bookmarkStart w:id="4" w:name="_Toc529991729"/>
      <w:r w:rsidRPr="001D24B6">
        <w:br w:type="page"/>
      </w:r>
    </w:p>
    <w:p w14:paraId="72E30F52" w14:textId="77777777" w:rsidR="00464438" w:rsidRPr="001D24B6" w:rsidRDefault="00464438" w:rsidP="00651B6E">
      <w:pPr>
        <w:pStyle w:val="Heading1"/>
      </w:pPr>
      <w:bookmarkStart w:id="5" w:name="_Toc120620903"/>
      <w:bookmarkStart w:id="6" w:name="_Toc147303614"/>
      <w:r w:rsidRPr="001D24B6">
        <w:lastRenderedPageBreak/>
        <w:t>1</w:t>
      </w:r>
      <w:r w:rsidRPr="001D24B6">
        <w:tab/>
        <w:t>Examples of arrangements for evolving ITS in Region 1</w:t>
      </w:r>
      <w:bookmarkEnd w:id="3"/>
      <w:bookmarkEnd w:id="4"/>
      <w:bookmarkEnd w:id="5"/>
      <w:bookmarkEnd w:id="6"/>
    </w:p>
    <w:p w14:paraId="0BCFAD43" w14:textId="77777777" w:rsidR="00464438" w:rsidRPr="001D24B6" w:rsidRDefault="00464438" w:rsidP="00651B6E">
      <w:pPr>
        <w:pStyle w:val="Heading2"/>
      </w:pPr>
      <w:bookmarkStart w:id="7" w:name="_Toc514254830"/>
      <w:bookmarkStart w:id="8" w:name="_Toc529991730"/>
      <w:bookmarkStart w:id="9" w:name="_Toc120620904"/>
      <w:bookmarkStart w:id="10" w:name="_Toc147303615"/>
      <w:r w:rsidRPr="001D24B6">
        <w:t>1.1</w:t>
      </w:r>
      <w:r w:rsidRPr="001D24B6">
        <w:tab/>
        <w:t>Frequency use in CEPT</w:t>
      </w:r>
      <w:bookmarkEnd w:id="7"/>
      <w:bookmarkEnd w:id="8"/>
      <w:bookmarkEnd w:id="9"/>
      <w:bookmarkEnd w:id="10"/>
    </w:p>
    <w:p w14:paraId="3936892E" w14:textId="77777777" w:rsidR="00464438" w:rsidRPr="001D24B6" w:rsidRDefault="00464438" w:rsidP="006C25A5">
      <w:r w:rsidRPr="001D24B6">
        <w:t>CEPT designated parts of the 5 855-5 925 MHz band in 2008 for the use by ITS specifically to increase road safety and traffic efficiency based on the existing Mobile Service. The harmonization measure includes the following arrangement:</w:t>
      </w:r>
    </w:p>
    <w:p w14:paraId="7C397922" w14:textId="1FDD52B9" w:rsidR="00464438" w:rsidRPr="001D24B6" w:rsidRDefault="00464438" w:rsidP="006C25A5">
      <w:r w:rsidRPr="001D24B6">
        <w:t>The frequency band 5 855-5 925 MHz for ITS applications is split into channels with a bandwidth of 10</w:t>
      </w:r>
      <w:r w:rsidR="00300E25">
        <w:t> </w:t>
      </w:r>
      <w:proofErr w:type="spellStart"/>
      <w:r w:rsidRPr="001D24B6">
        <w:t>MHz.</w:t>
      </w:r>
      <w:proofErr w:type="spellEnd"/>
      <w:r w:rsidRPr="001D24B6">
        <w:t xml:space="preserve"> The maximum spectral power density for ITS stations should be limited to 23 dBm/MHz </w:t>
      </w:r>
      <w:proofErr w:type="spellStart"/>
      <w:r w:rsidRPr="001D24B6">
        <w:t>e.i.r.p</w:t>
      </w:r>
      <w:proofErr w:type="spellEnd"/>
      <w:r w:rsidRPr="001D24B6">
        <w:t xml:space="preserve">. but the total power should not exceed 33 dBm </w:t>
      </w:r>
      <w:proofErr w:type="spellStart"/>
      <w:r w:rsidRPr="001D24B6">
        <w:t>e.i.r.p</w:t>
      </w:r>
      <w:proofErr w:type="spellEnd"/>
      <w:r w:rsidRPr="001D24B6">
        <w:t xml:space="preserve">. with a Transmit Power Control (TPC) range of 30 </w:t>
      </w:r>
      <w:proofErr w:type="spellStart"/>
      <w:r w:rsidRPr="001D24B6">
        <w:t>dB.</w:t>
      </w:r>
      <w:proofErr w:type="spellEnd"/>
      <w:r w:rsidRPr="001D24B6">
        <w:t xml:space="preserve"> The CEPT has designated the lower part of the frequency band for non-traffic safety related ITS applications such as enhancing traffic-efficiency, while the middle of the frequency band is designated and (possibly in the future) upper part is reserved/recommended for traffic-safety related ITS applications such as time critical status information exchange whose aim is to reduce the number of traffic fatalities or accidents using communications between ITS stations (see Table 1 below).</w:t>
      </w:r>
    </w:p>
    <w:p w14:paraId="43E8FBDF" w14:textId="77777777" w:rsidR="00464438" w:rsidRPr="001D24B6" w:rsidRDefault="00464438" w:rsidP="00651B6E">
      <w:pPr>
        <w:pStyle w:val="TableNo"/>
      </w:pPr>
      <w:r w:rsidRPr="001D24B6">
        <w:t>TABLE 1</w:t>
      </w:r>
    </w:p>
    <w:p w14:paraId="5C1370DA" w14:textId="77777777" w:rsidR="00464438" w:rsidRPr="001D24B6" w:rsidRDefault="00464438" w:rsidP="00651B6E">
      <w:pPr>
        <w:pStyle w:val="Tabletitle"/>
      </w:pPr>
      <w:r w:rsidRPr="001D24B6">
        <w:t>CEPT channel arrangement for evolving ITS in the band 5 855-5 925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50"/>
        <w:gridCol w:w="2129"/>
        <w:gridCol w:w="2933"/>
      </w:tblGrid>
      <w:tr w:rsidR="00464438" w:rsidRPr="001D24B6" w14:paraId="6EF3D2DC" w14:textId="77777777" w:rsidTr="00297D5A">
        <w:trPr>
          <w:jc w:val="center"/>
        </w:trPr>
        <w:tc>
          <w:tcPr>
            <w:tcW w:w="4577" w:type="dxa"/>
            <w:gridSpan w:val="2"/>
            <w:tcBorders>
              <w:top w:val="single" w:sz="4" w:space="0" w:color="auto"/>
              <w:left w:val="single" w:sz="4" w:space="0" w:color="auto"/>
              <w:bottom w:val="single" w:sz="4" w:space="0" w:color="auto"/>
              <w:right w:val="single" w:sz="4" w:space="0" w:color="auto"/>
            </w:tcBorders>
            <w:vAlign w:val="center"/>
          </w:tcPr>
          <w:p w14:paraId="70DD490A" w14:textId="77777777" w:rsidR="00464438" w:rsidRPr="001D24B6" w:rsidDel="0091181B" w:rsidRDefault="00464438" w:rsidP="00297D5A">
            <w:pPr>
              <w:pStyle w:val="Tablehead"/>
            </w:pPr>
            <w:r w:rsidRPr="001D24B6">
              <w:t>Application</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447E969" w14:textId="77777777" w:rsidR="00464438" w:rsidRPr="001D24B6" w:rsidRDefault="00464438" w:rsidP="00297D5A">
            <w:pPr>
              <w:pStyle w:val="Tablehead"/>
            </w:pPr>
            <w:r w:rsidRPr="001D24B6">
              <w:t xml:space="preserve">Frequency range </w:t>
            </w:r>
            <w:r w:rsidRPr="001D24B6">
              <w:br/>
              <w:t>(MHz)</w:t>
            </w:r>
          </w:p>
        </w:tc>
        <w:tc>
          <w:tcPr>
            <w:tcW w:w="2933" w:type="dxa"/>
            <w:tcBorders>
              <w:top w:val="single" w:sz="4" w:space="0" w:color="auto"/>
              <w:left w:val="single" w:sz="4" w:space="0" w:color="auto"/>
              <w:bottom w:val="single" w:sz="4" w:space="0" w:color="auto"/>
              <w:right w:val="single" w:sz="4" w:space="0" w:color="auto"/>
            </w:tcBorders>
            <w:vAlign w:val="center"/>
          </w:tcPr>
          <w:p w14:paraId="05D246D3" w14:textId="77777777" w:rsidR="00464438" w:rsidRPr="001D24B6" w:rsidRDefault="00464438" w:rsidP="00297D5A">
            <w:pPr>
              <w:pStyle w:val="Tablehead"/>
            </w:pPr>
            <w:r w:rsidRPr="001D24B6">
              <w:t>Deployment or plan year</w:t>
            </w:r>
          </w:p>
        </w:tc>
      </w:tr>
      <w:tr w:rsidR="00464438" w:rsidRPr="001D24B6" w14:paraId="5D244215" w14:textId="77777777" w:rsidTr="00297D5A">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14:paraId="1AED2355" w14:textId="77777777" w:rsidR="00464438" w:rsidRPr="001D24B6" w:rsidRDefault="00464438" w:rsidP="00297D5A">
            <w:pPr>
              <w:pStyle w:val="Tabletext"/>
            </w:pPr>
            <w:r w:rsidRPr="001D24B6">
              <w:t xml:space="preserve">Non-traffic-safety related </w:t>
            </w:r>
          </w:p>
        </w:tc>
        <w:tc>
          <w:tcPr>
            <w:tcW w:w="2450" w:type="dxa"/>
            <w:vMerge w:val="restart"/>
            <w:tcBorders>
              <w:top w:val="single" w:sz="4" w:space="0" w:color="auto"/>
              <w:left w:val="single" w:sz="4" w:space="0" w:color="auto"/>
              <w:right w:val="single" w:sz="4" w:space="0" w:color="auto"/>
            </w:tcBorders>
          </w:tcPr>
          <w:p w14:paraId="16712C74" w14:textId="77777777" w:rsidR="00464438" w:rsidRPr="001D24B6" w:rsidRDefault="00464438" w:rsidP="00300E25">
            <w:pPr>
              <w:pStyle w:val="Tabletext"/>
              <w:jc w:val="left"/>
            </w:pPr>
            <w:r w:rsidRPr="001D24B6">
              <w:t>Lower part</w:t>
            </w:r>
          </w:p>
          <w:p w14:paraId="0EC316F1" w14:textId="77777777" w:rsidR="00464438" w:rsidRPr="001D24B6" w:rsidDel="0091181B" w:rsidRDefault="00464438" w:rsidP="00300E25">
            <w:pPr>
              <w:pStyle w:val="Tabletext"/>
              <w:jc w:val="left"/>
            </w:pPr>
            <w:r w:rsidRPr="001D24B6">
              <w:t>See ECC/REC</w:t>
            </w:r>
            <w:proofErr w:type="gramStart"/>
            <w:r w:rsidRPr="001D24B6">
              <w:t>/(</w:t>
            </w:r>
            <w:proofErr w:type="gramEnd"/>
            <w:r w:rsidRPr="001D24B6">
              <w:t>08)01</w:t>
            </w:r>
            <w:r>
              <w:t xml:space="preserve"> and 2006/771/EC as amended</w:t>
            </w:r>
          </w:p>
        </w:tc>
        <w:tc>
          <w:tcPr>
            <w:tcW w:w="2129" w:type="dxa"/>
            <w:tcBorders>
              <w:top w:val="single" w:sz="4" w:space="0" w:color="auto"/>
              <w:left w:val="single" w:sz="4" w:space="0" w:color="auto"/>
              <w:bottom w:val="single" w:sz="4" w:space="0" w:color="auto"/>
              <w:right w:val="single" w:sz="4" w:space="0" w:color="auto"/>
            </w:tcBorders>
            <w:hideMark/>
          </w:tcPr>
          <w:p w14:paraId="6D53C2E3" w14:textId="3045DFE0" w:rsidR="00464438" w:rsidRPr="001D24B6" w:rsidRDefault="00464438" w:rsidP="00297D5A">
            <w:pPr>
              <w:pStyle w:val="Tabletext"/>
              <w:jc w:val="center"/>
            </w:pPr>
            <w:r w:rsidRPr="001D24B6">
              <w:t>5</w:t>
            </w:r>
            <w:r>
              <w:t xml:space="preserve"> </w:t>
            </w:r>
            <w:r w:rsidRPr="001D24B6">
              <w:t>855 to 5 865</w:t>
            </w:r>
          </w:p>
        </w:tc>
        <w:tc>
          <w:tcPr>
            <w:tcW w:w="2933" w:type="dxa"/>
            <w:vMerge w:val="restart"/>
            <w:tcBorders>
              <w:top w:val="single" w:sz="4" w:space="0" w:color="auto"/>
              <w:left w:val="single" w:sz="4" w:space="0" w:color="auto"/>
              <w:right w:val="single" w:sz="4" w:space="0" w:color="auto"/>
            </w:tcBorders>
          </w:tcPr>
          <w:p w14:paraId="4168662A" w14:textId="77777777" w:rsidR="00464438" w:rsidRPr="001D24B6" w:rsidRDefault="00464438" w:rsidP="00297D5A">
            <w:pPr>
              <w:pStyle w:val="Tabletext"/>
            </w:pPr>
          </w:p>
        </w:tc>
      </w:tr>
      <w:tr w:rsidR="00464438" w:rsidRPr="001D24B6" w14:paraId="5147E470" w14:textId="77777777" w:rsidTr="00297D5A">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307FDE3" w14:textId="77777777" w:rsidR="00464438" w:rsidRPr="001D24B6" w:rsidRDefault="00464438" w:rsidP="00297D5A">
            <w:pPr>
              <w:pStyle w:val="Tabletext"/>
            </w:pPr>
          </w:p>
        </w:tc>
        <w:tc>
          <w:tcPr>
            <w:tcW w:w="2450" w:type="dxa"/>
            <w:vMerge/>
            <w:tcBorders>
              <w:left w:val="single" w:sz="4" w:space="0" w:color="auto"/>
              <w:bottom w:val="single" w:sz="4" w:space="0" w:color="auto"/>
              <w:right w:val="single" w:sz="4" w:space="0" w:color="auto"/>
            </w:tcBorders>
          </w:tcPr>
          <w:p w14:paraId="74A3DAA2" w14:textId="77777777" w:rsidR="00464438" w:rsidRPr="001D24B6" w:rsidDel="0091181B" w:rsidRDefault="00464438" w:rsidP="00300E25">
            <w:pPr>
              <w:pStyle w:val="Tabletext"/>
              <w:jc w:val="left"/>
            </w:pPr>
          </w:p>
        </w:tc>
        <w:tc>
          <w:tcPr>
            <w:tcW w:w="2129" w:type="dxa"/>
            <w:tcBorders>
              <w:top w:val="single" w:sz="4" w:space="0" w:color="auto"/>
              <w:left w:val="single" w:sz="4" w:space="0" w:color="auto"/>
              <w:bottom w:val="single" w:sz="4" w:space="0" w:color="auto"/>
              <w:right w:val="single" w:sz="4" w:space="0" w:color="auto"/>
            </w:tcBorders>
            <w:hideMark/>
          </w:tcPr>
          <w:p w14:paraId="4D076BA4" w14:textId="03AA4F1F" w:rsidR="00464438" w:rsidRPr="001D24B6" w:rsidRDefault="00464438" w:rsidP="00297D5A">
            <w:pPr>
              <w:pStyle w:val="Tabletext"/>
              <w:jc w:val="center"/>
            </w:pPr>
            <w:r w:rsidRPr="001D24B6">
              <w:t>5</w:t>
            </w:r>
            <w:r>
              <w:t xml:space="preserve"> </w:t>
            </w:r>
            <w:r w:rsidRPr="001D24B6">
              <w:t>865 to 5 875</w:t>
            </w:r>
          </w:p>
        </w:tc>
        <w:tc>
          <w:tcPr>
            <w:tcW w:w="2933" w:type="dxa"/>
            <w:vMerge/>
            <w:tcBorders>
              <w:left w:val="single" w:sz="4" w:space="0" w:color="auto"/>
              <w:bottom w:val="single" w:sz="4" w:space="0" w:color="auto"/>
              <w:right w:val="single" w:sz="4" w:space="0" w:color="auto"/>
            </w:tcBorders>
          </w:tcPr>
          <w:p w14:paraId="30B956E9" w14:textId="77777777" w:rsidR="00464438" w:rsidRPr="001D24B6" w:rsidRDefault="00464438" w:rsidP="00297D5A">
            <w:pPr>
              <w:pStyle w:val="Tabletext"/>
            </w:pPr>
          </w:p>
        </w:tc>
      </w:tr>
      <w:tr w:rsidR="00464438" w:rsidRPr="001D24B6" w14:paraId="0604FF8F" w14:textId="77777777" w:rsidTr="00297D5A">
        <w:trPr>
          <w:jc w:val="center"/>
        </w:trPr>
        <w:tc>
          <w:tcPr>
            <w:tcW w:w="2127" w:type="dxa"/>
            <w:vMerge w:val="restart"/>
            <w:tcBorders>
              <w:top w:val="single" w:sz="4" w:space="0" w:color="auto"/>
              <w:left w:val="single" w:sz="4" w:space="0" w:color="auto"/>
              <w:right w:val="single" w:sz="4" w:space="0" w:color="auto"/>
            </w:tcBorders>
            <w:hideMark/>
          </w:tcPr>
          <w:p w14:paraId="4E137494" w14:textId="77777777" w:rsidR="00464438" w:rsidRPr="001D24B6" w:rsidRDefault="00464438" w:rsidP="00297D5A">
            <w:pPr>
              <w:pStyle w:val="Tabletext"/>
            </w:pPr>
            <w:r w:rsidRPr="001D24B6">
              <w:t xml:space="preserve">Traffic-safety related </w:t>
            </w:r>
          </w:p>
        </w:tc>
        <w:tc>
          <w:tcPr>
            <w:tcW w:w="2450" w:type="dxa"/>
            <w:vMerge w:val="restart"/>
            <w:tcBorders>
              <w:top w:val="single" w:sz="4" w:space="0" w:color="auto"/>
              <w:left w:val="single" w:sz="4" w:space="0" w:color="auto"/>
              <w:right w:val="single" w:sz="4" w:space="0" w:color="auto"/>
            </w:tcBorders>
          </w:tcPr>
          <w:p w14:paraId="40ACDEF7" w14:textId="77777777" w:rsidR="00464438" w:rsidRPr="001D24B6" w:rsidRDefault="00464438" w:rsidP="00300E25">
            <w:pPr>
              <w:pStyle w:val="Tabletext"/>
              <w:jc w:val="left"/>
            </w:pPr>
            <w:r w:rsidRPr="001D24B6">
              <w:t>Upper part</w:t>
            </w:r>
          </w:p>
          <w:p w14:paraId="42F28452" w14:textId="77777777" w:rsidR="00464438" w:rsidRPr="001D24B6" w:rsidDel="0091181B" w:rsidRDefault="00464438" w:rsidP="00300E25">
            <w:pPr>
              <w:pStyle w:val="Tabletext"/>
              <w:jc w:val="left"/>
            </w:pPr>
            <w:r w:rsidRPr="001D24B6">
              <w:t>See ECC/DEC</w:t>
            </w:r>
            <w:proofErr w:type="gramStart"/>
            <w:r w:rsidRPr="001D24B6">
              <w:t>/(</w:t>
            </w:r>
            <w:proofErr w:type="gramEnd"/>
            <w:r w:rsidRPr="001D24B6">
              <w:t>08)01</w:t>
            </w:r>
            <w:r>
              <w:t xml:space="preserve"> and (EU) 2020/1426</w:t>
            </w:r>
          </w:p>
        </w:tc>
        <w:tc>
          <w:tcPr>
            <w:tcW w:w="2129" w:type="dxa"/>
            <w:tcBorders>
              <w:top w:val="single" w:sz="4" w:space="0" w:color="auto"/>
              <w:left w:val="single" w:sz="4" w:space="0" w:color="auto"/>
              <w:bottom w:val="single" w:sz="4" w:space="0" w:color="auto"/>
              <w:right w:val="single" w:sz="4" w:space="0" w:color="auto"/>
            </w:tcBorders>
            <w:hideMark/>
          </w:tcPr>
          <w:p w14:paraId="6CCB086A" w14:textId="10F3FB98" w:rsidR="00464438" w:rsidRPr="001D24B6" w:rsidRDefault="00464438" w:rsidP="00297D5A">
            <w:pPr>
              <w:pStyle w:val="Tabletext"/>
              <w:jc w:val="center"/>
            </w:pPr>
            <w:r w:rsidRPr="001D24B6">
              <w:t>5</w:t>
            </w:r>
            <w:r>
              <w:t xml:space="preserve"> </w:t>
            </w:r>
            <w:r w:rsidRPr="001D24B6">
              <w:t>875 to 5 885</w:t>
            </w:r>
          </w:p>
        </w:tc>
        <w:tc>
          <w:tcPr>
            <w:tcW w:w="2933" w:type="dxa"/>
            <w:vMerge w:val="restart"/>
            <w:tcBorders>
              <w:top w:val="single" w:sz="4" w:space="0" w:color="auto"/>
              <w:left w:val="single" w:sz="4" w:space="0" w:color="auto"/>
              <w:right w:val="single" w:sz="4" w:space="0" w:color="auto"/>
            </w:tcBorders>
          </w:tcPr>
          <w:p w14:paraId="440EC76A" w14:textId="1EA60E7B" w:rsidR="00464438" w:rsidRPr="001D24B6" w:rsidRDefault="00464438" w:rsidP="00297D5A">
            <w:pPr>
              <w:pStyle w:val="Tabletext"/>
            </w:pPr>
            <w:r w:rsidRPr="001D24B6">
              <w:t>Deployment of infrastructure in some member states since 2016</w:t>
            </w:r>
            <w:r w:rsidRPr="001D24B6">
              <w:rPr>
                <w:rStyle w:val="FootnoteReference"/>
              </w:rPr>
              <w:footnoteReference w:id="1"/>
            </w:r>
            <w:r w:rsidRPr="001D24B6">
              <w:t>,</w:t>
            </w:r>
            <w:r>
              <w:t xml:space="preserve"> </w:t>
            </w:r>
            <w:r w:rsidRPr="001D24B6">
              <w:t>deployment</w:t>
            </w:r>
            <w:r>
              <w:t xml:space="preserve"> </w:t>
            </w:r>
            <w:r w:rsidRPr="001D24B6">
              <w:t>of</w:t>
            </w:r>
            <w:r>
              <w:t xml:space="preserve"> </w:t>
            </w:r>
            <w:r w:rsidRPr="001D24B6">
              <w:t>vehicles in 2019</w:t>
            </w:r>
            <w:r w:rsidRPr="001D24B6">
              <w:rPr>
                <w:rStyle w:val="FootnoteReference"/>
              </w:rPr>
              <w:footnoteReference w:id="2"/>
            </w:r>
          </w:p>
        </w:tc>
      </w:tr>
      <w:tr w:rsidR="00464438" w:rsidRPr="001D24B6" w14:paraId="4F5BF021" w14:textId="77777777" w:rsidTr="00297D5A">
        <w:trPr>
          <w:jc w:val="center"/>
        </w:trPr>
        <w:tc>
          <w:tcPr>
            <w:tcW w:w="2127" w:type="dxa"/>
            <w:vMerge/>
            <w:tcBorders>
              <w:left w:val="single" w:sz="4" w:space="0" w:color="auto"/>
              <w:right w:val="single" w:sz="4" w:space="0" w:color="auto"/>
            </w:tcBorders>
            <w:vAlign w:val="center"/>
            <w:hideMark/>
          </w:tcPr>
          <w:p w14:paraId="08CCC075" w14:textId="77777777" w:rsidR="00464438" w:rsidRPr="001D24B6" w:rsidRDefault="00464438" w:rsidP="00297D5A">
            <w:pPr>
              <w:pStyle w:val="Tabletext"/>
            </w:pPr>
          </w:p>
        </w:tc>
        <w:tc>
          <w:tcPr>
            <w:tcW w:w="2450" w:type="dxa"/>
            <w:vMerge/>
            <w:tcBorders>
              <w:left w:val="single" w:sz="4" w:space="0" w:color="auto"/>
              <w:right w:val="single" w:sz="4" w:space="0" w:color="auto"/>
            </w:tcBorders>
          </w:tcPr>
          <w:p w14:paraId="32000220" w14:textId="77777777" w:rsidR="00464438" w:rsidRPr="001D24B6" w:rsidDel="0091181B" w:rsidRDefault="00464438" w:rsidP="00297D5A">
            <w:pPr>
              <w:pStyle w:val="Tabletext"/>
            </w:pPr>
          </w:p>
        </w:tc>
        <w:tc>
          <w:tcPr>
            <w:tcW w:w="2129" w:type="dxa"/>
            <w:tcBorders>
              <w:top w:val="single" w:sz="4" w:space="0" w:color="auto"/>
              <w:left w:val="single" w:sz="4" w:space="0" w:color="auto"/>
              <w:bottom w:val="single" w:sz="4" w:space="0" w:color="auto"/>
              <w:right w:val="single" w:sz="4" w:space="0" w:color="auto"/>
            </w:tcBorders>
            <w:hideMark/>
          </w:tcPr>
          <w:p w14:paraId="455E5340" w14:textId="6386523C" w:rsidR="00464438" w:rsidRPr="001D24B6" w:rsidRDefault="00464438" w:rsidP="00297D5A">
            <w:pPr>
              <w:pStyle w:val="Tabletext"/>
              <w:jc w:val="center"/>
            </w:pPr>
            <w:r w:rsidRPr="001D24B6">
              <w:t>5</w:t>
            </w:r>
            <w:r>
              <w:t xml:space="preserve"> </w:t>
            </w:r>
            <w:r w:rsidRPr="001D24B6">
              <w:t>885 to 5 895</w:t>
            </w:r>
          </w:p>
        </w:tc>
        <w:tc>
          <w:tcPr>
            <w:tcW w:w="2933" w:type="dxa"/>
            <w:vMerge/>
            <w:tcBorders>
              <w:left w:val="single" w:sz="4" w:space="0" w:color="auto"/>
              <w:right w:val="single" w:sz="4" w:space="0" w:color="auto"/>
            </w:tcBorders>
          </w:tcPr>
          <w:p w14:paraId="4EAC9EFB" w14:textId="77777777" w:rsidR="00464438" w:rsidRPr="001D24B6" w:rsidRDefault="00464438" w:rsidP="00297D5A">
            <w:pPr>
              <w:pStyle w:val="Tabletext"/>
            </w:pPr>
          </w:p>
        </w:tc>
      </w:tr>
      <w:tr w:rsidR="00464438" w:rsidRPr="001D24B6" w14:paraId="29A8A0B4" w14:textId="77777777" w:rsidTr="00297D5A">
        <w:trPr>
          <w:jc w:val="center"/>
        </w:trPr>
        <w:tc>
          <w:tcPr>
            <w:tcW w:w="2127" w:type="dxa"/>
            <w:vMerge/>
            <w:tcBorders>
              <w:left w:val="single" w:sz="4" w:space="0" w:color="auto"/>
              <w:right w:val="single" w:sz="4" w:space="0" w:color="auto"/>
            </w:tcBorders>
            <w:vAlign w:val="center"/>
            <w:hideMark/>
          </w:tcPr>
          <w:p w14:paraId="1517FFE0" w14:textId="77777777" w:rsidR="00464438" w:rsidRPr="001D24B6" w:rsidRDefault="00464438" w:rsidP="00297D5A">
            <w:pPr>
              <w:pStyle w:val="Tabletext"/>
            </w:pPr>
          </w:p>
        </w:tc>
        <w:tc>
          <w:tcPr>
            <w:tcW w:w="2450" w:type="dxa"/>
            <w:vMerge/>
            <w:tcBorders>
              <w:left w:val="single" w:sz="4" w:space="0" w:color="auto"/>
              <w:right w:val="single" w:sz="4" w:space="0" w:color="auto"/>
            </w:tcBorders>
          </w:tcPr>
          <w:p w14:paraId="54BFFEB4" w14:textId="77777777" w:rsidR="00464438" w:rsidRPr="001D24B6" w:rsidDel="0091181B" w:rsidRDefault="00464438" w:rsidP="00297D5A">
            <w:pPr>
              <w:pStyle w:val="Tabletext"/>
            </w:pPr>
          </w:p>
        </w:tc>
        <w:tc>
          <w:tcPr>
            <w:tcW w:w="2129" w:type="dxa"/>
            <w:tcBorders>
              <w:top w:val="single" w:sz="4" w:space="0" w:color="auto"/>
              <w:left w:val="single" w:sz="4" w:space="0" w:color="auto"/>
              <w:bottom w:val="single" w:sz="4" w:space="0" w:color="auto"/>
              <w:right w:val="single" w:sz="4" w:space="0" w:color="auto"/>
            </w:tcBorders>
            <w:hideMark/>
          </w:tcPr>
          <w:p w14:paraId="649B206C" w14:textId="330DA190" w:rsidR="00464438" w:rsidRPr="001D24B6" w:rsidRDefault="00464438" w:rsidP="00297D5A">
            <w:pPr>
              <w:pStyle w:val="Tabletext"/>
              <w:jc w:val="center"/>
            </w:pPr>
            <w:r w:rsidRPr="001D24B6">
              <w:t>5</w:t>
            </w:r>
            <w:r>
              <w:t xml:space="preserve"> </w:t>
            </w:r>
            <w:r w:rsidRPr="001D24B6">
              <w:t>895 to 5 905</w:t>
            </w:r>
          </w:p>
        </w:tc>
        <w:tc>
          <w:tcPr>
            <w:tcW w:w="2933" w:type="dxa"/>
            <w:vMerge/>
            <w:tcBorders>
              <w:left w:val="single" w:sz="4" w:space="0" w:color="auto"/>
              <w:bottom w:val="single" w:sz="4" w:space="0" w:color="auto"/>
              <w:right w:val="single" w:sz="4" w:space="0" w:color="auto"/>
            </w:tcBorders>
          </w:tcPr>
          <w:p w14:paraId="2E37B1B1" w14:textId="77777777" w:rsidR="00464438" w:rsidRPr="001D24B6" w:rsidRDefault="00464438" w:rsidP="00297D5A">
            <w:pPr>
              <w:pStyle w:val="Tabletext"/>
            </w:pPr>
          </w:p>
        </w:tc>
      </w:tr>
      <w:tr w:rsidR="00464438" w:rsidRPr="001D24B6" w14:paraId="2DD90C9B" w14:textId="77777777" w:rsidTr="00297D5A">
        <w:trPr>
          <w:jc w:val="center"/>
        </w:trPr>
        <w:tc>
          <w:tcPr>
            <w:tcW w:w="2127" w:type="dxa"/>
            <w:vMerge/>
            <w:tcBorders>
              <w:left w:val="single" w:sz="4" w:space="0" w:color="auto"/>
              <w:right w:val="single" w:sz="4" w:space="0" w:color="auto"/>
            </w:tcBorders>
            <w:hideMark/>
          </w:tcPr>
          <w:p w14:paraId="4529E538" w14:textId="77777777" w:rsidR="00464438" w:rsidRPr="001D24B6" w:rsidRDefault="00464438" w:rsidP="00297D5A">
            <w:pPr>
              <w:pStyle w:val="Tabletext"/>
            </w:pPr>
          </w:p>
        </w:tc>
        <w:tc>
          <w:tcPr>
            <w:tcW w:w="2450" w:type="dxa"/>
            <w:vMerge/>
            <w:tcBorders>
              <w:left w:val="single" w:sz="4" w:space="0" w:color="auto"/>
              <w:right w:val="single" w:sz="4" w:space="0" w:color="auto"/>
            </w:tcBorders>
          </w:tcPr>
          <w:p w14:paraId="734B6849" w14:textId="77777777" w:rsidR="00464438" w:rsidRPr="001D24B6" w:rsidDel="0091181B" w:rsidRDefault="00464438" w:rsidP="00297D5A">
            <w:pPr>
              <w:pStyle w:val="Tabletext"/>
            </w:pPr>
          </w:p>
        </w:tc>
        <w:tc>
          <w:tcPr>
            <w:tcW w:w="2129" w:type="dxa"/>
            <w:tcBorders>
              <w:top w:val="single" w:sz="4" w:space="0" w:color="auto"/>
              <w:left w:val="single" w:sz="4" w:space="0" w:color="auto"/>
              <w:bottom w:val="single" w:sz="4" w:space="0" w:color="auto"/>
              <w:right w:val="single" w:sz="4" w:space="0" w:color="auto"/>
            </w:tcBorders>
            <w:hideMark/>
          </w:tcPr>
          <w:p w14:paraId="2EECBBA5" w14:textId="2CFBDC04" w:rsidR="00464438" w:rsidRPr="001D24B6" w:rsidRDefault="00464438" w:rsidP="00297D5A">
            <w:pPr>
              <w:pStyle w:val="Tabletext"/>
              <w:jc w:val="center"/>
            </w:pPr>
            <w:r w:rsidRPr="001D24B6">
              <w:t>5</w:t>
            </w:r>
            <w:r>
              <w:t xml:space="preserve"> </w:t>
            </w:r>
            <w:r w:rsidRPr="001D24B6">
              <w:t>905 to 5 915</w:t>
            </w:r>
          </w:p>
        </w:tc>
        <w:tc>
          <w:tcPr>
            <w:tcW w:w="2933" w:type="dxa"/>
            <w:vMerge w:val="restart"/>
            <w:tcBorders>
              <w:top w:val="single" w:sz="4" w:space="0" w:color="auto"/>
              <w:left w:val="single" w:sz="4" w:space="0" w:color="auto"/>
              <w:right w:val="single" w:sz="4" w:space="0" w:color="auto"/>
            </w:tcBorders>
          </w:tcPr>
          <w:p w14:paraId="4AE77DFC" w14:textId="77777777" w:rsidR="00464438" w:rsidRPr="001D24B6" w:rsidRDefault="00464438" w:rsidP="00297D5A">
            <w:pPr>
              <w:pStyle w:val="Tabletext"/>
            </w:pPr>
          </w:p>
        </w:tc>
      </w:tr>
      <w:tr w:rsidR="00464438" w:rsidRPr="001D24B6" w14:paraId="23695AE6" w14:textId="77777777" w:rsidTr="00297D5A">
        <w:trPr>
          <w:jc w:val="center"/>
        </w:trPr>
        <w:tc>
          <w:tcPr>
            <w:tcW w:w="2127" w:type="dxa"/>
            <w:vMerge/>
            <w:tcBorders>
              <w:left w:val="single" w:sz="4" w:space="0" w:color="auto"/>
              <w:bottom w:val="single" w:sz="4" w:space="0" w:color="auto"/>
              <w:right w:val="single" w:sz="4" w:space="0" w:color="auto"/>
            </w:tcBorders>
            <w:vAlign w:val="center"/>
            <w:hideMark/>
          </w:tcPr>
          <w:p w14:paraId="7AC56AE6" w14:textId="77777777" w:rsidR="00464438" w:rsidRPr="001D24B6" w:rsidRDefault="00464438" w:rsidP="00297D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Arial" w:hAnsi="Arial"/>
                <w:b/>
                <w:sz w:val="18"/>
              </w:rPr>
            </w:pPr>
          </w:p>
        </w:tc>
        <w:tc>
          <w:tcPr>
            <w:tcW w:w="2450" w:type="dxa"/>
            <w:vMerge/>
            <w:tcBorders>
              <w:left w:val="single" w:sz="4" w:space="0" w:color="auto"/>
              <w:bottom w:val="single" w:sz="4" w:space="0" w:color="auto"/>
              <w:right w:val="single" w:sz="4" w:space="0" w:color="auto"/>
            </w:tcBorders>
          </w:tcPr>
          <w:p w14:paraId="02A2FC89" w14:textId="77777777" w:rsidR="00464438" w:rsidRPr="001D24B6" w:rsidDel="0091181B" w:rsidRDefault="00464438" w:rsidP="00297D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2129" w:type="dxa"/>
            <w:tcBorders>
              <w:top w:val="single" w:sz="4" w:space="0" w:color="auto"/>
              <w:left w:val="single" w:sz="4" w:space="0" w:color="auto"/>
              <w:bottom w:val="single" w:sz="4" w:space="0" w:color="auto"/>
              <w:right w:val="single" w:sz="4" w:space="0" w:color="auto"/>
            </w:tcBorders>
            <w:hideMark/>
          </w:tcPr>
          <w:p w14:paraId="41BEB45D" w14:textId="3920276A" w:rsidR="00464438" w:rsidRPr="00AA3588" w:rsidRDefault="00464438" w:rsidP="00297D5A">
            <w:pPr>
              <w:pStyle w:val="Tabletext"/>
              <w:jc w:val="center"/>
              <w:rPr>
                <w:vertAlign w:val="superscript"/>
              </w:rPr>
            </w:pPr>
            <w:r w:rsidRPr="001D24B6">
              <w:t>5 915 to 5 925</w:t>
            </w:r>
            <w:r>
              <w:rPr>
                <w:rStyle w:val="FootnoteReference"/>
              </w:rPr>
              <w:footnoteReference w:id="3"/>
            </w:r>
          </w:p>
        </w:tc>
        <w:tc>
          <w:tcPr>
            <w:tcW w:w="2933" w:type="dxa"/>
            <w:vMerge/>
            <w:tcBorders>
              <w:left w:val="single" w:sz="4" w:space="0" w:color="auto"/>
              <w:bottom w:val="single" w:sz="4" w:space="0" w:color="auto"/>
              <w:right w:val="single" w:sz="4" w:space="0" w:color="auto"/>
            </w:tcBorders>
          </w:tcPr>
          <w:p w14:paraId="4C1A2E27" w14:textId="77777777" w:rsidR="00464438" w:rsidRPr="001D24B6" w:rsidRDefault="00464438" w:rsidP="00297D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r>
    </w:tbl>
    <w:p w14:paraId="1BD0DD08" w14:textId="77777777" w:rsidR="00464438" w:rsidRPr="001D24B6" w:rsidRDefault="00464438" w:rsidP="00651B6E">
      <w:pPr>
        <w:pStyle w:val="Tablefin"/>
      </w:pPr>
    </w:p>
    <w:p w14:paraId="36BC4D94" w14:textId="21CAD2CF" w:rsidR="00464438" w:rsidRPr="001D24B6" w:rsidRDefault="00464438" w:rsidP="006763E1">
      <w:r w:rsidRPr="001D24B6">
        <w:t>The above regulatory measures from the ECC refer to the ETSI Harmonized Standard EN 302 571</w:t>
      </w:r>
      <w:r>
        <w:rPr>
          <w:rStyle w:val="FootnoteReference"/>
        </w:rPr>
        <w:footnoteReference w:id="4"/>
      </w:r>
      <w:r>
        <w:t xml:space="preserve"> </w:t>
      </w:r>
      <w:r w:rsidRPr="001D24B6">
        <w:t>and defines requirements for operation of ITS equipment in 5 855-5 925 MHz, covering the essential requirements of Article 3.2 of the Radio Equipment Directive (2014/53/EU).</w:t>
      </w:r>
    </w:p>
    <w:p w14:paraId="70F90027" w14:textId="77777777" w:rsidR="00464438" w:rsidRPr="001D24B6" w:rsidRDefault="00464438" w:rsidP="00651B6E">
      <w:pPr>
        <w:pStyle w:val="Heading1"/>
      </w:pPr>
      <w:bookmarkStart w:id="11" w:name="_Toc514254832"/>
      <w:bookmarkStart w:id="12" w:name="_Toc529991731"/>
      <w:bookmarkStart w:id="13" w:name="_Toc120620905"/>
      <w:bookmarkStart w:id="14" w:name="_Toc147303616"/>
      <w:r w:rsidRPr="001D24B6">
        <w:t>2</w:t>
      </w:r>
      <w:r w:rsidRPr="001D24B6">
        <w:tab/>
        <w:t>Examples of arrangements for evolving Intelligent Transport Systems (ITS) in Region 2</w:t>
      </w:r>
      <w:bookmarkEnd w:id="11"/>
      <w:bookmarkEnd w:id="12"/>
      <w:bookmarkEnd w:id="13"/>
      <w:bookmarkEnd w:id="14"/>
    </w:p>
    <w:p w14:paraId="1B87CCC2" w14:textId="77777777" w:rsidR="00464438" w:rsidRPr="001D24B6" w:rsidRDefault="00464438" w:rsidP="00651B6E">
      <w:r w:rsidRPr="001D24B6">
        <w:t>Table 2 shows the frequency usage in 5.9 GHz in Region 2.</w:t>
      </w:r>
    </w:p>
    <w:p w14:paraId="43C6FA3B" w14:textId="77777777" w:rsidR="00464438" w:rsidRPr="001D24B6" w:rsidRDefault="00464438" w:rsidP="00651B6E">
      <w:pPr>
        <w:pStyle w:val="TableNo"/>
      </w:pPr>
      <w:r w:rsidRPr="001D24B6">
        <w:lastRenderedPageBreak/>
        <w:t>TABLE 2</w:t>
      </w:r>
    </w:p>
    <w:p w14:paraId="437A7569" w14:textId="77777777" w:rsidR="00464438" w:rsidRPr="001D24B6" w:rsidRDefault="00464438" w:rsidP="00651B6E">
      <w:pPr>
        <w:pStyle w:val="Tabletitle"/>
        <w:rPr>
          <w:lang w:eastAsia="ja-JP"/>
        </w:rPr>
      </w:pPr>
      <w:r w:rsidRPr="001D24B6">
        <w:rPr>
          <w:lang w:eastAsia="ja-JP"/>
        </w:rPr>
        <w:t xml:space="preserve">Frequency </w:t>
      </w:r>
      <w:r w:rsidRPr="001D24B6">
        <w:t>usage</w:t>
      </w:r>
      <w:r w:rsidRPr="001D24B6">
        <w:rPr>
          <w:lang w:eastAsia="ja-JP"/>
        </w:rPr>
        <w:t xml:space="preserve"> for evolving ITS Radiocommunication in Region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6"/>
        <w:gridCol w:w="1701"/>
        <w:gridCol w:w="2127"/>
        <w:gridCol w:w="2981"/>
      </w:tblGrid>
      <w:tr w:rsidR="00464438" w:rsidRPr="001D24B6" w14:paraId="56D79D3F" w14:textId="77777777" w:rsidTr="00961179">
        <w:trPr>
          <w:cantSplit/>
          <w:tblHeader/>
          <w:jc w:val="center"/>
        </w:trPr>
        <w:tc>
          <w:tcPr>
            <w:tcW w:w="1134" w:type="dxa"/>
            <w:shd w:val="clear" w:color="auto" w:fill="auto"/>
            <w:vAlign w:val="center"/>
          </w:tcPr>
          <w:p w14:paraId="4BF71E07" w14:textId="77777777" w:rsidR="00464438" w:rsidRPr="001D24B6" w:rsidRDefault="00464438" w:rsidP="00297D5A">
            <w:pPr>
              <w:pStyle w:val="Tablehead"/>
              <w:rPr>
                <w:rFonts w:eastAsia="Malgun Gothic"/>
              </w:rPr>
            </w:pPr>
            <w:r w:rsidRPr="001D24B6">
              <w:t>Country</w:t>
            </w:r>
          </w:p>
        </w:tc>
        <w:tc>
          <w:tcPr>
            <w:tcW w:w="1696" w:type="dxa"/>
            <w:shd w:val="clear" w:color="auto" w:fill="auto"/>
            <w:vAlign w:val="center"/>
          </w:tcPr>
          <w:p w14:paraId="6247C70F" w14:textId="306034BB" w:rsidR="00464438" w:rsidRPr="001D24B6" w:rsidRDefault="00464438" w:rsidP="00297D5A">
            <w:pPr>
              <w:pStyle w:val="Tablehead"/>
              <w:rPr>
                <w:rFonts w:eastAsia="Malgun Gothic"/>
              </w:rPr>
            </w:pPr>
            <w:r w:rsidRPr="001D24B6">
              <w:t>Frequency</w:t>
            </w:r>
            <w:r w:rsidRPr="001D24B6">
              <w:rPr>
                <w:rFonts w:eastAsia="Malgun Gothic"/>
              </w:rPr>
              <w:t xml:space="preserve"> </w:t>
            </w:r>
            <w:r w:rsidRPr="001D24B6">
              <w:t>band</w:t>
            </w:r>
            <w:r w:rsidR="00961179">
              <w:br/>
              <w:t>(MHz)</w:t>
            </w:r>
          </w:p>
        </w:tc>
        <w:tc>
          <w:tcPr>
            <w:tcW w:w="1701" w:type="dxa"/>
            <w:shd w:val="clear" w:color="auto" w:fill="auto"/>
            <w:vAlign w:val="center"/>
          </w:tcPr>
          <w:p w14:paraId="76AC8674" w14:textId="77777777" w:rsidR="00464438" w:rsidRPr="001D24B6" w:rsidRDefault="00464438" w:rsidP="00297D5A">
            <w:pPr>
              <w:pStyle w:val="Tablehead"/>
            </w:pPr>
            <w:r w:rsidRPr="001D24B6">
              <w:t>Deployment scenario</w:t>
            </w:r>
          </w:p>
        </w:tc>
        <w:tc>
          <w:tcPr>
            <w:tcW w:w="2127" w:type="dxa"/>
            <w:shd w:val="clear" w:color="auto" w:fill="auto"/>
            <w:vAlign w:val="center"/>
          </w:tcPr>
          <w:p w14:paraId="53AF0195" w14:textId="77777777" w:rsidR="00464438" w:rsidRPr="001D24B6" w:rsidRDefault="00464438" w:rsidP="00297D5A">
            <w:pPr>
              <w:pStyle w:val="Tablehead"/>
            </w:pPr>
            <w:r w:rsidRPr="001D24B6">
              <w:t>Service</w:t>
            </w:r>
          </w:p>
        </w:tc>
        <w:tc>
          <w:tcPr>
            <w:tcW w:w="2981" w:type="dxa"/>
            <w:shd w:val="clear" w:color="auto" w:fill="auto"/>
            <w:vAlign w:val="center"/>
          </w:tcPr>
          <w:p w14:paraId="7BDC8B44" w14:textId="77777777" w:rsidR="00464438" w:rsidRPr="001D24B6" w:rsidRDefault="00464438" w:rsidP="00297D5A">
            <w:pPr>
              <w:pStyle w:val="Tablehead"/>
            </w:pPr>
            <w:r w:rsidRPr="001D24B6">
              <w:t>Deployment or plan year</w:t>
            </w:r>
          </w:p>
        </w:tc>
      </w:tr>
      <w:tr w:rsidR="00464438" w:rsidRPr="001D24B6" w14:paraId="45CDE551" w14:textId="77777777" w:rsidTr="00961179">
        <w:trPr>
          <w:cantSplit/>
          <w:jc w:val="center"/>
        </w:trPr>
        <w:tc>
          <w:tcPr>
            <w:tcW w:w="1134" w:type="dxa"/>
            <w:shd w:val="clear" w:color="auto" w:fill="auto"/>
            <w:vAlign w:val="center"/>
          </w:tcPr>
          <w:p w14:paraId="28B8694F" w14:textId="7EFE964D" w:rsidR="00464438" w:rsidRPr="001D24B6" w:rsidRDefault="00464438" w:rsidP="006B6D17">
            <w:pPr>
              <w:pStyle w:val="Tabletext"/>
              <w:jc w:val="left"/>
            </w:pPr>
            <w:r w:rsidRPr="001D24B6">
              <w:t>United States</w:t>
            </w:r>
            <w:r w:rsidR="00AA3E67">
              <w:t xml:space="preserve"> of America</w:t>
            </w:r>
          </w:p>
        </w:tc>
        <w:tc>
          <w:tcPr>
            <w:tcW w:w="1696" w:type="dxa"/>
            <w:shd w:val="clear" w:color="auto" w:fill="auto"/>
            <w:vAlign w:val="center"/>
          </w:tcPr>
          <w:p w14:paraId="45ACB2FF" w14:textId="64513A14" w:rsidR="00464438" w:rsidRPr="001D24B6" w:rsidRDefault="00464438" w:rsidP="00582BEB">
            <w:pPr>
              <w:pStyle w:val="Tabletext"/>
              <w:jc w:val="center"/>
              <w:rPr>
                <w:highlight w:val="yellow"/>
              </w:rPr>
            </w:pPr>
            <w:r w:rsidRPr="00B51ADF">
              <w:t>5 895-5 925</w:t>
            </w:r>
          </w:p>
        </w:tc>
        <w:tc>
          <w:tcPr>
            <w:tcW w:w="1701" w:type="dxa"/>
            <w:shd w:val="clear" w:color="auto" w:fill="auto"/>
            <w:vAlign w:val="center"/>
          </w:tcPr>
          <w:p w14:paraId="18D481E5" w14:textId="5C60F85B" w:rsidR="00464438" w:rsidRPr="001D24B6" w:rsidRDefault="00464438" w:rsidP="00582BEB">
            <w:pPr>
              <w:pStyle w:val="Tabletext"/>
              <w:jc w:val="center"/>
            </w:pPr>
            <w:r>
              <w:t>V2V and V2I communications</w:t>
            </w:r>
          </w:p>
        </w:tc>
        <w:tc>
          <w:tcPr>
            <w:tcW w:w="2127" w:type="dxa"/>
            <w:shd w:val="clear" w:color="auto" w:fill="auto"/>
            <w:vAlign w:val="center"/>
          </w:tcPr>
          <w:p w14:paraId="0C5C4E55" w14:textId="7BE1D2E6" w:rsidR="00464438" w:rsidRPr="001D24B6" w:rsidRDefault="00464438" w:rsidP="006B6D17">
            <w:pPr>
              <w:pStyle w:val="Tabletext"/>
              <w:jc w:val="left"/>
            </w:pPr>
            <w:r w:rsidRPr="001D24B6">
              <w:t>Safety-related, mobility and environmental information</w:t>
            </w:r>
          </w:p>
        </w:tc>
        <w:tc>
          <w:tcPr>
            <w:tcW w:w="2981" w:type="dxa"/>
            <w:shd w:val="clear" w:color="auto" w:fill="auto"/>
            <w:vAlign w:val="center"/>
          </w:tcPr>
          <w:p w14:paraId="4C35C4DB" w14:textId="0B678D57" w:rsidR="00464438" w:rsidRPr="001D24B6" w:rsidRDefault="00464438" w:rsidP="00297D5A">
            <w:pPr>
              <w:pStyle w:val="Tabletext"/>
            </w:pPr>
            <w:r w:rsidRPr="00B51ADF">
              <w:t>Model deployment – 2012-13</w:t>
            </w:r>
            <w:r w:rsidRPr="00B51ADF">
              <w:rPr>
                <w:rStyle w:val="FootnoteReference"/>
              </w:rPr>
              <w:footnoteReference w:id="5"/>
            </w:r>
            <w:r w:rsidRPr="00B51ADF">
              <w:t>; Pilot and Initial Deployments – beginning in 2015</w:t>
            </w:r>
            <w:r w:rsidRPr="00B51ADF">
              <w:rPr>
                <w:rStyle w:val="FootnoteReference"/>
              </w:rPr>
              <w:footnoteReference w:id="6"/>
            </w:r>
            <w:r w:rsidRPr="00AA3E67">
              <w:rPr>
                <w:vertAlign w:val="superscript"/>
              </w:rPr>
              <w:t>,</w:t>
            </w:r>
            <w:r w:rsidR="006B6D17">
              <w:rPr>
                <w:vertAlign w:val="superscript"/>
              </w:rPr>
              <w:t xml:space="preserve"> </w:t>
            </w:r>
            <w:r w:rsidR="006B6D17" w:rsidRPr="006B6D17">
              <w:rPr>
                <w:rStyle w:val="FootnoteReference"/>
              </w:rPr>
              <w:footnoteReference w:id="7"/>
            </w:r>
            <w:r w:rsidRPr="00B51ADF">
              <w:rPr>
                <w:vertAlign w:val="superscript"/>
              </w:rPr>
              <w:t>,</w:t>
            </w:r>
            <w:r w:rsidR="006B6D17">
              <w:rPr>
                <w:vertAlign w:val="superscript"/>
              </w:rPr>
              <w:t xml:space="preserve"> </w:t>
            </w:r>
            <w:r w:rsidR="006B6D17" w:rsidRPr="006B6D17">
              <w:rPr>
                <w:rStyle w:val="FootnoteReference"/>
              </w:rPr>
              <w:footnoteReference w:id="8"/>
            </w:r>
            <w:r w:rsidRPr="00B51ADF">
              <w:rPr>
                <w:vertAlign w:val="superscript"/>
              </w:rPr>
              <w:t>,</w:t>
            </w:r>
            <w:r w:rsidR="006B6D17">
              <w:rPr>
                <w:vertAlign w:val="superscript"/>
              </w:rPr>
              <w:t xml:space="preserve"> </w:t>
            </w:r>
            <w:r w:rsidR="006B6D17" w:rsidRPr="006B6D17">
              <w:rPr>
                <w:rStyle w:val="FootnoteReference"/>
              </w:rPr>
              <w:footnoteReference w:id="9"/>
            </w:r>
            <w:r w:rsidRPr="00B51ADF">
              <w:rPr>
                <w:vertAlign w:val="superscript"/>
              </w:rPr>
              <w:t>,</w:t>
            </w:r>
            <w:r w:rsidR="006B6D17">
              <w:rPr>
                <w:vertAlign w:val="superscript"/>
              </w:rPr>
              <w:t xml:space="preserve"> </w:t>
            </w:r>
            <w:r w:rsidR="006B6D17" w:rsidRPr="006B6D17">
              <w:rPr>
                <w:rStyle w:val="FootnoteReference"/>
              </w:rPr>
              <w:footnoteReference w:id="10"/>
            </w:r>
          </w:p>
        </w:tc>
      </w:tr>
      <w:tr w:rsidR="00464438" w:rsidRPr="001D24B6" w14:paraId="15DBC527" w14:textId="77777777" w:rsidTr="00961179">
        <w:trPr>
          <w:cantSplit/>
          <w:tblHeader/>
          <w:jc w:val="center"/>
        </w:trPr>
        <w:tc>
          <w:tcPr>
            <w:tcW w:w="1134" w:type="dxa"/>
            <w:shd w:val="clear" w:color="auto" w:fill="auto"/>
            <w:vAlign w:val="center"/>
          </w:tcPr>
          <w:p w14:paraId="06E33383" w14:textId="77777777" w:rsidR="00464438" w:rsidRPr="001D24B6" w:rsidRDefault="00464438" w:rsidP="006B6D17">
            <w:pPr>
              <w:pStyle w:val="Tabletext"/>
              <w:jc w:val="left"/>
            </w:pPr>
            <w:r w:rsidRPr="001D24B6">
              <w:t>Canada</w:t>
            </w:r>
          </w:p>
        </w:tc>
        <w:tc>
          <w:tcPr>
            <w:tcW w:w="1696" w:type="dxa"/>
            <w:shd w:val="clear" w:color="auto" w:fill="auto"/>
            <w:vAlign w:val="center"/>
          </w:tcPr>
          <w:p w14:paraId="553BEF52" w14:textId="02F2E64D" w:rsidR="00464438" w:rsidRPr="001D24B6" w:rsidRDefault="00464438" w:rsidP="00582BEB">
            <w:pPr>
              <w:pStyle w:val="Tabletext"/>
              <w:jc w:val="center"/>
            </w:pPr>
            <w:r w:rsidRPr="001D24B6">
              <w:t>5 8</w:t>
            </w:r>
            <w:r>
              <w:t>9</w:t>
            </w:r>
            <w:r w:rsidRPr="001D24B6">
              <w:t>5-5 925</w:t>
            </w:r>
          </w:p>
        </w:tc>
        <w:tc>
          <w:tcPr>
            <w:tcW w:w="1701" w:type="dxa"/>
            <w:shd w:val="clear" w:color="auto" w:fill="auto"/>
            <w:vAlign w:val="center"/>
          </w:tcPr>
          <w:p w14:paraId="7759089C" w14:textId="77777777" w:rsidR="00464438" w:rsidRPr="001D24B6" w:rsidRDefault="00464438" w:rsidP="00582BEB">
            <w:pPr>
              <w:pStyle w:val="Tabletext"/>
              <w:jc w:val="center"/>
            </w:pPr>
            <w:r w:rsidRPr="001D24B6">
              <w:t>V2V and V2I communications</w:t>
            </w:r>
          </w:p>
        </w:tc>
        <w:tc>
          <w:tcPr>
            <w:tcW w:w="2127" w:type="dxa"/>
            <w:shd w:val="clear" w:color="auto" w:fill="auto"/>
            <w:vAlign w:val="center"/>
          </w:tcPr>
          <w:p w14:paraId="2DAC3120" w14:textId="77777777" w:rsidR="00464438" w:rsidRPr="001D24B6" w:rsidRDefault="00464438" w:rsidP="006B6D17">
            <w:pPr>
              <w:pStyle w:val="Tabletext"/>
              <w:jc w:val="left"/>
            </w:pPr>
            <w:r w:rsidRPr="001D24B6">
              <w:t xml:space="preserve">Vehicle safety as well as safety of life and property </w:t>
            </w:r>
          </w:p>
        </w:tc>
        <w:tc>
          <w:tcPr>
            <w:tcW w:w="2981" w:type="dxa"/>
            <w:shd w:val="clear" w:color="auto" w:fill="auto"/>
            <w:vAlign w:val="center"/>
          </w:tcPr>
          <w:p w14:paraId="41E55431" w14:textId="1D2F1401" w:rsidR="00464438" w:rsidRPr="001D24B6" w:rsidRDefault="00464438" w:rsidP="00297D5A">
            <w:pPr>
              <w:pStyle w:val="Tabletext"/>
            </w:pPr>
            <w:r w:rsidRPr="00246865">
              <w:t>Currently limited deployments. Revised policy decision issued in December 2022 to allow only C-V2X-based ITS in this band. Deployments expected following the publication of the revised technical equipment standard.</w:t>
            </w:r>
          </w:p>
        </w:tc>
      </w:tr>
      <w:tr w:rsidR="00464438" w:rsidRPr="001D24B6" w14:paraId="65DE24F9" w14:textId="77777777" w:rsidTr="00961179">
        <w:trPr>
          <w:cantSplit/>
          <w:tblHeader/>
          <w:jc w:val="center"/>
        </w:trPr>
        <w:tc>
          <w:tcPr>
            <w:tcW w:w="1134" w:type="dxa"/>
            <w:shd w:val="clear" w:color="auto" w:fill="auto"/>
            <w:vAlign w:val="center"/>
          </w:tcPr>
          <w:p w14:paraId="2B272B7B" w14:textId="77777777" w:rsidR="00464438" w:rsidRPr="001D24B6" w:rsidRDefault="00464438" w:rsidP="006B6D17">
            <w:pPr>
              <w:pStyle w:val="Tabletext"/>
              <w:jc w:val="left"/>
            </w:pPr>
            <w:r w:rsidRPr="001D24B6">
              <w:t>Brazil</w:t>
            </w:r>
          </w:p>
        </w:tc>
        <w:tc>
          <w:tcPr>
            <w:tcW w:w="1696" w:type="dxa"/>
            <w:shd w:val="clear" w:color="auto" w:fill="auto"/>
            <w:vAlign w:val="center"/>
          </w:tcPr>
          <w:p w14:paraId="18BBDE02" w14:textId="6E68C79C" w:rsidR="00464438" w:rsidRPr="001D24B6" w:rsidRDefault="00464438" w:rsidP="00582BEB">
            <w:pPr>
              <w:pStyle w:val="Tabletext"/>
              <w:jc w:val="center"/>
            </w:pPr>
            <w:r w:rsidRPr="001D24B6">
              <w:t>5 855-5 925</w:t>
            </w:r>
          </w:p>
        </w:tc>
        <w:tc>
          <w:tcPr>
            <w:tcW w:w="1701" w:type="dxa"/>
            <w:shd w:val="clear" w:color="auto" w:fill="auto"/>
            <w:vAlign w:val="center"/>
          </w:tcPr>
          <w:p w14:paraId="7A40C1C6" w14:textId="77777777" w:rsidR="00464438" w:rsidRPr="001D24B6" w:rsidRDefault="00464438" w:rsidP="00582BEB">
            <w:pPr>
              <w:pStyle w:val="Tabletext"/>
              <w:jc w:val="center"/>
            </w:pPr>
            <w:r w:rsidRPr="001D24B6">
              <w:t>V2V and V2I communications</w:t>
            </w:r>
          </w:p>
        </w:tc>
        <w:tc>
          <w:tcPr>
            <w:tcW w:w="2127" w:type="dxa"/>
            <w:shd w:val="clear" w:color="auto" w:fill="auto"/>
            <w:vAlign w:val="center"/>
          </w:tcPr>
          <w:p w14:paraId="2156BAF9" w14:textId="77777777" w:rsidR="00464438" w:rsidRPr="001D24B6" w:rsidRDefault="00464438" w:rsidP="006B6D17">
            <w:pPr>
              <w:pStyle w:val="Tabletext"/>
              <w:jc w:val="left"/>
            </w:pPr>
            <w:r w:rsidRPr="001D24B6">
              <w:t>Vehicle communications, including traffic and vehicle safety applications</w:t>
            </w:r>
          </w:p>
        </w:tc>
        <w:tc>
          <w:tcPr>
            <w:tcW w:w="2981" w:type="dxa"/>
            <w:shd w:val="clear" w:color="auto" w:fill="auto"/>
            <w:vAlign w:val="center"/>
          </w:tcPr>
          <w:p w14:paraId="174FA79E" w14:textId="77777777" w:rsidR="00464438" w:rsidRPr="001D24B6" w:rsidRDefault="00464438" w:rsidP="00297D5A">
            <w:pPr>
              <w:pStyle w:val="Tabletext"/>
            </w:pPr>
            <w:r w:rsidRPr="001D24B6">
              <w:t>Regulation approved in 2020</w:t>
            </w:r>
          </w:p>
        </w:tc>
      </w:tr>
    </w:tbl>
    <w:p w14:paraId="163D56BA" w14:textId="77777777" w:rsidR="00464438" w:rsidRPr="001D24B6" w:rsidRDefault="00464438" w:rsidP="00651B6E">
      <w:pPr>
        <w:pStyle w:val="Tablefin"/>
      </w:pPr>
    </w:p>
    <w:p w14:paraId="4A34D11F" w14:textId="77777777" w:rsidR="00464438" w:rsidRPr="001D24B6" w:rsidRDefault="00464438" w:rsidP="00651B6E">
      <w:pPr>
        <w:pStyle w:val="Heading2"/>
      </w:pPr>
      <w:bookmarkStart w:id="15" w:name="_Toc514254833"/>
      <w:bookmarkStart w:id="16" w:name="_Toc529991732"/>
      <w:bookmarkStart w:id="17" w:name="_Toc120620906"/>
      <w:bookmarkStart w:id="18" w:name="_Toc147303617"/>
      <w:r w:rsidRPr="001D24B6">
        <w:t>2.1</w:t>
      </w:r>
      <w:r w:rsidRPr="001D24B6">
        <w:tab/>
        <w:t>Frequency use in the United States</w:t>
      </w:r>
      <w:bookmarkEnd w:id="15"/>
      <w:bookmarkEnd w:id="16"/>
      <w:r w:rsidRPr="001D24B6">
        <w:t xml:space="preserve"> of America</w:t>
      </w:r>
      <w:bookmarkEnd w:id="17"/>
      <w:bookmarkEnd w:id="18"/>
    </w:p>
    <w:p w14:paraId="67476AE6" w14:textId="03097849" w:rsidR="00464438" w:rsidRPr="002F0C90" w:rsidRDefault="00464438" w:rsidP="006763E1">
      <w:r w:rsidRPr="002F0C90">
        <w:t>In 2020 the United States spectrum regulator repurposed 45 MHz of the lower 5.9 GHz band to allow for the expansion of unlicensed operations, while preserving 30 MHz in the upper 5.9 GHz for ITS operations.</w:t>
      </w:r>
    </w:p>
    <w:p w14:paraId="39DCF530" w14:textId="01DEFE5C" w:rsidR="00464438" w:rsidRPr="002F0C90" w:rsidRDefault="00464438" w:rsidP="006763E1">
      <w:r w:rsidRPr="002F0C90">
        <w:t>The U.S. 2020 decision also required ITS at 5 895</w:t>
      </w:r>
      <w:r>
        <w:t>-</w:t>
      </w:r>
      <w:r w:rsidRPr="002F0C90">
        <w:t xml:space="preserve">5 925 MHz to use 3GPP </w:t>
      </w:r>
      <w:r w:rsidR="00A7528B">
        <w:t>Cellular Vehicle-to-Everything (C-V2X)</w:t>
      </w:r>
      <w:r w:rsidRPr="002F0C90">
        <w:t xml:space="preserve"> specifications. The 2020 decision permitted existing ITS deployments in the U.S. to remain in the 5 850-5 895 MHz band until July 2022. Thereafter, ITS in that range may only operate in 5 895-5 925 </w:t>
      </w:r>
      <w:proofErr w:type="spellStart"/>
      <w:r w:rsidRPr="002F0C90">
        <w:t>MHz.</w:t>
      </w:r>
      <w:proofErr w:type="spellEnd"/>
    </w:p>
    <w:p w14:paraId="37580F87" w14:textId="77777777" w:rsidR="00464438" w:rsidRPr="001D24B6" w:rsidRDefault="00464438" w:rsidP="00651B6E">
      <w:pPr>
        <w:pStyle w:val="Heading2"/>
      </w:pPr>
      <w:bookmarkStart w:id="19" w:name="_Toc529991733"/>
      <w:bookmarkStart w:id="20" w:name="_Toc120620907"/>
      <w:bookmarkStart w:id="21" w:name="_Toc147303618"/>
      <w:r w:rsidRPr="001D24B6">
        <w:lastRenderedPageBreak/>
        <w:t>2.2</w:t>
      </w:r>
      <w:r w:rsidRPr="001D24B6">
        <w:tab/>
        <w:t>Frequency use in Canada</w:t>
      </w:r>
      <w:bookmarkEnd w:id="19"/>
      <w:bookmarkEnd w:id="20"/>
      <w:bookmarkEnd w:id="21"/>
    </w:p>
    <w:p w14:paraId="4858797F" w14:textId="0AD4E55E" w:rsidR="00464438" w:rsidRDefault="00464438" w:rsidP="00246865">
      <w:r>
        <w:t>In December 2022</w:t>
      </w:r>
      <w:r w:rsidR="00A47702">
        <w:t>,</w:t>
      </w:r>
      <w:r>
        <w:t xml:space="preserve"> the Canadian regulator revised its spectrum utilization policy</w:t>
      </w:r>
      <w:r>
        <w:rPr>
          <w:rStyle w:val="FootnoteReference"/>
        </w:rPr>
        <w:footnoteReference w:id="11"/>
      </w:r>
      <w:r>
        <w:t xml:space="preserve"> to now allow licence-exempt radio local area network (RLAN) operations in the </w:t>
      </w:r>
      <w:r w:rsidR="001D6070">
        <w:t xml:space="preserve">frequency band </w:t>
      </w:r>
      <w:r>
        <w:t xml:space="preserve">5 850-5 895 MHz, while allowing ITS operations to continue to operate in the </w:t>
      </w:r>
      <w:r w:rsidR="001D6070">
        <w:t xml:space="preserve">frequency band </w:t>
      </w:r>
      <w:r>
        <w:t xml:space="preserve">5 895-5 925 </w:t>
      </w:r>
      <w:proofErr w:type="spellStart"/>
      <w:r>
        <w:t>MHz.</w:t>
      </w:r>
      <w:proofErr w:type="spellEnd"/>
      <w:r>
        <w:t xml:space="preserve"> ITS operations deployed in the </w:t>
      </w:r>
      <w:r w:rsidR="001D6070">
        <w:t xml:space="preserve">frequency band </w:t>
      </w:r>
      <w:r>
        <w:t>5 850-5 895 MHz prior to April 2023 may continue to operate</w:t>
      </w:r>
      <w:r w:rsidR="000C4794">
        <w:t>,</w:t>
      </w:r>
      <w:r>
        <w:t xml:space="preserve"> but on a no-protection, no-interference basis.</w:t>
      </w:r>
    </w:p>
    <w:p w14:paraId="0539D39C" w14:textId="0024C876" w:rsidR="00464438" w:rsidRDefault="00464438" w:rsidP="00246865">
      <w:r>
        <w:t>To provide the ITS community the certainty required to quickly and efficiently develop and deploy ITS applications using the latest technologies, Canada also mandated the use of 3GPP-based C-V2X technology for all ITS applications in the 5 895-5 925 MHz range. As of April 2023, only equipment employing C-V2X technology will be certified to operate in the 5 895-5 925 MHz range. Equipment using other technologies, such as Dedicated Short Range Communications, that were deployed prior to this date, may continue to operate on a no-protection, no-interference basis.</w:t>
      </w:r>
    </w:p>
    <w:p w14:paraId="5DF3B191" w14:textId="77777777" w:rsidR="00464438" w:rsidRPr="001D24B6" w:rsidRDefault="00464438" w:rsidP="00651B6E">
      <w:pPr>
        <w:pStyle w:val="Heading2"/>
      </w:pPr>
      <w:bookmarkStart w:id="22" w:name="_Toc120620908"/>
      <w:bookmarkStart w:id="23" w:name="_Toc147303619"/>
      <w:bookmarkStart w:id="24" w:name="_Toc514254834"/>
      <w:bookmarkStart w:id="25" w:name="_Toc529991734"/>
      <w:r w:rsidRPr="001D24B6">
        <w:t>2.3</w:t>
      </w:r>
      <w:r w:rsidRPr="001D24B6">
        <w:tab/>
        <w:t>Frequency use in Brazil</w:t>
      </w:r>
      <w:bookmarkEnd w:id="22"/>
      <w:bookmarkEnd w:id="23"/>
    </w:p>
    <w:p w14:paraId="68EFE868" w14:textId="77777777" w:rsidR="00464438" w:rsidRPr="001D24B6" w:rsidRDefault="00464438" w:rsidP="00FB556E">
      <w:r w:rsidRPr="001D24B6">
        <w:t xml:space="preserve">Brazil considers important the emergence of vehicle connectivity solutions to mobile communications networks in urban, rural and highway environments, for sending and receiving data and information to aid in driving traffic, traffic conditions and preventive maintenance of the vehicle. </w:t>
      </w:r>
    </w:p>
    <w:p w14:paraId="56B3CABA" w14:textId="798F23C9" w:rsidR="00464438" w:rsidRPr="001D24B6" w:rsidRDefault="00464438" w:rsidP="00A47702">
      <w:pPr>
        <w:rPr>
          <w:spacing w:val="-2"/>
        </w:rPr>
      </w:pPr>
      <w:r w:rsidRPr="00582BEB">
        <w:t>The requirements for ITS communications in Brazil are included in the regulation governing the technical requirements for conformity assessment of restricted radiation radiocommunication</w:t>
      </w:r>
      <w:r w:rsidRPr="001D24B6">
        <w:rPr>
          <w:spacing w:val="-2"/>
        </w:rPr>
        <w:t xml:space="preserve"> </w:t>
      </w:r>
      <w:r w:rsidRPr="00582BEB">
        <w:t>equipment, which includes systems for data communication between vehicles and between vehicles and road infrastructure. The characteristics for use of ITS in Brazil are based on the standard ETSI EN 302 571,</w:t>
      </w:r>
      <w:r w:rsidRPr="001D24B6">
        <w:rPr>
          <w:spacing w:val="-2"/>
        </w:rPr>
        <w:t xml:space="preserve"> covering the use of radiocommunications equipment operating in the </w:t>
      </w:r>
      <w:r w:rsidR="00B60C15" w:rsidRPr="001D24B6">
        <w:rPr>
          <w:spacing w:val="-2"/>
        </w:rPr>
        <w:t xml:space="preserve">frequency band </w:t>
      </w:r>
      <w:r w:rsidRPr="001D24B6">
        <w:rPr>
          <w:spacing w:val="-2"/>
        </w:rPr>
        <w:t>5</w:t>
      </w:r>
      <w:r w:rsidR="00B60C15">
        <w:rPr>
          <w:spacing w:val="-2"/>
        </w:rPr>
        <w:t> </w:t>
      </w:r>
      <w:r w:rsidRPr="001D24B6">
        <w:rPr>
          <w:spacing w:val="-2"/>
        </w:rPr>
        <w:t>855</w:t>
      </w:r>
      <w:r w:rsidR="00B60C15">
        <w:rPr>
          <w:spacing w:val="-2"/>
        </w:rPr>
        <w:noBreakHyphen/>
      </w:r>
      <w:r w:rsidRPr="001D24B6">
        <w:rPr>
          <w:spacing w:val="-2"/>
        </w:rPr>
        <w:t>5</w:t>
      </w:r>
      <w:r w:rsidR="00B60C15">
        <w:rPr>
          <w:spacing w:val="-2"/>
        </w:rPr>
        <w:t> </w:t>
      </w:r>
      <w:r w:rsidRPr="001D24B6">
        <w:rPr>
          <w:spacing w:val="-2"/>
        </w:rPr>
        <w:t xml:space="preserve">925 MHz, divided into blocks of 10 </w:t>
      </w:r>
      <w:proofErr w:type="spellStart"/>
      <w:r w:rsidRPr="001D24B6">
        <w:rPr>
          <w:spacing w:val="-2"/>
        </w:rPr>
        <w:t>MHz.</w:t>
      </w:r>
      <w:proofErr w:type="spellEnd"/>
      <w:r>
        <w:rPr>
          <w:spacing w:val="-2"/>
        </w:rPr>
        <w:t xml:space="preserve"> </w:t>
      </w:r>
      <w:r w:rsidRPr="002F0C90">
        <w:rPr>
          <w:spacing w:val="-2"/>
        </w:rPr>
        <w:t>Channel aggregation can be performed, for example combining consecutive 10 MHz channels to make a 20 MHz channel.</w:t>
      </w:r>
    </w:p>
    <w:p w14:paraId="4A751F75" w14:textId="035CC4C5" w:rsidR="00464438" w:rsidRPr="001D24B6" w:rsidRDefault="00464438" w:rsidP="00651B6E">
      <w:pPr>
        <w:pStyle w:val="TableNo"/>
        <w:keepLines/>
      </w:pPr>
      <w:r w:rsidRPr="001D24B6">
        <w:t xml:space="preserve">TABLE </w:t>
      </w:r>
      <w:r>
        <w:t>3</w:t>
      </w:r>
    </w:p>
    <w:p w14:paraId="0A4495D6" w14:textId="77777777" w:rsidR="00464438" w:rsidRDefault="00464438" w:rsidP="00651B6E">
      <w:pPr>
        <w:pStyle w:val="Tabletitle"/>
      </w:pPr>
      <w:r w:rsidRPr="001D24B6">
        <w:t>Band plan for ITS in Brazil</w:t>
      </w:r>
    </w:p>
    <w:tbl>
      <w:tblPr>
        <w:tblStyle w:val="TableGrid"/>
        <w:tblW w:w="0" w:type="auto"/>
        <w:tblInd w:w="1555" w:type="dxa"/>
        <w:tblLook w:val="04A0" w:firstRow="1" w:lastRow="0" w:firstColumn="1" w:lastColumn="0" w:noHBand="0" w:noVBand="1"/>
      </w:tblPr>
      <w:tblGrid>
        <w:gridCol w:w="3402"/>
        <w:gridCol w:w="3403"/>
      </w:tblGrid>
      <w:tr w:rsidR="00B60C15" w14:paraId="752636F2" w14:textId="77777777" w:rsidTr="00B60C15">
        <w:tc>
          <w:tcPr>
            <w:tcW w:w="3402" w:type="dxa"/>
          </w:tcPr>
          <w:p w14:paraId="786F2F11" w14:textId="077951DD" w:rsidR="00B60C15" w:rsidRDefault="00B60C15" w:rsidP="00B60C15">
            <w:pPr>
              <w:pStyle w:val="Tablehead"/>
            </w:pPr>
            <w:r w:rsidRPr="001D24B6">
              <w:t>Channel number</w:t>
            </w:r>
          </w:p>
        </w:tc>
        <w:tc>
          <w:tcPr>
            <w:tcW w:w="3403" w:type="dxa"/>
          </w:tcPr>
          <w:p w14:paraId="5C6DA37F" w14:textId="1DE2D501" w:rsidR="00B60C15" w:rsidRDefault="00B60C15" w:rsidP="00B60C15">
            <w:pPr>
              <w:pStyle w:val="Tablehead"/>
            </w:pPr>
            <w:r w:rsidRPr="001D24B6">
              <w:t>Frequency range</w:t>
            </w:r>
            <w:r>
              <w:br/>
            </w:r>
            <w:r w:rsidRPr="001D24B6">
              <w:t>(MHz)</w:t>
            </w:r>
          </w:p>
        </w:tc>
      </w:tr>
      <w:tr w:rsidR="00B60C15" w14:paraId="58C01954" w14:textId="77777777" w:rsidTr="00B60C15">
        <w:tc>
          <w:tcPr>
            <w:tcW w:w="3402" w:type="dxa"/>
          </w:tcPr>
          <w:p w14:paraId="5616CCC3" w14:textId="24478302" w:rsidR="00B60C15" w:rsidRDefault="00B60C15" w:rsidP="00B60C15">
            <w:pPr>
              <w:pStyle w:val="Tabletext"/>
              <w:jc w:val="center"/>
            </w:pPr>
            <w:r w:rsidRPr="001D24B6">
              <w:t>1</w:t>
            </w:r>
          </w:p>
        </w:tc>
        <w:tc>
          <w:tcPr>
            <w:tcW w:w="3403" w:type="dxa"/>
          </w:tcPr>
          <w:p w14:paraId="43BA2F94" w14:textId="6679A49D" w:rsidR="00B60C15" w:rsidRDefault="00B60C15" w:rsidP="00B60C15">
            <w:pPr>
              <w:pStyle w:val="Tabletext"/>
              <w:jc w:val="center"/>
            </w:pPr>
            <w:r w:rsidRPr="001D24B6">
              <w:t>5 855-5 865</w:t>
            </w:r>
          </w:p>
        </w:tc>
      </w:tr>
      <w:tr w:rsidR="00B60C15" w14:paraId="2066852F" w14:textId="77777777" w:rsidTr="00B60C15">
        <w:tc>
          <w:tcPr>
            <w:tcW w:w="3402" w:type="dxa"/>
          </w:tcPr>
          <w:p w14:paraId="5C98A02D" w14:textId="63AD0069" w:rsidR="00B60C15" w:rsidRDefault="00B60C15" w:rsidP="00B60C15">
            <w:pPr>
              <w:pStyle w:val="Tabletext"/>
              <w:jc w:val="center"/>
            </w:pPr>
            <w:r w:rsidRPr="001D24B6">
              <w:t>2</w:t>
            </w:r>
          </w:p>
        </w:tc>
        <w:tc>
          <w:tcPr>
            <w:tcW w:w="3403" w:type="dxa"/>
          </w:tcPr>
          <w:p w14:paraId="6645D76E" w14:textId="7EF5B321" w:rsidR="00B60C15" w:rsidRDefault="00B60C15" w:rsidP="00B60C15">
            <w:pPr>
              <w:pStyle w:val="Tabletext"/>
              <w:jc w:val="center"/>
            </w:pPr>
            <w:r w:rsidRPr="001D24B6">
              <w:t>5 865-5 875</w:t>
            </w:r>
          </w:p>
        </w:tc>
      </w:tr>
      <w:tr w:rsidR="00B60C15" w14:paraId="1659CEC2" w14:textId="77777777" w:rsidTr="00B60C15">
        <w:tc>
          <w:tcPr>
            <w:tcW w:w="3402" w:type="dxa"/>
          </w:tcPr>
          <w:p w14:paraId="181016F8" w14:textId="32E5E3E9" w:rsidR="00B60C15" w:rsidRDefault="00B60C15" w:rsidP="00B60C15">
            <w:pPr>
              <w:pStyle w:val="Tabletext"/>
              <w:jc w:val="center"/>
            </w:pPr>
            <w:r w:rsidRPr="001D24B6">
              <w:t>3</w:t>
            </w:r>
          </w:p>
        </w:tc>
        <w:tc>
          <w:tcPr>
            <w:tcW w:w="3403" w:type="dxa"/>
          </w:tcPr>
          <w:p w14:paraId="3C4DF917" w14:textId="38654347" w:rsidR="00B60C15" w:rsidRDefault="00B60C15" w:rsidP="00B60C15">
            <w:pPr>
              <w:pStyle w:val="Tabletext"/>
              <w:jc w:val="center"/>
            </w:pPr>
            <w:r w:rsidRPr="001D24B6">
              <w:t>5 875-5 885</w:t>
            </w:r>
          </w:p>
        </w:tc>
      </w:tr>
      <w:tr w:rsidR="00B60C15" w14:paraId="4E07C647" w14:textId="77777777" w:rsidTr="00B60C15">
        <w:tc>
          <w:tcPr>
            <w:tcW w:w="3402" w:type="dxa"/>
          </w:tcPr>
          <w:p w14:paraId="0E5DB56E" w14:textId="1FD2C845" w:rsidR="00B60C15" w:rsidRDefault="00B60C15" w:rsidP="00B60C15">
            <w:pPr>
              <w:pStyle w:val="Tabletext"/>
              <w:jc w:val="center"/>
            </w:pPr>
            <w:r w:rsidRPr="001D24B6">
              <w:t>4</w:t>
            </w:r>
          </w:p>
        </w:tc>
        <w:tc>
          <w:tcPr>
            <w:tcW w:w="3403" w:type="dxa"/>
          </w:tcPr>
          <w:p w14:paraId="3C060558" w14:textId="7459D1DC" w:rsidR="00B60C15" w:rsidRDefault="00B60C15" w:rsidP="00B60C15">
            <w:pPr>
              <w:pStyle w:val="Tabletext"/>
              <w:jc w:val="center"/>
            </w:pPr>
            <w:r w:rsidRPr="001D24B6">
              <w:t>5 885-5 895</w:t>
            </w:r>
          </w:p>
        </w:tc>
      </w:tr>
      <w:tr w:rsidR="00B60C15" w14:paraId="4872D025" w14:textId="77777777" w:rsidTr="00B60C15">
        <w:tc>
          <w:tcPr>
            <w:tcW w:w="3402" w:type="dxa"/>
          </w:tcPr>
          <w:p w14:paraId="1CA8E84A" w14:textId="34D4DA1C" w:rsidR="00B60C15" w:rsidRDefault="00B60C15" w:rsidP="00B60C15">
            <w:pPr>
              <w:pStyle w:val="Tabletext"/>
              <w:jc w:val="center"/>
            </w:pPr>
            <w:r w:rsidRPr="001D24B6">
              <w:t>5</w:t>
            </w:r>
          </w:p>
        </w:tc>
        <w:tc>
          <w:tcPr>
            <w:tcW w:w="3403" w:type="dxa"/>
          </w:tcPr>
          <w:p w14:paraId="16E41E80" w14:textId="64C0414E" w:rsidR="00B60C15" w:rsidRDefault="00B60C15" w:rsidP="00B60C15">
            <w:pPr>
              <w:pStyle w:val="Tabletext"/>
              <w:jc w:val="center"/>
            </w:pPr>
            <w:r w:rsidRPr="001D24B6">
              <w:t>5 895-5 905</w:t>
            </w:r>
          </w:p>
        </w:tc>
      </w:tr>
      <w:tr w:rsidR="00B60C15" w14:paraId="093F39AC" w14:textId="77777777" w:rsidTr="00B60C15">
        <w:tc>
          <w:tcPr>
            <w:tcW w:w="3402" w:type="dxa"/>
          </w:tcPr>
          <w:p w14:paraId="0B70E987" w14:textId="3E964512" w:rsidR="00B60C15" w:rsidRDefault="00B60C15" w:rsidP="00B60C15">
            <w:pPr>
              <w:pStyle w:val="Tabletext"/>
              <w:jc w:val="center"/>
            </w:pPr>
            <w:r w:rsidRPr="001D24B6">
              <w:t>6</w:t>
            </w:r>
          </w:p>
        </w:tc>
        <w:tc>
          <w:tcPr>
            <w:tcW w:w="3403" w:type="dxa"/>
          </w:tcPr>
          <w:p w14:paraId="05BB9B3D" w14:textId="25E4A76C" w:rsidR="00B60C15" w:rsidRDefault="00B60C15" w:rsidP="00B60C15">
            <w:pPr>
              <w:pStyle w:val="Tabletext"/>
              <w:jc w:val="center"/>
            </w:pPr>
            <w:r w:rsidRPr="001D24B6">
              <w:t>5 905-5 915</w:t>
            </w:r>
          </w:p>
        </w:tc>
      </w:tr>
      <w:tr w:rsidR="00B60C15" w14:paraId="16F65757" w14:textId="77777777" w:rsidTr="00B60C15">
        <w:tc>
          <w:tcPr>
            <w:tcW w:w="3402" w:type="dxa"/>
          </w:tcPr>
          <w:p w14:paraId="29C3397D" w14:textId="31DD77F2" w:rsidR="00B60C15" w:rsidRDefault="00B60C15" w:rsidP="00B60C15">
            <w:pPr>
              <w:pStyle w:val="Tabletext"/>
              <w:jc w:val="center"/>
            </w:pPr>
            <w:r w:rsidRPr="001D24B6">
              <w:t>7</w:t>
            </w:r>
          </w:p>
        </w:tc>
        <w:tc>
          <w:tcPr>
            <w:tcW w:w="3403" w:type="dxa"/>
          </w:tcPr>
          <w:p w14:paraId="4181430E" w14:textId="184F4C18" w:rsidR="00B60C15" w:rsidRDefault="00B60C15" w:rsidP="00B60C15">
            <w:pPr>
              <w:pStyle w:val="Tabletext"/>
              <w:jc w:val="center"/>
            </w:pPr>
            <w:r w:rsidRPr="001D24B6">
              <w:t>5 915-5 925</w:t>
            </w:r>
          </w:p>
        </w:tc>
      </w:tr>
    </w:tbl>
    <w:p w14:paraId="7324BDA9" w14:textId="77777777" w:rsidR="00B60C15" w:rsidRDefault="00B60C15" w:rsidP="00B60C15">
      <w:pPr>
        <w:pStyle w:val="Tabletext"/>
      </w:pPr>
    </w:p>
    <w:p w14:paraId="52AF2E1D" w14:textId="3D07E0BD" w:rsidR="00464438" w:rsidRPr="001D24B6" w:rsidRDefault="00464438" w:rsidP="00B60C15">
      <w:r w:rsidRPr="001D24B6">
        <w:t xml:space="preserve">For vehicle-to-vehicle and vehicle-to-infrastructure communications using the 5.9 GHz frequency band, the maximum </w:t>
      </w:r>
      <w:proofErr w:type="spellStart"/>
      <w:r w:rsidR="00723FB5">
        <w:t>e.i.r.p</w:t>
      </w:r>
      <w:proofErr w:type="spellEnd"/>
      <w:r w:rsidR="00723FB5">
        <w:t>.</w:t>
      </w:r>
      <w:r w:rsidRPr="001D24B6">
        <w:t xml:space="preserve"> is 23 dBm (200 </w:t>
      </w:r>
      <w:proofErr w:type="spellStart"/>
      <w:r w:rsidRPr="001D24B6">
        <w:t>mW</w:t>
      </w:r>
      <w:proofErr w:type="spellEnd"/>
      <w:r w:rsidRPr="001D24B6">
        <w:t xml:space="preserve">). For high power communications of vehicle-to-infrastructure, a maximum </w:t>
      </w:r>
      <w:proofErr w:type="spellStart"/>
      <w:r w:rsidR="00200BD0">
        <w:t>e.i.r.p</w:t>
      </w:r>
      <w:proofErr w:type="spellEnd"/>
      <w:r w:rsidR="00200BD0">
        <w:t>.</w:t>
      </w:r>
      <w:r w:rsidRPr="001D24B6">
        <w:t xml:space="preserve"> of 26 dBm (400 </w:t>
      </w:r>
      <w:proofErr w:type="spellStart"/>
      <w:r w:rsidRPr="001D24B6">
        <w:t>mW</w:t>
      </w:r>
      <w:proofErr w:type="spellEnd"/>
      <w:r w:rsidRPr="001D24B6">
        <w:t>) is permitted. Channels 5 to 7 are limited to traffic and vehicle safety applications.</w:t>
      </w:r>
    </w:p>
    <w:p w14:paraId="2588F69D" w14:textId="77777777" w:rsidR="00464438" w:rsidRPr="001D24B6" w:rsidRDefault="00464438" w:rsidP="00651B6E">
      <w:pPr>
        <w:pStyle w:val="Heading1"/>
      </w:pPr>
      <w:bookmarkStart w:id="26" w:name="_Toc120620909"/>
      <w:bookmarkStart w:id="27" w:name="_Toc147303620"/>
      <w:r w:rsidRPr="001D24B6">
        <w:lastRenderedPageBreak/>
        <w:t>3</w:t>
      </w:r>
      <w:r w:rsidRPr="001D24B6">
        <w:tab/>
        <w:t xml:space="preserve">Examples of arrangements for evolving </w:t>
      </w:r>
      <w:r w:rsidRPr="001D24B6">
        <w:rPr>
          <w:bCs/>
          <w:iCs/>
        </w:rPr>
        <w:t>Inte</w:t>
      </w:r>
      <w:bookmarkEnd w:id="24"/>
      <w:bookmarkEnd w:id="25"/>
      <w:r w:rsidRPr="001D24B6">
        <w:rPr>
          <w:bCs/>
          <w:iCs/>
        </w:rPr>
        <w:t>lligent Transport Systems (ITS) in R</w:t>
      </w:r>
      <w:r w:rsidRPr="001D24B6">
        <w:t>egion 3</w:t>
      </w:r>
      <w:bookmarkEnd w:id="26"/>
      <w:bookmarkEnd w:id="27"/>
    </w:p>
    <w:p w14:paraId="1269A3FA" w14:textId="77777777" w:rsidR="00464438" w:rsidRPr="001D24B6" w:rsidRDefault="00464438" w:rsidP="006763E1">
      <w:r w:rsidRPr="001D24B6">
        <w:t>Some Region 3 countries identified the bands 755.5-764.5 MHz,</w:t>
      </w:r>
      <w:r w:rsidRPr="001D24B6" w:rsidDel="008A5546">
        <w:t xml:space="preserve"> </w:t>
      </w:r>
      <w:r w:rsidRPr="001D24B6">
        <w:t>5 770-5 850 MHz and/or 5 855</w:t>
      </w:r>
      <w:r w:rsidRPr="001D24B6">
        <w:noBreakHyphen/>
        <w:t xml:space="preserve">5 925 MHz for the use by ITS applications as shown in Table </w:t>
      </w:r>
      <w:r w:rsidRPr="007176CF">
        <w:rPr>
          <w:lang w:eastAsia="ja-JP"/>
        </w:rPr>
        <w:t>4</w:t>
      </w:r>
      <w:r w:rsidRPr="007176CF">
        <w:t>.</w:t>
      </w:r>
      <w:r w:rsidRPr="001D24B6">
        <w:t xml:space="preserve"> </w:t>
      </w:r>
    </w:p>
    <w:p w14:paraId="79C47779" w14:textId="77777777" w:rsidR="00464438" w:rsidRPr="001D24B6" w:rsidRDefault="00464438" w:rsidP="00651B6E">
      <w:pPr>
        <w:pStyle w:val="TableNo"/>
      </w:pPr>
      <w:r w:rsidRPr="001D24B6">
        <w:t xml:space="preserve">TABLE </w:t>
      </w:r>
      <w:r w:rsidRPr="007176CF">
        <w:t>4</w:t>
      </w:r>
    </w:p>
    <w:p w14:paraId="01284C01" w14:textId="77777777" w:rsidR="00464438" w:rsidRPr="001D24B6" w:rsidRDefault="00464438" w:rsidP="00651B6E">
      <w:pPr>
        <w:pStyle w:val="Tabletitle"/>
        <w:rPr>
          <w:lang w:eastAsia="ja-JP"/>
        </w:rPr>
      </w:pPr>
      <w:r w:rsidRPr="001D24B6">
        <w:rPr>
          <w:lang w:eastAsia="ja-JP"/>
        </w:rPr>
        <w:t>Frequency usage on evolving ITS Radiocommunication in Asia-Pacific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298"/>
        <w:gridCol w:w="1881"/>
        <w:gridCol w:w="2298"/>
        <w:gridCol w:w="1759"/>
      </w:tblGrid>
      <w:tr w:rsidR="00464438" w:rsidRPr="001D24B6" w14:paraId="19D04580" w14:textId="77777777" w:rsidTr="00297D5A">
        <w:trPr>
          <w:trHeight w:val="20"/>
          <w:tblHeader/>
          <w:jc w:val="center"/>
        </w:trPr>
        <w:tc>
          <w:tcPr>
            <w:tcW w:w="1384" w:type="dxa"/>
            <w:shd w:val="clear" w:color="auto" w:fill="auto"/>
            <w:vAlign w:val="center"/>
          </w:tcPr>
          <w:p w14:paraId="01F87D56" w14:textId="77777777" w:rsidR="00464438" w:rsidRPr="001D24B6" w:rsidRDefault="00464438" w:rsidP="00297D5A">
            <w:pPr>
              <w:pStyle w:val="Tablehead"/>
              <w:rPr>
                <w:rFonts w:eastAsia="Malgun Gothic"/>
              </w:rPr>
            </w:pPr>
            <w:r w:rsidRPr="001D24B6">
              <w:t>Country</w:t>
            </w:r>
          </w:p>
        </w:tc>
        <w:tc>
          <w:tcPr>
            <w:tcW w:w="2268" w:type="dxa"/>
            <w:shd w:val="clear" w:color="auto" w:fill="auto"/>
            <w:vAlign w:val="center"/>
          </w:tcPr>
          <w:p w14:paraId="34ECFDD9" w14:textId="19108EE1" w:rsidR="00464438" w:rsidRPr="001D24B6" w:rsidRDefault="00464438" w:rsidP="00297D5A">
            <w:pPr>
              <w:pStyle w:val="Tablehead"/>
              <w:rPr>
                <w:rFonts w:eastAsia="Malgun Gothic"/>
              </w:rPr>
            </w:pPr>
            <w:r w:rsidRPr="001D24B6">
              <w:t>Frequenc</w:t>
            </w:r>
            <w:r w:rsidRPr="001D24B6">
              <w:rPr>
                <w:lang w:eastAsia="ja-JP"/>
              </w:rPr>
              <w:t>y</w:t>
            </w:r>
            <w:r w:rsidRPr="001D24B6">
              <w:rPr>
                <w:rFonts w:eastAsia="Malgun Gothic"/>
              </w:rPr>
              <w:t xml:space="preserve"> </w:t>
            </w:r>
            <w:r w:rsidRPr="001D24B6">
              <w:rPr>
                <w:lang w:eastAsia="ja-JP"/>
              </w:rPr>
              <w:t>band</w:t>
            </w:r>
            <w:r w:rsidR="0066361A">
              <w:rPr>
                <w:lang w:eastAsia="ja-JP"/>
              </w:rPr>
              <w:br/>
            </w:r>
            <w:r w:rsidR="004064FC">
              <w:rPr>
                <w:lang w:eastAsia="ja-JP"/>
              </w:rPr>
              <w:t>(MHz)</w:t>
            </w:r>
          </w:p>
        </w:tc>
        <w:tc>
          <w:tcPr>
            <w:tcW w:w="1856" w:type="dxa"/>
            <w:shd w:val="clear" w:color="auto" w:fill="auto"/>
            <w:vAlign w:val="center"/>
          </w:tcPr>
          <w:p w14:paraId="02D33640" w14:textId="77777777" w:rsidR="00464438" w:rsidRPr="001D24B6" w:rsidRDefault="00464438" w:rsidP="00297D5A">
            <w:pPr>
              <w:pStyle w:val="Tablehead"/>
            </w:pPr>
            <w:r w:rsidRPr="001D24B6">
              <w:t>Deployment scenario</w:t>
            </w:r>
          </w:p>
        </w:tc>
        <w:tc>
          <w:tcPr>
            <w:tcW w:w="2268" w:type="dxa"/>
            <w:shd w:val="clear" w:color="auto" w:fill="auto"/>
            <w:vAlign w:val="center"/>
          </w:tcPr>
          <w:p w14:paraId="7BD4FA38" w14:textId="77777777" w:rsidR="00464438" w:rsidRPr="001D24B6" w:rsidRDefault="00464438" w:rsidP="00297D5A">
            <w:pPr>
              <w:pStyle w:val="Tablehead"/>
            </w:pPr>
            <w:r w:rsidRPr="001D24B6">
              <w:t>Application</w:t>
            </w:r>
          </w:p>
        </w:tc>
        <w:tc>
          <w:tcPr>
            <w:tcW w:w="1736" w:type="dxa"/>
            <w:shd w:val="clear" w:color="auto" w:fill="auto"/>
            <w:vAlign w:val="center"/>
          </w:tcPr>
          <w:p w14:paraId="34902B0C" w14:textId="77777777" w:rsidR="00464438" w:rsidRPr="001D24B6" w:rsidRDefault="00464438" w:rsidP="00297D5A">
            <w:pPr>
              <w:pStyle w:val="Tablehead"/>
            </w:pPr>
            <w:r w:rsidRPr="001D24B6">
              <w:t>Status</w:t>
            </w:r>
          </w:p>
        </w:tc>
      </w:tr>
      <w:tr w:rsidR="00464438" w:rsidRPr="004064FC" w14:paraId="6D353AD7" w14:textId="77777777" w:rsidTr="00297D5A">
        <w:trPr>
          <w:trHeight w:val="20"/>
          <w:tblHeader/>
          <w:jc w:val="center"/>
        </w:trPr>
        <w:tc>
          <w:tcPr>
            <w:tcW w:w="1384" w:type="dxa"/>
            <w:vMerge w:val="restart"/>
            <w:shd w:val="clear" w:color="auto" w:fill="auto"/>
            <w:vAlign w:val="center"/>
          </w:tcPr>
          <w:p w14:paraId="660706AE" w14:textId="77777777" w:rsidR="00464438" w:rsidRPr="004064FC" w:rsidRDefault="00464438" w:rsidP="004064FC">
            <w:pPr>
              <w:pStyle w:val="Tabletext"/>
            </w:pPr>
            <w:r w:rsidRPr="004064FC">
              <w:t>Japan</w:t>
            </w:r>
          </w:p>
        </w:tc>
        <w:tc>
          <w:tcPr>
            <w:tcW w:w="2268" w:type="dxa"/>
            <w:shd w:val="clear" w:color="auto" w:fill="auto"/>
            <w:vAlign w:val="center"/>
          </w:tcPr>
          <w:p w14:paraId="3698307B" w14:textId="3952D983" w:rsidR="00464438" w:rsidRPr="004064FC" w:rsidRDefault="00464438" w:rsidP="00C065F1">
            <w:pPr>
              <w:pStyle w:val="Tabletext"/>
              <w:jc w:val="center"/>
            </w:pPr>
            <w:r w:rsidRPr="004064FC">
              <w:t>5 770-5 850</w:t>
            </w:r>
          </w:p>
        </w:tc>
        <w:tc>
          <w:tcPr>
            <w:tcW w:w="1856" w:type="dxa"/>
            <w:shd w:val="clear" w:color="auto" w:fill="auto"/>
            <w:vAlign w:val="center"/>
          </w:tcPr>
          <w:p w14:paraId="0788AE69" w14:textId="77777777" w:rsidR="00464438" w:rsidRPr="004064FC" w:rsidRDefault="00464438" w:rsidP="00C065F1">
            <w:pPr>
              <w:pStyle w:val="Tabletext"/>
              <w:jc w:val="center"/>
            </w:pPr>
            <w:r w:rsidRPr="004064FC">
              <w:t>V2I communication</w:t>
            </w:r>
          </w:p>
        </w:tc>
        <w:tc>
          <w:tcPr>
            <w:tcW w:w="2268" w:type="dxa"/>
            <w:vMerge w:val="restart"/>
            <w:shd w:val="clear" w:color="auto" w:fill="auto"/>
            <w:vAlign w:val="center"/>
          </w:tcPr>
          <w:p w14:paraId="2197AFD0" w14:textId="77777777" w:rsidR="00464438" w:rsidRPr="004064FC" w:rsidRDefault="00464438" w:rsidP="00C065F1">
            <w:pPr>
              <w:pStyle w:val="Tabletext"/>
              <w:jc w:val="center"/>
            </w:pPr>
            <w:r w:rsidRPr="004064FC">
              <w:t>Safety related information</w:t>
            </w:r>
          </w:p>
        </w:tc>
        <w:tc>
          <w:tcPr>
            <w:tcW w:w="1736" w:type="dxa"/>
            <w:shd w:val="clear" w:color="auto" w:fill="auto"/>
            <w:vAlign w:val="center"/>
          </w:tcPr>
          <w:p w14:paraId="534084D8" w14:textId="77777777" w:rsidR="00464438" w:rsidRPr="004064FC" w:rsidRDefault="00464438" w:rsidP="00C065F1">
            <w:pPr>
              <w:pStyle w:val="Tabletext"/>
              <w:jc w:val="center"/>
            </w:pPr>
            <w:r w:rsidRPr="004064FC">
              <w:t>Enacted in 2001 (revised 2008)</w:t>
            </w:r>
          </w:p>
        </w:tc>
      </w:tr>
      <w:tr w:rsidR="00464438" w:rsidRPr="004064FC" w14:paraId="4A80F623" w14:textId="77777777" w:rsidTr="00297D5A">
        <w:trPr>
          <w:trHeight w:val="20"/>
          <w:tblHeader/>
          <w:jc w:val="center"/>
        </w:trPr>
        <w:tc>
          <w:tcPr>
            <w:tcW w:w="1384" w:type="dxa"/>
            <w:vMerge/>
            <w:shd w:val="clear" w:color="auto" w:fill="auto"/>
            <w:vAlign w:val="center"/>
          </w:tcPr>
          <w:p w14:paraId="2E1F4B49" w14:textId="77777777" w:rsidR="00464438" w:rsidRPr="004064FC" w:rsidRDefault="00464438" w:rsidP="004064FC">
            <w:pPr>
              <w:pStyle w:val="Tabletext"/>
            </w:pPr>
          </w:p>
        </w:tc>
        <w:tc>
          <w:tcPr>
            <w:tcW w:w="2268" w:type="dxa"/>
            <w:shd w:val="clear" w:color="auto" w:fill="auto"/>
            <w:vAlign w:val="center"/>
          </w:tcPr>
          <w:p w14:paraId="0197E8B2" w14:textId="5BF197AF" w:rsidR="00464438" w:rsidRPr="004064FC" w:rsidRDefault="00464438" w:rsidP="00C065F1">
            <w:pPr>
              <w:pStyle w:val="Tabletext"/>
              <w:jc w:val="center"/>
            </w:pPr>
            <w:r w:rsidRPr="004064FC">
              <w:t>755.5-764.5</w:t>
            </w:r>
          </w:p>
        </w:tc>
        <w:tc>
          <w:tcPr>
            <w:tcW w:w="1856" w:type="dxa"/>
            <w:shd w:val="clear" w:color="auto" w:fill="auto"/>
            <w:vAlign w:val="center"/>
          </w:tcPr>
          <w:p w14:paraId="3BC6987B" w14:textId="77777777" w:rsidR="00464438" w:rsidRPr="004064FC" w:rsidRDefault="00464438" w:rsidP="00C065F1">
            <w:pPr>
              <w:pStyle w:val="Tabletext"/>
              <w:jc w:val="center"/>
            </w:pPr>
            <w:r w:rsidRPr="004064FC">
              <w:rPr>
                <w:rFonts w:eastAsia="BatangChe"/>
              </w:rPr>
              <w:t>V2V/V2I</w:t>
            </w:r>
            <w:r w:rsidRPr="004064FC">
              <w:t xml:space="preserve"> communication</w:t>
            </w:r>
          </w:p>
        </w:tc>
        <w:tc>
          <w:tcPr>
            <w:tcW w:w="2268" w:type="dxa"/>
            <w:vMerge/>
            <w:shd w:val="clear" w:color="auto" w:fill="auto"/>
            <w:vAlign w:val="center"/>
          </w:tcPr>
          <w:p w14:paraId="4CD479C8" w14:textId="77777777" w:rsidR="00464438" w:rsidRPr="004064FC" w:rsidRDefault="00464438" w:rsidP="00C065F1">
            <w:pPr>
              <w:pStyle w:val="Tabletext"/>
              <w:jc w:val="center"/>
            </w:pPr>
          </w:p>
        </w:tc>
        <w:tc>
          <w:tcPr>
            <w:tcW w:w="1736" w:type="dxa"/>
            <w:shd w:val="clear" w:color="auto" w:fill="auto"/>
            <w:vAlign w:val="center"/>
          </w:tcPr>
          <w:p w14:paraId="0E50BD75" w14:textId="77777777" w:rsidR="00464438" w:rsidRPr="004064FC" w:rsidRDefault="00464438" w:rsidP="00C065F1">
            <w:pPr>
              <w:pStyle w:val="Tabletext"/>
              <w:jc w:val="center"/>
            </w:pPr>
            <w:r w:rsidRPr="004064FC">
              <w:t>Enacted in 2011 (revised 2013); deployed in 2015</w:t>
            </w:r>
          </w:p>
        </w:tc>
      </w:tr>
      <w:tr w:rsidR="00464438" w:rsidRPr="004064FC" w14:paraId="12B21A64" w14:textId="77777777" w:rsidTr="00297D5A">
        <w:trPr>
          <w:trHeight w:val="20"/>
          <w:jc w:val="center"/>
        </w:trPr>
        <w:tc>
          <w:tcPr>
            <w:tcW w:w="1384" w:type="dxa"/>
            <w:shd w:val="clear" w:color="auto" w:fill="auto"/>
            <w:vAlign w:val="center"/>
          </w:tcPr>
          <w:p w14:paraId="506F853D" w14:textId="77777777" w:rsidR="00464438" w:rsidRPr="004064FC" w:rsidRDefault="00464438" w:rsidP="004064FC">
            <w:pPr>
              <w:pStyle w:val="Tabletext"/>
            </w:pPr>
            <w:r w:rsidRPr="004064FC">
              <w:t>Korea</w:t>
            </w:r>
          </w:p>
        </w:tc>
        <w:tc>
          <w:tcPr>
            <w:tcW w:w="2268" w:type="dxa"/>
            <w:shd w:val="clear" w:color="auto" w:fill="auto"/>
            <w:vAlign w:val="center"/>
          </w:tcPr>
          <w:p w14:paraId="61575DE8" w14:textId="7B902713" w:rsidR="00464438" w:rsidRPr="004064FC" w:rsidRDefault="00464438" w:rsidP="00C065F1">
            <w:pPr>
              <w:pStyle w:val="Tabletext"/>
              <w:jc w:val="center"/>
            </w:pPr>
            <w:r w:rsidRPr="004064FC">
              <w:t>5 855-5 925</w:t>
            </w:r>
          </w:p>
        </w:tc>
        <w:tc>
          <w:tcPr>
            <w:tcW w:w="1856" w:type="dxa"/>
            <w:shd w:val="clear" w:color="auto" w:fill="auto"/>
            <w:vAlign w:val="center"/>
          </w:tcPr>
          <w:p w14:paraId="6FBA8AEF" w14:textId="77777777" w:rsidR="00464438" w:rsidRPr="004064FC" w:rsidRDefault="00464438" w:rsidP="00C065F1">
            <w:pPr>
              <w:pStyle w:val="Tabletext"/>
              <w:jc w:val="center"/>
            </w:pPr>
            <w:r w:rsidRPr="004064FC">
              <w:rPr>
                <w:rFonts w:eastAsia="BatangChe"/>
              </w:rPr>
              <w:t>V2V/V2I</w:t>
            </w:r>
            <w:r w:rsidRPr="004064FC">
              <w:t xml:space="preserve"> communication</w:t>
            </w:r>
          </w:p>
        </w:tc>
        <w:tc>
          <w:tcPr>
            <w:tcW w:w="2268" w:type="dxa"/>
            <w:shd w:val="clear" w:color="auto" w:fill="auto"/>
          </w:tcPr>
          <w:p w14:paraId="1FEC1EF4" w14:textId="292B86DC" w:rsidR="00464438" w:rsidRPr="004064FC" w:rsidRDefault="00464438" w:rsidP="00A47702">
            <w:pPr>
              <w:pStyle w:val="Tabletext"/>
              <w:jc w:val="center"/>
            </w:pPr>
            <w:r w:rsidRPr="004064FC">
              <w:rPr>
                <w:rFonts w:eastAsia="BatangChe"/>
              </w:rPr>
              <w:t xml:space="preserve">Vehicle </w:t>
            </w:r>
            <w:r w:rsidR="0066361A" w:rsidRPr="004064FC">
              <w:rPr>
                <w:rFonts w:eastAsia="BatangChe"/>
              </w:rPr>
              <w:t>safety related</w:t>
            </w:r>
            <w:r w:rsidR="00A47702">
              <w:rPr>
                <w:rFonts w:eastAsia="BatangChe"/>
              </w:rPr>
              <w:t xml:space="preserve"> </w:t>
            </w:r>
            <w:r w:rsidRPr="004064FC">
              <w:t>C-ITS</w:t>
            </w:r>
          </w:p>
        </w:tc>
        <w:tc>
          <w:tcPr>
            <w:tcW w:w="1736" w:type="dxa"/>
            <w:shd w:val="clear" w:color="auto" w:fill="auto"/>
            <w:vAlign w:val="center"/>
          </w:tcPr>
          <w:p w14:paraId="406C3821" w14:textId="77777777" w:rsidR="00464438" w:rsidRPr="004064FC" w:rsidRDefault="00464438" w:rsidP="00C065F1">
            <w:pPr>
              <w:pStyle w:val="Tabletext"/>
              <w:jc w:val="center"/>
            </w:pPr>
            <w:r w:rsidRPr="004064FC">
              <w:t xml:space="preserve">Enacted in </w:t>
            </w:r>
            <w:r w:rsidRPr="004064FC">
              <w:rPr>
                <w:rFonts w:eastAsia="BatangChe"/>
              </w:rPr>
              <w:t>2016</w:t>
            </w:r>
          </w:p>
        </w:tc>
      </w:tr>
      <w:tr w:rsidR="00464438" w:rsidRPr="004064FC" w14:paraId="3542347D" w14:textId="77777777" w:rsidTr="00297D5A">
        <w:trPr>
          <w:trHeight w:val="20"/>
          <w:jc w:val="center"/>
        </w:trPr>
        <w:tc>
          <w:tcPr>
            <w:tcW w:w="1384" w:type="dxa"/>
            <w:shd w:val="clear" w:color="auto" w:fill="auto"/>
            <w:vAlign w:val="center"/>
          </w:tcPr>
          <w:p w14:paraId="55AB1DFB" w14:textId="77777777" w:rsidR="00464438" w:rsidRPr="004064FC" w:rsidRDefault="00464438" w:rsidP="004064FC">
            <w:pPr>
              <w:pStyle w:val="Tabletext"/>
            </w:pPr>
            <w:r w:rsidRPr="004064FC">
              <w:t>China</w:t>
            </w:r>
          </w:p>
        </w:tc>
        <w:tc>
          <w:tcPr>
            <w:tcW w:w="2268" w:type="dxa"/>
            <w:shd w:val="clear" w:color="auto" w:fill="auto"/>
            <w:vAlign w:val="center"/>
          </w:tcPr>
          <w:p w14:paraId="20AA141B" w14:textId="509E389C" w:rsidR="00464438" w:rsidRPr="004064FC" w:rsidRDefault="00464438" w:rsidP="00C065F1">
            <w:pPr>
              <w:pStyle w:val="Tabletext"/>
              <w:jc w:val="center"/>
            </w:pPr>
            <w:r w:rsidRPr="004064FC">
              <w:t>5 905-5 925</w:t>
            </w:r>
          </w:p>
        </w:tc>
        <w:tc>
          <w:tcPr>
            <w:tcW w:w="1856" w:type="dxa"/>
            <w:shd w:val="clear" w:color="auto" w:fill="auto"/>
            <w:vAlign w:val="center"/>
          </w:tcPr>
          <w:p w14:paraId="37D21531" w14:textId="77777777" w:rsidR="00464438" w:rsidRPr="004064FC" w:rsidRDefault="00464438" w:rsidP="00C065F1">
            <w:pPr>
              <w:pStyle w:val="Tabletext"/>
              <w:jc w:val="center"/>
            </w:pPr>
            <w:r w:rsidRPr="004064FC">
              <w:rPr>
                <w:rFonts w:eastAsia="BatangChe"/>
              </w:rPr>
              <w:t>V2V/V2I</w:t>
            </w:r>
            <w:r w:rsidRPr="004064FC">
              <w:t xml:space="preserve"> /V2P communication</w:t>
            </w:r>
          </w:p>
        </w:tc>
        <w:tc>
          <w:tcPr>
            <w:tcW w:w="2268" w:type="dxa"/>
            <w:shd w:val="clear" w:color="auto" w:fill="auto"/>
            <w:vAlign w:val="center"/>
          </w:tcPr>
          <w:p w14:paraId="1183DA49" w14:textId="77777777" w:rsidR="00464438" w:rsidRPr="004064FC" w:rsidRDefault="00464438" w:rsidP="00C065F1">
            <w:pPr>
              <w:pStyle w:val="Tabletext"/>
              <w:jc w:val="center"/>
            </w:pPr>
            <w:r w:rsidRPr="004064FC">
              <w:t>V2X communication</w:t>
            </w:r>
          </w:p>
        </w:tc>
        <w:tc>
          <w:tcPr>
            <w:tcW w:w="1736" w:type="dxa"/>
            <w:shd w:val="clear" w:color="auto" w:fill="auto"/>
            <w:vAlign w:val="center"/>
          </w:tcPr>
          <w:p w14:paraId="0A59E210" w14:textId="77777777" w:rsidR="00464438" w:rsidRPr="004064FC" w:rsidRDefault="00464438" w:rsidP="00C065F1">
            <w:pPr>
              <w:pStyle w:val="Tabletext"/>
              <w:jc w:val="center"/>
            </w:pPr>
            <w:r w:rsidRPr="004064FC">
              <w:t>Enacted in 2018</w:t>
            </w:r>
          </w:p>
        </w:tc>
      </w:tr>
      <w:tr w:rsidR="00464438" w:rsidRPr="004064FC" w14:paraId="77B42CF1" w14:textId="77777777" w:rsidTr="00297D5A">
        <w:trPr>
          <w:trHeight w:val="20"/>
          <w:jc w:val="center"/>
        </w:trPr>
        <w:tc>
          <w:tcPr>
            <w:tcW w:w="1384" w:type="dxa"/>
            <w:shd w:val="clear" w:color="auto" w:fill="auto"/>
            <w:vAlign w:val="center"/>
          </w:tcPr>
          <w:p w14:paraId="47E46D7C" w14:textId="77777777" w:rsidR="00464438" w:rsidRPr="004064FC" w:rsidRDefault="00464438" w:rsidP="004064FC">
            <w:pPr>
              <w:pStyle w:val="Tabletext"/>
            </w:pPr>
            <w:r w:rsidRPr="004064FC">
              <w:t>Singapore</w:t>
            </w:r>
          </w:p>
        </w:tc>
        <w:tc>
          <w:tcPr>
            <w:tcW w:w="2268" w:type="dxa"/>
            <w:shd w:val="clear" w:color="auto" w:fill="auto"/>
            <w:vAlign w:val="center"/>
          </w:tcPr>
          <w:p w14:paraId="2149123A" w14:textId="3EFB34C8" w:rsidR="00464438" w:rsidRPr="004064FC" w:rsidRDefault="00464438" w:rsidP="00C065F1">
            <w:pPr>
              <w:pStyle w:val="Tabletext"/>
              <w:jc w:val="center"/>
            </w:pPr>
            <w:r w:rsidRPr="004064FC">
              <w:t>5 855-5 925</w:t>
            </w:r>
          </w:p>
        </w:tc>
        <w:tc>
          <w:tcPr>
            <w:tcW w:w="1856" w:type="dxa"/>
            <w:shd w:val="clear" w:color="auto" w:fill="auto"/>
            <w:vAlign w:val="center"/>
          </w:tcPr>
          <w:p w14:paraId="0B4D0F4B" w14:textId="77777777" w:rsidR="00464438" w:rsidRPr="004064FC" w:rsidRDefault="00464438" w:rsidP="00C065F1">
            <w:pPr>
              <w:pStyle w:val="Tabletext"/>
              <w:jc w:val="center"/>
            </w:pPr>
            <w:r w:rsidRPr="004064FC">
              <w:t>V2V/V2I communication</w:t>
            </w:r>
          </w:p>
        </w:tc>
        <w:tc>
          <w:tcPr>
            <w:tcW w:w="2268" w:type="dxa"/>
            <w:shd w:val="clear" w:color="auto" w:fill="auto"/>
            <w:vAlign w:val="center"/>
          </w:tcPr>
          <w:p w14:paraId="26506A05" w14:textId="77777777" w:rsidR="00464438" w:rsidRPr="004064FC" w:rsidRDefault="00464438" w:rsidP="00C065F1">
            <w:pPr>
              <w:pStyle w:val="Tabletext"/>
              <w:jc w:val="center"/>
              <w:rPr>
                <w:rFonts w:eastAsia="Malgun Gothic"/>
                <w:highlight w:val="yellow"/>
              </w:rPr>
            </w:pPr>
            <w:r w:rsidRPr="004064FC">
              <w:t>Traffic/Safety/Non-safety Related Information</w:t>
            </w:r>
          </w:p>
        </w:tc>
        <w:tc>
          <w:tcPr>
            <w:tcW w:w="1736" w:type="dxa"/>
            <w:shd w:val="clear" w:color="auto" w:fill="auto"/>
            <w:vAlign w:val="center"/>
          </w:tcPr>
          <w:p w14:paraId="75FFF703" w14:textId="77777777" w:rsidR="00464438" w:rsidRPr="004064FC" w:rsidRDefault="00464438" w:rsidP="00C065F1">
            <w:pPr>
              <w:pStyle w:val="Tabletext"/>
              <w:jc w:val="center"/>
            </w:pPr>
            <w:r w:rsidRPr="004064FC">
              <w:t>Enacted in 2017</w:t>
            </w:r>
          </w:p>
        </w:tc>
      </w:tr>
      <w:tr w:rsidR="00464438" w:rsidRPr="004064FC" w14:paraId="3A911511" w14:textId="77777777" w:rsidTr="00297D5A">
        <w:trPr>
          <w:trHeight w:val="20"/>
          <w:jc w:val="center"/>
        </w:trPr>
        <w:tc>
          <w:tcPr>
            <w:tcW w:w="1384" w:type="dxa"/>
            <w:shd w:val="clear" w:color="auto" w:fill="auto"/>
            <w:vAlign w:val="center"/>
          </w:tcPr>
          <w:p w14:paraId="562D0752" w14:textId="77777777" w:rsidR="00464438" w:rsidRPr="004064FC" w:rsidRDefault="00464438" w:rsidP="004064FC">
            <w:pPr>
              <w:pStyle w:val="Tabletext"/>
            </w:pPr>
            <w:r w:rsidRPr="004064FC">
              <w:t>Australia</w:t>
            </w:r>
          </w:p>
        </w:tc>
        <w:tc>
          <w:tcPr>
            <w:tcW w:w="2268" w:type="dxa"/>
            <w:shd w:val="clear" w:color="auto" w:fill="auto"/>
            <w:vAlign w:val="center"/>
          </w:tcPr>
          <w:p w14:paraId="187EB2AD" w14:textId="0B937FA1" w:rsidR="00464438" w:rsidRPr="004064FC" w:rsidRDefault="00464438" w:rsidP="00C065F1">
            <w:pPr>
              <w:pStyle w:val="Tabletext"/>
              <w:jc w:val="center"/>
            </w:pPr>
            <w:r w:rsidRPr="004064FC">
              <w:t>5 855</w:t>
            </w:r>
            <w:r w:rsidRPr="004064FC">
              <w:noBreakHyphen/>
              <w:t>5 925</w:t>
            </w:r>
          </w:p>
        </w:tc>
        <w:tc>
          <w:tcPr>
            <w:tcW w:w="1856" w:type="dxa"/>
            <w:shd w:val="clear" w:color="auto" w:fill="auto"/>
            <w:vAlign w:val="center"/>
          </w:tcPr>
          <w:p w14:paraId="4F99612D" w14:textId="77777777" w:rsidR="00464438" w:rsidRPr="004064FC" w:rsidRDefault="00464438" w:rsidP="00C065F1">
            <w:pPr>
              <w:pStyle w:val="Tabletext"/>
              <w:jc w:val="center"/>
            </w:pPr>
            <w:r w:rsidRPr="004064FC">
              <w:t>V2V/V2I communication</w:t>
            </w:r>
          </w:p>
        </w:tc>
        <w:tc>
          <w:tcPr>
            <w:tcW w:w="2268" w:type="dxa"/>
            <w:shd w:val="clear" w:color="auto" w:fill="auto"/>
            <w:vAlign w:val="center"/>
          </w:tcPr>
          <w:p w14:paraId="4A31DC61" w14:textId="18BC5468" w:rsidR="00464438" w:rsidRPr="004064FC" w:rsidRDefault="00464438" w:rsidP="00C065F1">
            <w:pPr>
              <w:pStyle w:val="Tabletext"/>
              <w:jc w:val="center"/>
            </w:pPr>
            <w:r w:rsidRPr="004064FC">
              <w:t xml:space="preserve">Traffic/Safety/Non-safety </w:t>
            </w:r>
            <w:r w:rsidR="0066361A" w:rsidRPr="004064FC">
              <w:t>related information</w:t>
            </w:r>
          </w:p>
        </w:tc>
        <w:tc>
          <w:tcPr>
            <w:tcW w:w="1736" w:type="dxa"/>
            <w:shd w:val="clear" w:color="auto" w:fill="auto"/>
            <w:vAlign w:val="center"/>
          </w:tcPr>
          <w:p w14:paraId="75E057B1" w14:textId="77777777" w:rsidR="00464438" w:rsidRPr="004064FC" w:rsidRDefault="00464438" w:rsidP="00C065F1">
            <w:pPr>
              <w:pStyle w:val="Tabletext"/>
              <w:jc w:val="center"/>
            </w:pPr>
            <w:r w:rsidRPr="004064FC">
              <w:t>Enacted in 2017</w:t>
            </w:r>
          </w:p>
        </w:tc>
      </w:tr>
    </w:tbl>
    <w:p w14:paraId="6AE1F913" w14:textId="77777777" w:rsidR="00464438" w:rsidRPr="001D24B6" w:rsidRDefault="00464438" w:rsidP="00651B6E">
      <w:pPr>
        <w:pStyle w:val="Tablefin"/>
      </w:pPr>
    </w:p>
    <w:p w14:paraId="7A1D4E2D" w14:textId="77777777" w:rsidR="00464438" w:rsidRPr="001D24B6" w:rsidRDefault="00464438" w:rsidP="00651B6E">
      <w:r w:rsidRPr="001D24B6">
        <w:t>Those include the following arrangements.</w:t>
      </w:r>
    </w:p>
    <w:p w14:paraId="514D135A" w14:textId="77777777" w:rsidR="00464438" w:rsidRPr="001D24B6" w:rsidRDefault="00464438" w:rsidP="00651B6E">
      <w:pPr>
        <w:pStyle w:val="Heading2"/>
      </w:pPr>
      <w:bookmarkStart w:id="28" w:name="_Toc514254835"/>
      <w:bookmarkStart w:id="29" w:name="_Toc529991735"/>
      <w:bookmarkStart w:id="30" w:name="_Toc120620910"/>
      <w:bookmarkStart w:id="31" w:name="_Toc147303621"/>
      <w:r w:rsidRPr="001D24B6">
        <w:t>3.1</w:t>
      </w:r>
      <w:r w:rsidRPr="001D24B6">
        <w:tab/>
        <w:t>Frequency use in Japan</w:t>
      </w:r>
      <w:bookmarkEnd w:id="28"/>
      <w:bookmarkEnd w:id="29"/>
      <w:bookmarkEnd w:id="30"/>
      <w:bookmarkEnd w:id="31"/>
    </w:p>
    <w:p w14:paraId="14EC390B" w14:textId="77777777" w:rsidR="00464438" w:rsidRPr="001D24B6" w:rsidRDefault="00464438" w:rsidP="00651B6E">
      <w:pPr>
        <w:pStyle w:val="Heading3"/>
      </w:pPr>
      <w:bookmarkStart w:id="32" w:name="_Toc514254836"/>
      <w:r w:rsidRPr="001D24B6">
        <w:t>3.1.1</w:t>
      </w:r>
      <w:r w:rsidRPr="001D24B6">
        <w:tab/>
        <w:t>Band 5 770-5 850 MHz in Japan</w:t>
      </w:r>
      <w:bookmarkEnd w:id="32"/>
    </w:p>
    <w:p w14:paraId="45550A33" w14:textId="08682AEB" w:rsidR="00464438" w:rsidRPr="001D24B6" w:rsidRDefault="00464438" w:rsidP="00A47702">
      <w:r w:rsidRPr="00582BEB">
        <w:rPr>
          <w:spacing w:val="-6"/>
        </w:rPr>
        <w:t xml:space="preserve">The frequency band </w:t>
      </w:r>
      <w:r w:rsidRPr="00582BEB">
        <w:rPr>
          <w:spacing w:val="-6"/>
          <w:lang w:eastAsia="ja-JP"/>
        </w:rPr>
        <w:t>5 770-5 850</w:t>
      </w:r>
      <w:r w:rsidRPr="00582BEB">
        <w:rPr>
          <w:spacing w:val="-6"/>
        </w:rPr>
        <w:t xml:space="preserve"> MHz for ITS applications </w:t>
      </w:r>
      <w:r w:rsidRPr="00582BEB">
        <w:rPr>
          <w:spacing w:val="-6"/>
          <w:lang w:eastAsia="ja-JP"/>
        </w:rPr>
        <w:t xml:space="preserve">(refer to Recommendation </w:t>
      </w:r>
      <w:hyperlink r:id="rId26" w:history="1">
        <w:r w:rsidRPr="00582BEB">
          <w:rPr>
            <w:rStyle w:val="Hyperlink"/>
            <w:color w:val="auto"/>
            <w:spacing w:val="-6"/>
            <w:u w:val="none"/>
            <w:lang w:eastAsia="ja-JP"/>
          </w:rPr>
          <w:t>ITU</w:t>
        </w:r>
        <w:r w:rsidRPr="00582BEB">
          <w:rPr>
            <w:rStyle w:val="Hyperlink"/>
            <w:color w:val="auto"/>
            <w:spacing w:val="-6"/>
            <w:u w:val="none"/>
            <w:lang w:eastAsia="ja-JP"/>
          </w:rPr>
          <w:noBreakHyphen/>
          <w:t>R M.1453</w:t>
        </w:r>
      </w:hyperlink>
      <w:r w:rsidRPr="00582BEB">
        <w:rPr>
          <w:spacing w:val="-6"/>
          <w:lang w:eastAsia="ja-JP"/>
        </w:rPr>
        <w:t>)</w:t>
      </w:r>
      <w:r w:rsidRPr="001D24B6">
        <w:rPr>
          <w:lang w:eastAsia="ja-JP"/>
        </w:rPr>
        <w:t xml:space="preserve"> </w:t>
      </w:r>
      <w:r w:rsidRPr="001D24B6">
        <w:t>is</w:t>
      </w:r>
      <w:r w:rsidR="00582BEB">
        <w:t> </w:t>
      </w:r>
      <w:r w:rsidRPr="001D24B6">
        <w:t xml:space="preserve">split into channels with a carrier frequency spacing of 5 </w:t>
      </w:r>
      <w:proofErr w:type="spellStart"/>
      <w:r w:rsidRPr="001D24B6">
        <w:t>MHz.</w:t>
      </w:r>
      <w:proofErr w:type="spellEnd"/>
    </w:p>
    <w:p w14:paraId="6A753100" w14:textId="77777777" w:rsidR="00464438" w:rsidRPr="001D24B6" w:rsidRDefault="00464438" w:rsidP="006763E1">
      <w:pPr>
        <w:rPr>
          <w:lang w:eastAsia="ja-JP"/>
        </w:rPr>
      </w:pPr>
      <w:r w:rsidRPr="001D24B6">
        <w:rPr>
          <w:lang w:eastAsia="ja-JP"/>
        </w:rPr>
        <w:t xml:space="preserve">The maximum transmission power for roadside equipment (RSE) should be less than 44.7 dBm </w:t>
      </w:r>
      <w:proofErr w:type="spellStart"/>
      <w:r w:rsidRPr="001D24B6">
        <w:rPr>
          <w:lang w:eastAsia="ja-JP"/>
        </w:rPr>
        <w:t>e.i.r.p</w:t>
      </w:r>
      <w:proofErr w:type="spellEnd"/>
      <w:r w:rsidRPr="001D24B6">
        <w:rPr>
          <w:rFonts w:eastAsiaTheme="minorEastAsia"/>
          <w:lang w:eastAsia="ja-JP"/>
        </w:rPr>
        <w:t>.</w:t>
      </w:r>
      <w:r w:rsidRPr="001D24B6">
        <w:rPr>
          <w:lang w:eastAsia="ja-JP"/>
        </w:rPr>
        <w:t xml:space="preserve"> The maximum </w:t>
      </w:r>
      <w:r w:rsidRPr="001D24B6">
        <w:rPr>
          <w:rFonts w:eastAsiaTheme="minorEastAsia"/>
          <w:lang w:eastAsia="ja-JP"/>
        </w:rPr>
        <w:t>transmission</w:t>
      </w:r>
      <w:r w:rsidRPr="001D24B6">
        <w:rPr>
          <w:lang w:eastAsia="ja-JP"/>
        </w:rPr>
        <w:t xml:space="preserve"> power for on-board equipment (OBE) should be less than 20 dBm </w:t>
      </w:r>
      <w:proofErr w:type="spellStart"/>
      <w:r w:rsidRPr="001D24B6">
        <w:rPr>
          <w:lang w:eastAsia="ja-JP"/>
        </w:rPr>
        <w:t>e.i.r.p</w:t>
      </w:r>
      <w:proofErr w:type="spellEnd"/>
      <w:r w:rsidRPr="001D24B6">
        <w:rPr>
          <w:lang w:eastAsia="ja-JP"/>
        </w:rPr>
        <w:t>.</w:t>
      </w:r>
    </w:p>
    <w:p w14:paraId="2CE5AB1D" w14:textId="77777777" w:rsidR="00464438" w:rsidRPr="001D24B6" w:rsidRDefault="00464438" w:rsidP="006763E1">
      <w:r w:rsidRPr="001D24B6">
        <w:rPr>
          <w:rFonts w:eastAsiaTheme="minorEastAsia"/>
          <w:lang w:eastAsia="ja-JP"/>
        </w:rPr>
        <w:t>Table</w:t>
      </w:r>
      <w:r w:rsidRPr="001D24B6">
        <w:t xml:space="preserve"> 5 shows channel arrangement of ITS applications using DSRC at 5.8 GHz band in Japan.</w:t>
      </w:r>
    </w:p>
    <w:p w14:paraId="01E23069" w14:textId="77777777" w:rsidR="00464438" w:rsidRPr="001D24B6" w:rsidRDefault="00464438" w:rsidP="00651B6E">
      <w:pPr>
        <w:pStyle w:val="TableNo"/>
        <w:keepLines/>
      </w:pPr>
      <w:r w:rsidRPr="001D24B6">
        <w:rPr>
          <w:lang w:eastAsia="ja-JP"/>
        </w:rPr>
        <w:lastRenderedPageBreak/>
        <w:t>TABLE</w:t>
      </w:r>
      <w:r w:rsidRPr="001D24B6">
        <w:t xml:space="preserve"> </w:t>
      </w:r>
      <w:r w:rsidRPr="001D24B6">
        <w:rPr>
          <w:lang w:eastAsia="ja-JP"/>
        </w:rPr>
        <w:t>5</w:t>
      </w:r>
    </w:p>
    <w:p w14:paraId="5D67DA73" w14:textId="77777777" w:rsidR="00464438" w:rsidRPr="001D24B6" w:rsidRDefault="00464438" w:rsidP="00651B6E">
      <w:pPr>
        <w:pStyle w:val="Tabletitle"/>
        <w:rPr>
          <w:lang w:eastAsia="ja-JP"/>
        </w:rPr>
      </w:pPr>
      <w:r w:rsidRPr="001D24B6">
        <w:t>Channel arrangement for</w:t>
      </w:r>
      <w:r w:rsidRPr="001D24B6">
        <w:rPr>
          <w:lang w:eastAsia="ja-JP"/>
        </w:rPr>
        <w:t xml:space="preserve"> </w:t>
      </w:r>
      <w:r w:rsidRPr="001D24B6">
        <w:t xml:space="preserve">ITS applications at 5 </w:t>
      </w:r>
      <w:r w:rsidRPr="001D24B6">
        <w:rPr>
          <w:lang w:eastAsia="ja-JP"/>
        </w:rPr>
        <w:t>770-5 850</w:t>
      </w:r>
      <w:r w:rsidRPr="001D24B6">
        <w:t xml:space="preserve"> </w:t>
      </w:r>
      <w:r w:rsidRPr="001D24B6">
        <w:rPr>
          <w:lang w:eastAsia="ja-JP"/>
        </w:rPr>
        <w:t>M</w:t>
      </w:r>
      <w:r w:rsidRPr="001D24B6">
        <w:t xml:space="preserve">Hz band </w:t>
      </w:r>
      <w:r w:rsidRPr="001D24B6">
        <w:rPr>
          <w:lang w:eastAsia="ja-JP"/>
        </w:rPr>
        <w:t>in Japan</w:t>
      </w:r>
    </w:p>
    <w:tbl>
      <w:tblPr>
        <w:tblStyle w:val="TableGrid"/>
        <w:tblW w:w="9639" w:type="dxa"/>
        <w:jc w:val="center"/>
        <w:tblLook w:val="04A0" w:firstRow="1" w:lastRow="0" w:firstColumn="1" w:lastColumn="0" w:noHBand="0" w:noVBand="1"/>
      </w:tblPr>
      <w:tblGrid>
        <w:gridCol w:w="4661"/>
        <w:gridCol w:w="4978"/>
      </w:tblGrid>
      <w:tr w:rsidR="00464438" w:rsidRPr="001D24B6" w14:paraId="33D6AC16" w14:textId="77777777" w:rsidTr="00297D5A">
        <w:trPr>
          <w:jc w:val="center"/>
        </w:trPr>
        <w:tc>
          <w:tcPr>
            <w:tcW w:w="3540" w:type="dxa"/>
          </w:tcPr>
          <w:p w14:paraId="7434515B" w14:textId="77777777" w:rsidR="00464438" w:rsidRPr="001D24B6" w:rsidRDefault="00464438" w:rsidP="00297D5A">
            <w:pPr>
              <w:pStyle w:val="Tablehead"/>
              <w:keepLines/>
              <w:rPr>
                <w:rFonts w:asciiTheme="majorBidi" w:hAnsiTheme="majorBidi" w:cstheme="majorBidi"/>
              </w:rPr>
            </w:pPr>
          </w:p>
        </w:tc>
        <w:tc>
          <w:tcPr>
            <w:tcW w:w="3780" w:type="dxa"/>
          </w:tcPr>
          <w:p w14:paraId="16221044" w14:textId="77777777" w:rsidR="00464438" w:rsidRPr="001D24B6" w:rsidRDefault="00464438" w:rsidP="00297D5A">
            <w:pPr>
              <w:pStyle w:val="Tablehead"/>
              <w:keepLines/>
              <w:rPr>
                <w:rFonts w:asciiTheme="majorBidi" w:hAnsiTheme="majorBidi" w:cstheme="majorBidi"/>
              </w:rPr>
            </w:pPr>
            <w:r w:rsidRPr="001D24B6">
              <w:rPr>
                <w:rFonts w:asciiTheme="majorBidi" w:hAnsiTheme="majorBidi" w:cstheme="majorBidi"/>
              </w:rPr>
              <w:t>Carrier frequency</w:t>
            </w:r>
            <w:r w:rsidRPr="001D24B6">
              <w:rPr>
                <w:rFonts w:asciiTheme="majorBidi" w:hAnsiTheme="majorBidi" w:cstheme="majorBidi"/>
              </w:rPr>
              <w:br/>
              <w:t>(MHz)</w:t>
            </w:r>
          </w:p>
        </w:tc>
      </w:tr>
      <w:tr w:rsidR="00464438" w:rsidRPr="001D24B6" w14:paraId="5BDADA99" w14:textId="77777777" w:rsidTr="00297D5A">
        <w:trPr>
          <w:jc w:val="center"/>
        </w:trPr>
        <w:tc>
          <w:tcPr>
            <w:tcW w:w="3540" w:type="dxa"/>
            <w:vMerge w:val="restart"/>
            <w:vAlign w:val="center"/>
          </w:tcPr>
          <w:p w14:paraId="4D94A859" w14:textId="28444F98" w:rsidR="00464438" w:rsidRPr="001D24B6" w:rsidRDefault="00464438" w:rsidP="00297D5A">
            <w:pPr>
              <w:pStyle w:val="Tabletext"/>
              <w:keepNext/>
              <w:keepLines/>
              <w:jc w:val="center"/>
              <w:rPr>
                <w:rFonts w:asciiTheme="majorBidi" w:hAnsiTheme="majorBidi" w:cstheme="majorBidi"/>
              </w:rPr>
            </w:pPr>
            <w:proofErr w:type="gramStart"/>
            <w:r w:rsidRPr="001D24B6">
              <w:rPr>
                <w:rFonts w:asciiTheme="majorBidi" w:hAnsiTheme="majorBidi" w:cstheme="majorBidi"/>
              </w:rPr>
              <w:t xml:space="preserve">Road </w:t>
            </w:r>
            <w:r w:rsidR="0038567A" w:rsidRPr="001D24B6">
              <w:rPr>
                <w:rFonts w:asciiTheme="majorBidi" w:hAnsiTheme="majorBidi" w:cstheme="majorBidi"/>
              </w:rPr>
              <w:t>side</w:t>
            </w:r>
            <w:proofErr w:type="gramEnd"/>
            <w:r w:rsidR="0038567A" w:rsidRPr="001D24B6">
              <w:rPr>
                <w:rFonts w:asciiTheme="majorBidi" w:hAnsiTheme="majorBidi" w:cstheme="majorBidi"/>
              </w:rPr>
              <w:t xml:space="preserve"> equipment channel</w:t>
            </w:r>
          </w:p>
        </w:tc>
        <w:tc>
          <w:tcPr>
            <w:tcW w:w="3780" w:type="dxa"/>
          </w:tcPr>
          <w:p w14:paraId="5B0B4ECC"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5 775</w:t>
            </w:r>
          </w:p>
        </w:tc>
      </w:tr>
      <w:tr w:rsidR="00464438" w:rsidRPr="001D24B6" w14:paraId="0554F036" w14:textId="77777777" w:rsidTr="00297D5A">
        <w:trPr>
          <w:jc w:val="center"/>
        </w:trPr>
        <w:tc>
          <w:tcPr>
            <w:tcW w:w="3540" w:type="dxa"/>
            <w:vMerge/>
            <w:vAlign w:val="center"/>
          </w:tcPr>
          <w:p w14:paraId="76010E66" w14:textId="77777777" w:rsidR="00464438" w:rsidRPr="001D24B6" w:rsidRDefault="00464438" w:rsidP="00297D5A">
            <w:pPr>
              <w:pStyle w:val="Tabletext"/>
              <w:keepNext/>
              <w:keepLines/>
              <w:jc w:val="center"/>
              <w:rPr>
                <w:rFonts w:asciiTheme="majorBidi" w:hAnsiTheme="majorBidi" w:cstheme="majorBidi"/>
                <w:highlight w:val="yellow"/>
              </w:rPr>
            </w:pPr>
          </w:p>
        </w:tc>
        <w:tc>
          <w:tcPr>
            <w:tcW w:w="3780" w:type="dxa"/>
          </w:tcPr>
          <w:p w14:paraId="219251B2"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5 780</w:t>
            </w:r>
          </w:p>
        </w:tc>
      </w:tr>
      <w:tr w:rsidR="00464438" w:rsidRPr="001D24B6" w14:paraId="7D47FC32" w14:textId="77777777" w:rsidTr="00297D5A">
        <w:trPr>
          <w:jc w:val="center"/>
        </w:trPr>
        <w:tc>
          <w:tcPr>
            <w:tcW w:w="3540" w:type="dxa"/>
            <w:vMerge/>
            <w:vAlign w:val="center"/>
          </w:tcPr>
          <w:p w14:paraId="268FF33A" w14:textId="77777777" w:rsidR="00464438" w:rsidRPr="001D24B6" w:rsidRDefault="00464438" w:rsidP="00297D5A">
            <w:pPr>
              <w:pStyle w:val="Tabletext"/>
              <w:keepNext/>
              <w:keepLines/>
              <w:jc w:val="center"/>
              <w:rPr>
                <w:rFonts w:asciiTheme="majorBidi" w:hAnsiTheme="majorBidi" w:cstheme="majorBidi"/>
                <w:highlight w:val="yellow"/>
              </w:rPr>
            </w:pPr>
          </w:p>
        </w:tc>
        <w:tc>
          <w:tcPr>
            <w:tcW w:w="3780" w:type="dxa"/>
          </w:tcPr>
          <w:p w14:paraId="7B72C6F7"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5 785</w:t>
            </w:r>
          </w:p>
        </w:tc>
      </w:tr>
      <w:tr w:rsidR="00464438" w:rsidRPr="001D24B6" w14:paraId="5D6E78EB" w14:textId="77777777" w:rsidTr="00297D5A">
        <w:trPr>
          <w:jc w:val="center"/>
        </w:trPr>
        <w:tc>
          <w:tcPr>
            <w:tcW w:w="3540" w:type="dxa"/>
            <w:vMerge/>
            <w:vAlign w:val="center"/>
          </w:tcPr>
          <w:p w14:paraId="4DA2FDC7" w14:textId="77777777" w:rsidR="00464438" w:rsidRPr="001D24B6" w:rsidRDefault="00464438" w:rsidP="00297D5A">
            <w:pPr>
              <w:pStyle w:val="Tabletext"/>
              <w:keepNext/>
              <w:keepLines/>
              <w:jc w:val="center"/>
              <w:rPr>
                <w:rFonts w:asciiTheme="majorBidi" w:hAnsiTheme="majorBidi" w:cstheme="majorBidi"/>
                <w:highlight w:val="yellow"/>
              </w:rPr>
            </w:pPr>
          </w:p>
        </w:tc>
        <w:tc>
          <w:tcPr>
            <w:tcW w:w="3780" w:type="dxa"/>
          </w:tcPr>
          <w:p w14:paraId="00EE9FA0"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5 790</w:t>
            </w:r>
          </w:p>
        </w:tc>
      </w:tr>
      <w:tr w:rsidR="00464438" w:rsidRPr="001D24B6" w14:paraId="680A5167" w14:textId="77777777" w:rsidTr="00297D5A">
        <w:trPr>
          <w:jc w:val="center"/>
        </w:trPr>
        <w:tc>
          <w:tcPr>
            <w:tcW w:w="3540" w:type="dxa"/>
            <w:vMerge/>
            <w:vAlign w:val="center"/>
          </w:tcPr>
          <w:p w14:paraId="7221A743" w14:textId="77777777" w:rsidR="00464438" w:rsidRPr="001D24B6" w:rsidRDefault="00464438" w:rsidP="00297D5A">
            <w:pPr>
              <w:pStyle w:val="Tabletext"/>
              <w:keepNext/>
              <w:keepLines/>
              <w:jc w:val="center"/>
              <w:rPr>
                <w:rFonts w:asciiTheme="majorBidi" w:hAnsiTheme="majorBidi" w:cstheme="majorBidi"/>
                <w:highlight w:val="yellow"/>
              </w:rPr>
            </w:pPr>
          </w:p>
        </w:tc>
        <w:tc>
          <w:tcPr>
            <w:tcW w:w="3780" w:type="dxa"/>
          </w:tcPr>
          <w:p w14:paraId="101A9D1E"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5 795</w:t>
            </w:r>
          </w:p>
        </w:tc>
      </w:tr>
      <w:tr w:rsidR="00464438" w:rsidRPr="001D24B6" w14:paraId="1687802B" w14:textId="77777777" w:rsidTr="00297D5A">
        <w:trPr>
          <w:trHeight w:val="118"/>
          <w:jc w:val="center"/>
        </w:trPr>
        <w:tc>
          <w:tcPr>
            <w:tcW w:w="3540" w:type="dxa"/>
            <w:vMerge/>
            <w:vAlign w:val="center"/>
          </w:tcPr>
          <w:p w14:paraId="6EE1BD86" w14:textId="77777777" w:rsidR="00464438" w:rsidRPr="001D24B6" w:rsidRDefault="00464438" w:rsidP="00297D5A">
            <w:pPr>
              <w:pStyle w:val="Tabletext"/>
              <w:keepNext/>
              <w:keepLines/>
              <w:jc w:val="center"/>
              <w:rPr>
                <w:rFonts w:asciiTheme="majorBidi" w:hAnsiTheme="majorBidi" w:cstheme="majorBidi"/>
                <w:highlight w:val="yellow"/>
              </w:rPr>
            </w:pPr>
          </w:p>
        </w:tc>
        <w:tc>
          <w:tcPr>
            <w:tcW w:w="3780" w:type="dxa"/>
          </w:tcPr>
          <w:p w14:paraId="6530A71A"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5 800</w:t>
            </w:r>
          </w:p>
        </w:tc>
      </w:tr>
      <w:tr w:rsidR="00464438" w:rsidRPr="001D24B6" w14:paraId="5B11D23B" w14:textId="77777777" w:rsidTr="00297D5A">
        <w:trPr>
          <w:trHeight w:val="250"/>
          <w:jc w:val="center"/>
        </w:trPr>
        <w:tc>
          <w:tcPr>
            <w:tcW w:w="3540" w:type="dxa"/>
            <w:vMerge/>
            <w:vAlign w:val="center"/>
          </w:tcPr>
          <w:p w14:paraId="674C9E6D" w14:textId="77777777" w:rsidR="00464438" w:rsidRPr="001D24B6" w:rsidRDefault="00464438" w:rsidP="00297D5A">
            <w:pPr>
              <w:pStyle w:val="Tabletext"/>
              <w:keepNext/>
              <w:keepLines/>
              <w:jc w:val="center"/>
              <w:rPr>
                <w:rFonts w:asciiTheme="majorBidi" w:hAnsiTheme="majorBidi" w:cstheme="majorBidi"/>
                <w:highlight w:val="yellow"/>
              </w:rPr>
            </w:pPr>
          </w:p>
        </w:tc>
        <w:tc>
          <w:tcPr>
            <w:tcW w:w="3780" w:type="dxa"/>
          </w:tcPr>
          <w:p w14:paraId="0166AD45" w14:textId="77777777" w:rsidR="00464438" w:rsidRPr="001D24B6" w:rsidRDefault="00464438" w:rsidP="00297D5A">
            <w:pPr>
              <w:pStyle w:val="Tabletext"/>
              <w:keepNext/>
              <w:keepLines/>
              <w:jc w:val="center"/>
              <w:rPr>
                <w:rFonts w:asciiTheme="majorBidi" w:hAnsiTheme="majorBidi" w:cstheme="majorBidi"/>
              </w:rPr>
            </w:pPr>
            <w:r w:rsidRPr="001D24B6">
              <w:rPr>
                <w:rFonts w:asciiTheme="majorBidi" w:hAnsiTheme="majorBidi" w:cstheme="majorBidi"/>
              </w:rPr>
              <w:t>5 805</w:t>
            </w:r>
          </w:p>
        </w:tc>
      </w:tr>
      <w:tr w:rsidR="00464438" w:rsidRPr="001D24B6" w14:paraId="2EB7B2B1" w14:textId="77777777" w:rsidTr="00297D5A">
        <w:trPr>
          <w:trHeight w:val="211"/>
          <w:jc w:val="center"/>
        </w:trPr>
        <w:tc>
          <w:tcPr>
            <w:tcW w:w="3540" w:type="dxa"/>
            <w:vMerge w:val="restart"/>
            <w:vAlign w:val="center"/>
          </w:tcPr>
          <w:p w14:paraId="55BB1B0B" w14:textId="31130DCD"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On-</w:t>
            </w:r>
            <w:r w:rsidR="0038567A" w:rsidRPr="001D24B6">
              <w:rPr>
                <w:rFonts w:asciiTheme="majorBidi" w:hAnsiTheme="majorBidi" w:cstheme="majorBidi"/>
              </w:rPr>
              <w:t>board equipment channel</w:t>
            </w:r>
          </w:p>
        </w:tc>
        <w:tc>
          <w:tcPr>
            <w:tcW w:w="3780" w:type="dxa"/>
          </w:tcPr>
          <w:p w14:paraId="060952BC"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5 815</w:t>
            </w:r>
          </w:p>
        </w:tc>
      </w:tr>
      <w:tr w:rsidR="00464438" w:rsidRPr="001D24B6" w14:paraId="7B118498" w14:textId="77777777" w:rsidTr="00297D5A">
        <w:trPr>
          <w:trHeight w:val="286"/>
          <w:jc w:val="center"/>
        </w:trPr>
        <w:tc>
          <w:tcPr>
            <w:tcW w:w="3540" w:type="dxa"/>
            <w:vMerge/>
          </w:tcPr>
          <w:p w14:paraId="584EF336" w14:textId="77777777" w:rsidR="00464438" w:rsidRPr="001D24B6" w:rsidRDefault="00464438" w:rsidP="00297D5A">
            <w:pPr>
              <w:pStyle w:val="Tabletext"/>
              <w:jc w:val="center"/>
              <w:rPr>
                <w:rFonts w:asciiTheme="majorBidi" w:hAnsiTheme="majorBidi" w:cstheme="majorBidi"/>
                <w:highlight w:val="yellow"/>
              </w:rPr>
            </w:pPr>
          </w:p>
        </w:tc>
        <w:tc>
          <w:tcPr>
            <w:tcW w:w="3780" w:type="dxa"/>
          </w:tcPr>
          <w:p w14:paraId="67D54052"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5 820</w:t>
            </w:r>
          </w:p>
        </w:tc>
      </w:tr>
      <w:tr w:rsidR="00464438" w:rsidRPr="001D24B6" w14:paraId="283C8EB4" w14:textId="77777777" w:rsidTr="00297D5A">
        <w:trPr>
          <w:trHeight w:val="58"/>
          <w:jc w:val="center"/>
        </w:trPr>
        <w:tc>
          <w:tcPr>
            <w:tcW w:w="3540" w:type="dxa"/>
            <w:vMerge/>
          </w:tcPr>
          <w:p w14:paraId="6A18B041" w14:textId="77777777" w:rsidR="00464438" w:rsidRPr="001D24B6" w:rsidRDefault="00464438" w:rsidP="00297D5A">
            <w:pPr>
              <w:pStyle w:val="Tabletext"/>
              <w:jc w:val="center"/>
              <w:rPr>
                <w:rFonts w:asciiTheme="majorBidi" w:hAnsiTheme="majorBidi" w:cstheme="majorBidi"/>
                <w:highlight w:val="yellow"/>
              </w:rPr>
            </w:pPr>
          </w:p>
        </w:tc>
        <w:tc>
          <w:tcPr>
            <w:tcW w:w="3780" w:type="dxa"/>
          </w:tcPr>
          <w:p w14:paraId="502EA353"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5 825</w:t>
            </w:r>
          </w:p>
        </w:tc>
      </w:tr>
      <w:tr w:rsidR="00464438" w:rsidRPr="001D24B6" w14:paraId="790985AA" w14:textId="77777777" w:rsidTr="00297D5A">
        <w:trPr>
          <w:trHeight w:val="167"/>
          <w:jc w:val="center"/>
        </w:trPr>
        <w:tc>
          <w:tcPr>
            <w:tcW w:w="3540" w:type="dxa"/>
            <w:vMerge/>
          </w:tcPr>
          <w:p w14:paraId="363B6A48" w14:textId="77777777" w:rsidR="00464438" w:rsidRPr="001D24B6" w:rsidRDefault="00464438" w:rsidP="00297D5A">
            <w:pPr>
              <w:pStyle w:val="Tabletext"/>
              <w:jc w:val="center"/>
              <w:rPr>
                <w:rFonts w:asciiTheme="majorBidi" w:hAnsiTheme="majorBidi" w:cstheme="majorBidi"/>
                <w:highlight w:val="yellow"/>
              </w:rPr>
            </w:pPr>
          </w:p>
        </w:tc>
        <w:tc>
          <w:tcPr>
            <w:tcW w:w="3780" w:type="dxa"/>
          </w:tcPr>
          <w:p w14:paraId="20690C4C"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5 830</w:t>
            </w:r>
          </w:p>
        </w:tc>
      </w:tr>
      <w:tr w:rsidR="00464438" w:rsidRPr="001D24B6" w14:paraId="2A5B1D22" w14:textId="77777777" w:rsidTr="00297D5A">
        <w:trPr>
          <w:trHeight w:val="238"/>
          <w:jc w:val="center"/>
        </w:trPr>
        <w:tc>
          <w:tcPr>
            <w:tcW w:w="3540" w:type="dxa"/>
            <w:vMerge/>
          </w:tcPr>
          <w:p w14:paraId="7D59C496" w14:textId="77777777" w:rsidR="00464438" w:rsidRPr="001D24B6" w:rsidRDefault="00464438" w:rsidP="00297D5A">
            <w:pPr>
              <w:pStyle w:val="Tabletext"/>
              <w:jc w:val="center"/>
              <w:rPr>
                <w:rFonts w:asciiTheme="majorBidi" w:hAnsiTheme="majorBidi" w:cstheme="majorBidi"/>
                <w:highlight w:val="yellow"/>
              </w:rPr>
            </w:pPr>
          </w:p>
        </w:tc>
        <w:tc>
          <w:tcPr>
            <w:tcW w:w="3780" w:type="dxa"/>
          </w:tcPr>
          <w:p w14:paraId="77D7BC2E"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5 835</w:t>
            </w:r>
          </w:p>
        </w:tc>
      </w:tr>
      <w:tr w:rsidR="00464438" w:rsidRPr="001D24B6" w14:paraId="389DB488" w14:textId="77777777" w:rsidTr="00297D5A">
        <w:trPr>
          <w:trHeight w:val="131"/>
          <w:jc w:val="center"/>
        </w:trPr>
        <w:tc>
          <w:tcPr>
            <w:tcW w:w="3540" w:type="dxa"/>
            <w:vMerge/>
          </w:tcPr>
          <w:p w14:paraId="047974E7" w14:textId="77777777" w:rsidR="00464438" w:rsidRPr="001D24B6" w:rsidRDefault="00464438" w:rsidP="00297D5A">
            <w:pPr>
              <w:pStyle w:val="Tabletext"/>
              <w:jc w:val="center"/>
              <w:rPr>
                <w:rFonts w:asciiTheme="majorBidi" w:hAnsiTheme="majorBidi" w:cstheme="majorBidi"/>
                <w:highlight w:val="yellow"/>
              </w:rPr>
            </w:pPr>
          </w:p>
        </w:tc>
        <w:tc>
          <w:tcPr>
            <w:tcW w:w="3780" w:type="dxa"/>
          </w:tcPr>
          <w:p w14:paraId="42866356"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5 840</w:t>
            </w:r>
          </w:p>
        </w:tc>
      </w:tr>
      <w:tr w:rsidR="00464438" w:rsidRPr="001D24B6" w14:paraId="230B093B" w14:textId="77777777" w:rsidTr="00297D5A">
        <w:trPr>
          <w:trHeight w:val="206"/>
          <w:jc w:val="center"/>
        </w:trPr>
        <w:tc>
          <w:tcPr>
            <w:tcW w:w="3540" w:type="dxa"/>
            <w:vMerge/>
          </w:tcPr>
          <w:p w14:paraId="15239A87" w14:textId="77777777" w:rsidR="00464438" w:rsidRPr="001D24B6" w:rsidRDefault="00464438" w:rsidP="00297D5A">
            <w:pPr>
              <w:pStyle w:val="Tabletext"/>
              <w:jc w:val="center"/>
              <w:rPr>
                <w:rFonts w:asciiTheme="majorBidi" w:hAnsiTheme="majorBidi" w:cstheme="majorBidi"/>
                <w:highlight w:val="yellow"/>
              </w:rPr>
            </w:pPr>
          </w:p>
        </w:tc>
        <w:tc>
          <w:tcPr>
            <w:tcW w:w="3780" w:type="dxa"/>
          </w:tcPr>
          <w:p w14:paraId="11EBEDB6" w14:textId="77777777" w:rsidR="00464438" w:rsidRPr="001D24B6" w:rsidRDefault="00464438" w:rsidP="00297D5A">
            <w:pPr>
              <w:pStyle w:val="Tabletext"/>
              <w:jc w:val="center"/>
              <w:rPr>
                <w:rFonts w:asciiTheme="majorBidi" w:hAnsiTheme="majorBidi" w:cstheme="majorBidi"/>
              </w:rPr>
            </w:pPr>
            <w:r w:rsidRPr="001D24B6">
              <w:rPr>
                <w:rFonts w:asciiTheme="majorBidi" w:hAnsiTheme="majorBidi" w:cstheme="majorBidi"/>
              </w:rPr>
              <w:t>5 845</w:t>
            </w:r>
          </w:p>
        </w:tc>
      </w:tr>
    </w:tbl>
    <w:p w14:paraId="796DD30E" w14:textId="77777777" w:rsidR="00464438" w:rsidRPr="001D24B6" w:rsidRDefault="00464438" w:rsidP="00651B6E">
      <w:pPr>
        <w:pStyle w:val="Tablefin"/>
        <w:rPr>
          <w:lang w:eastAsia="ja-JP"/>
        </w:rPr>
      </w:pPr>
    </w:p>
    <w:p w14:paraId="0546A9E3" w14:textId="77777777" w:rsidR="00464438" w:rsidRPr="001D24B6" w:rsidRDefault="00464438" w:rsidP="00651B6E">
      <w:pPr>
        <w:pStyle w:val="Heading3"/>
      </w:pPr>
      <w:bookmarkStart w:id="33" w:name="_Toc514254837"/>
      <w:r w:rsidRPr="001D24B6">
        <w:t>3.1.2</w:t>
      </w:r>
      <w:r w:rsidRPr="001D24B6">
        <w:tab/>
        <w:t>760 MHz band in Japan for V2X (ITS Connect)</w:t>
      </w:r>
      <w:bookmarkEnd w:id="33"/>
    </w:p>
    <w:p w14:paraId="02F02F3A" w14:textId="56C5DCB5" w:rsidR="00464438" w:rsidRPr="001D24B6" w:rsidRDefault="00464438" w:rsidP="00651B6E">
      <w:pPr>
        <w:rPr>
          <w:lang w:eastAsia="ja-JP"/>
        </w:rPr>
      </w:pPr>
      <w:r w:rsidRPr="001D24B6">
        <w:rPr>
          <w:lang w:eastAsia="ja-JP"/>
        </w:rPr>
        <w:t xml:space="preserve">In Japan, </w:t>
      </w:r>
      <w:r w:rsidR="00023DEB">
        <w:rPr>
          <w:lang w:eastAsia="ja-JP"/>
        </w:rPr>
        <w:t xml:space="preserve">the frequency band </w:t>
      </w:r>
      <w:r w:rsidRPr="001D24B6">
        <w:rPr>
          <w:lang w:eastAsia="ja-JP"/>
        </w:rPr>
        <w:t>755.5-764.5 MHz is assigned for ITS Connect.</w:t>
      </w:r>
    </w:p>
    <w:p w14:paraId="53507BAB" w14:textId="77777777" w:rsidR="00464438" w:rsidRPr="001D24B6" w:rsidRDefault="00464438" w:rsidP="00FB556E">
      <w:pPr>
        <w:rPr>
          <w:lang w:eastAsia="ja-JP"/>
        </w:rPr>
      </w:pPr>
      <w:r w:rsidRPr="001D24B6">
        <w:rPr>
          <w:lang w:eastAsia="ja-JP"/>
        </w:rPr>
        <w:t xml:space="preserve">The maximum transmission power for roadside equipment (RSE) should be less than 10 </w:t>
      </w:r>
      <w:proofErr w:type="spellStart"/>
      <w:r w:rsidRPr="001D24B6">
        <w:rPr>
          <w:lang w:eastAsia="ja-JP"/>
        </w:rPr>
        <w:t>mW</w:t>
      </w:r>
      <w:proofErr w:type="spellEnd"/>
      <w:r w:rsidRPr="001D24B6">
        <w:rPr>
          <w:lang w:eastAsia="ja-JP"/>
        </w:rPr>
        <w:t>/</w:t>
      </w:r>
      <w:proofErr w:type="spellStart"/>
      <w:r w:rsidRPr="001D24B6">
        <w:rPr>
          <w:lang w:eastAsia="ja-JP"/>
        </w:rPr>
        <w:t>MHz</w:t>
      </w:r>
      <w:r w:rsidRPr="001D24B6">
        <w:rPr>
          <w:rFonts w:eastAsiaTheme="minorEastAsia"/>
          <w:lang w:eastAsia="ja-JP"/>
        </w:rPr>
        <w:t>.</w:t>
      </w:r>
      <w:proofErr w:type="spellEnd"/>
      <w:r w:rsidRPr="001D24B6">
        <w:rPr>
          <w:lang w:eastAsia="ja-JP"/>
        </w:rPr>
        <w:t xml:space="preserve"> The maximum </w:t>
      </w:r>
      <w:r w:rsidRPr="001D24B6">
        <w:rPr>
          <w:rFonts w:eastAsiaTheme="minorEastAsia"/>
          <w:lang w:eastAsia="ja-JP"/>
        </w:rPr>
        <w:t>transmission</w:t>
      </w:r>
      <w:r w:rsidRPr="001D24B6">
        <w:rPr>
          <w:lang w:eastAsia="ja-JP"/>
        </w:rPr>
        <w:t xml:space="preserve"> power for on-board equipment (OBE) should be less than 10 </w:t>
      </w:r>
      <w:proofErr w:type="spellStart"/>
      <w:r w:rsidRPr="001D24B6">
        <w:rPr>
          <w:lang w:eastAsia="ja-JP"/>
        </w:rPr>
        <w:t>mW</w:t>
      </w:r>
      <w:proofErr w:type="spellEnd"/>
      <w:r w:rsidRPr="001D24B6">
        <w:rPr>
          <w:lang w:eastAsia="ja-JP"/>
        </w:rPr>
        <w:t>/</w:t>
      </w:r>
      <w:proofErr w:type="spellStart"/>
      <w:r w:rsidRPr="001D24B6">
        <w:rPr>
          <w:lang w:eastAsia="ja-JP"/>
        </w:rPr>
        <w:t>MHz.</w:t>
      </w:r>
      <w:proofErr w:type="spellEnd"/>
    </w:p>
    <w:p w14:paraId="51A5206B" w14:textId="14FA85CD" w:rsidR="00464438" w:rsidRPr="001D24B6" w:rsidRDefault="00464438" w:rsidP="00FB556E">
      <w:pPr>
        <w:rPr>
          <w:lang w:eastAsia="ja-JP"/>
        </w:rPr>
      </w:pPr>
      <w:r w:rsidRPr="001D24B6">
        <w:rPr>
          <w:lang w:eastAsia="ja-JP"/>
        </w:rPr>
        <w:t xml:space="preserve">All RSE and OBE share one RF channel. Time slot is divided into Vehicle to Vehicle (V2V) communication periods and I2V communication periods, then RSE and OBE can share the frequency without mutual interference. Figure </w:t>
      </w:r>
      <w:r w:rsidR="006872CA">
        <w:rPr>
          <w:lang w:eastAsia="ja-JP"/>
        </w:rPr>
        <w:t>1</w:t>
      </w:r>
      <w:r w:rsidRPr="001D24B6">
        <w:rPr>
          <w:lang w:eastAsia="ja-JP"/>
        </w:rPr>
        <w:t xml:space="preserve"> shows the sharing mechanism. The RSEs and OBEs carry out communications normally in a cycle of 100 </w:t>
      </w:r>
      <w:proofErr w:type="spellStart"/>
      <w:r w:rsidRPr="001D24B6">
        <w:rPr>
          <w:lang w:eastAsia="ja-JP"/>
        </w:rPr>
        <w:t>ms</w:t>
      </w:r>
      <w:proofErr w:type="spellEnd"/>
      <w:r w:rsidRPr="001D24B6">
        <w:rPr>
          <w:lang w:eastAsia="ja-JP"/>
        </w:rPr>
        <w:t xml:space="preserve">. In </w:t>
      </w:r>
      <w:r w:rsidR="00CC3717">
        <w:rPr>
          <w:lang w:eastAsia="ja-JP"/>
        </w:rPr>
        <w:t xml:space="preserve">the </w:t>
      </w:r>
      <w:r w:rsidRPr="001D24B6">
        <w:rPr>
          <w:lang w:eastAsia="ja-JP"/>
        </w:rPr>
        <w:t>Fig</w:t>
      </w:r>
      <w:r w:rsidR="00CC3717">
        <w:rPr>
          <w:lang w:eastAsia="ja-JP"/>
        </w:rPr>
        <w:t>ure</w:t>
      </w:r>
      <w:r w:rsidRPr="001D24B6">
        <w:rPr>
          <w:lang w:eastAsia="ja-JP"/>
        </w:rPr>
        <w:t xml:space="preserve">, the RSE can use </w:t>
      </w:r>
      <w:proofErr w:type="spellStart"/>
      <w:r w:rsidRPr="001D24B6">
        <w:rPr>
          <w:lang w:eastAsia="ja-JP"/>
        </w:rPr>
        <w:t>gray</w:t>
      </w:r>
      <w:proofErr w:type="spellEnd"/>
      <w:r w:rsidRPr="001D24B6">
        <w:rPr>
          <w:lang w:eastAsia="ja-JP"/>
        </w:rPr>
        <w:t xml:space="preserve"> period. If the RSE does not use all 3</w:t>
      </w:r>
      <w:r w:rsidR="00CC3717">
        <w:rPr>
          <w:lang w:eastAsia="ja-JP"/>
        </w:rPr>
        <w:t> </w:t>
      </w:r>
      <w:r w:rsidRPr="001D24B6">
        <w:rPr>
          <w:lang w:eastAsia="ja-JP"/>
        </w:rPr>
        <w:t xml:space="preserve">024 </w:t>
      </w:r>
      <w:r w:rsidRPr="001D24B6">
        <w:rPr>
          <w:lang w:eastAsia="ja-JP"/>
        </w:rPr>
        <w:sym w:font="Symbol" w:char="F06D"/>
      </w:r>
      <w:r w:rsidRPr="001D24B6">
        <w:rPr>
          <w:lang w:eastAsia="ja-JP"/>
        </w:rPr>
        <w:t>s, OBE can use the time for V2V communication.</w:t>
      </w:r>
    </w:p>
    <w:p w14:paraId="46D99CC9" w14:textId="26ED5252" w:rsidR="00464438" w:rsidRPr="001D24B6" w:rsidRDefault="00464438" w:rsidP="00651B6E">
      <w:pPr>
        <w:pStyle w:val="FigureNo"/>
      </w:pPr>
      <w:r w:rsidRPr="001D24B6">
        <w:t xml:space="preserve">FIGURE </w:t>
      </w:r>
      <w:r w:rsidR="0007523D">
        <w:t>1</w:t>
      </w:r>
    </w:p>
    <w:p w14:paraId="2560A4C9" w14:textId="77777777" w:rsidR="00464438" w:rsidRPr="001D24B6" w:rsidRDefault="00464438" w:rsidP="00651B6E">
      <w:pPr>
        <w:pStyle w:val="Figuretitle"/>
      </w:pPr>
      <w:r w:rsidRPr="001D24B6">
        <w:t>RSE transmitting periods</w:t>
      </w:r>
    </w:p>
    <w:p w14:paraId="079E7DBA" w14:textId="77777777" w:rsidR="00464438" w:rsidRPr="001D24B6" w:rsidRDefault="00464438" w:rsidP="00651B6E">
      <w:pPr>
        <w:pStyle w:val="Figure"/>
      </w:pPr>
      <w:r w:rsidRPr="001D24B6">
        <w:rPr>
          <w:noProof/>
          <w:lang w:val="en-US"/>
        </w:rPr>
        <w:drawing>
          <wp:inline distT="0" distB="0" distL="0" distR="0" wp14:anchorId="0F103D89" wp14:editId="7D157CF8">
            <wp:extent cx="4861570" cy="1139954"/>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2444-02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61570" cy="1139954"/>
                    </a:xfrm>
                    <a:prstGeom prst="rect">
                      <a:avLst/>
                    </a:prstGeom>
                  </pic:spPr>
                </pic:pic>
              </a:graphicData>
            </a:graphic>
          </wp:inline>
        </w:drawing>
      </w:r>
    </w:p>
    <w:p w14:paraId="6649FFB7" w14:textId="77777777" w:rsidR="00464438" w:rsidRPr="001D24B6" w:rsidRDefault="00464438" w:rsidP="00651B6E">
      <w:pPr>
        <w:pStyle w:val="Normalaftertitle"/>
        <w:rPr>
          <w:lang w:eastAsia="ja-JP"/>
        </w:rPr>
      </w:pPr>
      <w:r w:rsidRPr="001D24B6">
        <w:rPr>
          <w:lang w:eastAsia="ja-JP"/>
        </w:rPr>
        <w:t>In order to avoid collision between OBE to OBE, CSMA/CA protocol is used.</w:t>
      </w:r>
    </w:p>
    <w:p w14:paraId="3FE403B2" w14:textId="77777777" w:rsidR="00464438" w:rsidRPr="001D24B6" w:rsidRDefault="00464438" w:rsidP="00651B6E">
      <w:pPr>
        <w:pStyle w:val="Heading2"/>
      </w:pPr>
      <w:bookmarkStart w:id="34" w:name="_Toc514254838"/>
      <w:bookmarkStart w:id="35" w:name="_Toc529991736"/>
      <w:bookmarkStart w:id="36" w:name="_Toc120620911"/>
      <w:bookmarkStart w:id="37" w:name="_Toc147303622"/>
      <w:bookmarkStart w:id="38" w:name="_Toc483990105"/>
      <w:r w:rsidRPr="001D24B6">
        <w:rPr>
          <w:lang w:eastAsia="ja-JP"/>
        </w:rPr>
        <w:lastRenderedPageBreak/>
        <w:t>3.2</w:t>
      </w:r>
      <w:r w:rsidRPr="001D24B6">
        <w:rPr>
          <w:lang w:eastAsia="ja-JP"/>
        </w:rPr>
        <w:tab/>
        <w:t xml:space="preserve">Frequency use in </w:t>
      </w:r>
      <w:r w:rsidRPr="001D24B6">
        <w:t>Korea</w:t>
      </w:r>
      <w:bookmarkEnd w:id="34"/>
      <w:bookmarkEnd w:id="35"/>
      <w:bookmarkEnd w:id="36"/>
      <w:bookmarkEnd w:id="37"/>
    </w:p>
    <w:p w14:paraId="296E92F1" w14:textId="77777777" w:rsidR="00464438" w:rsidRPr="001D24B6" w:rsidRDefault="00464438" w:rsidP="006763E1">
      <w:pPr>
        <w:rPr>
          <w:snapToGrid w:val="0"/>
        </w:rPr>
      </w:pPr>
      <w:r w:rsidRPr="001D24B6">
        <w:rPr>
          <w:rFonts w:eastAsiaTheme="minorEastAsia"/>
        </w:rPr>
        <w:t>V2X communication technology has been developed for vehicle safety and Cooperative ITS applications</w:t>
      </w:r>
      <w:bookmarkStart w:id="39" w:name="#7c46fe70"/>
      <w:bookmarkEnd w:id="39"/>
      <w:r w:rsidRPr="001D24B6">
        <w:rPr>
          <w:rFonts w:eastAsiaTheme="minorEastAsia"/>
        </w:rPr>
        <w:t>.</w:t>
      </w:r>
    </w:p>
    <w:p w14:paraId="1207E1C6" w14:textId="4AD799FD" w:rsidR="00464438" w:rsidRPr="001D24B6" w:rsidRDefault="00464438" w:rsidP="006763E1">
      <w:pPr>
        <w:rPr>
          <w:snapToGrid w:val="0"/>
          <w:lang w:eastAsia="ko-KR"/>
        </w:rPr>
      </w:pPr>
      <w:r w:rsidRPr="001D24B6">
        <w:rPr>
          <w:snapToGrid w:val="0"/>
          <w:lang w:eastAsia="ko-KR"/>
        </w:rPr>
        <w:t xml:space="preserve">In the Republic of Korea, the frequency band is 5 855-5 925 MHz for C-ITS (V2V and V2I communications) and can use seven radio frequency </w:t>
      </w:r>
      <w:r w:rsidR="0007523D" w:rsidRPr="001D24B6">
        <w:rPr>
          <w:snapToGrid w:val="0"/>
          <w:lang w:eastAsia="ko-KR"/>
        </w:rPr>
        <w:t>channels</w:t>
      </w:r>
      <w:r w:rsidRPr="001D24B6">
        <w:rPr>
          <w:snapToGrid w:val="0"/>
          <w:lang w:eastAsia="ko-KR"/>
        </w:rPr>
        <w:t xml:space="preserve"> with 10 MHz channel bandwidth as shown in Table 6. In channel operation, control channel uses 5 895-5 905 MHz radio </w:t>
      </w:r>
      <w:r w:rsidR="0007523D" w:rsidRPr="001D24B6">
        <w:rPr>
          <w:snapToGrid w:val="0"/>
          <w:lang w:eastAsia="ko-KR"/>
        </w:rPr>
        <w:t>cannel,</w:t>
      </w:r>
      <w:r w:rsidRPr="001D24B6">
        <w:rPr>
          <w:snapToGrid w:val="0"/>
          <w:lang w:eastAsia="ko-KR"/>
        </w:rPr>
        <w:t xml:space="preserve"> and the other six radio channel can be used for service channel. Also, each RF channel has 20 dBm in radio transmit power level.</w:t>
      </w:r>
    </w:p>
    <w:p w14:paraId="536D2193" w14:textId="77777777" w:rsidR="00464438" w:rsidRPr="001D24B6" w:rsidRDefault="00464438" w:rsidP="006C25A5">
      <w:pPr>
        <w:pStyle w:val="TableNo"/>
        <w:spacing w:before="480"/>
        <w:rPr>
          <w:lang w:eastAsia="ko-KR"/>
        </w:rPr>
      </w:pPr>
      <w:r w:rsidRPr="001D24B6">
        <w:rPr>
          <w:lang w:eastAsia="ko-KR"/>
        </w:rPr>
        <w:t>TABLE 6</w:t>
      </w:r>
    </w:p>
    <w:p w14:paraId="1CADEA88" w14:textId="77777777" w:rsidR="00464438" w:rsidRPr="001D24B6" w:rsidRDefault="00464438" w:rsidP="00651B6E">
      <w:pPr>
        <w:pStyle w:val="Tabletitle"/>
        <w:rPr>
          <w:lang w:eastAsia="ko-KR"/>
        </w:rPr>
      </w:pPr>
      <w:r w:rsidRPr="001D24B6">
        <w:rPr>
          <w:lang w:eastAsia="ko-KR"/>
        </w:rPr>
        <w:t>Radio channel assignment for ITS in Korea</w:t>
      </w:r>
    </w:p>
    <w:tbl>
      <w:tblPr>
        <w:tblW w:w="9639" w:type="dxa"/>
        <w:jc w:val="center"/>
        <w:tblLayout w:type="fixed"/>
        <w:tblCellMar>
          <w:top w:w="15" w:type="dxa"/>
          <w:left w:w="15" w:type="dxa"/>
          <w:bottom w:w="15" w:type="dxa"/>
          <w:right w:w="15" w:type="dxa"/>
        </w:tblCellMar>
        <w:tblLook w:val="0000" w:firstRow="0" w:lastRow="0" w:firstColumn="0" w:lastColumn="0" w:noHBand="0" w:noVBand="0"/>
      </w:tblPr>
      <w:tblGrid>
        <w:gridCol w:w="2766"/>
        <w:gridCol w:w="3540"/>
        <w:gridCol w:w="3333"/>
      </w:tblGrid>
      <w:tr w:rsidR="00464438" w:rsidRPr="001D24B6" w14:paraId="747BA9D4" w14:textId="77777777" w:rsidTr="00297D5A">
        <w:trPr>
          <w:trHeight w:val="603"/>
          <w:jc w:val="center"/>
        </w:trPr>
        <w:tc>
          <w:tcPr>
            <w:tcW w:w="188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70B2CFC" w14:textId="77777777" w:rsidR="00464438" w:rsidRPr="001D24B6" w:rsidRDefault="00464438" w:rsidP="00297D5A">
            <w:pPr>
              <w:pStyle w:val="Tablehead"/>
              <w:rPr>
                <w:rFonts w:eastAsia="BatangChe"/>
                <w:szCs w:val="24"/>
              </w:rPr>
            </w:pPr>
            <w:r w:rsidRPr="001D24B6">
              <w:t>Channel number</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2C9A79F" w14:textId="77777777" w:rsidR="00464438" w:rsidRPr="001D24B6" w:rsidRDefault="00464438" w:rsidP="00297D5A">
            <w:pPr>
              <w:pStyle w:val="Tablehead"/>
              <w:rPr>
                <w:rFonts w:eastAsia="BatangChe"/>
                <w:szCs w:val="24"/>
              </w:rPr>
            </w:pPr>
            <w:r w:rsidRPr="001D24B6">
              <w:rPr>
                <w:rFonts w:eastAsia="BatangChe"/>
                <w:szCs w:val="24"/>
              </w:rPr>
              <w:t xml:space="preserve">Frequency </w:t>
            </w:r>
            <w:r w:rsidRPr="001D24B6">
              <w:t xml:space="preserve">band </w:t>
            </w:r>
            <w:r w:rsidRPr="001D24B6">
              <w:br/>
              <w:t>(MHz)</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306410" w14:textId="77777777" w:rsidR="00464438" w:rsidRPr="001D24B6" w:rsidRDefault="00464438" w:rsidP="00297D5A">
            <w:pPr>
              <w:pStyle w:val="Tablehead"/>
              <w:rPr>
                <w:rFonts w:eastAsia="BatangChe"/>
                <w:szCs w:val="24"/>
              </w:rPr>
            </w:pPr>
            <w:r w:rsidRPr="001D24B6">
              <w:t>Channel usage</w:t>
            </w:r>
          </w:p>
        </w:tc>
      </w:tr>
      <w:tr w:rsidR="00464438" w:rsidRPr="001D24B6" w14:paraId="7D8BCA80"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472F1922" w14:textId="77777777" w:rsidR="00464438" w:rsidRPr="001D24B6" w:rsidRDefault="00464438" w:rsidP="00297D5A">
            <w:pPr>
              <w:pStyle w:val="Tabletext"/>
              <w:jc w:val="center"/>
              <w:rPr>
                <w:lang w:eastAsia="ko-KR"/>
              </w:rPr>
            </w:pPr>
            <w:r w:rsidRPr="001D24B6">
              <w:rPr>
                <w:lang w:eastAsia="ko-KR"/>
              </w:rPr>
              <w:t>1</w:t>
            </w:r>
          </w:p>
        </w:tc>
        <w:tc>
          <w:tcPr>
            <w:tcW w:w="2409" w:type="dxa"/>
            <w:tcBorders>
              <w:top w:val="single" w:sz="6" w:space="0" w:color="000000"/>
              <w:left w:val="single" w:sz="6" w:space="0" w:color="000000"/>
              <w:bottom w:val="single" w:sz="6" w:space="0" w:color="000000"/>
              <w:right w:val="single" w:sz="6" w:space="0" w:color="000000"/>
            </w:tcBorders>
            <w:vAlign w:val="center"/>
          </w:tcPr>
          <w:p w14:paraId="74E41593" w14:textId="77777777" w:rsidR="00464438" w:rsidRPr="001D24B6" w:rsidRDefault="00464438" w:rsidP="00297D5A">
            <w:pPr>
              <w:pStyle w:val="Tabletext"/>
              <w:jc w:val="center"/>
              <w:rPr>
                <w:lang w:eastAsia="ko-KR"/>
              </w:rPr>
            </w:pPr>
            <w:r w:rsidRPr="001D24B6">
              <w:rPr>
                <w:lang w:eastAsia="ko-KR"/>
              </w:rPr>
              <w:t>5 855-5 865</w:t>
            </w:r>
          </w:p>
        </w:tc>
        <w:tc>
          <w:tcPr>
            <w:tcW w:w="2268" w:type="dxa"/>
            <w:tcBorders>
              <w:top w:val="single" w:sz="6" w:space="0" w:color="000000"/>
              <w:left w:val="single" w:sz="6" w:space="0" w:color="000000"/>
              <w:bottom w:val="single" w:sz="6" w:space="0" w:color="000000"/>
              <w:right w:val="single" w:sz="6" w:space="0" w:color="000000"/>
            </w:tcBorders>
            <w:vAlign w:val="center"/>
          </w:tcPr>
          <w:p w14:paraId="6D1C9BA4" w14:textId="0C967D29" w:rsidR="00464438" w:rsidRPr="001D24B6" w:rsidRDefault="00464438" w:rsidP="00297D5A">
            <w:pPr>
              <w:pStyle w:val="Tabletext"/>
              <w:jc w:val="center"/>
              <w:rPr>
                <w:lang w:eastAsia="ko-KR"/>
              </w:rPr>
            </w:pPr>
            <w:r w:rsidRPr="001D24B6">
              <w:rPr>
                <w:lang w:eastAsia="ko-KR"/>
              </w:rPr>
              <w:t xml:space="preserve">Service </w:t>
            </w:r>
            <w:r w:rsidR="00424975" w:rsidRPr="001D24B6">
              <w:rPr>
                <w:lang w:eastAsia="ko-KR"/>
              </w:rPr>
              <w:t>channel</w:t>
            </w:r>
          </w:p>
        </w:tc>
      </w:tr>
      <w:tr w:rsidR="00464438" w:rsidRPr="001D24B6" w14:paraId="72CBF263"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76E48E4D" w14:textId="77777777" w:rsidR="00464438" w:rsidRPr="001D24B6" w:rsidRDefault="00464438" w:rsidP="00297D5A">
            <w:pPr>
              <w:pStyle w:val="Tabletext"/>
              <w:jc w:val="center"/>
              <w:rPr>
                <w:lang w:eastAsia="ko-KR"/>
              </w:rPr>
            </w:pPr>
            <w:r w:rsidRPr="001D24B6">
              <w:rPr>
                <w:lang w:eastAsia="ko-KR"/>
              </w:rPr>
              <w:t>2</w:t>
            </w:r>
          </w:p>
        </w:tc>
        <w:tc>
          <w:tcPr>
            <w:tcW w:w="2409" w:type="dxa"/>
            <w:tcBorders>
              <w:top w:val="single" w:sz="6" w:space="0" w:color="000000"/>
              <w:left w:val="single" w:sz="6" w:space="0" w:color="000000"/>
              <w:bottom w:val="single" w:sz="6" w:space="0" w:color="000000"/>
              <w:right w:val="single" w:sz="6" w:space="0" w:color="000000"/>
            </w:tcBorders>
            <w:vAlign w:val="center"/>
          </w:tcPr>
          <w:p w14:paraId="39341F47" w14:textId="77777777" w:rsidR="00464438" w:rsidRPr="001D24B6" w:rsidRDefault="00464438" w:rsidP="00297D5A">
            <w:pPr>
              <w:pStyle w:val="Tabletext"/>
              <w:jc w:val="center"/>
              <w:rPr>
                <w:lang w:eastAsia="ko-KR"/>
              </w:rPr>
            </w:pPr>
            <w:r w:rsidRPr="001D24B6">
              <w:rPr>
                <w:lang w:eastAsia="ko-KR"/>
              </w:rPr>
              <w:t>5 865-5 875</w:t>
            </w:r>
          </w:p>
        </w:tc>
        <w:tc>
          <w:tcPr>
            <w:tcW w:w="2268" w:type="dxa"/>
            <w:tcBorders>
              <w:top w:val="single" w:sz="6" w:space="0" w:color="000000"/>
              <w:left w:val="single" w:sz="6" w:space="0" w:color="000000"/>
              <w:bottom w:val="single" w:sz="6" w:space="0" w:color="000000"/>
              <w:right w:val="single" w:sz="6" w:space="0" w:color="000000"/>
            </w:tcBorders>
          </w:tcPr>
          <w:p w14:paraId="1FA0B1A6" w14:textId="28FE6F4F" w:rsidR="00464438" w:rsidRPr="001D24B6" w:rsidRDefault="00464438" w:rsidP="00297D5A">
            <w:pPr>
              <w:pStyle w:val="Tabletext"/>
              <w:jc w:val="center"/>
            </w:pPr>
            <w:r w:rsidRPr="001D24B6">
              <w:rPr>
                <w:lang w:eastAsia="ko-KR"/>
              </w:rPr>
              <w:t xml:space="preserve">Service </w:t>
            </w:r>
            <w:r w:rsidR="00424975" w:rsidRPr="001D24B6">
              <w:rPr>
                <w:lang w:eastAsia="ko-KR"/>
              </w:rPr>
              <w:t>channel</w:t>
            </w:r>
          </w:p>
        </w:tc>
      </w:tr>
      <w:tr w:rsidR="00464438" w:rsidRPr="001D24B6" w14:paraId="21236796"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151EABF1" w14:textId="77777777" w:rsidR="00464438" w:rsidRPr="001D24B6" w:rsidRDefault="00464438" w:rsidP="00297D5A">
            <w:pPr>
              <w:pStyle w:val="Tabletext"/>
              <w:jc w:val="center"/>
              <w:rPr>
                <w:lang w:eastAsia="ko-KR"/>
              </w:rPr>
            </w:pPr>
            <w:r w:rsidRPr="001D24B6">
              <w:rPr>
                <w:lang w:eastAsia="ko-KR"/>
              </w:rPr>
              <w:t>3</w:t>
            </w:r>
          </w:p>
        </w:tc>
        <w:tc>
          <w:tcPr>
            <w:tcW w:w="2409" w:type="dxa"/>
            <w:tcBorders>
              <w:top w:val="single" w:sz="6" w:space="0" w:color="000000"/>
              <w:left w:val="single" w:sz="6" w:space="0" w:color="000000"/>
              <w:bottom w:val="single" w:sz="6" w:space="0" w:color="000000"/>
              <w:right w:val="single" w:sz="6" w:space="0" w:color="000000"/>
            </w:tcBorders>
            <w:vAlign w:val="center"/>
          </w:tcPr>
          <w:p w14:paraId="54B6E649" w14:textId="77777777" w:rsidR="00464438" w:rsidRPr="001D24B6" w:rsidRDefault="00464438" w:rsidP="00297D5A">
            <w:pPr>
              <w:pStyle w:val="Tabletext"/>
              <w:jc w:val="center"/>
              <w:rPr>
                <w:lang w:eastAsia="ko-KR"/>
              </w:rPr>
            </w:pPr>
            <w:r w:rsidRPr="001D24B6">
              <w:rPr>
                <w:lang w:eastAsia="ko-KR"/>
              </w:rPr>
              <w:t>5 875-5 885</w:t>
            </w:r>
          </w:p>
        </w:tc>
        <w:tc>
          <w:tcPr>
            <w:tcW w:w="2268" w:type="dxa"/>
            <w:tcBorders>
              <w:top w:val="single" w:sz="6" w:space="0" w:color="000000"/>
              <w:left w:val="single" w:sz="6" w:space="0" w:color="000000"/>
              <w:bottom w:val="single" w:sz="6" w:space="0" w:color="000000"/>
              <w:right w:val="single" w:sz="6" w:space="0" w:color="000000"/>
            </w:tcBorders>
          </w:tcPr>
          <w:p w14:paraId="07AD5F08" w14:textId="4234CD05" w:rsidR="00464438" w:rsidRPr="001D24B6" w:rsidRDefault="00464438" w:rsidP="00297D5A">
            <w:pPr>
              <w:pStyle w:val="Tabletext"/>
              <w:jc w:val="center"/>
            </w:pPr>
            <w:r w:rsidRPr="001D24B6">
              <w:rPr>
                <w:lang w:eastAsia="ko-KR"/>
              </w:rPr>
              <w:t xml:space="preserve">Service </w:t>
            </w:r>
            <w:r w:rsidR="00424975" w:rsidRPr="001D24B6">
              <w:rPr>
                <w:lang w:eastAsia="ko-KR"/>
              </w:rPr>
              <w:t>channel</w:t>
            </w:r>
          </w:p>
        </w:tc>
      </w:tr>
      <w:tr w:rsidR="00464438" w:rsidRPr="001D24B6" w14:paraId="5BCF94D9"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6649A960" w14:textId="77777777" w:rsidR="00464438" w:rsidRPr="001D24B6" w:rsidRDefault="00464438" w:rsidP="00297D5A">
            <w:pPr>
              <w:pStyle w:val="Tabletext"/>
              <w:jc w:val="center"/>
              <w:rPr>
                <w:lang w:eastAsia="ko-KR"/>
              </w:rPr>
            </w:pPr>
            <w:r w:rsidRPr="001D24B6">
              <w:rPr>
                <w:lang w:eastAsia="ko-KR"/>
              </w:rPr>
              <w:t>4</w:t>
            </w:r>
          </w:p>
        </w:tc>
        <w:tc>
          <w:tcPr>
            <w:tcW w:w="2409" w:type="dxa"/>
            <w:tcBorders>
              <w:top w:val="single" w:sz="6" w:space="0" w:color="000000"/>
              <w:left w:val="single" w:sz="6" w:space="0" w:color="000000"/>
              <w:bottom w:val="single" w:sz="6" w:space="0" w:color="000000"/>
              <w:right w:val="single" w:sz="6" w:space="0" w:color="000000"/>
            </w:tcBorders>
            <w:vAlign w:val="center"/>
          </w:tcPr>
          <w:p w14:paraId="32F3B772" w14:textId="77777777" w:rsidR="00464438" w:rsidRPr="001D24B6" w:rsidRDefault="00464438" w:rsidP="00297D5A">
            <w:pPr>
              <w:pStyle w:val="Tabletext"/>
              <w:jc w:val="center"/>
              <w:rPr>
                <w:lang w:eastAsia="ko-KR"/>
              </w:rPr>
            </w:pPr>
            <w:r w:rsidRPr="001D24B6">
              <w:rPr>
                <w:lang w:eastAsia="ko-KR"/>
              </w:rPr>
              <w:t>5 885-5 895</w:t>
            </w:r>
          </w:p>
        </w:tc>
        <w:tc>
          <w:tcPr>
            <w:tcW w:w="2268" w:type="dxa"/>
            <w:tcBorders>
              <w:top w:val="single" w:sz="6" w:space="0" w:color="000000"/>
              <w:left w:val="single" w:sz="6" w:space="0" w:color="000000"/>
              <w:bottom w:val="single" w:sz="6" w:space="0" w:color="000000"/>
              <w:right w:val="single" w:sz="6" w:space="0" w:color="000000"/>
            </w:tcBorders>
          </w:tcPr>
          <w:p w14:paraId="4AD155A6" w14:textId="2AB6CCFA" w:rsidR="00464438" w:rsidRPr="001D24B6" w:rsidRDefault="00464438" w:rsidP="00297D5A">
            <w:pPr>
              <w:pStyle w:val="Tabletext"/>
              <w:jc w:val="center"/>
            </w:pPr>
            <w:r w:rsidRPr="001D24B6">
              <w:rPr>
                <w:lang w:eastAsia="ko-KR"/>
              </w:rPr>
              <w:t xml:space="preserve">Service </w:t>
            </w:r>
            <w:r w:rsidR="00424975" w:rsidRPr="001D24B6">
              <w:rPr>
                <w:lang w:eastAsia="ko-KR"/>
              </w:rPr>
              <w:t>channel</w:t>
            </w:r>
          </w:p>
        </w:tc>
      </w:tr>
      <w:tr w:rsidR="00464438" w:rsidRPr="001D24B6" w14:paraId="5E972FE8"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458E36FA" w14:textId="77777777" w:rsidR="00464438" w:rsidRPr="001D24B6" w:rsidRDefault="00464438" w:rsidP="00297D5A">
            <w:pPr>
              <w:pStyle w:val="Tabletext"/>
              <w:jc w:val="center"/>
              <w:rPr>
                <w:lang w:eastAsia="ko-KR"/>
              </w:rPr>
            </w:pPr>
            <w:r w:rsidRPr="001D24B6">
              <w:t>5</w:t>
            </w:r>
          </w:p>
        </w:tc>
        <w:tc>
          <w:tcPr>
            <w:tcW w:w="2409" w:type="dxa"/>
            <w:tcBorders>
              <w:top w:val="single" w:sz="6" w:space="0" w:color="000000"/>
              <w:left w:val="single" w:sz="6" w:space="0" w:color="000000"/>
              <w:bottom w:val="single" w:sz="6" w:space="0" w:color="000000"/>
              <w:right w:val="single" w:sz="6" w:space="0" w:color="000000"/>
            </w:tcBorders>
            <w:vAlign w:val="center"/>
          </w:tcPr>
          <w:p w14:paraId="7BDFEF1B" w14:textId="77777777" w:rsidR="00464438" w:rsidRPr="001D24B6" w:rsidRDefault="00464438" w:rsidP="00297D5A">
            <w:pPr>
              <w:pStyle w:val="Tabletext"/>
              <w:jc w:val="center"/>
              <w:rPr>
                <w:lang w:eastAsia="ko-KR"/>
              </w:rPr>
            </w:pPr>
            <w:r w:rsidRPr="001D24B6">
              <w:rPr>
                <w:lang w:eastAsia="ko-KR"/>
              </w:rPr>
              <w:t>5 895-5 905</w:t>
            </w:r>
          </w:p>
        </w:tc>
        <w:tc>
          <w:tcPr>
            <w:tcW w:w="2268" w:type="dxa"/>
            <w:tcBorders>
              <w:top w:val="single" w:sz="6" w:space="0" w:color="000000"/>
              <w:left w:val="single" w:sz="6" w:space="0" w:color="000000"/>
              <w:bottom w:val="single" w:sz="6" w:space="0" w:color="000000"/>
              <w:right w:val="single" w:sz="6" w:space="0" w:color="000000"/>
            </w:tcBorders>
            <w:vAlign w:val="center"/>
          </w:tcPr>
          <w:p w14:paraId="58E4DA4A" w14:textId="12A845A2" w:rsidR="00464438" w:rsidRPr="001D24B6" w:rsidRDefault="00464438" w:rsidP="00297D5A">
            <w:pPr>
              <w:pStyle w:val="Tabletext"/>
              <w:jc w:val="center"/>
              <w:rPr>
                <w:lang w:eastAsia="ko-KR"/>
              </w:rPr>
            </w:pPr>
            <w:r w:rsidRPr="001D24B6">
              <w:rPr>
                <w:lang w:eastAsia="ko-KR"/>
              </w:rPr>
              <w:t xml:space="preserve">Control </w:t>
            </w:r>
            <w:r w:rsidR="00424975" w:rsidRPr="001D24B6">
              <w:rPr>
                <w:lang w:eastAsia="ko-KR"/>
              </w:rPr>
              <w:t>channel</w:t>
            </w:r>
          </w:p>
        </w:tc>
      </w:tr>
      <w:tr w:rsidR="00464438" w:rsidRPr="001D24B6" w14:paraId="42E427AD"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6915CE1E" w14:textId="77777777" w:rsidR="00464438" w:rsidRPr="001D24B6" w:rsidRDefault="00464438" w:rsidP="00297D5A">
            <w:pPr>
              <w:pStyle w:val="Tabletext"/>
              <w:jc w:val="center"/>
              <w:rPr>
                <w:lang w:eastAsia="ko-KR"/>
              </w:rPr>
            </w:pPr>
            <w:r w:rsidRPr="001D24B6">
              <w:rPr>
                <w:lang w:eastAsia="ko-KR"/>
              </w:rPr>
              <w:t>6</w:t>
            </w:r>
          </w:p>
        </w:tc>
        <w:tc>
          <w:tcPr>
            <w:tcW w:w="2409" w:type="dxa"/>
            <w:tcBorders>
              <w:top w:val="single" w:sz="6" w:space="0" w:color="000000"/>
              <w:left w:val="single" w:sz="6" w:space="0" w:color="000000"/>
              <w:bottom w:val="single" w:sz="6" w:space="0" w:color="000000"/>
              <w:right w:val="single" w:sz="6" w:space="0" w:color="000000"/>
            </w:tcBorders>
            <w:vAlign w:val="center"/>
          </w:tcPr>
          <w:p w14:paraId="049131E3" w14:textId="77777777" w:rsidR="00464438" w:rsidRPr="001D24B6" w:rsidRDefault="00464438" w:rsidP="00297D5A">
            <w:pPr>
              <w:pStyle w:val="Tabletext"/>
              <w:jc w:val="center"/>
              <w:rPr>
                <w:lang w:eastAsia="ko-KR"/>
              </w:rPr>
            </w:pPr>
            <w:r w:rsidRPr="001D24B6">
              <w:rPr>
                <w:lang w:eastAsia="ko-KR"/>
              </w:rPr>
              <w:t>5 905-5 915</w:t>
            </w:r>
          </w:p>
        </w:tc>
        <w:tc>
          <w:tcPr>
            <w:tcW w:w="2268" w:type="dxa"/>
            <w:tcBorders>
              <w:top w:val="single" w:sz="6" w:space="0" w:color="000000"/>
              <w:left w:val="single" w:sz="6" w:space="0" w:color="000000"/>
              <w:bottom w:val="single" w:sz="6" w:space="0" w:color="000000"/>
              <w:right w:val="single" w:sz="6" w:space="0" w:color="000000"/>
            </w:tcBorders>
          </w:tcPr>
          <w:p w14:paraId="513394E6" w14:textId="266085A5" w:rsidR="00464438" w:rsidRPr="001D24B6" w:rsidRDefault="00464438" w:rsidP="00297D5A">
            <w:pPr>
              <w:pStyle w:val="Tabletext"/>
              <w:jc w:val="center"/>
            </w:pPr>
            <w:r w:rsidRPr="001D24B6">
              <w:rPr>
                <w:lang w:eastAsia="ko-KR"/>
              </w:rPr>
              <w:t xml:space="preserve">Service </w:t>
            </w:r>
            <w:r w:rsidR="00424975" w:rsidRPr="001D24B6">
              <w:rPr>
                <w:lang w:eastAsia="ko-KR"/>
              </w:rPr>
              <w:t>channel</w:t>
            </w:r>
          </w:p>
        </w:tc>
      </w:tr>
      <w:tr w:rsidR="00464438" w:rsidRPr="001D24B6" w14:paraId="2992AF31" w14:textId="77777777" w:rsidTr="00297D5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45D2F5CF" w14:textId="77777777" w:rsidR="00464438" w:rsidRPr="001D24B6" w:rsidRDefault="00464438" w:rsidP="00297D5A">
            <w:pPr>
              <w:pStyle w:val="Tabletext"/>
              <w:jc w:val="center"/>
              <w:rPr>
                <w:lang w:eastAsia="ko-KR"/>
              </w:rPr>
            </w:pPr>
            <w:r w:rsidRPr="001D24B6">
              <w:rPr>
                <w:lang w:eastAsia="ko-KR"/>
              </w:rPr>
              <w:t>7</w:t>
            </w:r>
          </w:p>
        </w:tc>
        <w:tc>
          <w:tcPr>
            <w:tcW w:w="2409" w:type="dxa"/>
            <w:tcBorders>
              <w:top w:val="single" w:sz="6" w:space="0" w:color="000000"/>
              <w:left w:val="single" w:sz="6" w:space="0" w:color="000000"/>
              <w:bottom w:val="single" w:sz="6" w:space="0" w:color="000000"/>
              <w:right w:val="single" w:sz="6" w:space="0" w:color="000000"/>
            </w:tcBorders>
            <w:vAlign w:val="center"/>
          </w:tcPr>
          <w:p w14:paraId="492CD77F" w14:textId="77777777" w:rsidR="00464438" w:rsidRPr="001D24B6" w:rsidRDefault="00464438" w:rsidP="00297D5A">
            <w:pPr>
              <w:pStyle w:val="Tabletext"/>
              <w:jc w:val="center"/>
              <w:rPr>
                <w:rFonts w:eastAsia="BatangChe"/>
                <w:szCs w:val="24"/>
              </w:rPr>
            </w:pPr>
            <w:r w:rsidRPr="001D24B6">
              <w:rPr>
                <w:lang w:eastAsia="ko-KR"/>
              </w:rPr>
              <w:t>5 915-5 925</w:t>
            </w:r>
          </w:p>
        </w:tc>
        <w:tc>
          <w:tcPr>
            <w:tcW w:w="2268" w:type="dxa"/>
            <w:tcBorders>
              <w:top w:val="single" w:sz="6" w:space="0" w:color="000000"/>
              <w:left w:val="single" w:sz="6" w:space="0" w:color="000000"/>
              <w:bottom w:val="single" w:sz="6" w:space="0" w:color="000000"/>
              <w:right w:val="single" w:sz="6" w:space="0" w:color="000000"/>
            </w:tcBorders>
          </w:tcPr>
          <w:p w14:paraId="5854000C" w14:textId="31DB64D6" w:rsidR="00464438" w:rsidRPr="001D24B6" w:rsidRDefault="00464438" w:rsidP="00297D5A">
            <w:pPr>
              <w:pStyle w:val="Tabletext"/>
              <w:jc w:val="center"/>
            </w:pPr>
            <w:r w:rsidRPr="001D24B6">
              <w:rPr>
                <w:lang w:eastAsia="ko-KR"/>
              </w:rPr>
              <w:t xml:space="preserve">Service </w:t>
            </w:r>
            <w:r w:rsidR="00424975" w:rsidRPr="001D24B6">
              <w:rPr>
                <w:lang w:eastAsia="ko-KR"/>
              </w:rPr>
              <w:t>channel</w:t>
            </w:r>
          </w:p>
        </w:tc>
      </w:tr>
    </w:tbl>
    <w:p w14:paraId="7B57B4AD" w14:textId="77777777" w:rsidR="00464438" w:rsidRPr="001D24B6" w:rsidRDefault="00464438" w:rsidP="00651B6E">
      <w:pPr>
        <w:pStyle w:val="Tablefin"/>
      </w:pPr>
      <w:bookmarkStart w:id="40" w:name="_Toc514254839"/>
    </w:p>
    <w:p w14:paraId="6EBB54CB" w14:textId="77777777" w:rsidR="00464438" w:rsidRPr="001D24B6" w:rsidRDefault="00464438" w:rsidP="00651B6E">
      <w:pPr>
        <w:pStyle w:val="Heading2"/>
      </w:pPr>
      <w:bookmarkStart w:id="41" w:name="_Toc529991737"/>
      <w:bookmarkStart w:id="42" w:name="_Toc120620912"/>
      <w:bookmarkStart w:id="43" w:name="_Toc147303623"/>
      <w:r w:rsidRPr="001D24B6">
        <w:rPr>
          <w:lang w:eastAsia="ja-JP"/>
        </w:rPr>
        <w:t>3.3</w:t>
      </w:r>
      <w:r w:rsidRPr="001D24B6">
        <w:rPr>
          <w:lang w:eastAsia="ja-JP"/>
        </w:rPr>
        <w:tab/>
        <w:t xml:space="preserve">Frequency use in </w:t>
      </w:r>
      <w:r w:rsidRPr="001D24B6">
        <w:t>Singapore</w:t>
      </w:r>
      <w:bookmarkEnd w:id="40"/>
      <w:bookmarkEnd w:id="41"/>
      <w:bookmarkEnd w:id="42"/>
      <w:bookmarkEnd w:id="43"/>
    </w:p>
    <w:p w14:paraId="23B0EB01" w14:textId="48B822CF" w:rsidR="00464438" w:rsidRPr="001D24B6" w:rsidRDefault="00464438" w:rsidP="00FB556E">
      <w:pPr>
        <w:rPr>
          <w:rFonts w:eastAsia="BatangChe"/>
          <w:snapToGrid w:val="0"/>
        </w:rPr>
      </w:pPr>
      <w:r w:rsidRPr="001D24B6">
        <w:rPr>
          <w:rFonts w:eastAsia="BatangChe"/>
          <w:snapToGrid w:val="0"/>
        </w:rPr>
        <w:t>The frequency band 5 855-5 925 MHz for ITS applications is split into channels with a bandwidth of 10 MHz per channel. The ITS service channelling arrangements and the RF transmit power could be found in Table 7.</w:t>
      </w:r>
    </w:p>
    <w:p w14:paraId="5534578F" w14:textId="77777777" w:rsidR="00464438" w:rsidRPr="001D24B6" w:rsidRDefault="00464438" w:rsidP="00651B6E">
      <w:pPr>
        <w:pStyle w:val="TableNo"/>
      </w:pPr>
      <w:r w:rsidRPr="001D24B6">
        <w:t>TABLE 7</w:t>
      </w:r>
    </w:p>
    <w:p w14:paraId="540FECC1" w14:textId="77777777" w:rsidR="00464438" w:rsidRPr="001D24B6" w:rsidRDefault="00464438" w:rsidP="00651B6E">
      <w:pPr>
        <w:pStyle w:val="Tabletitle"/>
      </w:pPr>
      <w:r w:rsidRPr="001D24B6">
        <w:t>Singapore ITS service channel allocation</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063"/>
        <w:gridCol w:w="2795"/>
        <w:gridCol w:w="2684"/>
      </w:tblGrid>
      <w:tr w:rsidR="00464438" w:rsidRPr="001D24B6" w14:paraId="455BB6B0" w14:textId="77777777" w:rsidTr="00297D5A">
        <w:trPr>
          <w:jc w:val="center"/>
        </w:trPr>
        <w:tc>
          <w:tcPr>
            <w:tcW w:w="4063" w:type="dxa"/>
            <w:tcBorders>
              <w:top w:val="single" w:sz="4" w:space="0" w:color="auto"/>
              <w:left w:val="single" w:sz="4" w:space="0" w:color="auto"/>
              <w:bottom w:val="single" w:sz="4" w:space="0" w:color="auto"/>
              <w:right w:val="single" w:sz="4" w:space="0" w:color="auto"/>
            </w:tcBorders>
            <w:vAlign w:val="center"/>
          </w:tcPr>
          <w:p w14:paraId="01FA7FDC" w14:textId="77777777" w:rsidR="00464438" w:rsidRPr="001D24B6" w:rsidRDefault="00464438" w:rsidP="00297D5A">
            <w:pPr>
              <w:pStyle w:val="Tablehead"/>
            </w:pPr>
          </w:p>
        </w:tc>
        <w:tc>
          <w:tcPr>
            <w:tcW w:w="2795" w:type="dxa"/>
            <w:tcBorders>
              <w:top w:val="single" w:sz="4" w:space="0" w:color="auto"/>
              <w:left w:val="single" w:sz="4" w:space="0" w:color="auto"/>
              <w:bottom w:val="single" w:sz="4" w:space="0" w:color="auto"/>
              <w:right w:val="single" w:sz="4" w:space="0" w:color="auto"/>
            </w:tcBorders>
            <w:vAlign w:val="center"/>
            <w:hideMark/>
          </w:tcPr>
          <w:p w14:paraId="0207C2F0" w14:textId="77777777" w:rsidR="00464438" w:rsidRPr="001D24B6" w:rsidRDefault="00464438" w:rsidP="00297D5A">
            <w:pPr>
              <w:pStyle w:val="Tablehead"/>
            </w:pPr>
            <w:r w:rsidRPr="001D24B6">
              <w:t>Channel type</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ECE2483" w14:textId="77777777" w:rsidR="00464438" w:rsidRPr="001D24B6" w:rsidRDefault="00464438" w:rsidP="00297D5A">
            <w:pPr>
              <w:pStyle w:val="Tablehead"/>
            </w:pPr>
            <w:r w:rsidRPr="001D24B6">
              <w:t xml:space="preserve">Frequency range </w:t>
            </w:r>
            <w:r w:rsidRPr="001D24B6">
              <w:br/>
              <w:t>(MHz)</w:t>
            </w:r>
          </w:p>
        </w:tc>
      </w:tr>
      <w:tr w:rsidR="00464438" w:rsidRPr="001D24B6" w14:paraId="37067290" w14:textId="77777777" w:rsidTr="00297D5A">
        <w:trPr>
          <w:jc w:val="center"/>
        </w:trPr>
        <w:tc>
          <w:tcPr>
            <w:tcW w:w="4063" w:type="dxa"/>
            <w:vMerge w:val="restart"/>
            <w:tcBorders>
              <w:top w:val="single" w:sz="4" w:space="0" w:color="auto"/>
              <w:left w:val="single" w:sz="4" w:space="0" w:color="auto"/>
              <w:bottom w:val="single" w:sz="4" w:space="0" w:color="auto"/>
              <w:right w:val="single" w:sz="4" w:space="0" w:color="auto"/>
            </w:tcBorders>
            <w:hideMark/>
          </w:tcPr>
          <w:p w14:paraId="6A7C4EEF" w14:textId="77777777" w:rsidR="00464438" w:rsidRPr="001D24B6" w:rsidRDefault="00464438" w:rsidP="00297D5A">
            <w:pPr>
              <w:pStyle w:val="Tabletext"/>
              <w:jc w:val="center"/>
            </w:pPr>
            <w:r w:rsidRPr="001D24B6">
              <w:t>Non-Safety related</w:t>
            </w:r>
          </w:p>
        </w:tc>
        <w:tc>
          <w:tcPr>
            <w:tcW w:w="2795" w:type="dxa"/>
            <w:tcBorders>
              <w:top w:val="single" w:sz="4" w:space="0" w:color="auto"/>
              <w:left w:val="single" w:sz="4" w:space="0" w:color="auto"/>
              <w:bottom w:val="single" w:sz="4" w:space="0" w:color="auto"/>
              <w:right w:val="single" w:sz="4" w:space="0" w:color="auto"/>
            </w:tcBorders>
            <w:hideMark/>
          </w:tcPr>
          <w:p w14:paraId="3DED0E3A" w14:textId="64321CA5" w:rsidR="00464438" w:rsidRPr="001D24B6" w:rsidRDefault="00464438" w:rsidP="00297D5A">
            <w:pPr>
              <w:pStyle w:val="Tabletext"/>
              <w:jc w:val="center"/>
            </w:pPr>
            <w:r w:rsidRPr="001D24B6">
              <w:t xml:space="preserve">Service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4A479405" w14:textId="77777777" w:rsidR="00464438" w:rsidRPr="001D24B6" w:rsidRDefault="00464438" w:rsidP="00297D5A">
            <w:pPr>
              <w:pStyle w:val="Tabletext"/>
              <w:jc w:val="center"/>
            </w:pPr>
            <w:r w:rsidRPr="001D24B6">
              <w:t>5 855 to 5 865</w:t>
            </w:r>
          </w:p>
        </w:tc>
      </w:tr>
      <w:tr w:rsidR="00464438" w:rsidRPr="001D24B6" w14:paraId="1E8014CE" w14:textId="77777777" w:rsidTr="00297D5A">
        <w:trPr>
          <w:jc w:val="center"/>
        </w:trPr>
        <w:tc>
          <w:tcPr>
            <w:tcW w:w="4063" w:type="dxa"/>
            <w:vMerge/>
            <w:tcBorders>
              <w:top w:val="single" w:sz="4" w:space="0" w:color="auto"/>
              <w:left w:val="single" w:sz="4" w:space="0" w:color="auto"/>
              <w:bottom w:val="single" w:sz="4" w:space="0" w:color="auto"/>
              <w:right w:val="single" w:sz="4" w:space="0" w:color="auto"/>
            </w:tcBorders>
            <w:vAlign w:val="center"/>
            <w:hideMark/>
          </w:tcPr>
          <w:p w14:paraId="0D65C3A0" w14:textId="77777777" w:rsidR="00464438" w:rsidRPr="001D24B6" w:rsidRDefault="00464438" w:rsidP="00297D5A">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140E8547" w14:textId="3A07A6A3" w:rsidR="00464438" w:rsidRPr="001D24B6" w:rsidRDefault="00464438" w:rsidP="00297D5A">
            <w:pPr>
              <w:pStyle w:val="Tabletext"/>
              <w:jc w:val="center"/>
            </w:pPr>
            <w:r w:rsidRPr="001D24B6">
              <w:t xml:space="preserve">Service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0C1BB875" w14:textId="77777777" w:rsidR="00464438" w:rsidRPr="001D24B6" w:rsidRDefault="00464438" w:rsidP="00297D5A">
            <w:pPr>
              <w:pStyle w:val="Tabletext"/>
              <w:jc w:val="center"/>
            </w:pPr>
            <w:r w:rsidRPr="001D24B6">
              <w:t>5 865 to 5 875</w:t>
            </w:r>
          </w:p>
        </w:tc>
      </w:tr>
      <w:tr w:rsidR="00464438" w:rsidRPr="001D24B6" w14:paraId="5CB7DCAC" w14:textId="77777777" w:rsidTr="00297D5A">
        <w:trPr>
          <w:jc w:val="center"/>
        </w:trPr>
        <w:tc>
          <w:tcPr>
            <w:tcW w:w="4063" w:type="dxa"/>
            <w:vMerge w:val="restart"/>
            <w:tcBorders>
              <w:top w:val="single" w:sz="4" w:space="0" w:color="auto"/>
              <w:left w:val="single" w:sz="4" w:space="0" w:color="auto"/>
              <w:right w:val="single" w:sz="4" w:space="0" w:color="auto"/>
            </w:tcBorders>
            <w:hideMark/>
          </w:tcPr>
          <w:p w14:paraId="32AAF46F" w14:textId="77777777" w:rsidR="00464438" w:rsidRPr="001D24B6" w:rsidRDefault="00464438" w:rsidP="00297D5A">
            <w:pPr>
              <w:pStyle w:val="Tabletext"/>
              <w:jc w:val="center"/>
            </w:pPr>
            <w:r w:rsidRPr="001D24B6">
              <w:t>Traffic/Safety related</w:t>
            </w:r>
          </w:p>
        </w:tc>
        <w:tc>
          <w:tcPr>
            <w:tcW w:w="2795" w:type="dxa"/>
            <w:tcBorders>
              <w:top w:val="single" w:sz="4" w:space="0" w:color="auto"/>
              <w:left w:val="single" w:sz="4" w:space="0" w:color="auto"/>
              <w:bottom w:val="single" w:sz="4" w:space="0" w:color="auto"/>
              <w:right w:val="single" w:sz="4" w:space="0" w:color="auto"/>
            </w:tcBorders>
            <w:hideMark/>
          </w:tcPr>
          <w:p w14:paraId="637018BE" w14:textId="51063BBB" w:rsidR="00464438" w:rsidRPr="001D24B6" w:rsidRDefault="00464438" w:rsidP="00297D5A">
            <w:pPr>
              <w:pStyle w:val="Tabletext"/>
              <w:jc w:val="center"/>
            </w:pPr>
            <w:r w:rsidRPr="001D24B6">
              <w:t xml:space="preserve">Service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5E7229BB" w14:textId="77777777" w:rsidR="00464438" w:rsidRPr="001D24B6" w:rsidRDefault="00464438" w:rsidP="00297D5A">
            <w:pPr>
              <w:pStyle w:val="Tabletext"/>
              <w:jc w:val="center"/>
            </w:pPr>
            <w:r w:rsidRPr="001D24B6">
              <w:t>5 875 to 5 885</w:t>
            </w:r>
          </w:p>
        </w:tc>
      </w:tr>
      <w:tr w:rsidR="00464438" w:rsidRPr="001D24B6" w14:paraId="10B3FD0F" w14:textId="77777777" w:rsidTr="00297D5A">
        <w:trPr>
          <w:jc w:val="center"/>
        </w:trPr>
        <w:tc>
          <w:tcPr>
            <w:tcW w:w="4063" w:type="dxa"/>
            <w:vMerge/>
            <w:tcBorders>
              <w:left w:val="single" w:sz="4" w:space="0" w:color="auto"/>
              <w:right w:val="single" w:sz="4" w:space="0" w:color="auto"/>
            </w:tcBorders>
            <w:vAlign w:val="center"/>
            <w:hideMark/>
          </w:tcPr>
          <w:p w14:paraId="1499A859" w14:textId="77777777" w:rsidR="00464438" w:rsidRPr="001D24B6" w:rsidRDefault="00464438" w:rsidP="00297D5A">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65DC2D74" w14:textId="2739B6D5" w:rsidR="00464438" w:rsidRPr="001D24B6" w:rsidRDefault="00464438" w:rsidP="00297D5A">
            <w:pPr>
              <w:pStyle w:val="Tabletext"/>
              <w:jc w:val="center"/>
            </w:pPr>
            <w:r w:rsidRPr="001D24B6">
              <w:t xml:space="preserve">Control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4AC8B426" w14:textId="77777777" w:rsidR="00464438" w:rsidRPr="001D24B6" w:rsidRDefault="00464438" w:rsidP="00297D5A">
            <w:pPr>
              <w:pStyle w:val="Tabletext"/>
              <w:jc w:val="center"/>
            </w:pPr>
            <w:r w:rsidRPr="001D24B6">
              <w:t>5 885 to 5 895</w:t>
            </w:r>
          </w:p>
        </w:tc>
      </w:tr>
      <w:tr w:rsidR="00464438" w:rsidRPr="001D24B6" w14:paraId="0A3CEE89" w14:textId="77777777" w:rsidTr="00297D5A">
        <w:trPr>
          <w:jc w:val="center"/>
        </w:trPr>
        <w:tc>
          <w:tcPr>
            <w:tcW w:w="4063" w:type="dxa"/>
            <w:vMerge/>
            <w:tcBorders>
              <w:left w:val="single" w:sz="4" w:space="0" w:color="auto"/>
              <w:right w:val="single" w:sz="4" w:space="0" w:color="auto"/>
            </w:tcBorders>
            <w:vAlign w:val="center"/>
            <w:hideMark/>
          </w:tcPr>
          <w:p w14:paraId="63FFE776" w14:textId="77777777" w:rsidR="00464438" w:rsidRPr="001D24B6" w:rsidRDefault="00464438" w:rsidP="00297D5A">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6B5F90DA" w14:textId="6D55AAD8" w:rsidR="00464438" w:rsidRPr="001D24B6" w:rsidRDefault="00464438" w:rsidP="00297D5A">
            <w:pPr>
              <w:pStyle w:val="Tabletext"/>
              <w:jc w:val="center"/>
            </w:pPr>
            <w:r w:rsidRPr="001D24B6">
              <w:t xml:space="preserve">Service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4C44E61E" w14:textId="77777777" w:rsidR="00464438" w:rsidRPr="001D24B6" w:rsidRDefault="00464438" w:rsidP="00297D5A">
            <w:pPr>
              <w:pStyle w:val="Tabletext"/>
              <w:jc w:val="center"/>
            </w:pPr>
            <w:r w:rsidRPr="001D24B6">
              <w:t>5 895 to 5 905</w:t>
            </w:r>
          </w:p>
        </w:tc>
      </w:tr>
      <w:tr w:rsidR="00464438" w:rsidRPr="001D24B6" w14:paraId="1C5A3860" w14:textId="77777777" w:rsidTr="00297D5A">
        <w:trPr>
          <w:jc w:val="center"/>
        </w:trPr>
        <w:tc>
          <w:tcPr>
            <w:tcW w:w="4063" w:type="dxa"/>
            <w:vMerge/>
            <w:tcBorders>
              <w:left w:val="single" w:sz="4" w:space="0" w:color="auto"/>
              <w:right w:val="single" w:sz="4" w:space="0" w:color="auto"/>
            </w:tcBorders>
            <w:hideMark/>
          </w:tcPr>
          <w:p w14:paraId="5E97A4E1" w14:textId="77777777" w:rsidR="00464438" w:rsidRPr="001D24B6" w:rsidRDefault="00464438" w:rsidP="00297D5A">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7A9D44E5" w14:textId="0AAF155A" w:rsidR="00464438" w:rsidRPr="001D24B6" w:rsidRDefault="00464438" w:rsidP="00297D5A">
            <w:pPr>
              <w:pStyle w:val="Tabletext"/>
              <w:jc w:val="center"/>
            </w:pPr>
            <w:r w:rsidRPr="001D24B6">
              <w:t xml:space="preserve">Service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7E68FA60" w14:textId="77777777" w:rsidR="00464438" w:rsidRPr="001D24B6" w:rsidRDefault="00464438" w:rsidP="00297D5A">
            <w:pPr>
              <w:pStyle w:val="Tabletext"/>
              <w:jc w:val="center"/>
            </w:pPr>
            <w:r w:rsidRPr="001D24B6">
              <w:t>5 905 to 5 915</w:t>
            </w:r>
          </w:p>
        </w:tc>
      </w:tr>
      <w:tr w:rsidR="00464438" w:rsidRPr="001D24B6" w14:paraId="44C60477" w14:textId="77777777" w:rsidTr="00297D5A">
        <w:trPr>
          <w:jc w:val="center"/>
        </w:trPr>
        <w:tc>
          <w:tcPr>
            <w:tcW w:w="4063" w:type="dxa"/>
            <w:vMerge/>
            <w:tcBorders>
              <w:left w:val="single" w:sz="4" w:space="0" w:color="auto"/>
              <w:bottom w:val="single" w:sz="4" w:space="0" w:color="auto"/>
              <w:right w:val="single" w:sz="4" w:space="0" w:color="auto"/>
            </w:tcBorders>
            <w:vAlign w:val="center"/>
            <w:hideMark/>
          </w:tcPr>
          <w:p w14:paraId="4C318C52" w14:textId="77777777" w:rsidR="00464438" w:rsidRPr="001D24B6" w:rsidRDefault="00464438" w:rsidP="00297D5A">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23E110A4" w14:textId="20092D26" w:rsidR="00464438" w:rsidRPr="001D24B6" w:rsidRDefault="00464438" w:rsidP="00297D5A">
            <w:pPr>
              <w:pStyle w:val="Tabletext"/>
              <w:jc w:val="center"/>
            </w:pPr>
            <w:r w:rsidRPr="001D24B6">
              <w:t xml:space="preserve">Service </w:t>
            </w:r>
            <w:r w:rsidR="00424975" w:rsidRPr="001D24B6">
              <w:t>channel</w:t>
            </w:r>
          </w:p>
        </w:tc>
        <w:tc>
          <w:tcPr>
            <w:tcW w:w="2684" w:type="dxa"/>
            <w:tcBorders>
              <w:top w:val="single" w:sz="4" w:space="0" w:color="auto"/>
              <w:left w:val="single" w:sz="4" w:space="0" w:color="auto"/>
              <w:bottom w:val="single" w:sz="4" w:space="0" w:color="auto"/>
              <w:right w:val="single" w:sz="4" w:space="0" w:color="auto"/>
            </w:tcBorders>
            <w:hideMark/>
          </w:tcPr>
          <w:p w14:paraId="0C4817CE" w14:textId="77777777" w:rsidR="00464438" w:rsidRPr="001D24B6" w:rsidRDefault="00464438" w:rsidP="00297D5A">
            <w:pPr>
              <w:pStyle w:val="Tabletext"/>
              <w:jc w:val="center"/>
            </w:pPr>
            <w:r w:rsidRPr="001D24B6">
              <w:t>5 915 to 5 925</w:t>
            </w:r>
          </w:p>
        </w:tc>
      </w:tr>
    </w:tbl>
    <w:p w14:paraId="7BA61FC5" w14:textId="77777777" w:rsidR="00464438" w:rsidRPr="001D24B6" w:rsidRDefault="00464438" w:rsidP="00651B6E">
      <w:pPr>
        <w:pStyle w:val="Tablefin"/>
      </w:pPr>
    </w:p>
    <w:p w14:paraId="2F1DC0E7" w14:textId="77777777" w:rsidR="00464438" w:rsidRPr="001D24B6" w:rsidRDefault="00464438" w:rsidP="00931761">
      <w:r w:rsidRPr="001D24B6">
        <w:t xml:space="preserve">Typical RF power limit of up to 33 dBm </w:t>
      </w:r>
      <w:proofErr w:type="spellStart"/>
      <w:r w:rsidRPr="001D24B6">
        <w:t>e.i.r.p</w:t>
      </w:r>
      <w:proofErr w:type="spellEnd"/>
      <w:r w:rsidRPr="001D24B6">
        <w:t xml:space="preserve">. for traffic/safety related channels and 20 dBm </w:t>
      </w:r>
      <w:proofErr w:type="spellStart"/>
      <w:r w:rsidRPr="001D24B6">
        <w:t>e.i.r.p</w:t>
      </w:r>
      <w:proofErr w:type="spellEnd"/>
      <w:r w:rsidRPr="001D24B6">
        <w:t>. for non-safety related channels.</w:t>
      </w:r>
      <w:bookmarkEnd w:id="38"/>
    </w:p>
    <w:p w14:paraId="237E2CF8" w14:textId="77777777" w:rsidR="00464438" w:rsidRPr="001D24B6" w:rsidRDefault="00464438" w:rsidP="00651B6E">
      <w:pPr>
        <w:pStyle w:val="Heading2"/>
      </w:pPr>
      <w:bookmarkStart w:id="44" w:name="_Toc529991738"/>
      <w:bookmarkStart w:id="45" w:name="_Toc120620913"/>
      <w:bookmarkStart w:id="46" w:name="_Toc147303624"/>
      <w:r w:rsidRPr="001D24B6">
        <w:rPr>
          <w:lang w:eastAsia="ja-JP"/>
        </w:rPr>
        <w:lastRenderedPageBreak/>
        <w:t>3.4</w:t>
      </w:r>
      <w:r w:rsidRPr="001D24B6">
        <w:rPr>
          <w:lang w:eastAsia="ja-JP"/>
        </w:rPr>
        <w:tab/>
        <w:t xml:space="preserve">Frequency use in </w:t>
      </w:r>
      <w:r w:rsidRPr="001D24B6">
        <w:t>Australia</w:t>
      </w:r>
      <w:bookmarkEnd w:id="44"/>
      <w:bookmarkEnd w:id="45"/>
      <w:bookmarkEnd w:id="46"/>
    </w:p>
    <w:p w14:paraId="3A8FF1C6" w14:textId="77777777" w:rsidR="00464438" w:rsidRPr="001D24B6" w:rsidRDefault="00464438" w:rsidP="00FB556E">
      <w:pPr>
        <w:rPr>
          <w:lang w:eastAsia="ko-KR"/>
        </w:rPr>
      </w:pPr>
      <w:r w:rsidRPr="001D24B6">
        <w:rPr>
          <w:lang w:eastAsia="ko-KR"/>
        </w:rPr>
        <w:t>The frequency band 5 855-5 925 MHz has been made available for use by ITS systems. Individual licensing is not required. However, the following conditions are to be met:</w:t>
      </w:r>
    </w:p>
    <w:p w14:paraId="3F3AFDF0" w14:textId="77777777" w:rsidR="00464438" w:rsidRPr="001D24B6" w:rsidRDefault="00464438" w:rsidP="00651B6E">
      <w:pPr>
        <w:pStyle w:val="enumlev1"/>
      </w:pPr>
      <w:r w:rsidRPr="001D24B6">
        <w:t>a)</w:t>
      </w:r>
      <w:r w:rsidRPr="001D24B6">
        <w:tab/>
        <w:t>the ITS station must be operated:</w:t>
      </w:r>
    </w:p>
    <w:p w14:paraId="552CC531" w14:textId="77777777" w:rsidR="00464438" w:rsidRPr="001D24B6" w:rsidRDefault="00464438" w:rsidP="00651B6E">
      <w:pPr>
        <w:pStyle w:val="enumlev2"/>
      </w:pPr>
      <w:proofErr w:type="spellStart"/>
      <w:r w:rsidRPr="001D24B6">
        <w:t>i</w:t>
      </w:r>
      <w:proofErr w:type="spellEnd"/>
      <w:r w:rsidRPr="001D24B6">
        <w:t>)</w:t>
      </w:r>
      <w:r w:rsidRPr="001D24B6">
        <w:tab/>
        <w:t>on a frequency, or within a range of frequencies, greater than 5 855 MHz and not greater than 5 925 MHz; and</w:t>
      </w:r>
    </w:p>
    <w:p w14:paraId="3195BCF2" w14:textId="77777777" w:rsidR="00464438" w:rsidRPr="001D24B6" w:rsidRDefault="00464438" w:rsidP="00651B6E">
      <w:pPr>
        <w:pStyle w:val="enumlev2"/>
      </w:pPr>
      <w:r w:rsidRPr="001D24B6">
        <w:t>ii)</w:t>
      </w:r>
      <w:r w:rsidRPr="001D24B6">
        <w:tab/>
        <w:t xml:space="preserve">at a radiated power that does not exceed a maximum </w:t>
      </w:r>
      <w:proofErr w:type="spellStart"/>
      <w:r w:rsidRPr="001D24B6">
        <w:t>e.i.r.p</w:t>
      </w:r>
      <w:proofErr w:type="spellEnd"/>
      <w:r w:rsidRPr="001D24B6">
        <w:t>. of 23 dBm/MHz;</w:t>
      </w:r>
    </w:p>
    <w:p w14:paraId="587E6914" w14:textId="77777777" w:rsidR="00464438" w:rsidRPr="001D24B6" w:rsidRDefault="00464438" w:rsidP="00651B6E">
      <w:pPr>
        <w:pStyle w:val="enumlev1"/>
      </w:pPr>
      <w:r w:rsidRPr="001D24B6">
        <w:t>b)</w:t>
      </w:r>
      <w:r w:rsidRPr="001D24B6">
        <w:tab/>
        <w:t>the ITS station must not be operated within 70 km of the Murchison Radioastronomy Observatory located at latitude 26º 42’ 15” south, longitude 116º 39’ 32” east;</w:t>
      </w:r>
    </w:p>
    <w:p w14:paraId="049203F4" w14:textId="77777777" w:rsidR="00464438" w:rsidRPr="001D24B6" w:rsidRDefault="00464438" w:rsidP="00651B6E">
      <w:pPr>
        <w:pStyle w:val="enumlev1"/>
      </w:pPr>
      <w:r w:rsidRPr="001D24B6">
        <w:t>c)</w:t>
      </w:r>
      <w:r w:rsidRPr="001D24B6">
        <w:tab/>
        <w:t>the ITS station must comply with ETSI Standard EN 302 571; and</w:t>
      </w:r>
    </w:p>
    <w:p w14:paraId="70AE5964" w14:textId="77777777" w:rsidR="00464438" w:rsidRPr="001D24B6" w:rsidRDefault="00464438" w:rsidP="00651B6E">
      <w:pPr>
        <w:pStyle w:val="enumlev1"/>
      </w:pPr>
      <w:r w:rsidRPr="001D24B6">
        <w:t>d)</w:t>
      </w:r>
      <w:r w:rsidRPr="001D24B6">
        <w:tab/>
        <w:t xml:space="preserve">other conditions concerned with general public exposure to electromagnetic radiation as defined in the </w:t>
      </w:r>
      <w:r w:rsidRPr="001D24B6">
        <w:rPr>
          <w:rFonts w:asciiTheme="majorBidi" w:hAnsiTheme="majorBidi" w:cstheme="majorBidi"/>
          <w:iCs/>
          <w:spacing w:val="-4"/>
          <w:szCs w:val="24"/>
        </w:rPr>
        <w:t>Radiocommunications (Intelligent Transport Systems) Class Licence 2017</w:t>
      </w:r>
      <w:r w:rsidRPr="001D24B6">
        <w:t>.</w:t>
      </w:r>
    </w:p>
    <w:p w14:paraId="6BA8428B" w14:textId="77777777" w:rsidR="00464438" w:rsidRPr="001D24B6" w:rsidRDefault="00464438" w:rsidP="00651B6E">
      <w:pPr>
        <w:pStyle w:val="Heading2"/>
        <w:rPr>
          <w:lang w:eastAsia="ja-JP"/>
        </w:rPr>
      </w:pPr>
      <w:bookmarkStart w:id="47" w:name="_Toc529991739"/>
      <w:bookmarkStart w:id="48" w:name="_Toc120620914"/>
      <w:bookmarkStart w:id="49" w:name="_Toc147303625"/>
      <w:r w:rsidRPr="001D24B6">
        <w:rPr>
          <w:lang w:eastAsia="ja-JP"/>
        </w:rPr>
        <w:t>3.5</w:t>
      </w:r>
      <w:r w:rsidRPr="001D24B6">
        <w:rPr>
          <w:lang w:eastAsia="ja-JP"/>
        </w:rPr>
        <w:tab/>
        <w:t>Frequency use in China</w:t>
      </w:r>
      <w:bookmarkEnd w:id="47"/>
      <w:bookmarkEnd w:id="48"/>
      <w:bookmarkEnd w:id="49"/>
    </w:p>
    <w:p w14:paraId="310DBA05" w14:textId="29ECA03F" w:rsidR="00464438" w:rsidRDefault="00464438" w:rsidP="00FB556E">
      <w:pPr>
        <w:rPr>
          <w:lang w:eastAsia="ko-KR"/>
        </w:rPr>
      </w:pPr>
      <w:r w:rsidRPr="001D24B6">
        <w:rPr>
          <w:lang w:eastAsia="ko-KR"/>
        </w:rPr>
        <w:t xml:space="preserve">In 2018, the Chinese administration released the frequency planning for Internet of Vehicles (Intelligent </w:t>
      </w:r>
      <w:r w:rsidR="00414559">
        <w:rPr>
          <w:lang w:eastAsia="ko-KR"/>
        </w:rPr>
        <w:t>and</w:t>
      </w:r>
      <w:r w:rsidRPr="001D24B6">
        <w:rPr>
          <w:lang w:eastAsia="ko-KR"/>
        </w:rPr>
        <w:t xml:space="preserve"> Connected Vehicle), the band of 5 905-5 925 MHz (20 MHz) has been made available as one channel for direct link communication (V2V, V2I, and V2P) for LTE-V2X based technologies. This spectrum planning provides technical conditions for LTE-V2X equipment. The frequency and station licensing are required for </w:t>
      </w:r>
      <w:proofErr w:type="gramStart"/>
      <w:r w:rsidRPr="001D24B6">
        <w:rPr>
          <w:lang w:eastAsia="ko-KR"/>
        </w:rPr>
        <w:t>road side</w:t>
      </w:r>
      <w:proofErr w:type="gramEnd"/>
      <w:r w:rsidRPr="001D24B6">
        <w:rPr>
          <w:lang w:eastAsia="ko-KR"/>
        </w:rPr>
        <w:t xml:space="preserve"> unit (RSU) implementation, but the Chinese administration shall exempt on board unit (OBU) and ITS portable radio equipment from frequency and station licensing. In addition, this regulation also provides interference coordination conditions to protect incumbent services in the same band and adjacent spectrum bands.</w:t>
      </w:r>
    </w:p>
    <w:p w14:paraId="2BB79FC1" w14:textId="77777777" w:rsidR="001A681E" w:rsidRDefault="001A681E" w:rsidP="001A681E"/>
    <w:p w14:paraId="2CF4DAD0" w14:textId="77777777" w:rsidR="001A681E" w:rsidRPr="00BF487A" w:rsidRDefault="001A681E" w:rsidP="001A681E">
      <w:pPr>
        <w:pStyle w:val="Line"/>
      </w:pPr>
    </w:p>
    <w:sectPr w:rsidR="001A681E" w:rsidRPr="00BF487A" w:rsidSect="001811AD">
      <w:headerReference w:type="default" r:id="rId28"/>
      <w:footerReference w:type="default" r:id="rId29"/>
      <w:headerReference w:type="first" r:id="rId30"/>
      <w:footerReference w:type="first" r:id="rId31"/>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73C1" w14:textId="77777777" w:rsidR="00543D26" w:rsidRDefault="00543D26">
      <w:r>
        <w:separator/>
      </w:r>
    </w:p>
  </w:endnote>
  <w:endnote w:type="continuationSeparator" w:id="0">
    <w:p w14:paraId="427D9374" w14:textId="77777777" w:rsidR="00543D26" w:rsidRDefault="0054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C418" w14:textId="77777777" w:rsidR="009817B1" w:rsidRDefault="00981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DD95" w14:textId="77777777" w:rsidR="002B311E" w:rsidRDefault="002B311E">
    <w:pPr>
      <w:pStyle w:val="Footer"/>
    </w:pPr>
    <w:r>
      <w:drawing>
        <wp:anchor distT="0" distB="0" distL="0" distR="0" simplePos="0" relativeHeight="251659264" behindDoc="0" locked="0" layoutInCell="1" allowOverlap="1" wp14:anchorId="65F2DF27" wp14:editId="3167C7A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A1DF" w14:textId="77777777" w:rsidR="009817B1" w:rsidRDefault="00981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2646" w14:textId="225893C8" w:rsidR="002B311E" w:rsidRDefault="002B31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07F" w14:textId="4043CB97" w:rsidR="00FA124A" w:rsidRPr="002D189F" w:rsidRDefault="00FA124A" w:rsidP="002D18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3AB7" w14:textId="6629BF74" w:rsidR="00FA124A" w:rsidRPr="009817B1" w:rsidRDefault="00BB3F4E" w:rsidP="00E6257C">
    <w:pPr>
      <w:pStyle w:val="Footer"/>
      <w:rPr>
        <w:lang w:val="fr-CH"/>
      </w:rPr>
    </w:pPr>
    <w:r>
      <w:fldChar w:fldCharType="begin"/>
    </w:r>
    <w:r w:rsidRPr="009817B1">
      <w:rPr>
        <w:lang w:val="fr-CH"/>
      </w:rPr>
      <w:instrText xml:space="preserve"> FILENAME \p \* MERGEFORMAT </w:instrText>
    </w:r>
    <w:r>
      <w:fldChar w:fldCharType="separate"/>
    </w:r>
    <w:r w:rsidR="009817B1" w:rsidRPr="009817B1">
      <w:rPr>
        <w:lang w:val="fr-CH"/>
      </w:rPr>
      <w:t>P:\QPUB\BR\RAPPORT\M\2444-1\M2444-1E.docx</w:t>
    </w:r>
    <w:r>
      <w:fldChar w:fldCharType="end"/>
    </w:r>
    <w:r w:rsidR="00E6257C" w:rsidRPr="009817B1">
      <w:rPr>
        <w:lang w:val="fr-CH"/>
      </w:rPr>
      <w:t xml:space="preserve"> ( )</w:t>
    </w:r>
    <w:r w:rsidR="00FA124A" w:rsidRPr="009817B1">
      <w:rPr>
        <w:lang w:val="fr-CH"/>
      </w:rPr>
      <w:tab/>
    </w:r>
    <w:r w:rsidR="00D02712">
      <w:fldChar w:fldCharType="begin"/>
    </w:r>
    <w:r w:rsidR="00FA124A">
      <w:instrText xml:space="preserve"> savedate \@ dd.MM.yy </w:instrText>
    </w:r>
    <w:r w:rsidR="00D02712">
      <w:fldChar w:fldCharType="separate"/>
    </w:r>
    <w:r w:rsidR="0006784A">
      <w:t>01.11.23</w:t>
    </w:r>
    <w:r w:rsidR="00D02712">
      <w:fldChar w:fldCharType="end"/>
    </w:r>
    <w:r w:rsidR="00FA124A" w:rsidRPr="009817B1">
      <w:rPr>
        <w:lang w:val="fr-CH"/>
      </w:rPr>
      <w:tab/>
    </w:r>
    <w:r w:rsidR="00D02712">
      <w:fldChar w:fldCharType="begin"/>
    </w:r>
    <w:r w:rsidR="00FA124A">
      <w:instrText xml:space="preserve"> printdate \@ dd.MM.yy </w:instrText>
    </w:r>
    <w:r w:rsidR="00D02712">
      <w:fldChar w:fldCharType="separate"/>
    </w:r>
    <w:r w:rsidR="009817B1">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5F2A" w14:textId="77777777" w:rsidR="00543D26" w:rsidRDefault="00543D26">
      <w:r>
        <w:t>____________________</w:t>
      </w:r>
    </w:p>
  </w:footnote>
  <w:footnote w:type="continuationSeparator" w:id="0">
    <w:p w14:paraId="57D9A846" w14:textId="77777777" w:rsidR="00543D26" w:rsidRDefault="00543D26">
      <w:r>
        <w:continuationSeparator/>
      </w:r>
    </w:p>
  </w:footnote>
  <w:footnote w:id="1">
    <w:p w14:paraId="3C682BE2" w14:textId="77777777" w:rsidR="00464438" w:rsidRPr="00682954" w:rsidRDefault="00464438" w:rsidP="00651B6E">
      <w:pPr>
        <w:pStyle w:val="FootnoteText"/>
        <w:tabs>
          <w:tab w:val="left" w:pos="5355"/>
        </w:tabs>
        <w:rPr>
          <w:rFonts w:asciiTheme="majorBidi" w:hAnsiTheme="majorBidi" w:cstheme="majorBidi"/>
        </w:rPr>
      </w:pPr>
      <w:r w:rsidRPr="00682954">
        <w:rPr>
          <w:rStyle w:val="FootnoteReference"/>
          <w:rFonts w:asciiTheme="majorBidi" w:hAnsiTheme="majorBidi" w:cstheme="majorBidi"/>
        </w:rPr>
        <w:footnoteRef/>
      </w:r>
      <w:r w:rsidRPr="00682954">
        <w:rPr>
          <w:rFonts w:asciiTheme="majorBidi" w:hAnsiTheme="majorBidi" w:cstheme="majorBidi"/>
        </w:rPr>
        <w:tab/>
      </w:r>
      <w:hyperlink r:id="rId1" w:history="1">
        <w:r w:rsidRPr="00682954">
          <w:rPr>
            <w:rStyle w:val="Hyperlink"/>
            <w:rFonts w:asciiTheme="majorBidi" w:hAnsiTheme="majorBidi" w:cstheme="majorBidi"/>
            <w:szCs w:val="24"/>
          </w:rPr>
          <w:t>https://www.c-roads.eu/platform.html</w:t>
        </w:r>
      </w:hyperlink>
    </w:p>
  </w:footnote>
  <w:footnote w:id="2">
    <w:p w14:paraId="03684543" w14:textId="77777777" w:rsidR="00464438" w:rsidRPr="004E493E" w:rsidRDefault="00464438" w:rsidP="00651B6E">
      <w:pPr>
        <w:pStyle w:val="FootnoteText"/>
        <w:rPr>
          <w:rFonts w:asciiTheme="majorBidi" w:hAnsiTheme="majorBidi" w:cstheme="majorBidi"/>
          <w:color w:val="0000FF"/>
          <w:szCs w:val="24"/>
          <w:u w:val="single"/>
        </w:rPr>
      </w:pPr>
      <w:r w:rsidRPr="00682954">
        <w:rPr>
          <w:rStyle w:val="FootnoteReference"/>
          <w:rFonts w:asciiTheme="majorBidi" w:hAnsiTheme="majorBidi" w:cstheme="majorBidi"/>
        </w:rPr>
        <w:footnoteRef/>
      </w:r>
      <w:r w:rsidRPr="00682954">
        <w:rPr>
          <w:rFonts w:asciiTheme="majorBidi" w:hAnsiTheme="majorBidi" w:cstheme="majorBidi"/>
        </w:rPr>
        <w:tab/>
      </w:r>
      <w:hyperlink r:id="rId2" w:history="1">
        <w:r w:rsidRPr="00BA2BA8">
          <w:rPr>
            <w:rStyle w:val="Hyperlink"/>
            <w:rFonts w:asciiTheme="majorBidi" w:hAnsiTheme="majorBidi" w:cstheme="majorBidi"/>
            <w:szCs w:val="24"/>
          </w:rPr>
          <w:t>https://www.volkswagenag.com/en/news/2017/06/pwlan.html#</w:t>
        </w:r>
      </w:hyperlink>
    </w:p>
  </w:footnote>
  <w:footnote w:id="3">
    <w:p w14:paraId="5235CBBE" w14:textId="210E4794" w:rsidR="00464438" w:rsidRPr="00EF22A7" w:rsidRDefault="00464438" w:rsidP="00651B6E">
      <w:pPr>
        <w:pStyle w:val="FootnoteText"/>
        <w:ind w:left="254" w:hangingChars="141" w:hanging="254"/>
        <w:rPr>
          <w:rFonts w:asciiTheme="majorBidi" w:hAnsiTheme="majorBidi" w:cstheme="majorBidi"/>
          <w:szCs w:val="24"/>
          <w:lang w:eastAsia="ja-JP"/>
        </w:rPr>
      </w:pPr>
      <w:r w:rsidRPr="00EF22A7">
        <w:rPr>
          <w:rStyle w:val="FootnoteReference"/>
        </w:rPr>
        <w:footnoteRef/>
      </w:r>
      <w:r w:rsidR="00EF22A7" w:rsidRPr="00682954">
        <w:rPr>
          <w:rFonts w:asciiTheme="majorBidi" w:hAnsiTheme="majorBidi" w:cstheme="majorBidi"/>
        </w:rPr>
        <w:tab/>
      </w:r>
      <w:r w:rsidRPr="00EF22A7">
        <w:rPr>
          <w:rStyle w:val="Hyperlink"/>
          <w:rFonts w:asciiTheme="majorBidi" w:hAnsiTheme="majorBidi" w:cstheme="majorBidi" w:hint="eastAsia"/>
          <w:color w:val="auto"/>
          <w:szCs w:val="24"/>
          <w:u w:val="none"/>
          <w:lang w:eastAsia="ja-JP"/>
        </w:rPr>
        <w:t>W</w:t>
      </w:r>
      <w:r w:rsidRPr="00EF22A7">
        <w:rPr>
          <w:rStyle w:val="Hyperlink"/>
          <w:rFonts w:asciiTheme="majorBidi" w:hAnsiTheme="majorBidi" w:cstheme="majorBidi"/>
          <w:color w:val="auto"/>
          <w:szCs w:val="24"/>
          <w:u w:val="none"/>
          <w:lang w:eastAsia="ja-JP"/>
        </w:rPr>
        <w:t>ithin EEA, access by road ITS to the frequency range 5 915-5 925 MHz shall be limited applications involving infrastructure-to-vehicle (I2V) connectivity only</w:t>
      </w:r>
      <w:r w:rsidR="00EF22A7">
        <w:rPr>
          <w:rStyle w:val="Hyperlink"/>
          <w:rFonts w:asciiTheme="majorBidi" w:hAnsiTheme="majorBidi" w:cstheme="majorBidi"/>
          <w:color w:val="auto"/>
          <w:szCs w:val="24"/>
          <w:u w:val="none"/>
          <w:lang w:eastAsia="ja-JP"/>
        </w:rPr>
        <w:t>.</w:t>
      </w:r>
    </w:p>
  </w:footnote>
  <w:footnote w:id="4">
    <w:p w14:paraId="74D61EE6" w14:textId="41202B35" w:rsidR="00464438" w:rsidRDefault="00464438" w:rsidP="00651B6E">
      <w:pPr>
        <w:pStyle w:val="FootnoteText"/>
        <w:rPr>
          <w:lang w:eastAsia="ja-JP"/>
        </w:rPr>
      </w:pPr>
      <w:r>
        <w:rPr>
          <w:rStyle w:val="FootnoteReference"/>
        </w:rPr>
        <w:footnoteRef/>
      </w:r>
      <w:r w:rsidR="00EF22A7">
        <w:tab/>
      </w:r>
      <w:hyperlink r:id="rId3" w:history="1">
        <w:r w:rsidRPr="00BA2BA8">
          <w:rPr>
            <w:rStyle w:val="Hyperlink"/>
          </w:rPr>
          <w:t>https://www.etsi.org/deliver/etsi_en/302500_302599/302571</w:t>
        </w:r>
      </w:hyperlink>
    </w:p>
  </w:footnote>
  <w:footnote w:id="5">
    <w:p w14:paraId="556C4674" w14:textId="0B606EA1" w:rsidR="00464438" w:rsidRPr="0071412E" w:rsidRDefault="00464438" w:rsidP="00651B6E">
      <w:pPr>
        <w:pStyle w:val="FootnoteText"/>
        <w:rPr>
          <w:spacing w:val="-4"/>
          <w:lang w:val="en-US"/>
        </w:rPr>
      </w:pPr>
      <w:r w:rsidRPr="004E493E">
        <w:rPr>
          <w:rStyle w:val="FootnoteReference"/>
        </w:rPr>
        <w:footnoteRef/>
      </w:r>
      <w:r w:rsidRPr="004E493E">
        <w:tab/>
      </w:r>
      <w:hyperlink r:id="rId4" w:history="1">
        <w:r w:rsidR="0071412E" w:rsidRPr="000A42A6">
          <w:rPr>
            <w:rStyle w:val="Hyperlink"/>
            <w:spacing w:val="-4"/>
          </w:rPr>
          <w:t>https://www.nhtsa.gov/sites/nhtsa.gov/files/documents/technical_fact_sheet-model_deployment.pdf</w:t>
        </w:r>
      </w:hyperlink>
      <w:r w:rsidR="0071412E">
        <w:rPr>
          <w:spacing w:val="-4"/>
        </w:rPr>
        <w:t xml:space="preserve"> </w:t>
      </w:r>
    </w:p>
  </w:footnote>
  <w:footnote w:id="6">
    <w:p w14:paraId="0F29F1B5" w14:textId="6ED87A37" w:rsidR="00464438" w:rsidRPr="004E493E" w:rsidRDefault="00464438" w:rsidP="0006784A">
      <w:pPr>
        <w:pStyle w:val="FootnoteText"/>
        <w:rPr>
          <w:sz w:val="20"/>
        </w:rPr>
      </w:pPr>
      <w:r w:rsidRPr="004E493E">
        <w:rPr>
          <w:rStyle w:val="FootnoteReference"/>
        </w:rPr>
        <w:footnoteRef/>
      </w:r>
      <w:r w:rsidRPr="004E493E">
        <w:rPr>
          <w:sz w:val="20"/>
        </w:rPr>
        <w:tab/>
      </w:r>
      <w:hyperlink r:id="rId5" w:tooltip="Original URL: https://www.its.dot.gov/factsheets/pdf/JPO_CVPilot.pdf. Click or tap if you trust this link." w:history="1">
        <w:r w:rsidR="0006784A" w:rsidRPr="0006784A">
          <w:rPr>
            <w:rStyle w:val="Hyperlink"/>
          </w:rPr>
          <w:t>https://www.its.dot.gov/factsheets/pdf/JPO_CVPilot.pdf</w:t>
        </w:r>
      </w:hyperlink>
    </w:p>
  </w:footnote>
  <w:footnote w:id="7">
    <w:p w14:paraId="3BD9D62B" w14:textId="089E8096" w:rsidR="006B6D17" w:rsidRPr="006B6D17" w:rsidRDefault="006B6D17">
      <w:pPr>
        <w:pStyle w:val="FootnoteText"/>
        <w:rPr>
          <w:lang w:val="en-US"/>
        </w:rPr>
      </w:pPr>
      <w:r>
        <w:rPr>
          <w:rStyle w:val="FootnoteReference"/>
        </w:rPr>
        <w:footnoteRef/>
      </w:r>
      <w:r>
        <w:tab/>
      </w:r>
      <w:hyperlink r:id="rId6" w:history="1">
        <w:r w:rsidRPr="000A42A6">
          <w:rPr>
            <w:rStyle w:val="Hyperlink"/>
          </w:rPr>
          <w:t>https://theacvpilot.com/</w:t>
        </w:r>
      </w:hyperlink>
    </w:p>
  </w:footnote>
  <w:footnote w:id="8">
    <w:p w14:paraId="2BAC8774" w14:textId="5CB0D842" w:rsidR="006B6D17" w:rsidRPr="006B6D17" w:rsidRDefault="006B6D17">
      <w:pPr>
        <w:pStyle w:val="FootnoteText"/>
        <w:rPr>
          <w:lang w:val="en-US"/>
        </w:rPr>
      </w:pPr>
      <w:r>
        <w:rPr>
          <w:rStyle w:val="FootnoteReference"/>
        </w:rPr>
        <w:footnoteRef/>
      </w:r>
      <w:r>
        <w:tab/>
      </w:r>
      <w:hyperlink r:id="rId7" w:tooltip="Original URL: https://www.its.dot.gov/press/2018/wydot_trafficmang.htm. Click or tap if you trust this link." w:history="1">
        <w:r w:rsidR="0006784A" w:rsidRPr="0006784A">
          <w:rPr>
            <w:rStyle w:val="Hyperlink"/>
          </w:rPr>
          <w:t>https://www.its.dot.gov/press/2018/wydot_trafficmang.htm</w:t>
        </w:r>
      </w:hyperlink>
    </w:p>
  </w:footnote>
  <w:footnote w:id="9">
    <w:p w14:paraId="540FE79C" w14:textId="0FE29D47" w:rsidR="006B6D17" w:rsidRPr="006B6D17" w:rsidRDefault="006B6D17">
      <w:pPr>
        <w:pStyle w:val="FootnoteText"/>
        <w:rPr>
          <w:lang w:val="en-US"/>
        </w:rPr>
      </w:pPr>
      <w:r>
        <w:rPr>
          <w:rStyle w:val="FootnoteReference"/>
        </w:rPr>
        <w:footnoteRef/>
      </w:r>
      <w:r>
        <w:tab/>
      </w:r>
      <w:hyperlink r:id="rId8" w:history="1">
        <w:r w:rsidRPr="000A42A6">
          <w:rPr>
            <w:rStyle w:val="Hyperlink"/>
          </w:rPr>
          <w:t>https://transportationops.org/spatchallenge</w:t>
        </w:r>
      </w:hyperlink>
    </w:p>
  </w:footnote>
  <w:footnote w:id="10">
    <w:p w14:paraId="771F424D" w14:textId="5855F461" w:rsidR="006B6D17" w:rsidRPr="006B6D17" w:rsidRDefault="006B6D17">
      <w:pPr>
        <w:pStyle w:val="FootnoteText"/>
        <w:rPr>
          <w:lang w:val="en-US"/>
        </w:rPr>
      </w:pPr>
      <w:r>
        <w:rPr>
          <w:rStyle w:val="FootnoteReference"/>
        </w:rPr>
        <w:footnoteRef/>
      </w:r>
      <w:r>
        <w:tab/>
      </w:r>
      <w:r w:rsidRPr="004E493E">
        <w:rPr>
          <w:szCs w:val="24"/>
        </w:rPr>
        <w:t>These initial deployments in the U.S. were based on prior regulations (using 5</w:t>
      </w:r>
      <w:r w:rsidR="00A47702">
        <w:rPr>
          <w:szCs w:val="24"/>
        </w:rPr>
        <w:t xml:space="preserve"> </w:t>
      </w:r>
      <w:r w:rsidRPr="004E493E">
        <w:rPr>
          <w:szCs w:val="24"/>
        </w:rPr>
        <w:t>850-5</w:t>
      </w:r>
      <w:r w:rsidR="00A47702">
        <w:rPr>
          <w:szCs w:val="24"/>
        </w:rPr>
        <w:t xml:space="preserve"> </w:t>
      </w:r>
      <w:r w:rsidRPr="004E493E">
        <w:rPr>
          <w:szCs w:val="24"/>
        </w:rPr>
        <w:t>925 MHz and WAVE lower layer technology); however, current deployments are transitioning to, and future deployments will incorporate, the new spectrum (5 895-5 925 MHz) and lower-layer technology (C</w:t>
      </w:r>
      <w:r w:rsidRPr="004E493E">
        <w:rPr>
          <w:szCs w:val="24"/>
        </w:rPr>
        <w:noBreakHyphen/>
        <w:t>V2X).</w:t>
      </w:r>
    </w:p>
  </w:footnote>
  <w:footnote w:id="11">
    <w:p w14:paraId="704F959F" w14:textId="0DBAE6F7" w:rsidR="00464438" w:rsidRPr="00246865" w:rsidRDefault="00464438">
      <w:pPr>
        <w:pStyle w:val="FootnoteText"/>
        <w:rPr>
          <w:lang w:val="en-US"/>
        </w:rPr>
      </w:pPr>
      <w:r>
        <w:rPr>
          <w:rStyle w:val="FootnoteReference"/>
        </w:rPr>
        <w:footnoteRef/>
      </w:r>
      <w:r w:rsidR="003641D8">
        <w:tab/>
      </w:r>
      <w:r w:rsidRPr="00582BEB">
        <w:rPr>
          <w:spacing w:val="-6"/>
        </w:rPr>
        <w:t>Decision on the Technical and Policy Framework for Radio Local Area Network Devices in the 5</w:t>
      </w:r>
      <w:r w:rsidR="003641D8" w:rsidRPr="00582BEB">
        <w:rPr>
          <w:spacing w:val="-6"/>
        </w:rPr>
        <w:t> </w:t>
      </w:r>
      <w:r w:rsidRPr="00582BEB">
        <w:rPr>
          <w:spacing w:val="-6"/>
        </w:rPr>
        <w:t>850-5 895 MHz</w:t>
      </w:r>
      <w:r w:rsidRPr="00246865">
        <w:t xml:space="preserve"> band and for Intelligent Transportation Systems in the 5 895-5 925 MHz band</w:t>
      </w:r>
      <w:r w:rsidR="003641D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CC29" w14:textId="77777777" w:rsidR="002B311E" w:rsidRDefault="002B311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2B311E" w:rsidRPr="00A239D1" w14:paraId="77640841" w14:textId="77777777" w:rsidTr="0019307B">
      <w:tc>
        <w:tcPr>
          <w:tcW w:w="4634" w:type="dxa"/>
          <w:vAlign w:val="center"/>
        </w:tcPr>
        <w:p w14:paraId="66F4987C" w14:textId="77777777" w:rsidR="002B311E" w:rsidRPr="005B0371" w:rsidRDefault="002B311E"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08AC994" w14:textId="77777777" w:rsidR="002B311E" w:rsidRPr="00260B24" w:rsidRDefault="002B311E"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2B311E" w:rsidRPr="00A239D1" w14:paraId="3D7166DE" w14:textId="77777777" w:rsidTr="0019307B">
      <w:tc>
        <w:tcPr>
          <w:tcW w:w="4634" w:type="dxa"/>
          <w:vAlign w:val="center"/>
        </w:tcPr>
        <w:p w14:paraId="539DAF7B" w14:textId="77777777" w:rsidR="002B311E" w:rsidRPr="00260B24" w:rsidRDefault="002B311E" w:rsidP="00744F8B">
          <w:pPr>
            <w:pStyle w:val="Header"/>
            <w:jc w:val="left"/>
            <w:rPr>
              <w:rFonts w:asciiTheme="minorBidi" w:hAnsiTheme="minorBidi"/>
              <w:spacing w:val="4"/>
              <w:sz w:val="21"/>
              <w:szCs w:val="21"/>
            </w:rPr>
          </w:pPr>
        </w:p>
      </w:tc>
      <w:tc>
        <w:tcPr>
          <w:tcW w:w="5998" w:type="dxa"/>
          <w:vAlign w:val="center"/>
        </w:tcPr>
        <w:p w14:paraId="6361E3EA" w14:textId="77777777" w:rsidR="002B311E" w:rsidRPr="00260B24" w:rsidRDefault="002B311E"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42842AD7" w14:textId="77777777" w:rsidR="002B311E" w:rsidRDefault="002B311E"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A4DB341" wp14:editId="01E28AFA">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6AFA3B6F" wp14:editId="1CC70E6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AFA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36C4BED" w14:textId="77777777" w:rsidR="002B311E" w:rsidRDefault="002B311E"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1B7F9627" wp14:editId="08B013C3">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F68D" id="Group 7" o:spid="_x0000_s1026" alt="Header separation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03BC" w14:textId="77777777" w:rsidR="009817B1" w:rsidRDefault="009817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30C9" w14:textId="7A47C15C" w:rsidR="002B311E" w:rsidRPr="00D72623" w:rsidRDefault="002B311E" w:rsidP="001811A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9817B1" w:rsidRPr="009817B1">
      <w:rPr>
        <w:b/>
        <w:bCs/>
        <w:lang w:val="en-US"/>
      </w:rPr>
      <w:t>Rep.</w:t>
    </w:r>
    <w:r w:rsidR="009817B1">
      <w:rPr>
        <w:lang w:val="en-US"/>
      </w:rPr>
      <w:t xml:space="preserve"> </w:t>
    </w:r>
    <w:r>
      <w:rPr>
        <w:b/>
        <w:bCs/>
      </w:rPr>
      <w:fldChar w:fldCharType="begin"/>
    </w:r>
    <w:r>
      <w:rPr>
        <w:b/>
        <w:bCs/>
        <w:lang w:val="en-US"/>
      </w:rPr>
      <w:instrText>styleref href</w:instrText>
    </w:r>
    <w:r>
      <w:rPr>
        <w:b/>
        <w:bCs/>
      </w:rPr>
      <w:fldChar w:fldCharType="separate"/>
    </w:r>
    <w:r w:rsidR="0006784A">
      <w:rPr>
        <w:b/>
        <w:bCs/>
        <w:noProof/>
      </w:rPr>
      <w:t>ITU-R  M.</w:t>
    </w:r>
    <w:r>
      <w:rPr>
        <w:b/>
        <w:bCs/>
      </w:rPr>
      <w:fldChar w:fldCharType="end"/>
    </w:r>
    <w:r w:rsidR="001811AD" w:rsidRPr="001811AD">
      <w:rPr>
        <w:b/>
        <w:bCs/>
      </w:rPr>
      <w:t>2444-1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8A59" w14:textId="13E39D3A" w:rsidR="002B311E" w:rsidRDefault="002B311E" w:rsidP="001811AD">
    <w:pPr>
      <w:pStyle w:val="Header"/>
    </w:pPr>
    <w:r>
      <w:tab/>
    </w:r>
    <w:r>
      <w:rPr>
        <w:b/>
        <w:bCs/>
      </w:rPr>
      <w:fldChar w:fldCharType="begin"/>
    </w:r>
    <w:r>
      <w:rPr>
        <w:b/>
        <w:bCs/>
      </w:rPr>
      <w:instrText xml:space="preserve"> DOCPROPERTY  "Header 2"  \* MERGEFORMAT </w:instrText>
    </w:r>
    <w:r>
      <w:rPr>
        <w:b/>
        <w:bCs/>
      </w:rPr>
      <w:fldChar w:fldCharType="separate"/>
    </w:r>
    <w:r w:rsidR="009817B1">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817B1">
      <w:rPr>
        <w:b/>
        <w:bCs/>
        <w:noProof/>
      </w:rPr>
      <w:t>ITU-R  M.</w:t>
    </w:r>
    <w:r>
      <w:rPr>
        <w:b/>
        <w:bCs/>
      </w:rPr>
      <w:fldChar w:fldCharType="end"/>
    </w:r>
    <w:r w:rsidR="001811AD" w:rsidRPr="001811AD">
      <w:rPr>
        <w:b/>
        <w:bCs/>
      </w:rPr>
      <w:t>2444-1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7862" w14:textId="6586FC87" w:rsidR="001811AD" w:rsidRDefault="001811AD" w:rsidP="001811AD">
    <w:pPr>
      <w:pStyle w:val="Header"/>
    </w:pPr>
    <w:r>
      <w:tab/>
    </w:r>
    <w:r w:rsidR="009817B1" w:rsidRPr="009817B1">
      <w:rPr>
        <w:b/>
        <w:bCs/>
        <w:lang w:val="en-US"/>
      </w:rPr>
      <w:t>Rep.</w:t>
    </w:r>
    <w:r w:rsidR="009817B1">
      <w:rPr>
        <w:lang w:val="en-US"/>
      </w:rPr>
      <w:t xml:space="preserve"> </w:t>
    </w:r>
    <w:r>
      <w:rPr>
        <w:b/>
        <w:bCs/>
      </w:rPr>
      <w:fldChar w:fldCharType="begin"/>
    </w:r>
    <w:r>
      <w:rPr>
        <w:b/>
        <w:bCs/>
      </w:rPr>
      <w:instrText>styleref href</w:instrText>
    </w:r>
    <w:r>
      <w:rPr>
        <w:b/>
        <w:bCs/>
      </w:rPr>
      <w:fldChar w:fldCharType="separate"/>
    </w:r>
    <w:r w:rsidR="0006784A">
      <w:rPr>
        <w:b/>
        <w:bCs/>
        <w:noProof/>
      </w:rPr>
      <w:t>ITU-R  M.</w:t>
    </w:r>
    <w:r>
      <w:rPr>
        <w:b/>
        <w:bCs/>
      </w:rPr>
      <w:fldChar w:fldCharType="end"/>
    </w:r>
    <w:r w:rsidRPr="001811AD">
      <w:rPr>
        <w:b/>
        <w:bCs/>
      </w:rPr>
      <w:t>2444-1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0E48" w14:textId="77777777" w:rsidR="001811AD" w:rsidRDefault="00181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31"/>
    <w:rsid w:val="000069D4"/>
    <w:rsid w:val="000146B1"/>
    <w:rsid w:val="000174AD"/>
    <w:rsid w:val="00023DEB"/>
    <w:rsid w:val="0002497B"/>
    <w:rsid w:val="00047A1D"/>
    <w:rsid w:val="000604B9"/>
    <w:rsid w:val="00061373"/>
    <w:rsid w:val="0006784A"/>
    <w:rsid w:val="0007523D"/>
    <w:rsid w:val="00076325"/>
    <w:rsid w:val="000A7D55"/>
    <w:rsid w:val="000C12C8"/>
    <w:rsid w:val="000C2E8E"/>
    <w:rsid w:val="000C4794"/>
    <w:rsid w:val="000E052E"/>
    <w:rsid w:val="000E0E7C"/>
    <w:rsid w:val="000F1B4B"/>
    <w:rsid w:val="0012744F"/>
    <w:rsid w:val="00131178"/>
    <w:rsid w:val="00156F66"/>
    <w:rsid w:val="00163271"/>
    <w:rsid w:val="00172122"/>
    <w:rsid w:val="001811AD"/>
    <w:rsid w:val="00182528"/>
    <w:rsid w:val="0018500B"/>
    <w:rsid w:val="00196A19"/>
    <w:rsid w:val="001A681E"/>
    <w:rsid w:val="001D6070"/>
    <w:rsid w:val="00200BD0"/>
    <w:rsid w:val="00202DC1"/>
    <w:rsid w:val="002116EE"/>
    <w:rsid w:val="00213A8F"/>
    <w:rsid w:val="002309D8"/>
    <w:rsid w:val="002A7FE2"/>
    <w:rsid w:val="002B311E"/>
    <w:rsid w:val="002C5AE9"/>
    <w:rsid w:val="002D189F"/>
    <w:rsid w:val="002E1B4F"/>
    <w:rsid w:val="002F2E67"/>
    <w:rsid w:val="002F7C31"/>
    <w:rsid w:val="002F7CB3"/>
    <w:rsid w:val="00300E25"/>
    <w:rsid w:val="00315546"/>
    <w:rsid w:val="00330567"/>
    <w:rsid w:val="003641D8"/>
    <w:rsid w:val="00370A39"/>
    <w:rsid w:val="0038567A"/>
    <w:rsid w:val="00386A9D"/>
    <w:rsid w:val="00391081"/>
    <w:rsid w:val="00395627"/>
    <w:rsid w:val="003B2789"/>
    <w:rsid w:val="003C13CE"/>
    <w:rsid w:val="003C697E"/>
    <w:rsid w:val="003E2518"/>
    <w:rsid w:val="003E7CEF"/>
    <w:rsid w:val="004064FC"/>
    <w:rsid w:val="00414559"/>
    <w:rsid w:val="00424975"/>
    <w:rsid w:val="00443C30"/>
    <w:rsid w:val="00464438"/>
    <w:rsid w:val="004B1EF7"/>
    <w:rsid w:val="004B3FAD"/>
    <w:rsid w:val="004C5749"/>
    <w:rsid w:val="004D01B1"/>
    <w:rsid w:val="00501DCA"/>
    <w:rsid w:val="00513A47"/>
    <w:rsid w:val="005408DF"/>
    <w:rsid w:val="00543D26"/>
    <w:rsid w:val="00573344"/>
    <w:rsid w:val="00582BEB"/>
    <w:rsid w:val="00583F9B"/>
    <w:rsid w:val="005B0D29"/>
    <w:rsid w:val="005E5C10"/>
    <w:rsid w:val="005F2C78"/>
    <w:rsid w:val="005F3B9F"/>
    <w:rsid w:val="006144E4"/>
    <w:rsid w:val="00650299"/>
    <w:rsid w:val="00655FC5"/>
    <w:rsid w:val="0066361A"/>
    <w:rsid w:val="006763E1"/>
    <w:rsid w:val="006872CA"/>
    <w:rsid w:val="006A7151"/>
    <w:rsid w:val="006B6D17"/>
    <w:rsid w:val="006C25A5"/>
    <w:rsid w:val="0071412E"/>
    <w:rsid w:val="00723FB5"/>
    <w:rsid w:val="007378FB"/>
    <w:rsid w:val="00766194"/>
    <w:rsid w:val="0080538C"/>
    <w:rsid w:val="0081320E"/>
    <w:rsid w:val="00814E0A"/>
    <w:rsid w:val="00822581"/>
    <w:rsid w:val="008309DD"/>
    <w:rsid w:val="0083227A"/>
    <w:rsid w:val="00866900"/>
    <w:rsid w:val="00876A8A"/>
    <w:rsid w:val="00881BA1"/>
    <w:rsid w:val="00892D0C"/>
    <w:rsid w:val="008C2302"/>
    <w:rsid w:val="008C26B8"/>
    <w:rsid w:val="008F208F"/>
    <w:rsid w:val="00931761"/>
    <w:rsid w:val="00961179"/>
    <w:rsid w:val="00976A5A"/>
    <w:rsid w:val="009803B7"/>
    <w:rsid w:val="009817B1"/>
    <w:rsid w:val="00982084"/>
    <w:rsid w:val="00995963"/>
    <w:rsid w:val="009B61EB"/>
    <w:rsid w:val="009C185B"/>
    <w:rsid w:val="009C2064"/>
    <w:rsid w:val="009D1697"/>
    <w:rsid w:val="009F3A46"/>
    <w:rsid w:val="009F6520"/>
    <w:rsid w:val="00A014F8"/>
    <w:rsid w:val="00A47702"/>
    <w:rsid w:val="00A5173C"/>
    <w:rsid w:val="00A61AEF"/>
    <w:rsid w:val="00A7528B"/>
    <w:rsid w:val="00A928A0"/>
    <w:rsid w:val="00AA3E67"/>
    <w:rsid w:val="00AC790D"/>
    <w:rsid w:val="00AD2345"/>
    <w:rsid w:val="00AD6D20"/>
    <w:rsid w:val="00AF173A"/>
    <w:rsid w:val="00B066A4"/>
    <w:rsid w:val="00B07A13"/>
    <w:rsid w:val="00B4279B"/>
    <w:rsid w:val="00B45FC9"/>
    <w:rsid w:val="00B52131"/>
    <w:rsid w:val="00B60C15"/>
    <w:rsid w:val="00B76F35"/>
    <w:rsid w:val="00B81138"/>
    <w:rsid w:val="00BB3F4E"/>
    <w:rsid w:val="00BC7CCF"/>
    <w:rsid w:val="00BE0B24"/>
    <w:rsid w:val="00BE470B"/>
    <w:rsid w:val="00C065F1"/>
    <w:rsid w:val="00C57A91"/>
    <w:rsid w:val="00CC01C2"/>
    <w:rsid w:val="00CC3717"/>
    <w:rsid w:val="00CF21F2"/>
    <w:rsid w:val="00D02712"/>
    <w:rsid w:val="00D046A7"/>
    <w:rsid w:val="00D214D0"/>
    <w:rsid w:val="00D46030"/>
    <w:rsid w:val="00D47487"/>
    <w:rsid w:val="00D6546B"/>
    <w:rsid w:val="00DB178B"/>
    <w:rsid w:val="00DC17D3"/>
    <w:rsid w:val="00DD4BED"/>
    <w:rsid w:val="00DE39F0"/>
    <w:rsid w:val="00DF0AF3"/>
    <w:rsid w:val="00DF7E9F"/>
    <w:rsid w:val="00E27D7E"/>
    <w:rsid w:val="00E42E13"/>
    <w:rsid w:val="00E536C9"/>
    <w:rsid w:val="00E56D5C"/>
    <w:rsid w:val="00E6257C"/>
    <w:rsid w:val="00E63C59"/>
    <w:rsid w:val="00EF22A7"/>
    <w:rsid w:val="00F25662"/>
    <w:rsid w:val="00F2795F"/>
    <w:rsid w:val="00F73A8F"/>
    <w:rsid w:val="00FA124A"/>
    <w:rsid w:val="00FC08DD"/>
    <w:rsid w:val="00FC0D98"/>
    <w:rsid w:val="00FC2316"/>
    <w:rsid w:val="00FC2CFD"/>
    <w:rsid w:val="00FD58B0"/>
    <w:rsid w:val="00FF18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A98AE83"/>
  <w15:docId w15:val="{B0909BD4-A4BD-4B73-8D03-540CB62A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1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rsid w:val="002B311E"/>
    <w:pPr>
      <w:keepNext/>
      <w:keepLines/>
      <w:spacing w:before="480"/>
      <w:ind w:left="794" w:hanging="794"/>
      <w:outlineLvl w:val="0"/>
    </w:pPr>
    <w:rPr>
      <w:b/>
    </w:rPr>
  </w:style>
  <w:style w:type="paragraph" w:styleId="Heading2">
    <w:name w:val="heading 2"/>
    <w:basedOn w:val="Heading1"/>
    <w:next w:val="Normal"/>
    <w:qFormat/>
    <w:rsid w:val="002B311E"/>
    <w:pPr>
      <w:spacing w:before="320"/>
      <w:outlineLvl w:val="1"/>
    </w:pPr>
  </w:style>
  <w:style w:type="paragraph" w:styleId="Heading3">
    <w:name w:val="heading 3"/>
    <w:basedOn w:val="Heading1"/>
    <w:next w:val="Normal"/>
    <w:qFormat/>
    <w:rsid w:val="002B311E"/>
    <w:pPr>
      <w:spacing w:before="200"/>
      <w:outlineLvl w:val="2"/>
    </w:pPr>
  </w:style>
  <w:style w:type="paragraph" w:styleId="Heading4">
    <w:name w:val="heading 4"/>
    <w:basedOn w:val="Heading3"/>
    <w:next w:val="Normal"/>
    <w:qFormat/>
    <w:rsid w:val="002B311E"/>
    <w:pPr>
      <w:tabs>
        <w:tab w:val="clear" w:pos="794"/>
        <w:tab w:val="left" w:pos="992"/>
      </w:tabs>
      <w:ind w:left="992" w:hanging="992"/>
      <w:outlineLvl w:val="3"/>
    </w:pPr>
  </w:style>
  <w:style w:type="paragraph" w:styleId="Heading5">
    <w:name w:val="heading 5"/>
    <w:basedOn w:val="Heading4"/>
    <w:next w:val="Normal"/>
    <w:qFormat/>
    <w:rsid w:val="002B311E"/>
    <w:pPr>
      <w:outlineLvl w:val="4"/>
    </w:pPr>
  </w:style>
  <w:style w:type="paragraph" w:styleId="Heading6">
    <w:name w:val="heading 6"/>
    <w:basedOn w:val="Heading4"/>
    <w:next w:val="Normal"/>
    <w:qFormat/>
    <w:rsid w:val="002B311E"/>
    <w:pPr>
      <w:tabs>
        <w:tab w:val="clear" w:pos="992"/>
        <w:tab w:val="clear" w:pos="1191"/>
      </w:tabs>
      <w:ind w:left="1588" w:hanging="1588"/>
      <w:outlineLvl w:val="5"/>
    </w:pPr>
  </w:style>
  <w:style w:type="paragraph" w:styleId="Heading7">
    <w:name w:val="heading 7"/>
    <w:basedOn w:val="Heading6"/>
    <w:next w:val="Normal"/>
    <w:qFormat/>
    <w:rsid w:val="002B311E"/>
    <w:pPr>
      <w:outlineLvl w:val="6"/>
    </w:pPr>
  </w:style>
  <w:style w:type="paragraph" w:styleId="Heading8">
    <w:name w:val="heading 8"/>
    <w:basedOn w:val="Heading6"/>
    <w:next w:val="Normal"/>
    <w:qFormat/>
    <w:rsid w:val="002B311E"/>
    <w:pPr>
      <w:outlineLvl w:val="7"/>
    </w:pPr>
  </w:style>
  <w:style w:type="paragraph" w:styleId="Heading9">
    <w:name w:val="heading 9"/>
    <w:basedOn w:val="Heading6"/>
    <w:next w:val="Normal"/>
    <w:qFormat/>
    <w:rsid w:val="002B311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2B311E"/>
    <w:pPr>
      <w:spacing w:before="32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2B311E"/>
    <w:pPr>
      <w:keepNext/>
      <w:keepLines/>
      <w:spacing w:before="480"/>
      <w:jc w:val="center"/>
    </w:pPr>
    <w:rPr>
      <w:sz w:val="28"/>
    </w:rPr>
  </w:style>
  <w:style w:type="paragraph" w:customStyle="1" w:styleId="Arttitle">
    <w:name w:val="Art_title"/>
    <w:basedOn w:val="Normal"/>
    <w:next w:val="Normalaftertitle"/>
    <w:rsid w:val="002B311E"/>
    <w:pPr>
      <w:keepNext/>
      <w:keepLines/>
      <w:spacing w:before="240"/>
      <w:jc w:val="center"/>
    </w:pPr>
    <w:rPr>
      <w:b/>
      <w:sz w:val="28"/>
    </w:rPr>
  </w:style>
  <w:style w:type="paragraph" w:customStyle="1" w:styleId="ASN1">
    <w:name w:val="ASN.1"/>
    <w:basedOn w:val="Normal"/>
    <w:next w:val="Normal"/>
    <w:rsid w:val="002B311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2B311E"/>
    <w:pPr>
      <w:keepNext/>
      <w:keepLines/>
      <w:spacing w:before="160"/>
      <w:ind w:left="794"/>
    </w:pPr>
    <w:rPr>
      <w:i/>
    </w:rPr>
  </w:style>
  <w:style w:type="paragraph" w:customStyle="1" w:styleId="ChapNo">
    <w:name w:val="Chap_No"/>
    <w:basedOn w:val="ArtNo"/>
    <w:next w:val="Chaptitle"/>
    <w:rsid w:val="002B311E"/>
    <w:rPr>
      <w:b/>
    </w:rPr>
  </w:style>
  <w:style w:type="paragraph" w:customStyle="1" w:styleId="Chaptitle">
    <w:name w:val="Chap_title"/>
    <w:basedOn w:val="Arttitle"/>
    <w:next w:val="Normalaftertitle"/>
    <w:rsid w:val="002B311E"/>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2B311E"/>
    <w:pPr>
      <w:spacing w:before="80"/>
      <w:ind w:left="794" w:hanging="794"/>
    </w:pPr>
  </w:style>
  <w:style w:type="paragraph" w:customStyle="1" w:styleId="enumlev2">
    <w:name w:val="enumlev2"/>
    <w:basedOn w:val="enumlev1"/>
    <w:rsid w:val="002B311E"/>
    <w:pPr>
      <w:ind w:left="1191" w:hanging="397"/>
    </w:pPr>
  </w:style>
  <w:style w:type="paragraph" w:customStyle="1" w:styleId="enumlev3">
    <w:name w:val="enumlev3"/>
    <w:basedOn w:val="enumlev2"/>
    <w:rsid w:val="002B311E"/>
    <w:pPr>
      <w:ind w:left="1588"/>
    </w:pPr>
  </w:style>
  <w:style w:type="paragraph" w:customStyle="1" w:styleId="Equation">
    <w:name w:val="Equation"/>
    <w:basedOn w:val="Normal"/>
    <w:rsid w:val="002B311E"/>
    <w:pPr>
      <w:tabs>
        <w:tab w:val="clear" w:pos="1191"/>
        <w:tab w:val="clear" w:pos="1588"/>
        <w:tab w:val="clear" w:pos="1985"/>
        <w:tab w:val="center" w:pos="4820"/>
        <w:tab w:val="right" w:pos="9639"/>
      </w:tabs>
    </w:pPr>
  </w:style>
  <w:style w:type="paragraph" w:customStyle="1" w:styleId="Equationlegend">
    <w:name w:val="Equation_legend"/>
    <w:basedOn w:val="NormalIndent"/>
    <w:rsid w:val="002B311E"/>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2B311E"/>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2B31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2B311E"/>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9C185B"/>
    <w:pPr>
      <w:overflowPunct/>
      <w:autoSpaceDE/>
      <w:autoSpaceDN/>
      <w:adjustRightInd/>
      <w:spacing w:before="40"/>
      <w:textAlignment w:val="auto"/>
    </w:pPr>
    <w:rPr>
      <w:caps/>
      <w:noProof w:val="0"/>
    </w:rPr>
  </w:style>
  <w:style w:type="character" w:styleId="FootnoteReference">
    <w:name w:val="footnote reference"/>
    <w:aliases w:val="Footnote Reference/,Appel note de bas de p,Style 12,(NECG) Footnote Reference,Style 124"/>
    <w:basedOn w:val="DefaultParagraphFont"/>
    <w:rsid w:val="002B311E"/>
    <w:rPr>
      <w:position w:val="6"/>
      <w:sz w:val="18"/>
    </w:rPr>
  </w:style>
  <w:style w:type="paragraph" w:styleId="FootnoteText">
    <w:name w:val="footnote text"/>
    <w:basedOn w:val="Normal"/>
    <w:link w:val="FootnoteTextChar"/>
    <w:rsid w:val="002B311E"/>
    <w:pPr>
      <w:keepLines/>
      <w:tabs>
        <w:tab w:val="left" w:pos="255"/>
      </w:tabs>
      <w:ind w:left="255" w:hanging="255"/>
    </w:pPr>
    <w:rPr>
      <w:sz w:val="22"/>
    </w:rPr>
  </w:style>
  <w:style w:type="paragraph" w:customStyle="1" w:styleId="Note">
    <w:name w:val="Note"/>
    <w:basedOn w:val="Normal"/>
    <w:rsid w:val="002B311E"/>
    <w:pPr>
      <w:tabs>
        <w:tab w:val="clear" w:pos="794"/>
        <w:tab w:val="clear" w:pos="1191"/>
        <w:tab w:val="clear" w:pos="1588"/>
        <w:tab w:val="clear" w:pos="1985"/>
      </w:tabs>
      <w:spacing w:before="80"/>
    </w:pPr>
    <w:rPr>
      <w:sz w:val="22"/>
    </w:rPr>
  </w:style>
  <w:style w:type="paragraph" w:styleId="Header">
    <w:name w:val="header"/>
    <w:basedOn w:val="Normal"/>
    <w:link w:val="HeaderChar"/>
    <w:uiPriority w:val="99"/>
    <w:rsid w:val="002B311E"/>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2B311E"/>
  </w:style>
  <w:style w:type="paragraph" w:styleId="Index2">
    <w:name w:val="index 2"/>
    <w:basedOn w:val="Normal"/>
    <w:next w:val="Normal"/>
    <w:semiHidden/>
    <w:rsid w:val="002B311E"/>
    <w:pPr>
      <w:ind w:left="283"/>
    </w:pPr>
  </w:style>
  <w:style w:type="paragraph" w:styleId="Index3">
    <w:name w:val="index 3"/>
    <w:basedOn w:val="Normal"/>
    <w:next w:val="Normal"/>
    <w:semiHidden/>
    <w:rsid w:val="002B311E"/>
    <w:pPr>
      <w:ind w:left="566"/>
    </w:pPr>
  </w:style>
  <w:style w:type="paragraph" w:customStyle="1" w:styleId="PartNo">
    <w:name w:val="Part_No"/>
    <w:basedOn w:val="Normal"/>
    <w:next w:val="Normal"/>
    <w:rsid w:val="002B311E"/>
  </w:style>
  <w:style w:type="paragraph" w:customStyle="1" w:styleId="Partref">
    <w:name w:val="Part_ref"/>
    <w:basedOn w:val="Normal"/>
    <w:next w:val="Normal"/>
    <w:rsid w:val="002B311E"/>
    <w:pPr>
      <w:keepNext/>
      <w:keepLines/>
      <w:spacing w:after="280"/>
      <w:jc w:val="center"/>
    </w:pPr>
  </w:style>
  <w:style w:type="paragraph" w:customStyle="1" w:styleId="Parttitle">
    <w:name w:val="Part_title"/>
    <w:basedOn w:val="Normal"/>
    <w:next w:val="Normalaftertitle"/>
    <w:rsid w:val="002B311E"/>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rsid w:val="002B311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2B311E"/>
    <w:pPr>
      <w:keepNext/>
      <w:keepLines/>
      <w:spacing w:before="240"/>
      <w:jc w:val="center"/>
    </w:pPr>
    <w:rPr>
      <w:b/>
      <w:sz w:val="28"/>
    </w:rPr>
  </w:style>
  <w:style w:type="paragraph" w:customStyle="1" w:styleId="Recref">
    <w:name w:val="Rec_ref"/>
    <w:basedOn w:val="Normal"/>
    <w:next w:val="Recdate"/>
    <w:rsid w:val="002B311E"/>
    <w:pPr>
      <w:jc w:val="center"/>
    </w:pPr>
  </w:style>
  <w:style w:type="paragraph" w:customStyle="1" w:styleId="Recdate">
    <w:name w:val="Rec_date"/>
    <w:basedOn w:val="Recref"/>
    <w:next w:val="Normalaftertitle"/>
    <w:rsid w:val="002B311E"/>
    <w:pPr>
      <w:jc w:val="right"/>
    </w:pPr>
  </w:style>
  <w:style w:type="paragraph" w:customStyle="1" w:styleId="Questiondate">
    <w:name w:val="Question_date"/>
    <w:basedOn w:val="Recdate"/>
    <w:next w:val="Normalaftertitle"/>
    <w:rsid w:val="002B311E"/>
  </w:style>
  <w:style w:type="paragraph" w:customStyle="1" w:styleId="QuestionNo">
    <w:name w:val="Question_No"/>
    <w:basedOn w:val="RecNo"/>
    <w:next w:val="Normal"/>
    <w:rsid w:val="002B311E"/>
  </w:style>
  <w:style w:type="paragraph" w:customStyle="1" w:styleId="Questiontitle">
    <w:name w:val="Question_title"/>
    <w:basedOn w:val="Normal"/>
    <w:next w:val="Questionref"/>
    <w:rsid w:val="002B311E"/>
  </w:style>
  <w:style w:type="paragraph" w:customStyle="1" w:styleId="Questionref">
    <w:name w:val="Question_ref"/>
    <w:basedOn w:val="Recref"/>
    <w:next w:val="Questiondate"/>
    <w:rsid w:val="002B311E"/>
  </w:style>
  <w:style w:type="paragraph" w:customStyle="1" w:styleId="Reftext">
    <w:name w:val="Ref_text"/>
    <w:basedOn w:val="Normal"/>
    <w:rsid w:val="002B311E"/>
    <w:pPr>
      <w:ind w:left="794" w:hanging="794"/>
    </w:pPr>
    <w:rPr>
      <w:sz w:val="22"/>
    </w:rPr>
  </w:style>
  <w:style w:type="paragraph" w:customStyle="1" w:styleId="Reftitle">
    <w:name w:val="Ref_title"/>
    <w:basedOn w:val="Normal"/>
    <w:next w:val="Reftext"/>
    <w:rsid w:val="002B311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2B311E"/>
  </w:style>
  <w:style w:type="paragraph" w:customStyle="1" w:styleId="RepNo">
    <w:name w:val="Rep_No"/>
    <w:basedOn w:val="RecNo"/>
    <w:next w:val="Reptitle"/>
    <w:rsid w:val="002B311E"/>
  </w:style>
  <w:style w:type="paragraph" w:customStyle="1" w:styleId="Reptitle">
    <w:name w:val="Rep_title"/>
    <w:basedOn w:val="Rectitle"/>
    <w:next w:val="Repref"/>
    <w:rsid w:val="002B311E"/>
  </w:style>
  <w:style w:type="paragraph" w:customStyle="1" w:styleId="Repref">
    <w:name w:val="Rep_ref"/>
    <w:basedOn w:val="Recref"/>
    <w:next w:val="Repdate"/>
    <w:rsid w:val="002B311E"/>
  </w:style>
  <w:style w:type="paragraph" w:customStyle="1" w:styleId="Resdate">
    <w:name w:val="Res_date"/>
    <w:basedOn w:val="Recdate"/>
    <w:next w:val="Normalaftertitle"/>
    <w:rsid w:val="002B311E"/>
  </w:style>
  <w:style w:type="paragraph" w:customStyle="1" w:styleId="ResNo">
    <w:name w:val="Res_No"/>
    <w:basedOn w:val="RecNo"/>
    <w:next w:val="Restitle"/>
    <w:rsid w:val="002B311E"/>
  </w:style>
  <w:style w:type="paragraph" w:customStyle="1" w:styleId="Restitle">
    <w:name w:val="Res_title"/>
    <w:basedOn w:val="Normal"/>
    <w:next w:val="Resref"/>
    <w:rsid w:val="002B311E"/>
    <w:pPr>
      <w:spacing w:before="240"/>
      <w:jc w:val="center"/>
    </w:pPr>
    <w:rPr>
      <w:b/>
      <w:sz w:val="28"/>
    </w:rPr>
  </w:style>
  <w:style w:type="paragraph" w:customStyle="1" w:styleId="Resref">
    <w:name w:val="Res_ref"/>
    <w:basedOn w:val="Recref"/>
    <w:next w:val="Resdate"/>
    <w:rsid w:val="002B311E"/>
  </w:style>
  <w:style w:type="paragraph" w:customStyle="1" w:styleId="SectionNo">
    <w:name w:val="Section_No"/>
    <w:basedOn w:val="Normal"/>
    <w:next w:val="Normal"/>
    <w:rsid w:val="002B311E"/>
  </w:style>
  <w:style w:type="paragraph" w:customStyle="1" w:styleId="Sectiontitle">
    <w:name w:val="Section_title"/>
    <w:basedOn w:val="Normal"/>
    <w:next w:val="Normalaftertitle"/>
    <w:rsid w:val="002B311E"/>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link w:val="TableheadChar"/>
    <w:rsid w:val="002B311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B31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2B311E"/>
    <w:pPr>
      <w:keepNext/>
      <w:spacing w:before="360" w:after="120"/>
      <w:jc w:val="center"/>
    </w:pPr>
  </w:style>
  <w:style w:type="paragraph" w:customStyle="1" w:styleId="Tabletitle">
    <w:name w:val="Table_title"/>
    <w:basedOn w:val="Normal"/>
    <w:next w:val="Tablehead"/>
    <w:rsid w:val="002B311E"/>
    <w:pPr>
      <w:keepNext/>
      <w:spacing w:before="0" w:after="120"/>
      <w:jc w:val="center"/>
    </w:pPr>
    <w:rPr>
      <w:b/>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2B311E"/>
    <w:pPr>
      <w:tabs>
        <w:tab w:val="clear" w:pos="794"/>
        <w:tab w:val="clear" w:pos="1191"/>
        <w:tab w:val="clear" w:pos="1588"/>
        <w:tab w:val="clear" w:pos="1985"/>
        <w:tab w:val="right" w:pos="9611"/>
      </w:tabs>
    </w:pPr>
    <w:rPr>
      <w:i/>
    </w:rPr>
  </w:style>
  <w:style w:type="paragraph" w:styleId="TOC1">
    <w:name w:val="toc 1"/>
    <w:basedOn w:val="Normal"/>
    <w:rsid w:val="002B311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2B311E"/>
    <w:pPr>
      <w:tabs>
        <w:tab w:val="clear" w:pos="567"/>
        <w:tab w:val="left" w:pos="1276"/>
      </w:tabs>
      <w:spacing w:before="160"/>
      <w:ind w:left="1276" w:hanging="709"/>
    </w:pPr>
  </w:style>
  <w:style w:type="paragraph" w:styleId="TOC3">
    <w:name w:val="toc 3"/>
    <w:basedOn w:val="TOC2"/>
    <w:rsid w:val="002B311E"/>
    <w:pPr>
      <w:tabs>
        <w:tab w:val="clear" w:pos="1276"/>
        <w:tab w:val="left" w:pos="2155"/>
      </w:tabs>
      <w:ind w:left="2155" w:hanging="879"/>
    </w:pPr>
  </w:style>
  <w:style w:type="paragraph" w:styleId="TOC4">
    <w:name w:val="toc 4"/>
    <w:basedOn w:val="TOC3"/>
    <w:rsid w:val="002B311E"/>
    <w:pPr>
      <w:tabs>
        <w:tab w:val="left" w:pos="3261"/>
      </w:tabs>
      <w:spacing w:before="80"/>
      <w:ind w:left="3261" w:hanging="993"/>
    </w:pPr>
  </w:style>
  <w:style w:type="paragraph" w:styleId="TOC5">
    <w:name w:val="toc 5"/>
    <w:basedOn w:val="TOC4"/>
    <w:rsid w:val="002B311E"/>
  </w:style>
  <w:style w:type="paragraph" w:styleId="TOC6">
    <w:name w:val="toc 6"/>
    <w:basedOn w:val="TOC4"/>
    <w:rsid w:val="002B311E"/>
  </w:style>
  <w:style w:type="paragraph" w:styleId="TOC7">
    <w:name w:val="toc 7"/>
    <w:basedOn w:val="TOC4"/>
    <w:rsid w:val="002B311E"/>
  </w:style>
  <w:style w:type="paragraph" w:styleId="TOC8">
    <w:name w:val="toc 8"/>
    <w:basedOn w:val="TOC4"/>
    <w:rsid w:val="002B311E"/>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Heading3"/>
    <w:next w:val="Normal"/>
    <w:rsid w:val="002B311E"/>
    <w:pPr>
      <w:spacing w:before="160"/>
      <w:ind w:left="0" w:firstLine="0"/>
    </w:pPr>
    <w:rPr>
      <w:b w:val="0"/>
      <w:i/>
    </w:rPr>
  </w:style>
  <w:style w:type="paragraph" w:customStyle="1" w:styleId="Headingb">
    <w:name w:val="Heading_b"/>
    <w:basedOn w:val="Heading3"/>
    <w:next w:val="Normal"/>
    <w:link w:val="HeadingbChar"/>
    <w:rsid w:val="002B311E"/>
    <w:pPr>
      <w:spacing w:before="160"/>
      <w:ind w:left="0" w:firstLine="0"/>
      <w:outlineLvl w:val="9"/>
    </w:pPr>
  </w:style>
  <w:style w:type="paragraph" w:customStyle="1" w:styleId="Figure">
    <w:name w:val="Figure"/>
    <w:basedOn w:val="FigureNo"/>
    <w:next w:val="Normal"/>
    <w:rsid w:val="002B311E"/>
    <w:pPr>
      <w:keepNext w:val="0"/>
      <w:spacing w:before="0" w:after="240"/>
    </w:pPr>
  </w:style>
  <w:style w:type="character" w:styleId="PageNumber">
    <w:name w:val="page number"/>
    <w:basedOn w:val="DefaultParagraphFont"/>
    <w:rsid w:val="002B311E"/>
  </w:style>
  <w:style w:type="paragraph" w:customStyle="1" w:styleId="Figuretitle">
    <w:name w:val="Figure_title"/>
    <w:basedOn w:val="Normal"/>
    <w:next w:val="Figure"/>
    <w:link w:val="FiguretitleChar"/>
    <w:rsid w:val="002B311E"/>
    <w:pPr>
      <w:keepNext/>
      <w:spacing w:before="0" w:after="120"/>
      <w:jc w:val="center"/>
    </w:pPr>
    <w:rPr>
      <w:rFonts w:ascii="Times New Roman Bold" w:hAnsi="Times New Roman Bold"/>
      <w:b/>
      <w:sz w:val="18"/>
    </w:rPr>
  </w:style>
  <w:style w:type="paragraph" w:customStyle="1" w:styleId="FigureNo">
    <w:name w:val="Figure_No"/>
    <w:basedOn w:val="Normal"/>
    <w:next w:val="Figuretitle"/>
    <w:rsid w:val="002B311E"/>
    <w:pPr>
      <w:keepNext/>
      <w:keepLines/>
      <w:spacing w:before="480" w:after="80"/>
      <w:jc w:val="center"/>
    </w:pPr>
    <w:rPr>
      <w:caps/>
      <w:sz w:val="18"/>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aftertitle"/>
    <w:rsid w:val="002B311E"/>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Normalaftertitle"/>
    <w:rsid w:val="002B311E"/>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2B311E"/>
    <w:pPr>
      <w:ind w:left="79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2B311E"/>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noProof/>
      <w:sz w:val="18"/>
      <w:lang w:val="en-GB" w:eastAsia="en-US"/>
    </w:rPr>
  </w:style>
  <w:style w:type="character" w:customStyle="1" w:styleId="FootnoteTextChar">
    <w:name w:val="Footnote Text Char"/>
    <w:basedOn w:val="DefaultParagraphFont"/>
    <w:link w:val="FootnoteText"/>
    <w:qFormat/>
    <w:rsid w:val="009C185B"/>
    <w:rPr>
      <w:rFonts w:ascii="Times New Roman" w:hAnsi="Times New Roman"/>
      <w:sz w:val="22"/>
      <w:lang w:val="en-GB" w:eastAsia="en-US"/>
    </w:rPr>
  </w:style>
  <w:style w:type="character" w:customStyle="1" w:styleId="HeaderChar">
    <w:name w:val="Header Char"/>
    <w:basedOn w:val="DefaultParagraphFont"/>
    <w:link w:val="Header"/>
    <w:uiPriority w:val="99"/>
    <w:rsid w:val="009C185B"/>
    <w:rPr>
      <w:rFonts w:ascii="Times New Roman" w:hAnsi="Times New Roman"/>
      <w:sz w:val="24"/>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sz w:val="18"/>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2B311E"/>
    <w:pPr>
      <w:spacing w:before="0"/>
    </w:pPr>
    <w:rPr>
      <w:sz w:val="20"/>
    </w:rPr>
  </w:style>
  <w:style w:type="character" w:styleId="Hyperlink">
    <w:name w:val="Hyperlink"/>
    <w:basedOn w:val="DefaultParagraphFont"/>
    <w:rsid w:val="00464438"/>
    <w:rPr>
      <w:color w:val="0000FF"/>
      <w:u w:val="single"/>
    </w:rPr>
  </w:style>
  <w:style w:type="character" w:customStyle="1" w:styleId="href">
    <w:name w:val="href"/>
    <w:basedOn w:val="DefaultParagraphFont"/>
    <w:rsid w:val="002B311E"/>
  </w:style>
  <w:style w:type="character" w:customStyle="1" w:styleId="HeadingbChar">
    <w:name w:val="Heading_b Char"/>
    <w:basedOn w:val="DefaultParagraphFont"/>
    <w:link w:val="Headingb"/>
    <w:locked/>
    <w:rsid w:val="00464438"/>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464438"/>
    <w:rPr>
      <w:rFonts w:ascii="Times New Roman" w:hAnsi="Times New Roman"/>
      <w:sz w:val="24"/>
      <w:lang w:val="en-GB" w:eastAsia="en-US"/>
    </w:rPr>
  </w:style>
  <w:style w:type="paragraph" w:customStyle="1" w:styleId="HeadingSum">
    <w:name w:val="Heading_Sum"/>
    <w:basedOn w:val="Headingb"/>
    <w:next w:val="Normal"/>
    <w:autoRedefine/>
    <w:rsid w:val="002B311E"/>
    <w:pPr>
      <w:spacing w:before="240"/>
    </w:pPr>
    <w:rPr>
      <w:sz w:val="22"/>
      <w:lang w:val="es-ES_tradnl"/>
    </w:rPr>
  </w:style>
  <w:style w:type="character" w:customStyle="1" w:styleId="TableheadChar">
    <w:name w:val="Table_head Char"/>
    <w:basedOn w:val="DefaultParagraphFont"/>
    <w:link w:val="Tablehead"/>
    <w:locked/>
    <w:rsid w:val="00464438"/>
    <w:rPr>
      <w:rFonts w:ascii="Times New Roman" w:hAnsi="Times New Roman"/>
      <w:b/>
      <w:sz w:val="22"/>
      <w:lang w:val="en-GB" w:eastAsia="en-US"/>
    </w:rPr>
  </w:style>
  <w:style w:type="character" w:customStyle="1" w:styleId="TabletextChar">
    <w:name w:val="Table_text Char"/>
    <w:basedOn w:val="DefaultParagraphFont"/>
    <w:link w:val="Tabletext"/>
    <w:qFormat/>
    <w:locked/>
    <w:rsid w:val="00464438"/>
    <w:rPr>
      <w:rFonts w:ascii="Times New Roman" w:hAnsi="Times New Roman"/>
      <w:sz w:val="22"/>
      <w:lang w:val="en-GB" w:eastAsia="en-US"/>
    </w:rPr>
  </w:style>
  <w:style w:type="paragraph" w:customStyle="1" w:styleId="Summary">
    <w:name w:val="Summary"/>
    <w:basedOn w:val="Normal"/>
    <w:next w:val="Normalaftertitle"/>
    <w:link w:val="SummaryZchn"/>
    <w:autoRedefine/>
    <w:rsid w:val="002B311E"/>
    <w:pPr>
      <w:spacing w:after="480"/>
    </w:pPr>
    <w:rPr>
      <w:sz w:val="22"/>
      <w:lang w:val="es-ES_tradnl"/>
    </w:rPr>
  </w:style>
  <w:style w:type="character" w:customStyle="1" w:styleId="SummaryZchn">
    <w:name w:val="Summary Zchn"/>
    <w:basedOn w:val="DefaultParagraphFont"/>
    <w:link w:val="Summary"/>
    <w:rsid w:val="00464438"/>
    <w:rPr>
      <w:rFonts w:ascii="Times New Roman" w:hAnsi="Times New Roman"/>
      <w:sz w:val="22"/>
      <w:lang w:val="es-ES_tradnl" w:eastAsia="en-US"/>
    </w:rPr>
  </w:style>
  <w:style w:type="character" w:customStyle="1" w:styleId="enumlev1Char">
    <w:name w:val="enumlev1 Char"/>
    <w:basedOn w:val="DefaultParagraphFont"/>
    <w:link w:val="enumlev1"/>
    <w:rsid w:val="00464438"/>
    <w:rPr>
      <w:rFonts w:ascii="Times New Roman" w:hAnsi="Times New Roman"/>
      <w:sz w:val="24"/>
      <w:lang w:val="en-GB" w:eastAsia="en-US"/>
    </w:rPr>
  </w:style>
  <w:style w:type="table" w:styleId="TableGrid">
    <w:name w:val="Table Grid"/>
    <w:basedOn w:val="TableNormal"/>
    <w:uiPriority w:val="39"/>
    <w:qFormat/>
    <w:rsid w:val="00464438"/>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qFormat/>
    <w:rsid w:val="00464438"/>
    <w:rPr>
      <w:sz w:val="18"/>
      <w:vertAlign w:val="superscript"/>
    </w:rPr>
  </w:style>
  <w:style w:type="paragraph" w:customStyle="1" w:styleId="Line">
    <w:name w:val="Line"/>
    <w:basedOn w:val="Normal"/>
    <w:next w:val="Normal"/>
    <w:rsid w:val="002B311E"/>
    <w:pPr>
      <w:pBdr>
        <w:top w:val="single" w:sz="6" w:space="1" w:color="auto"/>
      </w:pBdr>
      <w:tabs>
        <w:tab w:val="clear" w:pos="794"/>
        <w:tab w:val="clear" w:pos="1191"/>
        <w:tab w:val="clear" w:pos="1588"/>
        <w:tab w:val="clear" w:pos="1985"/>
      </w:tabs>
      <w:spacing w:before="240"/>
      <w:ind w:left="3997" w:right="3997"/>
      <w:jc w:val="center"/>
    </w:pPr>
    <w:rPr>
      <w:sz w:val="20"/>
    </w:rPr>
  </w:style>
  <w:style w:type="character" w:styleId="UnresolvedMention">
    <w:name w:val="Unresolved Mention"/>
    <w:basedOn w:val="DefaultParagraphFont"/>
    <w:uiPriority w:val="99"/>
    <w:semiHidden/>
    <w:unhideWhenUsed/>
    <w:rsid w:val="006C25A5"/>
    <w:rPr>
      <w:color w:val="605E5C"/>
      <w:shd w:val="clear" w:color="auto" w:fill="E1DFDD"/>
    </w:rPr>
  </w:style>
  <w:style w:type="paragraph" w:styleId="Revision">
    <w:name w:val="Revision"/>
    <w:hidden/>
    <w:uiPriority w:val="99"/>
    <w:semiHidden/>
    <w:rsid w:val="00FC0D98"/>
    <w:rPr>
      <w:rFonts w:ascii="Times New Roman" w:hAnsi="Times New Roman"/>
      <w:sz w:val="24"/>
      <w:lang w:val="en-GB" w:eastAsia="en-US"/>
    </w:rPr>
  </w:style>
  <w:style w:type="paragraph" w:customStyle="1" w:styleId="AnnexNoTitle">
    <w:name w:val="Annex_NoTitle"/>
    <w:basedOn w:val="Normal"/>
    <w:next w:val="Normalaftertitle"/>
    <w:rsid w:val="002B311E"/>
    <w:pPr>
      <w:keepNext/>
      <w:keepLines/>
      <w:spacing w:before="480" w:after="80"/>
      <w:jc w:val="center"/>
    </w:pPr>
    <w:rPr>
      <w:b/>
      <w:sz w:val="28"/>
    </w:rPr>
  </w:style>
  <w:style w:type="paragraph" w:customStyle="1" w:styleId="AppendixNoTitle">
    <w:name w:val="Appendix_NoTitle"/>
    <w:basedOn w:val="AnnexNoTitle"/>
    <w:next w:val="Normal"/>
    <w:rsid w:val="002B311E"/>
  </w:style>
  <w:style w:type="paragraph" w:customStyle="1" w:styleId="tocpart">
    <w:name w:val="tocpart"/>
    <w:basedOn w:val="Normal"/>
    <w:rsid w:val="002B311E"/>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2B311E"/>
    <w:pPr>
      <w:keepNext/>
      <w:keepLines/>
      <w:tabs>
        <w:tab w:val="clear" w:pos="794"/>
        <w:tab w:val="clear" w:pos="1191"/>
        <w:tab w:val="clear" w:pos="1588"/>
        <w:tab w:val="clear" w:pos="1985"/>
      </w:tabs>
      <w:spacing w:before="0"/>
    </w:pPr>
    <w:rPr>
      <w:sz w:val="16"/>
    </w:rPr>
  </w:style>
  <w:style w:type="paragraph" w:customStyle="1" w:styleId="toctemp">
    <w:name w:val="toctemp"/>
    <w:basedOn w:val="Normal"/>
    <w:rsid w:val="002B311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TableLegendNote">
    <w:name w:val="Table_Legend_Note"/>
    <w:basedOn w:val="Tablelegend"/>
    <w:next w:val="Tablelegend"/>
    <w:rsid w:val="002B311E"/>
    <w:pPr>
      <w:ind w:left="-85" w:firstLine="0"/>
    </w:pPr>
    <w:rPr>
      <w:lang w:val="en-US"/>
    </w:rPr>
  </w:style>
  <w:style w:type="paragraph" w:customStyle="1" w:styleId="CoverNumber">
    <w:name w:val="Cover Number"/>
    <w:basedOn w:val="Normal"/>
    <w:qFormat/>
    <w:rsid w:val="002B311E"/>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B311E"/>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2B311E"/>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2B311E"/>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go/patents/en" TargetMode="External"/><Relationship Id="rId18" Type="http://schemas.openxmlformats.org/officeDocument/2006/relationships/hyperlink" Target="https://www.itu.int/pub/R-QUE-SG05.205" TargetMode="External"/><Relationship Id="rId26" Type="http://schemas.openxmlformats.org/officeDocument/2006/relationships/hyperlink" Target="https://www.itu.int/rec/R-REC-M.1453/en" TargetMode="External"/><Relationship Id="rId3" Type="http://schemas.openxmlformats.org/officeDocument/2006/relationships/settings" Target="settings.xml"/><Relationship Id="rId21" Type="http://schemas.openxmlformats.org/officeDocument/2006/relationships/hyperlink" Target="https://www.itu.int/rec/R-REC-M.1797/e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ww.itu.int/pub/R-REP-M.244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www.itu.int/rec/R-REC-M.1453/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itu.int/pub/R-REP-M.222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itu.int/rec/R-REC-M.2120/en" TargetMode="Externa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www.itu.int/rec/R-REC-M.1452/en"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publ/R-REP/en" TargetMode="External"/><Relationship Id="rId22" Type="http://schemas.openxmlformats.org/officeDocument/2006/relationships/hyperlink" Target="https://www.itu.int/rec/R-REC-M.2084/en" TargetMode="External"/><Relationship Id="rId27" Type="http://schemas.openxmlformats.org/officeDocument/2006/relationships/image" Target="media/image3.png"/><Relationship Id="rId30" Type="http://schemas.openxmlformats.org/officeDocument/2006/relationships/header" Target="header7.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transportationops.org/spatchallenge" TargetMode="External"/><Relationship Id="rId3" Type="http://schemas.openxmlformats.org/officeDocument/2006/relationships/hyperlink" Target="https://www.etsi.org/deliver/etsi_en/302500_302599/302571" TargetMode="External"/><Relationship Id="rId7" Type="http://schemas.openxmlformats.org/officeDocument/2006/relationships/hyperlink" Target="https://eur03.safelinks.protection.outlook.com/?url=https%3A%2F%2Fwww.its.dot.gov%2Fpress%2F2018%2Fwydot_trafficmang.htm&amp;data=05%7C01%7Cyoanni.gomez%40itu.int%7Ceb2757012b8e4885853b08dbd9668d4c%7C23e464d704e64b87913c24bd89219fd3%7C0%7C0%7C638342806694709236%7CUnknown%7CTWFpbGZsb3d8eyJWIjoiMC4wLjAwMDAiLCJQIjoiV2luMzIiLCJBTiI6Ik1haWwiLCJXVCI6Mn0%3D%7C3000%7C%7C%7C&amp;sdata=qBEyl9xnWjuOrtMzJr734uudXLbHpPq9pQ8nLQzspFE%3D&amp;reserved=0" TargetMode="External"/><Relationship Id="rId2" Type="http://schemas.openxmlformats.org/officeDocument/2006/relationships/hyperlink" Target="https://www.volkswagenag.com/en/news/2017/06/pwlan.html" TargetMode="External"/><Relationship Id="rId1" Type="http://schemas.openxmlformats.org/officeDocument/2006/relationships/hyperlink" Target="https://www.c-roads.eu/platform.html" TargetMode="External"/><Relationship Id="rId6" Type="http://schemas.openxmlformats.org/officeDocument/2006/relationships/hyperlink" Target="https://theacvpilot.com/" TargetMode="External"/><Relationship Id="rId5" Type="http://schemas.openxmlformats.org/officeDocument/2006/relationships/hyperlink" Target="https://eur03.safelinks.protection.outlook.com/?url=https%3A%2F%2Fwww.its.dot.gov%2Ffactsheets%2Fpdf%2FJPO_CVPilot.pdf&amp;data=05%7C01%7Cyoanni.gomez%40itu.int%7Ceb2757012b8e4885853b08dbd9668d4c%7C23e464d704e64b87913c24bd89219fd3%7C0%7C0%7C638342806694553047%7CUnknown%7CTWFpbGZsb3d8eyJWIjoiMC4wLjAwMDAiLCJQIjoiV2luMzIiLCJBTiI6Ik1haWwiLCJXVCI6Mn0%3D%7C3000%7C%7C%7C&amp;sdata=GynEC9Zw0ScrIs43N9sTzLl%2FQJ%2FosSUXwznQvNuDIR0%3D&amp;reserved=0" TargetMode="External"/><Relationship Id="rId4" Type="http://schemas.openxmlformats.org/officeDocument/2006/relationships/hyperlink" Target="https://www.nhtsa.gov/sites/nhtsa.gov/files/documents/technical_fact_sheet-model_deploy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21EB-9309-48EC-9222-DEDF17D2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99</TotalTime>
  <Pages>11</Pages>
  <Words>2527</Words>
  <Characters>15376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M.2444-1 (09/2023) - Examples of arrangements for Intelligent Transport Systems deployments under the mobile service</dc:title>
  <dc:creator>Song, Xiaojing</dc:creator>
  <cp:lastModifiedBy>Gomez, Yoanni</cp:lastModifiedBy>
  <cp:revision>58</cp:revision>
  <cp:lastPrinted>2008-02-21T14:04:00Z</cp:lastPrinted>
  <dcterms:created xsi:type="dcterms:W3CDTF">2023-10-30T14:37:00Z</dcterms:created>
  <dcterms:modified xsi:type="dcterms:W3CDTF">2023-11-01T13:57:00Z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